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798" w:rsidRPr="00EB1471" w:rsidRDefault="00265798" w:rsidP="00D36492">
      <w:pPr>
        <w:spacing w:before="4080" w:after="240" w:line="240" w:lineRule="auto"/>
        <w:jc w:val="center"/>
      </w:pPr>
      <w:bookmarkStart w:id="0" w:name="_Toc468022799"/>
      <w:r w:rsidRPr="00D36492">
        <w:rPr>
          <w:rFonts w:eastAsiaTheme="minorHAnsi" w:cstheme="minorBidi"/>
          <w:b/>
          <w:sz w:val="52"/>
          <w:szCs w:val="52"/>
          <w:lang w:eastAsia="en-AU"/>
        </w:rPr>
        <w:t>Pharmaceutical Benefits</w:t>
      </w:r>
      <w:r w:rsidRPr="00EB1471">
        <w:t xml:space="preserve"> </w:t>
      </w:r>
      <w:r w:rsidRPr="00D36492">
        <w:rPr>
          <w:rFonts w:eastAsiaTheme="minorHAnsi" w:cstheme="minorBidi"/>
          <w:b/>
          <w:sz w:val="52"/>
          <w:szCs w:val="52"/>
          <w:lang w:eastAsia="en-AU"/>
        </w:rPr>
        <w:t>Scheme</w:t>
      </w:r>
    </w:p>
    <w:p w:rsidR="00D36492" w:rsidRPr="009F466A" w:rsidRDefault="00D36492" w:rsidP="00D36492">
      <w:pPr>
        <w:spacing w:before="480" w:after="240" w:line="240" w:lineRule="auto"/>
        <w:jc w:val="center"/>
        <w:rPr>
          <w:b/>
          <w:sz w:val="40"/>
          <w:szCs w:val="40"/>
        </w:rPr>
      </w:pPr>
      <w:r w:rsidRPr="009F466A">
        <w:rPr>
          <w:b/>
          <w:sz w:val="40"/>
          <w:szCs w:val="40"/>
        </w:rPr>
        <w:t>Post-market Review</w:t>
      </w:r>
    </w:p>
    <w:p w:rsidR="00D36492" w:rsidRPr="009F466A" w:rsidRDefault="00D36492" w:rsidP="00D36492">
      <w:pPr>
        <w:spacing w:line="240" w:lineRule="auto"/>
        <w:jc w:val="center"/>
        <w:rPr>
          <w:b/>
          <w:color w:val="365F91" w:themeColor="accent1" w:themeShade="BF"/>
          <w:sz w:val="32"/>
          <w:szCs w:val="32"/>
        </w:rPr>
      </w:pPr>
      <w:r w:rsidRPr="009F466A">
        <w:rPr>
          <w:b/>
          <w:color w:val="365F91" w:themeColor="accent1" w:themeShade="BF"/>
          <w:sz w:val="32"/>
          <w:szCs w:val="32"/>
        </w:rPr>
        <w:t>Post-market Review of Medicines to treat Pulmonary Arterial Hypertension</w:t>
      </w:r>
    </w:p>
    <w:p w:rsidR="00D36492" w:rsidRPr="00D36492" w:rsidRDefault="00D36492" w:rsidP="00D36492">
      <w:pPr>
        <w:spacing w:line="240" w:lineRule="auto"/>
        <w:jc w:val="center"/>
        <w:rPr>
          <w:b/>
          <w:i/>
          <w:color w:val="365F91" w:themeColor="accent1" w:themeShade="BF"/>
          <w:sz w:val="32"/>
          <w:szCs w:val="32"/>
        </w:rPr>
      </w:pPr>
      <w:r w:rsidRPr="009F466A">
        <w:rPr>
          <w:b/>
          <w:i/>
          <w:color w:val="365F91" w:themeColor="accent1" w:themeShade="BF"/>
          <w:sz w:val="32"/>
          <w:szCs w:val="32"/>
        </w:rPr>
        <w:t>Report to PBAC</w:t>
      </w:r>
    </w:p>
    <w:p w:rsidR="00265798" w:rsidRDefault="00265798" w:rsidP="00D36492">
      <w:pPr>
        <w:spacing w:after="200" w:line="240" w:lineRule="auto"/>
        <w:jc w:val="center"/>
        <w:rPr>
          <w:rFonts w:eastAsiaTheme="minorHAnsi" w:cstheme="minorBidi"/>
          <w:b/>
          <w:i/>
          <w:color w:val="365F91" w:themeColor="accent1" w:themeShade="BF"/>
          <w:sz w:val="32"/>
          <w:szCs w:val="32"/>
          <w:lang w:eastAsia="en-AU"/>
        </w:rPr>
      </w:pPr>
      <w:r w:rsidRPr="00D36492">
        <w:rPr>
          <w:rFonts w:eastAsiaTheme="minorHAnsi" w:cstheme="minorBidi"/>
          <w:b/>
          <w:i/>
          <w:color w:val="365F91" w:themeColor="accent1" w:themeShade="BF"/>
          <w:sz w:val="32"/>
          <w:szCs w:val="32"/>
          <w:lang w:eastAsia="en-AU"/>
        </w:rPr>
        <w:t>ToR 4</w:t>
      </w:r>
    </w:p>
    <w:p w:rsidR="00D36492" w:rsidRPr="00D36492" w:rsidRDefault="00D36492" w:rsidP="00D36492">
      <w:pPr>
        <w:spacing w:after="200" w:line="240" w:lineRule="auto"/>
        <w:jc w:val="center"/>
        <w:rPr>
          <w:rFonts w:eastAsiaTheme="minorHAnsi" w:cstheme="minorBidi"/>
          <w:b/>
          <w:i/>
          <w:color w:val="365F91" w:themeColor="accent1" w:themeShade="BF"/>
          <w:sz w:val="32"/>
          <w:szCs w:val="32"/>
          <w:lang w:eastAsia="en-AU"/>
        </w:rPr>
      </w:pPr>
    </w:p>
    <w:p w:rsidR="00D36492" w:rsidRPr="009F466A" w:rsidRDefault="00D36492" w:rsidP="00D36492">
      <w:pPr>
        <w:spacing w:line="240" w:lineRule="auto"/>
        <w:jc w:val="center"/>
        <w:rPr>
          <w:b/>
          <w:i/>
          <w:color w:val="365F91" w:themeColor="accent1" w:themeShade="BF"/>
          <w:sz w:val="28"/>
          <w:szCs w:val="28"/>
        </w:rPr>
      </w:pPr>
      <w:r>
        <w:rPr>
          <w:b/>
          <w:i/>
          <w:color w:val="365F91" w:themeColor="accent1" w:themeShade="BF"/>
          <w:sz w:val="28"/>
          <w:szCs w:val="28"/>
        </w:rPr>
        <w:t>Draft Report</w:t>
      </w:r>
    </w:p>
    <w:p w:rsidR="00D36492" w:rsidRPr="009F466A" w:rsidRDefault="00DE4B2C" w:rsidP="00D36492">
      <w:pPr>
        <w:spacing w:line="240" w:lineRule="auto"/>
        <w:jc w:val="center"/>
        <w:rPr>
          <w:b/>
          <w:color w:val="365F91" w:themeColor="accent1" w:themeShade="BF"/>
          <w:sz w:val="28"/>
          <w:szCs w:val="28"/>
        </w:rPr>
      </w:pPr>
      <w:r>
        <w:rPr>
          <w:b/>
          <w:color w:val="365F91" w:themeColor="accent1" w:themeShade="BF"/>
          <w:sz w:val="28"/>
          <w:szCs w:val="28"/>
        </w:rPr>
        <w:t>May</w:t>
      </w:r>
      <w:r w:rsidR="00D36492" w:rsidRPr="009F466A">
        <w:rPr>
          <w:b/>
          <w:color w:val="365F91" w:themeColor="accent1" w:themeShade="BF"/>
          <w:sz w:val="28"/>
          <w:szCs w:val="28"/>
        </w:rPr>
        <w:t xml:space="preserve"> 2018</w:t>
      </w:r>
    </w:p>
    <w:p w:rsidR="00265798" w:rsidRPr="00EB1471" w:rsidRDefault="00265798" w:rsidP="00265798">
      <w:pPr>
        <w:pStyle w:val="Titlepage"/>
        <w:spacing w:before="3120"/>
        <w:rPr>
          <w:b/>
          <w:sz w:val="32"/>
          <w:szCs w:val="32"/>
        </w:rPr>
        <w:sectPr w:rsidR="00265798" w:rsidRPr="00EB1471" w:rsidSect="00CB3D44">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08" w:footer="708" w:gutter="0"/>
          <w:pgNumType w:fmt="lowerRoman" w:start="1"/>
          <w:cols w:space="708"/>
          <w:titlePg/>
          <w:docGrid w:linePitch="360"/>
        </w:sectPr>
      </w:pPr>
    </w:p>
    <w:sdt>
      <w:sdtPr>
        <w:rPr>
          <w:rFonts w:asciiTheme="minorHAnsi" w:eastAsia="Calibri" w:hAnsiTheme="minorHAnsi"/>
          <w:b w:val="0"/>
          <w:color w:val="auto"/>
          <w:sz w:val="24"/>
          <w:szCs w:val="24"/>
        </w:rPr>
        <w:id w:val="-1787038159"/>
        <w:docPartObj>
          <w:docPartGallery w:val="Table of Contents"/>
          <w:docPartUnique/>
        </w:docPartObj>
      </w:sdtPr>
      <w:sdtEndPr>
        <w:rPr>
          <w:bCs/>
        </w:rPr>
      </w:sdtEndPr>
      <w:sdtContent>
        <w:p w:rsidR="00B27192" w:rsidRPr="00EB1471" w:rsidRDefault="00B27192">
          <w:pPr>
            <w:pStyle w:val="TOCHeading"/>
          </w:pPr>
          <w:r w:rsidRPr="00EB1471">
            <w:t>Contents</w:t>
          </w:r>
        </w:p>
        <w:p w:rsidR="00322CC4" w:rsidRDefault="00322CC4">
          <w:pPr>
            <w:pStyle w:val="TOC1"/>
            <w:rPr>
              <w:rFonts w:asciiTheme="minorHAnsi" w:eastAsiaTheme="minorEastAsia" w:hAnsiTheme="minorHAnsi" w:cstheme="minorBidi"/>
              <w:sz w:val="22"/>
              <w:szCs w:val="22"/>
              <w:lang w:eastAsia="en-AU"/>
            </w:rPr>
          </w:pPr>
          <w:r w:rsidRPr="00A17B9D">
            <w:t>Section 4: ToR 4 Review of the comparative effectiveness of PAH medicines</w:t>
          </w:r>
          <w:r>
            <w:rPr>
              <w:webHidden/>
            </w:rPr>
            <w:tab/>
          </w:r>
          <w:r w:rsidR="00AA722D">
            <w:rPr>
              <w:webHidden/>
            </w:rPr>
            <w:t>11</w:t>
          </w:r>
        </w:p>
        <w:p w:rsidR="00322CC4" w:rsidRDefault="00322CC4">
          <w:pPr>
            <w:pStyle w:val="TOC2"/>
            <w:rPr>
              <w:rFonts w:eastAsiaTheme="minorEastAsia" w:cstheme="minorBidi"/>
              <w:noProof/>
              <w:sz w:val="22"/>
              <w:szCs w:val="22"/>
              <w:lang w:eastAsia="en-AU"/>
            </w:rPr>
          </w:pPr>
          <w:r w:rsidRPr="00A17B9D">
            <w:rPr>
              <w:noProof/>
            </w:rPr>
            <w:t>4.1</w:t>
          </w:r>
          <w:r>
            <w:rPr>
              <w:rFonts w:eastAsiaTheme="minorEastAsia" w:cstheme="minorBidi"/>
              <w:noProof/>
              <w:sz w:val="22"/>
              <w:szCs w:val="22"/>
              <w:lang w:eastAsia="en-AU"/>
            </w:rPr>
            <w:tab/>
          </w:r>
          <w:r w:rsidRPr="00A17B9D">
            <w:rPr>
              <w:noProof/>
            </w:rPr>
            <w:t>Key findings for ToR 4</w:t>
          </w:r>
          <w:r>
            <w:rPr>
              <w:noProof/>
              <w:webHidden/>
            </w:rPr>
            <w:tab/>
          </w:r>
          <w:r w:rsidR="00AA722D">
            <w:rPr>
              <w:noProof/>
              <w:webHidden/>
            </w:rPr>
            <w:t>11</w:t>
          </w:r>
        </w:p>
        <w:p w:rsidR="00322CC4" w:rsidRDefault="00322CC4">
          <w:pPr>
            <w:pStyle w:val="TOC3"/>
            <w:tabs>
              <w:tab w:val="left" w:pos="1840"/>
            </w:tabs>
            <w:rPr>
              <w:rFonts w:eastAsiaTheme="minorEastAsia" w:cstheme="minorBidi"/>
              <w:noProof/>
              <w:sz w:val="22"/>
              <w:szCs w:val="22"/>
              <w:lang w:eastAsia="en-AU"/>
            </w:rPr>
          </w:pPr>
          <w:r w:rsidRPr="00A17B9D">
            <w:rPr>
              <w:noProof/>
            </w:rPr>
            <w:t>4.1.1</w:t>
          </w:r>
          <w:r>
            <w:rPr>
              <w:rFonts w:eastAsiaTheme="minorEastAsia" w:cstheme="minorBidi"/>
              <w:noProof/>
              <w:sz w:val="22"/>
              <w:szCs w:val="22"/>
              <w:lang w:eastAsia="en-AU"/>
            </w:rPr>
            <w:tab/>
          </w:r>
          <w:r w:rsidRPr="00A17B9D">
            <w:rPr>
              <w:noProof/>
            </w:rPr>
            <w:t>Effectiveness and safety of monotherapy in WHO FC I or II PAH</w:t>
          </w:r>
          <w:r>
            <w:rPr>
              <w:noProof/>
              <w:webHidden/>
            </w:rPr>
            <w:tab/>
          </w:r>
          <w:r w:rsidR="00AA722D">
            <w:rPr>
              <w:noProof/>
              <w:webHidden/>
            </w:rPr>
            <w:t>11</w:t>
          </w:r>
        </w:p>
        <w:p w:rsidR="00322CC4" w:rsidRDefault="00322CC4">
          <w:pPr>
            <w:pStyle w:val="TOC3"/>
            <w:tabs>
              <w:tab w:val="left" w:pos="1840"/>
            </w:tabs>
            <w:rPr>
              <w:rFonts w:eastAsiaTheme="minorEastAsia" w:cstheme="minorBidi"/>
              <w:noProof/>
              <w:sz w:val="22"/>
              <w:szCs w:val="22"/>
              <w:lang w:eastAsia="en-AU"/>
            </w:rPr>
          </w:pPr>
          <w:r w:rsidRPr="00A17B9D">
            <w:rPr>
              <w:noProof/>
            </w:rPr>
            <w:t>4.1.2</w:t>
          </w:r>
          <w:r>
            <w:rPr>
              <w:rFonts w:eastAsiaTheme="minorEastAsia" w:cstheme="minorBidi"/>
              <w:noProof/>
              <w:sz w:val="22"/>
              <w:szCs w:val="22"/>
              <w:lang w:eastAsia="en-AU"/>
            </w:rPr>
            <w:tab/>
          </w:r>
          <w:r w:rsidRPr="00A17B9D">
            <w:rPr>
              <w:noProof/>
            </w:rPr>
            <w:t>Evidence of effectiveness and safety of monotherapy in WHO FC III or IV PAH not previously considered by the PBAC</w:t>
          </w:r>
          <w:r>
            <w:rPr>
              <w:noProof/>
              <w:webHidden/>
            </w:rPr>
            <w:tab/>
          </w:r>
          <w:r w:rsidR="00AA722D">
            <w:rPr>
              <w:noProof/>
              <w:webHidden/>
            </w:rPr>
            <w:t>15</w:t>
          </w:r>
        </w:p>
        <w:p w:rsidR="00322CC4" w:rsidRDefault="00322CC4">
          <w:pPr>
            <w:pStyle w:val="TOC3"/>
            <w:tabs>
              <w:tab w:val="left" w:pos="1840"/>
            </w:tabs>
            <w:rPr>
              <w:rFonts w:eastAsiaTheme="minorEastAsia" w:cstheme="minorBidi"/>
              <w:noProof/>
              <w:sz w:val="22"/>
              <w:szCs w:val="22"/>
              <w:lang w:eastAsia="en-AU"/>
            </w:rPr>
          </w:pPr>
          <w:r w:rsidRPr="00A17B9D">
            <w:rPr>
              <w:noProof/>
            </w:rPr>
            <w:t>4.1.3</w:t>
          </w:r>
          <w:r>
            <w:rPr>
              <w:rFonts w:eastAsiaTheme="minorEastAsia" w:cstheme="minorBidi"/>
              <w:noProof/>
              <w:sz w:val="22"/>
              <w:szCs w:val="22"/>
              <w:lang w:eastAsia="en-AU"/>
            </w:rPr>
            <w:tab/>
          </w:r>
          <w:r w:rsidRPr="00A17B9D">
            <w:rPr>
              <w:noProof/>
            </w:rPr>
            <w:t>Effectiveness and safety of dual combination therapy</w:t>
          </w:r>
          <w:r>
            <w:rPr>
              <w:noProof/>
              <w:webHidden/>
            </w:rPr>
            <w:tab/>
          </w:r>
          <w:r w:rsidR="00AA722D">
            <w:rPr>
              <w:noProof/>
              <w:webHidden/>
            </w:rPr>
            <w:t>18</w:t>
          </w:r>
        </w:p>
        <w:p w:rsidR="00322CC4" w:rsidRDefault="00322CC4">
          <w:pPr>
            <w:pStyle w:val="TOC3"/>
            <w:tabs>
              <w:tab w:val="left" w:pos="1840"/>
            </w:tabs>
            <w:rPr>
              <w:rFonts w:eastAsiaTheme="minorEastAsia" w:cstheme="minorBidi"/>
              <w:noProof/>
              <w:sz w:val="22"/>
              <w:szCs w:val="22"/>
              <w:lang w:eastAsia="en-AU"/>
            </w:rPr>
          </w:pPr>
          <w:r w:rsidRPr="00A17B9D">
            <w:rPr>
              <w:noProof/>
            </w:rPr>
            <w:t>4.1.4</w:t>
          </w:r>
          <w:r>
            <w:rPr>
              <w:rFonts w:eastAsiaTheme="minorEastAsia" w:cstheme="minorBidi"/>
              <w:noProof/>
              <w:sz w:val="22"/>
              <w:szCs w:val="22"/>
              <w:lang w:eastAsia="en-AU"/>
            </w:rPr>
            <w:tab/>
          </w:r>
          <w:r w:rsidRPr="00A17B9D">
            <w:rPr>
              <w:noProof/>
            </w:rPr>
            <w:t>Effectiveness and safety of triple combination therapy</w:t>
          </w:r>
          <w:r>
            <w:rPr>
              <w:noProof/>
              <w:webHidden/>
            </w:rPr>
            <w:tab/>
          </w:r>
          <w:r w:rsidR="00AA722D">
            <w:rPr>
              <w:noProof/>
              <w:webHidden/>
            </w:rPr>
            <w:t>38</w:t>
          </w:r>
        </w:p>
        <w:p w:rsidR="00322CC4" w:rsidRDefault="00322CC4">
          <w:pPr>
            <w:pStyle w:val="TOC3"/>
            <w:tabs>
              <w:tab w:val="left" w:pos="1840"/>
            </w:tabs>
            <w:rPr>
              <w:rFonts w:eastAsiaTheme="minorEastAsia" w:cstheme="minorBidi"/>
              <w:noProof/>
              <w:sz w:val="22"/>
              <w:szCs w:val="22"/>
              <w:lang w:eastAsia="en-AU"/>
            </w:rPr>
          </w:pPr>
          <w:r w:rsidRPr="00A17B9D">
            <w:rPr>
              <w:noProof/>
            </w:rPr>
            <w:t>4.1.5</w:t>
          </w:r>
          <w:r>
            <w:rPr>
              <w:rFonts w:eastAsiaTheme="minorEastAsia" w:cstheme="minorBidi"/>
              <w:noProof/>
              <w:sz w:val="22"/>
              <w:szCs w:val="22"/>
              <w:lang w:eastAsia="en-AU"/>
            </w:rPr>
            <w:tab/>
          </w:r>
          <w:r w:rsidRPr="00A17B9D">
            <w:rPr>
              <w:noProof/>
            </w:rPr>
            <w:t>Extended assessment of safety</w:t>
          </w:r>
          <w:r>
            <w:rPr>
              <w:noProof/>
              <w:webHidden/>
            </w:rPr>
            <w:tab/>
          </w:r>
          <w:r w:rsidR="00AA722D">
            <w:rPr>
              <w:noProof/>
              <w:webHidden/>
            </w:rPr>
            <w:t>38</w:t>
          </w:r>
        </w:p>
        <w:p w:rsidR="00322CC4" w:rsidRDefault="00322CC4">
          <w:pPr>
            <w:pStyle w:val="TOC3"/>
            <w:tabs>
              <w:tab w:val="left" w:pos="1840"/>
            </w:tabs>
            <w:rPr>
              <w:rFonts w:eastAsiaTheme="minorEastAsia" w:cstheme="minorBidi"/>
              <w:noProof/>
              <w:sz w:val="22"/>
              <w:szCs w:val="22"/>
              <w:lang w:eastAsia="en-AU"/>
            </w:rPr>
          </w:pPr>
          <w:r w:rsidRPr="00A17B9D">
            <w:rPr>
              <w:noProof/>
            </w:rPr>
            <w:t>4.1.6</w:t>
          </w:r>
          <w:r>
            <w:rPr>
              <w:rFonts w:eastAsiaTheme="minorEastAsia" w:cstheme="minorBidi"/>
              <w:noProof/>
              <w:sz w:val="22"/>
              <w:szCs w:val="22"/>
              <w:lang w:eastAsia="en-AU"/>
            </w:rPr>
            <w:tab/>
          </w:r>
          <w:r w:rsidRPr="00A17B9D">
            <w:rPr>
              <w:noProof/>
            </w:rPr>
            <w:t>Stakeholder views</w:t>
          </w:r>
          <w:r>
            <w:rPr>
              <w:noProof/>
              <w:webHidden/>
            </w:rPr>
            <w:tab/>
          </w:r>
          <w:r w:rsidR="00AA722D">
            <w:rPr>
              <w:noProof/>
              <w:webHidden/>
            </w:rPr>
            <w:t>39</w:t>
          </w:r>
        </w:p>
        <w:p w:rsidR="00322CC4" w:rsidRDefault="00322CC4">
          <w:pPr>
            <w:pStyle w:val="TOC3"/>
            <w:tabs>
              <w:tab w:val="left" w:pos="1840"/>
            </w:tabs>
            <w:rPr>
              <w:rFonts w:eastAsiaTheme="minorEastAsia" w:cstheme="minorBidi"/>
              <w:noProof/>
              <w:sz w:val="22"/>
              <w:szCs w:val="22"/>
              <w:lang w:eastAsia="en-AU"/>
            </w:rPr>
          </w:pPr>
          <w:r w:rsidRPr="00A17B9D">
            <w:rPr>
              <w:noProof/>
            </w:rPr>
            <w:t>4.1.7</w:t>
          </w:r>
          <w:r>
            <w:rPr>
              <w:rFonts w:eastAsiaTheme="minorEastAsia" w:cstheme="minorBidi"/>
              <w:noProof/>
              <w:sz w:val="22"/>
              <w:szCs w:val="22"/>
              <w:lang w:eastAsia="en-AU"/>
            </w:rPr>
            <w:tab/>
          </w:r>
          <w:r w:rsidRPr="00A17B9D">
            <w:rPr>
              <w:noProof/>
            </w:rPr>
            <w:t>Consumer Views</w:t>
          </w:r>
          <w:r>
            <w:rPr>
              <w:noProof/>
              <w:webHidden/>
            </w:rPr>
            <w:tab/>
          </w:r>
          <w:r w:rsidR="00AA722D">
            <w:rPr>
              <w:noProof/>
              <w:webHidden/>
            </w:rPr>
            <w:t>40</w:t>
          </w:r>
        </w:p>
        <w:p w:rsidR="00322CC4" w:rsidRDefault="00322CC4">
          <w:pPr>
            <w:pStyle w:val="TOC2"/>
            <w:rPr>
              <w:rFonts w:eastAsiaTheme="minorEastAsia" w:cstheme="minorBidi"/>
              <w:noProof/>
              <w:sz w:val="22"/>
              <w:szCs w:val="22"/>
              <w:lang w:eastAsia="en-AU"/>
            </w:rPr>
          </w:pPr>
          <w:r w:rsidRPr="00A17B9D">
            <w:rPr>
              <w:noProof/>
            </w:rPr>
            <w:t>4.2</w:t>
          </w:r>
          <w:r>
            <w:rPr>
              <w:rFonts w:eastAsiaTheme="minorEastAsia" w:cstheme="minorBidi"/>
              <w:noProof/>
              <w:sz w:val="22"/>
              <w:szCs w:val="22"/>
              <w:lang w:eastAsia="en-AU"/>
            </w:rPr>
            <w:tab/>
          </w:r>
          <w:r w:rsidRPr="00A17B9D">
            <w:rPr>
              <w:noProof/>
            </w:rPr>
            <w:t>Introduction</w:t>
          </w:r>
          <w:r>
            <w:rPr>
              <w:noProof/>
              <w:webHidden/>
            </w:rPr>
            <w:tab/>
          </w:r>
          <w:r w:rsidR="00AA722D">
            <w:rPr>
              <w:noProof/>
              <w:webHidden/>
            </w:rPr>
            <w:t>40</w:t>
          </w:r>
        </w:p>
        <w:p w:rsidR="00322CC4" w:rsidRDefault="00322CC4">
          <w:pPr>
            <w:pStyle w:val="TOC2"/>
            <w:rPr>
              <w:rFonts w:eastAsiaTheme="minorEastAsia" w:cstheme="minorBidi"/>
              <w:noProof/>
              <w:sz w:val="22"/>
              <w:szCs w:val="22"/>
              <w:lang w:eastAsia="en-AU"/>
            </w:rPr>
          </w:pPr>
          <w:r w:rsidRPr="00A17B9D">
            <w:rPr>
              <w:noProof/>
            </w:rPr>
            <w:t>4.3</w:t>
          </w:r>
          <w:r>
            <w:rPr>
              <w:rFonts w:eastAsiaTheme="minorEastAsia" w:cstheme="minorBidi"/>
              <w:noProof/>
              <w:sz w:val="22"/>
              <w:szCs w:val="22"/>
              <w:lang w:eastAsia="en-AU"/>
            </w:rPr>
            <w:tab/>
          </w:r>
          <w:r w:rsidRPr="00A17B9D">
            <w:rPr>
              <w:noProof/>
            </w:rPr>
            <w:t>Methodology</w:t>
          </w:r>
          <w:r>
            <w:rPr>
              <w:noProof/>
              <w:webHidden/>
            </w:rPr>
            <w:tab/>
          </w:r>
          <w:r w:rsidR="00AA722D">
            <w:rPr>
              <w:noProof/>
              <w:webHidden/>
            </w:rPr>
            <w:t>41</w:t>
          </w:r>
        </w:p>
        <w:p w:rsidR="00322CC4" w:rsidRDefault="00322CC4">
          <w:pPr>
            <w:pStyle w:val="TOC3"/>
            <w:tabs>
              <w:tab w:val="left" w:pos="1840"/>
            </w:tabs>
            <w:rPr>
              <w:rFonts w:eastAsiaTheme="minorEastAsia" w:cstheme="minorBidi"/>
              <w:noProof/>
              <w:sz w:val="22"/>
              <w:szCs w:val="22"/>
              <w:lang w:eastAsia="en-AU"/>
            </w:rPr>
          </w:pPr>
          <w:r w:rsidRPr="00A17B9D">
            <w:rPr>
              <w:noProof/>
            </w:rPr>
            <w:t>4.3.1</w:t>
          </w:r>
          <w:r>
            <w:rPr>
              <w:rFonts w:eastAsiaTheme="minorEastAsia" w:cstheme="minorBidi"/>
              <w:noProof/>
              <w:sz w:val="22"/>
              <w:szCs w:val="22"/>
              <w:lang w:eastAsia="en-AU"/>
            </w:rPr>
            <w:tab/>
          </w:r>
          <w:r w:rsidRPr="00A17B9D">
            <w:rPr>
              <w:noProof/>
            </w:rPr>
            <w:t>Identification of relevant studies</w:t>
          </w:r>
          <w:r>
            <w:rPr>
              <w:noProof/>
              <w:webHidden/>
            </w:rPr>
            <w:tab/>
          </w:r>
          <w:r w:rsidR="00AA722D">
            <w:rPr>
              <w:noProof/>
              <w:webHidden/>
            </w:rPr>
            <w:t>41</w:t>
          </w:r>
        </w:p>
        <w:p w:rsidR="00322CC4" w:rsidRDefault="00322CC4">
          <w:pPr>
            <w:pStyle w:val="TOC3"/>
            <w:tabs>
              <w:tab w:val="left" w:pos="1840"/>
            </w:tabs>
            <w:rPr>
              <w:rFonts w:eastAsiaTheme="minorEastAsia" w:cstheme="minorBidi"/>
              <w:noProof/>
              <w:sz w:val="22"/>
              <w:szCs w:val="22"/>
              <w:lang w:eastAsia="en-AU"/>
            </w:rPr>
          </w:pPr>
          <w:r w:rsidRPr="00A17B9D">
            <w:rPr>
              <w:noProof/>
            </w:rPr>
            <w:t>4.3.2</w:t>
          </w:r>
          <w:r>
            <w:rPr>
              <w:rFonts w:eastAsiaTheme="minorEastAsia" w:cstheme="minorBidi"/>
              <w:noProof/>
              <w:sz w:val="22"/>
              <w:szCs w:val="22"/>
              <w:lang w:eastAsia="en-AU"/>
            </w:rPr>
            <w:tab/>
          </w:r>
          <w:r w:rsidRPr="00A17B9D">
            <w:rPr>
              <w:noProof/>
            </w:rPr>
            <w:t>Search results and selection of evidence</w:t>
          </w:r>
          <w:r>
            <w:rPr>
              <w:noProof/>
              <w:webHidden/>
            </w:rPr>
            <w:tab/>
          </w:r>
          <w:r w:rsidR="00AA722D">
            <w:rPr>
              <w:noProof/>
              <w:webHidden/>
            </w:rPr>
            <w:t>47</w:t>
          </w:r>
        </w:p>
        <w:p w:rsidR="00322CC4" w:rsidRDefault="00322CC4">
          <w:pPr>
            <w:pStyle w:val="TOC3"/>
            <w:tabs>
              <w:tab w:val="left" w:pos="1840"/>
            </w:tabs>
            <w:rPr>
              <w:rFonts w:eastAsiaTheme="minorEastAsia" w:cstheme="minorBidi"/>
              <w:noProof/>
              <w:sz w:val="22"/>
              <w:szCs w:val="22"/>
              <w:lang w:eastAsia="en-AU"/>
            </w:rPr>
          </w:pPr>
          <w:r w:rsidRPr="00A17B9D">
            <w:rPr>
              <w:noProof/>
            </w:rPr>
            <w:t>4.3.3</w:t>
          </w:r>
          <w:r>
            <w:rPr>
              <w:rFonts w:eastAsiaTheme="minorEastAsia" w:cstheme="minorBidi"/>
              <w:noProof/>
              <w:sz w:val="22"/>
              <w:szCs w:val="22"/>
              <w:lang w:eastAsia="en-AU"/>
            </w:rPr>
            <w:tab/>
          </w:r>
          <w:r w:rsidRPr="00A17B9D">
            <w:rPr>
              <w:noProof/>
            </w:rPr>
            <w:t>Critical appraisal</w:t>
          </w:r>
          <w:r>
            <w:rPr>
              <w:noProof/>
              <w:webHidden/>
            </w:rPr>
            <w:tab/>
          </w:r>
          <w:r w:rsidR="00AA722D">
            <w:rPr>
              <w:noProof/>
              <w:webHidden/>
            </w:rPr>
            <w:t>49</w:t>
          </w:r>
        </w:p>
        <w:p w:rsidR="00322CC4" w:rsidRDefault="00322CC4">
          <w:pPr>
            <w:pStyle w:val="TOC3"/>
            <w:tabs>
              <w:tab w:val="left" w:pos="1840"/>
            </w:tabs>
            <w:rPr>
              <w:rFonts w:eastAsiaTheme="minorEastAsia" w:cstheme="minorBidi"/>
              <w:noProof/>
              <w:sz w:val="22"/>
              <w:szCs w:val="22"/>
              <w:lang w:eastAsia="en-AU"/>
            </w:rPr>
          </w:pPr>
          <w:r w:rsidRPr="00A17B9D">
            <w:rPr>
              <w:noProof/>
            </w:rPr>
            <w:t>4.3.4</w:t>
          </w:r>
          <w:r>
            <w:rPr>
              <w:rFonts w:eastAsiaTheme="minorEastAsia" w:cstheme="minorBidi"/>
              <w:noProof/>
              <w:sz w:val="22"/>
              <w:szCs w:val="22"/>
              <w:lang w:eastAsia="en-AU"/>
            </w:rPr>
            <w:tab/>
          </w:r>
          <w:r w:rsidRPr="00A17B9D">
            <w:rPr>
              <w:noProof/>
            </w:rPr>
            <w:t>Clinical evidence included in the systematic review</w:t>
          </w:r>
          <w:r>
            <w:rPr>
              <w:noProof/>
              <w:webHidden/>
            </w:rPr>
            <w:tab/>
          </w:r>
          <w:r w:rsidR="00AA722D">
            <w:rPr>
              <w:noProof/>
              <w:webHidden/>
            </w:rPr>
            <w:t>50</w:t>
          </w:r>
        </w:p>
        <w:p w:rsidR="00322CC4" w:rsidRDefault="00322CC4">
          <w:pPr>
            <w:pStyle w:val="TOC3"/>
            <w:tabs>
              <w:tab w:val="left" w:pos="1840"/>
            </w:tabs>
            <w:rPr>
              <w:rFonts w:eastAsiaTheme="minorEastAsia" w:cstheme="minorBidi"/>
              <w:noProof/>
              <w:sz w:val="22"/>
              <w:szCs w:val="22"/>
              <w:lang w:eastAsia="en-AU"/>
            </w:rPr>
          </w:pPr>
          <w:r w:rsidRPr="00A17B9D">
            <w:rPr>
              <w:noProof/>
            </w:rPr>
            <w:t>4.3.5</w:t>
          </w:r>
          <w:r>
            <w:rPr>
              <w:rFonts w:eastAsiaTheme="minorEastAsia" w:cstheme="minorBidi"/>
              <w:noProof/>
              <w:sz w:val="22"/>
              <w:szCs w:val="22"/>
              <w:lang w:eastAsia="en-AU"/>
            </w:rPr>
            <w:tab/>
          </w:r>
          <w:r w:rsidRPr="00A17B9D">
            <w:rPr>
              <w:noProof/>
            </w:rPr>
            <w:t>Outcome measures</w:t>
          </w:r>
          <w:r>
            <w:rPr>
              <w:noProof/>
              <w:webHidden/>
            </w:rPr>
            <w:tab/>
          </w:r>
          <w:r w:rsidR="00AA722D">
            <w:rPr>
              <w:noProof/>
              <w:webHidden/>
            </w:rPr>
            <w:t>59</w:t>
          </w:r>
        </w:p>
        <w:p w:rsidR="00322CC4" w:rsidRDefault="00322CC4">
          <w:pPr>
            <w:pStyle w:val="TOC3"/>
            <w:tabs>
              <w:tab w:val="left" w:pos="1840"/>
            </w:tabs>
            <w:rPr>
              <w:rFonts w:eastAsiaTheme="minorEastAsia" w:cstheme="minorBidi"/>
              <w:noProof/>
              <w:sz w:val="22"/>
              <w:szCs w:val="22"/>
              <w:lang w:eastAsia="en-AU"/>
            </w:rPr>
          </w:pPr>
          <w:r w:rsidRPr="00A17B9D">
            <w:rPr>
              <w:noProof/>
            </w:rPr>
            <w:t>4.3.6</w:t>
          </w:r>
          <w:r>
            <w:rPr>
              <w:rFonts w:eastAsiaTheme="minorEastAsia" w:cstheme="minorBidi"/>
              <w:noProof/>
              <w:sz w:val="22"/>
              <w:szCs w:val="22"/>
              <w:lang w:eastAsia="en-AU"/>
            </w:rPr>
            <w:tab/>
          </w:r>
          <w:r w:rsidRPr="00A17B9D">
            <w:rPr>
              <w:noProof/>
            </w:rPr>
            <w:t>Synthesis of evidence</w:t>
          </w:r>
          <w:r>
            <w:rPr>
              <w:noProof/>
              <w:webHidden/>
            </w:rPr>
            <w:tab/>
          </w:r>
          <w:r w:rsidR="00AA722D">
            <w:rPr>
              <w:noProof/>
              <w:webHidden/>
            </w:rPr>
            <w:t>61</w:t>
          </w:r>
        </w:p>
        <w:p w:rsidR="00322CC4" w:rsidRDefault="00322CC4">
          <w:pPr>
            <w:pStyle w:val="TOC2"/>
            <w:rPr>
              <w:rFonts w:eastAsiaTheme="minorEastAsia" w:cstheme="minorBidi"/>
              <w:noProof/>
              <w:sz w:val="22"/>
              <w:szCs w:val="22"/>
              <w:lang w:eastAsia="en-AU"/>
            </w:rPr>
          </w:pPr>
          <w:r w:rsidRPr="00A17B9D">
            <w:rPr>
              <w:noProof/>
            </w:rPr>
            <w:t>4.4</w:t>
          </w:r>
          <w:r>
            <w:rPr>
              <w:rFonts w:eastAsiaTheme="minorEastAsia" w:cstheme="minorBidi"/>
              <w:noProof/>
              <w:sz w:val="22"/>
              <w:szCs w:val="22"/>
              <w:lang w:eastAsia="en-AU"/>
            </w:rPr>
            <w:tab/>
          </w:r>
          <w:r w:rsidRPr="00A17B9D">
            <w:rPr>
              <w:noProof/>
            </w:rPr>
            <w:t>Results of the literature review</w:t>
          </w:r>
          <w:r>
            <w:rPr>
              <w:noProof/>
              <w:webHidden/>
            </w:rPr>
            <w:tab/>
          </w:r>
          <w:r w:rsidR="00AA722D">
            <w:rPr>
              <w:noProof/>
              <w:webHidden/>
            </w:rPr>
            <w:t>63</w:t>
          </w:r>
        </w:p>
        <w:p w:rsidR="00322CC4" w:rsidRDefault="00322CC4">
          <w:pPr>
            <w:pStyle w:val="TOC3"/>
            <w:tabs>
              <w:tab w:val="left" w:pos="1840"/>
            </w:tabs>
            <w:rPr>
              <w:rFonts w:eastAsiaTheme="minorEastAsia" w:cstheme="minorBidi"/>
              <w:noProof/>
              <w:sz w:val="22"/>
              <w:szCs w:val="22"/>
              <w:lang w:eastAsia="en-AU"/>
            </w:rPr>
          </w:pPr>
          <w:r w:rsidRPr="00A17B9D">
            <w:rPr>
              <w:noProof/>
            </w:rPr>
            <w:t>4.4.1</w:t>
          </w:r>
          <w:r>
            <w:rPr>
              <w:rFonts w:eastAsiaTheme="minorEastAsia" w:cstheme="minorBidi"/>
              <w:noProof/>
              <w:sz w:val="22"/>
              <w:szCs w:val="22"/>
              <w:lang w:eastAsia="en-AU"/>
            </w:rPr>
            <w:tab/>
          </w:r>
          <w:r w:rsidRPr="00A17B9D">
            <w:rPr>
              <w:noProof/>
            </w:rPr>
            <w:t>Research question 1</w:t>
          </w:r>
          <w:r>
            <w:rPr>
              <w:noProof/>
              <w:webHidden/>
            </w:rPr>
            <w:tab/>
          </w:r>
          <w:r w:rsidR="00AA722D">
            <w:rPr>
              <w:noProof/>
              <w:webHidden/>
            </w:rPr>
            <w:t>63</w:t>
          </w:r>
        </w:p>
        <w:p w:rsidR="00322CC4" w:rsidRDefault="00322CC4">
          <w:pPr>
            <w:pStyle w:val="TOC3"/>
            <w:tabs>
              <w:tab w:val="left" w:pos="1840"/>
            </w:tabs>
            <w:rPr>
              <w:rFonts w:eastAsiaTheme="minorEastAsia" w:cstheme="minorBidi"/>
              <w:noProof/>
              <w:sz w:val="22"/>
              <w:szCs w:val="22"/>
              <w:lang w:eastAsia="en-AU"/>
            </w:rPr>
          </w:pPr>
          <w:r w:rsidRPr="00A17B9D">
            <w:rPr>
              <w:noProof/>
            </w:rPr>
            <w:t>4.4.2</w:t>
          </w:r>
          <w:r>
            <w:rPr>
              <w:rFonts w:eastAsiaTheme="minorEastAsia" w:cstheme="minorBidi"/>
              <w:noProof/>
              <w:sz w:val="22"/>
              <w:szCs w:val="22"/>
              <w:lang w:eastAsia="en-AU"/>
            </w:rPr>
            <w:tab/>
          </w:r>
          <w:r w:rsidRPr="00A17B9D">
            <w:rPr>
              <w:noProof/>
            </w:rPr>
            <w:t>Research question 2</w:t>
          </w:r>
          <w:r>
            <w:rPr>
              <w:noProof/>
              <w:webHidden/>
            </w:rPr>
            <w:tab/>
          </w:r>
          <w:r w:rsidR="00AA722D">
            <w:rPr>
              <w:noProof/>
              <w:webHidden/>
            </w:rPr>
            <w:t>76</w:t>
          </w:r>
        </w:p>
        <w:p w:rsidR="00322CC4" w:rsidRDefault="00322CC4">
          <w:pPr>
            <w:pStyle w:val="TOC3"/>
            <w:tabs>
              <w:tab w:val="left" w:pos="1840"/>
            </w:tabs>
            <w:rPr>
              <w:rFonts w:eastAsiaTheme="minorEastAsia" w:cstheme="minorBidi"/>
              <w:noProof/>
              <w:sz w:val="22"/>
              <w:szCs w:val="22"/>
              <w:lang w:eastAsia="en-AU"/>
            </w:rPr>
          </w:pPr>
          <w:r w:rsidRPr="00A17B9D">
            <w:rPr>
              <w:noProof/>
            </w:rPr>
            <w:t>4.4.3</w:t>
          </w:r>
          <w:r>
            <w:rPr>
              <w:rFonts w:eastAsiaTheme="minorEastAsia" w:cstheme="minorBidi"/>
              <w:noProof/>
              <w:sz w:val="22"/>
              <w:szCs w:val="22"/>
              <w:lang w:eastAsia="en-AU"/>
            </w:rPr>
            <w:tab/>
          </w:r>
          <w:r w:rsidRPr="00A17B9D">
            <w:rPr>
              <w:noProof/>
            </w:rPr>
            <w:t>Research question 3</w:t>
          </w:r>
          <w:r>
            <w:rPr>
              <w:noProof/>
              <w:webHidden/>
            </w:rPr>
            <w:tab/>
          </w:r>
          <w:r w:rsidR="00AA722D">
            <w:rPr>
              <w:noProof/>
              <w:webHidden/>
            </w:rPr>
            <w:t>76</w:t>
          </w:r>
        </w:p>
        <w:p w:rsidR="00322CC4" w:rsidRDefault="00322CC4">
          <w:pPr>
            <w:pStyle w:val="TOC3"/>
            <w:tabs>
              <w:tab w:val="left" w:pos="1840"/>
            </w:tabs>
            <w:rPr>
              <w:rFonts w:eastAsiaTheme="minorEastAsia" w:cstheme="minorBidi"/>
              <w:noProof/>
              <w:sz w:val="22"/>
              <w:szCs w:val="22"/>
              <w:lang w:eastAsia="en-AU"/>
            </w:rPr>
          </w:pPr>
          <w:r w:rsidRPr="00A17B9D">
            <w:rPr>
              <w:noProof/>
            </w:rPr>
            <w:t>4.4.4</w:t>
          </w:r>
          <w:r>
            <w:rPr>
              <w:rFonts w:eastAsiaTheme="minorEastAsia" w:cstheme="minorBidi"/>
              <w:noProof/>
              <w:sz w:val="22"/>
              <w:szCs w:val="22"/>
              <w:lang w:eastAsia="en-AU"/>
            </w:rPr>
            <w:tab/>
          </w:r>
          <w:r w:rsidRPr="00A17B9D">
            <w:rPr>
              <w:noProof/>
            </w:rPr>
            <w:t>Research question 4</w:t>
          </w:r>
          <w:r>
            <w:rPr>
              <w:noProof/>
              <w:webHidden/>
            </w:rPr>
            <w:tab/>
          </w:r>
          <w:r w:rsidR="00AA722D">
            <w:rPr>
              <w:noProof/>
              <w:webHidden/>
            </w:rPr>
            <w:t>131</w:t>
          </w:r>
        </w:p>
        <w:p w:rsidR="00322CC4" w:rsidRDefault="00322CC4">
          <w:pPr>
            <w:pStyle w:val="TOC3"/>
            <w:tabs>
              <w:tab w:val="left" w:pos="1840"/>
            </w:tabs>
            <w:rPr>
              <w:rFonts w:eastAsiaTheme="minorEastAsia" w:cstheme="minorBidi"/>
              <w:noProof/>
              <w:sz w:val="22"/>
              <w:szCs w:val="22"/>
              <w:lang w:eastAsia="en-AU"/>
            </w:rPr>
          </w:pPr>
          <w:r w:rsidRPr="00A17B9D">
            <w:rPr>
              <w:noProof/>
            </w:rPr>
            <w:t>4.4.5</w:t>
          </w:r>
          <w:r>
            <w:rPr>
              <w:rFonts w:eastAsiaTheme="minorEastAsia" w:cstheme="minorBidi"/>
              <w:noProof/>
              <w:sz w:val="22"/>
              <w:szCs w:val="22"/>
              <w:lang w:eastAsia="en-AU"/>
            </w:rPr>
            <w:tab/>
          </w:r>
          <w:r w:rsidRPr="00A17B9D">
            <w:rPr>
              <w:noProof/>
            </w:rPr>
            <w:t>Extended assessment of safety of PAH medicines</w:t>
          </w:r>
          <w:r>
            <w:rPr>
              <w:noProof/>
              <w:webHidden/>
            </w:rPr>
            <w:tab/>
          </w:r>
          <w:r w:rsidR="00AA722D">
            <w:rPr>
              <w:noProof/>
              <w:webHidden/>
            </w:rPr>
            <w:t>131</w:t>
          </w:r>
        </w:p>
        <w:p w:rsidR="00322CC4" w:rsidRDefault="00322CC4">
          <w:pPr>
            <w:pStyle w:val="TOC2"/>
            <w:rPr>
              <w:rFonts w:eastAsiaTheme="minorEastAsia" w:cstheme="minorBidi"/>
              <w:noProof/>
              <w:sz w:val="22"/>
              <w:szCs w:val="22"/>
              <w:lang w:eastAsia="en-AU"/>
            </w:rPr>
          </w:pPr>
          <w:r w:rsidRPr="00A17B9D">
            <w:rPr>
              <w:noProof/>
            </w:rPr>
            <w:t>4.5</w:t>
          </w:r>
          <w:r>
            <w:rPr>
              <w:rFonts w:eastAsiaTheme="minorEastAsia" w:cstheme="minorBidi"/>
              <w:noProof/>
              <w:sz w:val="22"/>
              <w:szCs w:val="22"/>
              <w:lang w:eastAsia="en-AU"/>
            </w:rPr>
            <w:tab/>
          </w:r>
          <w:r w:rsidRPr="00A17B9D">
            <w:rPr>
              <w:noProof/>
            </w:rPr>
            <w:t>Conclusions</w:t>
          </w:r>
          <w:r>
            <w:rPr>
              <w:noProof/>
              <w:webHidden/>
            </w:rPr>
            <w:tab/>
          </w:r>
          <w:r w:rsidR="00AA722D">
            <w:rPr>
              <w:noProof/>
              <w:webHidden/>
            </w:rPr>
            <w:t>148</w:t>
          </w:r>
        </w:p>
        <w:p w:rsidR="00322CC4" w:rsidRDefault="00322CC4">
          <w:pPr>
            <w:pStyle w:val="TOC3"/>
            <w:tabs>
              <w:tab w:val="left" w:pos="1840"/>
            </w:tabs>
            <w:rPr>
              <w:rFonts w:eastAsiaTheme="minorEastAsia" w:cstheme="minorBidi"/>
              <w:noProof/>
              <w:sz w:val="22"/>
              <w:szCs w:val="22"/>
              <w:lang w:eastAsia="en-AU"/>
            </w:rPr>
          </w:pPr>
          <w:r w:rsidRPr="00A17B9D">
            <w:rPr>
              <w:noProof/>
            </w:rPr>
            <w:t>4.5.1</w:t>
          </w:r>
          <w:r>
            <w:rPr>
              <w:rFonts w:eastAsiaTheme="minorEastAsia" w:cstheme="minorBidi"/>
              <w:noProof/>
              <w:sz w:val="22"/>
              <w:szCs w:val="22"/>
              <w:lang w:eastAsia="en-AU"/>
            </w:rPr>
            <w:tab/>
          </w:r>
          <w:r w:rsidRPr="00A17B9D">
            <w:rPr>
              <w:noProof/>
            </w:rPr>
            <w:t>Effectiveness and safety of monotherapy in WHO FC I or II PAH</w:t>
          </w:r>
          <w:r>
            <w:rPr>
              <w:noProof/>
              <w:webHidden/>
            </w:rPr>
            <w:tab/>
          </w:r>
          <w:r w:rsidR="00AA722D">
            <w:rPr>
              <w:noProof/>
              <w:webHidden/>
            </w:rPr>
            <w:t>148</w:t>
          </w:r>
        </w:p>
        <w:p w:rsidR="00322CC4" w:rsidRDefault="00322CC4">
          <w:pPr>
            <w:pStyle w:val="TOC3"/>
            <w:tabs>
              <w:tab w:val="left" w:pos="1840"/>
            </w:tabs>
            <w:rPr>
              <w:rFonts w:eastAsiaTheme="minorEastAsia" w:cstheme="minorBidi"/>
              <w:noProof/>
              <w:sz w:val="22"/>
              <w:szCs w:val="22"/>
              <w:lang w:eastAsia="en-AU"/>
            </w:rPr>
          </w:pPr>
          <w:r w:rsidRPr="00A17B9D">
            <w:rPr>
              <w:noProof/>
            </w:rPr>
            <w:t>4.5.2</w:t>
          </w:r>
          <w:r>
            <w:rPr>
              <w:rFonts w:eastAsiaTheme="minorEastAsia" w:cstheme="minorBidi"/>
              <w:noProof/>
              <w:sz w:val="22"/>
              <w:szCs w:val="22"/>
              <w:lang w:eastAsia="en-AU"/>
            </w:rPr>
            <w:tab/>
          </w:r>
          <w:r w:rsidRPr="00A17B9D">
            <w:rPr>
              <w:noProof/>
            </w:rPr>
            <w:t>New evidence of effectiveness and safety of monotherapy in WHO FC III and IV</w:t>
          </w:r>
          <w:r>
            <w:rPr>
              <w:noProof/>
              <w:webHidden/>
            </w:rPr>
            <w:tab/>
          </w:r>
          <w:r w:rsidR="00AA722D">
            <w:rPr>
              <w:noProof/>
              <w:webHidden/>
            </w:rPr>
            <w:t>153</w:t>
          </w:r>
        </w:p>
        <w:p w:rsidR="00322CC4" w:rsidRDefault="00322CC4">
          <w:pPr>
            <w:pStyle w:val="TOC3"/>
            <w:tabs>
              <w:tab w:val="left" w:pos="1840"/>
            </w:tabs>
            <w:rPr>
              <w:rFonts w:eastAsiaTheme="minorEastAsia" w:cstheme="minorBidi"/>
              <w:noProof/>
              <w:sz w:val="22"/>
              <w:szCs w:val="22"/>
              <w:lang w:eastAsia="en-AU"/>
            </w:rPr>
          </w:pPr>
          <w:r w:rsidRPr="00A17B9D">
            <w:rPr>
              <w:noProof/>
            </w:rPr>
            <w:t>4.5.3</w:t>
          </w:r>
          <w:r>
            <w:rPr>
              <w:rFonts w:eastAsiaTheme="minorEastAsia" w:cstheme="minorBidi"/>
              <w:noProof/>
              <w:sz w:val="22"/>
              <w:szCs w:val="22"/>
              <w:lang w:eastAsia="en-AU"/>
            </w:rPr>
            <w:tab/>
          </w:r>
          <w:r w:rsidRPr="00A17B9D">
            <w:rPr>
              <w:noProof/>
            </w:rPr>
            <w:t>Effectiveness and safety of dual combination therapy</w:t>
          </w:r>
          <w:r>
            <w:rPr>
              <w:noProof/>
              <w:webHidden/>
            </w:rPr>
            <w:tab/>
          </w:r>
          <w:r w:rsidR="00AA722D">
            <w:rPr>
              <w:noProof/>
              <w:webHidden/>
            </w:rPr>
            <w:t>153</w:t>
          </w:r>
        </w:p>
        <w:p w:rsidR="00322CC4" w:rsidRDefault="00322CC4">
          <w:pPr>
            <w:pStyle w:val="TOC3"/>
            <w:tabs>
              <w:tab w:val="left" w:pos="1840"/>
            </w:tabs>
            <w:rPr>
              <w:rFonts w:eastAsiaTheme="minorEastAsia" w:cstheme="minorBidi"/>
              <w:noProof/>
              <w:sz w:val="22"/>
              <w:szCs w:val="22"/>
              <w:lang w:eastAsia="en-AU"/>
            </w:rPr>
          </w:pPr>
          <w:r w:rsidRPr="00A17B9D">
            <w:rPr>
              <w:noProof/>
            </w:rPr>
            <w:t>4.5.4</w:t>
          </w:r>
          <w:r>
            <w:rPr>
              <w:rFonts w:eastAsiaTheme="minorEastAsia" w:cstheme="minorBidi"/>
              <w:noProof/>
              <w:sz w:val="22"/>
              <w:szCs w:val="22"/>
              <w:lang w:eastAsia="en-AU"/>
            </w:rPr>
            <w:tab/>
          </w:r>
          <w:r w:rsidRPr="00A17B9D">
            <w:rPr>
              <w:noProof/>
            </w:rPr>
            <w:t>Effectiveness and safety of triple combination therapy</w:t>
          </w:r>
          <w:r>
            <w:rPr>
              <w:noProof/>
              <w:webHidden/>
            </w:rPr>
            <w:tab/>
          </w:r>
          <w:r w:rsidR="00AA722D">
            <w:rPr>
              <w:noProof/>
              <w:webHidden/>
            </w:rPr>
            <w:t>184</w:t>
          </w:r>
        </w:p>
        <w:p w:rsidR="00322CC4" w:rsidRDefault="00322CC4">
          <w:pPr>
            <w:pStyle w:val="TOC3"/>
            <w:tabs>
              <w:tab w:val="left" w:pos="1840"/>
            </w:tabs>
            <w:rPr>
              <w:rFonts w:eastAsiaTheme="minorEastAsia" w:cstheme="minorBidi"/>
              <w:noProof/>
              <w:sz w:val="22"/>
              <w:szCs w:val="22"/>
              <w:lang w:eastAsia="en-AU"/>
            </w:rPr>
          </w:pPr>
          <w:r w:rsidRPr="00A17B9D">
            <w:rPr>
              <w:noProof/>
            </w:rPr>
            <w:t>4.5.5</w:t>
          </w:r>
          <w:r>
            <w:rPr>
              <w:rFonts w:eastAsiaTheme="minorEastAsia" w:cstheme="minorBidi"/>
              <w:noProof/>
              <w:sz w:val="22"/>
              <w:szCs w:val="22"/>
              <w:lang w:eastAsia="en-AU"/>
            </w:rPr>
            <w:tab/>
          </w:r>
          <w:r w:rsidRPr="00A17B9D">
            <w:rPr>
              <w:noProof/>
            </w:rPr>
            <w:t>Extended assessment of safety</w:t>
          </w:r>
          <w:r>
            <w:rPr>
              <w:noProof/>
              <w:webHidden/>
            </w:rPr>
            <w:tab/>
          </w:r>
          <w:r w:rsidR="00AA722D">
            <w:rPr>
              <w:noProof/>
              <w:webHidden/>
            </w:rPr>
            <w:t>184</w:t>
          </w:r>
        </w:p>
        <w:p w:rsidR="00322CC4" w:rsidRDefault="00322CC4">
          <w:pPr>
            <w:pStyle w:val="TOC2"/>
            <w:rPr>
              <w:rFonts w:eastAsiaTheme="minorEastAsia" w:cstheme="minorBidi"/>
              <w:noProof/>
              <w:sz w:val="22"/>
              <w:szCs w:val="22"/>
              <w:lang w:eastAsia="en-AU"/>
            </w:rPr>
          </w:pPr>
          <w:r w:rsidRPr="00A17B9D">
            <w:rPr>
              <w:noProof/>
            </w:rPr>
            <w:t>References</w:t>
          </w:r>
          <w:r>
            <w:rPr>
              <w:noProof/>
              <w:webHidden/>
            </w:rPr>
            <w:tab/>
          </w:r>
          <w:r w:rsidR="00AA722D">
            <w:rPr>
              <w:noProof/>
              <w:webHidden/>
            </w:rPr>
            <w:t>186</w:t>
          </w:r>
        </w:p>
        <w:p w:rsidR="00322CC4" w:rsidRDefault="00322CC4">
          <w:pPr>
            <w:pStyle w:val="TOC2"/>
            <w:tabs>
              <w:tab w:val="left" w:pos="2084"/>
            </w:tabs>
            <w:rPr>
              <w:rFonts w:eastAsiaTheme="minorEastAsia" w:cstheme="minorBidi"/>
              <w:noProof/>
              <w:sz w:val="22"/>
              <w:szCs w:val="22"/>
              <w:lang w:eastAsia="en-AU"/>
            </w:rPr>
          </w:pPr>
          <w:r w:rsidRPr="00A17B9D">
            <w:rPr>
              <w:noProof/>
            </w:rPr>
            <w:t>Appendix 4.A</w:t>
          </w:r>
          <w:r>
            <w:rPr>
              <w:rFonts w:eastAsiaTheme="minorEastAsia" w:cstheme="minorBidi"/>
              <w:noProof/>
              <w:sz w:val="22"/>
              <w:szCs w:val="22"/>
              <w:lang w:eastAsia="en-AU"/>
            </w:rPr>
            <w:tab/>
          </w:r>
          <w:r w:rsidRPr="00A17B9D">
            <w:rPr>
              <w:noProof/>
            </w:rPr>
            <w:t>Studies included in the literature review</w:t>
          </w:r>
          <w:r>
            <w:rPr>
              <w:noProof/>
              <w:webHidden/>
            </w:rPr>
            <w:tab/>
          </w:r>
          <w:r w:rsidR="00AA722D">
            <w:rPr>
              <w:noProof/>
              <w:webHidden/>
            </w:rPr>
            <w:t>192</w:t>
          </w:r>
        </w:p>
        <w:p w:rsidR="00322CC4" w:rsidRDefault="00322CC4">
          <w:pPr>
            <w:pStyle w:val="TOC2"/>
            <w:tabs>
              <w:tab w:val="left" w:pos="2076"/>
            </w:tabs>
            <w:rPr>
              <w:rFonts w:eastAsiaTheme="minorEastAsia" w:cstheme="minorBidi"/>
              <w:noProof/>
              <w:sz w:val="22"/>
              <w:szCs w:val="22"/>
              <w:lang w:eastAsia="en-AU"/>
            </w:rPr>
          </w:pPr>
          <w:r w:rsidRPr="00A17B9D">
            <w:rPr>
              <w:noProof/>
            </w:rPr>
            <w:t>Appendix 4.B</w:t>
          </w:r>
          <w:r>
            <w:rPr>
              <w:rFonts w:eastAsiaTheme="minorEastAsia" w:cstheme="minorBidi"/>
              <w:noProof/>
              <w:sz w:val="22"/>
              <w:szCs w:val="22"/>
              <w:lang w:eastAsia="en-AU"/>
            </w:rPr>
            <w:tab/>
          </w:r>
          <w:r w:rsidRPr="00A17B9D">
            <w:rPr>
              <w:noProof/>
            </w:rPr>
            <w:t>Excluded studies</w:t>
          </w:r>
          <w:r>
            <w:rPr>
              <w:noProof/>
              <w:webHidden/>
            </w:rPr>
            <w:tab/>
          </w:r>
          <w:r w:rsidR="00AA722D">
            <w:rPr>
              <w:noProof/>
              <w:webHidden/>
            </w:rPr>
            <w:t>223</w:t>
          </w:r>
        </w:p>
        <w:p w:rsidR="00322CC4" w:rsidRDefault="00322CC4">
          <w:pPr>
            <w:pStyle w:val="TOC2"/>
            <w:tabs>
              <w:tab w:val="left" w:pos="2073"/>
            </w:tabs>
            <w:rPr>
              <w:rFonts w:eastAsiaTheme="minorEastAsia" w:cstheme="minorBidi"/>
              <w:noProof/>
              <w:sz w:val="22"/>
              <w:szCs w:val="22"/>
              <w:lang w:eastAsia="en-AU"/>
            </w:rPr>
          </w:pPr>
          <w:r w:rsidRPr="00A17B9D">
            <w:rPr>
              <w:noProof/>
            </w:rPr>
            <w:t>Appendix 4.C</w:t>
          </w:r>
          <w:r>
            <w:rPr>
              <w:rFonts w:eastAsiaTheme="minorEastAsia" w:cstheme="minorBidi"/>
              <w:noProof/>
              <w:sz w:val="22"/>
              <w:szCs w:val="22"/>
              <w:lang w:eastAsia="en-AU"/>
            </w:rPr>
            <w:tab/>
          </w:r>
          <w:r w:rsidRPr="00A17B9D">
            <w:rPr>
              <w:noProof/>
            </w:rPr>
            <w:t>Evidence Profile Tables</w:t>
          </w:r>
          <w:r>
            <w:rPr>
              <w:noProof/>
              <w:webHidden/>
            </w:rPr>
            <w:tab/>
          </w:r>
          <w:r w:rsidR="00AA722D">
            <w:rPr>
              <w:noProof/>
              <w:webHidden/>
            </w:rPr>
            <w:t>234</w:t>
          </w:r>
        </w:p>
        <w:p w:rsidR="00322CC4" w:rsidRDefault="00322CC4">
          <w:pPr>
            <w:pStyle w:val="TOC3"/>
            <w:rPr>
              <w:rFonts w:eastAsiaTheme="minorEastAsia" w:cstheme="minorBidi"/>
              <w:noProof/>
              <w:sz w:val="22"/>
              <w:szCs w:val="22"/>
              <w:lang w:eastAsia="en-AU"/>
            </w:rPr>
          </w:pPr>
          <w:r w:rsidRPr="00A17B9D">
            <w:rPr>
              <w:noProof/>
            </w:rPr>
            <w:t>Question 1</w:t>
          </w:r>
          <w:r>
            <w:rPr>
              <w:noProof/>
              <w:webHidden/>
            </w:rPr>
            <w:tab/>
          </w:r>
          <w:r w:rsidR="00AA722D">
            <w:rPr>
              <w:noProof/>
              <w:webHidden/>
            </w:rPr>
            <w:t>234</w:t>
          </w:r>
        </w:p>
        <w:p w:rsidR="00322CC4" w:rsidRDefault="00322CC4">
          <w:pPr>
            <w:pStyle w:val="TOC3"/>
            <w:rPr>
              <w:rFonts w:eastAsiaTheme="minorEastAsia" w:cstheme="minorBidi"/>
              <w:noProof/>
              <w:sz w:val="22"/>
              <w:szCs w:val="22"/>
              <w:lang w:eastAsia="en-AU"/>
            </w:rPr>
          </w:pPr>
          <w:r w:rsidRPr="00A17B9D">
            <w:rPr>
              <w:noProof/>
            </w:rPr>
            <w:t>Question 3</w:t>
          </w:r>
          <w:r>
            <w:rPr>
              <w:noProof/>
              <w:webHidden/>
            </w:rPr>
            <w:tab/>
          </w:r>
          <w:r w:rsidR="00AA722D">
            <w:rPr>
              <w:noProof/>
              <w:webHidden/>
            </w:rPr>
            <w:t>238</w:t>
          </w:r>
        </w:p>
        <w:p w:rsidR="00B27192" w:rsidRPr="00EB1471" w:rsidRDefault="00B5196D"/>
      </w:sdtContent>
    </w:sdt>
    <w:p w:rsidR="00C7581F" w:rsidRPr="00322CC4" w:rsidRDefault="00C7581F" w:rsidP="00C7581F">
      <w:pPr>
        <w:pStyle w:val="BodyText"/>
        <w:jc w:val="center"/>
        <w:rPr>
          <w:rFonts w:asciiTheme="minorHAnsi" w:hAnsiTheme="minorHAnsi"/>
          <w:b/>
          <w:color w:val="4F81BD"/>
          <w:sz w:val="40"/>
          <w:szCs w:val="40"/>
        </w:rPr>
      </w:pPr>
      <w:r w:rsidRPr="00322CC4">
        <w:rPr>
          <w:rFonts w:asciiTheme="minorHAnsi" w:hAnsiTheme="minorHAnsi"/>
          <w:b/>
          <w:color w:val="4F81BD"/>
          <w:sz w:val="40"/>
          <w:szCs w:val="40"/>
        </w:rPr>
        <w:t>List of Tables</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Summary of the evidence for the clinical effectiveness of an ERA compared with placebo in patients with WHO FC I/II PAH</w:t>
      </w:r>
      <w:r w:rsidRPr="00322CC4">
        <w:rPr>
          <w:rFonts w:asciiTheme="minorHAnsi" w:hAnsiTheme="minorHAnsi"/>
          <w:noProof/>
          <w:webHidden/>
        </w:rPr>
        <w:tab/>
      </w:r>
      <w:r w:rsidR="00AA722D">
        <w:rPr>
          <w:rFonts w:asciiTheme="minorHAnsi" w:hAnsiTheme="minorHAnsi"/>
          <w:noProof/>
          <w:webHidden/>
        </w:rPr>
        <w:t>11</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4.2</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Summary of the evidence for the clinical effectiveness of a PDE-5 inhibitor versus placebo in patients with WHO FC I/II PAH</w:t>
      </w:r>
      <w:r w:rsidRPr="00322CC4">
        <w:rPr>
          <w:rFonts w:asciiTheme="minorHAnsi" w:hAnsiTheme="minorHAnsi"/>
          <w:noProof/>
          <w:webHidden/>
        </w:rPr>
        <w:tab/>
      </w:r>
      <w:r w:rsidR="00AA722D">
        <w:rPr>
          <w:rFonts w:asciiTheme="minorHAnsi" w:hAnsiTheme="minorHAnsi"/>
          <w:noProof/>
          <w:webHidden/>
        </w:rPr>
        <w:t>13</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4.3</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Summary of the evidence for the clinical effectiveness of a sGC stimulator versus placebo in patients with WHO FC I/II PAH</w:t>
      </w:r>
      <w:r w:rsidRPr="00322CC4">
        <w:rPr>
          <w:rFonts w:asciiTheme="minorHAnsi" w:hAnsiTheme="minorHAnsi"/>
          <w:noProof/>
          <w:webHidden/>
        </w:rPr>
        <w:tab/>
      </w:r>
      <w:r w:rsidR="00AA722D">
        <w:rPr>
          <w:rFonts w:asciiTheme="minorHAnsi" w:hAnsiTheme="minorHAnsi"/>
          <w:noProof/>
          <w:webHidden/>
        </w:rPr>
        <w:t>14</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4.4</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Summary of evidence for monotherapy in patients with PAH in WHO FC III or IV</w:t>
      </w:r>
      <w:r w:rsidRPr="00322CC4">
        <w:rPr>
          <w:rFonts w:asciiTheme="minorHAnsi" w:hAnsiTheme="minorHAnsi"/>
          <w:noProof/>
          <w:webHidden/>
        </w:rPr>
        <w:tab/>
      </w:r>
      <w:r w:rsidR="00AA722D">
        <w:rPr>
          <w:rFonts w:asciiTheme="minorHAnsi" w:hAnsiTheme="minorHAnsi"/>
          <w:noProof/>
          <w:webHidden/>
        </w:rPr>
        <w:t>15</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4.5</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Summary of the evidence for the clinical effectiveness of an ERA in addition to a PDE-5 inhibitor, relative to PDE-5 inhibitor monotherapy</w:t>
      </w:r>
      <w:r w:rsidRPr="00322CC4">
        <w:rPr>
          <w:rFonts w:asciiTheme="minorHAnsi" w:hAnsiTheme="minorHAnsi"/>
          <w:noProof/>
          <w:webHidden/>
        </w:rPr>
        <w:tab/>
      </w:r>
      <w:r w:rsidR="00AA722D">
        <w:rPr>
          <w:rFonts w:asciiTheme="minorHAnsi" w:hAnsiTheme="minorHAnsi"/>
          <w:noProof/>
          <w:webHidden/>
        </w:rPr>
        <w:t>19</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4.6</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Summary of the evidence for the safety of an ERA in addition to a PDE-5 inhibitor, relative to PDE-5 inhibitor monotherapy</w:t>
      </w:r>
      <w:r w:rsidRPr="00322CC4">
        <w:rPr>
          <w:rFonts w:asciiTheme="minorHAnsi" w:hAnsiTheme="minorHAnsi"/>
          <w:noProof/>
          <w:webHidden/>
        </w:rPr>
        <w:tab/>
      </w:r>
      <w:r w:rsidR="00AA722D">
        <w:rPr>
          <w:rFonts w:asciiTheme="minorHAnsi" w:hAnsiTheme="minorHAnsi"/>
          <w:noProof/>
          <w:webHidden/>
        </w:rPr>
        <w:t>21</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4.7</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Summary of the evidence for the clinical effectiveness of an ERA in addition to a prostanoid, relative to prostanoid monotherapy</w:t>
      </w:r>
      <w:r w:rsidRPr="00322CC4">
        <w:rPr>
          <w:rFonts w:asciiTheme="minorHAnsi" w:hAnsiTheme="minorHAnsi"/>
          <w:noProof/>
          <w:webHidden/>
        </w:rPr>
        <w:tab/>
      </w:r>
      <w:r w:rsidR="00AA722D">
        <w:rPr>
          <w:rFonts w:asciiTheme="minorHAnsi" w:hAnsiTheme="minorHAnsi"/>
          <w:noProof/>
          <w:webHidden/>
        </w:rPr>
        <w:t>23</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4.8</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Summary of the evidence for the safety of an ERA in addition to a prostanoid, relative to prostanoid monotherapy</w:t>
      </w:r>
      <w:r w:rsidRPr="00322CC4">
        <w:rPr>
          <w:rFonts w:asciiTheme="minorHAnsi" w:hAnsiTheme="minorHAnsi"/>
          <w:noProof/>
          <w:webHidden/>
        </w:rPr>
        <w:tab/>
      </w:r>
      <w:r w:rsidR="00AA722D">
        <w:rPr>
          <w:rFonts w:asciiTheme="minorHAnsi" w:hAnsiTheme="minorHAnsi"/>
          <w:noProof/>
          <w:webHidden/>
        </w:rPr>
        <w:t>24</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4.9</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Summary of the evidence for the clinical effectiveness of a PDE-5 inhibitor in addition to an ERA, relative to ERA monotherapy</w:t>
      </w:r>
      <w:r w:rsidRPr="00322CC4">
        <w:rPr>
          <w:rFonts w:asciiTheme="minorHAnsi" w:hAnsiTheme="minorHAnsi"/>
          <w:noProof/>
          <w:webHidden/>
        </w:rPr>
        <w:tab/>
      </w:r>
      <w:r w:rsidR="00AA722D">
        <w:rPr>
          <w:rFonts w:asciiTheme="minorHAnsi" w:hAnsiTheme="minorHAnsi"/>
          <w:noProof/>
          <w:webHidden/>
        </w:rPr>
        <w:t>25</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4.10</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Summary of the evidence for the safety of a PDE-5 inhibitor in addition to an ERA, relative to ERA monotherapy</w:t>
      </w:r>
      <w:r w:rsidRPr="00322CC4">
        <w:rPr>
          <w:rFonts w:asciiTheme="minorHAnsi" w:hAnsiTheme="minorHAnsi"/>
          <w:noProof/>
          <w:webHidden/>
        </w:rPr>
        <w:tab/>
      </w:r>
      <w:r w:rsidR="00AA722D">
        <w:rPr>
          <w:rFonts w:asciiTheme="minorHAnsi" w:hAnsiTheme="minorHAnsi"/>
          <w:noProof/>
          <w:webHidden/>
        </w:rPr>
        <w:t>27</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4.11</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Summary of the evidence for the clinical effectiveness of a PDE-5 inhibitor in addition to a prostanoid, relative to prostanoid monotherapy</w:t>
      </w:r>
      <w:r w:rsidRPr="00322CC4">
        <w:rPr>
          <w:rFonts w:asciiTheme="minorHAnsi" w:hAnsiTheme="minorHAnsi"/>
          <w:noProof/>
          <w:webHidden/>
        </w:rPr>
        <w:tab/>
      </w:r>
      <w:r w:rsidR="00AA722D">
        <w:rPr>
          <w:rFonts w:asciiTheme="minorHAnsi" w:hAnsiTheme="minorHAnsi"/>
          <w:noProof/>
          <w:webHidden/>
        </w:rPr>
        <w:t>28</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4.12</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Summary of the evidence for the safety of a PDE-5 inhibitor in addition to a prostanoid, relative to prostanoid monotherapy</w:t>
      </w:r>
      <w:r w:rsidRPr="00322CC4">
        <w:rPr>
          <w:rFonts w:asciiTheme="minorHAnsi" w:hAnsiTheme="minorHAnsi"/>
          <w:noProof/>
          <w:webHidden/>
        </w:rPr>
        <w:tab/>
      </w:r>
      <w:r w:rsidR="00AA722D">
        <w:rPr>
          <w:rFonts w:asciiTheme="minorHAnsi" w:hAnsiTheme="minorHAnsi"/>
          <w:noProof/>
          <w:webHidden/>
        </w:rPr>
        <w:t>29</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4.13</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Summary of the evidence for the clinical effectiveness of a prostanoid in addition to an ERA, relative to ERA monotherapy</w:t>
      </w:r>
      <w:r w:rsidRPr="00322CC4">
        <w:rPr>
          <w:rFonts w:asciiTheme="minorHAnsi" w:hAnsiTheme="minorHAnsi"/>
          <w:noProof/>
          <w:webHidden/>
        </w:rPr>
        <w:tab/>
      </w:r>
      <w:r w:rsidR="00AA722D">
        <w:rPr>
          <w:rFonts w:asciiTheme="minorHAnsi" w:hAnsiTheme="minorHAnsi"/>
          <w:noProof/>
          <w:webHidden/>
        </w:rPr>
        <w:t>30</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4.14</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Summary of the evidence for the safety of a prostanoid in addition to an ERA, relative to ERA monotherapy</w:t>
      </w:r>
      <w:r w:rsidRPr="00322CC4">
        <w:rPr>
          <w:rFonts w:asciiTheme="minorHAnsi" w:hAnsiTheme="minorHAnsi"/>
          <w:noProof/>
          <w:webHidden/>
        </w:rPr>
        <w:tab/>
      </w:r>
      <w:r w:rsidR="00AA722D">
        <w:rPr>
          <w:rFonts w:asciiTheme="minorHAnsi" w:hAnsiTheme="minorHAnsi"/>
          <w:noProof/>
          <w:webHidden/>
        </w:rPr>
        <w:t>32</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4.15</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Summary of the evidence for the clinical effectiveness of a sGC stimulator in addition to an ERA, relative to ERA monotherapy</w:t>
      </w:r>
      <w:r w:rsidRPr="00322CC4">
        <w:rPr>
          <w:rFonts w:asciiTheme="minorHAnsi" w:hAnsiTheme="minorHAnsi"/>
          <w:noProof/>
          <w:webHidden/>
        </w:rPr>
        <w:tab/>
      </w:r>
      <w:r w:rsidR="00AA722D">
        <w:rPr>
          <w:rFonts w:asciiTheme="minorHAnsi" w:hAnsiTheme="minorHAnsi"/>
          <w:noProof/>
          <w:webHidden/>
        </w:rPr>
        <w:t>33</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4.16</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Summary of the evidence for the clinical effectiveness of a sGC stimulator in addition to a PDE-5 inhibitor, relative to PDE-5 inhibitor monotherapy</w:t>
      </w:r>
      <w:r w:rsidRPr="00322CC4">
        <w:rPr>
          <w:rFonts w:asciiTheme="minorHAnsi" w:hAnsiTheme="minorHAnsi"/>
          <w:noProof/>
          <w:webHidden/>
        </w:rPr>
        <w:tab/>
      </w:r>
      <w:r w:rsidR="00AA722D">
        <w:rPr>
          <w:rFonts w:asciiTheme="minorHAnsi" w:hAnsiTheme="minorHAnsi"/>
          <w:noProof/>
          <w:webHidden/>
        </w:rPr>
        <w:t>35</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4.17</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Summary of the evidence for the safety of a sGC stimulator in addition to a PDE-5 inhibitor, relative to PDE-5 inhibitor monotherapy</w:t>
      </w:r>
      <w:r w:rsidRPr="00322CC4">
        <w:rPr>
          <w:rFonts w:asciiTheme="minorHAnsi" w:hAnsiTheme="minorHAnsi"/>
          <w:noProof/>
          <w:webHidden/>
        </w:rPr>
        <w:tab/>
      </w:r>
      <w:r w:rsidR="00AA722D">
        <w:rPr>
          <w:rFonts w:asciiTheme="minorHAnsi" w:hAnsiTheme="minorHAnsi"/>
          <w:noProof/>
          <w:webHidden/>
        </w:rPr>
        <w:t>36</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4.18</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Summary of the evidence for the clinical effectiveness of a sGC stimulator in addition to a prostanoid, relative to prostanoid monotherapy</w:t>
      </w:r>
      <w:r w:rsidRPr="00322CC4">
        <w:rPr>
          <w:rFonts w:asciiTheme="minorHAnsi" w:hAnsiTheme="minorHAnsi"/>
          <w:noProof/>
          <w:webHidden/>
        </w:rPr>
        <w:tab/>
      </w:r>
      <w:r w:rsidR="00AA722D">
        <w:rPr>
          <w:rFonts w:asciiTheme="minorHAnsi" w:hAnsiTheme="minorHAnsi"/>
          <w:noProof/>
          <w:webHidden/>
        </w:rPr>
        <w:t>37</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4.19</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Study selection criteria for systematic review of PAH medicines: research question 1</w:t>
      </w:r>
      <w:r w:rsidRPr="00322CC4">
        <w:rPr>
          <w:rFonts w:asciiTheme="minorHAnsi" w:hAnsiTheme="minorHAnsi"/>
          <w:noProof/>
          <w:webHidden/>
        </w:rPr>
        <w:tab/>
      </w:r>
      <w:r w:rsidR="00AA722D">
        <w:rPr>
          <w:rFonts w:asciiTheme="minorHAnsi" w:hAnsiTheme="minorHAnsi"/>
          <w:noProof/>
          <w:webHidden/>
        </w:rPr>
        <w:t>42</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4.20</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Study selection criteria for systematic review of PAH medicines: research question 2</w:t>
      </w:r>
      <w:r w:rsidRPr="00322CC4">
        <w:rPr>
          <w:rFonts w:asciiTheme="minorHAnsi" w:hAnsiTheme="minorHAnsi"/>
          <w:noProof/>
          <w:webHidden/>
        </w:rPr>
        <w:tab/>
      </w:r>
      <w:r w:rsidR="00AA722D">
        <w:rPr>
          <w:rFonts w:asciiTheme="minorHAnsi" w:hAnsiTheme="minorHAnsi"/>
          <w:noProof/>
          <w:webHidden/>
        </w:rPr>
        <w:t>42</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4.21</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Study selection criteria for systematic review of PAH medicines: research question 3</w:t>
      </w:r>
      <w:r w:rsidRPr="00322CC4">
        <w:rPr>
          <w:rFonts w:asciiTheme="minorHAnsi" w:hAnsiTheme="minorHAnsi"/>
          <w:noProof/>
          <w:webHidden/>
        </w:rPr>
        <w:tab/>
      </w:r>
      <w:r w:rsidR="00AA722D">
        <w:rPr>
          <w:rFonts w:asciiTheme="minorHAnsi" w:hAnsiTheme="minorHAnsi"/>
          <w:noProof/>
          <w:webHidden/>
        </w:rPr>
        <w:t>43</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4.22</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Study selection criteria for systematic review of PAH medicines: research question 4</w:t>
      </w:r>
      <w:r w:rsidRPr="00322CC4">
        <w:rPr>
          <w:rFonts w:asciiTheme="minorHAnsi" w:hAnsiTheme="minorHAnsi"/>
          <w:noProof/>
          <w:webHidden/>
        </w:rPr>
        <w:tab/>
      </w:r>
      <w:r w:rsidR="00AA722D">
        <w:rPr>
          <w:rFonts w:asciiTheme="minorHAnsi" w:hAnsiTheme="minorHAnsi"/>
          <w:noProof/>
          <w:webHidden/>
        </w:rPr>
        <w:t>44</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lastRenderedPageBreak/>
        <w:t>Table 4.23</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Search terms for evidence to inform the systematic review questions (Pubmed and Cochrane Library)</w:t>
      </w:r>
      <w:r w:rsidRPr="00322CC4">
        <w:rPr>
          <w:rFonts w:asciiTheme="minorHAnsi" w:hAnsiTheme="minorHAnsi"/>
          <w:noProof/>
          <w:webHidden/>
        </w:rPr>
        <w:tab/>
      </w:r>
      <w:r w:rsidR="00AA722D">
        <w:rPr>
          <w:rFonts w:asciiTheme="minorHAnsi" w:hAnsiTheme="minorHAnsi"/>
          <w:noProof/>
          <w:webHidden/>
        </w:rPr>
        <w:t>45</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4.24</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Search terms for evidence to inform the systematic review questions (Embase PICO search)</w:t>
      </w:r>
      <w:r w:rsidRPr="00322CC4">
        <w:rPr>
          <w:rFonts w:asciiTheme="minorHAnsi" w:hAnsiTheme="minorHAnsi"/>
          <w:noProof/>
          <w:webHidden/>
        </w:rPr>
        <w:tab/>
      </w:r>
      <w:r w:rsidR="00AA722D">
        <w:rPr>
          <w:rFonts w:asciiTheme="minorHAnsi" w:hAnsiTheme="minorHAnsi"/>
          <w:noProof/>
          <w:webHidden/>
        </w:rPr>
        <w:t>45</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4.25</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Designations of levels of interventional evidence</w:t>
      </w:r>
      <w:r w:rsidRPr="00322CC4">
        <w:rPr>
          <w:rFonts w:asciiTheme="minorHAnsi" w:hAnsiTheme="minorHAnsi"/>
          <w:noProof/>
          <w:webHidden/>
        </w:rPr>
        <w:tab/>
      </w:r>
      <w:r w:rsidR="00AA722D">
        <w:rPr>
          <w:rFonts w:asciiTheme="minorHAnsi" w:hAnsiTheme="minorHAnsi"/>
          <w:noProof/>
          <w:webHidden/>
        </w:rPr>
        <w:t>49</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4.26</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Key features of the included evidence addressing research questions</w:t>
      </w:r>
      <w:r w:rsidRPr="00322CC4">
        <w:rPr>
          <w:rFonts w:asciiTheme="minorHAnsi" w:hAnsiTheme="minorHAnsi"/>
          <w:noProof/>
          <w:webHidden/>
        </w:rPr>
        <w:tab/>
      </w:r>
      <w:r w:rsidR="00AA722D">
        <w:rPr>
          <w:rFonts w:asciiTheme="minorHAnsi" w:hAnsiTheme="minorHAnsi"/>
          <w:noProof/>
          <w:webHidden/>
        </w:rPr>
        <w:t>50</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4.27</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Key features of the included evidence for assessment of extended safety</w:t>
      </w:r>
      <w:r w:rsidRPr="00322CC4">
        <w:rPr>
          <w:rFonts w:asciiTheme="minorHAnsi" w:hAnsiTheme="minorHAnsi"/>
          <w:noProof/>
          <w:webHidden/>
        </w:rPr>
        <w:tab/>
      </w:r>
      <w:r w:rsidR="00AA722D">
        <w:rPr>
          <w:rFonts w:asciiTheme="minorHAnsi" w:hAnsiTheme="minorHAnsi"/>
          <w:noProof/>
          <w:webHidden/>
        </w:rPr>
        <w:t>56</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4.28</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Definition of clinical worsening</w:t>
      </w:r>
      <w:r w:rsidRPr="00322CC4">
        <w:rPr>
          <w:rFonts w:asciiTheme="minorHAnsi" w:hAnsiTheme="minorHAnsi"/>
          <w:noProof/>
          <w:webHidden/>
        </w:rPr>
        <w:tab/>
      </w:r>
      <w:r w:rsidR="00AA722D">
        <w:rPr>
          <w:rFonts w:asciiTheme="minorHAnsi" w:hAnsiTheme="minorHAnsi"/>
          <w:noProof/>
          <w:webHidden/>
        </w:rPr>
        <w:t>60</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4.29</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an ERA compared with placebo in preventing clinical worsening in patients with WHO FC I/II PAH</w:t>
      </w:r>
      <w:r w:rsidRPr="00322CC4">
        <w:rPr>
          <w:rFonts w:asciiTheme="minorHAnsi" w:hAnsiTheme="minorHAnsi"/>
          <w:noProof/>
          <w:webHidden/>
        </w:rPr>
        <w:tab/>
      </w:r>
      <w:r w:rsidR="00AA722D">
        <w:rPr>
          <w:rFonts w:asciiTheme="minorHAnsi" w:hAnsiTheme="minorHAnsi"/>
          <w:noProof/>
          <w:webHidden/>
        </w:rPr>
        <w:t>64</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4.30</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Mortality rates for an ERA compared with placebo in patients with WHO FC I/II PAH</w:t>
      </w:r>
      <w:r w:rsidRPr="00322CC4">
        <w:rPr>
          <w:rFonts w:asciiTheme="minorHAnsi" w:hAnsiTheme="minorHAnsi"/>
          <w:noProof/>
          <w:webHidden/>
        </w:rPr>
        <w:tab/>
      </w:r>
      <w:r w:rsidR="00AA722D">
        <w:rPr>
          <w:rFonts w:asciiTheme="minorHAnsi" w:hAnsiTheme="minorHAnsi"/>
          <w:noProof/>
          <w:webHidden/>
        </w:rPr>
        <w:t>65</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4.31</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an ERA compared with placebo in improving WHO FC in patients with WHO FC I/II PAH</w:t>
      </w:r>
      <w:r w:rsidRPr="00322CC4">
        <w:rPr>
          <w:rFonts w:asciiTheme="minorHAnsi" w:hAnsiTheme="minorHAnsi"/>
          <w:noProof/>
          <w:webHidden/>
        </w:rPr>
        <w:tab/>
      </w:r>
      <w:r w:rsidR="00AA722D">
        <w:rPr>
          <w:rFonts w:asciiTheme="minorHAnsi" w:hAnsiTheme="minorHAnsi"/>
          <w:noProof/>
          <w:webHidden/>
        </w:rPr>
        <w:t>66</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4.32</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an ERA compared with placebo in improving 6MWD in patients with WHO FC I/II PAH</w:t>
      </w:r>
      <w:r w:rsidRPr="00322CC4">
        <w:rPr>
          <w:rFonts w:asciiTheme="minorHAnsi" w:hAnsiTheme="minorHAnsi"/>
          <w:noProof/>
          <w:webHidden/>
        </w:rPr>
        <w:tab/>
      </w:r>
      <w:r w:rsidR="00AA722D">
        <w:rPr>
          <w:rFonts w:asciiTheme="minorHAnsi" w:hAnsiTheme="minorHAnsi"/>
          <w:noProof/>
          <w:webHidden/>
        </w:rPr>
        <w:t>67</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4.33</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an ERA compared with placebo in improving PVR in patients with WHO FC I/II PAH</w:t>
      </w:r>
      <w:r w:rsidRPr="00322CC4">
        <w:rPr>
          <w:rFonts w:asciiTheme="minorHAnsi" w:hAnsiTheme="minorHAnsi"/>
          <w:noProof/>
          <w:webHidden/>
        </w:rPr>
        <w:tab/>
      </w:r>
      <w:r w:rsidR="00AA722D">
        <w:rPr>
          <w:rFonts w:asciiTheme="minorHAnsi" w:hAnsiTheme="minorHAnsi"/>
          <w:noProof/>
          <w:webHidden/>
        </w:rPr>
        <w:t>68</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4.34</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Mortality rates for PDE-5 inhibitors compared with conventional therapy in patients with WHO FC I/II PAH</w:t>
      </w:r>
      <w:r w:rsidRPr="00322CC4">
        <w:rPr>
          <w:rFonts w:asciiTheme="minorHAnsi" w:hAnsiTheme="minorHAnsi"/>
          <w:noProof/>
          <w:webHidden/>
        </w:rPr>
        <w:tab/>
      </w:r>
      <w:r w:rsidR="00AA722D">
        <w:rPr>
          <w:rFonts w:asciiTheme="minorHAnsi" w:hAnsiTheme="minorHAnsi"/>
          <w:noProof/>
          <w:webHidden/>
        </w:rPr>
        <w:t>70</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4.35</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PDE-5 inhibitors compared with placebo in improving WHO FC in patients with WHO FC I/II PAH</w:t>
      </w:r>
      <w:r w:rsidRPr="00322CC4">
        <w:rPr>
          <w:rFonts w:asciiTheme="minorHAnsi" w:hAnsiTheme="minorHAnsi"/>
          <w:noProof/>
          <w:webHidden/>
        </w:rPr>
        <w:tab/>
      </w:r>
      <w:r w:rsidR="00AA722D">
        <w:rPr>
          <w:rFonts w:asciiTheme="minorHAnsi" w:hAnsiTheme="minorHAnsi"/>
          <w:noProof/>
          <w:webHidden/>
        </w:rPr>
        <w:t>71</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4.36</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PDE-5 inhibitors compared with placebo in improving 6MWD in patients with WHO FC I/II PAH</w:t>
      </w:r>
      <w:r w:rsidRPr="00322CC4">
        <w:rPr>
          <w:rFonts w:asciiTheme="minorHAnsi" w:hAnsiTheme="minorHAnsi"/>
          <w:noProof/>
          <w:webHidden/>
        </w:rPr>
        <w:tab/>
      </w:r>
      <w:r w:rsidR="00AA722D">
        <w:rPr>
          <w:rFonts w:asciiTheme="minorHAnsi" w:hAnsiTheme="minorHAnsi"/>
          <w:noProof/>
          <w:webHidden/>
        </w:rPr>
        <w:t>71</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4.37</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compared with placebo in preventing clinical worsening in patients with WHO FC I/II PAH</w:t>
      </w:r>
      <w:r w:rsidRPr="00322CC4">
        <w:rPr>
          <w:rFonts w:asciiTheme="minorHAnsi" w:hAnsiTheme="minorHAnsi"/>
          <w:noProof/>
          <w:webHidden/>
        </w:rPr>
        <w:tab/>
      </w:r>
      <w:r w:rsidR="00AA722D">
        <w:rPr>
          <w:rFonts w:asciiTheme="minorHAnsi" w:hAnsiTheme="minorHAnsi"/>
          <w:noProof/>
          <w:webHidden/>
        </w:rPr>
        <w:t>73</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4.38</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Mortality rates for a sGC stimulator compared with placebo in patients with WHO FC I/II PAH</w:t>
      </w:r>
      <w:r w:rsidRPr="00322CC4">
        <w:rPr>
          <w:rFonts w:asciiTheme="minorHAnsi" w:hAnsiTheme="minorHAnsi"/>
          <w:noProof/>
          <w:webHidden/>
        </w:rPr>
        <w:tab/>
      </w:r>
      <w:r w:rsidR="00AA722D">
        <w:rPr>
          <w:rFonts w:asciiTheme="minorHAnsi" w:hAnsiTheme="minorHAnsi"/>
          <w:noProof/>
          <w:webHidden/>
        </w:rPr>
        <w:t>73</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4.39</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Hospitalisation due to PAH for a sGC stimulator compared with placebo in patients with WHO FC I/II PAH</w:t>
      </w:r>
      <w:r w:rsidRPr="00322CC4">
        <w:rPr>
          <w:rFonts w:asciiTheme="minorHAnsi" w:hAnsiTheme="minorHAnsi"/>
          <w:noProof/>
          <w:webHidden/>
        </w:rPr>
        <w:tab/>
      </w:r>
      <w:r w:rsidR="00AA722D">
        <w:rPr>
          <w:rFonts w:asciiTheme="minorHAnsi" w:hAnsiTheme="minorHAnsi"/>
          <w:noProof/>
          <w:webHidden/>
        </w:rPr>
        <w:t>73</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4.40</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compared with placebo in improving WHO FC in patients with WHO FC I/II PAH</w:t>
      </w:r>
      <w:r w:rsidRPr="00322CC4">
        <w:rPr>
          <w:rFonts w:asciiTheme="minorHAnsi" w:hAnsiTheme="minorHAnsi"/>
          <w:noProof/>
          <w:webHidden/>
        </w:rPr>
        <w:tab/>
      </w:r>
      <w:r w:rsidR="00AA722D">
        <w:rPr>
          <w:rFonts w:asciiTheme="minorHAnsi" w:hAnsiTheme="minorHAnsi"/>
          <w:noProof/>
          <w:webHidden/>
        </w:rPr>
        <w:t>74</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4.41</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compared with placebo in improving 6MWD in patients with WHO FC I/II PAH</w:t>
      </w:r>
      <w:r w:rsidRPr="00322CC4">
        <w:rPr>
          <w:rFonts w:asciiTheme="minorHAnsi" w:hAnsiTheme="minorHAnsi"/>
          <w:noProof/>
          <w:webHidden/>
        </w:rPr>
        <w:tab/>
      </w:r>
      <w:r w:rsidR="00AA722D">
        <w:rPr>
          <w:rFonts w:asciiTheme="minorHAnsi" w:hAnsiTheme="minorHAnsi"/>
          <w:noProof/>
          <w:webHidden/>
        </w:rPr>
        <w:t>74</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4.42</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compared with placebo in improving QoL in patients with WHO FC I/II PAH</w:t>
      </w:r>
      <w:r w:rsidRPr="00322CC4">
        <w:rPr>
          <w:rFonts w:asciiTheme="minorHAnsi" w:hAnsiTheme="minorHAnsi"/>
          <w:noProof/>
          <w:webHidden/>
        </w:rPr>
        <w:tab/>
      </w:r>
      <w:r w:rsidR="00AA722D">
        <w:rPr>
          <w:rFonts w:asciiTheme="minorHAnsi" w:hAnsiTheme="minorHAnsi"/>
          <w:noProof/>
          <w:webHidden/>
        </w:rPr>
        <w:t>75</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4.43</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compared with placebo in improving PVR in patients with WHO FC I/II PAH</w:t>
      </w:r>
      <w:r w:rsidRPr="00322CC4">
        <w:rPr>
          <w:rFonts w:asciiTheme="minorHAnsi" w:hAnsiTheme="minorHAnsi"/>
          <w:noProof/>
          <w:webHidden/>
        </w:rPr>
        <w:tab/>
      </w:r>
      <w:r w:rsidR="00AA722D">
        <w:rPr>
          <w:rFonts w:asciiTheme="minorHAnsi" w:hAnsiTheme="minorHAnsi"/>
          <w:noProof/>
          <w:webHidden/>
        </w:rPr>
        <w:t>75</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4.44</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an ERA in addition to a PDE-5 inhibitor compared with PDE-5 inhibitor monotherapy in preventing clinical worsening in all PAH patients</w:t>
      </w:r>
      <w:r w:rsidRPr="00322CC4">
        <w:rPr>
          <w:rFonts w:asciiTheme="minorHAnsi" w:hAnsiTheme="minorHAnsi"/>
          <w:noProof/>
          <w:webHidden/>
        </w:rPr>
        <w:tab/>
      </w:r>
      <w:r w:rsidR="00AA722D">
        <w:rPr>
          <w:rFonts w:asciiTheme="minorHAnsi" w:hAnsiTheme="minorHAnsi"/>
          <w:noProof/>
          <w:webHidden/>
        </w:rPr>
        <w:t>78</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4.45</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an ERA in addition to a PDE-5 inhibitor compared with PDE-5 inhibitor monotherapy in preventing clinical worsening in patients with WHO FC III/IV PAH</w:t>
      </w:r>
      <w:r w:rsidRPr="00322CC4">
        <w:rPr>
          <w:rFonts w:asciiTheme="minorHAnsi" w:hAnsiTheme="minorHAnsi"/>
          <w:noProof/>
          <w:webHidden/>
        </w:rPr>
        <w:tab/>
      </w:r>
      <w:r w:rsidR="00AA722D">
        <w:rPr>
          <w:rFonts w:asciiTheme="minorHAnsi" w:hAnsiTheme="minorHAnsi"/>
          <w:noProof/>
          <w:webHidden/>
        </w:rPr>
        <w:t>79</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4.46</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an ERA in addition to a PDE-5 inhibitor compared with PDE-5 inhibitor monotherapy in preventing clinical worsening in patients with different PAH aetiologies</w:t>
      </w:r>
      <w:r w:rsidRPr="00322CC4">
        <w:rPr>
          <w:rFonts w:asciiTheme="minorHAnsi" w:hAnsiTheme="minorHAnsi"/>
          <w:noProof/>
          <w:webHidden/>
        </w:rPr>
        <w:tab/>
      </w:r>
      <w:r w:rsidR="00AA722D">
        <w:rPr>
          <w:rFonts w:asciiTheme="minorHAnsi" w:hAnsiTheme="minorHAnsi"/>
          <w:noProof/>
          <w:webHidden/>
        </w:rPr>
        <w:t>81</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4.47</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Mortality rates for an ERA in addition to a PDE-5 inhibitor compared with PDE-5 inhibitor monotherapy in all PAH patients</w:t>
      </w:r>
      <w:r w:rsidRPr="00322CC4">
        <w:rPr>
          <w:rFonts w:asciiTheme="minorHAnsi" w:hAnsiTheme="minorHAnsi"/>
          <w:noProof/>
          <w:webHidden/>
        </w:rPr>
        <w:tab/>
      </w:r>
      <w:r w:rsidR="00AA722D">
        <w:rPr>
          <w:rFonts w:asciiTheme="minorHAnsi" w:hAnsiTheme="minorHAnsi"/>
          <w:noProof/>
          <w:webHidden/>
        </w:rPr>
        <w:t>82</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lastRenderedPageBreak/>
        <w:t>Table 4.48</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Mortality rates for an ERA in addition to a PDE-5 inhibitor compared with PDE-5 inhibitor monotherapy in patients with WHO FC III/IV PAH</w:t>
      </w:r>
      <w:r w:rsidRPr="00322CC4">
        <w:rPr>
          <w:rFonts w:asciiTheme="minorHAnsi" w:hAnsiTheme="minorHAnsi"/>
          <w:noProof/>
          <w:webHidden/>
        </w:rPr>
        <w:tab/>
      </w:r>
      <w:r w:rsidR="00AA722D">
        <w:rPr>
          <w:rFonts w:asciiTheme="minorHAnsi" w:hAnsiTheme="minorHAnsi"/>
          <w:noProof/>
          <w:webHidden/>
        </w:rPr>
        <w:t>83</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4.49</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Hospitalisation due to PAH for an ERA in addition to a PDE-5 inhibitor compared with PDE-5 inhibitor monotherapy in all patients with PAH</w:t>
      </w:r>
      <w:r w:rsidRPr="00322CC4">
        <w:rPr>
          <w:rFonts w:asciiTheme="minorHAnsi" w:hAnsiTheme="minorHAnsi"/>
          <w:noProof/>
          <w:webHidden/>
        </w:rPr>
        <w:tab/>
      </w:r>
      <w:r w:rsidR="00AA722D">
        <w:rPr>
          <w:rFonts w:asciiTheme="minorHAnsi" w:hAnsiTheme="minorHAnsi"/>
          <w:noProof/>
          <w:webHidden/>
        </w:rPr>
        <w:t>83</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4.50</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an ERA in addition to a PDE-5 inhibitor compared with PDE-5 inhibitor monotherapy in improving WHO FC in all PAH patients</w:t>
      </w:r>
      <w:r w:rsidRPr="00322CC4">
        <w:rPr>
          <w:rFonts w:asciiTheme="minorHAnsi" w:hAnsiTheme="minorHAnsi"/>
          <w:noProof/>
          <w:webHidden/>
        </w:rPr>
        <w:tab/>
      </w:r>
      <w:r w:rsidR="00AA722D">
        <w:rPr>
          <w:rFonts w:asciiTheme="minorHAnsi" w:hAnsiTheme="minorHAnsi"/>
          <w:noProof/>
          <w:webHidden/>
        </w:rPr>
        <w:t>84</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4.51</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an ERA in addition to a PDE-5 inhibitor compared with PDE-5 inhibitor monotherapy in improving 6MWD in all PAH patients</w:t>
      </w:r>
      <w:r w:rsidRPr="00322CC4">
        <w:rPr>
          <w:rFonts w:asciiTheme="minorHAnsi" w:hAnsiTheme="minorHAnsi"/>
          <w:noProof/>
          <w:webHidden/>
        </w:rPr>
        <w:tab/>
      </w:r>
      <w:r w:rsidR="00AA722D">
        <w:rPr>
          <w:rFonts w:asciiTheme="minorHAnsi" w:hAnsiTheme="minorHAnsi"/>
          <w:noProof/>
          <w:webHidden/>
        </w:rPr>
        <w:t>86</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4.52</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an ERA in addition to a PDE-5 inhibitor compared with PDE-5 inhibitor monotherapy in improving QoL in all PAH patients</w:t>
      </w:r>
      <w:r w:rsidRPr="00322CC4">
        <w:rPr>
          <w:rFonts w:asciiTheme="minorHAnsi" w:hAnsiTheme="minorHAnsi"/>
          <w:noProof/>
          <w:webHidden/>
        </w:rPr>
        <w:tab/>
      </w:r>
      <w:r w:rsidR="00AA722D">
        <w:rPr>
          <w:rFonts w:asciiTheme="minorHAnsi" w:hAnsiTheme="minorHAnsi"/>
          <w:noProof/>
          <w:webHidden/>
        </w:rPr>
        <w:t>87</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4.53</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comparative safety of an ERA in addition to a PDE-5 inhibitor compared with PDE-5 inhibitor monotherapy in all patients with PAH</w:t>
      </w:r>
      <w:r w:rsidRPr="00322CC4">
        <w:rPr>
          <w:rFonts w:asciiTheme="minorHAnsi" w:hAnsiTheme="minorHAnsi"/>
          <w:noProof/>
          <w:webHidden/>
        </w:rPr>
        <w:tab/>
      </w:r>
      <w:r w:rsidR="00AA722D">
        <w:rPr>
          <w:rFonts w:asciiTheme="minorHAnsi" w:hAnsiTheme="minorHAnsi"/>
          <w:noProof/>
          <w:webHidden/>
        </w:rPr>
        <w:t>88</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4.54</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comparative safety of an ERA in addition to a PDE-5 inhibitor compared with PDE-5 inhibitor monotherapy in patients with either IPAH/HPAH or PAH-CTD</w:t>
      </w:r>
      <w:r w:rsidRPr="00322CC4">
        <w:rPr>
          <w:rFonts w:asciiTheme="minorHAnsi" w:hAnsiTheme="minorHAnsi"/>
          <w:noProof/>
          <w:webHidden/>
        </w:rPr>
        <w:tab/>
      </w:r>
      <w:r w:rsidR="00AA722D">
        <w:rPr>
          <w:rFonts w:asciiTheme="minorHAnsi" w:hAnsiTheme="minorHAnsi"/>
          <w:noProof/>
          <w:webHidden/>
        </w:rPr>
        <w:t>89</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4.55</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Mortality rates for an ERA in addition to a prostanoid compared with prostanoid monotherapy in all PAH patients</w:t>
      </w:r>
      <w:r w:rsidRPr="00322CC4">
        <w:rPr>
          <w:rFonts w:asciiTheme="minorHAnsi" w:hAnsiTheme="minorHAnsi"/>
          <w:noProof/>
          <w:webHidden/>
        </w:rPr>
        <w:tab/>
      </w:r>
      <w:r w:rsidR="00AA722D">
        <w:rPr>
          <w:rFonts w:asciiTheme="minorHAnsi" w:hAnsiTheme="minorHAnsi"/>
          <w:noProof/>
          <w:webHidden/>
        </w:rPr>
        <w:t>91</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4.56</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an ERA in addition to a prostanoid compared with prostanoid monotherapy in improving WHO FC in all PAH patients</w:t>
      </w:r>
      <w:r w:rsidRPr="00322CC4">
        <w:rPr>
          <w:rFonts w:asciiTheme="minorHAnsi" w:hAnsiTheme="minorHAnsi"/>
          <w:noProof/>
          <w:webHidden/>
        </w:rPr>
        <w:tab/>
      </w:r>
      <w:r w:rsidR="00AA722D">
        <w:rPr>
          <w:rFonts w:asciiTheme="minorHAnsi" w:hAnsiTheme="minorHAnsi"/>
          <w:noProof/>
          <w:webHidden/>
        </w:rPr>
        <w:t>91</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4.57</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an ERA in addition to a prostanoid compared with prostanoid monotherapy in improving 6MWD in all patients with WHO FC III/IV PAH</w:t>
      </w:r>
      <w:r w:rsidRPr="00322CC4">
        <w:rPr>
          <w:rFonts w:asciiTheme="minorHAnsi" w:hAnsiTheme="minorHAnsi"/>
          <w:noProof/>
          <w:webHidden/>
        </w:rPr>
        <w:tab/>
      </w:r>
      <w:r w:rsidR="00AA722D">
        <w:rPr>
          <w:rFonts w:asciiTheme="minorHAnsi" w:hAnsiTheme="minorHAnsi"/>
          <w:noProof/>
          <w:webHidden/>
        </w:rPr>
        <w:t>92</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4.58</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an ERA in addition to a prostanoid compared with prostanoid monotherapy in improving QoL in patients with WHO FC III/IV PAH</w:t>
      </w:r>
      <w:r w:rsidRPr="00322CC4">
        <w:rPr>
          <w:rFonts w:asciiTheme="minorHAnsi" w:hAnsiTheme="minorHAnsi"/>
          <w:noProof/>
          <w:webHidden/>
        </w:rPr>
        <w:tab/>
      </w:r>
      <w:r w:rsidR="00AA722D">
        <w:rPr>
          <w:rFonts w:asciiTheme="minorHAnsi" w:hAnsiTheme="minorHAnsi"/>
          <w:noProof/>
          <w:webHidden/>
        </w:rPr>
        <w:t>93</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4.59</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an ERA in addition to a prostanoid compared with prostanoid monotherapy in improving haemodynamic parameters in all PAH patients</w:t>
      </w:r>
      <w:r w:rsidRPr="00322CC4">
        <w:rPr>
          <w:rFonts w:asciiTheme="minorHAnsi" w:hAnsiTheme="minorHAnsi"/>
          <w:noProof/>
          <w:webHidden/>
        </w:rPr>
        <w:tab/>
      </w:r>
      <w:r w:rsidR="00AA722D">
        <w:rPr>
          <w:rFonts w:asciiTheme="minorHAnsi" w:hAnsiTheme="minorHAnsi"/>
          <w:noProof/>
          <w:webHidden/>
        </w:rPr>
        <w:t>94</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4.60</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comparative safety of an ERA in addition to a prostanoid compared with prostanoid monotherapy in all patients with PAH</w:t>
      </w:r>
      <w:r w:rsidRPr="00322CC4">
        <w:rPr>
          <w:rFonts w:asciiTheme="minorHAnsi" w:hAnsiTheme="minorHAnsi"/>
          <w:noProof/>
          <w:webHidden/>
        </w:rPr>
        <w:tab/>
      </w:r>
      <w:r w:rsidR="00AA722D">
        <w:rPr>
          <w:rFonts w:asciiTheme="minorHAnsi" w:hAnsiTheme="minorHAnsi"/>
          <w:noProof/>
          <w:webHidden/>
        </w:rPr>
        <w:t>95</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4.61</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PDE-5 inhibitor in addition to an ERA compared with ERA monotherapy in preventing clinical worsening in all PAH patients</w:t>
      </w:r>
      <w:r w:rsidRPr="00322CC4">
        <w:rPr>
          <w:rFonts w:asciiTheme="minorHAnsi" w:hAnsiTheme="minorHAnsi"/>
          <w:noProof/>
          <w:webHidden/>
        </w:rPr>
        <w:tab/>
      </w:r>
      <w:r w:rsidR="00AA722D">
        <w:rPr>
          <w:rFonts w:asciiTheme="minorHAnsi" w:hAnsiTheme="minorHAnsi"/>
          <w:noProof/>
          <w:webHidden/>
        </w:rPr>
        <w:t>97</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4.62</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PDE-5 inhibitor in addition to an ERA compared with ERA monotherapy in preventing clinical worsening in patients with PAH-CTD</w:t>
      </w:r>
      <w:r w:rsidRPr="00322CC4">
        <w:rPr>
          <w:rFonts w:asciiTheme="minorHAnsi" w:hAnsiTheme="minorHAnsi"/>
          <w:noProof/>
          <w:webHidden/>
        </w:rPr>
        <w:tab/>
      </w:r>
      <w:r w:rsidR="00AA722D">
        <w:rPr>
          <w:rFonts w:asciiTheme="minorHAnsi" w:hAnsiTheme="minorHAnsi"/>
          <w:noProof/>
          <w:webHidden/>
        </w:rPr>
        <w:t>98</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4.63</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Mortality rates for a PDE-5 inhibitor in addition to an ERA compared with ERA monotherapy in all PAH patients</w:t>
      </w:r>
      <w:r w:rsidRPr="00322CC4">
        <w:rPr>
          <w:rFonts w:asciiTheme="minorHAnsi" w:hAnsiTheme="minorHAnsi"/>
          <w:noProof/>
          <w:webHidden/>
        </w:rPr>
        <w:tab/>
      </w:r>
      <w:r w:rsidR="00AA722D">
        <w:rPr>
          <w:rFonts w:asciiTheme="minorHAnsi" w:hAnsiTheme="minorHAnsi"/>
          <w:noProof/>
          <w:webHidden/>
        </w:rPr>
        <w:t>99</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4.64</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Hospitalisation due to PAH for a PDE-5 inhibitor in addition to an ERA compared with ERA monotherapy in all patients with PAH</w:t>
      </w:r>
      <w:r w:rsidRPr="00322CC4">
        <w:rPr>
          <w:rFonts w:asciiTheme="minorHAnsi" w:hAnsiTheme="minorHAnsi"/>
          <w:noProof/>
          <w:webHidden/>
        </w:rPr>
        <w:tab/>
      </w:r>
      <w:r w:rsidR="00AA722D">
        <w:rPr>
          <w:rFonts w:asciiTheme="minorHAnsi" w:hAnsiTheme="minorHAnsi"/>
          <w:noProof/>
          <w:webHidden/>
        </w:rPr>
        <w:t>100</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4.65</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PDE-5 inhibitor in addition to an ERA compared with ERA monotherapy in improving WHO FC in all patients with PAH</w:t>
      </w:r>
      <w:r w:rsidRPr="00322CC4">
        <w:rPr>
          <w:rFonts w:asciiTheme="minorHAnsi" w:hAnsiTheme="minorHAnsi"/>
          <w:noProof/>
          <w:webHidden/>
        </w:rPr>
        <w:tab/>
      </w:r>
      <w:r w:rsidR="00AA722D">
        <w:rPr>
          <w:rFonts w:asciiTheme="minorHAnsi" w:hAnsiTheme="minorHAnsi"/>
          <w:noProof/>
          <w:webHidden/>
        </w:rPr>
        <w:t>101</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4.66</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PDE-5 inhibitor in addition to an ERA compared with ERA monotherapy in improving 6MWD in all PAH patients</w:t>
      </w:r>
      <w:r w:rsidRPr="00322CC4">
        <w:rPr>
          <w:rFonts w:asciiTheme="minorHAnsi" w:hAnsiTheme="minorHAnsi"/>
          <w:noProof/>
          <w:webHidden/>
        </w:rPr>
        <w:tab/>
      </w:r>
      <w:r w:rsidR="00AA722D">
        <w:rPr>
          <w:rFonts w:asciiTheme="minorHAnsi" w:hAnsiTheme="minorHAnsi"/>
          <w:noProof/>
          <w:webHidden/>
        </w:rPr>
        <w:t>103</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4.67</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PDE-5 inhibitor in addition to an ERA compared with ERA monotherapy in improving 6MWD in patients with FC III/IV PAH</w:t>
      </w:r>
      <w:r w:rsidRPr="00322CC4">
        <w:rPr>
          <w:rFonts w:asciiTheme="minorHAnsi" w:hAnsiTheme="minorHAnsi"/>
          <w:noProof/>
          <w:webHidden/>
        </w:rPr>
        <w:tab/>
      </w:r>
      <w:r w:rsidR="00AA722D">
        <w:rPr>
          <w:rFonts w:asciiTheme="minorHAnsi" w:hAnsiTheme="minorHAnsi"/>
          <w:noProof/>
          <w:webHidden/>
        </w:rPr>
        <w:t>103</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4.68</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PDE-5 inhibitor in addition to an ERA compared with ERA monotherapy in improving 6MWD in patients with different PAH aetiologies</w:t>
      </w:r>
      <w:r w:rsidRPr="00322CC4">
        <w:rPr>
          <w:rFonts w:asciiTheme="minorHAnsi" w:hAnsiTheme="minorHAnsi"/>
          <w:noProof/>
          <w:webHidden/>
        </w:rPr>
        <w:tab/>
      </w:r>
      <w:r w:rsidR="00AA722D">
        <w:rPr>
          <w:rFonts w:asciiTheme="minorHAnsi" w:hAnsiTheme="minorHAnsi"/>
          <w:noProof/>
          <w:webHidden/>
        </w:rPr>
        <w:t>104</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4.69</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PDE-5 inhibitor in addition to an ERA compared with ERA monotherapy in improving haemodynamic parameters in all PAH patients</w:t>
      </w:r>
      <w:r w:rsidRPr="00322CC4">
        <w:rPr>
          <w:rFonts w:asciiTheme="minorHAnsi" w:hAnsiTheme="minorHAnsi"/>
          <w:noProof/>
          <w:webHidden/>
        </w:rPr>
        <w:tab/>
      </w:r>
      <w:r w:rsidR="00AA722D">
        <w:rPr>
          <w:rFonts w:asciiTheme="minorHAnsi" w:hAnsiTheme="minorHAnsi"/>
          <w:noProof/>
          <w:webHidden/>
        </w:rPr>
        <w:t>105</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lastRenderedPageBreak/>
        <w:t>Table 4.70</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comparative safety of a PDE-5 inhibitor in addition to an ERA compared with ERA monotherapy in all patients with PAH</w:t>
      </w:r>
      <w:r w:rsidRPr="00322CC4">
        <w:rPr>
          <w:rFonts w:asciiTheme="minorHAnsi" w:hAnsiTheme="minorHAnsi"/>
          <w:noProof/>
          <w:webHidden/>
        </w:rPr>
        <w:tab/>
      </w:r>
      <w:r w:rsidR="00AA722D">
        <w:rPr>
          <w:rFonts w:asciiTheme="minorHAnsi" w:hAnsiTheme="minorHAnsi"/>
          <w:noProof/>
          <w:webHidden/>
        </w:rPr>
        <w:t>106</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4.71</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comparative safety of a PDE-5 inhibitor in addition to an ERA compared with ERA monotherapy in patients with different PAH aetiologies</w:t>
      </w:r>
      <w:r w:rsidRPr="00322CC4">
        <w:rPr>
          <w:rFonts w:asciiTheme="minorHAnsi" w:hAnsiTheme="minorHAnsi"/>
          <w:noProof/>
          <w:webHidden/>
        </w:rPr>
        <w:tab/>
      </w:r>
      <w:r w:rsidR="00AA722D">
        <w:rPr>
          <w:rFonts w:asciiTheme="minorHAnsi" w:hAnsiTheme="minorHAnsi"/>
          <w:noProof/>
          <w:webHidden/>
        </w:rPr>
        <w:t>107</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4.72</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PDE-5 inhibitor in addition to a prostanoid compared with prostanoid monotherapy in preventing clinical worsening in all PAH patients</w:t>
      </w:r>
      <w:r w:rsidRPr="00322CC4">
        <w:rPr>
          <w:rFonts w:asciiTheme="minorHAnsi" w:hAnsiTheme="minorHAnsi"/>
          <w:noProof/>
          <w:webHidden/>
        </w:rPr>
        <w:tab/>
      </w:r>
      <w:r w:rsidR="00AA722D">
        <w:rPr>
          <w:rFonts w:asciiTheme="minorHAnsi" w:hAnsiTheme="minorHAnsi"/>
          <w:noProof/>
          <w:webHidden/>
        </w:rPr>
        <w:t>108</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4.73</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Mortality rates for a PDE-5 inhibitor in addition to a prostanoid compared with prostanoid monotherapy in all PAH patients</w:t>
      </w:r>
      <w:r w:rsidRPr="00322CC4">
        <w:rPr>
          <w:rFonts w:asciiTheme="minorHAnsi" w:hAnsiTheme="minorHAnsi"/>
          <w:noProof/>
          <w:webHidden/>
        </w:rPr>
        <w:tab/>
      </w:r>
      <w:r w:rsidR="00AA722D">
        <w:rPr>
          <w:rFonts w:asciiTheme="minorHAnsi" w:hAnsiTheme="minorHAnsi"/>
          <w:noProof/>
          <w:webHidden/>
        </w:rPr>
        <w:t>108</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4.74</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Hospitalisation due to PAH for a PDE-5 inhibitor in addition to a prostanoid compared with prostanoid monotherapy in all patients with PAH</w:t>
      </w:r>
      <w:r w:rsidRPr="00322CC4">
        <w:rPr>
          <w:rFonts w:asciiTheme="minorHAnsi" w:hAnsiTheme="minorHAnsi"/>
          <w:noProof/>
          <w:webHidden/>
        </w:rPr>
        <w:tab/>
      </w:r>
      <w:r w:rsidR="00AA722D">
        <w:rPr>
          <w:rFonts w:asciiTheme="minorHAnsi" w:hAnsiTheme="minorHAnsi"/>
          <w:noProof/>
          <w:webHidden/>
        </w:rPr>
        <w:t>109</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4.75</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PDE-5 inhibitor in addition to a prostanoid compared with prostanoid monotherapy in improving 6MWD in all PAH patients</w:t>
      </w:r>
      <w:r w:rsidRPr="00322CC4">
        <w:rPr>
          <w:rFonts w:asciiTheme="minorHAnsi" w:hAnsiTheme="minorHAnsi"/>
          <w:noProof/>
          <w:webHidden/>
        </w:rPr>
        <w:tab/>
      </w:r>
      <w:r w:rsidR="00AA722D">
        <w:rPr>
          <w:rFonts w:asciiTheme="minorHAnsi" w:hAnsiTheme="minorHAnsi"/>
          <w:noProof/>
          <w:webHidden/>
        </w:rPr>
        <w:t>109</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4.76</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PDE-5 inhibitor in addition to a prostanoid compared with prostanoid monotherapy in improving haemodynamic parameters in all PAH patients</w:t>
      </w:r>
      <w:r w:rsidRPr="00322CC4">
        <w:rPr>
          <w:rFonts w:asciiTheme="minorHAnsi" w:hAnsiTheme="minorHAnsi"/>
          <w:noProof/>
          <w:webHidden/>
        </w:rPr>
        <w:tab/>
      </w:r>
      <w:r w:rsidR="00AA722D">
        <w:rPr>
          <w:rFonts w:asciiTheme="minorHAnsi" w:hAnsiTheme="minorHAnsi"/>
          <w:noProof/>
          <w:webHidden/>
        </w:rPr>
        <w:t>110</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4.77</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comparative safety of a PDE-5 inhibitor in addition to a prostanoid compared with prostanoid monotherapy in all patients with PAH</w:t>
      </w:r>
      <w:r w:rsidRPr="00322CC4">
        <w:rPr>
          <w:rFonts w:asciiTheme="minorHAnsi" w:hAnsiTheme="minorHAnsi"/>
          <w:noProof/>
          <w:webHidden/>
        </w:rPr>
        <w:tab/>
      </w:r>
      <w:r w:rsidR="00AA722D">
        <w:rPr>
          <w:rFonts w:asciiTheme="minorHAnsi" w:hAnsiTheme="minorHAnsi"/>
          <w:noProof/>
          <w:webHidden/>
        </w:rPr>
        <w:t>110</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4.78</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prostanoid in addition to an ERA compared with ERA monotherapy in preventing clinical worsening in patients with WHO FC III/IV PAH</w:t>
      </w:r>
      <w:r w:rsidRPr="00322CC4">
        <w:rPr>
          <w:rFonts w:asciiTheme="minorHAnsi" w:hAnsiTheme="minorHAnsi"/>
          <w:noProof/>
          <w:webHidden/>
        </w:rPr>
        <w:tab/>
      </w:r>
      <w:r w:rsidR="00AA722D">
        <w:rPr>
          <w:rFonts w:asciiTheme="minorHAnsi" w:hAnsiTheme="minorHAnsi"/>
          <w:noProof/>
          <w:webHidden/>
        </w:rPr>
        <w:t>112</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4.79</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Mortality rates for a prostanoid in addition to an ERA compared with ERA monotherapy in patients with WHO FC III/IV PAH</w:t>
      </w:r>
      <w:r w:rsidRPr="00322CC4">
        <w:rPr>
          <w:rFonts w:asciiTheme="minorHAnsi" w:hAnsiTheme="minorHAnsi"/>
          <w:noProof/>
          <w:webHidden/>
        </w:rPr>
        <w:tab/>
      </w:r>
      <w:r w:rsidR="00AA722D">
        <w:rPr>
          <w:rFonts w:asciiTheme="minorHAnsi" w:hAnsiTheme="minorHAnsi"/>
          <w:noProof/>
          <w:webHidden/>
        </w:rPr>
        <w:t>112</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4.80</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Hospitalisation due to PAH for a prostanoid in addition to an ERA compared with ERA monotherapy in patients with WHO FC III/IV PAH</w:t>
      </w:r>
      <w:r w:rsidRPr="00322CC4">
        <w:rPr>
          <w:rFonts w:asciiTheme="minorHAnsi" w:hAnsiTheme="minorHAnsi"/>
          <w:noProof/>
          <w:webHidden/>
        </w:rPr>
        <w:tab/>
      </w:r>
      <w:r w:rsidR="00AA722D">
        <w:rPr>
          <w:rFonts w:asciiTheme="minorHAnsi" w:hAnsiTheme="minorHAnsi"/>
          <w:noProof/>
          <w:webHidden/>
        </w:rPr>
        <w:t>113</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4.81</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prostanoid in addition to an ERA compared with ERA monotherapy in improving WHO FC in patients with WHO FC III/IV PAH</w:t>
      </w:r>
      <w:r w:rsidRPr="00322CC4">
        <w:rPr>
          <w:rFonts w:asciiTheme="minorHAnsi" w:hAnsiTheme="minorHAnsi"/>
          <w:noProof/>
          <w:webHidden/>
        </w:rPr>
        <w:tab/>
      </w:r>
      <w:r w:rsidR="00AA722D">
        <w:rPr>
          <w:rFonts w:asciiTheme="minorHAnsi" w:hAnsiTheme="minorHAnsi"/>
          <w:noProof/>
          <w:webHidden/>
        </w:rPr>
        <w:t>113</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4.82</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prostanoid in addition to an ERA compared with ERA monotherapy in improving 6MWD in patients with WHO FC III/IV PAH</w:t>
      </w:r>
      <w:r w:rsidRPr="00322CC4">
        <w:rPr>
          <w:rFonts w:asciiTheme="minorHAnsi" w:hAnsiTheme="minorHAnsi"/>
          <w:noProof/>
          <w:webHidden/>
        </w:rPr>
        <w:tab/>
      </w:r>
      <w:r w:rsidR="00AA722D">
        <w:rPr>
          <w:rFonts w:asciiTheme="minorHAnsi" w:hAnsiTheme="minorHAnsi"/>
          <w:noProof/>
          <w:webHidden/>
        </w:rPr>
        <w:t>114</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4.83</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prostanoid in addition to an ERA compared with ERA monotherapy in improving QoL in patients with WHO FC III/IV PAH</w:t>
      </w:r>
      <w:r w:rsidRPr="00322CC4">
        <w:rPr>
          <w:rFonts w:asciiTheme="minorHAnsi" w:hAnsiTheme="minorHAnsi"/>
          <w:noProof/>
          <w:webHidden/>
        </w:rPr>
        <w:tab/>
      </w:r>
      <w:r w:rsidR="00AA722D">
        <w:rPr>
          <w:rFonts w:asciiTheme="minorHAnsi" w:hAnsiTheme="minorHAnsi"/>
          <w:noProof/>
          <w:webHidden/>
        </w:rPr>
        <w:t>114</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4.84</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prostanoid in addition to an ERA compared with ERA monotherapy in improving haemodynamic parameters in WHO FC III/IV PAH</w:t>
      </w:r>
      <w:r w:rsidRPr="00322CC4">
        <w:rPr>
          <w:rFonts w:asciiTheme="minorHAnsi" w:hAnsiTheme="minorHAnsi"/>
          <w:noProof/>
          <w:webHidden/>
        </w:rPr>
        <w:tab/>
      </w:r>
      <w:r w:rsidR="00AA722D">
        <w:rPr>
          <w:rFonts w:asciiTheme="minorHAnsi" w:hAnsiTheme="minorHAnsi"/>
          <w:noProof/>
          <w:webHidden/>
        </w:rPr>
        <w:t>115</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4.85</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comparative safety of a prostanoid in addition to an ERA compared with ERA monotherapy in patients with WHO FC III/IV PAH</w:t>
      </w:r>
      <w:r w:rsidRPr="00322CC4">
        <w:rPr>
          <w:rFonts w:asciiTheme="minorHAnsi" w:hAnsiTheme="minorHAnsi"/>
          <w:noProof/>
          <w:webHidden/>
        </w:rPr>
        <w:tab/>
      </w:r>
      <w:r w:rsidR="00AA722D">
        <w:rPr>
          <w:rFonts w:asciiTheme="minorHAnsi" w:hAnsiTheme="minorHAnsi"/>
          <w:noProof/>
          <w:webHidden/>
        </w:rPr>
        <w:t>115</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4.86</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in addition to an ERA compared with ERA monotherapy in preventing clinical worsening in all PAH patients</w:t>
      </w:r>
      <w:r w:rsidRPr="00322CC4">
        <w:rPr>
          <w:rFonts w:asciiTheme="minorHAnsi" w:hAnsiTheme="minorHAnsi"/>
          <w:noProof/>
          <w:webHidden/>
        </w:rPr>
        <w:tab/>
      </w:r>
      <w:r w:rsidR="00AA722D">
        <w:rPr>
          <w:rFonts w:asciiTheme="minorHAnsi" w:hAnsiTheme="minorHAnsi"/>
          <w:noProof/>
          <w:webHidden/>
        </w:rPr>
        <w:t>117</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4.87</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in addition to an ERA compared with ERA monotherapy in preventing clinical worsening in patients with WHO FC III/IV PAH</w:t>
      </w:r>
      <w:r w:rsidRPr="00322CC4">
        <w:rPr>
          <w:rFonts w:asciiTheme="minorHAnsi" w:hAnsiTheme="minorHAnsi"/>
          <w:noProof/>
          <w:webHidden/>
        </w:rPr>
        <w:tab/>
      </w:r>
      <w:r w:rsidR="00AA722D">
        <w:rPr>
          <w:rFonts w:asciiTheme="minorHAnsi" w:hAnsiTheme="minorHAnsi"/>
          <w:noProof/>
          <w:webHidden/>
        </w:rPr>
        <w:t>117</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4.88</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Mortality rates for a sGC stimulator in addition to an ERA compared with ERA monotherapy in all PAH patients</w:t>
      </w:r>
      <w:r w:rsidRPr="00322CC4">
        <w:rPr>
          <w:rFonts w:asciiTheme="minorHAnsi" w:hAnsiTheme="minorHAnsi"/>
          <w:noProof/>
          <w:webHidden/>
        </w:rPr>
        <w:tab/>
      </w:r>
      <w:r w:rsidR="00AA722D">
        <w:rPr>
          <w:rFonts w:asciiTheme="minorHAnsi" w:hAnsiTheme="minorHAnsi"/>
          <w:noProof/>
          <w:webHidden/>
        </w:rPr>
        <w:t>118</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4.89</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Mortality rates for a sGC stimulator in addition to an ERA compared with ERA monotherapy in patients with WHO FC III/IV PAH</w:t>
      </w:r>
      <w:r w:rsidRPr="00322CC4">
        <w:rPr>
          <w:rFonts w:asciiTheme="minorHAnsi" w:hAnsiTheme="minorHAnsi"/>
          <w:noProof/>
          <w:webHidden/>
        </w:rPr>
        <w:tab/>
      </w:r>
      <w:r w:rsidR="00AA722D">
        <w:rPr>
          <w:rFonts w:asciiTheme="minorHAnsi" w:hAnsiTheme="minorHAnsi"/>
          <w:noProof/>
          <w:webHidden/>
        </w:rPr>
        <w:t>118</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4.90</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Hospitalisation due to PAH for a sGC stimulator in addition to an ERA compared with ERA monotherapy in all PAH patients</w:t>
      </w:r>
      <w:r w:rsidRPr="00322CC4">
        <w:rPr>
          <w:rFonts w:asciiTheme="minorHAnsi" w:hAnsiTheme="minorHAnsi"/>
          <w:noProof/>
          <w:webHidden/>
        </w:rPr>
        <w:tab/>
      </w:r>
      <w:r w:rsidR="00AA722D">
        <w:rPr>
          <w:rFonts w:asciiTheme="minorHAnsi" w:hAnsiTheme="minorHAnsi"/>
          <w:noProof/>
          <w:webHidden/>
        </w:rPr>
        <w:t>118</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4.91</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Hospitalisation due to PAH for a sGC stimulator in addition to an ERA compared with ERA monotherapy in patients with WHO FC III/IV PAH</w:t>
      </w:r>
      <w:r w:rsidRPr="00322CC4">
        <w:rPr>
          <w:rFonts w:asciiTheme="minorHAnsi" w:hAnsiTheme="minorHAnsi"/>
          <w:noProof/>
          <w:webHidden/>
        </w:rPr>
        <w:tab/>
      </w:r>
      <w:r w:rsidR="00AA722D">
        <w:rPr>
          <w:rFonts w:asciiTheme="minorHAnsi" w:hAnsiTheme="minorHAnsi"/>
          <w:noProof/>
          <w:webHidden/>
        </w:rPr>
        <w:t>119</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lastRenderedPageBreak/>
        <w:t>Table 4.92</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in addition to an ERA compared with ERA monotherapy in improving WHO FC in all PAH patients</w:t>
      </w:r>
      <w:r w:rsidRPr="00322CC4">
        <w:rPr>
          <w:rFonts w:asciiTheme="minorHAnsi" w:hAnsiTheme="minorHAnsi"/>
          <w:noProof/>
          <w:webHidden/>
        </w:rPr>
        <w:tab/>
      </w:r>
      <w:r w:rsidR="00AA722D">
        <w:rPr>
          <w:rFonts w:asciiTheme="minorHAnsi" w:hAnsiTheme="minorHAnsi"/>
          <w:noProof/>
          <w:webHidden/>
        </w:rPr>
        <w:t>119</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4.93</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in addition to an ERA compared with ERA monotherapy in improving WHO FC in patients with WHO FC III/IV PAH</w:t>
      </w:r>
      <w:r w:rsidRPr="00322CC4">
        <w:rPr>
          <w:rFonts w:asciiTheme="minorHAnsi" w:hAnsiTheme="minorHAnsi"/>
          <w:noProof/>
          <w:webHidden/>
        </w:rPr>
        <w:tab/>
      </w:r>
      <w:r w:rsidR="00AA722D">
        <w:rPr>
          <w:rFonts w:asciiTheme="minorHAnsi" w:hAnsiTheme="minorHAnsi"/>
          <w:noProof/>
          <w:webHidden/>
        </w:rPr>
        <w:t>120</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4.94</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in addition to an ERA compared with ERA monotherapy in improving 6MWD in all PAH patients</w:t>
      </w:r>
      <w:r w:rsidRPr="00322CC4">
        <w:rPr>
          <w:rFonts w:asciiTheme="minorHAnsi" w:hAnsiTheme="minorHAnsi"/>
          <w:noProof/>
          <w:webHidden/>
        </w:rPr>
        <w:tab/>
      </w:r>
      <w:r w:rsidR="00AA722D">
        <w:rPr>
          <w:rFonts w:asciiTheme="minorHAnsi" w:hAnsiTheme="minorHAnsi"/>
          <w:noProof/>
          <w:webHidden/>
        </w:rPr>
        <w:t>120</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4.95</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in addition to an ERA compared with ERA monotherapy in improving 6MWD in patients with WHO FC III/IV PAH</w:t>
      </w:r>
      <w:r w:rsidRPr="00322CC4">
        <w:rPr>
          <w:rFonts w:asciiTheme="minorHAnsi" w:hAnsiTheme="minorHAnsi"/>
          <w:noProof/>
          <w:webHidden/>
        </w:rPr>
        <w:tab/>
      </w:r>
      <w:r w:rsidR="00AA722D">
        <w:rPr>
          <w:rFonts w:asciiTheme="minorHAnsi" w:hAnsiTheme="minorHAnsi"/>
          <w:noProof/>
          <w:webHidden/>
        </w:rPr>
        <w:t>120</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4.96</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in addition to an ERA compared with ERA monotherapy in improving QoL in all PAH patients</w:t>
      </w:r>
      <w:r w:rsidRPr="00322CC4">
        <w:rPr>
          <w:rFonts w:asciiTheme="minorHAnsi" w:hAnsiTheme="minorHAnsi"/>
          <w:noProof/>
          <w:webHidden/>
        </w:rPr>
        <w:tab/>
      </w:r>
      <w:r w:rsidR="00AA722D">
        <w:rPr>
          <w:rFonts w:asciiTheme="minorHAnsi" w:hAnsiTheme="minorHAnsi"/>
          <w:noProof/>
          <w:webHidden/>
        </w:rPr>
        <w:t>121</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4.97</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in addition to an ERA compared with ERA monotherapy in improving QoL in patients with WHO FC III/IV PAH</w:t>
      </w:r>
      <w:r w:rsidRPr="00322CC4">
        <w:rPr>
          <w:rFonts w:asciiTheme="minorHAnsi" w:hAnsiTheme="minorHAnsi"/>
          <w:noProof/>
          <w:webHidden/>
        </w:rPr>
        <w:tab/>
      </w:r>
      <w:r w:rsidR="00AA722D">
        <w:rPr>
          <w:rFonts w:asciiTheme="minorHAnsi" w:hAnsiTheme="minorHAnsi"/>
          <w:noProof/>
          <w:webHidden/>
        </w:rPr>
        <w:t>122</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4.98</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in addition to an ERA compared with ERA monotherapy in improving PVR in all PAH patients</w:t>
      </w:r>
      <w:r w:rsidRPr="00322CC4">
        <w:rPr>
          <w:rFonts w:asciiTheme="minorHAnsi" w:hAnsiTheme="minorHAnsi"/>
          <w:noProof/>
          <w:webHidden/>
        </w:rPr>
        <w:tab/>
      </w:r>
      <w:r w:rsidR="00AA722D">
        <w:rPr>
          <w:rFonts w:asciiTheme="minorHAnsi" w:hAnsiTheme="minorHAnsi"/>
          <w:noProof/>
          <w:webHidden/>
        </w:rPr>
        <w:t>122</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4.99</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in addition to an ERA compared with ERA monotherapy in improving PVR in patients with WHO FC III/IV PAH</w:t>
      </w:r>
      <w:r w:rsidRPr="00322CC4">
        <w:rPr>
          <w:rFonts w:asciiTheme="minorHAnsi" w:hAnsiTheme="minorHAnsi"/>
          <w:noProof/>
          <w:webHidden/>
        </w:rPr>
        <w:tab/>
      </w:r>
      <w:r w:rsidR="00AA722D">
        <w:rPr>
          <w:rFonts w:asciiTheme="minorHAnsi" w:hAnsiTheme="minorHAnsi"/>
          <w:noProof/>
          <w:webHidden/>
        </w:rPr>
        <w:t>123</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4.100</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Mortality rates for a sGC stimulator in addition to a PDE-5 inhibitor compared with PDE-5 inhibitor monotherapy in all PAH patients</w:t>
      </w:r>
      <w:r w:rsidRPr="00322CC4">
        <w:rPr>
          <w:rFonts w:asciiTheme="minorHAnsi" w:hAnsiTheme="minorHAnsi"/>
          <w:noProof/>
          <w:webHidden/>
        </w:rPr>
        <w:tab/>
      </w:r>
      <w:r w:rsidR="00AA722D">
        <w:rPr>
          <w:rFonts w:asciiTheme="minorHAnsi" w:hAnsiTheme="minorHAnsi"/>
          <w:noProof/>
          <w:webHidden/>
        </w:rPr>
        <w:t>124</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4.101</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in addition to a PDE-5 inhibitor compared with PDE-5 inhibitor monotherapy in improving WHO FC in all PAH patients</w:t>
      </w:r>
      <w:r w:rsidRPr="00322CC4">
        <w:rPr>
          <w:rFonts w:asciiTheme="minorHAnsi" w:hAnsiTheme="minorHAnsi"/>
          <w:noProof/>
          <w:webHidden/>
        </w:rPr>
        <w:tab/>
      </w:r>
      <w:r w:rsidR="00AA722D">
        <w:rPr>
          <w:rFonts w:asciiTheme="minorHAnsi" w:hAnsiTheme="minorHAnsi"/>
          <w:noProof/>
          <w:webHidden/>
        </w:rPr>
        <w:t>124</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4.102</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in addition to a PDE-5 inhibitor compared with PDE-5 inhibitor monotherapy in improving 6MWD in all PAH patients</w:t>
      </w:r>
      <w:r w:rsidRPr="00322CC4">
        <w:rPr>
          <w:rFonts w:asciiTheme="minorHAnsi" w:hAnsiTheme="minorHAnsi"/>
          <w:noProof/>
          <w:webHidden/>
        </w:rPr>
        <w:tab/>
      </w:r>
      <w:r w:rsidR="00AA722D">
        <w:rPr>
          <w:rFonts w:asciiTheme="minorHAnsi" w:hAnsiTheme="minorHAnsi"/>
          <w:noProof/>
          <w:webHidden/>
        </w:rPr>
        <w:t>125</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4.103</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comparative safety of a sGC stimulator in addition to a PDE-5 inhibitor compared with PDE-5 inhibitor monotherapy in all PAH patients</w:t>
      </w:r>
      <w:r w:rsidRPr="00322CC4">
        <w:rPr>
          <w:rFonts w:asciiTheme="minorHAnsi" w:hAnsiTheme="minorHAnsi"/>
          <w:noProof/>
          <w:webHidden/>
        </w:rPr>
        <w:tab/>
      </w:r>
      <w:r w:rsidR="00AA722D">
        <w:rPr>
          <w:rFonts w:asciiTheme="minorHAnsi" w:hAnsiTheme="minorHAnsi"/>
          <w:noProof/>
          <w:webHidden/>
        </w:rPr>
        <w:t>125</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4.104</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in addition to a prostanoid compared with prostanoid monotherapy in preventing clinical worsening in all PAH patients</w:t>
      </w:r>
      <w:r w:rsidRPr="00322CC4">
        <w:rPr>
          <w:rFonts w:asciiTheme="minorHAnsi" w:hAnsiTheme="minorHAnsi"/>
          <w:noProof/>
          <w:webHidden/>
        </w:rPr>
        <w:tab/>
      </w:r>
      <w:r w:rsidR="00AA722D">
        <w:rPr>
          <w:rFonts w:asciiTheme="minorHAnsi" w:hAnsiTheme="minorHAnsi"/>
          <w:noProof/>
          <w:webHidden/>
        </w:rPr>
        <w:t>126</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4.105</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Mortality rates for a sGC stimulator in addition to a prostanoid compared with prostanoid monotherapy in all PAH patients</w:t>
      </w:r>
      <w:r w:rsidRPr="00322CC4">
        <w:rPr>
          <w:rFonts w:asciiTheme="minorHAnsi" w:hAnsiTheme="minorHAnsi"/>
          <w:noProof/>
          <w:webHidden/>
        </w:rPr>
        <w:tab/>
      </w:r>
      <w:r w:rsidR="00AA722D">
        <w:rPr>
          <w:rFonts w:asciiTheme="minorHAnsi" w:hAnsiTheme="minorHAnsi"/>
          <w:noProof/>
          <w:webHidden/>
        </w:rPr>
        <w:t>127</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4.106</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Hospitalisation due to PAH for a sGC stimulator in addition to a prostanoid compared with prostanoid monotherapy in all PAH patients</w:t>
      </w:r>
      <w:r w:rsidRPr="00322CC4">
        <w:rPr>
          <w:rFonts w:asciiTheme="minorHAnsi" w:hAnsiTheme="minorHAnsi"/>
          <w:noProof/>
          <w:webHidden/>
        </w:rPr>
        <w:tab/>
      </w:r>
      <w:r w:rsidR="00AA722D">
        <w:rPr>
          <w:rFonts w:asciiTheme="minorHAnsi" w:hAnsiTheme="minorHAnsi"/>
          <w:noProof/>
          <w:webHidden/>
        </w:rPr>
        <w:t>127</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4.107</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in addition to a prostanoid compared with prostanoid monotherapy in improving WHO FC in all PAH patients</w:t>
      </w:r>
      <w:r w:rsidRPr="00322CC4">
        <w:rPr>
          <w:rFonts w:asciiTheme="minorHAnsi" w:hAnsiTheme="minorHAnsi"/>
          <w:noProof/>
          <w:webHidden/>
        </w:rPr>
        <w:tab/>
      </w:r>
      <w:r w:rsidR="00AA722D">
        <w:rPr>
          <w:rFonts w:asciiTheme="minorHAnsi" w:hAnsiTheme="minorHAnsi"/>
          <w:noProof/>
          <w:webHidden/>
        </w:rPr>
        <w:t>128</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4.108</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in addition to a prostanoid compared with prostanoid monotherapy in improving 6MWD in all PAH patients</w:t>
      </w:r>
      <w:r w:rsidRPr="00322CC4">
        <w:rPr>
          <w:rFonts w:asciiTheme="minorHAnsi" w:hAnsiTheme="minorHAnsi"/>
          <w:noProof/>
          <w:webHidden/>
        </w:rPr>
        <w:tab/>
      </w:r>
      <w:r w:rsidR="00AA722D">
        <w:rPr>
          <w:rFonts w:asciiTheme="minorHAnsi" w:hAnsiTheme="minorHAnsi"/>
          <w:noProof/>
          <w:webHidden/>
        </w:rPr>
        <w:t>128</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4.109</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in addition to a prostanoid compared with prostanoid monotherapy in improving QoL in all PAH patients</w:t>
      </w:r>
      <w:r w:rsidRPr="00322CC4">
        <w:rPr>
          <w:rFonts w:asciiTheme="minorHAnsi" w:hAnsiTheme="minorHAnsi"/>
          <w:noProof/>
          <w:webHidden/>
        </w:rPr>
        <w:tab/>
      </w:r>
      <w:r w:rsidR="00AA722D">
        <w:rPr>
          <w:rFonts w:asciiTheme="minorHAnsi" w:hAnsiTheme="minorHAnsi"/>
          <w:noProof/>
          <w:webHidden/>
        </w:rPr>
        <w:t>130</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4.110</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The effectiveness of a sGC stimulator in addition to a prostanoid compared with prostanoid monotherapy in improving PVR in all PAH patients</w:t>
      </w:r>
      <w:r w:rsidRPr="00322CC4">
        <w:rPr>
          <w:rFonts w:asciiTheme="minorHAnsi" w:hAnsiTheme="minorHAnsi"/>
          <w:noProof/>
          <w:webHidden/>
        </w:rPr>
        <w:tab/>
      </w:r>
      <w:r w:rsidR="00AA722D">
        <w:rPr>
          <w:rFonts w:asciiTheme="minorHAnsi" w:hAnsiTheme="minorHAnsi"/>
          <w:noProof/>
          <w:webHidden/>
        </w:rPr>
        <w:t>130</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4.111</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AEs reported in bosentan studies included for extended assessment of safety</w:t>
      </w:r>
      <w:r w:rsidRPr="00322CC4">
        <w:rPr>
          <w:rFonts w:asciiTheme="minorHAnsi" w:hAnsiTheme="minorHAnsi"/>
          <w:noProof/>
          <w:webHidden/>
        </w:rPr>
        <w:tab/>
      </w:r>
      <w:r w:rsidR="00AA722D">
        <w:rPr>
          <w:rFonts w:asciiTheme="minorHAnsi" w:hAnsiTheme="minorHAnsi"/>
          <w:noProof/>
          <w:webHidden/>
        </w:rPr>
        <w:t>132</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4.112</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AEs reported in Vachiéry 2017 and ARIES extension study</w:t>
      </w:r>
      <w:r w:rsidRPr="00322CC4">
        <w:rPr>
          <w:rFonts w:asciiTheme="minorHAnsi" w:hAnsiTheme="minorHAnsi"/>
          <w:noProof/>
          <w:webHidden/>
        </w:rPr>
        <w:tab/>
      </w:r>
      <w:r w:rsidR="00AA722D">
        <w:rPr>
          <w:rFonts w:asciiTheme="minorHAnsi" w:hAnsiTheme="minorHAnsi"/>
          <w:noProof/>
          <w:webHidden/>
        </w:rPr>
        <w:t>133</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4.113</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w:t>
      </w:r>
      <w:r w:rsidRPr="00A17B9D">
        <w:rPr>
          <w:rFonts w:asciiTheme="minorHAnsi" w:eastAsia="Arial" w:hAnsiTheme="minorHAnsi"/>
          <w:noProof/>
        </w:rPr>
        <w:t>ye disorder AEs</w:t>
      </w:r>
      <w:r w:rsidRPr="00A17B9D">
        <w:rPr>
          <w:rFonts w:asciiTheme="minorHAnsi" w:eastAsia="Arial" w:hAnsiTheme="minorHAnsi"/>
          <w:noProof/>
          <w:vertAlign w:val="superscript"/>
        </w:rPr>
        <w:t>a</w:t>
      </w:r>
      <w:r w:rsidRPr="00A17B9D">
        <w:rPr>
          <w:rFonts w:asciiTheme="minorHAnsi" w:eastAsia="Arial" w:hAnsiTheme="minorHAnsi"/>
          <w:noProof/>
        </w:rPr>
        <w:t xml:space="preserve"> reported in SUPER-1</w:t>
      </w:r>
      <w:r w:rsidRPr="00322CC4">
        <w:rPr>
          <w:rFonts w:asciiTheme="minorHAnsi" w:hAnsiTheme="minorHAnsi"/>
          <w:noProof/>
          <w:webHidden/>
        </w:rPr>
        <w:tab/>
      </w:r>
      <w:r w:rsidR="00AA722D">
        <w:rPr>
          <w:rFonts w:asciiTheme="minorHAnsi" w:hAnsiTheme="minorHAnsi"/>
          <w:noProof/>
          <w:webHidden/>
        </w:rPr>
        <w:t>135</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4.114</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AEs reported in STARTS-1</w:t>
      </w:r>
      <w:r w:rsidRPr="00322CC4">
        <w:rPr>
          <w:rFonts w:asciiTheme="minorHAnsi" w:hAnsiTheme="minorHAnsi"/>
          <w:noProof/>
          <w:webHidden/>
        </w:rPr>
        <w:tab/>
      </w:r>
      <w:r w:rsidR="00AA722D">
        <w:rPr>
          <w:rFonts w:asciiTheme="minorHAnsi" w:hAnsiTheme="minorHAnsi"/>
          <w:noProof/>
          <w:webHidden/>
        </w:rPr>
        <w:t>137</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4.115</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TEAEs reported in PHIRST</w:t>
      </w:r>
      <w:r w:rsidRPr="00322CC4">
        <w:rPr>
          <w:rFonts w:asciiTheme="minorHAnsi" w:hAnsiTheme="minorHAnsi"/>
          <w:noProof/>
          <w:webHidden/>
        </w:rPr>
        <w:tab/>
      </w:r>
      <w:r w:rsidR="00AA722D">
        <w:rPr>
          <w:rFonts w:asciiTheme="minorHAnsi" w:hAnsiTheme="minorHAnsi"/>
          <w:noProof/>
          <w:webHidden/>
        </w:rPr>
        <w:t>139</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4.116</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AEs reported in epoprostenol studies included for extended assessment of safety</w:t>
      </w:r>
      <w:r w:rsidRPr="00322CC4">
        <w:rPr>
          <w:rFonts w:asciiTheme="minorHAnsi" w:hAnsiTheme="minorHAnsi"/>
          <w:noProof/>
          <w:webHidden/>
        </w:rPr>
        <w:tab/>
      </w:r>
      <w:r w:rsidR="00AA722D">
        <w:rPr>
          <w:rFonts w:asciiTheme="minorHAnsi" w:hAnsiTheme="minorHAnsi"/>
          <w:noProof/>
          <w:webHidden/>
        </w:rPr>
        <w:t>140</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4.117</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AEs reported in the PATENT extension study</w:t>
      </w:r>
      <w:r w:rsidRPr="00322CC4">
        <w:rPr>
          <w:rFonts w:asciiTheme="minorHAnsi" w:hAnsiTheme="minorHAnsi"/>
          <w:noProof/>
          <w:webHidden/>
        </w:rPr>
        <w:tab/>
      </w:r>
      <w:r w:rsidR="00AA722D">
        <w:rPr>
          <w:rFonts w:asciiTheme="minorHAnsi" w:hAnsiTheme="minorHAnsi"/>
          <w:noProof/>
          <w:webHidden/>
        </w:rPr>
        <w:t>141</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lastRenderedPageBreak/>
        <w:t>Table 4.118</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Comparison of changes to EMA SmPC with FDA PL and TGA PI</w:t>
      </w:r>
      <w:r w:rsidRPr="00322CC4">
        <w:rPr>
          <w:rFonts w:asciiTheme="minorHAnsi" w:hAnsiTheme="minorHAnsi"/>
          <w:noProof/>
          <w:webHidden/>
        </w:rPr>
        <w:tab/>
      </w:r>
      <w:r w:rsidR="00AA722D">
        <w:rPr>
          <w:rFonts w:asciiTheme="minorHAnsi" w:hAnsiTheme="minorHAnsi"/>
          <w:noProof/>
          <w:webHidden/>
        </w:rPr>
        <w:t>143</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4.119</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PAH safety signals considered by PRAC since September 2012</w:t>
      </w:r>
      <w:r w:rsidRPr="00322CC4">
        <w:rPr>
          <w:rFonts w:asciiTheme="minorHAnsi" w:hAnsiTheme="minorHAnsi"/>
          <w:noProof/>
          <w:webHidden/>
        </w:rPr>
        <w:tab/>
      </w:r>
      <w:r w:rsidR="00AA722D">
        <w:rPr>
          <w:rFonts w:asciiTheme="minorHAnsi" w:hAnsiTheme="minorHAnsi"/>
          <w:noProof/>
          <w:webHidden/>
        </w:rPr>
        <w:t>147</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4.120</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benefits and harms of an ERA, relative to placebo</w:t>
      </w:r>
      <w:r w:rsidRPr="00322CC4">
        <w:rPr>
          <w:rFonts w:asciiTheme="minorHAnsi" w:hAnsiTheme="minorHAnsi"/>
          <w:noProof/>
          <w:webHidden/>
        </w:rPr>
        <w:tab/>
      </w:r>
      <w:r w:rsidR="00AA722D">
        <w:rPr>
          <w:rFonts w:asciiTheme="minorHAnsi" w:hAnsiTheme="minorHAnsi"/>
          <w:noProof/>
          <w:webHidden/>
        </w:rPr>
        <w:t>149</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4.121</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snapToGrid w:val="0"/>
        </w:rPr>
        <w:t>Balance of clinical benefits and harms of a PDE-5 inhibitor, relative to placebo or conventional therapy</w:t>
      </w:r>
      <w:r w:rsidRPr="00322CC4">
        <w:rPr>
          <w:rFonts w:asciiTheme="minorHAnsi" w:hAnsiTheme="minorHAnsi"/>
          <w:noProof/>
          <w:webHidden/>
        </w:rPr>
        <w:tab/>
      </w:r>
      <w:r w:rsidR="00AA722D">
        <w:rPr>
          <w:rFonts w:asciiTheme="minorHAnsi" w:hAnsiTheme="minorHAnsi"/>
          <w:noProof/>
          <w:webHidden/>
        </w:rPr>
        <w:t>150</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4.122</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snapToGrid w:val="0"/>
        </w:rPr>
        <w:t>Balance of clinical benefits and harms of a sGC stimulator, relative to placebo</w:t>
      </w:r>
      <w:r w:rsidRPr="00322CC4">
        <w:rPr>
          <w:rFonts w:asciiTheme="minorHAnsi" w:hAnsiTheme="minorHAnsi"/>
          <w:noProof/>
          <w:webHidden/>
        </w:rPr>
        <w:tab/>
      </w:r>
      <w:r w:rsidR="00AA722D">
        <w:rPr>
          <w:rFonts w:asciiTheme="minorHAnsi" w:hAnsiTheme="minorHAnsi"/>
          <w:noProof/>
          <w:webHidden/>
        </w:rPr>
        <w:t>152</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4.123</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benefits of an ERA in addition to a PDE-5 inhibitor, relative to PDE-5 inhibitor monotherapy in all PAH patients</w:t>
      </w:r>
      <w:r w:rsidRPr="00322CC4">
        <w:rPr>
          <w:rFonts w:asciiTheme="minorHAnsi" w:hAnsiTheme="minorHAnsi"/>
          <w:noProof/>
          <w:webHidden/>
        </w:rPr>
        <w:tab/>
      </w:r>
      <w:r w:rsidR="00AA722D">
        <w:rPr>
          <w:rFonts w:asciiTheme="minorHAnsi" w:hAnsiTheme="minorHAnsi"/>
          <w:noProof/>
          <w:webHidden/>
        </w:rPr>
        <w:t>154</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4.124</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benefits of an ERA in addition to a PDE-5 inhibitor, relative to PDE-5 inhibitor monotherapy in patients with WHO FC III/IV PAH</w:t>
      </w:r>
      <w:r w:rsidRPr="00322CC4">
        <w:rPr>
          <w:rFonts w:asciiTheme="minorHAnsi" w:hAnsiTheme="minorHAnsi"/>
          <w:noProof/>
          <w:webHidden/>
        </w:rPr>
        <w:tab/>
      </w:r>
      <w:r w:rsidR="00AA722D">
        <w:rPr>
          <w:rFonts w:asciiTheme="minorHAnsi" w:hAnsiTheme="minorHAnsi"/>
          <w:noProof/>
          <w:webHidden/>
        </w:rPr>
        <w:t>156</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4.125</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benefits of an ERA in addition to a PDE-5 inhibitor, relative to PDE-5 inhibitor monotherapy in patients with different PAH aetiologies</w:t>
      </w:r>
      <w:r w:rsidRPr="00322CC4">
        <w:rPr>
          <w:rFonts w:asciiTheme="minorHAnsi" w:hAnsiTheme="minorHAnsi"/>
          <w:noProof/>
          <w:webHidden/>
        </w:rPr>
        <w:tab/>
      </w:r>
      <w:r w:rsidR="00AA722D">
        <w:rPr>
          <w:rFonts w:asciiTheme="minorHAnsi" w:hAnsiTheme="minorHAnsi"/>
          <w:noProof/>
          <w:webHidden/>
        </w:rPr>
        <w:t>157</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4.126</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harms of an ERA in addition to a PDE-5 inhibitor, relative to PDE-5 inhibitor monotherapy in all patients with PAH</w:t>
      </w:r>
      <w:r w:rsidRPr="00322CC4">
        <w:rPr>
          <w:rFonts w:asciiTheme="minorHAnsi" w:hAnsiTheme="minorHAnsi"/>
          <w:noProof/>
          <w:webHidden/>
        </w:rPr>
        <w:tab/>
      </w:r>
      <w:r w:rsidR="00AA722D">
        <w:rPr>
          <w:rFonts w:asciiTheme="minorHAnsi" w:hAnsiTheme="minorHAnsi"/>
          <w:noProof/>
          <w:webHidden/>
        </w:rPr>
        <w:t>158</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4.127</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harms of an ERA in addition to a PDE-5 inhibitor, relative to PDE-5 inhibitor monotherapy in patients with different PAH aetiologies</w:t>
      </w:r>
      <w:r w:rsidRPr="00322CC4">
        <w:rPr>
          <w:rFonts w:asciiTheme="minorHAnsi" w:hAnsiTheme="minorHAnsi"/>
          <w:noProof/>
          <w:webHidden/>
        </w:rPr>
        <w:tab/>
      </w:r>
      <w:r w:rsidR="00AA722D">
        <w:rPr>
          <w:rFonts w:asciiTheme="minorHAnsi" w:hAnsiTheme="minorHAnsi"/>
          <w:noProof/>
          <w:webHidden/>
        </w:rPr>
        <w:t>159</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4.128</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benefits of an ERA in addition to a prostanoid, relative to prostanoid monotherapy in patients with WHO FC III/IV PAH</w:t>
      </w:r>
      <w:r w:rsidRPr="00322CC4">
        <w:rPr>
          <w:rFonts w:asciiTheme="minorHAnsi" w:hAnsiTheme="minorHAnsi"/>
          <w:noProof/>
          <w:webHidden/>
        </w:rPr>
        <w:tab/>
      </w:r>
      <w:r w:rsidR="00AA722D">
        <w:rPr>
          <w:rFonts w:asciiTheme="minorHAnsi" w:hAnsiTheme="minorHAnsi"/>
          <w:noProof/>
          <w:webHidden/>
        </w:rPr>
        <w:t>161</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4.129</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harms of an ERA in addition to a prostanoid, relative to prostanoid monotherapy in patients with WHO FC III/IV PAH</w:t>
      </w:r>
      <w:r w:rsidRPr="00322CC4">
        <w:rPr>
          <w:rFonts w:asciiTheme="minorHAnsi" w:hAnsiTheme="minorHAnsi"/>
          <w:noProof/>
          <w:webHidden/>
        </w:rPr>
        <w:tab/>
      </w:r>
      <w:r w:rsidR="00AA722D">
        <w:rPr>
          <w:rFonts w:asciiTheme="minorHAnsi" w:hAnsiTheme="minorHAnsi"/>
          <w:noProof/>
          <w:webHidden/>
        </w:rPr>
        <w:t>163</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4.130</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benefits of a PDE-5 inhibitor in addition to an ERA, relative to ERA monotherapy in all PAH patients</w:t>
      </w:r>
      <w:r w:rsidRPr="00322CC4">
        <w:rPr>
          <w:rFonts w:asciiTheme="minorHAnsi" w:hAnsiTheme="minorHAnsi"/>
          <w:noProof/>
          <w:webHidden/>
        </w:rPr>
        <w:tab/>
      </w:r>
      <w:r w:rsidR="00AA722D">
        <w:rPr>
          <w:rFonts w:asciiTheme="minorHAnsi" w:hAnsiTheme="minorHAnsi"/>
          <w:noProof/>
          <w:webHidden/>
        </w:rPr>
        <w:t>164</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4.131</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benefits of a PDE-5 inhibitor in addition to an ERA, relative to ERA monotherapy in patients with WHO FC III/IV PAH</w:t>
      </w:r>
      <w:r w:rsidRPr="00322CC4">
        <w:rPr>
          <w:rFonts w:asciiTheme="minorHAnsi" w:hAnsiTheme="minorHAnsi"/>
          <w:noProof/>
          <w:webHidden/>
        </w:rPr>
        <w:tab/>
      </w:r>
      <w:r w:rsidR="00AA722D">
        <w:rPr>
          <w:rFonts w:asciiTheme="minorHAnsi" w:hAnsiTheme="minorHAnsi"/>
          <w:noProof/>
          <w:webHidden/>
        </w:rPr>
        <w:t>166</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4.132</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benefits of a PDE-5 inhibitor in addition to an ERA, relative to ERA monotherapy in patients with different PAH aetiologies</w:t>
      </w:r>
      <w:r w:rsidRPr="00322CC4">
        <w:rPr>
          <w:rFonts w:asciiTheme="minorHAnsi" w:hAnsiTheme="minorHAnsi"/>
          <w:noProof/>
          <w:webHidden/>
        </w:rPr>
        <w:tab/>
      </w:r>
      <w:r w:rsidR="00AA722D">
        <w:rPr>
          <w:rFonts w:asciiTheme="minorHAnsi" w:hAnsiTheme="minorHAnsi"/>
          <w:noProof/>
          <w:webHidden/>
        </w:rPr>
        <w:t>167</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4.133</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harms of a PDE-5 inhibitor in addition to an ERA, relative to ERA monotherapy in all PAH patients</w:t>
      </w:r>
      <w:r w:rsidRPr="00322CC4">
        <w:rPr>
          <w:rFonts w:asciiTheme="minorHAnsi" w:hAnsiTheme="minorHAnsi"/>
          <w:noProof/>
          <w:webHidden/>
        </w:rPr>
        <w:tab/>
      </w:r>
      <w:r w:rsidR="00AA722D">
        <w:rPr>
          <w:rFonts w:asciiTheme="minorHAnsi" w:hAnsiTheme="minorHAnsi"/>
          <w:noProof/>
          <w:webHidden/>
        </w:rPr>
        <w:t>168</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4.134</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harms of a PDE-5 inhibitor in addition to an ERA, relative to ERA monotherapy in patients with PAH-CTD</w:t>
      </w:r>
      <w:r w:rsidRPr="00322CC4">
        <w:rPr>
          <w:rFonts w:asciiTheme="minorHAnsi" w:hAnsiTheme="minorHAnsi"/>
          <w:noProof/>
          <w:webHidden/>
        </w:rPr>
        <w:tab/>
      </w:r>
      <w:r w:rsidR="00AA722D">
        <w:rPr>
          <w:rFonts w:asciiTheme="minorHAnsi" w:hAnsiTheme="minorHAnsi"/>
          <w:noProof/>
          <w:webHidden/>
        </w:rPr>
        <w:t>169</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4.135</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benefits of a PDE-5 inhibitor in addition to a prostanoid, relative to prostanoid monotherapy in all PAH patients</w:t>
      </w:r>
      <w:r w:rsidRPr="00322CC4">
        <w:rPr>
          <w:rFonts w:asciiTheme="minorHAnsi" w:hAnsiTheme="minorHAnsi"/>
          <w:noProof/>
          <w:webHidden/>
        </w:rPr>
        <w:tab/>
      </w:r>
      <w:r w:rsidR="00AA722D">
        <w:rPr>
          <w:rFonts w:asciiTheme="minorHAnsi" w:hAnsiTheme="minorHAnsi"/>
          <w:noProof/>
          <w:webHidden/>
        </w:rPr>
        <w:t>170</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4.136</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harms of a PDE-5 inhibitor in addition to a prostanoid, relative to prostanoid monotherapy in all patients with PAH</w:t>
      </w:r>
      <w:r w:rsidRPr="00322CC4">
        <w:rPr>
          <w:rFonts w:asciiTheme="minorHAnsi" w:hAnsiTheme="minorHAnsi"/>
          <w:noProof/>
          <w:webHidden/>
        </w:rPr>
        <w:tab/>
      </w:r>
      <w:r w:rsidR="00AA722D">
        <w:rPr>
          <w:rFonts w:asciiTheme="minorHAnsi" w:hAnsiTheme="minorHAnsi"/>
          <w:noProof/>
          <w:webHidden/>
        </w:rPr>
        <w:t>171</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4.137</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benefits of a prostanoid in addition to an ERA, relative to ERA monotherapy in patients with WHO FC III/IV PAH</w:t>
      </w:r>
      <w:r w:rsidRPr="00322CC4">
        <w:rPr>
          <w:rFonts w:asciiTheme="minorHAnsi" w:hAnsiTheme="minorHAnsi"/>
          <w:noProof/>
          <w:webHidden/>
        </w:rPr>
        <w:tab/>
      </w:r>
      <w:r w:rsidR="00AA722D">
        <w:rPr>
          <w:rFonts w:asciiTheme="minorHAnsi" w:hAnsiTheme="minorHAnsi"/>
          <w:noProof/>
          <w:webHidden/>
        </w:rPr>
        <w:t>173</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4.138</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harms of a prostanoid in addition to an ERA, relative to ERA monotherapy in patients with WHO FC III/IV PAH</w:t>
      </w:r>
      <w:r w:rsidRPr="00322CC4">
        <w:rPr>
          <w:rFonts w:asciiTheme="minorHAnsi" w:hAnsiTheme="minorHAnsi"/>
          <w:noProof/>
          <w:webHidden/>
        </w:rPr>
        <w:tab/>
      </w:r>
      <w:r w:rsidR="00AA722D">
        <w:rPr>
          <w:rFonts w:asciiTheme="minorHAnsi" w:hAnsiTheme="minorHAnsi"/>
          <w:noProof/>
          <w:webHidden/>
        </w:rPr>
        <w:t>175</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4.139</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benefits of a sGC stimulator in addition to an ERA, relative to ERA monotherapy in all PAH patients</w:t>
      </w:r>
      <w:r w:rsidRPr="00322CC4">
        <w:rPr>
          <w:rFonts w:asciiTheme="minorHAnsi" w:hAnsiTheme="minorHAnsi"/>
          <w:noProof/>
          <w:webHidden/>
        </w:rPr>
        <w:tab/>
      </w:r>
      <w:r w:rsidR="00AA722D">
        <w:rPr>
          <w:rFonts w:asciiTheme="minorHAnsi" w:hAnsiTheme="minorHAnsi"/>
          <w:noProof/>
          <w:webHidden/>
        </w:rPr>
        <w:t>176</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4.140</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benefits of a sGC stimulator in addition to an ERA, relative to ERA monotherapy in patients with WHO FC III/IV PAH</w:t>
      </w:r>
      <w:r w:rsidRPr="00322CC4">
        <w:rPr>
          <w:rFonts w:asciiTheme="minorHAnsi" w:hAnsiTheme="minorHAnsi"/>
          <w:noProof/>
          <w:webHidden/>
        </w:rPr>
        <w:tab/>
      </w:r>
      <w:r w:rsidR="00AA722D">
        <w:rPr>
          <w:rFonts w:asciiTheme="minorHAnsi" w:hAnsiTheme="minorHAnsi"/>
          <w:noProof/>
          <w:webHidden/>
        </w:rPr>
        <w:t>178</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4.141</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benefits of a sGC stimulator in addition to a PDE-5 inhibitor, relative to PDE-5 inhibitor monotherapy in all PAH patients</w:t>
      </w:r>
      <w:r w:rsidRPr="00322CC4">
        <w:rPr>
          <w:rFonts w:asciiTheme="minorHAnsi" w:hAnsiTheme="minorHAnsi"/>
          <w:noProof/>
          <w:webHidden/>
        </w:rPr>
        <w:tab/>
      </w:r>
      <w:r w:rsidR="00AA722D">
        <w:rPr>
          <w:rFonts w:asciiTheme="minorHAnsi" w:hAnsiTheme="minorHAnsi"/>
          <w:noProof/>
          <w:webHidden/>
        </w:rPr>
        <w:t>180</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4.142</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harms of a sGC stimulator in addition to a PDE-5 inhibitor, relative to PDE-5 inhibitor monotherapy in all PAH patients</w:t>
      </w:r>
      <w:r w:rsidRPr="00322CC4">
        <w:rPr>
          <w:rFonts w:asciiTheme="minorHAnsi" w:hAnsiTheme="minorHAnsi"/>
          <w:noProof/>
          <w:webHidden/>
        </w:rPr>
        <w:tab/>
      </w:r>
      <w:r w:rsidR="00AA722D">
        <w:rPr>
          <w:rFonts w:asciiTheme="minorHAnsi" w:hAnsiTheme="minorHAnsi"/>
          <w:noProof/>
          <w:webHidden/>
        </w:rPr>
        <w:t>181</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4.143</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Balance of clinical benefits of a sGC stimulator in addition to a prostanoid, relative to prostanoid monotherapy in all PAH patients</w:t>
      </w:r>
      <w:r w:rsidRPr="00322CC4">
        <w:rPr>
          <w:rFonts w:asciiTheme="minorHAnsi" w:hAnsiTheme="minorHAnsi"/>
          <w:noProof/>
          <w:webHidden/>
        </w:rPr>
        <w:tab/>
      </w:r>
      <w:r w:rsidR="00AA722D">
        <w:rPr>
          <w:rFonts w:asciiTheme="minorHAnsi" w:hAnsiTheme="minorHAnsi"/>
          <w:noProof/>
          <w:webHidden/>
        </w:rPr>
        <w:t>182</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4.144</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Studies included to address research questions</w:t>
      </w:r>
      <w:r w:rsidRPr="00322CC4">
        <w:rPr>
          <w:rFonts w:asciiTheme="minorHAnsi" w:hAnsiTheme="minorHAnsi"/>
          <w:noProof/>
          <w:webHidden/>
        </w:rPr>
        <w:tab/>
      </w:r>
      <w:r w:rsidR="00AA722D">
        <w:rPr>
          <w:rFonts w:asciiTheme="minorHAnsi" w:hAnsiTheme="minorHAnsi"/>
          <w:noProof/>
          <w:webHidden/>
        </w:rPr>
        <w:t>192</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lastRenderedPageBreak/>
        <w:t>Table 4.145</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Additional</w:t>
      </w:r>
      <w:r w:rsidRPr="00A17B9D">
        <w:rPr>
          <w:rFonts w:asciiTheme="minorHAnsi" w:hAnsiTheme="minorHAnsi"/>
          <w:noProof/>
          <w:vertAlign w:val="superscript"/>
        </w:rPr>
        <w:t>a</w:t>
      </w:r>
      <w:r w:rsidRPr="00A17B9D">
        <w:rPr>
          <w:rFonts w:asciiTheme="minorHAnsi" w:hAnsiTheme="minorHAnsi"/>
          <w:noProof/>
        </w:rPr>
        <w:t xml:space="preserve"> studies included for extended assessment of safety</w:t>
      </w:r>
      <w:r w:rsidRPr="00322CC4">
        <w:rPr>
          <w:rFonts w:asciiTheme="minorHAnsi" w:hAnsiTheme="minorHAnsi"/>
          <w:noProof/>
          <w:webHidden/>
        </w:rPr>
        <w:tab/>
      </w:r>
      <w:r w:rsidR="00AA722D">
        <w:rPr>
          <w:rFonts w:asciiTheme="minorHAnsi" w:hAnsiTheme="minorHAnsi"/>
          <w:noProof/>
          <w:webHidden/>
        </w:rPr>
        <w:t>212</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4.146</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ERA compared with placebo for patients with WHO FC I/II PAH</w:t>
      </w:r>
      <w:r w:rsidRPr="00322CC4">
        <w:rPr>
          <w:rFonts w:asciiTheme="minorHAnsi" w:hAnsiTheme="minorHAnsi"/>
          <w:noProof/>
          <w:webHidden/>
        </w:rPr>
        <w:tab/>
      </w:r>
      <w:r w:rsidR="00AA722D">
        <w:rPr>
          <w:rFonts w:asciiTheme="minorHAnsi" w:hAnsiTheme="minorHAnsi"/>
          <w:noProof/>
          <w:webHidden/>
        </w:rPr>
        <w:t>234</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4.147</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PDE-5 inhibitor compared to placebo for patients with WHO FC I/II PAH</w:t>
      </w:r>
      <w:r w:rsidRPr="00322CC4">
        <w:rPr>
          <w:rFonts w:asciiTheme="minorHAnsi" w:hAnsiTheme="minorHAnsi"/>
          <w:noProof/>
          <w:webHidden/>
        </w:rPr>
        <w:tab/>
      </w:r>
      <w:r w:rsidR="00AA722D">
        <w:rPr>
          <w:rFonts w:asciiTheme="minorHAnsi" w:hAnsiTheme="minorHAnsi"/>
          <w:noProof/>
          <w:webHidden/>
        </w:rPr>
        <w:t>235</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4.148</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sGC stimulator compared to placebo for patients with WHO FC I/II PAH</w:t>
      </w:r>
      <w:r w:rsidRPr="00322CC4">
        <w:rPr>
          <w:rFonts w:asciiTheme="minorHAnsi" w:hAnsiTheme="minorHAnsi"/>
          <w:noProof/>
          <w:webHidden/>
        </w:rPr>
        <w:tab/>
      </w:r>
      <w:r w:rsidR="00AA722D">
        <w:rPr>
          <w:rFonts w:asciiTheme="minorHAnsi" w:hAnsiTheme="minorHAnsi"/>
          <w:noProof/>
          <w:webHidden/>
        </w:rPr>
        <w:t>236</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4.149</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effectiveness of ERA plus PDE-5 inhibitor combination therapy compared to PDE-5 inhibitor monotherapy for all PAH patients</w:t>
      </w:r>
      <w:r w:rsidRPr="00322CC4">
        <w:rPr>
          <w:rFonts w:asciiTheme="minorHAnsi" w:hAnsiTheme="minorHAnsi"/>
          <w:noProof/>
          <w:webHidden/>
        </w:rPr>
        <w:tab/>
      </w:r>
      <w:r w:rsidR="00AA722D">
        <w:rPr>
          <w:rFonts w:asciiTheme="minorHAnsi" w:hAnsiTheme="minorHAnsi"/>
          <w:noProof/>
          <w:webHidden/>
        </w:rPr>
        <w:t>238</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4.150</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effectiveness of ERA plus PDE-5 inhibitor combination therapy compared to PDE-5 inhibitor monotherapy for patients with WHO FC III/IV PAH</w:t>
      </w:r>
      <w:r w:rsidRPr="00322CC4">
        <w:rPr>
          <w:rFonts w:asciiTheme="minorHAnsi" w:hAnsiTheme="minorHAnsi"/>
          <w:noProof/>
          <w:webHidden/>
        </w:rPr>
        <w:tab/>
      </w:r>
      <w:r w:rsidR="00AA722D">
        <w:rPr>
          <w:rFonts w:asciiTheme="minorHAnsi" w:hAnsiTheme="minorHAnsi"/>
          <w:noProof/>
          <w:webHidden/>
        </w:rPr>
        <w:t>239</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4.151</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effectiveness of ERA plus PDE-5 inhibitor combination therapy compared to PDE-5 inhibitor monotherapy for patients with different PAH aetiologies</w:t>
      </w:r>
      <w:r w:rsidRPr="00322CC4">
        <w:rPr>
          <w:rFonts w:asciiTheme="minorHAnsi" w:hAnsiTheme="minorHAnsi"/>
          <w:noProof/>
          <w:webHidden/>
        </w:rPr>
        <w:tab/>
      </w:r>
      <w:r w:rsidR="00AA722D">
        <w:rPr>
          <w:rFonts w:asciiTheme="minorHAnsi" w:hAnsiTheme="minorHAnsi"/>
          <w:noProof/>
          <w:webHidden/>
        </w:rPr>
        <w:t>240</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4.152</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comparative safety of ERA plus PDE-5 inhibitor combination therapy compared to PDE-5 inhibitor monotherapy for all PAH patients</w:t>
      </w:r>
      <w:r w:rsidRPr="00322CC4">
        <w:rPr>
          <w:rFonts w:asciiTheme="minorHAnsi" w:hAnsiTheme="minorHAnsi"/>
          <w:noProof/>
          <w:webHidden/>
        </w:rPr>
        <w:tab/>
      </w:r>
      <w:r w:rsidR="00AA722D">
        <w:rPr>
          <w:rFonts w:asciiTheme="minorHAnsi" w:hAnsiTheme="minorHAnsi"/>
          <w:noProof/>
          <w:webHidden/>
        </w:rPr>
        <w:t>241</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4.153</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comparative safety of ERA + PDE-5 inhibitor combination therapy compared to PDE-5 inhibitor monotherapy for patients with different PAH aetiologies</w:t>
      </w:r>
      <w:r w:rsidRPr="00322CC4">
        <w:rPr>
          <w:rFonts w:asciiTheme="minorHAnsi" w:hAnsiTheme="minorHAnsi"/>
          <w:noProof/>
          <w:webHidden/>
        </w:rPr>
        <w:tab/>
      </w:r>
      <w:r w:rsidR="00AA722D">
        <w:rPr>
          <w:rFonts w:asciiTheme="minorHAnsi" w:hAnsiTheme="minorHAnsi"/>
          <w:noProof/>
          <w:webHidden/>
        </w:rPr>
        <w:t>242</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4.154</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effectiveness of ERA plus prostanoid combination therapy compared to prostanoid monotherapy for patients with WHO FC III/IV PAH</w:t>
      </w:r>
      <w:r w:rsidRPr="00322CC4">
        <w:rPr>
          <w:rFonts w:asciiTheme="minorHAnsi" w:hAnsiTheme="minorHAnsi"/>
          <w:noProof/>
          <w:webHidden/>
        </w:rPr>
        <w:tab/>
      </w:r>
      <w:r w:rsidR="00AA722D">
        <w:rPr>
          <w:rFonts w:asciiTheme="minorHAnsi" w:hAnsiTheme="minorHAnsi"/>
          <w:noProof/>
          <w:webHidden/>
        </w:rPr>
        <w:t>243</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4.155</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comparative safety of ERA + prostanoid combination therapy compared to prostanoid monotherapy for patients with WHO FC III/IV PAH</w:t>
      </w:r>
      <w:r w:rsidRPr="00322CC4">
        <w:rPr>
          <w:rFonts w:asciiTheme="minorHAnsi" w:hAnsiTheme="minorHAnsi"/>
          <w:noProof/>
          <w:webHidden/>
        </w:rPr>
        <w:tab/>
      </w:r>
      <w:r w:rsidR="00AA722D">
        <w:rPr>
          <w:rFonts w:asciiTheme="minorHAnsi" w:hAnsiTheme="minorHAnsi"/>
          <w:noProof/>
          <w:webHidden/>
        </w:rPr>
        <w:t>245</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4.156</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effectiveness of PDE-5 inhibitor plus ERA combination therapy compared to ERA monotherapy for all PAH patients</w:t>
      </w:r>
      <w:r w:rsidRPr="00322CC4">
        <w:rPr>
          <w:rFonts w:asciiTheme="minorHAnsi" w:hAnsiTheme="minorHAnsi"/>
          <w:noProof/>
          <w:webHidden/>
        </w:rPr>
        <w:tab/>
      </w:r>
      <w:r w:rsidR="00AA722D">
        <w:rPr>
          <w:rFonts w:asciiTheme="minorHAnsi" w:hAnsiTheme="minorHAnsi"/>
          <w:noProof/>
          <w:webHidden/>
        </w:rPr>
        <w:t>246</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4.157</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effectiveness of PDE-5 inhibitor plus ERA combination therapy compared to ERA monotherapy for patients with WHO FC III/IV PAH</w:t>
      </w:r>
      <w:r w:rsidRPr="00322CC4">
        <w:rPr>
          <w:rFonts w:asciiTheme="minorHAnsi" w:hAnsiTheme="minorHAnsi"/>
          <w:noProof/>
          <w:webHidden/>
        </w:rPr>
        <w:tab/>
      </w:r>
      <w:r w:rsidR="00AA722D">
        <w:rPr>
          <w:rFonts w:asciiTheme="minorHAnsi" w:hAnsiTheme="minorHAnsi"/>
          <w:noProof/>
          <w:webHidden/>
        </w:rPr>
        <w:t>247</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4.158</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effectiveness of PDE-5 inhibitor plus ERA combination therapy compared to ERA monotherapy for patients with different PAH aetiologies</w:t>
      </w:r>
      <w:r w:rsidRPr="00322CC4">
        <w:rPr>
          <w:rFonts w:asciiTheme="minorHAnsi" w:hAnsiTheme="minorHAnsi"/>
          <w:noProof/>
          <w:webHidden/>
        </w:rPr>
        <w:tab/>
      </w:r>
      <w:r w:rsidR="00AA722D">
        <w:rPr>
          <w:rFonts w:asciiTheme="minorHAnsi" w:hAnsiTheme="minorHAnsi"/>
          <w:noProof/>
          <w:webHidden/>
        </w:rPr>
        <w:t>248</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4.159</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comparative safety of PDE-5 inhibitor + ERA combination therapy compared to ERA monotherapy for all PAH patients</w:t>
      </w:r>
      <w:r w:rsidRPr="00322CC4">
        <w:rPr>
          <w:rFonts w:asciiTheme="minorHAnsi" w:hAnsiTheme="minorHAnsi"/>
          <w:noProof/>
          <w:webHidden/>
        </w:rPr>
        <w:tab/>
      </w:r>
      <w:r w:rsidR="00AA722D">
        <w:rPr>
          <w:rFonts w:asciiTheme="minorHAnsi" w:hAnsiTheme="minorHAnsi"/>
          <w:noProof/>
          <w:webHidden/>
        </w:rPr>
        <w:t>249</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4.160</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comparative safety of PDE-5 inhibitor plus ERA combination therapy compared to ERA monotherapy for patients with PAH-CTD</w:t>
      </w:r>
      <w:r w:rsidRPr="00322CC4">
        <w:rPr>
          <w:rFonts w:asciiTheme="minorHAnsi" w:hAnsiTheme="minorHAnsi"/>
          <w:noProof/>
          <w:webHidden/>
        </w:rPr>
        <w:tab/>
      </w:r>
      <w:r w:rsidR="00AA722D">
        <w:rPr>
          <w:rFonts w:asciiTheme="minorHAnsi" w:hAnsiTheme="minorHAnsi"/>
          <w:noProof/>
          <w:webHidden/>
        </w:rPr>
        <w:t>249</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4.161</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effectiveness of PDE-5 inhibitor plus prostanoid combination therapy compared to prostanoid monotherapy for all PAH patients</w:t>
      </w:r>
      <w:r w:rsidRPr="00322CC4">
        <w:rPr>
          <w:rFonts w:asciiTheme="minorHAnsi" w:hAnsiTheme="minorHAnsi"/>
          <w:noProof/>
          <w:webHidden/>
        </w:rPr>
        <w:tab/>
      </w:r>
      <w:r w:rsidR="00AA722D">
        <w:rPr>
          <w:rFonts w:asciiTheme="minorHAnsi" w:hAnsiTheme="minorHAnsi"/>
          <w:noProof/>
          <w:webHidden/>
        </w:rPr>
        <w:t>250</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4.162</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comparative safety of PDE-5 inhibitor plus prostanoid combination therapy compared to prostanoid monotherapy for all PAH patients</w:t>
      </w:r>
      <w:r w:rsidRPr="00322CC4">
        <w:rPr>
          <w:rFonts w:asciiTheme="minorHAnsi" w:hAnsiTheme="minorHAnsi"/>
          <w:noProof/>
          <w:webHidden/>
        </w:rPr>
        <w:tab/>
      </w:r>
      <w:r w:rsidR="00AA722D">
        <w:rPr>
          <w:rFonts w:asciiTheme="minorHAnsi" w:hAnsiTheme="minorHAnsi"/>
          <w:noProof/>
          <w:webHidden/>
        </w:rPr>
        <w:t>252</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4.163</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effectiveness of prostanoid plus ERA combination therapy compared to ERA monotherapy for patients with WHO FC III/IV PAH</w:t>
      </w:r>
      <w:r w:rsidRPr="00322CC4">
        <w:rPr>
          <w:rFonts w:asciiTheme="minorHAnsi" w:hAnsiTheme="minorHAnsi"/>
          <w:noProof/>
          <w:webHidden/>
        </w:rPr>
        <w:tab/>
      </w:r>
      <w:r w:rsidR="00AA722D">
        <w:rPr>
          <w:rFonts w:asciiTheme="minorHAnsi" w:hAnsiTheme="minorHAnsi"/>
          <w:noProof/>
          <w:webHidden/>
        </w:rPr>
        <w:t>252</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lastRenderedPageBreak/>
        <w:t>Table 4.164</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comparative safety of prostanoid plus ERA combination therapy compared to ERA monotherapy for patients with WHO FC III/IV PAH</w:t>
      </w:r>
      <w:r w:rsidRPr="00322CC4">
        <w:rPr>
          <w:rFonts w:asciiTheme="minorHAnsi" w:hAnsiTheme="minorHAnsi"/>
          <w:noProof/>
          <w:webHidden/>
        </w:rPr>
        <w:tab/>
      </w:r>
      <w:r w:rsidR="00AA722D">
        <w:rPr>
          <w:rFonts w:asciiTheme="minorHAnsi" w:hAnsiTheme="minorHAnsi"/>
          <w:noProof/>
          <w:webHidden/>
        </w:rPr>
        <w:t>254</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4.165</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effectiveness of sGC stimulator + ERA combination therapy compared to ERA monotherapy for all PAH patients</w:t>
      </w:r>
      <w:r w:rsidRPr="00322CC4">
        <w:rPr>
          <w:rFonts w:asciiTheme="minorHAnsi" w:hAnsiTheme="minorHAnsi"/>
          <w:noProof/>
          <w:webHidden/>
        </w:rPr>
        <w:tab/>
      </w:r>
      <w:r w:rsidR="00AA722D">
        <w:rPr>
          <w:rFonts w:asciiTheme="minorHAnsi" w:hAnsiTheme="minorHAnsi"/>
          <w:noProof/>
          <w:webHidden/>
        </w:rPr>
        <w:t>255</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4.166</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effectiveness of sGC stimulator + ERA combination therapy compared to ERA monotherapy for patients with WHO FC III/IV PAH</w:t>
      </w:r>
      <w:r w:rsidRPr="00322CC4">
        <w:rPr>
          <w:rFonts w:asciiTheme="minorHAnsi" w:hAnsiTheme="minorHAnsi"/>
          <w:noProof/>
          <w:webHidden/>
        </w:rPr>
        <w:tab/>
      </w:r>
      <w:r w:rsidR="00AA722D">
        <w:rPr>
          <w:rFonts w:asciiTheme="minorHAnsi" w:hAnsiTheme="minorHAnsi"/>
          <w:noProof/>
          <w:webHidden/>
        </w:rPr>
        <w:t>257</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4.167</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effectiveness of sGC stimulator + PDE-5 inhibitor combination therapy compared to PDE-5 inhibitor monotherapy for all PAH patients</w:t>
      </w:r>
      <w:r w:rsidRPr="00322CC4">
        <w:rPr>
          <w:rFonts w:asciiTheme="minorHAnsi" w:hAnsiTheme="minorHAnsi"/>
          <w:noProof/>
          <w:webHidden/>
        </w:rPr>
        <w:tab/>
      </w:r>
      <w:r w:rsidR="00AA722D">
        <w:rPr>
          <w:rFonts w:asciiTheme="minorHAnsi" w:hAnsiTheme="minorHAnsi"/>
          <w:noProof/>
          <w:webHidden/>
        </w:rPr>
        <w:t>258</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4.168</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comparative safety of sGC stimulator + PDE-5 inhibitor combination therapy compared to PDE-5 inhibitor monotherapy for all PAH patients</w:t>
      </w:r>
      <w:r w:rsidRPr="00322CC4">
        <w:rPr>
          <w:rFonts w:asciiTheme="minorHAnsi" w:hAnsiTheme="minorHAnsi"/>
          <w:noProof/>
          <w:webHidden/>
        </w:rPr>
        <w:tab/>
      </w:r>
      <w:r w:rsidR="00AA722D">
        <w:rPr>
          <w:rFonts w:asciiTheme="minorHAnsi" w:hAnsiTheme="minorHAnsi"/>
          <w:noProof/>
          <w:webHidden/>
        </w:rPr>
        <w:t>259</w:t>
      </w:r>
    </w:p>
    <w:p w:rsidR="00322CC4" w:rsidRPr="00322CC4"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Table 4.169</w:t>
      </w:r>
      <w:r w:rsidRPr="00322CC4">
        <w:rPr>
          <w:rFonts w:asciiTheme="minorHAnsi" w:eastAsiaTheme="minorEastAsia" w:hAnsiTheme="minorHAnsi" w:cstheme="minorBidi"/>
          <w:noProof/>
          <w:sz w:val="22"/>
          <w:szCs w:val="22"/>
          <w:lang w:eastAsia="en-AU"/>
        </w:rPr>
        <w:tab/>
      </w:r>
      <w:r w:rsidRPr="00A17B9D">
        <w:rPr>
          <w:rFonts w:asciiTheme="minorHAnsi" w:hAnsiTheme="minorHAnsi"/>
          <w:noProof/>
        </w:rPr>
        <w:t>Evidence profile table for effectiveness of sGC stimulator + prostanoid combination therapy compared to prostanoid monotherapy for all PAH patients</w:t>
      </w:r>
      <w:r w:rsidRPr="00322CC4">
        <w:rPr>
          <w:rFonts w:asciiTheme="minorHAnsi" w:hAnsiTheme="minorHAnsi"/>
          <w:noProof/>
          <w:webHidden/>
        </w:rPr>
        <w:tab/>
      </w:r>
      <w:r w:rsidR="00AA722D">
        <w:rPr>
          <w:rFonts w:asciiTheme="minorHAnsi" w:hAnsiTheme="minorHAnsi"/>
          <w:noProof/>
          <w:webHidden/>
        </w:rPr>
        <w:t>260</w:t>
      </w:r>
    </w:p>
    <w:p w:rsidR="000E3539" w:rsidRPr="00EB1471" w:rsidRDefault="000E3539" w:rsidP="00BF48DF">
      <w:pPr>
        <w:pStyle w:val="TableofFigures"/>
        <w:tabs>
          <w:tab w:val="right" w:leader="dot" w:pos="9628"/>
        </w:tabs>
        <w:ind w:left="0" w:firstLine="0"/>
        <w:rPr>
          <w:rFonts w:asciiTheme="minorHAnsi" w:eastAsiaTheme="minorEastAsia" w:hAnsiTheme="minorHAnsi" w:cstheme="minorBidi"/>
          <w:sz w:val="22"/>
          <w:szCs w:val="22"/>
          <w:lang w:eastAsia="en-AU"/>
        </w:rPr>
      </w:pPr>
    </w:p>
    <w:p w:rsidR="00C7581F" w:rsidRPr="00756D3E" w:rsidRDefault="00C7581F" w:rsidP="00C7581F">
      <w:pPr>
        <w:pStyle w:val="BodyText"/>
        <w:jc w:val="center"/>
        <w:rPr>
          <w:rFonts w:asciiTheme="minorHAnsi" w:hAnsiTheme="minorHAnsi"/>
          <w:b/>
          <w:color w:val="4F81BD"/>
          <w:sz w:val="40"/>
          <w:szCs w:val="40"/>
        </w:rPr>
      </w:pPr>
      <w:r w:rsidRPr="00756D3E">
        <w:rPr>
          <w:rFonts w:asciiTheme="minorHAnsi" w:hAnsiTheme="minorHAnsi"/>
          <w:b/>
          <w:color w:val="4F81BD"/>
          <w:sz w:val="40"/>
          <w:szCs w:val="40"/>
        </w:rPr>
        <w:t xml:space="preserve"> List of Figures</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Figure 4.1</w:t>
      </w:r>
      <w:r w:rsidRPr="00756D3E">
        <w:rPr>
          <w:rFonts w:asciiTheme="minorHAnsi" w:eastAsiaTheme="minorEastAsia" w:hAnsiTheme="minorHAnsi" w:cstheme="minorBidi"/>
          <w:noProof/>
          <w:sz w:val="22"/>
          <w:szCs w:val="22"/>
          <w:lang w:eastAsia="en-AU"/>
        </w:rPr>
        <w:tab/>
      </w:r>
      <w:r w:rsidRPr="00A17B9D">
        <w:rPr>
          <w:rFonts w:asciiTheme="minorHAnsi" w:eastAsiaTheme="minorHAnsi" w:hAnsiTheme="minorHAnsi"/>
          <w:noProof/>
        </w:rPr>
        <w:t>Summary of the process used to identify and select studies for the assessment of PAH medicines</w:t>
      </w:r>
      <w:r w:rsidRPr="00756D3E">
        <w:rPr>
          <w:rFonts w:asciiTheme="minorHAnsi" w:hAnsiTheme="minorHAnsi"/>
          <w:noProof/>
          <w:webHidden/>
        </w:rPr>
        <w:tab/>
      </w:r>
      <w:r w:rsidR="00AA722D">
        <w:rPr>
          <w:rFonts w:asciiTheme="minorHAnsi" w:hAnsiTheme="minorHAnsi"/>
          <w:noProof/>
          <w:webHidden/>
        </w:rPr>
        <w:t>48</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Figure 4.2</w:t>
      </w:r>
      <w:r w:rsidRPr="00756D3E">
        <w:rPr>
          <w:rFonts w:asciiTheme="minorHAnsi" w:eastAsiaTheme="minorEastAsia" w:hAnsiTheme="minorHAnsi" w:cstheme="minorBidi"/>
          <w:noProof/>
          <w:sz w:val="22"/>
          <w:szCs w:val="22"/>
          <w:lang w:eastAsia="en-AU"/>
        </w:rPr>
        <w:tab/>
      </w:r>
      <w:r w:rsidRPr="00A17B9D">
        <w:rPr>
          <w:rFonts w:asciiTheme="minorHAnsi" w:hAnsiTheme="minorHAnsi"/>
          <w:noProof/>
        </w:rPr>
        <w:t>Forest plot showing the RR of having a clinical worsening event while being treated with an ERA compared with placebo in patients with WHO FC I/II PAH</w:t>
      </w:r>
      <w:r w:rsidRPr="00756D3E">
        <w:rPr>
          <w:rFonts w:asciiTheme="minorHAnsi" w:hAnsiTheme="minorHAnsi"/>
          <w:noProof/>
          <w:webHidden/>
        </w:rPr>
        <w:tab/>
      </w:r>
      <w:r w:rsidR="00AA722D">
        <w:rPr>
          <w:rFonts w:asciiTheme="minorHAnsi" w:hAnsiTheme="minorHAnsi"/>
          <w:noProof/>
          <w:webHidden/>
        </w:rPr>
        <w:t>65</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Figure 4.3</w:t>
      </w:r>
      <w:r w:rsidRPr="00756D3E">
        <w:rPr>
          <w:rFonts w:asciiTheme="minorHAnsi" w:eastAsiaTheme="minorEastAsia" w:hAnsiTheme="minorHAnsi" w:cstheme="minorBidi"/>
          <w:noProof/>
          <w:sz w:val="22"/>
          <w:szCs w:val="22"/>
          <w:lang w:eastAsia="en-AU"/>
        </w:rPr>
        <w:tab/>
      </w:r>
      <w:r w:rsidRPr="00A17B9D">
        <w:rPr>
          <w:rFonts w:asciiTheme="minorHAnsi" w:hAnsiTheme="minorHAnsi"/>
          <w:noProof/>
        </w:rPr>
        <w:t>Forest plot showing the RR of all-cause mortality for ERA compared with placebo in patients with WHO FC I/II PAH</w:t>
      </w:r>
      <w:r w:rsidRPr="00756D3E">
        <w:rPr>
          <w:rFonts w:asciiTheme="minorHAnsi" w:hAnsiTheme="minorHAnsi"/>
          <w:noProof/>
          <w:webHidden/>
        </w:rPr>
        <w:tab/>
      </w:r>
      <w:r w:rsidR="00AA722D">
        <w:rPr>
          <w:rFonts w:asciiTheme="minorHAnsi" w:hAnsiTheme="minorHAnsi"/>
          <w:noProof/>
          <w:webHidden/>
        </w:rPr>
        <w:t>66</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Figure 4.4</w:t>
      </w:r>
      <w:r w:rsidRPr="00756D3E">
        <w:rPr>
          <w:rFonts w:asciiTheme="minorHAnsi" w:eastAsiaTheme="minorEastAsia" w:hAnsiTheme="minorHAnsi" w:cstheme="minorBidi"/>
          <w:noProof/>
          <w:sz w:val="22"/>
          <w:szCs w:val="22"/>
          <w:lang w:eastAsia="en-AU"/>
        </w:rPr>
        <w:tab/>
      </w:r>
      <w:r w:rsidRPr="00A17B9D">
        <w:rPr>
          <w:rFonts w:asciiTheme="minorHAnsi" w:hAnsiTheme="minorHAnsi"/>
          <w:noProof/>
        </w:rPr>
        <w:t>The change in 6MWD from baseline to 12 weeks in patients with WHO FC I/II PAH by ambrisentan dose or placebo (ARIES-1&amp;2)</w:t>
      </w:r>
      <w:r w:rsidRPr="00756D3E">
        <w:rPr>
          <w:rFonts w:asciiTheme="minorHAnsi" w:hAnsiTheme="minorHAnsi"/>
          <w:noProof/>
          <w:webHidden/>
        </w:rPr>
        <w:tab/>
      </w:r>
      <w:r w:rsidR="00AA722D">
        <w:rPr>
          <w:rFonts w:asciiTheme="minorHAnsi" w:hAnsiTheme="minorHAnsi"/>
          <w:noProof/>
          <w:webHidden/>
        </w:rPr>
        <w:t>67</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Figure 4.5</w:t>
      </w:r>
      <w:r w:rsidRPr="00756D3E">
        <w:rPr>
          <w:rFonts w:asciiTheme="minorHAnsi" w:eastAsiaTheme="minorEastAsia" w:hAnsiTheme="minorHAnsi" w:cstheme="minorBidi"/>
          <w:noProof/>
          <w:sz w:val="22"/>
          <w:szCs w:val="22"/>
          <w:lang w:eastAsia="en-AU"/>
        </w:rPr>
        <w:tab/>
      </w:r>
      <w:r w:rsidRPr="00A17B9D">
        <w:rPr>
          <w:rFonts w:asciiTheme="minorHAnsi" w:hAnsiTheme="minorHAnsi"/>
          <w:noProof/>
        </w:rPr>
        <w:t>Forest plot showing the RR of all-cause mortality for PDE-5 inhibitors compared with conventional therapy in patients with WHO FC I/II PAH</w:t>
      </w:r>
      <w:r w:rsidRPr="00756D3E">
        <w:rPr>
          <w:rFonts w:asciiTheme="minorHAnsi" w:hAnsiTheme="minorHAnsi"/>
          <w:noProof/>
          <w:webHidden/>
        </w:rPr>
        <w:tab/>
      </w:r>
      <w:r w:rsidR="00AA722D">
        <w:rPr>
          <w:rFonts w:asciiTheme="minorHAnsi" w:hAnsiTheme="minorHAnsi"/>
          <w:noProof/>
          <w:webHidden/>
        </w:rPr>
        <w:t>70</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Figure 4.6</w:t>
      </w:r>
      <w:r w:rsidRPr="00756D3E">
        <w:rPr>
          <w:rFonts w:asciiTheme="minorHAnsi" w:eastAsiaTheme="minorEastAsia" w:hAnsiTheme="minorHAnsi" w:cstheme="minorBidi"/>
          <w:noProof/>
          <w:sz w:val="22"/>
          <w:szCs w:val="22"/>
          <w:lang w:eastAsia="en-AU"/>
        </w:rPr>
        <w:tab/>
      </w:r>
      <w:r w:rsidRPr="00A17B9D">
        <w:rPr>
          <w:rFonts w:asciiTheme="minorHAnsi" w:hAnsiTheme="minorHAnsi"/>
          <w:noProof/>
        </w:rPr>
        <w:t>Forest plot showing the change in 6MWD from baseline to 12 weeks in patients with WHO FC I/II PAH by sildenafil dose or placebo (SUPER-1)</w:t>
      </w:r>
      <w:r w:rsidRPr="00756D3E">
        <w:rPr>
          <w:rFonts w:asciiTheme="minorHAnsi" w:hAnsiTheme="minorHAnsi"/>
          <w:noProof/>
          <w:webHidden/>
        </w:rPr>
        <w:tab/>
      </w:r>
      <w:r w:rsidR="00AA722D">
        <w:rPr>
          <w:rFonts w:asciiTheme="minorHAnsi" w:hAnsiTheme="minorHAnsi"/>
          <w:noProof/>
          <w:webHidden/>
        </w:rPr>
        <w:t>71</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Figure 4.7</w:t>
      </w:r>
      <w:r w:rsidRPr="00756D3E">
        <w:rPr>
          <w:rFonts w:asciiTheme="minorHAnsi" w:eastAsiaTheme="minorEastAsia" w:hAnsiTheme="minorHAnsi" w:cstheme="minorBidi"/>
          <w:noProof/>
          <w:sz w:val="22"/>
          <w:szCs w:val="22"/>
          <w:lang w:eastAsia="en-AU"/>
        </w:rPr>
        <w:tab/>
      </w:r>
      <w:r w:rsidRPr="00A17B9D">
        <w:rPr>
          <w:rFonts w:asciiTheme="minorHAnsi" w:hAnsiTheme="minorHAnsi"/>
          <w:noProof/>
        </w:rPr>
        <w:t>Forest plot showing the RR of having a clinical worsening event while being treated with an ERA and a PDE-5 inhibitor compared with PDE-5 inhibitor alone in all PAH patients</w:t>
      </w:r>
      <w:r w:rsidRPr="00756D3E">
        <w:rPr>
          <w:rFonts w:asciiTheme="minorHAnsi" w:hAnsiTheme="minorHAnsi"/>
          <w:noProof/>
          <w:webHidden/>
        </w:rPr>
        <w:tab/>
      </w:r>
      <w:r w:rsidR="00AA722D">
        <w:rPr>
          <w:rFonts w:asciiTheme="minorHAnsi" w:hAnsiTheme="minorHAnsi"/>
          <w:noProof/>
          <w:webHidden/>
        </w:rPr>
        <w:t>79</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Figure 4.8</w:t>
      </w:r>
      <w:r w:rsidRPr="00756D3E">
        <w:rPr>
          <w:rFonts w:asciiTheme="minorHAnsi" w:eastAsiaTheme="minorEastAsia" w:hAnsiTheme="minorHAnsi" w:cstheme="minorBidi"/>
          <w:noProof/>
          <w:sz w:val="22"/>
          <w:szCs w:val="22"/>
          <w:lang w:eastAsia="en-AU"/>
        </w:rPr>
        <w:tab/>
      </w:r>
      <w:r w:rsidRPr="00A17B9D">
        <w:rPr>
          <w:rFonts w:asciiTheme="minorHAnsi" w:hAnsiTheme="minorHAnsi"/>
          <w:noProof/>
        </w:rPr>
        <w:t>Forest plot showing the RR of experiencing clinical worsening with an ERA and a PDE-5 inhibitor compared with PDE-5 inhibitor alone in patients with WHO FC III/IV PAH</w:t>
      </w:r>
      <w:r w:rsidRPr="00756D3E">
        <w:rPr>
          <w:rFonts w:asciiTheme="minorHAnsi" w:hAnsiTheme="minorHAnsi"/>
          <w:noProof/>
          <w:webHidden/>
        </w:rPr>
        <w:tab/>
      </w:r>
      <w:r w:rsidR="00AA722D">
        <w:rPr>
          <w:rFonts w:asciiTheme="minorHAnsi" w:hAnsiTheme="minorHAnsi"/>
          <w:noProof/>
          <w:webHidden/>
        </w:rPr>
        <w:t>80</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Figure 4.9</w:t>
      </w:r>
      <w:r w:rsidRPr="00756D3E">
        <w:rPr>
          <w:rFonts w:asciiTheme="minorHAnsi" w:eastAsiaTheme="minorEastAsia" w:hAnsiTheme="minorHAnsi" w:cstheme="minorBidi"/>
          <w:noProof/>
          <w:sz w:val="22"/>
          <w:szCs w:val="22"/>
          <w:lang w:eastAsia="en-AU"/>
        </w:rPr>
        <w:tab/>
      </w:r>
      <w:r w:rsidRPr="00A17B9D">
        <w:rPr>
          <w:rFonts w:asciiTheme="minorHAnsi" w:hAnsiTheme="minorHAnsi"/>
          <w:noProof/>
        </w:rPr>
        <w:t>Forest plot showing the HR of experiencing clinical worsening with an ERA and a PDE-5 inhibitor compared with PDE-5 inhibitor alone in patients with PAH-CTD</w:t>
      </w:r>
      <w:r w:rsidRPr="00756D3E">
        <w:rPr>
          <w:rFonts w:asciiTheme="minorHAnsi" w:hAnsiTheme="minorHAnsi"/>
          <w:noProof/>
          <w:webHidden/>
        </w:rPr>
        <w:tab/>
      </w:r>
      <w:r w:rsidR="00AA722D">
        <w:rPr>
          <w:rFonts w:asciiTheme="minorHAnsi" w:hAnsiTheme="minorHAnsi"/>
          <w:noProof/>
          <w:webHidden/>
        </w:rPr>
        <w:t>81</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Figure 4.10</w:t>
      </w:r>
      <w:r w:rsidRPr="00756D3E">
        <w:rPr>
          <w:rFonts w:asciiTheme="minorHAnsi" w:eastAsiaTheme="minorEastAsia" w:hAnsiTheme="minorHAnsi" w:cstheme="minorBidi"/>
          <w:noProof/>
          <w:sz w:val="22"/>
          <w:szCs w:val="22"/>
          <w:lang w:eastAsia="en-AU"/>
        </w:rPr>
        <w:tab/>
      </w:r>
      <w:r w:rsidRPr="00A17B9D">
        <w:rPr>
          <w:rFonts w:asciiTheme="minorHAnsi" w:hAnsiTheme="minorHAnsi"/>
          <w:noProof/>
        </w:rPr>
        <w:t>Forest plot showing the RR of mortality while being treated with an ERA and a PDE-5 inhibitor compared with PDE-5 inhibitor alone in all PAH patients</w:t>
      </w:r>
      <w:r w:rsidRPr="00756D3E">
        <w:rPr>
          <w:rFonts w:asciiTheme="minorHAnsi" w:hAnsiTheme="minorHAnsi"/>
          <w:noProof/>
          <w:webHidden/>
        </w:rPr>
        <w:tab/>
      </w:r>
      <w:r w:rsidR="00AA722D">
        <w:rPr>
          <w:rFonts w:asciiTheme="minorHAnsi" w:hAnsiTheme="minorHAnsi"/>
          <w:noProof/>
          <w:webHidden/>
        </w:rPr>
        <w:t>82</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Figure 4.11</w:t>
      </w:r>
      <w:r w:rsidRPr="00756D3E">
        <w:rPr>
          <w:rFonts w:asciiTheme="minorHAnsi" w:eastAsiaTheme="minorEastAsia" w:hAnsiTheme="minorHAnsi" w:cstheme="minorBidi"/>
          <w:noProof/>
          <w:sz w:val="22"/>
          <w:szCs w:val="22"/>
          <w:lang w:eastAsia="en-AU"/>
        </w:rPr>
        <w:tab/>
      </w:r>
      <w:r w:rsidRPr="00A17B9D">
        <w:rPr>
          <w:rFonts w:asciiTheme="minorHAnsi" w:hAnsiTheme="minorHAnsi"/>
          <w:noProof/>
        </w:rPr>
        <w:t>Forest plot showing the RR of being hospitalised due to worsening PAH while being treated with an ERA and a PDE-5 inhibitor compared with PDE-5 inhibitor alone in all PAH patients</w:t>
      </w:r>
      <w:r w:rsidRPr="00756D3E">
        <w:rPr>
          <w:rFonts w:asciiTheme="minorHAnsi" w:hAnsiTheme="minorHAnsi"/>
          <w:noProof/>
          <w:webHidden/>
        </w:rPr>
        <w:tab/>
      </w:r>
      <w:r w:rsidR="00AA722D">
        <w:rPr>
          <w:rFonts w:asciiTheme="minorHAnsi" w:hAnsiTheme="minorHAnsi"/>
          <w:noProof/>
          <w:webHidden/>
        </w:rPr>
        <w:t>84</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Figure 4.12</w:t>
      </w:r>
      <w:r w:rsidRPr="00756D3E">
        <w:rPr>
          <w:rFonts w:asciiTheme="minorHAnsi" w:eastAsiaTheme="minorEastAsia" w:hAnsiTheme="minorHAnsi" w:cstheme="minorBidi"/>
          <w:noProof/>
          <w:sz w:val="22"/>
          <w:szCs w:val="22"/>
          <w:lang w:eastAsia="en-AU"/>
        </w:rPr>
        <w:tab/>
      </w:r>
      <w:r w:rsidRPr="00A17B9D">
        <w:rPr>
          <w:rFonts w:asciiTheme="minorHAnsi" w:hAnsiTheme="minorHAnsi"/>
          <w:noProof/>
        </w:rPr>
        <w:t>Forest plot showing the RR of improving or worsening in WHO FC while being treated with an ERA and a PDE-5 inhibitor compared with PDE-5 inhibitor alone in all PAH patients</w:t>
      </w:r>
      <w:r w:rsidRPr="00756D3E">
        <w:rPr>
          <w:rFonts w:asciiTheme="minorHAnsi" w:hAnsiTheme="minorHAnsi"/>
          <w:noProof/>
          <w:webHidden/>
        </w:rPr>
        <w:tab/>
      </w:r>
      <w:r w:rsidR="00AA722D">
        <w:rPr>
          <w:rFonts w:asciiTheme="minorHAnsi" w:hAnsiTheme="minorHAnsi"/>
          <w:noProof/>
          <w:webHidden/>
        </w:rPr>
        <w:t>85</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lastRenderedPageBreak/>
        <w:t>Figure 4.13</w:t>
      </w:r>
      <w:r w:rsidRPr="00756D3E">
        <w:rPr>
          <w:rFonts w:asciiTheme="minorHAnsi" w:eastAsiaTheme="minorEastAsia" w:hAnsiTheme="minorHAnsi" w:cstheme="minorBidi"/>
          <w:noProof/>
          <w:sz w:val="22"/>
          <w:szCs w:val="22"/>
          <w:lang w:eastAsia="en-AU"/>
        </w:rPr>
        <w:tab/>
      </w:r>
      <w:r w:rsidRPr="00A17B9D">
        <w:rPr>
          <w:rFonts w:asciiTheme="minorHAnsi" w:hAnsiTheme="minorHAnsi"/>
          <w:noProof/>
        </w:rPr>
        <w:t>Forest plot showing the RR of having a serious AE or an AE leading to treatment discontinuation while being treated with an ERA in addition to a PDE-5 inhibitor compared with PDE-5 inhibitor alone in all PAH patients</w:t>
      </w:r>
      <w:r w:rsidRPr="00756D3E">
        <w:rPr>
          <w:rFonts w:asciiTheme="minorHAnsi" w:hAnsiTheme="minorHAnsi"/>
          <w:noProof/>
          <w:webHidden/>
        </w:rPr>
        <w:tab/>
      </w:r>
      <w:r w:rsidR="00AA722D">
        <w:rPr>
          <w:rFonts w:asciiTheme="minorHAnsi" w:hAnsiTheme="minorHAnsi"/>
          <w:noProof/>
          <w:webHidden/>
        </w:rPr>
        <w:t>89</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Figure 4.14</w:t>
      </w:r>
      <w:r w:rsidRPr="00756D3E">
        <w:rPr>
          <w:rFonts w:asciiTheme="minorHAnsi" w:eastAsiaTheme="minorEastAsia" w:hAnsiTheme="minorHAnsi" w:cstheme="minorBidi"/>
          <w:noProof/>
          <w:sz w:val="22"/>
          <w:szCs w:val="22"/>
          <w:lang w:eastAsia="en-AU"/>
        </w:rPr>
        <w:tab/>
      </w:r>
      <w:r w:rsidRPr="00A17B9D">
        <w:rPr>
          <w:rFonts w:asciiTheme="minorHAnsi" w:hAnsiTheme="minorHAnsi"/>
          <w:noProof/>
        </w:rPr>
        <w:t>The mean (95% CI) 6MWD at baseline (a) and median (95% CI) at 16 weeks (b) in the BREATHE-2 trial</w:t>
      </w:r>
      <w:r w:rsidRPr="00756D3E">
        <w:rPr>
          <w:rFonts w:asciiTheme="minorHAnsi" w:hAnsiTheme="minorHAnsi"/>
          <w:noProof/>
          <w:webHidden/>
        </w:rPr>
        <w:tab/>
      </w:r>
      <w:r w:rsidR="00AA722D">
        <w:rPr>
          <w:rFonts w:asciiTheme="minorHAnsi" w:hAnsiTheme="minorHAnsi"/>
          <w:noProof/>
          <w:webHidden/>
        </w:rPr>
        <w:t>92</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Figure 4.15</w:t>
      </w:r>
      <w:r w:rsidRPr="00756D3E">
        <w:rPr>
          <w:rFonts w:asciiTheme="minorHAnsi" w:eastAsiaTheme="minorEastAsia" w:hAnsiTheme="minorHAnsi" w:cstheme="minorBidi"/>
          <w:noProof/>
          <w:sz w:val="22"/>
          <w:szCs w:val="22"/>
          <w:lang w:eastAsia="en-AU"/>
        </w:rPr>
        <w:tab/>
      </w:r>
      <w:r w:rsidRPr="00A17B9D">
        <w:rPr>
          <w:rFonts w:asciiTheme="minorHAnsi" w:hAnsiTheme="minorHAnsi"/>
          <w:noProof/>
        </w:rPr>
        <w:t>Forest plot showing the RR of having a clinical worsening event while being treated with a PDE-5 inhibitor and an ERA compared with an ERA alone in all PAH patients</w:t>
      </w:r>
      <w:r w:rsidRPr="00756D3E">
        <w:rPr>
          <w:rFonts w:asciiTheme="minorHAnsi" w:hAnsiTheme="minorHAnsi"/>
          <w:noProof/>
          <w:webHidden/>
        </w:rPr>
        <w:tab/>
      </w:r>
      <w:r w:rsidR="00AA722D">
        <w:rPr>
          <w:rFonts w:asciiTheme="minorHAnsi" w:hAnsiTheme="minorHAnsi"/>
          <w:noProof/>
          <w:webHidden/>
        </w:rPr>
        <w:t>98</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Figure 4.16</w:t>
      </w:r>
      <w:r w:rsidRPr="00756D3E">
        <w:rPr>
          <w:rFonts w:asciiTheme="minorHAnsi" w:eastAsiaTheme="minorEastAsia" w:hAnsiTheme="minorHAnsi" w:cstheme="minorBidi"/>
          <w:noProof/>
          <w:sz w:val="22"/>
          <w:szCs w:val="22"/>
          <w:lang w:eastAsia="en-AU"/>
        </w:rPr>
        <w:tab/>
      </w:r>
      <w:r w:rsidRPr="00A17B9D">
        <w:rPr>
          <w:rFonts w:asciiTheme="minorHAnsi" w:hAnsiTheme="minorHAnsi"/>
          <w:noProof/>
        </w:rPr>
        <w:t>Forest plot showing the RR of dying while being treated with a PDE-5 inhibitor and an ERA compared with an ERA alone in all PAH patients</w:t>
      </w:r>
      <w:r w:rsidRPr="00756D3E">
        <w:rPr>
          <w:rFonts w:asciiTheme="minorHAnsi" w:hAnsiTheme="minorHAnsi"/>
          <w:noProof/>
          <w:webHidden/>
        </w:rPr>
        <w:tab/>
      </w:r>
      <w:r w:rsidR="00AA722D">
        <w:rPr>
          <w:rFonts w:asciiTheme="minorHAnsi" w:hAnsiTheme="minorHAnsi"/>
          <w:noProof/>
          <w:webHidden/>
        </w:rPr>
        <w:t>99</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Figure 4.17</w:t>
      </w:r>
      <w:r w:rsidRPr="00756D3E">
        <w:rPr>
          <w:rFonts w:asciiTheme="minorHAnsi" w:eastAsiaTheme="minorEastAsia" w:hAnsiTheme="minorHAnsi" w:cstheme="minorBidi"/>
          <w:noProof/>
          <w:sz w:val="22"/>
          <w:szCs w:val="22"/>
          <w:lang w:eastAsia="en-AU"/>
        </w:rPr>
        <w:tab/>
      </w:r>
      <w:r w:rsidRPr="00A17B9D">
        <w:rPr>
          <w:rFonts w:asciiTheme="minorHAnsi" w:hAnsiTheme="minorHAnsi"/>
          <w:noProof/>
        </w:rPr>
        <w:t>Forest plot showing the RR of being hospitalised due to worsening PAH while being treated with a PDE-5 inhibitor and an ERA compared with an ERA alone in all PAH patients</w:t>
      </w:r>
      <w:r w:rsidRPr="00756D3E">
        <w:rPr>
          <w:rFonts w:asciiTheme="minorHAnsi" w:hAnsiTheme="minorHAnsi"/>
          <w:noProof/>
          <w:webHidden/>
        </w:rPr>
        <w:tab/>
      </w:r>
      <w:r w:rsidR="00AA722D">
        <w:rPr>
          <w:rFonts w:asciiTheme="minorHAnsi" w:hAnsiTheme="minorHAnsi"/>
          <w:noProof/>
          <w:webHidden/>
        </w:rPr>
        <w:t>100</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Figure 4.18</w:t>
      </w:r>
      <w:r w:rsidRPr="00756D3E">
        <w:rPr>
          <w:rFonts w:asciiTheme="minorHAnsi" w:eastAsiaTheme="minorEastAsia" w:hAnsiTheme="minorHAnsi" w:cstheme="minorBidi"/>
          <w:noProof/>
          <w:sz w:val="22"/>
          <w:szCs w:val="22"/>
          <w:lang w:eastAsia="en-AU"/>
        </w:rPr>
        <w:tab/>
      </w:r>
      <w:r w:rsidRPr="00A17B9D">
        <w:rPr>
          <w:rFonts w:asciiTheme="minorHAnsi" w:hAnsiTheme="minorHAnsi"/>
          <w:noProof/>
        </w:rPr>
        <w:t>Forest plot showing the RR of improving or worsening the PAH WHO FC while being treated with a PDE-5 inhibitor and an ERA compared with an ERA alone in all PAH patients</w:t>
      </w:r>
      <w:r w:rsidRPr="00756D3E">
        <w:rPr>
          <w:rFonts w:asciiTheme="minorHAnsi" w:hAnsiTheme="minorHAnsi"/>
          <w:noProof/>
          <w:webHidden/>
        </w:rPr>
        <w:tab/>
      </w:r>
      <w:r w:rsidR="00AA722D">
        <w:rPr>
          <w:rFonts w:asciiTheme="minorHAnsi" w:hAnsiTheme="minorHAnsi"/>
          <w:noProof/>
          <w:webHidden/>
        </w:rPr>
        <w:t>102</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Figure 4.19</w:t>
      </w:r>
      <w:r w:rsidRPr="00756D3E">
        <w:rPr>
          <w:rFonts w:asciiTheme="minorHAnsi" w:eastAsiaTheme="minorEastAsia" w:hAnsiTheme="minorHAnsi" w:cstheme="minorBidi"/>
          <w:noProof/>
          <w:sz w:val="22"/>
          <w:szCs w:val="22"/>
          <w:lang w:eastAsia="en-AU"/>
        </w:rPr>
        <w:tab/>
      </w:r>
      <w:r w:rsidRPr="00A17B9D">
        <w:rPr>
          <w:rFonts w:asciiTheme="minorHAnsi" w:hAnsiTheme="minorHAnsi"/>
          <w:noProof/>
        </w:rPr>
        <w:t>Mean (±SE) change from baseline to week 12 in 6MWD by PAH aetiology</w:t>
      </w:r>
      <w:r w:rsidRPr="00756D3E">
        <w:rPr>
          <w:rFonts w:asciiTheme="minorHAnsi" w:hAnsiTheme="minorHAnsi"/>
          <w:noProof/>
          <w:webHidden/>
        </w:rPr>
        <w:tab/>
      </w:r>
      <w:r w:rsidR="00AA722D">
        <w:rPr>
          <w:rFonts w:asciiTheme="minorHAnsi" w:hAnsiTheme="minorHAnsi"/>
          <w:noProof/>
          <w:webHidden/>
        </w:rPr>
        <w:t>104</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Figure 4.20</w:t>
      </w:r>
      <w:r w:rsidRPr="00756D3E">
        <w:rPr>
          <w:rFonts w:asciiTheme="minorHAnsi" w:eastAsiaTheme="minorEastAsia" w:hAnsiTheme="minorHAnsi" w:cstheme="minorBidi"/>
          <w:noProof/>
          <w:sz w:val="22"/>
          <w:szCs w:val="22"/>
          <w:lang w:eastAsia="en-AU"/>
        </w:rPr>
        <w:tab/>
      </w:r>
      <w:r w:rsidRPr="00A17B9D">
        <w:rPr>
          <w:rFonts w:asciiTheme="minorHAnsi" w:hAnsiTheme="minorHAnsi"/>
          <w:noProof/>
        </w:rPr>
        <w:t>Forest plot showing the RR of having an AE, serious AE or an AE leading to treatment discontinuation while being treated with a PDE-5 inhibitor and an ERA compared with ERA alone in all PAH patients</w:t>
      </w:r>
      <w:r w:rsidRPr="00756D3E">
        <w:rPr>
          <w:rFonts w:asciiTheme="minorHAnsi" w:hAnsiTheme="minorHAnsi"/>
          <w:noProof/>
          <w:webHidden/>
        </w:rPr>
        <w:tab/>
      </w:r>
      <w:r w:rsidR="00AA722D">
        <w:rPr>
          <w:rFonts w:asciiTheme="minorHAnsi" w:hAnsiTheme="minorHAnsi"/>
          <w:noProof/>
          <w:webHidden/>
        </w:rPr>
        <w:t>107</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Figure 4.21</w:t>
      </w:r>
      <w:r w:rsidRPr="00756D3E">
        <w:rPr>
          <w:rFonts w:asciiTheme="minorHAnsi" w:eastAsiaTheme="minorEastAsia" w:hAnsiTheme="minorHAnsi" w:cstheme="minorBidi"/>
          <w:noProof/>
          <w:sz w:val="22"/>
          <w:szCs w:val="22"/>
          <w:lang w:eastAsia="en-AU"/>
        </w:rPr>
        <w:tab/>
      </w:r>
      <w:r w:rsidRPr="00A17B9D">
        <w:rPr>
          <w:rFonts w:asciiTheme="minorHAnsi" w:hAnsiTheme="minorHAnsi"/>
          <w:noProof/>
        </w:rPr>
        <w:t>Forest plot showing the RR of having a clinical worsening event while being treated with a prostanoid and an ERA compared with an ERA alone in all PAH patients</w:t>
      </w:r>
      <w:r w:rsidRPr="00756D3E">
        <w:rPr>
          <w:rFonts w:asciiTheme="minorHAnsi" w:hAnsiTheme="minorHAnsi"/>
          <w:noProof/>
          <w:webHidden/>
        </w:rPr>
        <w:tab/>
      </w:r>
      <w:r w:rsidR="00AA722D">
        <w:rPr>
          <w:rFonts w:asciiTheme="minorHAnsi" w:hAnsiTheme="minorHAnsi"/>
          <w:noProof/>
          <w:webHidden/>
        </w:rPr>
        <w:t>112</w:t>
      </w:r>
    </w:p>
    <w:p w:rsidR="00322CC4" w:rsidRPr="00756D3E" w:rsidRDefault="00322CC4">
      <w:pPr>
        <w:pStyle w:val="TableofFigures"/>
        <w:tabs>
          <w:tab w:val="right" w:leader="dot" w:pos="9628"/>
        </w:tabs>
        <w:rPr>
          <w:rFonts w:asciiTheme="minorHAnsi" w:eastAsiaTheme="minorEastAsia" w:hAnsiTheme="minorHAnsi" w:cstheme="minorBidi"/>
          <w:noProof/>
          <w:sz w:val="22"/>
          <w:szCs w:val="22"/>
          <w:lang w:eastAsia="en-AU"/>
        </w:rPr>
      </w:pPr>
      <w:r w:rsidRPr="00A17B9D">
        <w:rPr>
          <w:rFonts w:asciiTheme="minorHAnsi" w:hAnsiTheme="minorHAnsi"/>
          <w:noProof/>
        </w:rPr>
        <w:t>Figure 4.22</w:t>
      </w:r>
      <w:r w:rsidRPr="00756D3E">
        <w:rPr>
          <w:rFonts w:asciiTheme="minorHAnsi" w:eastAsiaTheme="minorEastAsia" w:hAnsiTheme="minorHAnsi" w:cstheme="minorBidi"/>
          <w:noProof/>
          <w:sz w:val="22"/>
          <w:szCs w:val="22"/>
          <w:lang w:eastAsia="en-AU"/>
        </w:rPr>
        <w:tab/>
      </w:r>
      <w:r w:rsidRPr="00A17B9D">
        <w:rPr>
          <w:rFonts w:asciiTheme="minorHAnsi" w:hAnsiTheme="minorHAnsi"/>
          <w:noProof/>
        </w:rPr>
        <w:t>Forest plot showing the RR of having an AE while being treated with a prostanoid and an ERA compared with ERA alone in patients with WHO FC III/IV PAH</w:t>
      </w:r>
      <w:r w:rsidRPr="00756D3E">
        <w:rPr>
          <w:rFonts w:asciiTheme="minorHAnsi" w:hAnsiTheme="minorHAnsi"/>
          <w:noProof/>
          <w:webHidden/>
        </w:rPr>
        <w:tab/>
      </w:r>
      <w:r w:rsidR="00AA722D">
        <w:rPr>
          <w:rFonts w:asciiTheme="minorHAnsi" w:hAnsiTheme="minorHAnsi"/>
          <w:noProof/>
          <w:webHidden/>
        </w:rPr>
        <w:t>116</w:t>
      </w:r>
    </w:p>
    <w:p w:rsidR="006A593B" w:rsidRPr="00EB1471" w:rsidRDefault="006A593B" w:rsidP="00BF48DF">
      <w:pPr>
        <w:pStyle w:val="TableofFigures"/>
        <w:tabs>
          <w:tab w:val="right" w:leader="dot" w:pos="9628"/>
        </w:tabs>
        <w:rPr>
          <w:rFonts w:asciiTheme="minorHAnsi" w:eastAsiaTheme="minorEastAsia" w:hAnsiTheme="minorHAnsi" w:cstheme="minorBidi"/>
          <w:sz w:val="22"/>
          <w:szCs w:val="22"/>
          <w:lang w:eastAsia="en-AU"/>
        </w:rPr>
      </w:pPr>
    </w:p>
    <w:p w:rsidR="00910AF8" w:rsidRPr="00EB1471" w:rsidRDefault="00910AF8" w:rsidP="00910AF8">
      <w:pPr>
        <w:pStyle w:val="Heading1"/>
        <w:numPr>
          <w:ilvl w:val="0"/>
          <w:numId w:val="0"/>
        </w:numPr>
      </w:pPr>
      <w:bookmarkStart w:id="1" w:name="_Toc504572632"/>
      <w:bookmarkStart w:id="2" w:name="_Toc512855370"/>
      <w:bookmarkEnd w:id="0"/>
      <w:bookmarkEnd w:id="1"/>
      <w:r w:rsidRPr="00EB1471">
        <w:lastRenderedPageBreak/>
        <w:t>Section 4: ToR 4</w:t>
      </w:r>
      <w:r w:rsidRPr="00EB1471">
        <w:br/>
        <w:t xml:space="preserve">Review of the comparative effectiveness of PAH </w:t>
      </w:r>
      <w:r w:rsidR="003F6760" w:rsidRPr="00EB1471">
        <w:t>medicines</w:t>
      </w:r>
      <w:bookmarkEnd w:id="2"/>
    </w:p>
    <w:p w:rsidR="00910AF8" w:rsidRPr="00A66468" w:rsidRDefault="00910AF8" w:rsidP="00910AF8">
      <w:pPr>
        <w:pStyle w:val="ToRinbox"/>
        <w:rPr>
          <w:rFonts w:asciiTheme="minorHAnsi" w:hAnsiTheme="minorHAnsi"/>
        </w:rPr>
      </w:pPr>
      <w:r w:rsidRPr="00A66468">
        <w:rPr>
          <w:rFonts w:asciiTheme="minorHAnsi" w:hAnsiTheme="minorHAnsi"/>
        </w:rPr>
        <w:t xml:space="preserve">Collate and evaluate evidence on the comparative effectiveness of PAH medicines, including combination use and use in the WHO functional class II patient populations. </w:t>
      </w:r>
    </w:p>
    <w:p w:rsidR="00B27192" w:rsidRPr="00EB1471" w:rsidRDefault="00B27192" w:rsidP="00910AF8">
      <w:pPr>
        <w:pStyle w:val="Heading2"/>
      </w:pPr>
      <w:bookmarkStart w:id="3" w:name="_Toc512855371"/>
      <w:r w:rsidRPr="00EB1471">
        <w:t>Key findings for ToR 4</w:t>
      </w:r>
      <w:bookmarkEnd w:id="3"/>
    </w:p>
    <w:p w:rsidR="005A0C83" w:rsidRPr="00D228A6" w:rsidRDefault="005A0C83" w:rsidP="005A0C83">
      <w:pPr>
        <w:pStyle w:val="ToRText"/>
        <w:shd w:val="clear" w:color="auto" w:fill="F2F2F2" w:themeFill="background1" w:themeFillShade="F2"/>
        <w:rPr>
          <w:b w:val="0"/>
          <w:color w:val="auto"/>
        </w:rPr>
      </w:pPr>
      <w:r w:rsidRPr="00532B79">
        <w:rPr>
          <w:b w:val="0"/>
          <w:color w:val="auto"/>
          <w:shd w:val="clear" w:color="auto" w:fill="F2F2F2" w:themeFill="background1" w:themeFillShade="F2"/>
        </w:rPr>
        <w:t>Q1.</w:t>
      </w:r>
      <w:r w:rsidRPr="00532B79">
        <w:rPr>
          <w:b w:val="0"/>
          <w:color w:val="auto"/>
          <w:shd w:val="clear" w:color="auto" w:fill="F2F2F2" w:themeFill="background1" w:themeFillShade="F2"/>
        </w:rPr>
        <w:tab/>
        <w:t>What is the effectiveness and safety of monotherapy with a PAH medicine, compared to placebo/no treatment or another PAH medicine listed on the PBS, in patients with WHO FC I or II PAH?</w:t>
      </w:r>
    </w:p>
    <w:p w:rsidR="00D63C81" w:rsidRPr="00EB1471" w:rsidRDefault="00D63C81" w:rsidP="00550EA7">
      <w:r w:rsidRPr="00EB1471">
        <w:t xml:space="preserve">The key findings from this Review regarding the </w:t>
      </w:r>
      <w:r w:rsidR="00B27192" w:rsidRPr="00EB1471">
        <w:t>comparative effectiveness of PAH medicines are</w:t>
      </w:r>
      <w:r w:rsidRPr="00EB1471">
        <w:t>:</w:t>
      </w:r>
    </w:p>
    <w:p w:rsidR="00FC1362" w:rsidRPr="00EB1471" w:rsidRDefault="00FC1362" w:rsidP="009B35CE">
      <w:pPr>
        <w:pStyle w:val="Heading3"/>
      </w:pPr>
      <w:bookmarkStart w:id="4" w:name="_Toc512855372"/>
      <w:r w:rsidRPr="00EB1471">
        <w:t>Effectiveness and safety of monotherapy in WHO FC I or II</w:t>
      </w:r>
      <w:r w:rsidR="005A20F4">
        <w:t xml:space="preserve"> PAH</w:t>
      </w:r>
      <w:bookmarkEnd w:id="4"/>
    </w:p>
    <w:p w:rsidR="009B35CE" w:rsidRPr="0042195A" w:rsidRDefault="00441F08" w:rsidP="009B35CE">
      <w:pPr>
        <w:pStyle w:val="Heading4"/>
      </w:pPr>
      <w:r>
        <w:t>4.1.1.1</w:t>
      </w:r>
      <w:r>
        <w:tab/>
      </w:r>
      <w:r w:rsidR="009B35CE" w:rsidRPr="0042195A">
        <w:t>ERA versus placebo</w:t>
      </w:r>
    </w:p>
    <w:p w:rsidR="009B35CE" w:rsidRPr="00A3015F" w:rsidRDefault="009B35CE" w:rsidP="009B35CE">
      <w:pPr>
        <w:pStyle w:val="Heading5"/>
      </w:pPr>
      <w:r w:rsidRPr="00A3015F">
        <w:t>Clinical effectiveness</w:t>
      </w:r>
    </w:p>
    <w:p w:rsidR="009B35CE" w:rsidRDefault="009B35CE" w:rsidP="00550EA7">
      <w:r w:rsidRPr="0042195A">
        <w:t>Four RCTs reported on the effectiveness of an ERA in treating PAH compared with placebo i</w:t>
      </w:r>
      <w:r>
        <w:t>n patients with WHO FC I/II PAH:</w:t>
      </w:r>
    </w:p>
    <w:p w:rsidR="009B35CE" w:rsidRPr="00B607A5" w:rsidRDefault="009B35CE" w:rsidP="00D103A9">
      <w:pPr>
        <w:pStyle w:val="Bullettext"/>
      </w:pPr>
      <w:r w:rsidRPr="00B607A5">
        <w:t>ARIES-1&amp;2 used ambrisentan</w:t>
      </w:r>
    </w:p>
    <w:p w:rsidR="009B35CE" w:rsidRPr="00B607A5" w:rsidRDefault="009B35CE" w:rsidP="00D103A9">
      <w:pPr>
        <w:pStyle w:val="Bullettext"/>
      </w:pPr>
      <w:r w:rsidRPr="00B607A5">
        <w:t>EARLY used bosentan</w:t>
      </w:r>
    </w:p>
    <w:p w:rsidR="009B35CE" w:rsidRPr="00B607A5" w:rsidRDefault="009B35CE" w:rsidP="00D103A9">
      <w:pPr>
        <w:pStyle w:val="Bullettext"/>
      </w:pPr>
      <w:r w:rsidRPr="00B607A5">
        <w:t>SERAPHIN used macitentan.</w:t>
      </w:r>
    </w:p>
    <w:p w:rsidR="009B35CE" w:rsidRPr="00B607A5" w:rsidRDefault="009B35CE" w:rsidP="00B607A5">
      <w:r w:rsidRPr="00B607A5">
        <w:t>The evidence provided by these trials is summarised in</w:t>
      </w:r>
      <w:r w:rsidR="00272F8F" w:rsidRPr="00B607A5">
        <w:t xml:space="preserve"> </w:t>
      </w:r>
      <w:r w:rsidR="00AA722D">
        <w:t>Table 4.1</w:t>
      </w:r>
      <w:r w:rsidRPr="00B607A5">
        <w:t>.</w:t>
      </w:r>
    </w:p>
    <w:p w:rsidR="009B35CE" w:rsidRPr="00B607A5" w:rsidRDefault="009B35CE" w:rsidP="00B607A5">
      <w:r w:rsidRPr="00B607A5">
        <w:t xml:space="preserve">Overall, </w:t>
      </w:r>
      <w:r w:rsidR="00843DF8" w:rsidRPr="00B607A5">
        <w:t>the use of an ERA medication to treat patients with WHO FC I/II PAH is likely to be beneficial.</w:t>
      </w:r>
    </w:p>
    <w:p w:rsidR="009B35CE" w:rsidRPr="00272F8F" w:rsidRDefault="00272F8F" w:rsidP="00BC5A2B">
      <w:pPr>
        <w:pStyle w:val="Caption"/>
      </w:pPr>
      <w:bookmarkStart w:id="5" w:name="_Ref506280402"/>
      <w:bookmarkStart w:id="6" w:name="_Toc512855405"/>
      <w:r>
        <w:t>Table 4.</w:t>
      </w:r>
      <w:r w:rsidR="00AA722D">
        <w:rPr>
          <w:noProof/>
        </w:rPr>
        <w:t>1</w:t>
      </w:r>
      <w:bookmarkEnd w:id="5"/>
      <w:r w:rsidRPr="00272F8F">
        <w:tab/>
      </w:r>
      <w:r w:rsidR="009B35CE" w:rsidRPr="00272F8F">
        <w:t xml:space="preserve">Summary of the evidence for the clinical effectiveness of an ERA </w:t>
      </w:r>
      <w:r w:rsidR="00974AD8">
        <w:t>compared with</w:t>
      </w:r>
      <w:r w:rsidR="009B35CE" w:rsidRPr="00272F8F">
        <w:t xml:space="preserve"> placebo in patients with WHO FC I/II PAH</w:t>
      </w:r>
      <w:bookmarkEnd w:id="6"/>
    </w:p>
    <w:tbl>
      <w:tblPr>
        <w:tblStyle w:val="TableGrid"/>
        <w:tblW w:w="9752" w:type="dxa"/>
        <w:tblLayout w:type="fixed"/>
        <w:tblLook w:val="04A0" w:firstRow="1" w:lastRow="0" w:firstColumn="1" w:lastColumn="0" w:noHBand="0" w:noVBand="1"/>
        <w:tblCaption w:val="Summary of the evidence for the clinical effectiveness of an ERA compared with placebo in patients with WHO FC I/II PAH"/>
      </w:tblPr>
      <w:tblGrid>
        <w:gridCol w:w="1050"/>
        <w:gridCol w:w="1559"/>
        <w:gridCol w:w="7143"/>
      </w:tblGrid>
      <w:tr w:rsidR="009B35CE" w:rsidRPr="00550EA7" w:rsidTr="00DE4B2C">
        <w:trPr>
          <w:cnfStyle w:val="100000000000" w:firstRow="1" w:lastRow="0" w:firstColumn="0" w:lastColumn="0" w:oddVBand="0" w:evenVBand="0" w:oddHBand="0" w:evenHBand="0" w:firstRowFirstColumn="0" w:firstRowLastColumn="0" w:lastRowFirstColumn="0" w:lastRowLastColumn="0"/>
        </w:trPr>
        <w:tc>
          <w:tcPr>
            <w:tcW w:w="1050" w:type="dxa"/>
            <w:tcBorders>
              <w:top w:val="single" w:sz="4" w:space="0" w:color="auto"/>
              <w:left w:val="single" w:sz="4" w:space="0" w:color="auto"/>
              <w:bottom w:val="single" w:sz="4" w:space="0" w:color="auto"/>
              <w:right w:val="single" w:sz="4" w:space="0" w:color="auto"/>
            </w:tcBorders>
          </w:tcPr>
          <w:p w:rsidR="009B35CE" w:rsidRPr="00B607A5" w:rsidRDefault="009B35CE" w:rsidP="00272F8F">
            <w:pPr>
              <w:pStyle w:val="Tabletext"/>
              <w:rPr>
                <w:rFonts w:cs="Arial"/>
                <w:b/>
              </w:rPr>
            </w:pPr>
            <w:r w:rsidRPr="00B607A5">
              <w:rPr>
                <w:rFonts w:cs="Arial"/>
                <w:b/>
              </w:rPr>
              <w:t>Outcome</w:t>
            </w:r>
          </w:p>
        </w:tc>
        <w:tc>
          <w:tcPr>
            <w:tcW w:w="1559" w:type="dxa"/>
            <w:tcBorders>
              <w:top w:val="single" w:sz="4" w:space="0" w:color="auto"/>
              <w:left w:val="single" w:sz="4" w:space="0" w:color="auto"/>
              <w:bottom w:val="single" w:sz="4" w:space="0" w:color="auto"/>
              <w:right w:val="single" w:sz="4" w:space="0" w:color="auto"/>
            </w:tcBorders>
          </w:tcPr>
          <w:p w:rsidR="009B35CE" w:rsidRPr="00B607A5" w:rsidRDefault="009B35CE" w:rsidP="00272F8F">
            <w:pPr>
              <w:pStyle w:val="Tabletext"/>
              <w:rPr>
                <w:rFonts w:cs="Arial"/>
                <w:b/>
              </w:rPr>
            </w:pPr>
            <w:r w:rsidRPr="00B607A5">
              <w:rPr>
                <w:rFonts w:cs="Arial"/>
                <w:b/>
              </w:rPr>
              <w:t xml:space="preserve">Included trials </w:t>
            </w:r>
          </w:p>
          <w:p w:rsidR="00385E5A" w:rsidRPr="00B607A5" w:rsidRDefault="00385E5A" w:rsidP="00293DE5">
            <w:pPr>
              <w:pStyle w:val="Tabletext"/>
              <w:rPr>
                <w:rFonts w:cs="Arial"/>
                <w:b/>
              </w:rPr>
            </w:pPr>
            <w:r w:rsidRPr="00B607A5">
              <w:rPr>
                <w:rFonts w:cs="Arial"/>
                <w:b/>
              </w:rPr>
              <w:t>No</w:t>
            </w:r>
            <w:r w:rsidR="00293DE5" w:rsidRPr="00B607A5">
              <w:rPr>
                <w:rFonts w:cs="Arial"/>
                <w:b/>
              </w:rPr>
              <w:t>.</w:t>
            </w:r>
            <w:r w:rsidRPr="00B607A5">
              <w:rPr>
                <w:rFonts w:cs="Arial"/>
                <w:b/>
              </w:rPr>
              <w:t xml:space="preserve"> of patients</w:t>
            </w:r>
          </w:p>
        </w:tc>
        <w:tc>
          <w:tcPr>
            <w:tcW w:w="7143" w:type="dxa"/>
            <w:tcBorders>
              <w:top w:val="single" w:sz="4" w:space="0" w:color="auto"/>
              <w:left w:val="single" w:sz="4" w:space="0" w:color="auto"/>
              <w:bottom w:val="single" w:sz="4" w:space="0" w:color="auto"/>
              <w:right w:val="single" w:sz="4" w:space="0" w:color="auto"/>
            </w:tcBorders>
          </w:tcPr>
          <w:p w:rsidR="009B35CE" w:rsidRPr="00B607A5" w:rsidRDefault="009B35CE" w:rsidP="00457FA6">
            <w:pPr>
              <w:pStyle w:val="Tabletext"/>
              <w:rPr>
                <w:rFonts w:cs="Arial"/>
                <w:b/>
              </w:rPr>
            </w:pPr>
            <w:r w:rsidRPr="00B607A5">
              <w:rPr>
                <w:rFonts w:cs="Arial"/>
                <w:b/>
              </w:rPr>
              <w:t>Summary of evidence</w:t>
            </w:r>
          </w:p>
        </w:tc>
      </w:tr>
      <w:tr w:rsidR="009B35CE" w:rsidTr="00DE4B2C">
        <w:tc>
          <w:tcPr>
            <w:tcW w:w="1050" w:type="dxa"/>
            <w:tcBorders>
              <w:top w:val="single" w:sz="4" w:space="0" w:color="auto"/>
              <w:left w:val="single" w:sz="4" w:space="0" w:color="auto"/>
              <w:bottom w:val="single" w:sz="4" w:space="0" w:color="auto"/>
              <w:right w:val="single" w:sz="4" w:space="0" w:color="auto"/>
            </w:tcBorders>
          </w:tcPr>
          <w:p w:rsidR="009B35CE" w:rsidRPr="00B607A5" w:rsidRDefault="009B35CE" w:rsidP="00272F8F">
            <w:pPr>
              <w:pStyle w:val="Tabletext"/>
              <w:rPr>
                <w:rFonts w:cs="Arial"/>
              </w:rPr>
            </w:pPr>
            <w:r w:rsidRPr="00B607A5">
              <w:rPr>
                <w:rFonts w:cs="Arial"/>
              </w:rPr>
              <w:t>Clinical worsening</w:t>
            </w:r>
          </w:p>
        </w:tc>
        <w:tc>
          <w:tcPr>
            <w:tcW w:w="1559" w:type="dxa"/>
            <w:tcBorders>
              <w:top w:val="single" w:sz="4" w:space="0" w:color="auto"/>
              <w:left w:val="single" w:sz="4" w:space="0" w:color="auto"/>
              <w:bottom w:val="single" w:sz="4" w:space="0" w:color="auto"/>
              <w:right w:val="single" w:sz="4" w:space="0" w:color="auto"/>
            </w:tcBorders>
          </w:tcPr>
          <w:p w:rsidR="009B35CE" w:rsidRPr="00B607A5" w:rsidRDefault="009B35CE" w:rsidP="00272F8F">
            <w:pPr>
              <w:pStyle w:val="Tabletext"/>
              <w:rPr>
                <w:rFonts w:cs="Arial"/>
              </w:rPr>
            </w:pPr>
            <w:r w:rsidRPr="00B607A5">
              <w:rPr>
                <w:rFonts w:cs="Arial"/>
              </w:rPr>
              <w:t>EARLY (bosentan)</w:t>
            </w:r>
          </w:p>
          <w:p w:rsidR="009B35CE" w:rsidRPr="00B607A5" w:rsidRDefault="009B35CE" w:rsidP="00272F8F">
            <w:pPr>
              <w:pStyle w:val="Tabletext"/>
              <w:rPr>
                <w:rFonts w:cs="Arial"/>
              </w:rPr>
            </w:pPr>
            <w:r w:rsidRPr="00B607A5">
              <w:rPr>
                <w:rFonts w:cs="Arial"/>
              </w:rPr>
              <w:t>ARIES-1&amp;2 (ambrisentan)</w:t>
            </w:r>
          </w:p>
          <w:p w:rsidR="009B35CE" w:rsidRPr="00B607A5" w:rsidRDefault="009B35CE" w:rsidP="00272F8F">
            <w:pPr>
              <w:pStyle w:val="Tabletext"/>
              <w:rPr>
                <w:rFonts w:cs="Arial"/>
              </w:rPr>
            </w:pPr>
            <w:r w:rsidRPr="00B607A5">
              <w:rPr>
                <w:rFonts w:cs="Arial"/>
              </w:rPr>
              <w:t>SERAPHIN (macitentan)</w:t>
            </w:r>
          </w:p>
          <w:p w:rsidR="00385E5A" w:rsidRPr="00B607A5" w:rsidRDefault="00385E5A" w:rsidP="00272F8F">
            <w:pPr>
              <w:pStyle w:val="Tabletext"/>
              <w:rPr>
                <w:rFonts w:cs="Arial"/>
              </w:rPr>
            </w:pPr>
            <w:r w:rsidRPr="00B607A5">
              <w:rPr>
                <w:rFonts w:cs="Arial"/>
              </w:rPr>
              <w:t>N=375</w:t>
            </w:r>
          </w:p>
        </w:tc>
        <w:tc>
          <w:tcPr>
            <w:tcW w:w="7143" w:type="dxa"/>
            <w:tcBorders>
              <w:top w:val="single" w:sz="4" w:space="0" w:color="auto"/>
              <w:left w:val="single" w:sz="4" w:space="0" w:color="auto"/>
              <w:bottom w:val="single" w:sz="4" w:space="0" w:color="auto"/>
              <w:right w:val="single" w:sz="4" w:space="0" w:color="auto"/>
            </w:tcBorders>
          </w:tcPr>
          <w:p w:rsidR="009B35CE" w:rsidRPr="00B607A5" w:rsidRDefault="009B35CE" w:rsidP="00480FDF">
            <w:pPr>
              <w:pStyle w:val="Tabletext"/>
              <w:numPr>
                <w:ilvl w:val="0"/>
                <w:numId w:val="23"/>
              </w:numPr>
              <w:ind w:left="227" w:hanging="219"/>
              <w:rPr>
                <w:rFonts w:cs="Arial"/>
              </w:rPr>
            </w:pPr>
            <w:r w:rsidRPr="00B607A5">
              <w:rPr>
                <w:rFonts w:cs="Arial"/>
              </w:rPr>
              <w:t xml:space="preserve">High quality evidence (GRADE </w:t>
            </w:r>
            <w:r w:rsidRPr="00B607A5">
              <w:rPr>
                <w:rFonts w:ascii="Cambria Math" w:hAnsi="Cambria Math" w:cs="Cambria Math"/>
                <w:color w:val="00B050"/>
              </w:rPr>
              <w:t>⨁⨁⨁⨁</w:t>
            </w:r>
            <w:r w:rsidRPr="00B607A5">
              <w:rPr>
                <w:rFonts w:cs="Arial"/>
              </w:rPr>
              <w:t>)</w:t>
            </w:r>
          </w:p>
          <w:p w:rsidR="00457FA6" w:rsidRPr="00A17B9D" w:rsidRDefault="00A17B9D" w:rsidP="00A17B9D">
            <w:pPr>
              <w:pStyle w:val="Tabletext"/>
              <w:ind w:left="227" w:hanging="219"/>
              <w:rPr>
                <w:rFonts w:cs="Arial"/>
                <w:highlight w:val="black"/>
              </w:rPr>
            </w:pP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p>
          <w:p w:rsidR="009B35CE" w:rsidRPr="00A17B9D" w:rsidRDefault="00A17B9D" w:rsidP="00A17B9D">
            <w:pPr>
              <w:pStyle w:val="Tabletext"/>
              <w:ind w:left="227" w:hanging="219"/>
              <w:rPr>
                <w:rFonts w:cs="Arial"/>
                <w:highlight w:val="black"/>
              </w:rPr>
            </w:pP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r>
              <w:rPr>
                <w:rFonts w:ascii="Symbol" w:hAnsi="Symbol" w:cs="Arial"/>
                <w:noProof/>
                <w:color w:val="000000"/>
                <w:highlight w:val="black"/>
              </w:rPr>
              <w:t></w:t>
            </w:r>
          </w:p>
        </w:tc>
      </w:tr>
      <w:tr w:rsidR="009B35CE" w:rsidTr="00DE4B2C">
        <w:tc>
          <w:tcPr>
            <w:tcW w:w="1050" w:type="dxa"/>
            <w:tcBorders>
              <w:top w:val="single" w:sz="4" w:space="0" w:color="auto"/>
              <w:left w:val="single" w:sz="4" w:space="0" w:color="auto"/>
              <w:bottom w:val="single" w:sz="4" w:space="0" w:color="auto"/>
              <w:right w:val="single" w:sz="4" w:space="0" w:color="auto"/>
            </w:tcBorders>
          </w:tcPr>
          <w:p w:rsidR="009B35CE" w:rsidRPr="00B607A5" w:rsidRDefault="009B35CE" w:rsidP="00272F8F">
            <w:pPr>
              <w:pStyle w:val="Tabletext"/>
              <w:rPr>
                <w:rFonts w:cs="Arial"/>
              </w:rPr>
            </w:pPr>
            <w:r w:rsidRPr="00B607A5">
              <w:rPr>
                <w:rFonts w:cs="Arial"/>
              </w:rPr>
              <w:lastRenderedPageBreak/>
              <w:t>All-cause mortality</w:t>
            </w:r>
          </w:p>
        </w:tc>
        <w:tc>
          <w:tcPr>
            <w:tcW w:w="1559" w:type="dxa"/>
            <w:tcBorders>
              <w:top w:val="single" w:sz="4" w:space="0" w:color="auto"/>
              <w:left w:val="single" w:sz="4" w:space="0" w:color="auto"/>
              <w:bottom w:val="single" w:sz="4" w:space="0" w:color="auto"/>
              <w:right w:val="single" w:sz="4" w:space="0" w:color="auto"/>
            </w:tcBorders>
          </w:tcPr>
          <w:p w:rsidR="009B35CE" w:rsidRPr="00B607A5" w:rsidRDefault="009B35CE" w:rsidP="00272F8F">
            <w:pPr>
              <w:pStyle w:val="Tabletext"/>
              <w:rPr>
                <w:rFonts w:cs="Arial"/>
              </w:rPr>
            </w:pPr>
            <w:r w:rsidRPr="00B607A5">
              <w:rPr>
                <w:rFonts w:cs="Arial"/>
              </w:rPr>
              <w:t>EARLY (bosentan)</w:t>
            </w:r>
          </w:p>
          <w:p w:rsidR="009B35CE" w:rsidRPr="00B607A5" w:rsidRDefault="009B35CE" w:rsidP="00272F8F">
            <w:pPr>
              <w:pStyle w:val="Tabletext"/>
              <w:rPr>
                <w:rFonts w:cs="Arial"/>
              </w:rPr>
            </w:pPr>
            <w:r w:rsidRPr="00B607A5">
              <w:rPr>
                <w:rFonts w:cs="Arial"/>
              </w:rPr>
              <w:t>SERAPHIN (macitentan)</w:t>
            </w:r>
          </w:p>
          <w:p w:rsidR="00293DE5" w:rsidRPr="00B607A5" w:rsidRDefault="00293DE5" w:rsidP="00272F8F">
            <w:pPr>
              <w:pStyle w:val="Tabletext"/>
              <w:rPr>
                <w:rFonts w:cs="Arial"/>
              </w:rPr>
            </w:pPr>
            <w:r w:rsidRPr="00B607A5">
              <w:rPr>
                <w:rFonts w:cs="Arial"/>
              </w:rPr>
              <w:t>N=256</w:t>
            </w:r>
          </w:p>
        </w:tc>
        <w:tc>
          <w:tcPr>
            <w:tcW w:w="7143" w:type="dxa"/>
            <w:tcBorders>
              <w:top w:val="single" w:sz="4" w:space="0" w:color="auto"/>
              <w:left w:val="single" w:sz="4" w:space="0" w:color="auto"/>
              <w:bottom w:val="single" w:sz="4" w:space="0" w:color="auto"/>
              <w:right w:val="single" w:sz="4" w:space="0" w:color="auto"/>
            </w:tcBorders>
          </w:tcPr>
          <w:p w:rsidR="009B35CE" w:rsidRPr="00B607A5" w:rsidRDefault="009B35CE" w:rsidP="00480FDF">
            <w:pPr>
              <w:pStyle w:val="Tabletext"/>
              <w:numPr>
                <w:ilvl w:val="0"/>
                <w:numId w:val="23"/>
              </w:numPr>
              <w:ind w:left="227" w:hanging="219"/>
              <w:rPr>
                <w:rFonts w:cs="Arial"/>
              </w:rPr>
            </w:pPr>
            <w:r w:rsidRPr="00B607A5">
              <w:rPr>
                <w:rFonts w:cs="Arial"/>
              </w:rPr>
              <w:t xml:space="preserve">High quality evidence (GRADE </w:t>
            </w:r>
            <w:r w:rsidRPr="00B607A5">
              <w:rPr>
                <w:rFonts w:ascii="Cambria Math" w:hAnsi="Cambria Math" w:cs="Cambria Math"/>
                <w:color w:val="00B050"/>
              </w:rPr>
              <w:t>⨁⨁⨁⨁</w:t>
            </w:r>
            <w:r w:rsidRPr="00B607A5">
              <w:rPr>
                <w:rFonts w:cs="Arial"/>
              </w:rPr>
              <w:t>)</w:t>
            </w:r>
          </w:p>
          <w:p w:rsidR="00D70A7E" w:rsidRPr="00DE4B2C" w:rsidRDefault="00A17B9D" w:rsidP="00A17B9D">
            <w:pPr>
              <w:pStyle w:val="Tabletext"/>
              <w:ind w:left="227" w:hanging="219"/>
              <w:rPr>
                <w:rFonts w:cs="Arial"/>
                <w:sz w:val="16"/>
                <w:szCs w:val="16"/>
                <w:highlight w:val="black"/>
              </w:rPr>
            </w:pP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p>
          <w:p w:rsidR="009B35CE" w:rsidRPr="00A17B9D" w:rsidRDefault="00A17B9D" w:rsidP="00A17B9D">
            <w:pPr>
              <w:pStyle w:val="Tabletext"/>
              <w:ind w:left="227" w:hanging="219"/>
              <w:rPr>
                <w:rFonts w:cs="Arial"/>
                <w:highlight w:val="black"/>
              </w:rPr>
            </w:pP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r w:rsidRPr="00DE4B2C">
              <w:rPr>
                <w:rFonts w:ascii="Symbol" w:hAnsi="Symbol" w:cs="Arial"/>
                <w:noProof/>
                <w:color w:val="000000"/>
                <w:sz w:val="16"/>
                <w:szCs w:val="16"/>
                <w:highlight w:val="black"/>
              </w:rPr>
              <w:t></w:t>
            </w:r>
          </w:p>
        </w:tc>
      </w:tr>
      <w:tr w:rsidR="009B35CE" w:rsidTr="00DE4B2C">
        <w:tc>
          <w:tcPr>
            <w:tcW w:w="1050" w:type="dxa"/>
            <w:tcBorders>
              <w:top w:val="single" w:sz="4" w:space="0" w:color="auto"/>
              <w:left w:val="single" w:sz="4" w:space="0" w:color="auto"/>
              <w:bottom w:val="single" w:sz="4" w:space="0" w:color="auto"/>
              <w:right w:val="single" w:sz="4" w:space="0" w:color="auto"/>
            </w:tcBorders>
          </w:tcPr>
          <w:p w:rsidR="009B35CE" w:rsidRPr="00B607A5" w:rsidRDefault="009B35CE" w:rsidP="00272F8F">
            <w:pPr>
              <w:pStyle w:val="Tabletext"/>
              <w:rPr>
                <w:rFonts w:cs="Arial"/>
              </w:rPr>
            </w:pPr>
            <w:r w:rsidRPr="00B607A5">
              <w:rPr>
                <w:rFonts w:cs="Arial"/>
              </w:rPr>
              <w:t>Improved WHO FC</w:t>
            </w:r>
          </w:p>
        </w:tc>
        <w:tc>
          <w:tcPr>
            <w:tcW w:w="1559" w:type="dxa"/>
            <w:tcBorders>
              <w:top w:val="single" w:sz="4" w:space="0" w:color="auto"/>
              <w:left w:val="single" w:sz="4" w:space="0" w:color="auto"/>
              <w:bottom w:val="single" w:sz="4" w:space="0" w:color="auto"/>
              <w:right w:val="single" w:sz="4" w:space="0" w:color="auto"/>
            </w:tcBorders>
          </w:tcPr>
          <w:p w:rsidR="009B35CE" w:rsidRPr="00B607A5" w:rsidRDefault="009B35CE" w:rsidP="00272F8F">
            <w:pPr>
              <w:pStyle w:val="Tabletext"/>
              <w:rPr>
                <w:rFonts w:cs="Arial"/>
              </w:rPr>
            </w:pPr>
            <w:r w:rsidRPr="00B607A5">
              <w:rPr>
                <w:rFonts w:cs="Arial"/>
              </w:rPr>
              <w:t>ARIES-1&amp;2 (ambrisentan)</w:t>
            </w:r>
          </w:p>
          <w:p w:rsidR="00293DE5" w:rsidRPr="00B607A5" w:rsidRDefault="00293DE5" w:rsidP="00272F8F">
            <w:pPr>
              <w:pStyle w:val="Tabletext"/>
              <w:rPr>
                <w:rFonts w:cs="Arial"/>
              </w:rPr>
            </w:pPr>
            <w:r w:rsidRPr="00B607A5">
              <w:rPr>
                <w:rFonts w:cs="Arial"/>
              </w:rPr>
              <w:t>N=101</w:t>
            </w:r>
          </w:p>
        </w:tc>
        <w:tc>
          <w:tcPr>
            <w:tcW w:w="7143" w:type="dxa"/>
            <w:tcBorders>
              <w:top w:val="single" w:sz="4" w:space="0" w:color="auto"/>
              <w:left w:val="single" w:sz="4" w:space="0" w:color="auto"/>
              <w:bottom w:val="single" w:sz="4" w:space="0" w:color="auto"/>
              <w:right w:val="single" w:sz="4" w:space="0" w:color="auto"/>
            </w:tcBorders>
          </w:tcPr>
          <w:p w:rsidR="009B35CE" w:rsidRPr="00B607A5" w:rsidRDefault="009B35CE" w:rsidP="00480FDF">
            <w:pPr>
              <w:pStyle w:val="Tabletext"/>
              <w:numPr>
                <w:ilvl w:val="0"/>
                <w:numId w:val="23"/>
              </w:numPr>
              <w:ind w:left="227" w:hanging="219"/>
              <w:rPr>
                <w:rFonts w:cs="Arial"/>
              </w:rPr>
            </w:pPr>
            <w:r w:rsidRPr="00B607A5">
              <w:rPr>
                <w:rFonts w:cs="Arial"/>
              </w:rPr>
              <w:t xml:space="preserve">Moderate quality evidence (GRADE </w:t>
            </w:r>
            <w:r w:rsidRPr="00B607A5">
              <w:rPr>
                <w:rFonts w:ascii="Cambria Math" w:hAnsi="Cambria Math" w:cs="Cambria Math"/>
                <w:color w:val="00B050"/>
              </w:rPr>
              <w:t>⨁⨁⨁</w:t>
            </w:r>
            <w:r w:rsidRPr="00B607A5">
              <w:rPr>
                <w:rFonts w:ascii="Cambria Math" w:hAnsi="Cambria Math" w:cs="Cambria Math"/>
                <w:color w:val="C00000"/>
              </w:rPr>
              <w:t>⨀</w:t>
            </w:r>
            <w:r w:rsidRPr="00B607A5">
              <w:rPr>
                <w:rFonts w:cs="Arial"/>
              </w:rPr>
              <w:t>)</w:t>
            </w:r>
          </w:p>
          <w:p w:rsidR="009B35CE" w:rsidRPr="00B607A5" w:rsidRDefault="00D70A7E" w:rsidP="00480FDF">
            <w:pPr>
              <w:pStyle w:val="Tabletext"/>
              <w:numPr>
                <w:ilvl w:val="0"/>
                <w:numId w:val="23"/>
              </w:numPr>
              <w:ind w:left="227" w:hanging="219"/>
              <w:rPr>
                <w:rFonts w:cs="Arial"/>
              </w:rPr>
            </w:pPr>
            <w:r w:rsidRPr="00B607A5">
              <w:rPr>
                <w:rFonts w:cs="Arial"/>
              </w:rPr>
              <w:t>Significantly more patients improved their WHO FC after being treated with an ERA compared with receiving a placebo (ARD = 14.0%; 95% CI 4.4, 23.6)</w:t>
            </w:r>
          </w:p>
        </w:tc>
      </w:tr>
      <w:tr w:rsidR="009B35CE" w:rsidTr="00DE4B2C">
        <w:tc>
          <w:tcPr>
            <w:tcW w:w="1050" w:type="dxa"/>
          </w:tcPr>
          <w:p w:rsidR="009B35CE" w:rsidRPr="00B607A5" w:rsidRDefault="009B35CE" w:rsidP="00272F8F">
            <w:pPr>
              <w:pStyle w:val="Tabletext"/>
              <w:rPr>
                <w:rFonts w:cs="Arial"/>
              </w:rPr>
            </w:pPr>
            <w:r w:rsidRPr="00B607A5">
              <w:rPr>
                <w:rFonts w:cs="Arial"/>
              </w:rPr>
              <w:t>Worsened WHO FC</w:t>
            </w:r>
          </w:p>
        </w:tc>
        <w:tc>
          <w:tcPr>
            <w:tcW w:w="1559" w:type="dxa"/>
          </w:tcPr>
          <w:p w:rsidR="009B35CE" w:rsidRPr="00B607A5" w:rsidRDefault="009B35CE" w:rsidP="00272F8F">
            <w:pPr>
              <w:pStyle w:val="Tabletext"/>
              <w:rPr>
                <w:rFonts w:cs="Arial"/>
              </w:rPr>
            </w:pPr>
            <w:r w:rsidRPr="00B607A5">
              <w:rPr>
                <w:rFonts w:cs="Arial"/>
              </w:rPr>
              <w:t>ARIES-1&amp;2 (ambrisentan)</w:t>
            </w:r>
          </w:p>
          <w:p w:rsidR="00293DE5" w:rsidRPr="00B607A5" w:rsidRDefault="00293DE5" w:rsidP="00272F8F">
            <w:pPr>
              <w:pStyle w:val="Tabletext"/>
              <w:rPr>
                <w:rFonts w:cs="Arial"/>
              </w:rPr>
            </w:pPr>
            <w:r w:rsidRPr="00B607A5">
              <w:rPr>
                <w:rFonts w:cs="Arial"/>
              </w:rPr>
              <w:t>N=101</w:t>
            </w:r>
          </w:p>
        </w:tc>
        <w:tc>
          <w:tcPr>
            <w:tcW w:w="7143" w:type="dxa"/>
          </w:tcPr>
          <w:p w:rsidR="009B35CE" w:rsidRPr="00B607A5" w:rsidRDefault="00B179F1" w:rsidP="00480FDF">
            <w:pPr>
              <w:pStyle w:val="Tabletext"/>
              <w:numPr>
                <w:ilvl w:val="0"/>
                <w:numId w:val="23"/>
              </w:numPr>
              <w:ind w:left="227" w:hanging="219"/>
              <w:rPr>
                <w:rFonts w:cs="Arial"/>
              </w:rPr>
            </w:pPr>
            <w:r w:rsidRPr="00B607A5">
              <w:rPr>
                <w:rFonts w:cs="Arial"/>
              </w:rPr>
              <w:t>Low</w:t>
            </w:r>
            <w:r w:rsidR="009B35CE" w:rsidRPr="00B607A5">
              <w:rPr>
                <w:rFonts w:cs="Arial"/>
              </w:rPr>
              <w:t xml:space="preserve"> quality evidence (GRADE </w:t>
            </w:r>
            <w:r w:rsidR="009B35CE" w:rsidRPr="00B607A5">
              <w:rPr>
                <w:rFonts w:ascii="Cambria Math" w:hAnsi="Cambria Math" w:cs="Cambria Math"/>
                <w:color w:val="00B050"/>
              </w:rPr>
              <w:t>⨁</w:t>
            </w:r>
            <w:r w:rsidRPr="00B607A5">
              <w:rPr>
                <w:rFonts w:ascii="Cambria Math" w:hAnsi="Cambria Math" w:cs="Cambria Math"/>
                <w:color w:val="00B050"/>
              </w:rPr>
              <w:t>⨁</w:t>
            </w:r>
            <w:r w:rsidRPr="00B607A5">
              <w:rPr>
                <w:rFonts w:ascii="Cambria Math" w:hAnsi="Cambria Math" w:cs="Cambria Math"/>
                <w:color w:val="C00000"/>
              </w:rPr>
              <w:t>⨀</w:t>
            </w:r>
            <w:r w:rsidR="009B35CE" w:rsidRPr="00B607A5">
              <w:rPr>
                <w:rFonts w:ascii="Cambria Math" w:hAnsi="Cambria Math" w:cs="Cambria Math"/>
                <w:color w:val="C00000"/>
              </w:rPr>
              <w:t>⨀</w:t>
            </w:r>
            <w:r w:rsidR="009B35CE" w:rsidRPr="00B607A5">
              <w:rPr>
                <w:rFonts w:cs="Arial"/>
              </w:rPr>
              <w:t>)</w:t>
            </w:r>
          </w:p>
          <w:p w:rsidR="009B35CE" w:rsidRPr="00B607A5" w:rsidRDefault="00D70A7E" w:rsidP="00480FDF">
            <w:pPr>
              <w:pStyle w:val="Tabletext"/>
              <w:numPr>
                <w:ilvl w:val="0"/>
                <w:numId w:val="23"/>
              </w:numPr>
              <w:ind w:left="227" w:hanging="219"/>
              <w:rPr>
                <w:rFonts w:cs="Arial"/>
              </w:rPr>
            </w:pPr>
            <w:r w:rsidRPr="00B607A5">
              <w:rPr>
                <w:rFonts w:cs="Arial"/>
              </w:rPr>
              <w:t>Fewer patients taking an ERA had worsening of their WHO FC when compared with receiving a placebo</w:t>
            </w:r>
            <w:r w:rsidR="00171DFA" w:rsidRPr="00B607A5">
              <w:rPr>
                <w:rFonts w:cs="Arial"/>
              </w:rPr>
              <w:t xml:space="preserve"> but the 95% CI indicates that there may also be an effect in the opposite direction</w:t>
            </w:r>
            <w:r w:rsidRPr="00B607A5">
              <w:rPr>
                <w:rFonts w:cs="Arial"/>
              </w:rPr>
              <w:t xml:space="preserve"> (RR = 0.25; 95% CI 0.03, 2.20)</w:t>
            </w:r>
          </w:p>
        </w:tc>
      </w:tr>
      <w:tr w:rsidR="00974AD8" w:rsidTr="00DE4B2C">
        <w:trPr>
          <w:trHeight w:val="815"/>
        </w:trPr>
        <w:tc>
          <w:tcPr>
            <w:tcW w:w="1050" w:type="dxa"/>
          </w:tcPr>
          <w:p w:rsidR="00974AD8" w:rsidRPr="00B607A5" w:rsidRDefault="00974AD8" w:rsidP="00974AD8">
            <w:pPr>
              <w:pStyle w:val="Tabletext"/>
              <w:rPr>
                <w:rFonts w:cs="Arial"/>
              </w:rPr>
            </w:pPr>
            <w:r w:rsidRPr="00B607A5">
              <w:rPr>
                <w:rFonts w:cs="Arial"/>
              </w:rPr>
              <w:t>Change in 6MWD</w:t>
            </w:r>
            <w:r w:rsidR="006F1431" w:rsidRPr="00B607A5">
              <w:rPr>
                <w:rFonts w:cs="Arial"/>
              </w:rPr>
              <w:t xml:space="preserve"> from baseline</w:t>
            </w:r>
          </w:p>
        </w:tc>
        <w:tc>
          <w:tcPr>
            <w:tcW w:w="1559" w:type="dxa"/>
          </w:tcPr>
          <w:p w:rsidR="00974AD8" w:rsidRPr="00B607A5" w:rsidRDefault="00974AD8" w:rsidP="00974AD8">
            <w:pPr>
              <w:pStyle w:val="Tabletext"/>
              <w:rPr>
                <w:rFonts w:cs="Arial"/>
              </w:rPr>
            </w:pPr>
            <w:r w:rsidRPr="00B607A5">
              <w:rPr>
                <w:rFonts w:cs="Arial"/>
              </w:rPr>
              <w:t>EARLY (bosentan)</w:t>
            </w:r>
          </w:p>
          <w:p w:rsidR="00974AD8" w:rsidRPr="00B607A5" w:rsidRDefault="00974AD8" w:rsidP="00974AD8">
            <w:pPr>
              <w:pStyle w:val="Tabletext"/>
              <w:rPr>
                <w:rFonts w:cs="Arial"/>
              </w:rPr>
            </w:pPr>
            <w:r w:rsidRPr="00B607A5">
              <w:rPr>
                <w:rFonts w:cs="Arial"/>
              </w:rPr>
              <w:t>ARIES-1&amp;2 (ambrisentan)</w:t>
            </w:r>
          </w:p>
          <w:p w:rsidR="00293DE5" w:rsidRPr="00B607A5" w:rsidRDefault="00293DE5" w:rsidP="00974AD8">
            <w:pPr>
              <w:pStyle w:val="Tabletext"/>
              <w:rPr>
                <w:rFonts w:cs="Arial"/>
              </w:rPr>
            </w:pPr>
            <w:r w:rsidRPr="00B607A5">
              <w:rPr>
                <w:rFonts w:cs="Arial"/>
              </w:rPr>
              <w:t>N=154</w:t>
            </w:r>
          </w:p>
        </w:tc>
        <w:tc>
          <w:tcPr>
            <w:tcW w:w="7143" w:type="dxa"/>
          </w:tcPr>
          <w:p w:rsidR="00974AD8" w:rsidRPr="00B607A5" w:rsidRDefault="00963EDC" w:rsidP="00480FDF">
            <w:pPr>
              <w:pStyle w:val="Tabletext"/>
              <w:numPr>
                <w:ilvl w:val="0"/>
                <w:numId w:val="23"/>
              </w:numPr>
              <w:ind w:left="227" w:hanging="219"/>
              <w:rPr>
                <w:rFonts w:cs="Arial"/>
              </w:rPr>
            </w:pPr>
            <w:r w:rsidRPr="00B607A5">
              <w:rPr>
                <w:rFonts w:cs="Arial"/>
              </w:rPr>
              <w:t xml:space="preserve">Moderate </w:t>
            </w:r>
            <w:r w:rsidR="00974AD8" w:rsidRPr="00B607A5">
              <w:rPr>
                <w:rFonts w:cs="Arial"/>
              </w:rPr>
              <w:t xml:space="preserve">quality evidence (GRADE </w:t>
            </w:r>
            <w:r w:rsidR="00974AD8" w:rsidRPr="00B607A5">
              <w:rPr>
                <w:rFonts w:ascii="Cambria Math" w:hAnsi="Cambria Math" w:cs="Cambria Math"/>
                <w:color w:val="00B050"/>
              </w:rPr>
              <w:t>⨁⨁⨁</w:t>
            </w:r>
            <w:r w:rsidRPr="00B607A5">
              <w:rPr>
                <w:rFonts w:ascii="Cambria Math" w:hAnsi="Cambria Math" w:cs="Cambria Math"/>
                <w:color w:val="C00000"/>
              </w:rPr>
              <w:t>⨀</w:t>
            </w:r>
            <w:r w:rsidR="00974AD8" w:rsidRPr="00B607A5">
              <w:rPr>
                <w:rFonts w:cs="Arial"/>
              </w:rPr>
              <w:t>)</w:t>
            </w:r>
          </w:p>
          <w:p w:rsidR="00974AD8" w:rsidRPr="00B607A5" w:rsidRDefault="00974AD8" w:rsidP="00480FDF">
            <w:pPr>
              <w:pStyle w:val="Tabletext"/>
              <w:numPr>
                <w:ilvl w:val="0"/>
                <w:numId w:val="23"/>
              </w:numPr>
              <w:ind w:left="227" w:hanging="219"/>
              <w:rPr>
                <w:rFonts w:cs="Arial"/>
              </w:rPr>
            </w:pPr>
            <w:r w:rsidRPr="00B607A5">
              <w:rPr>
                <w:rFonts w:cs="Arial"/>
              </w:rPr>
              <w:t>Patients taking an ERA had a larger mean improvement in their 6MW</w:t>
            </w:r>
            <w:r w:rsidR="00E6350D" w:rsidRPr="00B607A5">
              <w:rPr>
                <w:rFonts w:cs="Arial"/>
              </w:rPr>
              <w:t>D than those taking a placebo</w:t>
            </w:r>
            <w:r w:rsidR="00171DFA" w:rsidRPr="00B607A5">
              <w:rPr>
                <w:rFonts w:cs="Arial"/>
              </w:rPr>
              <w:t>, and the difference was clinically important in 2 out of 3 studies</w:t>
            </w:r>
            <w:r w:rsidR="00E6350D" w:rsidRPr="00B607A5">
              <w:rPr>
                <w:rFonts w:cs="Arial"/>
              </w:rPr>
              <w:t xml:space="preserve"> (r</w:t>
            </w:r>
            <w:r w:rsidRPr="00B607A5">
              <w:rPr>
                <w:rFonts w:cs="Arial"/>
              </w:rPr>
              <w:t>ange 25.7</w:t>
            </w:r>
            <w:r w:rsidR="009B6434" w:rsidRPr="00B607A5">
              <w:rPr>
                <w:rFonts w:cs="Arial"/>
              </w:rPr>
              <w:t>−</w:t>
            </w:r>
            <w:r w:rsidRPr="00B607A5">
              <w:rPr>
                <w:rFonts w:cs="Arial"/>
              </w:rPr>
              <w:t>40.0</w:t>
            </w:r>
            <w:r w:rsidR="009B6434" w:rsidRPr="00B607A5">
              <w:rPr>
                <w:rFonts w:cs="Arial"/>
              </w:rPr>
              <w:t xml:space="preserve"> m </w:t>
            </w:r>
            <w:r w:rsidR="00D70A7E" w:rsidRPr="00B607A5">
              <w:rPr>
                <w:rFonts w:cs="Arial"/>
              </w:rPr>
              <w:t xml:space="preserve">walked </w:t>
            </w:r>
            <w:r w:rsidR="007A3E34" w:rsidRPr="00B607A5">
              <w:rPr>
                <w:rFonts w:cs="Arial"/>
              </w:rPr>
              <w:t>further</w:t>
            </w:r>
            <w:r w:rsidRPr="00B607A5">
              <w:rPr>
                <w:rFonts w:cs="Arial"/>
              </w:rPr>
              <w:t>)</w:t>
            </w:r>
          </w:p>
          <w:p w:rsidR="00974AD8" w:rsidRPr="00B607A5" w:rsidRDefault="00D70A7E" w:rsidP="00480FDF">
            <w:pPr>
              <w:pStyle w:val="Tabletext"/>
              <w:numPr>
                <w:ilvl w:val="0"/>
                <w:numId w:val="23"/>
              </w:numPr>
              <w:ind w:left="227" w:hanging="219"/>
              <w:rPr>
                <w:rFonts w:cs="Arial"/>
              </w:rPr>
            </w:pPr>
            <w:r w:rsidRPr="00B607A5">
              <w:rPr>
                <w:rFonts w:cs="Arial"/>
              </w:rPr>
              <w:t>There was no significant difference in the effectiveness of different ERA medications</w:t>
            </w:r>
          </w:p>
        </w:tc>
      </w:tr>
      <w:tr w:rsidR="009B35CE" w:rsidTr="00DE4B2C">
        <w:tc>
          <w:tcPr>
            <w:tcW w:w="1050" w:type="dxa"/>
            <w:tcBorders>
              <w:top w:val="single" w:sz="4" w:space="0" w:color="auto"/>
              <w:left w:val="single" w:sz="4" w:space="0" w:color="auto"/>
              <w:bottom w:val="single" w:sz="4" w:space="0" w:color="auto"/>
              <w:right w:val="single" w:sz="4" w:space="0" w:color="auto"/>
            </w:tcBorders>
          </w:tcPr>
          <w:p w:rsidR="009B35CE" w:rsidRPr="00B607A5" w:rsidRDefault="009B35CE" w:rsidP="00272F8F">
            <w:pPr>
              <w:pStyle w:val="Tabletext"/>
              <w:rPr>
                <w:rFonts w:cs="Arial"/>
              </w:rPr>
            </w:pPr>
            <w:r w:rsidRPr="00B607A5">
              <w:rPr>
                <w:rFonts w:cs="Arial"/>
              </w:rPr>
              <w:t>Change in haemodynamic parameter</w:t>
            </w:r>
            <w:r w:rsidR="006F1431" w:rsidRPr="00B607A5">
              <w:rPr>
                <w:rFonts w:cs="Arial"/>
              </w:rPr>
              <w:t xml:space="preserve"> from baseline</w:t>
            </w:r>
            <w:r w:rsidRPr="00B607A5">
              <w:rPr>
                <w:rFonts w:cs="Arial"/>
              </w:rPr>
              <w:t>:</w:t>
            </w:r>
          </w:p>
          <w:p w:rsidR="009B35CE" w:rsidRPr="00B607A5" w:rsidRDefault="009B35CE" w:rsidP="00272F8F">
            <w:pPr>
              <w:pStyle w:val="Tabletext"/>
              <w:rPr>
                <w:rFonts w:cs="Arial"/>
              </w:rPr>
            </w:pPr>
            <w:r w:rsidRPr="00B607A5">
              <w:rPr>
                <w:rFonts w:cs="Arial"/>
              </w:rPr>
              <w:t>PVR</w:t>
            </w:r>
          </w:p>
        </w:tc>
        <w:tc>
          <w:tcPr>
            <w:tcW w:w="1559" w:type="dxa"/>
            <w:tcBorders>
              <w:top w:val="single" w:sz="4" w:space="0" w:color="auto"/>
              <w:left w:val="single" w:sz="4" w:space="0" w:color="auto"/>
              <w:bottom w:val="single" w:sz="4" w:space="0" w:color="auto"/>
              <w:right w:val="single" w:sz="4" w:space="0" w:color="auto"/>
            </w:tcBorders>
          </w:tcPr>
          <w:p w:rsidR="009B35CE" w:rsidRPr="00B607A5" w:rsidRDefault="009B35CE" w:rsidP="00272F8F">
            <w:pPr>
              <w:pStyle w:val="Tabletext"/>
              <w:rPr>
                <w:rFonts w:cs="Arial"/>
              </w:rPr>
            </w:pPr>
            <w:r w:rsidRPr="00B607A5">
              <w:rPr>
                <w:rFonts w:cs="Arial"/>
              </w:rPr>
              <w:t>EARLY (bosentan)</w:t>
            </w:r>
          </w:p>
          <w:p w:rsidR="00293DE5" w:rsidRPr="00B607A5" w:rsidRDefault="00293DE5" w:rsidP="00272F8F">
            <w:pPr>
              <w:pStyle w:val="Tabletext"/>
              <w:rPr>
                <w:rFonts w:cs="Arial"/>
              </w:rPr>
            </w:pPr>
            <w:r w:rsidRPr="00B607A5">
              <w:rPr>
                <w:rFonts w:cs="Arial"/>
              </w:rPr>
              <w:t>N=156</w:t>
            </w:r>
          </w:p>
        </w:tc>
        <w:tc>
          <w:tcPr>
            <w:tcW w:w="7143" w:type="dxa"/>
          </w:tcPr>
          <w:p w:rsidR="009B35CE" w:rsidRPr="00B607A5" w:rsidRDefault="00963EDC" w:rsidP="00480FDF">
            <w:pPr>
              <w:pStyle w:val="Tabletext"/>
              <w:numPr>
                <w:ilvl w:val="0"/>
                <w:numId w:val="23"/>
              </w:numPr>
              <w:ind w:left="227" w:hanging="219"/>
              <w:rPr>
                <w:rFonts w:cs="Arial"/>
              </w:rPr>
            </w:pPr>
            <w:r w:rsidRPr="00B607A5">
              <w:rPr>
                <w:rFonts w:cs="Arial"/>
              </w:rPr>
              <w:t xml:space="preserve">Low </w:t>
            </w:r>
            <w:r w:rsidR="009B35CE" w:rsidRPr="00B607A5">
              <w:rPr>
                <w:rFonts w:cs="Arial"/>
              </w:rPr>
              <w:t xml:space="preserve">quality evidence (GRADE </w:t>
            </w:r>
            <w:r w:rsidR="009B35CE" w:rsidRPr="00B607A5">
              <w:rPr>
                <w:rFonts w:ascii="Cambria Math" w:hAnsi="Cambria Math" w:cs="Cambria Math"/>
                <w:color w:val="00B050"/>
              </w:rPr>
              <w:t>⨁⨁</w:t>
            </w:r>
            <w:r w:rsidRPr="00B607A5">
              <w:rPr>
                <w:rFonts w:ascii="Cambria Math" w:hAnsi="Cambria Math" w:cs="Cambria Math"/>
                <w:color w:val="C00000"/>
              </w:rPr>
              <w:t>⨀⨀</w:t>
            </w:r>
            <w:r w:rsidR="009B35CE" w:rsidRPr="00B607A5">
              <w:rPr>
                <w:rFonts w:cs="Arial"/>
              </w:rPr>
              <w:t>)</w:t>
            </w:r>
          </w:p>
          <w:p w:rsidR="009B35CE" w:rsidRPr="00B607A5" w:rsidRDefault="009B35CE" w:rsidP="00480FDF">
            <w:pPr>
              <w:pStyle w:val="Tabletext"/>
              <w:numPr>
                <w:ilvl w:val="0"/>
                <w:numId w:val="23"/>
              </w:numPr>
              <w:ind w:left="227" w:hanging="219"/>
              <w:rPr>
                <w:rFonts w:cs="Arial"/>
              </w:rPr>
            </w:pPr>
            <w:r w:rsidRPr="00B607A5">
              <w:rPr>
                <w:rFonts w:cs="Arial"/>
              </w:rPr>
              <w:t>Patients taking an ERA had a larger mean improvement in their PVR than those taking a placebo (MD = 23.1% improvement</w:t>
            </w:r>
            <w:r w:rsidR="00D70A7E" w:rsidRPr="00B607A5">
              <w:rPr>
                <w:rFonts w:cs="Arial"/>
              </w:rPr>
              <w:t xml:space="preserve"> was </w:t>
            </w:r>
            <w:r w:rsidR="00171DFA" w:rsidRPr="00B607A5">
              <w:rPr>
                <w:rFonts w:cs="Arial"/>
              </w:rPr>
              <w:t xml:space="preserve">a </w:t>
            </w:r>
            <w:r w:rsidR="00D70A7E" w:rsidRPr="00B607A5">
              <w:rPr>
                <w:rFonts w:cs="Arial"/>
              </w:rPr>
              <w:t>clinically important</w:t>
            </w:r>
            <w:r w:rsidR="00171DFA" w:rsidRPr="00B607A5">
              <w:rPr>
                <w:rFonts w:cs="Arial"/>
              </w:rPr>
              <w:t xml:space="preserve"> </w:t>
            </w:r>
            <w:r w:rsidR="00955FF7" w:rsidRPr="00B607A5">
              <w:rPr>
                <w:rFonts w:cs="Arial"/>
              </w:rPr>
              <w:t>difference</w:t>
            </w:r>
            <w:r w:rsidRPr="00B607A5">
              <w:rPr>
                <w:rFonts w:cs="Arial"/>
              </w:rPr>
              <w:t>)</w:t>
            </w:r>
          </w:p>
        </w:tc>
      </w:tr>
    </w:tbl>
    <w:p w:rsidR="009E3B52" w:rsidRPr="00B607A5" w:rsidRDefault="009B35CE" w:rsidP="00272F8F">
      <w:pPr>
        <w:pStyle w:val="Tablenote"/>
        <w:rPr>
          <w:rFonts w:cs="Arial"/>
        </w:rPr>
      </w:pPr>
      <w:r w:rsidRPr="00B607A5">
        <w:rPr>
          <w:rFonts w:cs="Arial"/>
        </w:rPr>
        <w:t xml:space="preserve">6MWD = 6-minute </w:t>
      </w:r>
      <w:r w:rsidR="0082368E" w:rsidRPr="00B607A5">
        <w:rPr>
          <w:rFonts w:cs="Arial"/>
        </w:rPr>
        <w:t>walk distance</w:t>
      </w:r>
      <w:r w:rsidR="00B21201" w:rsidRPr="00B607A5">
        <w:rPr>
          <w:rFonts w:cs="Arial"/>
        </w:rPr>
        <w:t>; ARD</w:t>
      </w:r>
      <w:r w:rsidRPr="00B607A5">
        <w:rPr>
          <w:rFonts w:cs="Arial"/>
        </w:rPr>
        <w:t xml:space="preserve"> = absolute risk </w:t>
      </w:r>
      <w:r w:rsidR="00B21201" w:rsidRPr="00B607A5">
        <w:rPr>
          <w:rFonts w:cs="Arial"/>
        </w:rPr>
        <w:t>difference</w:t>
      </w:r>
      <w:r w:rsidRPr="00B607A5">
        <w:rPr>
          <w:rFonts w:cs="Arial"/>
        </w:rPr>
        <w:t xml:space="preserve">; CI = confidence interval; ERA = endothelin receptor antagonist; FC = functional class; </w:t>
      </w:r>
      <w:r w:rsidR="00385E5A" w:rsidRPr="00B607A5">
        <w:rPr>
          <w:rFonts w:cs="Arial"/>
        </w:rPr>
        <w:t>GRADE = grading of recommendations assessment, development and evaluation</w:t>
      </w:r>
      <w:r w:rsidR="001D34EE" w:rsidRPr="00B607A5">
        <w:rPr>
          <w:rFonts w:cs="Arial"/>
          <w:noProof/>
          <w:vertAlign w:val="superscript"/>
        </w:rPr>
        <w:t>1</w:t>
      </w:r>
      <w:r w:rsidR="002B03AB" w:rsidRPr="00B607A5">
        <w:rPr>
          <w:rFonts w:cs="Arial"/>
        </w:rPr>
        <w:t xml:space="preserve">; </w:t>
      </w:r>
      <w:r w:rsidRPr="00B607A5">
        <w:rPr>
          <w:rFonts w:cs="Arial"/>
        </w:rPr>
        <w:t xml:space="preserve">MD = mean difference; </w:t>
      </w:r>
      <w:r w:rsidR="002B03AB" w:rsidRPr="00B607A5">
        <w:rPr>
          <w:rFonts w:cs="Arial"/>
        </w:rPr>
        <w:t xml:space="preserve">PAH = pulmonary arterial hypertension; </w:t>
      </w:r>
      <w:r w:rsidRPr="00B607A5">
        <w:rPr>
          <w:rFonts w:cs="Arial"/>
        </w:rPr>
        <w:t>PVR = pulmonary vascular resistance; RCT = randomised controlled trial; RR = relative risk; WHO = World Health Organization</w:t>
      </w:r>
    </w:p>
    <w:p w:rsidR="009B35CE" w:rsidRPr="0042195A" w:rsidRDefault="009B35CE" w:rsidP="009B35CE">
      <w:pPr>
        <w:pStyle w:val="Heading5"/>
      </w:pPr>
      <w:r w:rsidRPr="0042195A">
        <w:t>Safety</w:t>
      </w:r>
    </w:p>
    <w:p w:rsidR="009B35CE" w:rsidRPr="006316DF" w:rsidRDefault="009B35CE" w:rsidP="009B35CE">
      <w:r w:rsidRPr="00944958">
        <w:t xml:space="preserve">There </w:t>
      </w:r>
      <w:r>
        <w:t>is no</w:t>
      </w:r>
      <w:r w:rsidRPr="00944958">
        <w:t xml:space="preserve"> evidence </w:t>
      </w:r>
      <w:r w:rsidR="00F9638D">
        <w:t>to evaluate the comparative safety</w:t>
      </w:r>
      <w:r w:rsidRPr="00944958">
        <w:t xml:space="preserve"> of an ERA medication </w:t>
      </w:r>
      <w:r w:rsidR="00F9638D">
        <w:t>versus placebo when used to treat</w:t>
      </w:r>
      <w:r w:rsidRPr="00944958">
        <w:t xml:space="preserve"> patients with WHO FC I/II PAH.</w:t>
      </w:r>
    </w:p>
    <w:p w:rsidR="009B35CE" w:rsidRPr="0042195A" w:rsidRDefault="00441F08" w:rsidP="009B35CE">
      <w:pPr>
        <w:pStyle w:val="Heading4"/>
      </w:pPr>
      <w:r>
        <w:t>4.1.1.2</w:t>
      </w:r>
      <w:r>
        <w:tab/>
      </w:r>
      <w:r w:rsidR="009B35CE" w:rsidRPr="0042195A">
        <w:t>PDE-5</w:t>
      </w:r>
      <w:r w:rsidR="009B35CE">
        <w:t xml:space="preserve"> </w:t>
      </w:r>
      <w:r w:rsidR="009B35CE" w:rsidRPr="0042195A">
        <w:t>i</w:t>
      </w:r>
      <w:r w:rsidR="009B35CE">
        <w:t>nhibitor</w:t>
      </w:r>
      <w:r w:rsidR="009B35CE" w:rsidRPr="0042195A">
        <w:t xml:space="preserve"> versus placebo</w:t>
      </w:r>
    </w:p>
    <w:p w:rsidR="009B35CE" w:rsidRPr="0042195A" w:rsidRDefault="009B35CE" w:rsidP="009B35CE">
      <w:pPr>
        <w:pStyle w:val="Heading5"/>
      </w:pPr>
      <w:r w:rsidRPr="0042195A">
        <w:t>Clinical effectiveness</w:t>
      </w:r>
    </w:p>
    <w:p w:rsidR="009B35CE" w:rsidRDefault="009B35CE" w:rsidP="00550EA7">
      <w:r w:rsidRPr="0042195A">
        <w:t xml:space="preserve">Three RCTs were identified that reported on the effectiveness of </w:t>
      </w:r>
      <w:r w:rsidR="00844F6F">
        <w:t xml:space="preserve">a </w:t>
      </w:r>
      <w:r>
        <w:t>PDE-5 inhibitor</w:t>
      </w:r>
      <w:r w:rsidR="0069215C">
        <w:t>, as monotherapy,</w:t>
      </w:r>
      <w:r w:rsidRPr="0042195A">
        <w:t xml:space="preserve"> </w:t>
      </w:r>
      <w:r w:rsidR="00844F6F">
        <w:t>when compared to</w:t>
      </w:r>
      <w:r w:rsidRPr="0042195A">
        <w:t xml:space="preserve"> placebo in patients with WHO FC I/II PAH</w:t>
      </w:r>
      <w:r>
        <w:t>:</w:t>
      </w:r>
    </w:p>
    <w:p w:rsidR="009B35CE" w:rsidRPr="00B607A5" w:rsidRDefault="009B35CE" w:rsidP="00D103A9">
      <w:pPr>
        <w:pStyle w:val="Bullettext"/>
      </w:pPr>
      <w:r w:rsidRPr="00B607A5">
        <w:t>The PHIRST and Mukhopadhyay 2011 trials used tadalafil</w:t>
      </w:r>
    </w:p>
    <w:p w:rsidR="009B35CE" w:rsidRPr="00B607A5" w:rsidRDefault="009B35CE" w:rsidP="00D103A9">
      <w:pPr>
        <w:pStyle w:val="Bullettext"/>
      </w:pPr>
      <w:r w:rsidRPr="00B607A5">
        <w:t>The SUPER-1 trial used sildenafil.</w:t>
      </w:r>
    </w:p>
    <w:p w:rsidR="009B35CE" w:rsidRDefault="00844F6F" w:rsidP="00550EA7">
      <w:r>
        <w:t xml:space="preserve">Neither </w:t>
      </w:r>
      <w:r w:rsidR="009B35CE" w:rsidRPr="006316DF">
        <w:t>of these trials reported on all-cause mortality for the subgroup of patients with WHO FC I/II PAH</w:t>
      </w:r>
      <w:r w:rsidR="009B35CE">
        <w:t xml:space="preserve">. Two </w:t>
      </w:r>
      <w:r w:rsidR="009B35CE" w:rsidRPr="006316DF">
        <w:t>cohort stud</w:t>
      </w:r>
      <w:r w:rsidR="009B35CE">
        <w:t>ies</w:t>
      </w:r>
      <w:r w:rsidR="009B35CE" w:rsidRPr="006316DF">
        <w:t xml:space="preserve"> </w:t>
      </w:r>
      <w:r w:rsidR="009B35CE">
        <w:t>were identified</w:t>
      </w:r>
      <w:r w:rsidR="009B35CE" w:rsidRPr="006316DF">
        <w:t xml:space="preserve"> </w:t>
      </w:r>
      <w:r w:rsidR="009B35CE">
        <w:t xml:space="preserve">that </w:t>
      </w:r>
      <w:r w:rsidR="009B35CE" w:rsidRPr="006316DF">
        <w:t xml:space="preserve">reported on the mortality </w:t>
      </w:r>
      <w:r w:rsidR="009B35CE">
        <w:t xml:space="preserve">of </w:t>
      </w:r>
      <w:r w:rsidR="009B35CE" w:rsidRPr="006316DF">
        <w:t>patients with WHO FC I/II PAH who were treated with either sildenafil or conventional therapy</w:t>
      </w:r>
      <w:r w:rsidR="009B35CE">
        <w:t>:</w:t>
      </w:r>
    </w:p>
    <w:p w:rsidR="009B35CE" w:rsidRPr="00B607A5" w:rsidRDefault="009B35CE" w:rsidP="00D103A9">
      <w:pPr>
        <w:pStyle w:val="Bullettext"/>
      </w:pPr>
      <w:r w:rsidRPr="00B607A5">
        <w:lastRenderedPageBreak/>
        <w:t>Sun 2013 enrolled patients with Eisenmenger syndrome who were followed for up to 2 years</w:t>
      </w:r>
    </w:p>
    <w:p w:rsidR="009B35CE" w:rsidRPr="00B607A5" w:rsidRDefault="00844F6F" w:rsidP="00D103A9">
      <w:pPr>
        <w:pStyle w:val="Bullettext"/>
      </w:pPr>
      <w:r w:rsidRPr="00B607A5">
        <w:t>Sastry 2007 collected prospectively acquired survival data from a hospital registry for five years for patients with IPAH of WHO FC II-I</w:t>
      </w:r>
      <w:r w:rsidR="00BF291C" w:rsidRPr="00B607A5">
        <w:t>V being treated with sildenafil</w:t>
      </w:r>
      <w:r w:rsidRPr="00B607A5">
        <w:t>.</w:t>
      </w:r>
    </w:p>
    <w:p w:rsidR="009B35CE" w:rsidRPr="0042195A" w:rsidRDefault="009B35CE" w:rsidP="00550EA7">
      <w:r>
        <w:t xml:space="preserve">The evidence provided by these </w:t>
      </w:r>
      <w:r w:rsidR="00441F08">
        <w:t>studies</w:t>
      </w:r>
      <w:r>
        <w:t xml:space="preserve"> is summarised in</w:t>
      </w:r>
      <w:r w:rsidR="00272F8F">
        <w:t xml:space="preserve"> </w:t>
      </w:r>
      <w:r w:rsidR="00AA722D">
        <w:t>Table 4.2</w:t>
      </w:r>
      <w:r>
        <w:t>.</w:t>
      </w:r>
    </w:p>
    <w:p w:rsidR="009B35CE" w:rsidRDefault="009B35CE" w:rsidP="00550EA7">
      <w:r w:rsidRPr="0042195A">
        <w:t xml:space="preserve">Overall, </w:t>
      </w:r>
      <w:r w:rsidR="00843DF8" w:rsidRPr="00843DF8">
        <w:t>there is considerable uncertainty as to whether the use of PDE-5 inhibitor medication to treat patients with WHO FC I/II PAH would be beneficial</w:t>
      </w:r>
      <w:r w:rsidRPr="0042195A">
        <w:t xml:space="preserve">. </w:t>
      </w:r>
    </w:p>
    <w:p w:rsidR="009B35CE" w:rsidRDefault="00272F8F" w:rsidP="00BC5A2B">
      <w:pPr>
        <w:pStyle w:val="Caption"/>
      </w:pPr>
      <w:bookmarkStart w:id="7" w:name="_Ref506281939"/>
      <w:bookmarkStart w:id="8" w:name="_Toc512855406"/>
      <w:r>
        <w:t>Table 4.</w:t>
      </w:r>
      <w:r w:rsidR="00AA722D">
        <w:rPr>
          <w:noProof/>
        </w:rPr>
        <w:t>2</w:t>
      </w:r>
      <w:bookmarkEnd w:id="7"/>
      <w:r>
        <w:tab/>
      </w:r>
      <w:r w:rsidR="009B35CE">
        <w:t>Summary of the evidence for the clinical effectiveness of a PDE-5 inhibitor versus placebo in patients with WHO FC I/II PAH</w:t>
      </w:r>
      <w:bookmarkEnd w:id="8"/>
    </w:p>
    <w:tbl>
      <w:tblPr>
        <w:tblStyle w:val="TableGrid"/>
        <w:tblW w:w="9634" w:type="dxa"/>
        <w:tblLook w:val="04A0" w:firstRow="1" w:lastRow="0" w:firstColumn="1" w:lastColumn="0" w:noHBand="0" w:noVBand="1"/>
        <w:tblCaption w:val="Summary of the evidence for the clinical effectiveness of a PDE-5 inhibitor versus placebo in patients with WHO FC I/II PAH"/>
      </w:tblPr>
      <w:tblGrid>
        <w:gridCol w:w="1555"/>
        <w:gridCol w:w="1984"/>
        <w:gridCol w:w="6095"/>
      </w:tblGrid>
      <w:tr w:rsidR="009B35CE" w:rsidRPr="00272F8F" w:rsidTr="00D103A9">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272F8F" w:rsidRDefault="009B35CE" w:rsidP="00272F8F">
            <w:pPr>
              <w:pStyle w:val="Tabletext"/>
              <w:rPr>
                <w:rFonts w:asciiTheme="minorHAnsi" w:hAnsiTheme="minorHAnsi"/>
                <w:b/>
              </w:rPr>
            </w:pPr>
            <w:r w:rsidRPr="00272F8F">
              <w:rPr>
                <w:b/>
              </w:rPr>
              <w:t>Outcome</w:t>
            </w:r>
          </w:p>
        </w:tc>
        <w:tc>
          <w:tcPr>
            <w:tcW w:w="1984" w:type="dxa"/>
            <w:tcBorders>
              <w:top w:val="single" w:sz="4" w:space="0" w:color="auto"/>
              <w:left w:val="single" w:sz="4" w:space="0" w:color="auto"/>
              <w:bottom w:val="single" w:sz="4" w:space="0" w:color="auto"/>
              <w:right w:val="single" w:sz="4" w:space="0" w:color="auto"/>
            </w:tcBorders>
          </w:tcPr>
          <w:p w:rsidR="00293DE5" w:rsidRDefault="009B35CE" w:rsidP="00272F8F">
            <w:pPr>
              <w:pStyle w:val="Tabletext"/>
              <w:rPr>
                <w:b/>
              </w:rPr>
            </w:pPr>
            <w:r w:rsidRPr="00272F8F">
              <w:rPr>
                <w:b/>
              </w:rPr>
              <w:t xml:space="preserve">Included trials </w:t>
            </w:r>
          </w:p>
          <w:p w:rsidR="009B35CE" w:rsidRPr="00272F8F" w:rsidRDefault="00293DE5" w:rsidP="00272F8F">
            <w:pPr>
              <w:pStyle w:val="Tabletext"/>
              <w:rPr>
                <w:rFonts w:asciiTheme="minorHAnsi" w:hAnsiTheme="minorHAnsi"/>
                <w:b/>
              </w:rPr>
            </w:pPr>
            <w:r w:rsidRPr="00293DE5">
              <w:rPr>
                <w:b/>
              </w:rPr>
              <w:t>No. of patients</w:t>
            </w:r>
          </w:p>
        </w:tc>
        <w:tc>
          <w:tcPr>
            <w:tcW w:w="6095" w:type="dxa"/>
            <w:tcBorders>
              <w:top w:val="single" w:sz="4" w:space="0" w:color="auto"/>
              <w:left w:val="single" w:sz="4" w:space="0" w:color="auto"/>
              <w:bottom w:val="single" w:sz="4" w:space="0" w:color="auto"/>
              <w:right w:val="single" w:sz="4" w:space="0" w:color="auto"/>
            </w:tcBorders>
          </w:tcPr>
          <w:p w:rsidR="009B35CE" w:rsidRPr="00272F8F" w:rsidRDefault="009B35CE" w:rsidP="00272F8F">
            <w:pPr>
              <w:pStyle w:val="Tabletext"/>
              <w:rPr>
                <w:rFonts w:asciiTheme="minorHAnsi" w:hAnsiTheme="minorHAnsi"/>
                <w:b/>
              </w:rPr>
            </w:pPr>
            <w:r w:rsidRPr="00272F8F">
              <w:rPr>
                <w:b/>
              </w:rPr>
              <w:t>Summary of evidence</w:t>
            </w:r>
          </w:p>
        </w:tc>
      </w:tr>
      <w:tr w:rsidR="009B35CE" w:rsidRPr="00272F8F" w:rsidTr="00D103A9">
        <w:tc>
          <w:tcPr>
            <w:tcW w:w="1555" w:type="dxa"/>
            <w:tcBorders>
              <w:top w:val="single" w:sz="4" w:space="0" w:color="auto"/>
              <w:left w:val="single" w:sz="4" w:space="0" w:color="auto"/>
              <w:bottom w:val="single" w:sz="4" w:space="0" w:color="auto"/>
              <w:right w:val="single" w:sz="4" w:space="0" w:color="auto"/>
            </w:tcBorders>
          </w:tcPr>
          <w:p w:rsidR="009B35CE" w:rsidRPr="00272F8F" w:rsidRDefault="009B35CE" w:rsidP="00272F8F">
            <w:pPr>
              <w:pStyle w:val="Tabletext"/>
            </w:pPr>
            <w:r w:rsidRPr="00272F8F">
              <w:t>All-cause mortality</w:t>
            </w:r>
          </w:p>
        </w:tc>
        <w:tc>
          <w:tcPr>
            <w:tcW w:w="1984" w:type="dxa"/>
            <w:tcBorders>
              <w:top w:val="single" w:sz="4" w:space="0" w:color="auto"/>
              <w:left w:val="single" w:sz="4" w:space="0" w:color="auto"/>
              <w:bottom w:val="single" w:sz="4" w:space="0" w:color="auto"/>
              <w:right w:val="single" w:sz="4" w:space="0" w:color="auto"/>
            </w:tcBorders>
          </w:tcPr>
          <w:p w:rsidR="009B35CE" w:rsidRPr="00272F8F" w:rsidRDefault="009B35CE" w:rsidP="00272F8F">
            <w:pPr>
              <w:pStyle w:val="Tabletext"/>
            </w:pPr>
            <w:r w:rsidRPr="00272F8F">
              <w:t>Sun 2013 cohort study (sildenafil)</w:t>
            </w:r>
          </w:p>
          <w:p w:rsidR="009B35CE" w:rsidRDefault="009B35CE" w:rsidP="00272F8F">
            <w:pPr>
              <w:pStyle w:val="Tabletext"/>
            </w:pPr>
            <w:r w:rsidRPr="00272F8F">
              <w:t>Sastry 2007 cohort study (sildenafil)</w:t>
            </w:r>
          </w:p>
          <w:p w:rsidR="00293DE5" w:rsidRPr="00272F8F" w:rsidRDefault="00293DE5" w:rsidP="00272F8F">
            <w:pPr>
              <w:pStyle w:val="Tabletext"/>
            </w:pPr>
            <w:r>
              <w:t>N=76</w:t>
            </w:r>
          </w:p>
        </w:tc>
        <w:tc>
          <w:tcPr>
            <w:tcW w:w="6095" w:type="dxa"/>
            <w:tcBorders>
              <w:top w:val="single" w:sz="4" w:space="0" w:color="auto"/>
              <w:left w:val="single" w:sz="4" w:space="0" w:color="auto"/>
              <w:bottom w:val="single" w:sz="4" w:space="0" w:color="auto"/>
              <w:right w:val="single" w:sz="4" w:space="0" w:color="auto"/>
            </w:tcBorders>
          </w:tcPr>
          <w:p w:rsidR="009B35CE" w:rsidRPr="00272F8F" w:rsidRDefault="009B35CE" w:rsidP="00480FDF">
            <w:pPr>
              <w:pStyle w:val="Tabletext"/>
              <w:numPr>
                <w:ilvl w:val="0"/>
                <w:numId w:val="24"/>
              </w:numPr>
              <w:ind w:left="227" w:hanging="219"/>
            </w:pPr>
            <w:r w:rsidRPr="00272F8F">
              <w:t xml:space="preserve">Very low quality evidence (GRADE </w:t>
            </w:r>
            <w:r w:rsidR="00272F8F" w:rsidRPr="006316DF">
              <w:rPr>
                <w:rFonts w:ascii="Cambria Math" w:hAnsi="Cambria Math" w:cs="Cambria Math"/>
                <w:color w:val="00B050"/>
              </w:rPr>
              <w:t>⨁</w:t>
            </w:r>
            <w:r w:rsidR="00272F8F" w:rsidRPr="006316DF">
              <w:rPr>
                <w:rFonts w:ascii="Cambria Math" w:hAnsi="Cambria Math" w:cs="Cambria Math"/>
                <w:color w:val="C00000"/>
              </w:rPr>
              <w:t>⨀⨀⨀</w:t>
            </w:r>
            <w:r w:rsidRPr="00272F8F">
              <w:t>)</w:t>
            </w:r>
          </w:p>
          <w:p w:rsidR="009B35CE" w:rsidRPr="00272F8F" w:rsidRDefault="009B35CE" w:rsidP="00480FDF">
            <w:pPr>
              <w:pStyle w:val="Tabletext"/>
              <w:numPr>
                <w:ilvl w:val="0"/>
                <w:numId w:val="24"/>
              </w:numPr>
              <w:ind w:left="227" w:hanging="219"/>
            </w:pPr>
            <w:r w:rsidRPr="00272F8F">
              <w:t xml:space="preserve">Fewer patients died </w:t>
            </w:r>
            <w:r w:rsidR="00F70738">
              <w:t>after treatment with</w:t>
            </w:r>
            <w:r w:rsidRPr="00272F8F">
              <w:t xml:space="preserve"> a PDE-5 inhibitor compared with placebo</w:t>
            </w:r>
            <w:r w:rsidR="00171DFA">
              <w:t>,</w:t>
            </w:r>
            <w:r w:rsidRPr="00272F8F">
              <w:t xml:space="preserve"> but the 95% CI indicate</w:t>
            </w:r>
            <w:r w:rsidR="00D84687">
              <w:t>s</w:t>
            </w:r>
            <w:r w:rsidRPr="00272F8F">
              <w:t xml:space="preserve"> that there may also be </w:t>
            </w:r>
            <w:r w:rsidR="00171DFA">
              <w:t>an</w:t>
            </w:r>
            <w:r w:rsidRPr="00272F8F">
              <w:t xml:space="preserve"> effect </w:t>
            </w:r>
            <w:r w:rsidR="00171DFA">
              <w:t xml:space="preserve">in the opposite direction </w:t>
            </w:r>
            <w:r w:rsidRPr="00272F8F">
              <w:t>(pooled RR = 0.32; 95% CI 0.05, 1.90)</w:t>
            </w:r>
          </w:p>
        </w:tc>
      </w:tr>
      <w:tr w:rsidR="009B35CE" w:rsidRPr="00272F8F" w:rsidTr="00D103A9">
        <w:tc>
          <w:tcPr>
            <w:tcW w:w="1555" w:type="dxa"/>
            <w:tcBorders>
              <w:top w:val="single" w:sz="4" w:space="0" w:color="auto"/>
              <w:left w:val="single" w:sz="4" w:space="0" w:color="auto"/>
              <w:bottom w:val="single" w:sz="4" w:space="0" w:color="auto"/>
              <w:right w:val="single" w:sz="4" w:space="0" w:color="auto"/>
            </w:tcBorders>
          </w:tcPr>
          <w:p w:rsidR="009B35CE" w:rsidRPr="00272F8F" w:rsidRDefault="009B35CE" w:rsidP="00272F8F">
            <w:pPr>
              <w:pStyle w:val="Tabletext"/>
            </w:pPr>
            <w:r w:rsidRPr="00272F8F">
              <w:t>Improved WHO FC</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272F8F">
            <w:pPr>
              <w:pStyle w:val="Tabletext"/>
            </w:pPr>
            <w:r w:rsidRPr="00272F8F">
              <w:t>Mukhopadhyay 2011 (tadalafil)</w:t>
            </w:r>
          </w:p>
          <w:p w:rsidR="00293DE5" w:rsidRPr="00272F8F" w:rsidRDefault="00293DE5" w:rsidP="00272F8F">
            <w:pPr>
              <w:pStyle w:val="Tabletext"/>
            </w:pPr>
            <w:r>
              <w:t>N=22</w:t>
            </w:r>
          </w:p>
        </w:tc>
        <w:tc>
          <w:tcPr>
            <w:tcW w:w="6095" w:type="dxa"/>
            <w:tcBorders>
              <w:top w:val="single" w:sz="4" w:space="0" w:color="auto"/>
              <w:left w:val="single" w:sz="4" w:space="0" w:color="auto"/>
              <w:bottom w:val="single" w:sz="4" w:space="0" w:color="auto"/>
              <w:right w:val="single" w:sz="4" w:space="0" w:color="auto"/>
            </w:tcBorders>
          </w:tcPr>
          <w:p w:rsidR="009B35CE" w:rsidRPr="00272F8F" w:rsidRDefault="006F1431" w:rsidP="00480FDF">
            <w:pPr>
              <w:pStyle w:val="Tabletext"/>
              <w:numPr>
                <w:ilvl w:val="0"/>
                <w:numId w:val="24"/>
              </w:numPr>
              <w:ind w:left="227" w:hanging="219"/>
            </w:pPr>
            <w:r>
              <w:t>Low</w:t>
            </w:r>
            <w:r w:rsidR="009B35CE" w:rsidRPr="00272F8F">
              <w:t xml:space="preserve"> quality evidence (GRADE </w:t>
            </w:r>
            <w:r w:rsidRPr="006316DF">
              <w:rPr>
                <w:rFonts w:ascii="Cambria Math" w:hAnsi="Cambria Math" w:cs="Cambria Math"/>
                <w:color w:val="00B050"/>
              </w:rPr>
              <w:t>⨁⨁</w:t>
            </w:r>
            <w:r w:rsidRPr="006316DF">
              <w:rPr>
                <w:rFonts w:ascii="Cambria Math" w:hAnsi="Cambria Math" w:cs="Cambria Math"/>
                <w:color w:val="C00000"/>
              </w:rPr>
              <w:t>⨀</w:t>
            </w:r>
            <w:r w:rsidRPr="00FA1124">
              <w:rPr>
                <w:rFonts w:ascii="Cambria Math" w:hAnsi="Cambria Math" w:cs="Cambria Math"/>
                <w:color w:val="C00000"/>
              </w:rPr>
              <w:t>⨀</w:t>
            </w:r>
            <w:r w:rsidR="009B35CE" w:rsidRPr="00272F8F">
              <w:t>)</w:t>
            </w:r>
          </w:p>
          <w:p w:rsidR="009B35CE" w:rsidRPr="00272F8F" w:rsidRDefault="009B35CE" w:rsidP="00480FDF">
            <w:pPr>
              <w:pStyle w:val="Tabletext"/>
              <w:numPr>
                <w:ilvl w:val="0"/>
                <w:numId w:val="24"/>
              </w:numPr>
              <w:ind w:left="227" w:hanging="219"/>
            </w:pPr>
            <w:r w:rsidRPr="00272F8F">
              <w:t>The same proportion of patients improved their WHO FC taking a PDE-5 inhibitor compared with placebo, but the wide 95% CI indicate</w:t>
            </w:r>
            <w:r w:rsidR="00D84687">
              <w:t>s</w:t>
            </w:r>
            <w:r w:rsidRPr="00272F8F">
              <w:t xml:space="preserve"> that </w:t>
            </w:r>
            <w:r w:rsidR="00CA40B9">
              <w:t>the study was underpowered for this outcome</w:t>
            </w:r>
            <w:r w:rsidRPr="00272F8F">
              <w:t xml:space="preserve"> (RR = 1.00; 95% CI 0.07, 15.00)</w:t>
            </w:r>
          </w:p>
        </w:tc>
      </w:tr>
      <w:tr w:rsidR="009B35CE" w:rsidRPr="00272F8F" w:rsidTr="00D103A9">
        <w:tc>
          <w:tcPr>
            <w:tcW w:w="1555" w:type="dxa"/>
          </w:tcPr>
          <w:p w:rsidR="009B35CE" w:rsidRPr="00272F8F" w:rsidRDefault="009B35CE" w:rsidP="00272F8F">
            <w:pPr>
              <w:pStyle w:val="Tabletext"/>
            </w:pPr>
            <w:r w:rsidRPr="00272F8F">
              <w:t>Worsened WHO FC</w:t>
            </w:r>
          </w:p>
        </w:tc>
        <w:tc>
          <w:tcPr>
            <w:tcW w:w="1984" w:type="dxa"/>
          </w:tcPr>
          <w:p w:rsidR="009B35CE" w:rsidRDefault="009B35CE" w:rsidP="00272F8F">
            <w:pPr>
              <w:pStyle w:val="Tabletext"/>
            </w:pPr>
            <w:r w:rsidRPr="00272F8F">
              <w:t>Mukhopadhyay 2011 (tadalafil)</w:t>
            </w:r>
          </w:p>
          <w:p w:rsidR="00293DE5" w:rsidRPr="00272F8F" w:rsidRDefault="00293DE5" w:rsidP="00272F8F">
            <w:pPr>
              <w:pStyle w:val="Tabletext"/>
            </w:pPr>
            <w:r>
              <w:t>N=22</w:t>
            </w:r>
          </w:p>
        </w:tc>
        <w:tc>
          <w:tcPr>
            <w:tcW w:w="6095" w:type="dxa"/>
          </w:tcPr>
          <w:p w:rsidR="009B35CE" w:rsidRPr="00272F8F" w:rsidRDefault="006F1431" w:rsidP="00480FDF">
            <w:pPr>
              <w:pStyle w:val="Tabletext"/>
              <w:numPr>
                <w:ilvl w:val="0"/>
                <w:numId w:val="24"/>
              </w:numPr>
              <w:ind w:left="227" w:hanging="219"/>
            </w:pPr>
            <w:r>
              <w:t>Low</w:t>
            </w:r>
            <w:r w:rsidR="009B35CE" w:rsidRPr="00272F8F">
              <w:t xml:space="preserve"> quality evidence (GRADE </w:t>
            </w:r>
            <w:r w:rsidRPr="006316DF">
              <w:rPr>
                <w:rFonts w:ascii="Cambria Math" w:hAnsi="Cambria Math" w:cs="Cambria Math"/>
                <w:color w:val="00B050"/>
              </w:rPr>
              <w:t>⨁⨁</w:t>
            </w:r>
            <w:r w:rsidRPr="006316DF">
              <w:rPr>
                <w:rFonts w:ascii="Cambria Math" w:hAnsi="Cambria Math" w:cs="Cambria Math"/>
                <w:color w:val="C00000"/>
              </w:rPr>
              <w:t>⨀</w:t>
            </w:r>
            <w:r w:rsidRPr="00FA1124">
              <w:rPr>
                <w:rFonts w:ascii="Cambria Math" w:hAnsi="Cambria Math" w:cs="Cambria Math"/>
                <w:color w:val="C00000"/>
              </w:rPr>
              <w:t>⨀</w:t>
            </w:r>
            <w:r w:rsidR="009B35CE" w:rsidRPr="00272F8F">
              <w:t>)</w:t>
            </w:r>
          </w:p>
          <w:p w:rsidR="009B35CE" w:rsidRPr="00272F8F" w:rsidRDefault="009B35CE" w:rsidP="00480FDF">
            <w:pPr>
              <w:pStyle w:val="Tabletext"/>
              <w:numPr>
                <w:ilvl w:val="0"/>
                <w:numId w:val="24"/>
              </w:numPr>
              <w:ind w:left="227" w:hanging="219"/>
            </w:pPr>
            <w:r w:rsidRPr="00272F8F">
              <w:t>No patients had worsening of their WHO FC during the study period</w:t>
            </w:r>
            <w:r w:rsidR="00CA40B9">
              <w:t>.</w:t>
            </w:r>
          </w:p>
        </w:tc>
      </w:tr>
      <w:tr w:rsidR="009B35CE" w:rsidRPr="00272F8F" w:rsidTr="00D103A9">
        <w:trPr>
          <w:trHeight w:val="795"/>
        </w:trPr>
        <w:tc>
          <w:tcPr>
            <w:tcW w:w="1555" w:type="dxa"/>
          </w:tcPr>
          <w:p w:rsidR="009B35CE" w:rsidRPr="00272F8F" w:rsidRDefault="009B35CE" w:rsidP="00272F8F">
            <w:pPr>
              <w:pStyle w:val="Tabletext"/>
            </w:pPr>
            <w:r w:rsidRPr="00272F8F">
              <w:t>Change in 6MWD</w:t>
            </w:r>
            <w:r w:rsidR="006F1431">
              <w:t xml:space="preserve"> from baseline</w:t>
            </w:r>
          </w:p>
        </w:tc>
        <w:tc>
          <w:tcPr>
            <w:tcW w:w="1984" w:type="dxa"/>
          </w:tcPr>
          <w:p w:rsidR="009B35CE" w:rsidRPr="00272F8F" w:rsidRDefault="009B35CE" w:rsidP="00272F8F">
            <w:pPr>
              <w:pStyle w:val="Tabletext"/>
            </w:pPr>
            <w:r w:rsidRPr="00272F8F">
              <w:t>PHIRST (tadalafil)</w:t>
            </w:r>
          </w:p>
          <w:p w:rsidR="009B35CE" w:rsidRDefault="009B35CE" w:rsidP="00272F8F">
            <w:pPr>
              <w:pStyle w:val="Tabletext"/>
            </w:pPr>
            <w:r w:rsidRPr="00272F8F">
              <w:t>SUPER-1 (sildenafil)</w:t>
            </w:r>
          </w:p>
          <w:p w:rsidR="00293DE5" w:rsidRPr="00272F8F" w:rsidRDefault="00293DE5" w:rsidP="00272F8F">
            <w:pPr>
              <w:pStyle w:val="Tabletext"/>
            </w:pPr>
            <w:r>
              <w:t>N=73</w:t>
            </w:r>
          </w:p>
        </w:tc>
        <w:tc>
          <w:tcPr>
            <w:tcW w:w="6095" w:type="dxa"/>
          </w:tcPr>
          <w:p w:rsidR="009B35CE" w:rsidRPr="00272F8F" w:rsidRDefault="00963EDC" w:rsidP="00480FDF">
            <w:pPr>
              <w:pStyle w:val="Tabletext"/>
              <w:numPr>
                <w:ilvl w:val="0"/>
                <w:numId w:val="24"/>
              </w:numPr>
              <w:ind w:left="227" w:hanging="219"/>
            </w:pPr>
            <w:r>
              <w:t>Low</w:t>
            </w:r>
            <w:r w:rsidRPr="00272F8F">
              <w:t xml:space="preserve"> </w:t>
            </w:r>
            <w:r w:rsidR="009B35CE" w:rsidRPr="00272F8F">
              <w:t xml:space="preserve">quality evidence (GRADE </w:t>
            </w:r>
            <w:r w:rsidR="00272F8F" w:rsidRPr="006316DF">
              <w:rPr>
                <w:rFonts w:ascii="Cambria Math" w:hAnsi="Cambria Math" w:cs="Cambria Math"/>
                <w:color w:val="00B050"/>
              </w:rPr>
              <w:t>⨁⨁</w:t>
            </w:r>
            <w:r w:rsidRPr="006316DF">
              <w:rPr>
                <w:rFonts w:ascii="Cambria Math" w:hAnsi="Cambria Math" w:cs="Cambria Math"/>
                <w:color w:val="C00000"/>
              </w:rPr>
              <w:t>⨀</w:t>
            </w:r>
            <w:r w:rsidR="00272F8F" w:rsidRPr="006316DF">
              <w:rPr>
                <w:rFonts w:ascii="Cambria Math" w:hAnsi="Cambria Math" w:cs="Cambria Math"/>
                <w:color w:val="C00000"/>
              </w:rPr>
              <w:t>⨀</w:t>
            </w:r>
            <w:r w:rsidR="009B35CE" w:rsidRPr="00272F8F">
              <w:t>)</w:t>
            </w:r>
          </w:p>
          <w:p w:rsidR="009B35CE" w:rsidRPr="006F1431" w:rsidRDefault="00F70738" w:rsidP="00480FDF">
            <w:pPr>
              <w:pStyle w:val="Tabletext"/>
              <w:numPr>
                <w:ilvl w:val="0"/>
                <w:numId w:val="24"/>
              </w:numPr>
              <w:ind w:left="227" w:hanging="219"/>
            </w:pPr>
            <w:r w:rsidRPr="006F1431">
              <w:t>Patients taking a</w:t>
            </w:r>
            <w:r w:rsidR="009B35CE" w:rsidRPr="006F1431">
              <w:t xml:space="preserve"> </w:t>
            </w:r>
            <w:r w:rsidRPr="006F1431">
              <w:t>PDE-5 inhibitor</w:t>
            </w:r>
            <w:r w:rsidR="009B35CE" w:rsidRPr="006F1431">
              <w:t xml:space="preserve"> had a larger mean improvement in their 6MWD than those taking a placebo</w:t>
            </w:r>
            <w:r w:rsidR="00CA40B9">
              <w:t xml:space="preserve">, and the difference was </w:t>
            </w:r>
            <w:r w:rsidR="00CA40B9" w:rsidRPr="00DD704F">
              <w:t xml:space="preserve">clinically important in </w:t>
            </w:r>
            <w:r w:rsidR="00A17B9D">
              <w:rPr>
                <w:noProof/>
                <w:color w:val="000000"/>
                <w:highlight w:val="black"/>
              </w:rPr>
              <w:t>'''' '''''''''''''</w:t>
            </w:r>
            <w:r w:rsidR="009B35CE" w:rsidRPr="006F1431">
              <w:t xml:space="preserve"> (range </w:t>
            </w:r>
            <w:r w:rsidR="00A17B9D">
              <w:rPr>
                <w:noProof/>
                <w:color w:val="000000"/>
                <w:highlight w:val="black"/>
              </w:rPr>
              <w:t>'''''''''''''''''''''''''</w:t>
            </w:r>
            <w:r w:rsidR="007F4B0C" w:rsidRPr="006F1431">
              <w:t xml:space="preserve"> m </w:t>
            </w:r>
            <w:r w:rsidRPr="006F1431">
              <w:t xml:space="preserve">walked </w:t>
            </w:r>
            <w:r w:rsidR="007F4B0C" w:rsidRPr="006F1431">
              <w:t>furth</w:t>
            </w:r>
            <w:r w:rsidR="009B6434" w:rsidRPr="006F1431">
              <w:t>er</w:t>
            </w:r>
            <w:r w:rsidR="009B35CE" w:rsidRPr="006F1431">
              <w:t>)</w:t>
            </w:r>
          </w:p>
          <w:p w:rsidR="00441F08" w:rsidRPr="00272F8F" w:rsidRDefault="00441F08" w:rsidP="00480FDF">
            <w:pPr>
              <w:pStyle w:val="Tabletext"/>
              <w:numPr>
                <w:ilvl w:val="0"/>
                <w:numId w:val="24"/>
              </w:numPr>
              <w:ind w:left="227" w:hanging="219"/>
            </w:pPr>
            <w:r w:rsidRPr="006F1431">
              <w:t xml:space="preserve">No significant difference in </w:t>
            </w:r>
            <w:r w:rsidR="00F70738" w:rsidRPr="006F1431">
              <w:t xml:space="preserve">the </w:t>
            </w:r>
            <w:r w:rsidRPr="006F1431">
              <w:t xml:space="preserve">effectiveness </w:t>
            </w:r>
            <w:r w:rsidR="00F70738" w:rsidRPr="006F1431">
              <w:t>of</w:t>
            </w:r>
            <w:r w:rsidRPr="006F1431">
              <w:t xml:space="preserve"> different PDE-5 inhibitors</w:t>
            </w:r>
          </w:p>
        </w:tc>
      </w:tr>
    </w:tbl>
    <w:p w:rsidR="004B11AD" w:rsidRPr="006316DF" w:rsidRDefault="009B35CE" w:rsidP="00272F8F">
      <w:pPr>
        <w:pStyle w:val="Tablenote"/>
      </w:pPr>
      <w:r>
        <w:t xml:space="preserve">6MWD = 6-minute </w:t>
      </w:r>
      <w:r w:rsidR="0082368E">
        <w:t>walk distance</w:t>
      </w:r>
      <w:r>
        <w:t xml:space="preserve">; CI = confidence interval; FC = functional class; </w:t>
      </w:r>
      <w:r w:rsidR="00385E5A">
        <w:t>GRADE = grading of recommendations assessment, development and evaluation</w:t>
      </w:r>
      <w:r w:rsidR="001D34EE" w:rsidRPr="001D34EE">
        <w:rPr>
          <w:noProof/>
          <w:vertAlign w:val="superscript"/>
        </w:rPr>
        <w:t>1</w:t>
      </w:r>
      <w:r w:rsidR="004B11AD" w:rsidRPr="009E3B52">
        <w:t xml:space="preserve">; </w:t>
      </w:r>
      <w:r w:rsidR="002B03AB" w:rsidRPr="009E3B52">
        <w:t xml:space="preserve">PAH = pulmonary arterial hypertension; </w:t>
      </w:r>
      <w:r>
        <w:t>PDE-5 = p</w:t>
      </w:r>
      <w:r w:rsidRPr="00107676">
        <w:t>hosphodiesterase</w:t>
      </w:r>
      <w:r>
        <w:t xml:space="preserve"> type 5; RCT = randomised controlled trial; RR = relative risk; WHO = World Health Organization</w:t>
      </w:r>
    </w:p>
    <w:p w:rsidR="009B35CE" w:rsidRPr="0042195A" w:rsidRDefault="009B35CE" w:rsidP="009B35CE">
      <w:pPr>
        <w:pStyle w:val="Heading5"/>
      </w:pPr>
      <w:r w:rsidRPr="0042195A">
        <w:t>Safety</w:t>
      </w:r>
    </w:p>
    <w:p w:rsidR="009B35CE" w:rsidRPr="006316DF" w:rsidRDefault="009B35CE" w:rsidP="00550EA7">
      <w:r w:rsidRPr="00944958">
        <w:t xml:space="preserve">There </w:t>
      </w:r>
      <w:r w:rsidR="00F70738">
        <w:t>wa</w:t>
      </w:r>
      <w:r>
        <w:t>s no</w:t>
      </w:r>
      <w:r w:rsidRPr="00944958">
        <w:t xml:space="preserve"> evidence </w:t>
      </w:r>
      <w:r w:rsidR="00F70738">
        <w:t xml:space="preserve">available </w:t>
      </w:r>
      <w:r w:rsidR="00F9638D">
        <w:t>to evaluate the comparative safety</w:t>
      </w:r>
      <w:r w:rsidRPr="00944958">
        <w:t xml:space="preserve"> of </w:t>
      </w:r>
      <w:r w:rsidR="00F9638D">
        <w:t>PDE-5 inhibitor</w:t>
      </w:r>
      <w:r w:rsidR="00F70738">
        <w:t>s</w:t>
      </w:r>
      <w:r w:rsidRPr="00944958">
        <w:t xml:space="preserve"> </w:t>
      </w:r>
      <w:r w:rsidR="00F9638D">
        <w:t>versus placebo when used to</w:t>
      </w:r>
      <w:r w:rsidRPr="00944958">
        <w:t xml:space="preserve"> treat</w:t>
      </w:r>
      <w:r w:rsidR="00F9638D">
        <w:t xml:space="preserve"> patients with WHO FC I/II PAH</w:t>
      </w:r>
      <w:r w:rsidRPr="00944958">
        <w:t>.</w:t>
      </w:r>
    </w:p>
    <w:p w:rsidR="009B35CE" w:rsidRPr="0042195A" w:rsidRDefault="00441F08" w:rsidP="009B35CE">
      <w:pPr>
        <w:pStyle w:val="Heading4"/>
      </w:pPr>
      <w:r>
        <w:t>4.1.1.3</w:t>
      </w:r>
      <w:r>
        <w:tab/>
      </w:r>
      <w:r w:rsidR="009B35CE" w:rsidRPr="0042195A">
        <w:t>Prostanoid versus placebo</w:t>
      </w:r>
    </w:p>
    <w:p w:rsidR="00F70738" w:rsidRDefault="00F70738" w:rsidP="00F70738">
      <w:r w:rsidRPr="00F9638D">
        <w:t xml:space="preserve">There was no evidence </w:t>
      </w:r>
      <w:r>
        <w:t xml:space="preserve">available </w:t>
      </w:r>
      <w:r w:rsidRPr="00F9638D">
        <w:t xml:space="preserve">to </w:t>
      </w:r>
      <w:r>
        <w:t>determine</w:t>
      </w:r>
      <w:r w:rsidRPr="00F9638D">
        <w:t xml:space="preserve"> the safety and effectiveness of prostanoids in treatin</w:t>
      </w:r>
      <w:r>
        <w:t>g patients with WHO FC I/II PAH.</w:t>
      </w:r>
    </w:p>
    <w:p w:rsidR="009B35CE" w:rsidRPr="0042195A" w:rsidRDefault="00441F08" w:rsidP="009B35CE">
      <w:pPr>
        <w:pStyle w:val="Heading4"/>
      </w:pPr>
      <w:r>
        <w:lastRenderedPageBreak/>
        <w:t>4.1.1.4</w:t>
      </w:r>
      <w:r>
        <w:tab/>
      </w:r>
      <w:r w:rsidR="009B35CE">
        <w:t xml:space="preserve">sGC stimulator </w:t>
      </w:r>
      <w:r w:rsidR="009B35CE" w:rsidRPr="0042195A">
        <w:t>versus placebo</w:t>
      </w:r>
    </w:p>
    <w:p w:rsidR="009B35CE" w:rsidRPr="0042195A" w:rsidRDefault="009B35CE" w:rsidP="009B35CE">
      <w:pPr>
        <w:pStyle w:val="Heading5"/>
      </w:pPr>
      <w:r w:rsidRPr="0042195A">
        <w:t>Clinical effectiveness</w:t>
      </w:r>
    </w:p>
    <w:p w:rsidR="009B35CE" w:rsidRDefault="009B35CE" w:rsidP="009B35CE">
      <w:r w:rsidRPr="0042195A">
        <w:t xml:space="preserve">Only one RCT was identified that reported on the effectiveness of </w:t>
      </w:r>
      <w:r w:rsidR="0069215C">
        <w:t xml:space="preserve">monotherapy with </w:t>
      </w:r>
      <w:r>
        <w:t>a</w:t>
      </w:r>
      <w:r w:rsidRPr="0042195A">
        <w:t xml:space="preserve"> </w:t>
      </w:r>
      <w:r>
        <w:t xml:space="preserve">sGC stimulator </w:t>
      </w:r>
      <w:r w:rsidRPr="0042195A">
        <w:t>in treating PAH compared with placebo in patients with WHO FC I/II PAH</w:t>
      </w:r>
      <w:r>
        <w:t>:</w:t>
      </w:r>
    </w:p>
    <w:p w:rsidR="009B35CE" w:rsidRPr="00B607A5" w:rsidRDefault="009B35CE" w:rsidP="00D103A9">
      <w:pPr>
        <w:pStyle w:val="Bullettext"/>
      </w:pPr>
      <w:r w:rsidRPr="00B607A5">
        <w:t>The</w:t>
      </w:r>
      <w:r w:rsidR="00550EA7" w:rsidRPr="00B607A5">
        <w:t xml:space="preserve"> PATENT-1 trial used riociguat.</w:t>
      </w:r>
    </w:p>
    <w:p w:rsidR="009B35CE" w:rsidRPr="0042195A" w:rsidRDefault="009B35CE" w:rsidP="00550EA7">
      <w:r>
        <w:t>The evidence provided by this trial is summarised in</w:t>
      </w:r>
      <w:r w:rsidR="00550EA7">
        <w:t xml:space="preserve"> </w:t>
      </w:r>
      <w:r w:rsidR="00AA722D">
        <w:t>Table 4.</w:t>
      </w:r>
      <w:r w:rsidR="00AA722D">
        <w:rPr>
          <w:noProof/>
        </w:rPr>
        <w:t>3</w:t>
      </w:r>
      <w:r>
        <w:t>.</w:t>
      </w:r>
    </w:p>
    <w:p w:rsidR="009B35CE" w:rsidRDefault="009B35CE" w:rsidP="00550EA7">
      <w:r w:rsidRPr="0042195A">
        <w:t xml:space="preserve">Overall, </w:t>
      </w:r>
      <w:r w:rsidR="00843DF8" w:rsidRPr="00843DF8">
        <w:t xml:space="preserve">there is </w:t>
      </w:r>
      <w:r w:rsidR="00A17B9D">
        <w:rPr>
          <w:noProof/>
          <w:color w:val="000000"/>
          <w:highlight w:val="black"/>
        </w:rPr>
        <w:t>''''''''''''''''''''''''' ''''''''''''''''''''</w:t>
      </w:r>
      <w:r w:rsidR="00843DF8" w:rsidRPr="00843DF8">
        <w:t xml:space="preserve"> as to whether the use of sGC stimulator medication to treat patients with WHO FC I/II PAH </w:t>
      </w:r>
      <w:r w:rsidR="00A17B9D">
        <w:rPr>
          <w:noProof/>
          <w:color w:val="000000"/>
          <w:highlight w:val="black"/>
        </w:rPr>
        <w:t>''' ''''''''''''''''''''</w:t>
      </w:r>
      <w:r w:rsidR="00550EA7">
        <w:t>.</w:t>
      </w:r>
    </w:p>
    <w:p w:rsidR="009B35CE" w:rsidRDefault="00272F8F" w:rsidP="00BC5A2B">
      <w:pPr>
        <w:pStyle w:val="Caption"/>
      </w:pPr>
      <w:bookmarkStart w:id="9" w:name="_Ref506282992"/>
      <w:bookmarkStart w:id="10" w:name="_Toc512855407"/>
      <w:r>
        <w:t>Table 4.</w:t>
      </w:r>
      <w:r w:rsidR="00AA722D">
        <w:rPr>
          <w:noProof/>
        </w:rPr>
        <w:t>3</w:t>
      </w:r>
      <w:bookmarkEnd w:id="9"/>
      <w:r>
        <w:tab/>
      </w:r>
      <w:r w:rsidR="009B35CE">
        <w:t>Summary of the evidence for the clinical effectiveness of a sGC stimulator versus placebo in patients with WHO FC I/II PAH</w:t>
      </w:r>
      <w:bookmarkEnd w:id="10"/>
    </w:p>
    <w:tbl>
      <w:tblPr>
        <w:tblStyle w:val="TableGrid"/>
        <w:tblW w:w="9752" w:type="dxa"/>
        <w:tblLayout w:type="fixed"/>
        <w:tblLook w:val="04A0" w:firstRow="1" w:lastRow="0" w:firstColumn="1" w:lastColumn="0" w:noHBand="0" w:noVBand="1"/>
        <w:tblCaption w:val="Summary of the evidence for the clinical effectiveness of a sGC stimulator versus placebo in patients with WHO FC I/II PAH"/>
      </w:tblPr>
      <w:tblGrid>
        <w:gridCol w:w="1617"/>
        <w:gridCol w:w="1134"/>
        <w:gridCol w:w="7001"/>
      </w:tblGrid>
      <w:tr w:rsidR="009B35CE" w:rsidRPr="00272F8F" w:rsidTr="00DE4B2C">
        <w:trPr>
          <w:cnfStyle w:val="100000000000" w:firstRow="1" w:lastRow="0" w:firstColumn="0" w:lastColumn="0" w:oddVBand="0" w:evenVBand="0" w:oddHBand="0" w:evenHBand="0" w:firstRowFirstColumn="0" w:firstRowLastColumn="0" w:lastRowFirstColumn="0" w:lastRowLastColumn="0"/>
        </w:trPr>
        <w:tc>
          <w:tcPr>
            <w:tcW w:w="1617" w:type="dxa"/>
            <w:tcBorders>
              <w:top w:val="single" w:sz="4" w:space="0" w:color="auto"/>
              <w:left w:val="single" w:sz="4" w:space="0" w:color="auto"/>
              <w:bottom w:val="single" w:sz="4" w:space="0" w:color="auto"/>
              <w:right w:val="single" w:sz="4" w:space="0" w:color="auto"/>
            </w:tcBorders>
          </w:tcPr>
          <w:p w:rsidR="009B35CE" w:rsidRPr="00272F8F" w:rsidRDefault="009B35CE" w:rsidP="00272F8F">
            <w:pPr>
              <w:pStyle w:val="Tabletext"/>
              <w:rPr>
                <w:rFonts w:asciiTheme="minorHAnsi" w:hAnsiTheme="minorHAnsi"/>
                <w:b/>
              </w:rPr>
            </w:pPr>
            <w:r w:rsidRPr="00272F8F">
              <w:rPr>
                <w:b/>
              </w:rPr>
              <w:t>Outcome</w:t>
            </w:r>
          </w:p>
        </w:tc>
        <w:tc>
          <w:tcPr>
            <w:tcW w:w="1134" w:type="dxa"/>
            <w:tcBorders>
              <w:top w:val="single" w:sz="4" w:space="0" w:color="auto"/>
              <w:left w:val="single" w:sz="4" w:space="0" w:color="auto"/>
              <w:bottom w:val="single" w:sz="4" w:space="0" w:color="auto"/>
              <w:right w:val="single" w:sz="4" w:space="0" w:color="auto"/>
            </w:tcBorders>
          </w:tcPr>
          <w:p w:rsidR="00293DE5" w:rsidRDefault="009B35CE" w:rsidP="00293DE5">
            <w:pPr>
              <w:pStyle w:val="Tabletext"/>
              <w:rPr>
                <w:b/>
              </w:rPr>
            </w:pPr>
            <w:r w:rsidRPr="00272F8F">
              <w:rPr>
                <w:b/>
              </w:rPr>
              <w:t xml:space="preserve">Included trials </w:t>
            </w:r>
          </w:p>
          <w:p w:rsidR="009B35CE" w:rsidRPr="00272F8F" w:rsidRDefault="00293DE5" w:rsidP="00293DE5">
            <w:pPr>
              <w:pStyle w:val="Tabletext"/>
              <w:rPr>
                <w:rFonts w:asciiTheme="minorHAnsi" w:hAnsiTheme="minorHAnsi"/>
                <w:b/>
              </w:rPr>
            </w:pPr>
            <w:r w:rsidRPr="00293DE5">
              <w:rPr>
                <w:b/>
              </w:rPr>
              <w:t>No. of patients</w:t>
            </w:r>
          </w:p>
        </w:tc>
        <w:tc>
          <w:tcPr>
            <w:tcW w:w="7001" w:type="dxa"/>
            <w:tcBorders>
              <w:top w:val="single" w:sz="4" w:space="0" w:color="auto"/>
              <w:left w:val="single" w:sz="4" w:space="0" w:color="auto"/>
              <w:bottom w:val="single" w:sz="4" w:space="0" w:color="auto"/>
              <w:right w:val="single" w:sz="4" w:space="0" w:color="auto"/>
            </w:tcBorders>
          </w:tcPr>
          <w:p w:rsidR="009B35CE" w:rsidRPr="00272F8F" w:rsidRDefault="009B35CE" w:rsidP="00272F8F">
            <w:pPr>
              <w:pStyle w:val="Tabletext"/>
              <w:rPr>
                <w:rFonts w:asciiTheme="minorHAnsi" w:hAnsiTheme="minorHAnsi"/>
                <w:b/>
              </w:rPr>
            </w:pPr>
            <w:r w:rsidRPr="00272F8F">
              <w:rPr>
                <w:b/>
              </w:rPr>
              <w:t>Summary of evidence</w:t>
            </w:r>
          </w:p>
        </w:tc>
      </w:tr>
      <w:tr w:rsidR="009B35CE" w:rsidTr="00DE4B2C">
        <w:tc>
          <w:tcPr>
            <w:tcW w:w="1617" w:type="dxa"/>
            <w:tcBorders>
              <w:top w:val="single" w:sz="4" w:space="0" w:color="auto"/>
              <w:left w:val="single" w:sz="4" w:space="0" w:color="auto"/>
              <w:bottom w:val="single" w:sz="4" w:space="0" w:color="auto"/>
              <w:right w:val="single" w:sz="4" w:space="0" w:color="auto"/>
            </w:tcBorders>
          </w:tcPr>
          <w:p w:rsidR="009B35CE" w:rsidRPr="001D637C" w:rsidRDefault="009B35CE" w:rsidP="00272F8F">
            <w:pPr>
              <w:pStyle w:val="Tabletext"/>
            </w:pPr>
            <w:r w:rsidRPr="001D637C">
              <w:t>Clinical worsening</w:t>
            </w:r>
          </w:p>
        </w:tc>
        <w:tc>
          <w:tcPr>
            <w:tcW w:w="1134" w:type="dxa"/>
            <w:tcBorders>
              <w:top w:val="single" w:sz="4" w:space="0" w:color="auto"/>
              <w:left w:val="single" w:sz="4" w:space="0" w:color="auto"/>
              <w:bottom w:val="single" w:sz="4" w:space="0" w:color="auto"/>
              <w:right w:val="single" w:sz="4" w:space="0" w:color="auto"/>
            </w:tcBorders>
          </w:tcPr>
          <w:p w:rsidR="009B35CE" w:rsidRDefault="009B35CE" w:rsidP="00272F8F">
            <w:pPr>
              <w:pStyle w:val="Tabletext"/>
            </w:pPr>
            <w:r>
              <w:t>PATENT-1 (riociguat)</w:t>
            </w:r>
          </w:p>
          <w:p w:rsidR="00293DE5" w:rsidRPr="001D637C" w:rsidRDefault="00293DE5" w:rsidP="00272F8F">
            <w:pPr>
              <w:pStyle w:val="Tabletext"/>
            </w:pPr>
            <w:r>
              <w:t>N=107</w:t>
            </w:r>
          </w:p>
        </w:tc>
        <w:tc>
          <w:tcPr>
            <w:tcW w:w="7001" w:type="dxa"/>
            <w:tcBorders>
              <w:top w:val="single" w:sz="4" w:space="0" w:color="auto"/>
              <w:left w:val="single" w:sz="4" w:space="0" w:color="auto"/>
              <w:bottom w:val="single" w:sz="4" w:space="0" w:color="auto"/>
              <w:right w:val="single" w:sz="4" w:space="0" w:color="auto"/>
            </w:tcBorders>
          </w:tcPr>
          <w:p w:rsidR="009B35CE" w:rsidRDefault="006F1431" w:rsidP="00480FDF">
            <w:pPr>
              <w:pStyle w:val="Tabletext"/>
              <w:numPr>
                <w:ilvl w:val="0"/>
                <w:numId w:val="22"/>
              </w:numPr>
              <w:ind w:left="227" w:hanging="219"/>
            </w:pPr>
            <w:r>
              <w:t>Low</w:t>
            </w:r>
            <w:r w:rsidRPr="001D637C">
              <w:t xml:space="preserve"> quality</w:t>
            </w:r>
            <w:r w:rsidRPr="001D637C">
              <w:rPr>
                <w:rFonts w:cs="Cambria Math"/>
              </w:rPr>
              <w:t xml:space="preserve"> evidence (GRADE </w:t>
            </w:r>
            <w:r w:rsidRPr="001D637C">
              <w:rPr>
                <w:rFonts w:ascii="Cambria Math" w:hAnsi="Cambria Math" w:cs="Cambria Math"/>
                <w:color w:val="00B050"/>
              </w:rPr>
              <w:t>⨁⨁</w:t>
            </w:r>
            <w:r w:rsidRPr="006316DF">
              <w:rPr>
                <w:rFonts w:ascii="Cambria Math" w:hAnsi="Cambria Math" w:cs="Cambria Math"/>
                <w:color w:val="C00000"/>
              </w:rPr>
              <w:t>⨀</w:t>
            </w:r>
            <w:r w:rsidRPr="00FA1124">
              <w:rPr>
                <w:rFonts w:ascii="Cambria Math" w:hAnsi="Cambria Math" w:cs="Cambria Math"/>
                <w:color w:val="C00000"/>
              </w:rPr>
              <w:t>⨀</w:t>
            </w:r>
            <w:r>
              <w:t>)</w:t>
            </w:r>
          </w:p>
          <w:p w:rsidR="009B35CE" w:rsidRPr="00A17B9D" w:rsidRDefault="00A17B9D" w:rsidP="00A17B9D">
            <w:pPr>
              <w:pStyle w:val="Tabletext"/>
              <w:ind w:left="227" w:hanging="219"/>
              <w:rPr>
                <w:highlight w:val="black"/>
              </w:rPr>
            </w:pPr>
            <w:r>
              <w:rPr>
                <w:rFonts w:ascii="Symbol" w:hAnsi="Symbol"/>
                <w:noProof/>
                <w:color w:val="000000"/>
                <w:highlight w:val="black"/>
              </w:rPr>
              <w:t></w:t>
            </w:r>
            <w:r>
              <w:rPr>
                <w:rFonts w:ascii="Symbol" w:hAnsi="Symbol"/>
                <w:noProof/>
                <w:color w:val="000000"/>
                <w:highlight w:val="black"/>
              </w:rPr>
              <w:t></w:t>
            </w: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9B35CE" w:rsidTr="00DE4B2C">
        <w:tc>
          <w:tcPr>
            <w:tcW w:w="1617" w:type="dxa"/>
          </w:tcPr>
          <w:p w:rsidR="009B35CE" w:rsidRPr="001D637C" w:rsidRDefault="009B35CE" w:rsidP="00272F8F">
            <w:pPr>
              <w:pStyle w:val="Tabletext"/>
            </w:pPr>
            <w:r>
              <w:t>All-cause mortality</w:t>
            </w:r>
          </w:p>
        </w:tc>
        <w:tc>
          <w:tcPr>
            <w:tcW w:w="1134" w:type="dxa"/>
          </w:tcPr>
          <w:p w:rsidR="00293DE5" w:rsidRDefault="009B35CE" w:rsidP="00293DE5">
            <w:pPr>
              <w:pStyle w:val="Tabletext"/>
            </w:pPr>
            <w:r>
              <w:t>PATENT-1 (riociguat)</w:t>
            </w:r>
            <w:r w:rsidR="00293DE5">
              <w:t xml:space="preserve"> </w:t>
            </w:r>
          </w:p>
          <w:p w:rsidR="009B35CE" w:rsidRPr="001D637C" w:rsidRDefault="00293DE5" w:rsidP="00293DE5">
            <w:pPr>
              <w:pStyle w:val="Tabletext"/>
            </w:pPr>
            <w:r>
              <w:t>N=107</w:t>
            </w:r>
          </w:p>
        </w:tc>
        <w:tc>
          <w:tcPr>
            <w:tcW w:w="7001" w:type="dxa"/>
          </w:tcPr>
          <w:p w:rsidR="009B35CE" w:rsidRDefault="009B35CE" w:rsidP="00480FDF">
            <w:pPr>
              <w:pStyle w:val="Tabletext"/>
              <w:numPr>
                <w:ilvl w:val="0"/>
                <w:numId w:val="22"/>
              </w:numPr>
              <w:ind w:left="227" w:hanging="219"/>
            </w:pPr>
            <w:r w:rsidRPr="001D637C">
              <w:t>High quality</w:t>
            </w:r>
            <w:r w:rsidRPr="001D637C">
              <w:rPr>
                <w:rFonts w:cs="Cambria Math"/>
              </w:rPr>
              <w:t xml:space="preserve"> evidence (GRADE </w:t>
            </w:r>
            <w:r w:rsidRPr="001D637C">
              <w:rPr>
                <w:rFonts w:ascii="Cambria Math" w:hAnsi="Cambria Math" w:cs="Cambria Math"/>
                <w:color w:val="00B050"/>
              </w:rPr>
              <w:t>⨁⨁⨁⨁</w:t>
            </w:r>
            <w:r>
              <w:t>)</w:t>
            </w:r>
          </w:p>
          <w:p w:rsidR="009B35CE" w:rsidRPr="00A17B9D" w:rsidRDefault="00A17B9D" w:rsidP="00A17B9D">
            <w:pPr>
              <w:pStyle w:val="Tabletext"/>
              <w:ind w:left="227" w:hanging="219"/>
              <w:rPr>
                <w:highlight w:val="black"/>
              </w:rPr>
            </w:pP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9B35CE" w:rsidTr="00DE4B2C">
        <w:tc>
          <w:tcPr>
            <w:tcW w:w="1617" w:type="dxa"/>
            <w:tcBorders>
              <w:top w:val="single" w:sz="4" w:space="0" w:color="auto"/>
              <w:left w:val="single" w:sz="4" w:space="0" w:color="auto"/>
              <w:bottom w:val="single" w:sz="4" w:space="0" w:color="auto"/>
              <w:right w:val="single" w:sz="4" w:space="0" w:color="auto"/>
            </w:tcBorders>
          </w:tcPr>
          <w:p w:rsidR="009B35CE" w:rsidRPr="001D637C" w:rsidRDefault="009B35CE" w:rsidP="00272F8F">
            <w:pPr>
              <w:pStyle w:val="Tabletext"/>
            </w:pPr>
            <w:r>
              <w:t>Hospitalisation</w:t>
            </w:r>
            <w:r w:rsidR="00086A04">
              <w:t xml:space="preserve"> due to </w:t>
            </w:r>
            <w:r w:rsidR="006F1431">
              <w:t xml:space="preserve">worsening </w:t>
            </w:r>
            <w:r w:rsidR="00086A04">
              <w:t>PA</w:t>
            </w:r>
            <w:r w:rsidR="00116EDA">
              <w:t>H</w:t>
            </w:r>
          </w:p>
        </w:tc>
        <w:tc>
          <w:tcPr>
            <w:tcW w:w="1134" w:type="dxa"/>
            <w:tcBorders>
              <w:top w:val="single" w:sz="4" w:space="0" w:color="auto"/>
              <w:left w:val="single" w:sz="4" w:space="0" w:color="auto"/>
              <w:bottom w:val="single" w:sz="4" w:space="0" w:color="auto"/>
              <w:right w:val="single" w:sz="4" w:space="0" w:color="auto"/>
            </w:tcBorders>
          </w:tcPr>
          <w:p w:rsidR="00293DE5" w:rsidRDefault="009B35CE" w:rsidP="00293DE5">
            <w:pPr>
              <w:pStyle w:val="Tabletext"/>
            </w:pPr>
            <w:r>
              <w:t>PATENT-1 (riociguat)</w:t>
            </w:r>
            <w:r w:rsidR="00293DE5">
              <w:t xml:space="preserve"> </w:t>
            </w:r>
          </w:p>
          <w:p w:rsidR="009B35CE" w:rsidRPr="001D637C" w:rsidRDefault="00293DE5" w:rsidP="00293DE5">
            <w:pPr>
              <w:pStyle w:val="Tabletext"/>
            </w:pPr>
            <w:r>
              <w:t>N=107</w:t>
            </w:r>
          </w:p>
        </w:tc>
        <w:tc>
          <w:tcPr>
            <w:tcW w:w="7001" w:type="dxa"/>
            <w:tcBorders>
              <w:top w:val="single" w:sz="4" w:space="0" w:color="auto"/>
              <w:left w:val="single" w:sz="4" w:space="0" w:color="auto"/>
              <w:bottom w:val="single" w:sz="4" w:space="0" w:color="auto"/>
              <w:right w:val="single" w:sz="4" w:space="0" w:color="auto"/>
            </w:tcBorders>
          </w:tcPr>
          <w:p w:rsidR="009B35CE" w:rsidRDefault="009B35CE" w:rsidP="00480FDF">
            <w:pPr>
              <w:pStyle w:val="Tabletext"/>
              <w:numPr>
                <w:ilvl w:val="0"/>
                <w:numId w:val="22"/>
              </w:numPr>
              <w:ind w:left="227" w:hanging="219"/>
            </w:pPr>
            <w:r w:rsidRPr="001D637C">
              <w:t>High quality</w:t>
            </w:r>
            <w:r w:rsidRPr="001D637C">
              <w:rPr>
                <w:rFonts w:cs="Cambria Math"/>
              </w:rPr>
              <w:t xml:space="preserve"> evidence (GRADE </w:t>
            </w:r>
            <w:r w:rsidRPr="001D637C">
              <w:rPr>
                <w:rFonts w:ascii="Cambria Math" w:hAnsi="Cambria Math" w:cs="Cambria Math"/>
                <w:color w:val="00B050"/>
              </w:rPr>
              <w:t>⨁⨁⨁⨁</w:t>
            </w:r>
            <w:r>
              <w:t>)</w:t>
            </w:r>
          </w:p>
          <w:p w:rsidR="009B35CE" w:rsidRPr="00A17B9D" w:rsidRDefault="00A17B9D" w:rsidP="00A17B9D">
            <w:pPr>
              <w:pStyle w:val="Tabletext"/>
              <w:ind w:left="227" w:hanging="219"/>
              <w:rPr>
                <w:highlight w:val="black"/>
              </w:rPr>
            </w:pP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9B35CE" w:rsidTr="00DE4B2C">
        <w:tc>
          <w:tcPr>
            <w:tcW w:w="1617" w:type="dxa"/>
            <w:tcBorders>
              <w:top w:val="single" w:sz="4" w:space="0" w:color="auto"/>
              <w:left w:val="single" w:sz="4" w:space="0" w:color="auto"/>
              <w:bottom w:val="single" w:sz="4" w:space="0" w:color="auto"/>
              <w:right w:val="single" w:sz="4" w:space="0" w:color="auto"/>
            </w:tcBorders>
          </w:tcPr>
          <w:p w:rsidR="009B35CE" w:rsidRPr="001D637C" w:rsidRDefault="009B35CE" w:rsidP="00272F8F">
            <w:pPr>
              <w:pStyle w:val="Tabletext"/>
            </w:pPr>
            <w:r w:rsidRPr="00FA1124">
              <w:t>Improved WHO FC</w:t>
            </w:r>
          </w:p>
        </w:tc>
        <w:tc>
          <w:tcPr>
            <w:tcW w:w="1134" w:type="dxa"/>
            <w:tcBorders>
              <w:top w:val="single" w:sz="4" w:space="0" w:color="auto"/>
              <w:left w:val="single" w:sz="4" w:space="0" w:color="auto"/>
              <w:bottom w:val="single" w:sz="4" w:space="0" w:color="auto"/>
              <w:right w:val="single" w:sz="4" w:space="0" w:color="auto"/>
            </w:tcBorders>
          </w:tcPr>
          <w:p w:rsidR="00293DE5" w:rsidRDefault="009B35CE" w:rsidP="00293DE5">
            <w:pPr>
              <w:pStyle w:val="Tabletext"/>
            </w:pPr>
            <w:r>
              <w:t>PATENT-1 (riociguat)</w:t>
            </w:r>
            <w:r w:rsidR="00293DE5">
              <w:t xml:space="preserve"> </w:t>
            </w:r>
          </w:p>
          <w:p w:rsidR="009B35CE" w:rsidRPr="001D637C" w:rsidRDefault="00293DE5" w:rsidP="00293DE5">
            <w:pPr>
              <w:pStyle w:val="Tabletext"/>
            </w:pPr>
            <w:r>
              <w:t>N=107</w:t>
            </w:r>
          </w:p>
        </w:tc>
        <w:tc>
          <w:tcPr>
            <w:tcW w:w="7001" w:type="dxa"/>
            <w:tcBorders>
              <w:top w:val="single" w:sz="4" w:space="0" w:color="auto"/>
              <w:left w:val="single" w:sz="4" w:space="0" w:color="auto"/>
              <w:bottom w:val="single" w:sz="4" w:space="0" w:color="auto"/>
              <w:right w:val="single" w:sz="4" w:space="0" w:color="auto"/>
            </w:tcBorders>
          </w:tcPr>
          <w:p w:rsidR="009B35CE" w:rsidRPr="00FA1124" w:rsidRDefault="00B179F1" w:rsidP="00480FDF">
            <w:pPr>
              <w:pStyle w:val="Tabletext"/>
              <w:numPr>
                <w:ilvl w:val="0"/>
                <w:numId w:val="22"/>
              </w:numPr>
              <w:ind w:left="227" w:hanging="219"/>
            </w:pPr>
            <w:r>
              <w:t>Moderate</w:t>
            </w:r>
            <w:r w:rsidR="009B35CE" w:rsidRPr="001D637C">
              <w:t xml:space="preserve"> quality</w:t>
            </w:r>
            <w:r w:rsidR="009B35CE" w:rsidRPr="001D637C">
              <w:rPr>
                <w:rFonts w:cs="Cambria Math"/>
              </w:rPr>
              <w:t xml:space="preserve"> evidence (GRADE </w:t>
            </w:r>
            <w:r w:rsidR="009B35CE" w:rsidRPr="001D637C">
              <w:rPr>
                <w:rFonts w:ascii="Cambria Math" w:hAnsi="Cambria Math" w:cs="Cambria Math"/>
                <w:color w:val="00B050"/>
              </w:rPr>
              <w:t>⨁⨁⨁</w:t>
            </w:r>
            <w:r w:rsidRPr="00FA1124">
              <w:rPr>
                <w:rFonts w:ascii="Cambria Math" w:hAnsi="Cambria Math" w:cs="Cambria Math"/>
                <w:color w:val="C00000"/>
              </w:rPr>
              <w:t>⨀</w:t>
            </w:r>
            <w:r w:rsidR="009B35CE">
              <w:t>)</w:t>
            </w:r>
          </w:p>
          <w:p w:rsidR="009B35CE" w:rsidRPr="00A17B9D" w:rsidRDefault="00A17B9D" w:rsidP="00A17B9D">
            <w:pPr>
              <w:pStyle w:val="Tabletext"/>
              <w:ind w:left="227" w:hanging="219"/>
              <w:rPr>
                <w:highlight w:val="black"/>
              </w:rPr>
            </w:pP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9B35CE" w:rsidTr="00DE4B2C">
        <w:tc>
          <w:tcPr>
            <w:tcW w:w="1617" w:type="dxa"/>
          </w:tcPr>
          <w:p w:rsidR="009B35CE" w:rsidRPr="001D637C" w:rsidRDefault="009B35CE" w:rsidP="00272F8F">
            <w:pPr>
              <w:pStyle w:val="Tabletext"/>
            </w:pPr>
            <w:r>
              <w:t>Worsened WHO FC</w:t>
            </w:r>
          </w:p>
        </w:tc>
        <w:tc>
          <w:tcPr>
            <w:tcW w:w="1134" w:type="dxa"/>
            <w:tcBorders>
              <w:top w:val="single" w:sz="4" w:space="0" w:color="auto"/>
              <w:left w:val="single" w:sz="4" w:space="0" w:color="auto"/>
              <w:bottom w:val="single" w:sz="4" w:space="0" w:color="auto"/>
              <w:right w:val="single" w:sz="4" w:space="0" w:color="auto"/>
            </w:tcBorders>
          </w:tcPr>
          <w:p w:rsidR="00293DE5" w:rsidRDefault="009B35CE" w:rsidP="00293DE5">
            <w:pPr>
              <w:pStyle w:val="Tabletext"/>
            </w:pPr>
            <w:r>
              <w:t>PATENT-1 (riociguat)</w:t>
            </w:r>
            <w:r w:rsidR="00293DE5">
              <w:t xml:space="preserve"> </w:t>
            </w:r>
          </w:p>
          <w:p w:rsidR="009B35CE" w:rsidRPr="001D637C" w:rsidRDefault="00293DE5" w:rsidP="00293DE5">
            <w:pPr>
              <w:pStyle w:val="Tabletext"/>
            </w:pPr>
            <w:r>
              <w:t>N=107</w:t>
            </w:r>
          </w:p>
        </w:tc>
        <w:tc>
          <w:tcPr>
            <w:tcW w:w="7001" w:type="dxa"/>
          </w:tcPr>
          <w:p w:rsidR="009B35CE" w:rsidRPr="00FA1124" w:rsidRDefault="009B35CE" w:rsidP="00480FDF">
            <w:pPr>
              <w:pStyle w:val="Tabletext"/>
              <w:numPr>
                <w:ilvl w:val="0"/>
                <w:numId w:val="22"/>
              </w:numPr>
              <w:ind w:left="227" w:hanging="219"/>
            </w:pPr>
            <w:r w:rsidRPr="001D637C">
              <w:t>High quality</w:t>
            </w:r>
            <w:r w:rsidRPr="001D637C">
              <w:rPr>
                <w:rFonts w:cs="Cambria Math"/>
              </w:rPr>
              <w:t xml:space="preserve"> evidence (GRADE </w:t>
            </w:r>
            <w:r w:rsidRPr="001D637C">
              <w:rPr>
                <w:rFonts w:ascii="Cambria Math" w:hAnsi="Cambria Math" w:cs="Cambria Math"/>
                <w:color w:val="00B050"/>
              </w:rPr>
              <w:t>⨁⨁⨁⨁</w:t>
            </w:r>
            <w:r>
              <w:t>)</w:t>
            </w:r>
          </w:p>
          <w:p w:rsidR="009B35CE" w:rsidRPr="00DE4B2C" w:rsidRDefault="00A17B9D" w:rsidP="00480FDF">
            <w:pPr>
              <w:pStyle w:val="Tabletext"/>
              <w:numPr>
                <w:ilvl w:val="0"/>
                <w:numId w:val="22"/>
              </w:numPr>
              <w:ind w:left="227" w:hanging="219"/>
              <w:rPr>
                <w:sz w:val="16"/>
                <w:szCs w:val="16"/>
              </w:rPr>
            </w:pPr>
            <w:r w:rsidRPr="00DE4B2C">
              <w:rPr>
                <w:noProof/>
                <w:color w:val="000000"/>
                <w:sz w:val="16"/>
                <w:szCs w:val="16"/>
                <w:highlight w:val="black"/>
              </w:rPr>
              <w:t>''''''''''''''''''''''''' ''''''''''''' ''''''''''''''''''' '''''''''''''' ''' '''''''''''' ''''''''''''''''''''' ''''''''' ''''''''''''''''''''''''' ''''' '''''''''' ''''''''''''' '''''''' '''''''''''''''''''''''' ''''''''''' ''''''''''''''''''''' ''''''''' ''' ''''''''''''' ''''''''''' '''''' ''''''''''''' '''''''''''</w:t>
            </w:r>
          </w:p>
        </w:tc>
      </w:tr>
      <w:tr w:rsidR="00C52089" w:rsidTr="00DE4B2C">
        <w:tc>
          <w:tcPr>
            <w:tcW w:w="1617" w:type="dxa"/>
          </w:tcPr>
          <w:p w:rsidR="00C52089" w:rsidRPr="001D637C" w:rsidRDefault="00C52089" w:rsidP="007E6052">
            <w:pPr>
              <w:pStyle w:val="Tabletext"/>
            </w:pPr>
            <w:r>
              <w:t>Change in 6MWD</w:t>
            </w:r>
            <w:r w:rsidR="006F1431">
              <w:t xml:space="preserve"> from baseline</w:t>
            </w:r>
          </w:p>
        </w:tc>
        <w:tc>
          <w:tcPr>
            <w:tcW w:w="1134" w:type="dxa"/>
          </w:tcPr>
          <w:p w:rsidR="00293DE5" w:rsidRDefault="00C52089" w:rsidP="00293DE5">
            <w:pPr>
              <w:pStyle w:val="Tabletext"/>
            </w:pPr>
            <w:r>
              <w:t>PATENT-1 (riociguat)</w:t>
            </w:r>
            <w:r w:rsidR="00293DE5">
              <w:t xml:space="preserve"> </w:t>
            </w:r>
          </w:p>
          <w:p w:rsidR="00C52089" w:rsidRPr="001D637C" w:rsidRDefault="00293DE5" w:rsidP="00293DE5">
            <w:pPr>
              <w:pStyle w:val="Tabletext"/>
            </w:pPr>
            <w:r>
              <w:t>N=107</w:t>
            </w:r>
          </w:p>
        </w:tc>
        <w:tc>
          <w:tcPr>
            <w:tcW w:w="7001" w:type="dxa"/>
          </w:tcPr>
          <w:p w:rsidR="00C52089" w:rsidRDefault="00963EDC" w:rsidP="00480FDF">
            <w:pPr>
              <w:pStyle w:val="Tabletext"/>
              <w:numPr>
                <w:ilvl w:val="0"/>
                <w:numId w:val="22"/>
              </w:numPr>
              <w:ind w:left="227" w:hanging="219"/>
            </w:pPr>
            <w:r>
              <w:t>Moderate</w:t>
            </w:r>
            <w:r w:rsidRPr="00FA1124">
              <w:t xml:space="preserve"> </w:t>
            </w:r>
            <w:r w:rsidR="00C52089" w:rsidRPr="00FA1124">
              <w:t xml:space="preserve">quality evidence (GRADE </w:t>
            </w:r>
            <w:r w:rsidR="00C52089" w:rsidRPr="00FA1124">
              <w:rPr>
                <w:rFonts w:ascii="Cambria Math" w:hAnsi="Cambria Math" w:cs="Cambria Math"/>
                <w:color w:val="00B050"/>
              </w:rPr>
              <w:t>⨁⨁⨁</w:t>
            </w:r>
            <w:r w:rsidRPr="006316DF">
              <w:rPr>
                <w:rFonts w:ascii="Cambria Math" w:hAnsi="Cambria Math" w:cs="Cambria Math"/>
                <w:color w:val="C00000"/>
              </w:rPr>
              <w:t>⨀</w:t>
            </w:r>
            <w:r w:rsidR="00C52089" w:rsidRPr="00FA1124">
              <w:t>)</w:t>
            </w:r>
          </w:p>
          <w:p w:rsidR="00C52089" w:rsidRPr="00A17B9D" w:rsidRDefault="00A17B9D" w:rsidP="00A17B9D">
            <w:pPr>
              <w:pStyle w:val="Tabletext"/>
              <w:ind w:left="227" w:hanging="219"/>
              <w:rPr>
                <w:highlight w:val="black"/>
              </w:rPr>
            </w:pP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C52089" w:rsidTr="00DE4B2C">
        <w:trPr>
          <w:trHeight w:val="567"/>
        </w:trPr>
        <w:tc>
          <w:tcPr>
            <w:tcW w:w="1617" w:type="dxa"/>
          </w:tcPr>
          <w:p w:rsidR="00C52089" w:rsidRDefault="00C52089" w:rsidP="007E6052">
            <w:pPr>
              <w:pStyle w:val="Tabletext"/>
            </w:pPr>
            <w:r>
              <w:t>Change in QoL</w:t>
            </w:r>
            <w:r w:rsidR="006F1431">
              <w:t xml:space="preserve"> from baseline</w:t>
            </w:r>
            <w:r w:rsidR="003903A0">
              <w:t>:</w:t>
            </w:r>
          </w:p>
          <w:p w:rsidR="00C52089" w:rsidRPr="001D637C" w:rsidRDefault="00C52089" w:rsidP="003903A0">
            <w:pPr>
              <w:pStyle w:val="Tabletext"/>
            </w:pPr>
            <w:r>
              <w:t>EQ-5D</w:t>
            </w:r>
            <w:r w:rsidR="00C569DB" w:rsidRPr="00C569DB">
              <w:rPr>
                <w:vertAlign w:val="superscript"/>
              </w:rPr>
              <w:t>a</w:t>
            </w:r>
            <w:r w:rsidR="003903A0">
              <w:t xml:space="preserve">, </w:t>
            </w:r>
            <w:r>
              <w:t>LPH</w:t>
            </w:r>
            <w:r w:rsidR="00C569DB" w:rsidRPr="00C569DB">
              <w:rPr>
                <w:vertAlign w:val="superscript"/>
              </w:rPr>
              <w:t>b</w:t>
            </w:r>
          </w:p>
        </w:tc>
        <w:tc>
          <w:tcPr>
            <w:tcW w:w="1134" w:type="dxa"/>
          </w:tcPr>
          <w:p w:rsidR="00293DE5" w:rsidRDefault="00C52089" w:rsidP="00293DE5">
            <w:pPr>
              <w:pStyle w:val="Tabletext"/>
            </w:pPr>
            <w:r>
              <w:t>PATENT-1 (riociguat)</w:t>
            </w:r>
            <w:r w:rsidR="00293DE5">
              <w:t xml:space="preserve"> </w:t>
            </w:r>
          </w:p>
          <w:p w:rsidR="00C52089" w:rsidRPr="001D637C" w:rsidRDefault="00293DE5" w:rsidP="00293DE5">
            <w:pPr>
              <w:pStyle w:val="Tabletext"/>
            </w:pPr>
            <w:r>
              <w:t>N=107</w:t>
            </w:r>
          </w:p>
        </w:tc>
        <w:tc>
          <w:tcPr>
            <w:tcW w:w="7001" w:type="dxa"/>
          </w:tcPr>
          <w:p w:rsidR="00C52089" w:rsidRDefault="00C52089" w:rsidP="00480FDF">
            <w:pPr>
              <w:pStyle w:val="Tabletext"/>
              <w:numPr>
                <w:ilvl w:val="0"/>
                <w:numId w:val="22"/>
              </w:numPr>
              <w:ind w:left="227" w:hanging="219"/>
            </w:pPr>
            <w:r>
              <w:t>High</w:t>
            </w:r>
            <w:r w:rsidRPr="00FA1124">
              <w:t xml:space="preserve"> quality evidence (GRADE </w:t>
            </w:r>
            <w:r w:rsidRPr="00FA1124">
              <w:rPr>
                <w:rFonts w:ascii="Cambria Math" w:hAnsi="Cambria Math" w:cs="Cambria Math"/>
                <w:color w:val="00B050"/>
              </w:rPr>
              <w:t>⨁⨁⨁⨁</w:t>
            </w:r>
            <w:r w:rsidRPr="00FA1124">
              <w:t>)</w:t>
            </w:r>
          </w:p>
          <w:p w:rsidR="00C52089" w:rsidRPr="00A17B9D" w:rsidRDefault="00A17B9D" w:rsidP="00A17B9D">
            <w:pPr>
              <w:pStyle w:val="Tabletext"/>
              <w:ind w:left="227" w:hanging="219"/>
              <w:rPr>
                <w:highlight w:val="black"/>
              </w:rPr>
            </w:pPr>
            <w:r>
              <w:rPr>
                <w:rFonts w:ascii="Symbol" w:hAnsi="Symbol"/>
                <w:noProof/>
                <w:color w:val="000000"/>
                <w:highlight w:val="black"/>
              </w:rPr>
              <w:t></w:t>
            </w: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9B35CE" w:rsidTr="00DE4B2C">
        <w:trPr>
          <w:trHeight w:val="726"/>
        </w:trPr>
        <w:tc>
          <w:tcPr>
            <w:tcW w:w="1617" w:type="dxa"/>
            <w:tcBorders>
              <w:top w:val="single" w:sz="4" w:space="0" w:color="auto"/>
              <w:left w:val="single" w:sz="4" w:space="0" w:color="auto"/>
              <w:bottom w:val="single" w:sz="4" w:space="0" w:color="auto"/>
              <w:right w:val="single" w:sz="4" w:space="0" w:color="auto"/>
            </w:tcBorders>
          </w:tcPr>
          <w:p w:rsidR="009B35CE" w:rsidRDefault="009B35CE" w:rsidP="00272F8F">
            <w:pPr>
              <w:pStyle w:val="Tabletext"/>
            </w:pPr>
            <w:r>
              <w:lastRenderedPageBreak/>
              <w:t>Change in haemodynamic parameters</w:t>
            </w:r>
            <w:r w:rsidR="006F1431">
              <w:t xml:space="preserve"> from baseline</w:t>
            </w:r>
            <w:r w:rsidR="003903A0">
              <w:t>:</w:t>
            </w:r>
          </w:p>
          <w:p w:rsidR="009B35CE" w:rsidRPr="001D637C" w:rsidRDefault="009B35CE" w:rsidP="00272F8F">
            <w:pPr>
              <w:pStyle w:val="Tabletext"/>
            </w:pPr>
            <w:r>
              <w:t>PVR</w:t>
            </w:r>
          </w:p>
        </w:tc>
        <w:tc>
          <w:tcPr>
            <w:tcW w:w="1134" w:type="dxa"/>
            <w:tcBorders>
              <w:top w:val="single" w:sz="4" w:space="0" w:color="auto"/>
              <w:left w:val="single" w:sz="4" w:space="0" w:color="auto"/>
              <w:bottom w:val="single" w:sz="4" w:space="0" w:color="auto"/>
              <w:right w:val="single" w:sz="4" w:space="0" w:color="auto"/>
            </w:tcBorders>
          </w:tcPr>
          <w:p w:rsidR="00293DE5" w:rsidRDefault="009B35CE" w:rsidP="00293DE5">
            <w:pPr>
              <w:pStyle w:val="Tabletext"/>
            </w:pPr>
            <w:r>
              <w:t>PATENT-1 (riociguat)</w:t>
            </w:r>
            <w:r w:rsidR="00293DE5">
              <w:t xml:space="preserve"> </w:t>
            </w:r>
          </w:p>
          <w:p w:rsidR="009B35CE" w:rsidRPr="001D637C" w:rsidRDefault="00293DE5" w:rsidP="00293DE5">
            <w:pPr>
              <w:pStyle w:val="Tabletext"/>
            </w:pPr>
            <w:r>
              <w:t>N=107</w:t>
            </w:r>
          </w:p>
        </w:tc>
        <w:tc>
          <w:tcPr>
            <w:tcW w:w="7001" w:type="dxa"/>
          </w:tcPr>
          <w:p w:rsidR="009B35CE" w:rsidRDefault="00F705F8" w:rsidP="00480FDF">
            <w:pPr>
              <w:pStyle w:val="Tabletext"/>
              <w:numPr>
                <w:ilvl w:val="0"/>
                <w:numId w:val="22"/>
              </w:numPr>
              <w:ind w:left="227" w:hanging="219"/>
            </w:pPr>
            <w:r>
              <w:t>Moderate</w:t>
            </w:r>
            <w:r w:rsidRPr="00FA1124">
              <w:t xml:space="preserve"> </w:t>
            </w:r>
            <w:r w:rsidR="009B35CE" w:rsidRPr="00FA1124">
              <w:t xml:space="preserve">quality evidence (GRADE </w:t>
            </w:r>
            <w:r w:rsidR="009B35CE" w:rsidRPr="00FA1124">
              <w:rPr>
                <w:rFonts w:ascii="Cambria Math" w:hAnsi="Cambria Math" w:cs="Cambria Math"/>
                <w:color w:val="00B050"/>
              </w:rPr>
              <w:t>⨁⨁⨁</w:t>
            </w:r>
            <w:r w:rsidRPr="006316DF">
              <w:rPr>
                <w:rFonts w:ascii="Cambria Math" w:hAnsi="Cambria Math" w:cs="Cambria Math"/>
                <w:color w:val="C00000"/>
              </w:rPr>
              <w:t>⨀</w:t>
            </w:r>
            <w:r w:rsidR="009B35CE" w:rsidRPr="00FA1124">
              <w:t>)</w:t>
            </w:r>
          </w:p>
          <w:p w:rsidR="009B35CE" w:rsidRPr="00A17B9D" w:rsidRDefault="00A17B9D" w:rsidP="00A17B9D">
            <w:pPr>
              <w:pStyle w:val="Tabletext"/>
              <w:ind w:left="227" w:hanging="219"/>
              <w:rPr>
                <w:highlight w:val="black"/>
              </w:rPr>
            </w:pPr>
            <w:r>
              <w:rPr>
                <w:rFonts w:ascii="Symbol" w:hAnsi="Symbol"/>
                <w:noProof/>
                <w:color w:val="000000"/>
                <w:highlight w:val="black"/>
              </w:rPr>
              <w:t></w:t>
            </w: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bl>
    <w:p w:rsidR="00C569DB" w:rsidRDefault="00C569DB" w:rsidP="00C569DB">
      <w:pPr>
        <w:pStyle w:val="Tablenote"/>
      </w:pPr>
      <w:r>
        <w:rPr>
          <w:vertAlign w:val="superscript"/>
        </w:rPr>
        <w:t xml:space="preserve">a </w:t>
      </w:r>
      <w:r>
        <w:t xml:space="preserve">EQ-5D utility scores range from </w:t>
      </w:r>
      <w:r w:rsidRPr="00C569DB">
        <w:t>−</w:t>
      </w:r>
      <w:r w:rsidR="005708CC">
        <w:t>0.59</w:t>
      </w:r>
      <w:r>
        <w:t xml:space="preserve"> to 1.00</w:t>
      </w:r>
      <w:r w:rsidR="00384D2C">
        <w:t xml:space="preserve">. A higher score represents </w:t>
      </w:r>
      <w:r>
        <w:t>better QoL</w:t>
      </w:r>
      <w:r w:rsidR="00152A02">
        <w:t>.</w:t>
      </w:r>
    </w:p>
    <w:p w:rsidR="00C569DB" w:rsidRDefault="00C569DB" w:rsidP="00C569DB">
      <w:pPr>
        <w:pStyle w:val="Tablenote"/>
      </w:pPr>
      <w:r>
        <w:rPr>
          <w:vertAlign w:val="superscript"/>
        </w:rPr>
        <w:t xml:space="preserve">b </w:t>
      </w:r>
      <w:r>
        <w:t xml:space="preserve">LPH </w:t>
      </w:r>
      <w:r w:rsidR="005E574A">
        <w:t xml:space="preserve">total </w:t>
      </w:r>
      <w:r w:rsidR="00152A02">
        <w:t>scores range</w:t>
      </w:r>
      <w:r>
        <w:t xml:space="preserve"> from 0 to 105</w:t>
      </w:r>
      <w:r w:rsidR="000054CF">
        <w:t>. A</w:t>
      </w:r>
      <w:r w:rsidR="00152A02">
        <w:t xml:space="preserve"> </w:t>
      </w:r>
      <w:r w:rsidR="000054CF">
        <w:t>higher score</w:t>
      </w:r>
      <w:r w:rsidR="00152A02">
        <w:t xml:space="preserve"> </w:t>
      </w:r>
      <w:r w:rsidR="000054CF">
        <w:t>indicates poorer QoL</w:t>
      </w:r>
      <w:r w:rsidR="00152A02">
        <w:t>.</w:t>
      </w:r>
    </w:p>
    <w:p w:rsidR="00C569DB" w:rsidRDefault="009B35CE" w:rsidP="00272F8F">
      <w:pPr>
        <w:pStyle w:val="Tablenote"/>
      </w:pPr>
      <w:r>
        <w:t xml:space="preserve">6MWD = 6-minute </w:t>
      </w:r>
      <w:r w:rsidR="0082368E">
        <w:t>walk distance</w:t>
      </w:r>
      <w:r w:rsidR="00B21201">
        <w:t>; ARD</w:t>
      </w:r>
      <w:r>
        <w:t xml:space="preserve"> = absolute risk</w:t>
      </w:r>
      <w:r w:rsidR="00B21201">
        <w:t xml:space="preserve"> difference</w:t>
      </w:r>
      <w:r>
        <w:t xml:space="preserve">; CI = confidence interval; </w:t>
      </w:r>
      <w:r w:rsidR="00572AE9">
        <w:t>EQ-5D = EuroQol 5</w:t>
      </w:r>
      <w:r w:rsidRPr="00986739">
        <w:t xml:space="preserve">dimension; </w:t>
      </w:r>
      <w:r>
        <w:t>ERA = e</w:t>
      </w:r>
      <w:r w:rsidRPr="00107676">
        <w:t xml:space="preserve">ndothelin </w:t>
      </w:r>
      <w:r>
        <w:t>r</w:t>
      </w:r>
      <w:r w:rsidRPr="00107676">
        <w:t xml:space="preserve">eceptor </w:t>
      </w:r>
      <w:r>
        <w:t>a</w:t>
      </w:r>
      <w:r w:rsidRPr="00107676">
        <w:t>ntagonist</w:t>
      </w:r>
      <w:r>
        <w:t xml:space="preserve">; FC = functional class; </w:t>
      </w:r>
      <w:r w:rsidR="004B11AD" w:rsidRPr="009E3B52">
        <w:t>GRADE = grading of recommendations assessment, development and evaluation</w:t>
      </w:r>
      <w:r w:rsidR="001D34EE" w:rsidRPr="001D34EE">
        <w:rPr>
          <w:noProof/>
          <w:vertAlign w:val="superscript"/>
        </w:rPr>
        <w:t>1</w:t>
      </w:r>
      <w:r w:rsidR="004B11AD" w:rsidRPr="009E3B52">
        <w:t xml:space="preserve">; </w:t>
      </w:r>
      <w:r w:rsidRPr="00822C52">
        <w:t xml:space="preserve">LPH = living with pulmonary hypertension; </w:t>
      </w:r>
      <w:r>
        <w:t xml:space="preserve">MD = mean difference; </w:t>
      </w:r>
      <w:r w:rsidRPr="00D65221">
        <w:t>PVR</w:t>
      </w:r>
      <w:r>
        <w:t xml:space="preserve"> = p</w:t>
      </w:r>
      <w:r w:rsidRPr="00D65221">
        <w:t xml:space="preserve">ulmonary </w:t>
      </w:r>
      <w:r>
        <w:t>v</w:t>
      </w:r>
      <w:r w:rsidRPr="00D65221">
        <w:t xml:space="preserve">ascular </w:t>
      </w:r>
      <w:r>
        <w:t>r</w:t>
      </w:r>
      <w:r w:rsidRPr="00D65221">
        <w:t>esistance</w:t>
      </w:r>
      <w:r>
        <w:t xml:space="preserve">; </w:t>
      </w:r>
      <w:r w:rsidR="004B11AD" w:rsidRPr="009E3B52">
        <w:t xml:space="preserve">QoL = quality of life; </w:t>
      </w:r>
      <w:r>
        <w:t>RR = relative risk</w:t>
      </w:r>
      <w:r w:rsidRPr="00986739">
        <w:t xml:space="preserve">; sGC = soluble guanylate cyclase; </w:t>
      </w:r>
      <w:r>
        <w:t>WHO = World Health Organization</w:t>
      </w:r>
    </w:p>
    <w:p w:rsidR="009B35CE" w:rsidRPr="0042195A" w:rsidRDefault="009B35CE" w:rsidP="009B35CE">
      <w:pPr>
        <w:pStyle w:val="Heading5"/>
      </w:pPr>
      <w:r w:rsidRPr="0042195A">
        <w:t>Safety</w:t>
      </w:r>
    </w:p>
    <w:p w:rsidR="009B35CE" w:rsidRPr="006316DF" w:rsidRDefault="009B35CE" w:rsidP="009B35CE">
      <w:r w:rsidRPr="00944958">
        <w:t xml:space="preserve">There </w:t>
      </w:r>
      <w:r w:rsidR="00F70738">
        <w:t>wa</w:t>
      </w:r>
      <w:r>
        <w:t>s no</w:t>
      </w:r>
      <w:r w:rsidRPr="00944958">
        <w:t xml:space="preserve"> evidence </w:t>
      </w:r>
      <w:r w:rsidR="00F70738">
        <w:t xml:space="preserve">available </w:t>
      </w:r>
      <w:r w:rsidR="00F9638D">
        <w:t>to evaluate the comparative safety</w:t>
      </w:r>
      <w:r w:rsidRPr="00944958">
        <w:t xml:space="preserve"> of a </w:t>
      </w:r>
      <w:r w:rsidR="00F9638D" w:rsidRPr="00F9638D">
        <w:t xml:space="preserve">sGC stimulator </w:t>
      </w:r>
      <w:r w:rsidR="00F9638D">
        <w:t>versus placebo when used t</w:t>
      </w:r>
      <w:r w:rsidRPr="00944958">
        <w:t>o treat patients with WHO FC I/II PAH.</w:t>
      </w:r>
    </w:p>
    <w:p w:rsidR="00FC1362" w:rsidRPr="00EB1471" w:rsidRDefault="00FC1362" w:rsidP="00D103A9">
      <w:pPr>
        <w:pStyle w:val="Heading3"/>
      </w:pPr>
      <w:bookmarkStart w:id="11" w:name="_Toc512855373"/>
      <w:r w:rsidRPr="00EB1471">
        <w:t xml:space="preserve">Evidence of effectiveness and </w:t>
      </w:r>
      <w:r w:rsidR="003F6760" w:rsidRPr="00EB1471">
        <w:t>safety</w:t>
      </w:r>
      <w:r w:rsidRPr="00EB1471">
        <w:t xml:space="preserve"> of monotherapy in WHO FC III </w:t>
      </w:r>
      <w:r w:rsidR="00126F99">
        <w:t>or</w:t>
      </w:r>
      <w:r w:rsidRPr="00EB1471">
        <w:t xml:space="preserve"> IV </w:t>
      </w:r>
      <w:r w:rsidR="005A20F4">
        <w:t xml:space="preserve">PAH </w:t>
      </w:r>
      <w:r w:rsidRPr="00EB1471">
        <w:t xml:space="preserve">not </w:t>
      </w:r>
      <w:r w:rsidR="00F70738">
        <w:t xml:space="preserve">previously </w:t>
      </w:r>
      <w:r w:rsidRPr="00EB1471">
        <w:t>considered by the PBAC</w:t>
      </w:r>
      <w:bookmarkEnd w:id="11"/>
    </w:p>
    <w:p w:rsidR="005A0C83" w:rsidRPr="00D228A6" w:rsidRDefault="005A0C83" w:rsidP="005A0C83">
      <w:pPr>
        <w:pStyle w:val="ToRText"/>
        <w:shd w:val="clear" w:color="auto" w:fill="F2F2F2" w:themeFill="background1" w:themeFillShade="F2"/>
        <w:spacing w:before="240"/>
        <w:rPr>
          <w:b w:val="0"/>
          <w:color w:val="auto"/>
        </w:rPr>
      </w:pPr>
      <w:r w:rsidRPr="00532B79">
        <w:rPr>
          <w:b w:val="0"/>
          <w:color w:val="auto"/>
          <w:shd w:val="clear" w:color="auto" w:fill="F2F2F2" w:themeFill="background1" w:themeFillShade="F2"/>
        </w:rPr>
        <w:t>Q2.</w:t>
      </w:r>
      <w:r w:rsidRPr="00532B79">
        <w:rPr>
          <w:b w:val="0"/>
          <w:color w:val="auto"/>
          <w:shd w:val="clear" w:color="auto" w:fill="F2F2F2" w:themeFill="background1" w:themeFillShade="F2"/>
        </w:rPr>
        <w:tab/>
        <w:t>What is the new evidence concerning the effectiveness and safety of monotherapy with a PAH medicine, compared to the main comparator accepted by the PBAC, in patients with WHO FC III or IV PAH, that has not previously been considered by the PBAC?</w:t>
      </w:r>
    </w:p>
    <w:p w:rsidR="001D0FDA" w:rsidRDefault="001D0FDA" w:rsidP="001D0FDA">
      <w:pPr>
        <w:pStyle w:val="Bullettext"/>
        <w:numPr>
          <w:ilvl w:val="0"/>
          <w:numId w:val="0"/>
        </w:numPr>
      </w:pPr>
      <w:r>
        <w:t xml:space="preserve">There was no new evidence concerning the effectiveness or safety of monotherapy with a PAH medicine, compared to the main comparator accepted by the PBAC, in patients with WHO FC III or IV PAH. </w:t>
      </w:r>
      <w:r>
        <w:rPr>
          <w:snapToGrid w:val="0"/>
        </w:rPr>
        <w:t>T</w:t>
      </w:r>
      <w:r w:rsidRPr="00EB1471">
        <w:rPr>
          <w:snapToGrid w:val="0"/>
        </w:rPr>
        <w:t xml:space="preserve">he evidentiary basis for PBAC’s positive recommendation of the listing of these PAH medicines is summarised in </w:t>
      </w:r>
      <w:r w:rsidR="00AA722D">
        <w:t>Table 4.</w:t>
      </w:r>
      <w:r w:rsidR="00AA722D">
        <w:rPr>
          <w:noProof/>
        </w:rPr>
        <w:t>4</w:t>
      </w:r>
      <w:r>
        <w:rPr>
          <w:snapToGrid w:val="0"/>
        </w:rPr>
        <w:t xml:space="preserve"> below</w:t>
      </w:r>
      <w:r w:rsidRPr="00EB1471">
        <w:rPr>
          <w:snapToGrid w:val="0"/>
        </w:rPr>
        <w:t xml:space="preserve">. </w:t>
      </w:r>
    </w:p>
    <w:p w:rsidR="001D0FDA" w:rsidRPr="00EB1471" w:rsidRDefault="001D0FDA" w:rsidP="001D0FDA">
      <w:pPr>
        <w:pStyle w:val="Caption"/>
        <w:rPr>
          <w:rFonts w:cs="Arial"/>
          <w:b w:val="0"/>
          <w:i/>
          <w:snapToGrid w:val="0"/>
        </w:rPr>
      </w:pPr>
      <w:bookmarkStart w:id="12" w:name="_Ref505872617"/>
      <w:bookmarkStart w:id="13" w:name="_Toc512855408"/>
      <w:r>
        <w:t>Table 4.</w:t>
      </w:r>
      <w:r w:rsidR="00AA722D">
        <w:rPr>
          <w:noProof/>
        </w:rPr>
        <w:t>4</w:t>
      </w:r>
      <w:bookmarkEnd w:id="12"/>
      <w:r>
        <w:tab/>
      </w:r>
      <w:r w:rsidRPr="00ED1021">
        <w:t>Summary of evidence for monotherapy in patients with PAH in WHO FC III or IV</w:t>
      </w:r>
      <w:bookmarkEnd w:id="13"/>
    </w:p>
    <w:tbl>
      <w:tblPr>
        <w:tblStyle w:val="TableGrid"/>
        <w:tblW w:w="9634" w:type="dxa"/>
        <w:tblLayout w:type="fixed"/>
        <w:tblLook w:val="04A0" w:firstRow="1" w:lastRow="0" w:firstColumn="1" w:lastColumn="0" w:noHBand="0" w:noVBand="1"/>
        <w:tblCaption w:val="Summary of evidence for monotherapy in patients with PAH in WHO FC III or IV"/>
      </w:tblPr>
      <w:tblGrid>
        <w:gridCol w:w="1050"/>
        <w:gridCol w:w="876"/>
        <w:gridCol w:w="399"/>
        <w:gridCol w:w="1528"/>
        <w:gridCol w:w="1166"/>
        <w:gridCol w:w="761"/>
        <w:gridCol w:w="656"/>
        <w:gridCol w:w="1271"/>
        <w:gridCol w:w="1927"/>
      </w:tblGrid>
      <w:tr w:rsidR="001D0FDA" w:rsidRPr="00EB1471" w:rsidTr="00A36AE2">
        <w:trPr>
          <w:cnfStyle w:val="100000000000" w:firstRow="1" w:lastRow="0" w:firstColumn="0" w:lastColumn="0" w:oddVBand="0" w:evenVBand="0" w:oddHBand="0" w:evenHBand="0" w:firstRowFirstColumn="0" w:firstRowLastColumn="0" w:lastRowFirstColumn="0" w:lastRowLastColumn="0"/>
          <w:cantSplit w:val="0"/>
        </w:trPr>
        <w:tc>
          <w:tcPr>
            <w:tcW w:w="1050" w:type="dxa"/>
            <w:tcBorders>
              <w:bottom w:val="single" w:sz="4" w:space="0" w:color="auto"/>
            </w:tcBorders>
          </w:tcPr>
          <w:p w:rsidR="001D0FDA" w:rsidRPr="00EB1471" w:rsidRDefault="001D0FDA" w:rsidP="001D0FDA">
            <w:pPr>
              <w:pStyle w:val="Tabletext"/>
              <w:rPr>
                <w:b/>
                <w:szCs w:val="18"/>
              </w:rPr>
            </w:pPr>
            <w:r w:rsidRPr="00EB1471">
              <w:rPr>
                <w:b/>
                <w:szCs w:val="18"/>
              </w:rPr>
              <w:t>PBAC meeting</w:t>
            </w:r>
          </w:p>
        </w:tc>
        <w:tc>
          <w:tcPr>
            <w:tcW w:w="1275" w:type="dxa"/>
            <w:gridSpan w:val="2"/>
            <w:tcBorders>
              <w:bottom w:val="single" w:sz="4" w:space="0" w:color="auto"/>
            </w:tcBorders>
          </w:tcPr>
          <w:p w:rsidR="001D0FDA" w:rsidRDefault="001D0FDA" w:rsidP="001D0FDA">
            <w:pPr>
              <w:pStyle w:val="Tabletext"/>
              <w:rPr>
                <w:b/>
                <w:szCs w:val="18"/>
              </w:rPr>
            </w:pPr>
            <w:r w:rsidRPr="008D1AEA">
              <w:rPr>
                <w:b/>
                <w:szCs w:val="18"/>
              </w:rPr>
              <w:t>PBS res</w:t>
            </w:r>
            <w:r>
              <w:rPr>
                <w:b/>
                <w:szCs w:val="18"/>
              </w:rPr>
              <w:t>t</w:t>
            </w:r>
            <w:r w:rsidRPr="008D1AEA">
              <w:rPr>
                <w:b/>
                <w:szCs w:val="18"/>
              </w:rPr>
              <w:t>rictions</w:t>
            </w:r>
          </w:p>
        </w:tc>
        <w:tc>
          <w:tcPr>
            <w:tcW w:w="2694" w:type="dxa"/>
            <w:gridSpan w:val="2"/>
            <w:tcBorders>
              <w:bottom w:val="single" w:sz="4" w:space="0" w:color="auto"/>
            </w:tcBorders>
          </w:tcPr>
          <w:p w:rsidR="001D0FDA" w:rsidRPr="00EB1471" w:rsidRDefault="001D0FDA" w:rsidP="001D0FDA">
            <w:pPr>
              <w:pStyle w:val="Tabletext"/>
              <w:rPr>
                <w:b/>
                <w:szCs w:val="18"/>
              </w:rPr>
            </w:pPr>
            <w:r>
              <w:rPr>
                <w:b/>
                <w:szCs w:val="18"/>
              </w:rPr>
              <w:t>Head-to-head trials / Indirect comparison</w:t>
            </w:r>
          </w:p>
        </w:tc>
        <w:tc>
          <w:tcPr>
            <w:tcW w:w="1417" w:type="dxa"/>
            <w:gridSpan w:val="2"/>
            <w:tcBorders>
              <w:bottom w:val="single" w:sz="4" w:space="0" w:color="auto"/>
            </w:tcBorders>
          </w:tcPr>
          <w:p w:rsidR="001D0FDA" w:rsidRPr="00EB1471" w:rsidRDefault="001D0FDA" w:rsidP="001D0FDA">
            <w:pPr>
              <w:pStyle w:val="Tabletext"/>
              <w:rPr>
                <w:b/>
                <w:szCs w:val="18"/>
              </w:rPr>
            </w:pPr>
            <w:r>
              <w:rPr>
                <w:b/>
                <w:szCs w:val="18"/>
              </w:rPr>
              <w:t>Comparison</w:t>
            </w:r>
          </w:p>
        </w:tc>
        <w:tc>
          <w:tcPr>
            <w:tcW w:w="3198" w:type="dxa"/>
            <w:gridSpan w:val="2"/>
            <w:tcBorders>
              <w:bottom w:val="single" w:sz="4" w:space="0" w:color="auto"/>
            </w:tcBorders>
          </w:tcPr>
          <w:p w:rsidR="001D0FDA" w:rsidRPr="00EB1471" w:rsidRDefault="001D0FDA" w:rsidP="001D0FDA">
            <w:pPr>
              <w:pStyle w:val="Tabletext"/>
              <w:rPr>
                <w:b/>
                <w:szCs w:val="18"/>
              </w:rPr>
            </w:pPr>
            <w:r>
              <w:rPr>
                <w:b/>
                <w:szCs w:val="18"/>
              </w:rPr>
              <w:t>Summary of evidence</w:t>
            </w:r>
          </w:p>
        </w:tc>
      </w:tr>
      <w:tr w:rsidR="00C46CE8" w:rsidRPr="00025547" w:rsidTr="00961C62">
        <w:trPr>
          <w:cantSplit w:val="0"/>
        </w:trPr>
        <w:tc>
          <w:tcPr>
            <w:tcW w:w="1926" w:type="dxa"/>
            <w:gridSpan w:val="2"/>
            <w:shd w:val="clear" w:color="auto" w:fill="000000" w:themeFill="text1"/>
          </w:tcPr>
          <w:p w:rsidR="00C46CE8" w:rsidRPr="00025547" w:rsidRDefault="00C46CE8" w:rsidP="00A0351C">
            <w:pPr>
              <w:pStyle w:val="Tabletext"/>
              <w:rPr>
                <w:b/>
                <w:color w:val="FFFFFF" w:themeColor="background1"/>
                <w:szCs w:val="18"/>
              </w:rPr>
            </w:pPr>
            <w:r>
              <w:rPr>
                <w:b/>
                <w:color w:val="FFFFFF" w:themeColor="background1"/>
                <w:szCs w:val="18"/>
              </w:rPr>
              <w:t>Bosentan</w:t>
            </w:r>
          </w:p>
        </w:tc>
        <w:tc>
          <w:tcPr>
            <w:tcW w:w="1927" w:type="dxa"/>
            <w:gridSpan w:val="2"/>
            <w:shd w:val="clear" w:color="auto" w:fill="000000" w:themeFill="text1"/>
          </w:tcPr>
          <w:p w:rsidR="00C46CE8" w:rsidRPr="00025547" w:rsidRDefault="00C46CE8" w:rsidP="00A0351C">
            <w:pPr>
              <w:pStyle w:val="Tabletext"/>
              <w:rPr>
                <w:b/>
                <w:color w:val="FFFFFF" w:themeColor="background1"/>
                <w:szCs w:val="18"/>
              </w:rPr>
            </w:pPr>
          </w:p>
        </w:tc>
        <w:tc>
          <w:tcPr>
            <w:tcW w:w="1927" w:type="dxa"/>
            <w:gridSpan w:val="2"/>
            <w:shd w:val="clear" w:color="auto" w:fill="000000" w:themeFill="text1"/>
          </w:tcPr>
          <w:p w:rsidR="00C46CE8" w:rsidRPr="00025547" w:rsidRDefault="00C46CE8" w:rsidP="00A0351C">
            <w:pPr>
              <w:pStyle w:val="Tabletext"/>
              <w:rPr>
                <w:b/>
                <w:color w:val="FFFFFF" w:themeColor="background1"/>
                <w:szCs w:val="18"/>
              </w:rPr>
            </w:pPr>
          </w:p>
        </w:tc>
        <w:tc>
          <w:tcPr>
            <w:tcW w:w="1927" w:type="dxa"/>
            <w:gridSpan w:val="2"/>
            <w:shd w:val="clear" w:color="auto" w:fill="000000" w:themeFill="text1"/>
          </w:tcPr>
          <w:p w:rsidR="00C46CE8" w:rsidRPr="00025547" w:rsidRDefault="00C46CE8" w:rsidP="00A0351C">
            <w:pPr>
              <w:pStyle w:val="Tabletext"/>
              <w:rPr>
                <w:b/>
                <w:color w:val="FFFFFF" w:themeColor="background1"/>
                <w:szCs w:val="18"/>
              </w:rPr>
            </w:pPr>
          </w:p>
        </w:tc>
        <w:tc>
          <w:tcPr>
            <w:tcW w:w="1927" w:type="dxa"/>
            <w:shd w:val="clear" w:color="auto" w:fill="000000" w:themeFill="text1"/>
          </w:tcPr>
          <w:p w:rsidR="00C46CE8" w:rsidRPr="00025547" w:rsidRDefault="00C46CE8" w:rsidP="00A0351C">
            <w:pPr>
              <w:pStyle w:val="Tabletext"/>
              <w:rPr>
                <w:b/>
                <w:color w:val="FFFFFF" w:themeColor="background1"/>
                <w:szCs w:val="18"/>
              </w:rPr>
            </w:pPr>
          </w:p>
        </w:tc>
      </w:tr>
      <w:tr w:rsidR="001D0FDA" w:rsidRPr="00EB1471" w:rsidTr="00A36AE2">
        <w:trPr>
          <w:cantSplit w:val="0"/>
        </w:trPr>
        <w:tc>
          <w:tcPr>
            <w:tcW w:w="1050" w:type="dxa"/>
          </w:tcPr>
          <w:p w:rsidR="001D0FDA" w:rsidRPr="00EB1471" w:rsidRDefault="001D0FDA" w:rsidP="001D0FDA">
            <w:pPr>
              <w:pStyle w:val="Tabletext"/>
              <w:rPr>
                <w:szCs w:val="18"/>
              </w:rPr>
            </w:pPr>
            <w:r w:rsidRPr="00EB1471">
              <w:rPr>
                <w:szCs w:val="18"/>
              </w:rPr>
              <w:t>December 2003</w:t>
            </w:r>
          </w:p>
        </w:tc>
        <w:tc>
          <w:tcPr>
            <w:tcW w:w="1275" w:type="dxa"/>
            <w:gridSpan w:val="2"/>
          </w:tcPr>
          <w:p w:rsidR="001D0FDA" w:rsidRPr="001A5334" w:rsidRDefault="001D0FDA" w:rsidP="001D0FDA">
            <w:pPr>
              <w:pStyle w:val="Tabletext"/>
              <w:rPr>
                <w:szCs w:val="18"/>
                <w:highlight w:val="cyan"/>
              </w:rPr>
            </w:pPr>
            <w:r>
              <w:t xml:space="preserve">WHO FC III/IV </w:t>
            </w:r>
            <w:r w:rsidRPr="00987BC5">
              <w:t xml:space="preserve">IPAH </w:t>
            </w:r>
            <w:r>
              <w:t>and</w:t>
            </w:r>
            <w:r w:rsidRPr="00987BC5">
              <w:t xml:space="preserve"> PAH associated with scleroderma</w:t>
            </w:r>
          </w:p>
        </w:tc>
        <w:tc>
          <w:tcPr>
            <w:tcW w:w="2694" w:type="dxa"/>
            <w:gridSpan w:val="2"/>
          </w:tcPr>
          <w:p w:rsidR="001D0FDA" w:rsidRPr="00DE4B2C" w:rsidRDefault="00A17B9D" w:rsidP="001D0FDA">
            <w:pPr>
              <w:pStyle w:val="Tabletext"/>
              <w:rPr>
                <w:sz w:val="16"/>
                <w:szCs w:val="16"/>
                <w:highlight w:val="black"/>
              </w:rPr>
            </w:pPr>
            <w:r w:rsidRPr="00DE4B2C">
              <w:rPr>
                <w:noProof/>
                <w:color w:val="000000"/>
                <w:sz w:val="16"/>
                <w:szCs w:val="16"/>
                <w:highlight w:val="black"/>
              </w:rPr>
              <w:t>'''' '''''''''''''''''''''''''''''''' ''''''''''''' ''''''''''''''''''''''''' ''''''''''''''''''''' ''''''''''' '''''''''''''''''''</w:t>
            </w:r>
          </w:p>
          <w:p w:rsidR="001D0FDA" w:rsidRPr="00DE4B2C" w:rsidRDefault="00A17B9D" w:rsidP="00A17B9D">
            <w:pPr>
              <w:pStyle w:val="Tabletext"/>
              <w:ind w:left="425" w:hanging="283"/>
              <w:rPr>
                <w:sz w:val="16"/>
                <w:szCs w:val="16"/>
                <w:highlight w:val="black"/>
              </w:rPr>
            </w:pP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p w:rsidR="001D0FDA" w:rsidRPr="00A17B9D" w:rsidRDefault="00A17B9D" w:rsidP="00A17B9D">
            <w:pPr>
              <w:pStyle w:val="Tabletext"/>
              <w:ind w:left="425" w:hanging="283"/>
              <w:rPr>
                <w:szCs w:val="18"/>
                <w:highlight w:val="black"/>
                <w:u w:val="single"/>
              </w:rPr>
            </w:pP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c>
          <w:tcPr>
            <w:tcW w:w="1417" w:type="dxa"/>
            <w:gridSpan w:val="2"/>
          </w:tcPr>
          <w:p w:rsidR="001D0FDA" w:rsidRPr="00DE4B2C" w:rsidRDefault="00A17B9D" w:rsidP="001D0FDA">
            <w:pPr>
              <w:pStyle w:val="Tabletext"/>
              <w:rPr>
                <w:sz w:val="16"/>
                <w:szCs w:val="16"/>
                <w:highlight w:val="black"/>
              </w:rPr>
            </w:pPr>
            <w:r w:rsidRPr="00DE4B2C">
              <w:rPr>
                <w:noProof/>
                <w:color w:val="000000"/>
                <w:sz w:val="16"/>
                <w:szCs w:val="16"/>
                <w:highlight w:val="black"/>
              </w:rPr>
              <w:t>''''''''''''''''''''''' '''''' '''''''''''''''''''</w:t>
            </w:r>
          </w:p>
        </w:tc>
        <w:tc>
          <w:tcPr>
            <w:tcW w:w="3198" w:type="dxa"/>
            <w:gridSpan w:val="2"/>
          </w:tcPr>
          <w:p w:rsidR="001D0FDA" w:rsidRPr="00DE4B2C" w:rsidRDefault="00A17B9D" w:rsidP="00A17B9D">
            <w:pPr>
              <w:pStyle w:val="Tabletext"/>
              <w:ind w:left="227" w:hanging="227"/>
              <w:rPr>
                <w:sz w:val="16"/>
                <w:szCs w:val="16"/>
                <w:highlight w:val="black"/>
              </w:rPr>
            </w:pP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p w:rsidR="001D0FDA" w:rsidRPr="00A17B9D" w:rsidRDefault="00A17B9D" w:rsidP="00A17B9D">
            <w:pPr>
              <w:pStyle w:val="Tabletext"/>
              <w:ind w:left="227" w:hanging="227"/>
              <w:rPr>
                <w:highlight w:val="black"/>
              </w:rPr>
            </w:pP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1D0FDA" w:rsidRPr="00EB1471" w:rsidTr="00A36AE2">
        <w:trPr>
          <w:cantSplit w:val="0"/>
        </w:trPr>
        <w:tc>
          <w:tcPr>
            <w:tcW w:w="1050" w:type="dxa"/>
            <w:tcBorders>
              <w:bottom w:val="single" w:sz="4" w:space="0" w:color="auto"/>
            </w:tcBorders>
          </w:tcPr>
          <w:p w:rsidR="001D0FDA" w:rsidRPr="00EB1471" w:rsidRDefault="001D0FDA" w:rsidP="001D0FDA">
            <w:pPr>
              <w:pStyle w:val="Tabletext"/>
              <w:rPr>
                <w:szCs w:val="18"/>
              </w:rPr>
            </w:pPr>
            <w:r w:rsidRPr="00EB1471">
              <w:rPr>
                <w:szCs w:val="18"/>
              </w:rPr>
              <w:t>March 2008</w:t>
            </w:r>
          </w:p>
        </w:tc>
        <w:tc>
          <w:tcPr>
            <w:tcW w:w="1275" w:type="dxa"/>
            <w:gridSpan w:val="2"/>
            <w:tcBorders>
              <w:bottom w:val="single" w:sz="4" w:space="0" w:color="auto"/>
            </w:tcBorders>
          </w:tcPr>
          <w:p w:rsidR="001D0FDA" w:rsidRPr="00EB1471" w:rsidRDefault="001D0FDA" w:rsidP="001D0FDA">
            <w:pPr>
              <w:pStyle w:val="Tabletext"/>
              <w:rPr>
                <w:szCs w:val="18"/>
              </w:rPr>
            </w:pPr>
            <w:r>
              <w:t xml:space="preserve">WHO FC III/IV </w:t>
            </w:r>
            <w:r w:rsidRPr="00987BC5">
              <w:t>PAH</w:t>
            </w:r>
            <w:r>
              <w:t>-CHD</w:t>
            </w:r>
          </w:p>
        </w:tc>
        <w:tc>
          <w:tcPr>
            <w:tcW w:w="2694" w:type="dxa"/>
            <w:gridSpan w:val="2"/>
            <w:tcBorders>
              <w:bottom w:val="single" w:sz="4" w:space="0" w:color="auto"/>
            </w:tcBorders>
          </w:tcPr>
          <w:p w:rsidR="001D0FDA" w:rsidRPr="00EB1471" w:rsidRDefault="001D0FDA" w:rsidP="001D0FDA">
            <w:pPr>
              <w:pStyle w:val="Tabletext"/>
              <w:rPr>
                <w:szCs w:val="18"/>
              </w:rPr>
            </w:pPr>
            <w:r w:rsidRPr="00EB1471">
              <w:rPr>
                <w:szCs w:val="18"/>
              </w:rPr>
              <w:t xml:space="preserve">1 </w:t>
            </w:r>
            <w:r>
              <w:rPr>
                <w:szCs w:val="18"/>
              </w:rPr>
              <w:t xml:space="preserve">head-to-head </w:t>
            </w:r>
            <w:r w:rsidRPr="00EB1471">
              <w:rPr>
                <w:szCs w:val="18"/>
              </w:rPr>
              <w:t xml:space="preserve">RCT comparing </w:t>
            </w:r>
            <w:r w:rsidRPr="001A5334">
              <w:rPr>
                <w:szCs w:val="18"/>
              </w:rPr>
              <w:t>bosentan with placebo</w:t>
            </w:r>
            <w:r w:rsidRPr="00EB1471">
              <w:rPr>
                <w:szCs w:val="18"/>
              </w:rPr>
              <w:t>:</w:t>
            </w:r>
          </w:p>
          <w:p w:rsidR="001D0FDA" w:rsidRPr="00EB1471" w:rsidRDefault="001D0FDA" w:rsidP="001D34EE">
            <w:pPr>
              <w:pStyle w:val="Tabletext"/>
              <w:numPr>
                <w:ilvl w:val="0"/>
                <w:numId w:val="12"/>
              </w:numPr>
              <w:ind w:left="425" w:hanging="283"/>
              <w:rPr>
                <w:caps/>
                <w:color w:val="000000"/>
                <w:spacing w:val="5"/>
                <w:kern w:val="28"/>
                <w:szCs w:val="18"/>
                <w:u w:val="single"/>
              </w:rPr>
            </w:pPr>
            <w:r w:rsidRPr="00EB1471">
              <w:rPr>
                <w:szCs w:val="18"/>
              </w:rPr>
              <w:t xml:space="preserve">BREATHE-5 </w:t>
            </w:r>
            <w:r w:rsidR="001D34EE" w:rsidRPr="001D34EE">
              <w:rPr>
                <w:noProof/>
                <w:szCs w:val="18"/>
                <w:vertAlign w:val="superscript"/>
              </w:rPr>
              <w:t>5</w:t>
            </w:r>
          </w:p>
        </w:tc>
        <w:tc>
          <w:tcPr>
            <w:tcW w:w="1417" w:type="dxa"/>
            <w:gridSpan w:val="2"/>
            <w:tcBorders>
              <w:bottom w:val="single" w:sz="4" w:space="0" w:color="auto"/>
            </w:tcBorders>
          </w:tcPr>
          <w:p w:rsidR="001D0FDA" w:rsidRPr="00EB1471" w:rsidRDefault="001D0FDA" w:rsidP="001D0FDA">
            <w:pPr>
              <w:pStyle w:val="Tabletext"/>
              <w:rPr>
                <w:szCs w:val="18"/>
              </w:rPr>
            </w:pPr>
            <w:r>
              <w:rPr>
                <w:szCs w:val="18"/>
              </w:rPr>
              <w:t>Bosentan vs placebo</w:t>
            </w:r>
          </w:p>
        </w:tc>
        <w:tc>
          <w:tcPr>
            <w:tcW w:w="3198" w:type="dxa"/>
            <w:gridSpan w:val="2"/>
            <w:tcBorders>
              <w:bottom w:val="single" w:sz="4" w:space="0" w:color="auto"/>
            </w:tcBorders>
          </w:tcPr>
          <w:p w:rsidR="001D0FDA" w:rsidRPr="00667F12" w:rsidRDefault="001D0FDA" w:rsidP="00480FDF">
            <w:pPr>
              <w:pStyle w:val="Tabletext"/>
              <w:numPr>
                <w:ilvl w:val="0"/>
                <w:numId w:val="20"/>
              </w:numPr>
              <w:ind w:left="227" w:hanging="227"/>
              <w:rPr>
                <w:szCs w:val="18"/>
              </w:rPr>
            </w:pPr>
            <w:r>
              <w:rPr>
                <w:szCs w:val="18"/>
              </w:rPr>
              <w:t xml:space="preserve">Bosentan was superior in terms of effectiveness but inferior in terms of safety, compared with placebo </w:t>
            </w:r>
          </w:p>
          <w:p w:rsidR="001D0FDA" w:rsidRPr="00EB1471" w:rsidRDefault="001D0FDA" w:rsidP="00480FDF">
            <w:pPr>
              <w:pStyle w:val="Tabletext"/>
              <w:numPr>
                <w:ilvl w:val="0"/>
                <w:numId w:val="20"/>
              </w:numPr>
              <w:ind w:left="227" w:hanging="227"/>
              <w:rPr>
                <w:szCs w:val="18"/>
              </w:rPr>
            </w:pPr>
            <w:r>
              <w:t>B</w:t>
            </w:r>
            <w:r w:rsidRPr="001A5334">
              <w:t xml:space="preserve">osentan </w:t>
            </w:r>
            <w:r>
              <w:t xml:space="preserve">was </w:t>
            </w:r>
            <w:r w:rsidRPr="001A5334">
              <w:t>equivalent</w:t>
            </w:r>
            <w:r w:rsidR="00F70738">
              <w:t>,</w:t>
            </w:r>
            <w:r w:rsidRPr="001A5334">
              <w:t xml:space="preserve"> in terms of comparative </w:t>
            </w:r>
            <w:r w:rsidRPr="001A5334">
              <w:lastRenderedPageBreak/>
              <w:t>effective</w:t>
            </w:r>
            <w:r>
              <w:t xml:space="preserve">ness and comparative safety in </w:t>
            </w:r>
            <w:r w:rsidRPr="001A5334">
              <w:t>PAH-CHD</w:t>
            </w:r>
            <w:r w:rsidR="00F70738">
              <w:t>,</w:t>
            </w:r>
            <w:r w:rsidRPr="001A5334">
              <w:t xml:space="preserve"> to other </w:t>
            </w:r>
            <w:r>
              <w:t>PBS-listed PAH aetiology groups, eg IPAH and PAH-CTD</w:t>
            </w:r>
          </w:p>
        </w:tc>
      </w:tr>
      <w:tr w:rsidR="001D0FDA" w:rsidRPr="00025547" w:rsidTr="00A36AE2">
        <w:trPr>
          <w:cantSplit w:val="0"/>
        </w:trPr>
        <w:tc>
          <w:tcPr>
            <w:tcW w:w="2325" w:type="dxa"/>
            <w:gridSpan w:val="3"/>
            <w:shd w:val="clear" w:color="auto" w:fill="000000" w:themeFill="text1"/>
          </w:tcPr>
          <w:p w:rsidR="001D0FDA" w:rsidRPr="00025547" w:rsidRDefault="001D0FDA" w:rsidP="001D0FDA">
            <w:pPr>
              <w:pStyle w:val="Tabletext"/>
              <w:rPr>
                <w:b/>
                <w:color w:val="FFFFFF" w:themeColor="background1"/>
                <w:szCs w:val="18"/>
              </w:rPr>
            </w:pPr>
            <w:r w:rsidRPr="00025547">
              <w:rPr>
                <w:b/>
                <w:color w:val="FFFFFF" w:themeColor="background1"/>
                <w:szCs w:val="18"/>
              </w:rPr>
              <w:lastRenderedPageBreak/>
              <w:t>Ambrisentan</w:t>
            </w:r>
          </w:p>
        </w:tc>
        <w:tc>
          <w:tcPr>
            <w:tcW w:w="2694" w:type="dxa"/>
            <w:gridSpan w:val="2"/>
            <w:shd w:val="clear" w:color="auto" w:fill="000000" w:themeFill="text1"/>
          </w:tcPr>
          <w:p w:rsidR="001D0FDA" w:rsidRPr="00025547" w:rsidRDefault="001D0FDA" w:rsidP="001D0FDA">
            <w:pPr>
              <w:pStyle w:val="Tabletext"/>
              <w:rPr>
                <w:b/>
                <w:color w:val="FFFFFF" w:themeColor="background1"/>
                <w:szCs w:val="18"/>
              </w:rPr>
            </w:pPr>
          </w:p>
        </w:tc>
        <w:tc>
          <w:tcPr>
            <w:tcW w:w="1417" w:type="dxa"/>
            <w:gridSpan w:val="2"/>
            <w:shd w:val="clear" w:color="auto" w:fill="000000" w:themeFill="text1"/>
          </w:tcPr>
          <w:p w:rsidR="001D0FDA" w:rsidRPr="00025547" w:rsidRDefault="001D0FDA" w:rsidP="001D0FDA">
            <w:pPr>
              <w:pStyle w:val="Tabletext"/>
              <w:rPr>
                <w:b/>
                <w:color w:val="FFFFFF" w:themeColor="background1"/>
                <w:szCs w:val="18"/>
              </w:rPr>
            </w:pPr>
          </w:p>
        </w:tc>
        <w:tc>
          <w:tcPr>
            <w:tcW w:w="3198" w:type="dxa"/>
            <w:gridSpan w:val="2"/>
            <w:shd w:val="clear" w:color="auto" w:fill="000000" w:themeFill="text1"/>
          </w:tcPr>
          <w:p w:rsidR="001D0FDA" w:rsidRPr="00025547" w:rsidRDefault="001D0FDA" w:rsidP="001D0FDA">
            <w:pPr>
              <w:pStyle w:val="Tabletext"/>
              <w:rPr>
                <w:b/>
                <w:color w:val="FFFFFF" w:themeColor="background1"/>
                <w:szCs w:val="18"/>
              </w:rPr>
            </w:pPr>
          </w:p>
        </w:tc>
      </w:tr>
      <w:tr w:rsidR="001D0FDA" w:rsidRPr="00EB1471" w:rsidTr="00A36AE2">
        <w:trPr>
          <w:cantSplit w:val="0"/>
        </w:trPr>
        <w:tc>
          <w:tcPr>
            <w:tcW w:w="1050" w:type="dxa"/>
            <w:tcBorders>
              <w:bottom w:val="single" w:sz="4" w:space="0" w:color="auto"/>
            </w:tcBorders>
          </w:tcPr>
          <w:p w:rsidR="001D0FDA" w:rsidRPr="00EB1471" w:rsidRDefault="001D0FDA" w:rsidP="001D0FDA">
            <w:pPr>
              <w:pStyle w:val="Tabletext"/>
              <w:rPr>
                <w:szCs w:val="18"/>
              </w:rPr>
            </w:pPr>
            <w:r w:rsidRPr="00EB1471">
              <w:rPr>
                <w:szCs w:val="18"/>
              </w:rPr>
              <w:t>July 2009</w:t>
            </w:r>
          </w:p>
        </w:tc>
        <w:tc>
          <w:tcPr>
            <w:tcW w:w="1275" w:type="dxa"/>
            <w:gridSpan w:val="2"/>
            <w:tcBorders>
              <w:bottom w:val="single" w:sz="4" w:space="0" w:color="auto"/>
            </w:tcBorders>
          </w:tcPr>
          <w:p w:rsidR="001D0FDA" w:rsidRPr="001A5334" w:rsidRDefault="001D0FDA" w:rsidP="001D0FDA">
            <w:pPr>
              <w:pStyle w:val="Tabletext"/>
              <w:rPr>
                <w:szCs w:val="18"/>
              </w:rPr>
            </w:pPr>
            <w:r>
              <w:t xml:space="preserve">WHO FC III/IV </w:t>
            </w:r>
            <w:r w:rsidRPr="00987BC5">
              <w:t xml:space="preserve">IPAH </w:t>
            </w:r>
            <w:r>
              <w:t xml:space="preserve">and </w:t>
            </w:r>
            <w:r w:rsidRPr="00987BC5">
              <w:t>PAH-CTD</w:t>
            </w:r>
          </w:p>
        </w:tc>
        <w:tc>
          <w:tcPr>
            <w:tcW w:w="2694" w:type="dxa"/>
            <w:gridSpan w:val="2"/>
            <w:tcBorders>
              <w:bottom w:val="single" w:sz="4" w:space="0" w:color="auto"/>
            </w:tcBorders>
          </w:tcPr>
          <w:p w:rsidR="001D0FDA" w:rsidRPr="001A5334" w:rsidRDefault="001D0FDA" w:rsidP="001D0FDA">
            <w:pPr>
              <w:pStyle w:val="Tabletext"/>
              <w:rPr>
                <w:szCs w:val="18"/>
              </w:rPr>
            </w:pPr>
            <w:r w:rsidRPr="001A5334">
              <w:rPr>
                <w:szCs w:val="18"/>
              </w:rPr>
              <w:t>Indirect comparison of 2 RCTs comparing ambrisentan with placebo:</w:t>
            </w:r>
          </w:p>
          <w:p w:rsidR="001D0FDA" w:rsidRPr="001A5334" w:rsidRDefault="001D0FDA" w:rsidP="001D0FDA">
            <w:pPr>
              <w:pStyle w:val="Tabletext"/>
              <w:numPr>
                <w:ilvl w:val="0"/>
                <w:numId w:val="12"/>
              </w:numPr>
              <w:ind w:left="425" w:hanging="283"/>
              <w:rPr>
                <w:szCs w:val="18"/>
              </w:rPr>
            </w:pPr>
            <w:r w:rsidRPr="001A5334">
              <w:rPr>
                <w:szCs w:val="18"/>
              </w:rPr>
              <w:t xml:space="preserve">ARIES-1 </w:t>
            </w:r>
            <w:r w:rsidR="001D34EE" w:rsidRPr="001D34EE">
              <w:rPr>
                <w:noProof/>
                <w:szCs w:val="18"/>
                <w:vertAlign w:val="superscript"/>
              </w:rPr>
              <w:t>6</w:t>
            </w:r>
            <w:r w:rsidRPr="001A5334">
              <w:rPr>
                <w:szCs w:val="18"/>
              </w:rPr>
              <w:t xml:space="preserve"> (WHO FC III/IV subgroup)</w:t>
            </w:r>
          </w:p>
          <w:p w:rsidR="001D0FDA" w:rsidRPr="001A5334" w:rsidRDefault="001D0FDA" w:rsidP="001D0FDA">
            <w:pPr>
              <w:pStyle w:val="Tabletext"/>
              <w:numPr>
                <w:ilvl w:val="0"/>
                <w:numId w:val="12"/>
              </w:numPr>
              <w:ind w:left="425" w:hanging="283"/>
              <w:rPr>
                <w:szCs w:val="18"/>
              </w:rPr>
            </w:pPr>
            <w:r w:rsidRPr="001A5334">
              <w:rPr>
                <w:szCs w:val="18"/>
              </w:rPr>
              <w:t xml:space="preserve">ARIES-2 </w:t>
            </w:r>
            <w:r w:rsidR="001D34EE" w:rsidRPr="001D34EE">
              <w:rPr>
                <w:noProof/>
                <w:szCs w:val="18"/>
                <w:vertAlign w:val="superscript"/>
              </w:rPr>
              <w:t>6</w:t>
            </w:r>
            <w:r w:rsidRPr="001A5334">
              <w:rPr>
                <w:szCs w:val="18"/>
              </w:rPr>
              <w:t xml:space="preserve"> (WHO FC III/IV subgroup)</w:t>
            </w:r>
          </w:p>
          <w:p w:rsidR="001D0FDA" w:rsidRPr="001A5334" w:rsidRDefault="001D0FDA" w:rsidP="001D0FDA">
            <w:pPr>
              <w:pStyle w:val="Tabletext"/>
              <w:rPr>
                <w:szCs w:val="18"/>
              </w:rPr>
            </w:pPr>
            <w:r w:rsidRPr="001A5334">
              <w:rPr>
                <w:szCs w:val="18"/>
              </w:rPr>
              <w:t>with 2 RCTs comparing bosentan with placebo:</w:t>
            </w:r>
          </w:p>
          <w:p w:rsidR="001D0FDA" w:rsidRPr="001A5334" w:rsidRDefault="001D0FDA" w:rsidP="001D0FDA">
            <w:pPr>
              <w:pStyle w:val="Tabletext"/>
              <w:numPr>
                <w:ilvl w:val="0"/>
                <w:numId w:val="12"/>
              </w:numPr>
              <w:ind w:left="425" w:hanging="283"/>
              <w:rPr>
                <w:szCs w:val="18"/>
              </w:rPr>
            </w:pPr>
            <w:r w:rsidRPr="001A5334">
              <w:rPr>
                <w:szCs w:val="18"/>
              </w:rPr>
              <w:t xml:space="preserve">BREATHE-1 </w:t>
            </w:r>
            <w:r w:rsidR="001D34EE" w:rsidRPr="001D34EE">
              <w:rPr>
                <w:noProof/>
                <w:szCs w:val="18"/>
                <w:vertAlign w:val="superscript"/>
              </w:rPr>
              <w:t>2</w:t>
            </w:r>
          </w:p>
          <w:p w:rsidR="001D0FDA" w:rsidRPr="0064129B" w:rsidRDefault="001D0FDA" w:rsidP="001D0FDA">
            <w:pPr>
              <w:pStyle w:val="Tabletext"/>
              <w:numPr>
                <w:ilvl w:val="0"/>
                <w:numId w:val="12"/>
              </w:numPr>
              <w:ind w:left="425" w:hanging="283"/>
              <w:rPr>
                <w:caps/>
                <w:color w:val="000000"/>
                <w:spacing w:val="5"/>
                <w:kern w:val="28"/>
                <w:szCs w:val="18"/>
                <w:u w:val="single"/>
              </w:rPr>
            </w:pPr>
            <w:r w:rsidRPr="001A5334">
              <w:rPr>
                <w:szCs w:val="18"/>
              </w:rPr>
              <w:t xml:space="preserve">AC-052-351 </w:t>
            </w:r>
            <w:r w:rsidR="001D34EE" w:rsidRPr="001D34EE">
              <w:rPr>
                <w:noProof/>
                <w:szCs w:val="18"/>
                <w:vertAlign w:val="superscript"/>
              </w:rPr>
              <w:t>4</w:t>
            </w:r>
          </w:p>
          <w:p w:rsidR="001D0FDA" w:rsidRPr="00EB1471" w:rsidRDefault="001D0FDA" w:rsidP="001D0FDA">
            <w:pPr>
              <w:pStyle w:val="Tabletext"/>
              <w:rPr>
                <w:caps/>
                <w:color w:val="000000"/>
                <w:spacing w:val="5"/>
                <w:kern w:val="28"/>
                <w:szCs w:val="18"/>
                <w:u w:val="single"/>
              </w:rPr>
            </w:pPr>
            <w:r>
              <w:rPr>
                <w:szCs w:val="18"/>
              </w:rPr>
              <w:t>via placebo as the common reference</w:t>
            </w:r>
          </w:p>
        </w:tc>
        <w:tc>
          <w:tcPr>
            <w:tcW w:w="1417" w:type="dxa"/>
            <w:gridSpan w:val="2"/>
            <w:tcBorders>
              <w:bottom w:val="single" w:sz="4" w:space="0" w:color="auto"/>
            </w:tcBorders>
          </w:tcPr>
          <w:p w:rsidR="001D0FDA" w:rsidRPr="00EB1471" w:rsidRDefault="001D0FDA" w:rsidP="001D0FDA">
            <w:pPr>
              <w:pStyle w:val="Tabletext"/>
              <w:rPr>
                <w:szCs w:val="18"/>
              </w:rPr>
            </w:pPr>
            <w:r>
              <w:rPr>
                <w:szCs w:val="18"/>
              </w:rPr>
              <w:t>Ambrisentan vs bosentan</w:t>
            </w:r>
          </w:p>
        </w:tc>
        <w:tc>
          <w:tcPr>
            <w:tcW w:w="3198" w:type="dxa"/>
            <w:gridSpan w:val="2"/>
            <w:tcBorders>
              <w:bottom w:val="single" w:sz="4" w:space="0" w:color="auto"/>
            </w:tcBorders>
          </w:tcPr>
          <w:p w:rsidR="001D0FDA" w:rsidRPr="00E86EBC" w:rsidRDefault="001D0FDA" w:rsidP="00480FDF">
            <w:pPr>
              <w:pStyle w:val="Tabletext"/>
              <w:numPr>
                <w:ilvl w:val="0"/>
                <w:numId w:val="20"/>
              </w:numPr>
              <w:ind w:left="227" w:hanging="227"/>
            </w:pPr>
            <w:r>
              <w:t>Ambrisentan was non-inferior to bosentan in terms of change in 6MWD</w:t>
            </w:r>
            <w:r w:rsidRPr="00E86EBC">
              <w:t>.</w:t>
            </w:r>
          </w:p>
          <w:p w:rsidR="001D0FDA" w:rsidRPr="00E86EBC" w:rsidRDefault="001D0FDA" w:rsidP="00480FDF">
            <w:pPr>
              <w:pStyle w:val="Tabletext"/>
              <w:numPr>
                <w:ilvl w:val="0"/>
                <w:numId w:val="20"/>
              </w:numPr>
              <w:ind w:left="227" w:hanging="227"/>
            </w:pPr>
            <w:r>
              <w:t>There was no statistically significant difference between ambrisentan and bosentan with respect to change in BDI, WHO FC and clinical worsening</w:t>
            </w:r>
          </w:p>
          <w:p w:rsidR="001D0FDA" w:rsidRPr="00EB1471" w:rsidRDefault="001D0FDA" w:rsidP="00480FDF">
            <w:pPr>
              <w:pStyle w:val="Tabletext"/>
              <w:numPr>
                <w:ilvl w:val="0"/>
                <w:numId w:val="20"/>
              </w:numPr>
              <w:ind w:left="227" w:hanging="227"/>
              <w:rPr>
                <w:szCs w:val="18"/>
              </w:rPr>
            </w:pPr>
            <w:r>
              <w:t>T</w:t>
            </w:r>
            <w:r w:rsidRPr="00E86EBC">
              <w:t>he toxicity of ambrisentan appeared non-inferior to bosentan</w:t>
            </w:r>
          </w:p>
        </w:tc>
      </w:tr>
      <w:tr w:rsidR="001D0FDA" w:rsidRPr="003718FE" w:rsidTr="00A36AE2">
        <w:trPr>
          <w:cantSplit w:val="0"/>
        </w:trPr>
        <w:tc>
          <w:tcPr>
            <w:tcW w:w="2325" w:type="dxa"/>
            <w:gridSpan w:val="3"/>
            <w:shd w:val="clear" w:color="auto" w:fill="000000" w:themeFill="text1"/>
          </w:tcPr>
          <w:p w:rsidR="001D0FDA" w:rsidRPr="003718FE" w:rsidRDefault="001D0FDA" w:rsidP="001D0FDA">
            <w:pPr>
              <w:pStyle w:val="Tabletext"/>
              <w:rPr>
                <w:b/>
                <w:color w:val="FFFFFF" w:themeColor="background1"/>
                <w:szCs w:val="18"/>
              </w:rPr>
            </w:pPr>
            <w:r w:rsidRPr="003718FE">
              <w:rPr>
                <w:b/>
                <w:color w:val="FFFFFF" w:themeColor="background1"/>
                <w:szCs w:val="18"/>
              </w:rPr>
              <w:t>Macitentan</w:t>
            </w:r>
          </w:p>
        </w:tc>
        <w:tc>
          <w:tcPr>
            <w:tcW w:w="2694" w:type="dxa"/>
            <w:gridSpan w:val="2"/>
            <w:shd w:val="clear" w:color="auto" w:fill="000000" w:themeFill="text1"/>
          </w:tcPr>
          <w:p w:rsidR="001D0FDA" w:rsidRPr="003718FE" w:rsidRDefault="001D0FDA" w:rsidP="001D0FDA">
            <w:pPr>
              <w:pStyle w:val="Tabletext"/>
              <w:rPr>
                <w:b/>
                <w:color w:val="FFFFFF" w:themeColor="background1"/>
                <w:szCs w:val="18"/>
              </w:rPr>
            </w:pPr>
          </w:p>
        </w:tc>
        <w:tc>
          <w:tcPr>
            <w:tcW w:w="1417" w:type="dxa"/>
            <w:gridSpan w:val="2"/>
            <w:shd w:val="clear" w:color="auto" w:fill="000000" w:themeFill="text1"/>
          </w:tcPr>
          <w:p w:rsidR="001D0FDA" w:rsidRPr="003718FE" w:rsidRDefault="001D0FDA" w:rsidP="001D0FDA">
            <w:pPr>
              <w:pStyle w:val="Tabletext"/>
              <w:rPr>
                <w:color w:val="FFFFFF" w:themeColor="background1"/>
                <w:szCs w:val="18"/>
              </w:rPr>
            </w:pPr>
          </w:p>
        </w:tc>
        <w:tc>
          <w:tcPr>
            <w:tcW w:w="3198" w:type="dxa"/>
            <w:gridSpan w:val="2"/>
            <w:shd w:val="clear" w:color="auto" w:fill="000000" w:themeFill="text1"/>
          </w:tcPr>
          <w:p w:rsidR="001D0FDA" w:rsidRPr="003718FE" w:rsidRDefault="001D0FDA" w:rsidP="001D0FDA">
            <w:pPr>
              <w:pStyle w:val="Tabletext"/>
              <w:rPr>
                <w:color w:val="FFFFFF" w:themeColor="background1"/>
                <w:szCs w:val="18"/>
              </w:rPr>
            </w:pPr>
          </w:p>
        </w:tc>
      </w:tr>
      <w:tr w:rsidR="001D0FDA" w:rsidRPr="00EB1471" w:rsidTr="00A36AE2">
        <w:trPr>
          <w:cantSplit w:val="0"/>
        </w:trPr>
        <w:tc>
          <w:tcPr>
            <w:tcW w:w="1050" w:type="dxa"/>
            <w:tcBorders>
              <w:bottom w:val="single" w:sz="4" w:space="0" w:color="auto"/>
            </w:tcBorders>
          </w:tcPr>
          <w:p w:rsidR="001D0FDA" w:rsidRPr="00EB1471" w:rsidRDefault="001D0FDA" w:rsidP="001D0FDA">
            <w:pPr>
              <w:pStyle w:val="Tabletext"/>
              <w:rPr>
                <w:szCs w:val="18"/>
              </w:rPr>
            </w:pPr>
            <w:r w:rsidRPr="00EB1471">
              <w:rPr>
                <w:szCs w:val="18"/>
              </w:rPr>
              <w:t>March 2014</w:t>
            </w:r>
          </w:p>
        </w:tc>
        <w:tc>
          <w:tcPr>
            <w:tcW w:w="1275" w:type="dxa"/>
            <w:gridSpan w:val="2"/>
            <w:tcBorders>
              <w:bottom w:val="single" w:sz="4" w:space="0" w:color="auto"/>
            </w:tcBorders>
          </w:tcPr>
          <w:p w:rsidR="001D0FDA" w:rsidRDefault="001D0FDA" w:rsidP="001D0FDA">
            <w:pPr>
              <w:pStyle w:val="Tabletext"/>
            </w:pPr>
            <w:r>
              <w:t>WHO FC III/IV</w:t>
            </w:r>
            <w:r w:rsidRPr="00987BC5">
              <w:t xml:space="preserve"> </w:t>
            </w:r>
            <w:r w:rsidRPr="009165A0">
              <w:t xml:space="preserve">IPAH, PAH-CTD and </w:t>
            </w:r>
            <w:r>
              <w:t>PAH-CHD</w:t>
            </w:r>
          </w:p>
          <w:p w:rsidR="001D0FDA" w:rsidRPr="00564A78" w:rsidRDefault="001D0FDA" w:rsidP="001D0FDA">
            <w:pPr>
              <w:pStyle w:val="Tabletext"/>
              <w:rPr>
                <w:szCs w:val="18"/>
              </w:rPr>
            </w:pPr>
          </w:p>
        </w:tc>
        <w:tc>
          <w:tcPr>
            <w:tcW w:w="2694" w:type="dxa"/>
            <w:gridSpan w:val="2"/>
            <w:tcBorders>
              <w:bottom w:val="single" w:sz="4" w:space="0" w:color="auto"/>
            </w:tcBorders>
          </w:tcPr>
          <w:p w:rsidR="001D0FDA" w:rsidRPr="00564A78" w:rsidRDefault="001D0FDA" w:rsidP="001D0FDA">
            <w:pPr>
              <w:pStyle w:val="Tabletext"/>
              <w:rPr>
                <w:szCs w:val="18"/>
              </w:rPr>
            </w:pPr>
            <w:r w:rsidRPr="00564A78">
              <w:rPr>
                <w:szCs w:val="18"/>
              </w:rPr>
              <w:t xml:space="preserve">Indirect comparison of 1 RCT comparing macitentan with placebo: </w:t>
            </w:r>
          </w:p>
          <w:p w:rsidR="001D0FDA" w:rsidRPr="00564A78" w:rsidRDefault="001D0FDA" w:rsidP="001D0FDA">
            <w:pPr>
              <w:pStyle w:val="Tabletext"/>
              <w:numPr>
                <w:ilvl w:val="0"/>
                <w:numId w:val="12"/>
              </w:numPr>
              <w:ind w:left="425" w:hanging="283"/>
              <w:rPr>
                <w:szCs w:val="18"/>
              </w:rPr>
            </w:pPr>
            <w:r w:rsidRPr="00564A78">
              <w:rPr>
                <w:szCs w:val="18"/>
              </w:rPr>
              <w:t xml:space="preserve">SERAPHIN </w:t>
            </w:r>
            <w:r w:rsidR="001D34EE" w:rsidRPr="001D34EE">
              <w:rPr>
                <w:noProof/>
                <w:szCs w:val="18"/>
                <w:vertAlign w:val="superscript"/>
              </w:rPr>
              <w:t>7</w:t>
            </w:r>
            <w:r>
              <w:rPr>
                <w:szCs w:val="18"/>
              </w:rPr>
              <w:t xml:space="preserve"> (overall population (i</w:t>
            </w:r>
            <w:r w:rsidRPr="00564A78">
              <w:rPr>
                <w:szCs w:val="18"/>
              </w:rPr>
              <w:t xml:space="preserve">e with or without background therapy consisting of other </w:t>
            </w:r>
            <w:r>
              <w:rPr>
                <w:szCs w:val="18"/>
              </w:rPr>
              <w:t>PAH medicine</w:t>
            </w:r>
            <w:r w:rsidRPr="00564A78">
              <w:rPr>
                <w:szCs w:val="18"/>
              </w:rPr>
              <w:t>s, regardless of WHO FC) and treatment-naïve WHO FC III/IV subgroup)</w:t>
            </w:r>
          </w:p>
          <w:p w:rsidR="001D0FDA" w:rsidRPr="00EB1471" w:rsidRDefault="001D0FDA" w:rsidP="001D0FDA">
            <w:pPr>
              <w:pStyle w:val="Tabletext"/>
              <w:rPr>
                <w:szCs w:val="18"/>
              </w:rPr>
            </w:pPr>
            <w:r w:rsidRPr="00564A78">
              <w:rPr>
                <w:szCs w:val="18"/>
              </w:rPr>
              <w:t>with 4 RCTs comparing bosentan with</w:t>
            </w:r>
            <w:r w:rsidRPr="00EB1471">
              <w:rPr>
                <w:szCs w:val="18"/>
              </w:rPr>
              <w:t xml:space="preserve"> placebo:</w:t>
            </w:r>
          </w:p>
          <w:p w:rsidR="001D0FDA" w:rsidRPr="00EB1471" w:rsidRDefault="001D0FDA" w:rsidP="001D0FDA">
            <w:pPr>
              <w:pStyle w:val="Tabletext"/>
              <w:numPr>
                <w:ilvl w:val="0"/>
                <w:numId w:val="12"/>
              </w:numPr>
              <w:ind w:left="425" w:hanging="283"/>
              <w:rPr>
                <w:szCs w:val="18"/>
              </w:rPr>
            </w:pPr>
            <w:r w:rsidRPr="00EB1471">
              <w:rPr>
                <w:szCs w:val="18"/>
              </w:rPr>
              <w:t xml:space="preserve">BREATHE-1 </w:t>
            </w:r>
            <w:r w:rsidR="001D34EE" w:rsidRPr="001D34EE">
              <w:rPr>
                <w:noProof/>
                <w:szCs w:val="18"/>
                <w:vertAlign w:val="superscript"/>
              </w:rPr>
              <w:t>2, 8</w:t>
            </w:r>
          </w:p>
          <w:p w:rsidR="001D0FDA" w:rsidRPr="00EB1471" w:rsidRDefault="001D0FDA" w:rsidP="001D0FDA">
            <w:pPr>
              <w:pStyle w:val="Tabletext"/>
              <w:numPr>
                <w:ilvl w:val="0"/>
                <w:numId w:val="12"/>
              </w:numPr>
              <w:ind w:left="425" w:hanging="283"/>
              <w:rPr>
                <w:szCs w:val="18"/>
              </w:rPr>
            </w:pPr>
            <w:r w:rsidRPr="00EB1471">
              <w:rPr>
                <w:szCs w:val="18"/>
              </w:rPr>
              <w:t xml:space="preserve">AC-052-351 </w:t>
            </w:r>
            <w:r w:rsidR="001D34EE" w:rsidRPr="001D34EE">
              <w:rPr>
                <w:noProof/>
                <w:szCs w:val="18"/>
                <w:vertAlign w:val="superscript"/>
              </w:rPr>
              <w:t>3, 4</w:t>
            </w:r>
          </w:p>
          <w:p w:rsidR="001D0FDA" w:rsidRPr="00EB1471" w:rsidRDefault="001D0FDA" w:rsidP="001D0FDA">
            <w:pPr>
              <w:pStyle w:val="Tabletext"/>
              <w:numPr>
                <w:ilvl w:val="0"/>
                <w:numId w:val="12"/>
              </w:numPr>
              <w:ind w:left="425" w:hanging="283"/>
              <w:rPr>
                <w:szCs w:val="18"/>
              </w:rPr>
            </w:pPr>
            <w:r w:rsidRPr="00EB1471">
              <w:rPr>
                <w:szCs w:val="18"/>
              </w:rPr>
              <w:t xml:space="preserve">EARLY </w:t>
            </w:r>
            <w:r w:rsidR="001D34EE" w:rsidRPr="001D34EE">
              <w:rPr>
                <w:noProof/>
                <w:szCs w:val="18"/>
                <w:vertAlign w:val="superscript"/>
              </w:rPr>
              <w:t>9</w:t>
            </w:r>
          </w:p>
          <w:p w:rsidR="001D0FDA" w:rsidRPr="0064129B" w:rsidRDefault="001D0FDA" w:rsidP="001D0FDA">
            <w:pPr>
              <w:pStyle w:val="Tabletext"/>
              <w:numPr>
                <w:ilvl w:val="0"/>
                <w:numId w:val="12"/>
              </w:numPr>
              <w:ind w:left="425" w:hanging="283"/>
              <w:rPr>
                <w:b/>
                <w:caps/>
                <w:color w:val="000000"/>
                <w:spacing w:val="5"/>
                <w:kern w:val="28"/>
                <w:szCs w:val="18"/>
                <w:u w:val="single"/>
              </w:rPr>
            </w:pPr>
            <w:r w:rsidRPr="00EB1471">
              <w:rPr>
                <w:szCs w:val="18"/>
              </w:rPr>
              <w:t xml:space="preserve">STRIDE-2 </w:t>
            </w:r>
            <w:r w:rsidR="001D34EE" w:rsidRPr="001D34EE">
              <w:rPr>
                <w:noProof/>
                <w:szCs w:val="18"/>
                <w:vertAlign w:val="superscript"/>
              </w:rPr>
              <w:t>10</w:t>
            </w:r>
          </w:p>
          <w:p w:rsidR="001D0FDA" w:rsidRPr="0064129B" w:rsidRDefault="001D0FDA" w:rsidP="001D0FDA">
            <w:pPr>
              <w:pStyle w:val="Tabletext"/>
              <w:rPr>
                <w:szCs w:val="18"/>
              </w:rPr>
            </w:pPr>
            <w:r w:rsidRPr="0064129B">
              <w:rPr>
                <w:szCs w:val="18"/>
              </w:rPr>
              <w:t>via placebo as the common reference</w:t>
            </w:r>
          </w:p>
        </w:tc>
        <w:tc>
          <w:tcPr>
            <w:tcW w:w="1417" w:type="dxa"/>
            <w:gridSpan w:val="2"/>
            <w:tcBorders>
              <w:bottom w:val="single" w:sz="4" w:space="0" w:color="auto"/>
            </w:tcBorders>
          </w:tcPr>
          <w:p w:rsidR="001D0FDA" w:rsidRPr="00EB1471" w:rsidRDefault="001D0FDA" w:rsidP="001D0FDA">
            <w:pPr>
              <w:pStyle w:val="Tabletext"/>
              <w:rPr>
                <w:szCs w:val="18"/>
              </w:rPr>
            </w:pPr>
            <w:r>
              <w:rPr>
                <w:szCs w:val="18"/>
              </w:rPr>
              <w:t>Macitentan vs bosentan</w:t>
            </w:r>
          </w:p>
          <w:p w:rsidR="001D0FDA" w:rsidRPr="00EB1471" w:rsidRDefault="001D0FDA" w:rsidP="001D0FDA">
            <w:pPr>
              <w:pStyle w:val="Tabletext"/>
              <w:rPr>
                <w:szCs w:val="18"/>
              </w:rPr>
            </w:pPr>
          </w:p>
        </w:tc>
        <w:tc>
          <w:tcPr>
            <w:tcW w:w="3198" w:type="dxa"/>
            <w:gridSpan w:val="2"/>
            <w:tcBorders>
              <w:bottom w:val="single" w:sz="4" w:space="0" w:color="auto"/>
            </w:tcBorders>
          </w:tcPr>
          <w:p w:rsidR="001D0FDA" w:rsidRPr="00564A78" w:rsidRDefault="001D0FDA" w:rsidP="00480FDF">
            <w:pPr>
              <w:pStyle w:val="Tabletext"/>
              <w:numPr>
                <w:ilvl w:val="0"/>
                <w:numId w:val="20"/>
              </w:numPr>
              <w:ind w:left="227" w:hanging="227"/>
            </w:pPr>
            <w:r>
              <w:t xml:space="preserve">Macitentan was non-inferior to bosentan in terms of improvement in </w:t>
            </w:r>
            <w:r w:rsidRPr="00564A78">
              <w:t xml:space="preserve">6MWD.  </w:t>
            </w:r>
          </w:p>
          <w:p w:rsidR="001D0FDA" w:rsidRPr="00564A78" w:rsidRDefault="001D0FDA" w:rsidP="00480FDF">
            <w:pPr>
              <w:pStyle w:val="Tabletext"/>
              <w:numPr>
                <w:ilvl w:val="0"/>
                <w:numId w:val="20"/>
              </w:numPr>
              <w:ind w:left="227" w:hanging="227"/>
            </w:pPr>
            <w:r>
              <w:t>M</w:t>
            </w:r>
            <w:r w:rsidRPr="00564A78">
              <w:t>acitentan was non-inferior in terms of saf</w:t>
            </w:r>
            <w:r>
              <w:t xml:space="preserve">ety when compared to bosentan. </w:t>
            </w:r>
          </w:p>
        </w:tc>
      </w:tr>
      <w:tr w:rsidR="001D0FDA" w:rsidRPr="003718FE" w:rsidTr="00A36AE2">
        <w:trPr>
          <w:cantSplit w:val="0"/>
        </w:trPr>
        <w:tc>
          <w:tcPr>
            <w:tcW w:w="1050" w:type="dxa"/>
            <w:shd w:val="clear" w:color="auto" w:fill="000000" w:themeFill="text1"/>
          </w:tcPr>
          <w:p w:rsidR="001D0FDA" w:rsidRPr="003718FE" w:rsidRDefault="001D0FDA" w:rsidP="001D0FDA">
            <w:pPr>
              <w:pStyle w:val="Tabletext"/>
              <w:rPr>
                <w:color w:val="FFFFFF" w:themeColor="background1"/>
                <w:szCs w:val="18"/>
              </w:rPr>
            </w:pPr>
            <w:r w:rsidRPr="003718FE">
              <w:rPr>
                <w:b/>
                <w:color w:val="FFFFFF" w:themeColor="background1"/>
                <w:szCs w:val="18"/>
              </w:rPr>
              <w:t>Sildenafil</w:t>
            </w:r>
          </w:p>
        </w:tc>
        <w:tc>
          <w:tcPr>
            <w:tcW w:w="1275" w:type="dxa"/>
            <w:gridSpan w:val="2"/>
            <w:shd w:val="clear" w:color="auto" w:fill="000000" w:themeFill="text1"/>
          </w:tcPr>
          <w:p w:rsidR="001D0FDA" w:rsidRPr="003718FE" w:rsidRDefault="001D0FDA" w:rsidP="001D0FDA">
            <w:pPr>
              <w:pStyle w:val="Tabletext"/>
              <w:rPr>
                <w:b/>
                <w:color w:val="FFFFFF" w:themeColor="background1"/>
                <w:szCs w:val="18"/>
              </w:rPr>
            </w:pPr>
          </w:p>
        </w:tc>
        <w:tc>
          <w:tcPr>
            <w:tcW w:w="2694" w:type="dxa"/>
            <w:gridSpan w:val="2"/>
            <w:shd w:val="clear" w:color="auto" w:fill="000000" w:themeFill="text1"/>
          </w:tcPr>
          <w:p w:rsidR="001D0FDA" w:rsidRPr="003718FE" w:rsidRDefault="001D0FDA" w:rsidP="001D0FDA">
            <w:pPr>
              <w:pStyle w:val="Tabletext"/>
              <w:rPr>
                <w:b/>
                <w:color w:val="FFFFFF" w:themeColor="background1"/>
                <w:szCs w:val="18"/>
              </w:rPr>
            </w:pPr>
          </w:p>
        </w:tc>
        <w:tc>
          <w:tcPr>
            <w:tcW w:w="1417" w:type="dxa"/>
            <w:gridSpan w:val="2"/>
            <w:shd w:val="clear" w:color="auto" w:fill="000000" w:themeFill="text1"/>
          </w:tcPr>
          <w:p w:rsidR="001D0FDA" w:rsidRPr="003718FE" w:rsidRDefault="001D0FDA" w:rsidP="001D0FDA">
            <w:pPr>
              <w:pStyle w:val="Tabletext"/>
              <w:rPr>
                <w:color w:val="FFFFFF" w:themeColor="background1"/>
                <w:szCs w:val="18"/>
              </w:rPr>
            </w:pPr>
          </w:p>
        </w:tc>
        <w:tc>
          <w:tcPr>
            <w:tcW w:w="3198" w:type="dxa"/>
            <w:gridSpan w:val="2"/>
            <w:shd w:val="clear" w:color="auto" w:fill="000000" w:themeFill="text1"/>
          </w:tcPr>
          <w:p w:rsidR="001D0FDA" w:rsidRPr="003718FE" w:rsidRDefault="001D0FDA" w:rsidP="001D0FDA">
            <w:pPr>
              <w:pStyle w:val="Tabletext"/>
              <w:rPr>
                <w:color w:val="FFFFFF" w:themeColor="background1"/>
                <w:szCs w:val="18"/>
              </w:rPr>
            </w:pPr>
          </w:p>
        </w:tc>
      </w:tr>
      <w:tr w:rsidR="001D0FDA" w:rsidRPr="00EB1471" w:rsidTr="00A36AE2">
        <w:trPr>
          <w:cantSplit w:val="0"/>
        </w:trPr>
        <w:tc>
          <w:tcPr>
            <w:tcW w:w="1050" w:type="dxa"/>
            <w:tcBorders>
              <w:bottom w:val="single" w:sz="4" w:space="0" w:color="auto"/>
            </w:tcBorders>
          </w:tcPr>
          <w:p w:rsidR="001D0FDA" w:rsidRPr="00EB1471" w:rsidRDefault="001D0FDA" w:rsidP="001D0FDA">
            <w:pPr>
              <w:pStyle w:val="Tabletext"/>
              <w:rPr>
                <w:szCs w:val="18"/>
              </w:rPr>
            </w:pPr>
            <w:r w:rsidRPr="00EB1471">
              <w:rPr>
                <w:szCs w:val="18"/>
              </w:rPr>
              <w:t>November 2006</w:t>
            </w:r>
          </w:p>
        </w:tc>
        <w:tc>
          <w:tcPr>
            <w:tcW w:w="1275" w:type="dxa"/>
            <w:gridSpan w:val="2"/>
            <w:tcBorders>
              <w:bottom w:val="single" w:sz="4" w:space="0" w:color="auto"/>
            </w:tcBorders>
          </w:tcPr>
          <w:p w:rsidR="001D0FDA" w:rsidRPr="0064129B" w:rsidRDefault="001D0FDA" w:rsidP="001D0FDA">
            <w:pPr>
              <w:pStyle w:val="Tabletext"/>
              <w:rPr>
                <w:szCs w:val="18"/>
              </w:rPr>
            </w:pPr>
            <w:r w:rsidRPr="00987BC5">
              <w:t xml:space="preserve">WHO FC III </w:t>
            </w:r>
            <w:r>
              <w:t>IPAH and PAH-CTD</w:t>
            </w:r>
          </w:p>
        </w:tc>
        <w:tc>
          <w:tcPr>
            <w:tcW w:w="2694" w:type="dxa"/>
            <w:gridSpan w:val="2"/>
            <w:tcBorders>
              <w:bottom w:val="single" w:sz="4" w:space="0" w:color="auto"/>
            </w:tcBorders>
          </w:tcPr>
          <w:p w:rsidR="001D0FDA" w:rsidRPr="0064129B" w:rsidRDefault="001D0FDA" w:rsidP="001D0FDA">
            <w:pPr>
              <w:pStyle w:val="Tabletext"/>
              <w:rPr>
                <w:szCs w:val="18"/>
              </w:rPr>
            </w:pPr>
            <w:r w:rsidRPr="0064129B">
              <w:rPr>
                <w:szCs w:val="18"/>
              </w:rPr>
              <w:t xml:space="preserve">Indirect comparison of 1 RCT comparing sildenafil with placebo: </w:t>
            </w:r>
          </w:p>
          <w:p w:rsidR="001D0FDA" w:rsidRPr="00EB1471" w:rsidRDefault="001D0FDA" w:rsidP="001D0FDA">
            <w:pPr>
              <w:pStyle w:val="Tabletext"/>
              <w:numPr>
                <w:ilvl w:val="0"/>
                <w:numId w:val="12"/>
              </w:numPr>
              <w:ind w:left="425" w:hanging="283"/>
              <w:rPr>
                <w:szCs w:val="18"/>
              </w:rPr>
            </w:pPr>
            <w:r w:rsidRPr="00EB1471">
              <w:rPr>
                <w:szCs w:val="18"/>
              </w:rPr>
              <w:t xml:space="preserve">SUPER-1 </w:t>
            </w:r>
            <w:r w:rsidR="001D34EE" w:rsidRPr="001D34EE">
              <w:rPr>
                <w:noProof/>
                <w:szCs w:val="18"/>
                <w:vertAlign w:val="superscript"/>
              </w:rPr>
              <w:t>11</w:t>
            </w:r>
            <w:r w:rsidR="00F70738">
              <w:rPr>
                <w:szCs w:val="18"/>
              </w:rPr>
              <w:t xml:space="preserve"> (overall population </w:t>
            </w:r>
            <w:r>
              <w:rPr>
                <w:szCs w:val="18"/>
              </w:rPr>
              <w:t>ie</w:t>
            </w:r>
            <w:r w:rsidR="00F70738">
              <w:rPr>
                <w:szCs w:val="18"/>
              </w:rPr>
              <w:t xml:space="preserve"> regardless of WHO FC,</w:t>
            </w:r>
            <w:r w:rsidRPr="00EB1471">
              <w:rPr>
                <w:szCs w:val="18"/>
              </w:rPr>
              <w:t xml:space="preserve"> and WHO III subgroup)</w:t>
            </w:r>
          </w:p>
          <w:p w:rsidR="001D0FDA" w:rsidRPr="00EB1471" w:rsidRDefault="001D0FDA" w:rsidP="001D0FDA">
            <w:pPr>
              <w:pStyle w:val="Tabletext"/>
              <w:rPr>
                <w:szCs w:val="18"/>
              </w:rPr>
            </w:pPr>
            <w:r w:rsidRPr="00EB1471">
              <w:rPr>
                <w:szCs w:val="18"/>
              </w:rPr>
              <w:t xml:space="preserve">with 2 RCTs comparing </w:t>
            </w:r>
            <w:r w:rsidRPr="00564A78">
              <w:rPr>
                <w:szCs w:val="18"/>
              </w:rPr>
              <w:t>bosentan</w:t>
            </w:r>
            <w:r w:rsidRPr="00EB1471">
              <w:rPr>
                <w:szCs w:val="18"/>
              </w:rPr>
              <w:t xml:space="preserve"> with placebo:</w:t>
            </w:r>
          </w:p>
          <w:p w:rsidR="001D0FDA" w:rsidRPr="00EB1471" w:rsidRDefault="001D0FDA" w:rsidP="001D0FDA">
            <w:pPr>
              <w:pStyle w:val="Tabletext"/>
              <w:numPr>
                <w:ilvl w:val="0"/>
                <w:numId w:val="12"/>
              </w:numPr>
              <w:ind w:left="425" w:hanging="283"/>
              <w:rPr>
                <w:szCs w:val="18"/>
              </w:rPr>
            </w:pPr>
            <w:r w:rsidRPr="00EB1471">
              <w:rPr>
                <w:szCs w:val="18"/>
              </w:rPr>
              <w:t xml:space="preserve">BREATHE-1 </w:t>
            </w:r>
            <w:r w:rsidR="001D34EE" w:rsidRPr="001D34EE">
              <w:rPr>
                <w:noProof/>
                <w:szCs w:val="18"/>
                <w:vertAlign w:val="superscript"/>
              </w:rPr>
              <w:t>2</w:t>
            </w:r>
          </w:p>
          <w:p w:rsidR="001D0FDA" w:rsidRDefault="001D0FDA" w:rsidP="001D0FDA">
            <w:pPr>
              <w:pStyle w:val="Tabletext"/>
              <w:numPr>
                <w:ilvl w:val="0"/>
                <w:numId w:val="12"/>
              </w:numPr>
              <w:ind w:left="425" w:hanging="283"/>
              <w:rPr>
                <w:szCs w:val="18"/>
              </w:rPr>
            </w:pPr>
            <w:r>
              <w:rPr>
                <w:szCs w:val="18"/>
              </w:rPr>
              <w:t xml:space="preserve">AC-052-351 </w:t>
            </w:r>
            <w:r w:rsidR="001D34EE" w:rsidRPr="001D34EE">
              <w:rPr>
                <w:noProof/>
                <w:szCs w:val="18"/>
                <w:vertAlign w:val="superscript"/>
              </w:rPr>
              <w:t>4</w:t>
            </w:r>
          </w:p>
          <w:p w:rsidR="001D0FDA" w:rsidRPr="00EB1471" w:rsidRDefault="001D0FDA" w:rsidP="001D0FDA">
            <w:pPr>
              <w:pStyle w:val="Tabletext"/>
              <w:rPr>
                <w:szCs w:val="18"/>
              </w:rPr>
            </w:pPr>
            <w:r>
              <w:rPr>
                <w:szCs w:val="18"/>
              </w:rPr>
              <w:t>via placebo as the common reference</w:t>
            </w:r>
          </w:p>
        </w:tc>
        <w:tc>
          <w:tcPr>
            <w:tcW w:w="1417" w:type="dxa"/>
            <w:gridSpan w:val="2"/>
            <w:tcBorders>
              <w:bottom w:val="single" w:sz="4" w:space="0" w:color="auto"/>
            </w:tcBorders>
          </w:tcPr>
          <w:p w:rsidR="001D0FDA" w:rsidRPr="00EB1471" w:rsidRDefault="001D0FDA" w:rsidP="001D0FDA">
            <w:pPr>
              <w:pStyle w:val="Tabletext"/>
              <w:rPr>
                <w:szCs w:val="18"/>
              </w:rPr>
            </w:pPr>
            <w:r>
              <w:rPr>
                <w:szCs w:val="18"/>
              </w:rPr>
              <w:t>Sildenafil vs bosentan</w:t>
            </w:r>
          </w:p>
        </w:tc>
        <w:tc>
          <w:tcPr>
            <w:tcW w:w="3198" w:type="dxa"/>
            <w:gridSpan w:val="2"/>
            <w:tcBorders>
              <w:bottom w:val="single" w:sz="4" w:space="0" w:color="auto"/>
            </w:tcBorders>
          </w:tcPr>
          <w:p w:rsidR="001D0FDA" w:rsidRPr="00002316" w:rsidRDefault="001D0FDA" w:rsidP="00480FDF">
            <w:pPr>
              <w:pStyle w:val="Tabletext"/>
              <w:numPr>
                <w:ilvl w:val="0"/>
                <w:numId w:val="20"/>
              </w:numPr>
              <w:ind w:left="227" w:hanging="227"/>
            </w:pPr>
            <w:r w:rsidRPr="00002316">
              <w:t xml:space="preserve">Sildenafil was non-inferior to bosentan in terms </w:t>
            </w:r>
            <w:r w:rsidR="00F70738">
              <w:t xml:space="preserve">of </w:t>
            </w:r>
            <w:r w:rsidRPr="00002316">
              <w:t>improvement in 6MWD.</w:t>
            </w:r>
          </w:p>
          <w:p w:rsidR="001D0FDA" w:rsidRPr="00EB1471" w:rsidRDefault="001D0FDA" w:rsidP="00480FDF">
            <w:pPr>
              <w:pStyle w:val="Tabletext"/>
              <w:numPr>
                <w:ilvl w:val="0"/>
                <w:numId w:val="20"/>
              </w:numPr>
              <w:ind w:left="227" w:hanging="227"/>
              <w:rPr>
                <w:szCs w:val="18"/>
              </w:rPr>
            </w:pPr>
            <w:r w:rsidRPr="00002316">
              <w:t>Sildenafil was no worse than bosentan in terms of toxicity.</w:t>
            </w:r>
          </w:p>
        </w:tc>
      </w:tr>
      <w:tr w:rsidR="001D0FDA" w:rsidRPr="003718FE" w:rsidTr="00A36AE2">
        <w:trPr>
          <w:cantSplit w:val="0"/>
        </w:trPr>
        <w:tc>
          <w:tcPr>
            <w:tcW w:w="1050" w:type="dxa"/>
            <w:shd w:val="clear" w:color="auto" w:fill="000000" w:themeFill="text1"/>
          </w:tcPr>
          <w:p w:rsidR="001D0FDA" w:rsidRPr="003718FE" w:rsidRDefault="001D0FDA" w:rsidP="001D0FDA">
            <w:pPr>
              <w:pStyle w:val="Tabletext"/>
              <w:rPr>
                <w:b/>
                <w:color w:val="FFFFFF" w:themeColor="background1"/>
                <w:szCs w:val="18"/>
              </w:rPr>
            </w:pPr>
            <w:r w:rsidRPr="003718FE">
              <w:rPr>
                <w:b/>
                <w:color w:val="FFFFFF" w:themeColor="background1"/>
                <w:szCs w:val="18"/>
              </w:rPr>
              <w:t>Tadalafil</w:t>
            </w:r>
          </w:p>
        </w:tc>
        <w:tc>
          <w:tcPr>
            <w:tcW w:w="1275" w:type="dxa"/>
            <w:gridSpan w:val="2"/>
            <w:shd w:val="clear" w:color="auto" w:fill="000000" w:themeFill="text1"/>
          </w:tcPr>
          <w:p w:rsidR="001D0FDA" w:rsidRPr="003718FE" w:rsidRDefault="001D0FDA" w:rsidP="001D0FDA">
            <w:pPr>
              <w:pStyle w:val="Tabletext"/>
              <w:rPr>
                <w:b/>
                <w:color w:val="FFFFFF" w:themeColor="background1"/>
                <w:szCs w:val="18"/>
              </w:rPr>
            </w:pPr>
          </w:p>
        </w:tc>
        <w:tc>
          <w:tcPr>
            <w:tcW w:w="2694" w:type="dxa"/>
            <w:gridSpan w:val="2"/>
            <w:shd w:val="clear" w:color="auto" w:fill="000000" w:themeFill="text1"/>
          </w:tcPr>
          <w:p w:rsidR="001D0FDA" w:rsidRPr="003718FE" w:rsidRDefault="001D0FDA" w:rsidP="001D0FDA">
            <w:pPr>
              <w:pStyle w:val="Tabletext"/>
              <w:rPr>
                <w:b/>
                <w:color w:val="FFFFFF" w:themeColor="background1"/>
                <w:szCs w:val="18"/>
              </w:rPr>
            </w:pPr>
          </w:p>
        </w:tc>
        <w:tc>
          <w:tcPr>
            <w:tcW w:w="1417" w:type="dxa"/>
            <w:gridSpan w:val="2"/>
            <w:shd w:val="clear" w:color="auto" w:fill="000000" w:themeFill="text1"/>
          </w:tcPr>
          <w:p w:rsidR="001D0FDA" w:rsidRPr="003718FE" w:rsidRDefault="001D0FDA" w:rsidP="001D0FDA">
            <w:pPr>
              <w:pStyle w:val="Tabletext"/>
              <w:rPr>
                <w:b/>
                <w:color w:val="FFFFFF" w:themeColor="background1"/>
                <w:szCs w:val="18"/>
              </w:rPr>
            </w:pPr>
          </w:p>
        </w:tc>
        <w:tc>
          <w:tcPr>
            <w:tcW w:w="3198" w:type="dxa"/>
            <w:gridSpan w:val="2"/>
            <w:shd w:val="clear" w:color="auto" w:fill="000000" w:themeFill="text1"/>
          </w:tcPr>
          <w:p w:rsidR="001D0FDA" w:rsidRPr="003718FE" w:rsidRDefault="001D0FDA" w:rsidP="001D0FDA">
            <w:pPr>
              <w:pStyle w:val="Tabletext"/>
              <w:rPr>
                <w:b/>
                <w:color w:val="FFFFFF" w:themeColor="background1"/>
                <w:szCs w:val="18"/>
              </w:rPr>
            </w:pPr>
          </w:p>
        </w:tc>
      </w:tr>
      <w:tr w:rsidR="001D0FDA" w:rsidRPr="00EB1471" w:rsidTr="00A36AE2">
        <w:trPr>
          <w:cantSplit w:val="0"/>
        </w:trPr>
        <w:tc>
          <w:tcPr>
            <w:tcW w:w="1050" w:type="dxa"/>
            <w:tcBorders>
              <w:bottom w:val="single" w:sz="4" w:space="0" w:color="auto"/>
            </w:tcBorders>
          </w:tcPr>
          <w:p w:rsidR="001D0FDA" w:rsidRPr="00EB1471" w:rsidRDefault="001D0FDA" w:rsidP="001D0FDA">
            <w:pPr>
              <w:pStyle w:val="Tabletext"/>
              <w:rPr>
                <w:szCs w:val="18"/>
              </w:rPr>
            </w:pPr>
            <w:r w:rsidRPr="00EB1471">
              <w:rPr>
                <w:szCs w:val="18"/>
              </w:rPr>
              <w:lastRenderedPageBreak/>
              <w:t>November 2011</w:t>
            </w:r>
          </w:p>
        </w:tc>
        <w:tc>
          <w:tcPr>
            <w:tcW w:w="1275" w:type="dxa"/>
            <w:gridSpan w:val="2"/>
            <w:tcBorders>
              <w:bottom w:val="single" w:sz="4" w:space="0" w:color="auto"/>
            </w:tcBorders>
          </w:tcPr>
          <w:p w:rsidR="001D0FDA" w:rsidRPr="00EB1471" w:rsidRDefault="001D0FDA" w:rsidP="001D0FDA">
            <w:pPr>
              <w:pStyle w:val="Tabletext"/>
              <w:rPr>
                <w:szCs w:val="18"/>
              </w:rPr>
            </w:pPr>
            <w:r w:rsidRPr="00987BC5">
              <w:t xml:space="preserve">WHO FC III </w:t>
            </w:r>
            <w:r>
              <w:t>IPAH and PAH-CTD</w:t>
            </w:r>
          </w:p>
        </w:tc>
        <w:tc>
          <w:tcPr>
            <w:tcW w:w="2694" w:type="dxa"/>
            <w:gridSpan w:val="2"/>
            <w:tcBorders>
              <w:bottom w:val="single" w:sz="4" w:space="0" w:color="auto"/>
            </w:tcBorders>
          </w:tcPr>
          <w:p w:rsidR="001D0FDA" w:rsidRPr="0064129B" w:rsidRDefault="001D0FDA" w:rsidP="001D0FDA">
            <w:pPr>
              <w:pStyle w:val="Tabletext"/>
              <w:rPr>
                <w:szCs w:val="18"/>
              </w:rPr>
            </w:pPr>
            <w:r w:rsidRPr="00EB1471">
              <w:rPr>
                <w:szCs w:val="18"/>
              </w:rPr>
              <w:t xml:space="preserve">Indirect </w:t>
            </w:r>
            <w:r w:rsidRPr="0064129B">
              <w:rPr>
                <w:szCs w:val="18"/>
              </w:rPr>
              <w:t xml:space="preserve">comparison of 1 RCT comparing tadalafil with placebo: </w:t>
            </w:r>
          </w:p>
          <w:p w:rsidR="001D0FDA" w:rsidRPr="0064129B" w:rsidRDefault="001D0FDA" w:rsidP="001D0FDA">
            <w:pPr>
              <w:pStyle w:val="Tabletext"/>
              <w:numPr>
                <w:ilvl w:val="0"/>
                <w:numId w:val="12"/>
              </w:numPr>
              <w:ind w:left="425" w:hanging="283"/>
              <w:rPr>
                <w:szCs w:val="18"/>
              </w:rPr>
            </w:pPr>
            <w:r w:rsidRPr="0064129B">
              <w:rPr>
                <w:szCs w:val="18"/>
              </w:rPr>
              <w:t xml:space="preserve">PHIRST </w:t>
            </w:r>
            <w:r w:rsidR="001D34EE" w:rsidRPr="001D34EE">
              <w:rPr>
                <w:noProof/>
                <w:szCs w:val="18"/>
                <w:vertAlign w:val="superscript"/>
              </w:rPr>
              <w:t>12-14</w:t>
            </w:r>
            <w:r w:rsidRPr="0064129B">
              <w:rPr>
                <w:szCs w:val="18"/>
              </w:rPr>
              <w:t xml:space="preserve"> (subgroup of no background therapy)</w:t>
            </w:r>
          </w:p>
          <w:p w:rsidR="001D0FDA" w:rsidRPr="0064129B" w:rsidRDefault="001D0FDA" w:rsidP="001D0FDA">
            <w:pPr>
              <w:pStyle w:val="Tabletext"/>
              <w:rPr>
                <w:szCs w:val="18"/>
              </w:rPr>
            </w:pPr>
            <w:r w:rsidRPr="0064129B">
              <w:rPr>
                <w:szCs w:val="18"/>
              </w:rPr>
              <w:t>with 1 RCT comparing sildenafil with placebo:</w:t>
            </w:r>
          </w:p>
          <w:p w:rsidR="001D0FDA" w:rsidRDefault="001D0FDA" w:rsidP="001D0FDA">
            <w:pPr>
              <w:pStyle w:val="Tabletext"/>
              <w:numPr>
                <w:ilvl w:val="0"/>
                <w:numId w:val="12"/>
              </w:numPr>
              <w:ind w:left="425" w:hanging="283"/>
              <w:rPr>
                <w:szCs w:val="18"/>
              </w:rPr>
            </w:pPr>
            <w:r w:rsidRPr="0064129B">
              <w:rPr>
                <w:szCs w:val="18"/>
              </w:rPr>
              <w:t xml:space="preserve">SUPER-1 </w:t>
            </w:r>
            <w:r w:rsidR="001D34EE" w:rsidRPr="001D34EE">
              <w:rPr>
                <w:noProof/>
                <w:szCs w:val="18"/>
                <w:vertAlign w:val="superscript"/>
              </w:rPr>
              <w:t>11, 15-17</w:t>
            </w:r>
            <w:r>
              <w:rPr>
                <w:szCs w:val="18"/>
              </w:rPr>
              <w:t xml:space="preserve"> </w:t>
            </w:r>
          </w:p>
          <w:p w:rsidR="001D0FDA" w:rsidRPr="00EB1471" w:rsidRDefault="001D0FDA" w:rsidP="001D0FDA">
            <w:pPr>
              <w:pStyle w:val="Tabletext"/>
              <w:rPr>
                <w:szCs w:val="18"/>
              </w:rPr>
            </w:pPr>
            <w:r>
              <w:rPr>
                <w:szCs w:val="18"/>
              </w:rPr>
              <w:t>via placebo as the common reference</w:t>
            </w:r>
          </w:p>
        </w:tc>
        <w:tc>
          <w:tcPr>
            <w:tcW w:w="1417" w:type="dxa"/>
            <w:gridSpan w:val="2"/>
            <w:tcBorders>
              <w:bottom w:val="single" w:sz="4" w:space="0" w:color="auto"/>
            </w:tcBorders>
          </w:tcPr>
          <w:p w:rsidR="001D0FDA" w:rsidRPr="00EB1471" w:rsidRDefault="001D0FDA" w:rsidP="001D0FDA">
            <w:pPr>
              <w:pStyle w:val="Tabletext"/>
              <w:rPr>
                <w:szCs w:val="18"/>
              </w:rPr>
            </w:pPr>
            <w:r>
              <w:rPr>
                <w:szCs w:val="18"/>
              </w:rPr>
              <w:t>Tadalafil vs sildenafil</w:t>
            </w:r>
          </w:p>
        </w:tc>
        <w:tc>
          <w:tcPr>
            <w:tcW w:w="3198" w:type="dxa"/>
            <w:gridSpan w:val="2"/>
            <w:tcBorders>
              <w:bottom w:val="single" w:sz="4" w:space="0" w:color="auto"/>
            </w:tcBorders>
          </w:tcPr>
          <w:p w:rsidR="001D0FDA" w:rsidRPr="00002316" w:rsidRDefault="001D0FDA" w:rsidP="00480FDF">
            <w:pPr>
              <w:pStyle w:val="Tabletext"/>
              <w:numPr>
                <w:ilvl w:val="0"/>
                <w:numId w:val="20"/>
              </w:numPr>
              <w:ind w:left="227" w:hanging="227"/>
            </w:pPr>
            <w:r w:rsidRPr="00002316">
              <w:t xml:space="preserve">Tadalafil was non-inferior to sildenafil in terms </w:t>
            </w:r>
            <w:r w:rsidR="00F70738">
              <w:t xml:space="preserve">of </w:t>
            </w:r>
            <w:r w:rsidRPr="00002316">
              <w:t>improvement in 6MWD</w:t>
            </w:r>
          </w:p>
          <w:p w:rsidR="001D0FDA" w:rsidRPr="00002316" w:rsidRDefault="00F70738" w:rsidP="00480FDF">
            <w:pPr>
              <w:pStyle w:val="Tabletext"/>
              <w:numPr>
                <w:ilvl w:val="0"/>
                <w:numId w:val="20"/>
              </w:numPr>
              <w:ind w:left="227" w:hanging="227"/>
            </w:pPr>
            <w:r>
              <w:t>There were</w:t>
            </w:r>
            <w:r w:rsidR="001D0FDA" w:rsidRPr="00002316">
              <w:t xml:space="preserve"> no statistically significant differences between tadalafil and sildenafil with respect to improvement in FC, clinical worsening and haemodynamic parameters.</w:t>
            </w:r>
          </w:p>
          <w:p w:rsidR="001D0FDA" w:rsidRPr="00EB1471" w:rsidRDefault="001D0FDA" w:rsidP="00480FDF">
            <w:pPr>
              <w:pStyle w:val="Tabletext"/>
              <w:numPr>
                <w:ilvl w:val="0"/>
                <w:numId w:val="20"/>
              </w:numPr>
              <w:ind w:left="227" w:hanging="227"/>
              <w:rPr>
                <w:szCs w:val="18"/>
              </w:rPr>
            </w:pPr>
            <w:r w:rsidRPr="00002316">
              <w:t>Tadalafil was non-inferior to sildenafil in terms of safety</w:t>
            </w:r>
            <w:r>
              <w:rPr>
                <w:szCs w:val="18"/>
              </w:rPr>
              <w:t xml:space="preserve"> </w:t>
            </w:r>
          </w:p>
        </w:tc>
      </w:tr>
      <w:tr w:rsidR="001D0FDA" w:rsidRPr="00EB1471" w:rsidTr="00A36AE2">
        <w:trPr>
          <w:cantSplit w:val="0"/>
        </w:trPr>
        <w:tc>
          <w:tcPr>
            <w:tcW w:w="1050" w:type="dxa"/>
            <w:shd w:val="clear" w:color="auto" w:fill="000000" w:themeFill="text1"/>
          </w:tcPr>
          <w:p w:rsidR="001D0FDA" w:rsidRPr="00EB1471" w:rsidRDefault="001D0FDA" w:rsidP="001D0FDA">
            <w:pPr>
              <w:pStyle w:val="Tabletext"/>
              <w:rPr>
                <w:szCs w:val="18"/>
              </w:rPr>
            </w:pPr>
            <w:r>
              <w:rPr>
                <w:b/>
                <w:szCs w:val="18"/>
              </w:rPr>
              <w:t>Iloprost</w:t>
            </w:r>
          </w:p>
        </w:tc>
        <w:tc>
          <w:tcPr>
            <w:tcW w:w="1275" w:type="dxa"/>
            <w:gridSpan w:val="2"/>
            <w:shd w:val="clear" w:color="auto" w:fill="000000" w:themeFill="text1"/>
          </w:tcPr>
          <w:p w:rsidR="001D0FDA" w:rsidRPr="00C04CBB" w:rsidRDefault="001D0FDA" w:rsidP="001D0FDA">
            <w:pPr>
              <w:pStyle w:val="Tabletext"/>
              <w:rPr>
                <w:b/>
                <w:szCs w:val="18"/>
              </w:rPr>
            </w:pPr>
          </w:p>
        </w:tc>
        <w:tc>
          <w:tcPr>
            <w:tcW w:w="2694" w:type="dxa"/>
            <w:gridSpan w:val="2"/>
            <w:shd w:val="clear" w:color="auto" w:fill="000000" w:themeFill="text1"/>
          </w:tcPr>
          <w:p w:rsidR="001D0FDA" w:rsidRPr="00C04CBB" w:rsidRDefault="001D0FDA" w:rsidP="001D0FDA">
            <w:pPr>
              <w:pStyle w:val="Tabletext"/>
              <w:rPr>
                <w:b/>
                <w:szCs w:val="18"/>
              </w:rPr>
            </w:pPr>
          </w:p>
        </w:tc>
        <w:tc>
          <w:tcPr>
            <w:tcW w:w="1417" w:type="dxa"/>
            <w:gridSpan w:val="2"/>
            <w:shd w:val="clear" w:color="auto" w:fill="000000" w:themeFill="text1"/>
          </w:tcPr>
          <w:p w:rsidR="001D0FDA" w:rsidRPr="00EB1471" w:rsidRDefault="001D0FDA" w:rsidP="001D0FDA">
            <w:pPr>
              <w:pStyle w:val="Tabletext"/>
              <w:rPr>
                <w:szCs w:val="18"/>
              </w:rPr>
            </w:pPr>
          </w:p>
        </w:tc>
        <w:tc>
          <w:tcPr>
            <w:tcW w:w="3198" w:type="dxa"/>
            <w:gridSpan w:val="2"/>
            <w:shd w:val="clear" w:color="auto" w:fill="000000" w:themeFill="text1"/>
          </w:tcPr>
          <w:p w:rsidR="001D0FDA" w:rsidRPr="00EB1471" w:rsidRDefault="001D0FDA" w:rsidP="001D0FDA">
            <w:pPr>
              <w:pStyle w:val="Tabletext"/>
              <w:rPr>
                <w:szCs w:val="18"/>
              </w:rPr>
            </w:pPr>
          </w:p>
        </w:tc>
      </w:tr>
      <w:tr w:rsidR="001D0FDA" w:rsidRPr="00EB1471" w:rsidTr="00A36AE2">
        <w:trPr>
          <w:cantSplit w:val="0"/>
        </w:trPr>
        <w:tc>
          <w:tcPr>
            <w:tcW w:w="1050" w:type="dxa"/>
            <w:tcBorders>
              <w:bottom w:val="single" w:sz="4" w:space="0" w:color="auto"/>
            </w:tcBorders>
          </w:tcPr>
          <w:p w:rsidR="001D0FDA" w:rsidRPr="00BD4A44" w:rsidRDefault="001D0FDA" w:rsidP="001D0FDA">
            <w:pPr>
              <w:pStyle w:val="Tabletext"/>
              <w:rPr>
                <w:snapToGrid w:val="0"/>
                <w:szCs w:val="18"/>
              </w:rPr>
            </w:pPr>
            <w:r w:rsidRPr="00EB1471">
              <w:rPr>
                <w:szCs w:val="18"/>
              </w:rPr>
              <w:t>November 2004</w:t>
            </w:r>
          </w:p>
        </w:tc>
        <w:tc>
          <w:tcPr>
            <w:tcW w:w="1275" w:type="dxa"/>
            <w:gridSpan w:val="2"/>
            <w:tcBorders>
              <w:bottom w:val="single" w:sz="4" w:space="0" w:color="auto"/>
            </w:tcBorders>
          </w:tcPr>
          <w:p w:rsidR="001D0FDA" w:rsidRPr="00BD4A44" w:rsidRDefault="001D0FDA" w:rsidP="001D0FDA">
            <w:pPr>
              <w:pStyle w:val="Tabletext"/>
              <w:rPr>
                <w:szCs w:val="18"/>
                <w:highlight w:val="green"/>
              </w:rPr>
            </w:pPr>
            <w:r>
              <w:t xml:space="preserve">WHO FC III/IV IPAH, </w:t>
            </w:r>
            <w:r w:rsidRPr="00987BC5">
              <w:t>PAH-CTD</w:t>
            </w:r>
            <w:r>
              <w:t xml:space="preserve"> and drug-induced PAH</w:t>
            </w:r>
          </w:p>
        </w:tc>
        <w:tc>
          <w:tcPr>
            <w:tcW w:w="2694" w:type="dxa"/>
            <w:gridSpan w:val="2"/>
            <w:tcBorders>
              <w:bottom w:val="single" w:sz="4" w:space="0" w:color="auto"/>
            </w:tcBorders>
          </w:tcPr>
          <w:p w:rsidR="001D0FDA" w:rsidRPr="00DE4B2C" w:rsidRDefault="00A17B9D" w:rsidP="001D0FDA">
            <w:pPr>
              <w:pStyle w:val="Tabletext"/>
              <w:rPr>
                <w:sz w:val="16"/>
                <w:szCs w:val="16"/>
                <w:highlight w:val="black"/>
              </w:rPr>
            </w:pPr>
            <w:r w:rsidRPr="00DE4B2C">
              <w:rPr>
                <w:noProof/>
                <w:color w:val="000000"/>
                <w:sz w:val="16"/>
                <w:szCs w:val="16"/>
                <w:highlight w:val="black"/>
              </w:rPr>
              <w:t xml:space="preserve">''''''''''''''''' ''''''''''''''''''''''''''' ''''' '''' '''''''''' ''''''''''''''''''''''' '''''''''''''''' ''''''''' '''''''''''''''''''' </w:t>
            </w:r>
          </w:p>
          <w:p w:rsidR="001D0FDA" w:rsidRPr="00DE4B2C" w:rsidRDefault="00A17B9D" w:rsidP="00A17B9D">
            <w:pPr>
              <w:pStyle w:val="Tabletext"/>
              <w:ind w:left="425" w:hanging="283"/>
              <w:rPr>
                <w:sz w:val="16"/>
                <w:szCs w:val="16"/>
                <w:highlight w:val="black"/>
              </w:rPr>
            </w:pP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p w:rsidR="001D0FDA" w:rsidRPr="00DE4B2C" w:rsidRDefault="00A17B9D" w:rsidP="001D0FDA">
            <w:pPr>
              <w:pStyle w:val="Tabletext"/>
              <w:rPr>
                <w:sz w:val="16"/>
                <w:szCs w:val="16"/>
                <w:highlight w:val="black"/>
              </w:rPr>
            </w:pPr>
            <w:r w:rsidRPr="00DE4B2C">
              <w:rPr>
                <w:noProof/>
                <w:color w:val="000000"/>
                <w:sz w:val="16"/>
                <w:szCs w:val="16"/>
                <w:highlight w:val="black"/>
              </w:rPr>
              <w:t>''''''''' '''' ''''''''''''' '''''''''''''''''''''''''' ''''''''''''''''''''' '''''''''' '''''''''''''''''''</w:t>
            </w:r>
          </w:p>
          <w:p w:rsidR="001D0FDA" w:rsidRPr="00DE4B2C" w:rsidRDefault="00A17B9D" w:rsidP="00A17B9D">
            <w:pPr>
              <w:pStyle w:val="Tabletext"/>
              <w:ind w:left="425" w:hanging="283"/>
              <w:rPr>
                <w:sz w:val="16"/>
                <w:szCs w:val="16"/>
                <w:highlight w:val="black"/>
              </w:rPr>
            </w:pP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p w:rsidR="001D0FDA" w:rsidRPr="00DE4B2C" w:rsidRDefault="00A17B9D" w:rsidP="00A17B9D">
            <w:pPr>
              <w:pStyle w:val="Tabletext"/>
              <w:ind w:left="425" w:hanging="283"/>
              <w:rPr>
                <w:sz w:val="16"/>
                <w:szCs w:val="16"/>
                <w:highlight w:val="black"/>
              </w:rPr>
            </w:pP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p w:rsidR="001D0FDA" w:rsidRPr="00A17B9D" w:rsidRDefault="00A17B9D" w:rsidP="001D0FDA">
            <w:pPr>
              <w:pStyle w:val="Tabletext"/>
              <w:rPr>
                <w:szCs w:val="18"/>
                <w:highlight w:val="black"/>
              </w:rPr>
            </w:pPr>
            <w:r w:rsidRPr="00DE4B2C">
              <w:rPr>
                <w:noProof/>
                <w:color w:val="000000"/>
                <w:sz w:val="16"/>
                <w:szCs w:val="16"/>
                <w:highlight w:val="black"/>
              </w:rPr>
              <w:t>'''''''' ''''''''''''''''' '''''' '''''''' ''''''''''''''''''' '''''''''''''''''''''</w:t>
            </w:r>
          </w:p>
        </w:tc>
        <w:tc>
          <w:tcPr>
            <w:tcW w:w="1417" w:type="dxa"/>
            <w:gridSpan w:val="2"/>
            <w:tcBorders>
              <w:bottom w:val="single" w:sz="4" w:space="0" w:color="auto"/>
            </w:tcBorders>
          </w:tcPr>
          <w:p w:rsidR="001D0FDA" w:rsidRPr="00DE4B2C" w:rsidRDefault="00A17B9D" w:rsidP="001D0FDA">
            <w:pPr>
              <w:pStyle w:val="Tabletext"/>
              <w:rPr>
                <w:sz w:val="16"/>
                <w:szCs w:val="16"/>
                <w:highlight w:val="black"/>
              </w:rPr>
            </w:pPr>
            <w:r w:rsidRPr="00DE4B2C">
              <w:rPr>
                <w:noProof/>
                <w:color w:val="000000"/>
                <w:sz w:val="16"/>
                <w:szCs w:val="16"/>
                <w:highlight w:val="black"/>
              </w:rPr>
              <w:t>'''''''''''''''''' '''''' ''''''''''''''''''''''''</w:t>
            </w:r>
          </w:p>
        </w:tc>
        <w:tc>
          <w:tcPr>
            <w:tcW w:w="3198" w:type="dxa"/>
            <w:gridSpan w:val="2"/>
            <w:tcBorders>
              <w:bottom w:val="single" w:sz="4" w:space="0" w:color="auto"/>
            </w:tcBorders>
          </w:tcPr>
          <w:p w:rsidR="001D0FDA" w:rsidRPr="00DE4B2C" w:rsidRDefault="00A17B9D" w:rsidP="00A17B9D">
            <w:pPr>
              <w:pStyle w:val="Tabletext"/>
              <w:ind w:left="227" w:hanging="227"/>
              <w:rPr>
                <w:sz w:val="16"/>
                <w:szCs w:val="16"/>
                <w:highlight w:val="black"/>
              </w:rPr>
            </w:pP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p w:rsidR="001D0FDA" w:rsidRPr="00A17B9D" w:rsidRDefault="00A17B9D" w:rsidP="00A17B9D">
            <w:pPr>
              <w:pStyle w:val="Tabletext"/>
              <w:ind w:left="227" w:hanging="227"/>
              <w:rPr>
                <w:szCs w:val="18"/>
                <w:highlight w:val="black"/>
              </w:rPr>
            </w:pP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1D0FDA" w:rsidRPr="00EB1471" w:rsidTr="00A36AE2">
        <w:trPr>
          <w:cantSplit w:val="0"/>
        </w:trPr>
        <w:tc>
          <w:tcPr>
            <w:tcW w:w="2325" w:type="dxa"/>
            <w:gridSpan w:val="3"/>
            <w:shd w:val="clear" w:color="auto" w:fill="000000" w:themeFill="text1"/>
          </w:tcPr>
          <w:p w:rsidR="001D0FDA" w:rsidRPr="00A107DD" w:rsidRDefault="001D0FDA" w:rsidP="001D0FDA">
            <w:pPr>
              <w:pStyle w:val="Tabletext"/>
              <w:rPr>
                <w:b/>
                <w:szCs w:val="18"/>
              </w:rPr>
            </w:pPr>
            <w:r w:rsidRPr="00A107DD">
              <w:rPr>
                <w:b/>
                <w:szCs w:val="18"/>
              </w:rPr>
              <w:t>Epoprostenol</w:t>
            </w:r>
          </w:p>
        </w:tc>
        <w:tc>
          <w:tcPr>
            <w:tcW w:w="2694" w:type="dxa"/>
            <w:gridSpan w:val="2"/>
            <w:shd w:val="clear" w:color="auto" w:fill="000000" w:themeFill="text1"/>
          </w:tcPr>
          <w:p w:rsidR="001D0FDA" w:rsidRPr="00A107DD" w:rsidRDefault="001D0FDA" w:rsidP="001D0FDA">
            <w:pPr>
              <w:pStyle w:val="Tabletext"/>
              <w:rPr>
                <w:b/>
                <w:szCs w:val="18"/>
              </w:rPr>
            </w:pPr>
          </w:p>
        </w:tc>
        <w:tc>
          <w:tcPr>
            <w:tcW w:w="1417" w:type="dxa"/>
            <w:gridSpan w:val="2"/>
            <w:shd w:val="clear" w:color="auto" w:fill="000000" w:themeFill="text1"/>
          </w:tcPr>
          <w:p w:rsidR="001D0FDA" w:rsidRPr="00EB1471" w:rsidRDefault="001D0FDA" w:rsidP="001D0FDA">
            <w:pPr>
              <w:pStyle w:val="Tabletext"/>
              <w:rPr>
                <w:szCs w:val="18"/>
              </w:rPr>
            </w:pPr>
          </w:p>
        </w:tc>
        <w:tc>
          <w:tcPr>
            <w:tcW w:w="3198" w:type="dxa"/>
            <w:gridSpan w:val="2"/>
            <w:shd w:val="clear" w:color="auto" w:fill="000000" w:themeFill="text1"/>
          </w:tcPr>
          <w:p w:rsidR="001D0FDA" w:rsidRPr="00EB1471" w:rsidRDefault="001D0FDA" w:rsidP="001D0FDA">
            <w:pPr>
              <w:pStyle w:val="Tabletext"/>
              <w:rPr>
                <w:szCs w:val="18"/>
              </w:rPr>
            </w:pPr>
          </w:p>
        </w:tc>
      </w:tr>
      <w:tr w:rsidR="001D0FDA" w:rsidRPr="00EB1471" w:rsidTr="00A36AE2">
        <w:trPr>
          <w:cantSplit w:val="0"/>
        </w:trPr>
        <w:tc>
          <w:tcPr>
            <w:tcW w:w="1050" w:type="dxa"/>
          </w:tcPr>
          <w:p w:rsidR="001D0FDA" w:rsidRPr="00EB1471" w:rsidRDefault="001D0FDA" w:rsidP="001D0FDA">
            <w:pPr>
              <w:pStyle w:val="Tabletext"/>
              <w:ind w:right="-57"/>
              <w:rPr>
                <w:szCs w:val="18"/>
              </w:rPr>
            </w:pPr>
            <w:r w:rsidRPr="00EB1471">
              <w:rPr>
                <w:szCs w:val="18"/>
              </w:rPr>
              <w:t>March 2006</w:t>
            </w:r>
          </w:p>
        </w:tc>
        <w:tc>
          <w:tcPr>
            <w:tcW w:w="1275" w:type="dxa"/>
            <w:gridSpan w:val="2"/>
          </w:tcPr>
          <w:p w:rsidR="001D0FDA" w:rsidRPr="00A107DD" w:rsidRDefault="001D0FDA" w:rsidP="001D0FDA">
            <w:pPr>
              <w:pStyle w:val="Tabletext"/>
              <w:rPr>
                <w:szCs w:val="18"/>
              </w:rPr>
            </w:pPr>
            <w:r>
              <w:t>WHO FC III/IV IPAH</w:t>
            </w:r>
          </w:p>
        </w:tc>
        <w:tc>
          <w:tcPr>
            <w:tcW w:w="2694" w:type="dxa"/>
            <w:gridSpan w:val="2"/>
          </w:tcPr>
          <w:p w:rsidR="001D0FDA" w:rsidRPr="00A107DD" w:rsidRDefault="001D0FDA" w:rsidP="001D0FDA">
            <w:pPr>
              <w:pStyle w:val="Tabletext"/>
              <w:rPr>
                <w:szCs w:val="18"/>
              </w:rPr>
            </w:pPr>
            <w:r w:rsidRPr="00A107DD">
              <w:rPr>
                <w:szCs w:val="18"/>
              </w:rPr>
              <w:t xml:space="preserve">Indirect comparison of 2 RCTs comparing epoprostenol with conventional therapy: </w:t>
            </w:r>
          </w:p>
          <w:p w:rsidR="001D0FDA" w:rsidRPr="00A107DD" w:rsidRDefault="001D0FDA" w:rsidP="001D0FDA">
            <w:pPr>
              <w:pStyle w:val="Tabletext"/>
              <w:numPr>
                <w:ilvl w:val="0"/>
                <w:numId w:val="12"/>
              </w:numPr>
              <w:ind w:left="425" w:hanging="283"/>
              <w:rPr>
                <w:szCs w:val="18"/>
              </w:rPr>
            </w:pPr>
            <w:r w:rsidRPr="00A107DD">
              <w:rPr>
                <w:szCs w:val="18"/>
              </w:rPr>
              <w:t xml:space="preserve">BW-46 </w:t>
            </w:r>
            <w:r w:rsidR="001D34EE" w:rsidRPr="001D34EE">
              <w:rPr>
                <w:noProof/>
                <w:szCs w:val="18"/>
                <w:vertAlign w:val="superscript"/>
              </w:rPr>
              <w:t>19</w:t>
            </w:r>
          </w:p>
          <w:p w:rsidR="001D0FDA" w:rsidRPr="00A107DD" w:rsidRDefault="001D0FDA" w:rsidP="001D0FDA">
            <w:pPr>
              <w:pStyle w:val="Tabletext"/>
              <w:numPr>
                <w:ilvl w:val="0"/>
                <w:numId w:val="12"/>
              </w:numPr>
              <w:ind w:left="425" w:hanging="283"/>
              <w:rPr>
                <w:szCs w:val="18"/>
              </w:rPr>
            </w:pPr>
            <w:r w:rsidRPr="00A107DD">
              <w:rPr>
                <w:szCs w:val="18"/>
              </w:rPr>
              <w:t xml:space="preserve">BW-35/36 </w:t>
            </w:r>
            <w:r w:rsidR="001D34EE" w:rsidRPr="001D34EE">
              <w:rPr>
                <w:noProof/>
                <w:szCs w:val="18"/>
                <w:vertAlign w:val="superscript"/>
              </w:rPr>
              <w:t>20</w:t>
            </w:r>
          </w:p>
          <w:p w:rsidR="001D0FDA" w:rsidRPr="00A107DD" w:rsidRDefault="001D0FDA" w:rsidP="001D0FDA">
            <w:pPr>
              <w:pStyle w:val="Tabletext"/>
              <w:rPr>
                <w:szCs w:val="18"/>
              </w:rPr>
            </w:pPr>
            <w:r w:rsidRPr="00A107DD">
              <w:rPr>
                <w:szCs w:val="18"/>
              </w:rPr>
              <w:t>with 2 RCTs comparing bosentan with placebo:</w:t>
            </w:r>
          </w:p>
          <w:p w:rsidR="001D0FDA" w:rsidRPr="00A107DD" w:rsidRDefault="001D0FDA" w:rsidP="001D0FDA">
            <w:pPr>
              <w:pStyle w:val="Tabletext"/>
              <w:numPr>
                <w:ilvl w:val="0"/>
                <w:numId w:val="12"/>
              </w:numPr>
              <w:ind w:left="425" w:hanging="283"/>
              <w:rPr>
                <w:szCs w:val="18"/>
              </w:rPr>
            </w:pPr>
            <w:r w:rsidRPr="00A107DD">
              <w:rPr>
                <w:szCs w:val="18"/>
              </w:rPr>
              <w:t xml:space="preserve">BREATHE-1 </w:t>
            </w:r>
            <w:r w:rsidR="001D34EE" w:rsidRPr="001D34EE">
              <w:rPr>
                <w:noProof/>
                <w:szCs w:val="18"/>
                <w:vertAlign w:val="superscript"/>
              </w:rPr>
              <w:t>2</w:t>
            </w:r>
          </w:p>
          <w:p w:rsidR="001D0FDA" w:rsidRDefault="001D0FDA" w:rsidP="001D0FDA">
            <w:pPr>
              <w:pStyle w:val="Tabletext"/>
              <w:numPr>
                <w:ilvl w:val="0"/>
                <w:numId w:val="12"/>
              </w:numPr>
              <w:ind w:left="425" w:hanging="283"/>
              <w:rPr>
                <w:szCs w:val="18"/>
              </w:rPr>
            </w:pPr>
            <w:r w:rsidRPr="00EB1471">
              <w:rPr>
                <w:szCs w:val="18"/>
              </w:rPr>
              <w:t xml:space="preserve">AC-052-351 </w:t>
            </w:r>
            <w:r w:rsidR="001D34EE" w:rsidRPr="001D34EE">
              <w:rPr>
                <w:noProof/>
                <w:szCs w:val="18"/>
                <w:vertAlign w:val="superscript"/>
              </w:rPr>
              <w:t>3</w:t>
            </w:r>
          </w:p>
          <w:p w:rsidR="001D0FDA" w:rsidRPr="00EB1471" w:rsidRDefault="001D0FDA" w:rsidP="001D0FDA">
            <w:pPr>
              <w:pStyle w:val="Tabletext"/>
              <w:rPr>
                <w:szCs w:val="18"/>
              </w:rPr>
            </w:pPr>
            <w:r>
              <w:rPr>
                <w:szCs w:val="18"/>
              </w:rPr>
              <w:t>via placebo/conventional therapy as the common reference</w:t>
            </w:r>
          </w:p>
        </w:tc>
        <w:tc>
          <w:tcPr>
            <w:tcW w:w="1417" w:type="dxa"/>
            <w:gridSpan w:val="2"/>
          </w:tcPr>
          <w:p w:rsidR="001D0FDA" w:rsidRPr="00EB1471" w:rsidRDefault="001D0FDA" w:rsidP="001D0FDA">
            <w:pPr>
              <w:pStyle w:val="Tabletext"/>
              <w:rPr>
                <w:szCs w:val="18"/>
              </w:rPr>
            </w:pPr>
            <w:r>
              <w:rPr>
                <w:szCs w:val="18"/>
              </w:rPr>
              <w:t>Epoprostenol vs bosentan</w:t>
            </w:r>
          </w:p>
        </w:tc>
        <w:tc>
          <w:tcPr>
            <w:tcW w:w="3198" w:type="dxa"/>
            <w:gridSpan w:val="2"/>
          </w:tcPr>
          <w:p w:rsidR="001D0FDA" w:rsidRPr="00002316" w:rsidRDefault="001D0FDA" w:rsidP="00480FDF">
            <w:pPr>
              <w:pStyle w:val="Tabletext"/>
              <w:numPr>
                <w:ilvl w:val="0"/>
                <w:numId w:val="20"/>
              </w:numPr>
              <w:ind w:left="227" w:hanging="227"/>
            </w:pPr>
            <w:r w:rsidRPr="00002316">
              <w:t>Epoprostenol was no worse than bosentan in terms of improvement in 6MWD.</w:t>
            </w:r>
          </w:p>
          <w:p w:rsidR="001D0FDA" w:rsidRPr="00EB1471" w:rsidRDefault="001D0FDA" w:rsidP="00480FDF">
            <w:pPr>
              <w:pStyle w:val="Tabletext"/>
              <w:numPr>
                <w:ilvl w:val="0"/>
                <w:numId w:val="20"/>
              </w:numPr>
              <w:ind w:left="227" w:hanging="227"/>
              <w:rPr>
                <w:szCs w:val="18"/>
              </w:rPr>
            </w:pPr>
            <w:r w:rsidRPr="00002316">
              <w:t>Epoprostenol was non-inferior to bosentan in terms of safety.</w:t>
            </w:r>
          </w:p>
        </w:tc>
      </w:tr>
      <w:tr w:rsidR="001D0FDA" w:rsidRPr="00EB1471" w:rsidTr="00A36AE2">
        <w:trPr>
          <w:cantSplit w:val="0"/>
        </w:trPr>
        <w:tc>
          <w:tcPr>
            <w:tcW w:w="1050" w:type="dxa"/>
            <w:tcBorders>
              <w:bottom w:val="single" w:sz="4" w:space="0" w:color="auto"/>
            </w:tcBorders>
          </w:tcPr>
          <w:p w:rsidR="001D0FDA" w:rsidRPr="00EB1471" w:rsidRDefault="001D0FDA" w:rsidP="001D0FDA">
            <w:pPr>
              <w:pStyle w:val="Tabletext"/>
              <w:rPr>
                <w:szCs w:val="18"/>
              </w:rPr>
            </w:pPr>
            <w:r w:rsidRPr="00EB1471">
              <w:rPr>
                <w:szCs w:val="18"/>
              </w:rPr>
              <w:t>November 2011</w:t>
            </w:r>
          </w:p>
        </w:tc>
        <w:tc>
          <w:tcPr>
            <w:tcW w:w="1275" w:type="dxa"/>
            <w:gridSpan w:val="2"/>
            <w:tcBorders>
              <w:bottom w:val="single" w:sz="4" w:space="0" w:color="auto"/>
            </w:tcBorders>
          </w:tcPr>
          <w:p w:rsidR="001D0FDA" w:rsidRPr="00F53FAD" w:rsidRDefault="001D0FDA" w:rsidP="001D0FDA">
            <w:pPr>
              <w:pStyle w:val="Tabletext"/>
              <w:rPr>
                <w:szCs w:val="18"/>
              </w:rPr>
            </w:pPr>
            <w:r w:rsidRPr="00987BC5">
              <w:t xml:space="preserve">WHO FC III </w:t>
            </w:r>
            <w:r>
              <w:t xml:space="preserve">(as secondary therapy) and FC IV (as first-line therapy) </w:t>
            </w:r>
            <w:r w:rsidRPr="00987BC5">
              <w:t>PAH</w:t>
            </w:r>
            <w:r>
              <w:t>-CTD</w:t>
            </w:r>
          </w:p>
        </w:tc>
        <w:tc>
          <w:tcPr>
            <w:tcW w:w="2694" w:type="dxa"/>
            <w:gridSpan w:val="2"/>
            <w:tcBorders>
              <w:bottom w:val="single" w:sz="4" w:space="0" w:color="auto"/>
            </w:tcBorders>
          </w:tcPr>
          <w:p w:rsidR="001D0FDA" w:rsidRPr="00F53FAD" w:rsidRDefault="001D0FDA" w:rsidP="001D0FDA">
            <w:pPr>
              <w:pStyle w:val="Tabletext"/>
              <w:rPr>
                <w:szCs w:val="18"/>
              </w:rPr>
            </w:pPr>
            <w:r w:rsidRPr="00F53FAD">
              <w:rPr>
                <w:szCs w:val="18"/>
              </w:rPr>
              <w:t xml:space="preserve">Indirect comparison of 1 RCT comparing epoprostenol with conventional therapy: </w:t>
            </w:r>
          </w:p>
          <w:p w:rsidR="001D0FDA" w:rsidRPr="00F53FAD" w:rsidRDefault="001D0FDA" w:rsidP="001D0FDA">
            <w:pPr>
              <w:pStyle w:val="Tabletext"/>
              <w:numPr>
                <w:ilvl w:val="0"/>
                <w:numId w:val="12"/>
              </w:numPr>
              <w:ind w:left="425" w:hanging="283"/>
              <w:rPr>
                <w:szCs w:val="18"/>
              </w:rPr>
            </w:pPr>
            <w:r w:rsidRPr="00F53FAD">
              <w:rPr>
                <w:szCs w:val="18"/>
              </w:rPr>
              <w:t xml:space="preserve">VA1A4001 </w:t>
            </w:r>
            <w:r w:rsidR="001D34EE" w:rsidRPr="001D34EE">
              <w:rPr>
                <w:noProof/>
                <w:szCs w:val="18"/>
                <w:vertAlign w:val="superscript"/>
              </w:rPr>
              <w:t>21</w:t>
            </w:r>
          </w:p>
          <w:p w:rsidR="001D0FDA" w:rsidRPr="00F53FAD" w:rsidRDefault="001D0FDA" w:rsidP="001D0FDA">
            <w:pPr>
              <w:pStyle w:val="Tabletext"/>
              <w:rPr>
                <w:szCs w:val="18"/>
              </w:rPr>
            </w:pPr>
            <w:r w:rsidRPr="00F53FAD">
              <w:rPr>
                <w:szCs w:val="18"/>
              </w:rPr>
              <w:t xml:space="preserve">with 1 RCT comparing </w:t>
            </w:r>
            <w:r>
              <w:rPr>
                <w:szCs w:val="18"/>
              </w:rPr>
              <w:t>iloprost</w:t>
            </w:r>
            <w:r w:rsidRPr="00F53FAD">
              <w:rPr>
                <w:szCs w:val="18"/>
              </w:rPr>
              <w:t xml:space="preserve"> with placebo:</w:t>
            </w:r>
          </w:p>
          <w:p w:rsidR="001D0FDA" w:rsidRPr="00F53FAD" w:rsidRDefault="001D0FDA" w:rsidP="001D0FDA">
            <w:pPr>
              <w:pStyle w:val="Tabletext"/>
              <w:numPr>
                <w:ilvl w:val="0"/>
                <w:numId w:val="12"/>
              </w:numPr>
              <w:ind w:left="425" w:hanging="283"/>
              <w:rPr>
                <w:szCs w:val="18"/>
              </w:rPr>
            </w:pPr>
            <w:r w:rsidRPr="00F53FAD">
              <w:rPr>
                <w:szCs w:val="18"/>
              </w:rPr>
              <w:t xml:space="preserve">AIR </w:t>
            </w:r>
            <w:r w:rsidR="001D34EE" w:rsidRPr="001D34EE">
              <w:rPr>
                <w:noProof/>
                <w:szCs w:val="18"/>
                <w:vertAlign w:val="superscript"/>
              </w:rPr>
              <w:t>18</w:t>
            </w:r>
            <w:r w:rsidRPr="00F53FAD">
              <w:rPr>
                <w:szCs w:val="18"/>
              </w:rPr>
              <w:t xml:space="preserve"> (overall population (</w:t>
            </w:r>
            <w:r>
              <w:rPr>
                <w:szCs w:val="18"/>
              </w:rPr>
              <w:t>ie</w:t>
            </w:r>
            <w:r w:rsidRPr="00F53FAD">
              <w:rPr>
                <w:szCs w:val="18"/>
              </w:rPr>
              <w:t xml:space="preserve"> regardless of PAH aetiology) and secondary PAH subgroup)</w:t>
            </w:r>
          </w:p>
          <w:p w:rsidR="001D0FDA" w:rsidRDefault="001D0FDA" w:rsidP="001D0FDA">
            <w:pPr>
              <w:pStyle w:val="Tabletext"/>
              <w:rPr>
                <w:szCs w:val="18"/>
              </w:rPr>
            </w:pPr>
            <w:r>
              <w:rPr>
                <w:szCs w:val="18"/>
              </w:rPr>
              <w:t xml:space="preserve">via placebo/conventional </w:t>
            </w:r>
            <w:r>
              <w:rPr>
                <w:szCs w:val="18"/>
              </w:rPr>
              <w:lastRenderedPageBreak/>
              <w:t>therapy as the common reference</w:t>
            </w:r>
          </w:p>
          <w:p w:rsidR="00B14A50" w:rsidRPr="00EB1471" w:rsidRDefault="00B14A50" w:rsidP="001D0FDA">
            <w:pPr>
              <w:pStyle w:val="Tabletext"/>
              <w:rPr>
                <w:szCs w:val="18"/>
              </w:rPr>
            </w:pPr>
          </w:p>
          <w:p w:rsidR="001D0FDA" w:rsidRPr="00EB1471" w:rsidRDefault="001D0FDA" w:rsidP="001D0FDA">
            <w:pPr>
              <w:pStyle w:val="Tabletext"/>
              <w:rPr>
                <w:szCs w:val="18"/>
              </w:rPr>
            </w:pPr>
            <w:r w:rsidRPr="00EB1471">
              <w:rPr>
                <w:szCs w:val="18"/>
              </w:rPr>
              <w:t xml:space="preserve">Indirect comparison of 1 RCT comparing epoprostenol with conventional therapy: </w:t>
            </w:r>
          </w:p>
          <w:p w:rsidR="001D0FDA" w:rsidRPr="00EB1471" w:rsidRDefault="001D0FDA" w:rsidP="001D0FDA">
            <w:pPr>
              <w:pStyle w:val="Tabletext"/>
              <w:numPr>
                <w:ilvl w:val="0"/>
                <w:numId w:val="12"/>
              </w:numPr>
              <w:ind w:left="425" w:hanging="283"/>
              <w:rPr>
                <w:szCs w:val="18"/>
              </w:rPr>
            </w:pPr>
            <w:r w:rsidRPr="00EB1471">
              <w:rPr>
                <w:szCs w:val="18"/>
              </w:rPr>
              <w:t xml:space="preserve">VA1A4001 </w:t>
            </w:r>
            <w:r w:rsidR="001D34EE" w:rsidRPr="001D34EE">
              <w:rPr>
                <w:noProof/>
                <w:szCs w:val="18"/>
                <w:vertAlign w:val="superscript"/>
              </w:rPr>
              <w:t>21</w:t>
            </w:r>
          </w:p>
          <w:p w:rsidR="001D0FDA" w:rsidRPr="00EB1471" w:rsidRDefault="001D0FDA" w:rsidP="001D0FDA">
            <w:pPr>
              <w:pStyle w:val="Tabletext"/>
              <w:rPr>
                <w:szCs w:val="18"/>
              </w:rPr>
            </w:pPr>
            <w:r w:rsidRPr="00EB1471">
              <w:rPr>
                <w:szCs w:val="18"/>
              </w:rPr>
              <w:t>with 2 RCTs comparing bosentan with placebo:</w:t>
            </w:r>
          </w:p>
          <w:p w:rsidR="001D0FDA" w:rsidRPr="00EB1471" w:rsidRDefault="001D0FDA" w:rsidP="001D0FDA">
            <w:pPr>
              <w:pStyle w:val="Tabletext"/>
              <w:numPr>
                <w:ilvl w:val="0"/>
                <w:numId w:val="12"/>
              </w:numPr>
              <w:ind w:left="425" w:hanging="283"/>
              <w:rPr>
                <w:szCs w:val="18"/>
              </w:rPr>
            </w:pPr>
            <w:r w:rsidRPr="00EB1471">
              <w:rPr>
                <w:szCs w:val="18"/>
              </w:rPr>
              <w:t xml:space="preserve">BREATHE-1 </w:t>
            </w:r>
            <w:r w:rsidR="001D34EE" w:rsidRPr="001D34EE">
              <w:rPr>
                <w:noProof/>
                <w:szCs w:val="18"/>
                <w:vertAlign w:val="superscript"/>
              </w:rPr>
              <w:t>22</w:t>
            </w:r>
            <w:r w:rsidRPr="00EB1471">
              <w:rPr>
                <w:szCs w:val="18"/>
              </w:rPr>
              <w:t xml:space="preserve"> (PAH-CTD subgroup)</w:t>
            </w:r>
          </w:p>
          <w:p w:rsidR="001D0FDA" w:rsidRDefault="001D0FDA" w:rsidP="001D0FDA">
            <w:pPr>
              <w:pStyle w:val="Tabletext"/>
              <w:numPr>
                <w:ilvl w:val="0"/>
                <w:numId w:val="12"/>
              </w:numPr>
              <w:ind w:left="425" w:hanging="283"/>
              <w:rPr>
                <w:szCs w:val="18"/>
              </w:rPr>
            </w:pPr>
            <w:r w:rsidRPr="00EB1471">
              <w:rPr>
                <w:szCs w:val="18"/>
              </w:rPr>
              <w:t xml:space="preserve">AC-052-351 </w:t>
            </w:r>
            <w:r w:rsidR="001D34EE" w:rsidRPr="001D34EE">
              <w:rPr>
                <w:noProof/>
                <w:szCs w:val="18"/>
                <w:vertAlign w:val="superscript"/>
              </w:rPr>
              <w:t>22</w:t>
            </w:r>
            <w:r w:rsidRPr="00EB1471">
              <w:rPr>
                <w:szCs w:val="18"/>
              </w:rPr>
              <w:t xml:space="preserve"> (PAH-CTD subgroup)</w:t>
            </w:r>
          </w:p>
          <w:p w:rsidR="001D0FDA" w:rsidRPr="00EB1471" w:rsidRDefault="001D0FDA" w:rsidP="001D0FDA">
            <w:pPr>
              <w:pStyle w:val="Tabletext"/>
              <w:rPr>
                <w:szCs w:val="18"/>
              </w:rPr>
            </w:pPr>
            <w:r>
              <w:rPr>
                <w:szCs w:val="18"/>
              </w:rPr>
              <w:t>via placebo/conventional therapy as the common reference</w:t>
            </w:r>
          </w:p>
        </w:tc>
        <w:tc>
          <w:tcPr>
            <w:tcW w:w="1417" w:type="dxa"/>
            <w:gridSpan w:val="2"/>
            <w:tcBorders>
              <w:bottom w:val="single" w:sz="4" w:space="0" w:color="auto"/>
            </w:tcBorders>
          </w:tcPr>
          <w:p w:rsidR="001D0FDA" w:rsidRDefault="001D0FDA" w:rsidP="001D0FDA">
            <w:pPr>
              <w:pStyle w:val="Tabletext"/>
              <w:rPr>
                <w:szCs w:val="18"/>
              </w:rPr>
            </w:pPr>
            <w:r>
              <w:rPr>
                <w:szCs w:val="18"/>
              </w:rPr>
              <w:lastRenderedPageBreak/>
              <w:t xml:space="preserve">Epoprostenol vs iloprost </w:t>
            </w:r>
          </w:p>
          <w:p w:rsidR="00B14A50" w:rsidRDefault="00B14A50" w:rsidP="001D0FDA">
            <w:pPr>
              <w:pStyle w:val="Tabletext"/>
              <w:rPr>
                <w:szCs w:val="18"/>
              </w:rPr>
            </w:pPr>
          </w:p>
          <w:p w:rsidR="001D0FDA" w:rsidRPr="00EB1471" w:rsidRDefault="001D0FDA" w:rsidP="001D0FDA">
            <w:pPr>
              <w:pStyle w:val="Tabletext"/>
              <w:rPr>
                <w:szCs w:val="18"/>
              </w:rPr>
            </w:pPr>
            <w:r>
              <w:rPr>
                <w:szCs w:val="18"/>
              </w:rPr>
              <w:t>Epoprostenol vs bosentan</w:t>
            </w:r>
          </w:p>
        </w:tc>
        <w:tc>
          <w:tcPr>
            <w:tcW w:w="3198" w:type="dxa"/>
            <w:gridSpan w:val="2"/>
            <w:tcBorders>
              <w:bottom w:val="single" w:sz="4" w:space="0" w:color="auto"/>
            </w:tcBorders>
          </w:tcPr>
          <w:p w:rsidR="001D0FDA" w:rsidRPr="00A7316D" w:rsidRDefault="001D0FDA" w:rsidP="00480FDF">
            <w:pPr>
              <w:pStyle w:val="Tabletext"/>
              <w:numPr>
                <w:ilvl w:val="0"/>
                <w:numId w:val="20"/>
              </w:numPr>
              <w:ind w:left="227" w:hanging="227"/>
            </w:pPr>
            <w:r w:rsidRPr="00A7316D">
              <w:t>Epoprostenol was non-in</w:t>
            </w:r>
            <w:r w:rsidR="002D170B">
              <w:t xml:space="preserve">ferior to iloprost in terms of </w:t>
            </w:r>
            <w:r w:rsidRPr="00A7316D">
              <w:t>improvement in 6MWD and haemodynamic parameters</w:t>
            </w:r>
          </w:p>
          <w:p w:rsidR="001D0FDA" w:rsidRPr="00A7316D" w:rsidRDefault="001D0FDA" w:rsidP="00480FDF">
            <w:pPr>
              <w:pStyle w:val="Tabletext"/>
              <w:numPr>
                <w:ilvl w:val="0"/>
                <w:numId w:val="20"/>
              </w:numPr>
              <w:ind w:left="227" w:hanging="227"/>
            </w:pPr>
            <w:r w:rsidRPr="00A7316D">
              <w:t xml:space="preserve">Epoprostenol was non-inferior to </w:t>
            </w:r>
            <w:r w:rsidR="001F432E">
              <w:t>bosentan</w:t>
            </w:r>
            <w:r w:rsidR="001F432E" w:rsidRPr="00A7316D">
              <w:t xml:space="preserve"> </w:t>
            </w:r>
            <w:r w:rsidR="0006512A">
              <w:t xml:space="preserve">in terms of </w:t>
            </w:r>
            <w:r w:rsidRPr="00A7316D">
              <w:t>improvement in 6MWD</w:t>
            </w:r>
          </w:p>
          <w:p w:rsidR="001D0FDA" w:rsidRPr="00EB1471" w:rsidRDefault="001D0FDA" w:rsidP="00480FDF">
            <w:pPr>
              <w:pStyle w:val="Tabletext"/>
              <w:numPr>
                <w:ilvl w:val="0"/>
                <w:numId w:val="20"/>
              </w:numPr>
              <w:ind w:left="227" w:hanging="227"/>
              <w:rPr>
                <w:szCs w:val="18"/>
              </w:rPr>
            </w:pPr>
            <w:r w:rsidRPr="00A7316D">
              <w:t xml:space="preserve">The comparative safety of epoprostenol with iloprost and bosentan was difficult to assess in the absence of head-to head trial data. However, safety profiles of these PAH medicines were well recognised and the </w:t>
            </w:r>
            <w:r w:rsidRPr="00A7316D">
              <w:lastRenderedPageBreak/>
              <w:t>safety of epoprostenol was comparable across all subgroups of PAH patients.</w:t>
            </w:r>
          </w:p>
        </w:tc>
      </w:tr>
      <w:tr w:rsidR="001D0FDA" w:rsidRPr="00EB1471" w:rsidTr="00A36AE2">
        <w:trPr>
          <w:cantSplit w:val="0"/>
        </w:trPr>
        <w:tc>
          <w:tcPr>
            <w:tcW w:w="1050" w:type="dxa"/>
            <w:shd w:val="clear" w:color="auto" w:fill="000000" w:themeFill="text1"/>
          </w:tcPr>
          <w:p w:rsidR="001D0FDA" w:rsidRPr="00A107DD" w:rsidRDefault="001D0FDA" w:rsidP="001D0FDA">
            <w:pPr>
              <w:pStyle w:val="Tabletext"/>
              <w:ind w:right="-57"/>
              <w:rPr>
                <w:b/>
                <w:szCs w:val="18"/>
              </w:rPr>
            </w:pPr>
            <w:r>
              <w:rPr>
                <w:b/>
                <w:szCs w:val="18"/>
              </w:rPr>
              <w:lastRenderedPageBreak/>
              <w:t>Riociguat</w:t>
            </w:r>
          </w:p>
        </w:tc>
        <w:tc>
          <w:tcPr>
            <w:tcW w:w="1275" w:type="dxa"/>
            <w:gridSpan w:val="2"/>
            <w:shd w:val="clear" w:color="auto" w:fill="000000" w:themeFill="text1"/>
          </w:tcPr>
          <w:p w:rsidR="001D0FDA" w:rsidRPr="00A107DD" w:rsidRDefault="001D0FDA" w:rsidP="001D0FDA">
            <w:pPr>
              <w:pStyle w:val="Tabletext"/>
              <w:rPr>
                <w:b/>
                <w:szCs w:val="18"/>
              </w:rPr>
            </w:pPr>
          </w:p>
        </w:tc>
        <w:tc>
          <w:tcPr>
            <w:tcW w:w="2694" w:type="dxa"/>
            <w:gridSpan w:val="2"/>
            <w:shd w:val="clear" w:color="auto" w:fill="000000" w:themeFill="text1"/>
          </w:tcPr>
          <w:p w:rsidR="001D0FDA" w:rsidRPr="00A107DD" w:rsidRDefault="001D0FDA" w:rsidP="001D0FDA">
            <w:pPr>
              <w:pStyle w:val="Tabletext"/>
              <w:rPr>
                <w:b/>
                <w:szCs w:val="18"/>
              </w:rPr>
            </w:pPr>
          </w:p>
        </w:tc>
        <w:tc>
          <w:tcPr>
            <w:tcW w:w="1417" w:type="dxa"/>
            <w:gridSpan w:val="2"/>
            <w:shd w:val="clear" w:color="auto" w:fill="000000" w:themeFill="text1"/>
          </w:tcPr>
          <w:p w:rsidR="001D0FDA" w:rsidRPr="00EB1471" w:rsidRDefault="001D0FDA" w:rsidP="001D0FDA">
            <w:pPr>
              <w:pStyle w:val="Tabletext"/>
              <w:rPr>
                <w:szCs w:val="18"/>
              </w:rPr>
            </w:pPr>
          </w:p>
        </w:tc>
        <w:tc>
          <w:tcPr>
            <w:tcW w:w="3198" w:type="dxa"/>
            <w:gridSpan w:val="2"/>
            <w:shd w:val="clear" w:color="auto" w:fill="000000" w:themeFill="text1"/>
          </w:tcPr>
          <w:p w:rsidR="001D0FDA" w:rsidRPr="00EB1471" w:rsidRDefault="001D0FDA" w:rsidP="001D0FDA">
            <w:pPr>
              <w:pStyle w:val="Tabletext"/>
              <w:rPr>
                <w:szCs w:val="18"/>
              </w:rPr>
            </w:pPr>
          </w:p>
        </w:tc>
      </w:tr>
      <w:tr w:rsidR="001D0FDA" w:rsidRPr="00EB1471" w:rsidTr="00A36AE2">
        <w:trPr>
          <w:cantSplit w:val="0"/>
        </w:trPr>
        <w:tc>
          <w:tcPr>
            <w:tcW w:w="1050" w:type="dxa"/>
          </w:tcPr>
          <w:p w:rsidR="001D0FDA" w:rsidRPr="00EB1471" w:rsidRDefault="001D0FDA" w:rsidP="001D0FDA">
            <w:pPr>
              <w:pStyle w:val="Tabletext"/>
              <w:rPr>
                <w:szCs w:val="18"/>
              </w:rPr>
            </w:pPr>
            <w:r w:rsidRPr="00EB1471">
              <w:rPr>
                <w:szCs w:val="18"/>
              </w:rPr>
              <w:t>March 2014</w:t>
            </w:r>
          </w:p>
        </w:tc>
        <w:tc>
          <w:tcPr>
            <w:tcW w:w="1275" w:type="dxa"/>
            <w:gridSpan w:val="2"/>
          </w:tcPr>
          <w:p w:rsidR="001D0FDA" w:rsidRPr="00EB1471" w:rsidRDefault="001D0FDA" w:rsidP="001D0FDA">
            <w:pPr>
              <w:pStyle w:val="Tabletext"/>
              <w:rPr>
                <w:szCs w:val="18"/>
              </w:rPr>
            </w:pPr>
            <w:r w:rsidRPr="00EB1471">
              <w:rPr>
                <w:szCs w:val="18"/>
              </w:rPr>
              <w:t>WHO FC III/IV IPAH, PAH-CTD and PAH-CHD</w:t>
            </w:r>
          </w:p>
        </w:tc>
        <w:tc>
          <w:tcPr>
            <w:tcW w:w="2694" w:type="dxa"/>
            <w:gridSpan w:val="2"/>
          </w:tcPr>
          <w:p w:rsidR="001D0FDA" w:rsidRPr="008D1AEA" w:rsidRDefault="001D0FDA" w:rsidP="001D0FDA">
            <w:pPr>
              <w:pStyle w:val="Tabletext"/>
              <w:rPr>
                <w:szCs w:val="18"/>
              </w:rPr>
            </w:pPr>
            <w:r w:rsidRPr="008D1AEA">
              <w:rPr>
                <w:szCs w:val="18"/>
              </w:rPr>
              <w:t xml:space="preserve">Indirect comparison of 1 RCT comparing riociguat with placebo: </w:t>
            </w:r>
          </w:p>
          <w:p w:rsidR="001D0FDA" w:rsidRPr="008D1AEA" w:rsidRDefault="001D0FDA" w:rsidP="001D0FDA">
            <w:pPr>
              <w:pStyle w:val="Tabletext"/>
              <w:numPr>
                <w:ilvl w:val="0"/>
                <w:numId w:val="12"/>
              </w:numPr>
              <w:ind w:left="425" w:hanging="283"/>
              <w:rPr>
                <w:szCs w:val="18"/>
              </w:rPr>
            </w:pPr>
            <w:r w:rsidRPr="008D1AEA">
              <w:rPr>
                <w:szCs w:val="18"/>
              </w:rPr>
              <w:t xml:space="preserve">PATENT-1 </w:t>
            </w:r>
            <w:r w:rsidR="001D34EE" w:rsidRPr="001D34EE">
              <w:rPr>
                <w:noProof/>
                <w:szCs w:val="18"/>
                <w:vertAlign w:val="superscript"/>
              </w:rPr>
              <w:t>23</w:t>
            </w:r>
            <w:r w:rsidRPr="008D1AEA">
              <w:rPr>
                <w:szCs w:val="18"/>
              </w:rPr>
              <w:t xml:space="preserve"> (treatment-naïve, WHO FC III/IV subgroup)</w:t>
            </w:r>
          </w:p>
          <w:p w:rsidR="001D0FDA" w:rsidRPr="008D1AEA" w:rsidRDefault="001D0FDA" w:rsidP="001D0FDA">
            <w:pPr>
              <w:pStyle w:val="Tabletext"/>
              <w:rPr>
                <w:szCs w:val="18"/>
              </w:rPr>
            </w:pPr>
            <w:r w:rsidRPr="008D1AEA">
              <w:rPr>
                <w:szCs w:val="18"/>
              </w:rPr>
              <w:t>with 3 RCTs comparing bosentan with placebo:</w:t>
            </w:r>
          </w:p>
          <w:p w:rsidR="001D0FDA" w:rsidRPr="008D1AEA" w:rsidRDefault="001D0FDA" w:rsidP="001D0FDA">
            <w:pPr>
              <w:pStyle w:val="Tabletext"/>
              <w:numPr>
                <w:ilvl w:val="0"/>
                <w:numId w:val="12"/>
              </w:numPr>
              <w:ind w:left="425" w:hanging="283"/>
              <w:rPr>
                <w:szCs w:val="18"/>
              </w:rPr>
            </w:pPr>
            <w:r w:rsidRPr="008D1AEA">
              <w:rPr>
                <w:szCs w:val="18"/>
              </w:rPr>
              <w:t xml:space="preserve">BREATHE-1 </w:t>
            </w:r>
            <w:r w:rsidR="001D34EE" w:rsidRPr="001D34EE">
              <w:rPr>
                <w:noProof/>
                <w:szCs w:val="18"/>
                <w:vertAlign w:val="superscript"/>
              </w:rPr>
              <w:t>2</w:t>
            </w:r>
          </w:p>
          <w:p w:rsidR="001D0FDA" w:rsidRPr="008D1AEA" w:rsidRDefault="001D0FDA" w:rsidP="001D0FDA">
            <w:pPr>
              <w:pStyle w:val="Tabletext"/>
              <w:numPr>
                <w:ilvl w:val="0"/>
                <w:numId w:val="12"/>
              </w:numPr>
              <w:ind w:left="425" w:hanging="283"/>
              <w:rPr>
                <w:szCs w:val="18"/>
              </w:rPr>
            </w:pPr>
            <w:r w:rsidRPr="008D1AEA">
              <w:rPr>
                <w:szCs w:val="18"/>
              </w:rPr>
              <w:t xml:space="preserve">AC-052-351 </w:t>
            </w:r>
            <w:r w:rsidR="001D34EE" w:rsidRPr="001D34EE">
              <w:rPr>
                <w:noProof/>
                <w:szCs w:val="18"/>
                <w:vertAlign w:val="superscript"/>
              </w:rPr>
              <w:t>3, 4</w:t>
            </w:r>
          </w:p>
          <w:p w:rsidR="001D0FDA" w:rsidRDefault="001D0FDA" w:rsidP="001D0FDA">
            <w:pPr>
              <w:pStyle w:val="Tabletext"/>
              <w:numPr>
                <w:ilvl w:val="0"/>
                <w:numId w:val="12"/>
              </w:numPr>
              <w:ind w:left="425" w:hanging="283"/>
              <w:rPr>
                <w:szCs w:val="18"/>
              </w:rPr>
            </w:pPr>
            <w:r w:rsidRPr="008D1AEA">
              <w:rPr>
                <w:szCs w:val="18"/>
              </w:rPr>
              <w:t xml:space="preserve">BREATHE-5 </w:t>
            </w:r>
            <w:r w:rsidR="001D34EE" w:rsidRPr="001D34EE">
              <w:rPr>
                <w:noProof/>
                <w:szCs w:val="18"/>
                <w:vertAlign w:val="superscript"/>
              </w:rPr>
              <w:t>5</w:t>
            </w:r>
          </w:p>
          <w:p w:rsidR="001D0FDA" w:rsidRPr="00EB1471" w:rsidRDefault="001D0FDA" w:rsidP="001D0FDA">
            <w:pPr>
              <w:pStyle w:val="Tabletext"/>
              <w:rPr>
                <w:szCs w:val="18"/>
              </w:rPr>
            </w:pPr>
            <w:r>
              <w:rPr>
                <w:szCs w:val="18"/>
              </w:rPr>
              <w:t>via placebo as the common reference</w:t>
            </w:r>
          </w:p>
        </w:tc>
        <w:tc>
          <w:tcPr>
            <w:tcW w:w="1417" w:type="dxa"/>
            <w:gridSpan w:val="2"/>
          </w:tcPr>
          <w:p w:rsidR="001D0FDA" w:rsidRPr="00EB1471" w:rsidRDefault="001D0FDA" w:rsidP="001D0FDA">
            <w:pPr>
              <w:pStyle w:val="Tabletext"/>
              <w:rPr>
                <w:szCs w:val="18"/>
              </w:rPr>
            </w:pPr>
            <w:r>
              <w:rPr>
                <w:szCs w:val="18"/>
              </w:rPr>
              <w:t>Riociguat vs bosentan</w:t>
            </w:r>
          </w:p>
        </w:tc>
        <w:tc>
          <w:tcPr>
            <w:tcW w:w="3198" w:type="dxa"/>
            <w:gridSpan w:val="2"/>
          </w:tcPr>
          <w:p w:rsidR="001D0FDA" w:rsidRPr="00A7316D" w:rsidRDefault="001D0FDA" w:rsidP="00480FDF">
            <w:pPr>
              <w:pStyle w:val="Tabletext"/>
              <w:numPr>
                <w:ilvl w:val="0"/>
                <w:numId w:val="20"/>
              </w:numPr>
              <w:ind w:left="227" w:hanging="227"/>
            </w:pPr>
            <w:r w:rsidRPr="00A7316D">
              <w:t>Riociguat was non-inferior to bosentan in terms of improvement in 6MWD</w:t>
            </w:r>
          </w:p>
          <w:p w:rsidR="001D0FDA" w:rsidRPr="00EB1471" w:rsidRDefault="001D0FDA" w:rsidP="00480FDF">
            <w:pPr>
              <w:pStyle w:val="Tabletext"/>
              <w:numPr>
                <w:ilvl w:val="0"/>
                <w:numId w:val="20"/>
              </w:numPr>
              <w:ind w:left="227" w:hanging="227"/>
              <w:rPr>
                <w:szCs w:val="18"/>
              </w:rPr>
            </w:pPr>
            <w:r w:rsidRPr="00A7316D">
              <w:t>The safety profiles of riociguat and bosentan were likely to be dissimilar.</w:t>
            </w:r>
          </w:p>
        </w:tc>
      </w:tr>
    </w:tbl>
    <w:p w:rsidR="001D0FDA" w:rsidRPr="00EB1471" w:rsidRDefault="001D0FDA" w:rsidP="001D0FDA">
      <w:pPr>
        <w:pStyle w:val="Tablenote"/>
      </w:pPr>
      <w:r>
        <w:t xml:space="preserve">6MWD = 6-minute walk distance; BDI= </w:t>
      </w:r>
      <w:r w:rsidRPr="00D5633D">
        <w:t xml:space="preserve">Borg </w:t>
      </w:r>
      <w:r w:rsidR="0006512A" w:rsidRPr="00D5633D">
        <w:t>Dyspnoea</w:t>
      </w:r>
      <w:r w:rsidRPr="00D5633D">
        <w:t xml:space="preserve"> Index</w:t>
      </w:r>
      <w:r>
        <w:t xml:space="preserve">; </w:t>
      </w:r>
      <w:r w:rsidRPr="00EB1471">
        <w:t xml:space="preserve">FC = functional class; IPAH = idiopathic pulmonary arterial hypertension; PAH = pulmonary arterial hypertension; PAH-CTD = </w:t>
      </w:r>
      <w:r w:rsidR="00B923F1">
        <w:t>PAH</w:t>
      </w:r>
      <w:r w:rsidRPr="00EB1471">
        <w:t xml:space="preserve"> associated with connective tissue disease; PAH-CHD = </w:t>
      </w:r>
      <w:r w:rsidR="00B923F1">
        <w:t>PAH</w:t>
      </w:r>
      <w:r w:rsidRPr="00EB1471">
        <w:t xml:space="preserve"> associated with congenital heart disease; RCT = randomised controlled trial; WHO = World Health Organization</w:t>
      </w:r>
    </w:p>
    <w:p w:rsidR="005A0C83" w:rsidRDefault="001D0FDA" w:rsidP="001D0FDA">
      <w:pPr>
        <w:pStyle w:val="Tablenote"/>
        <w:rPr>
          <w:i/>
        </w:rPr>
      </w:pPr>
      <w:r w:rsidRPr="00EB1471">
        <w:rPr>
          <w:i/>
        </w:rPr>
        <w:t>Source: Relevant Public summary documents and ratified PBAC minutes</w:t>
      </w:r>
    </w:p>
    <w:p w:rsidR="00FC1362" w:rsidRPr="00EB1471" w:rsidRDefault="00FC1362" w:rsidP="00D103A9">
      <w:pPr>
        <w:pStyle w:val="Heading3"/>
      </w:pPr>
      <w:bookmarkStart w:id="14" w:name="_Toc512855374"/>
      <w:r w:rsidRPr="00EB1471">
        <w:t>Effectiveness and safety of dual combination therapy</w:t>
      </w:r>
      <w:bookmarkEnd w:id="14"/>
    </w:p>
    <w:p w:rsidR="005A0C83" w:rsidRPr="00532B79" w:rsidRDefault="005A0C83" w:rsidP="005A0C83">
      <w:pPr>
        <w:pStyle w:val="ToRText"/>
        <w:shd w:val="clear" w:color="auto" w:fill="F2F2F2" w:themeFill="background1" w:themeFillShade="F2"/>
        <w:spacing w:before="240"/>
        <w:rPr>
          <w:b w:val="0"/>
          <w:color w:val="auto"/>
          <w:shd w:val="clear" w:color="auto" w:fill="F2F2F2" w:themeFill="background1" w:themeFillShade="F2"/>
        </w:rPr>
      </w:pPr>
      <w:r w:rsidRPr="00532B79">
        <w:rPr>
          <w:b w:val="0"/>
          <w:color w:val="auto"/>
          <w:shd w:val="clear" w:color="auto" w:fill="F2F2F2" w:themeFill="background1" w:themeFillShade="F2"/>
        </w:rPr>
        <w:t>Q3.</w:t>
      </w:r>
      <w:r w:rsidRPr="00532B79">
        <w:rPr>
          <w:b w:val="0"/>
          <w:color w:val="auto"/>
          <w:shd w:val="clear" w:color="auto" w:fill="F2F2F2" w:themeFill="background1" w:themeFillShade="F2"/>
        </w:rPr>
        <w:tab/>
        <w:t>What is the effectiveness and safety of dual combination therapy involving any combination of an ERA, a PDE 5 inhibitor, a prostanoid, or a sGC stimulat</w:t>
      </w:r>
      <w:r>
        <w:rPr>
          <w:b w:val="0"/>
          <w:color w:val="auto"/>
          <w:shd w:val="clear" w:color="auto" w:fill="F2F2F2" w:themeFill="background1" w:themeFillShade="F2"/>
        </w:rPr>
        <w:t>or, compared to monotherapy, in</w:t>
      </w:r>
    </w:p>
    <w:p w:rsidR="005A0C83" w:rsidRPr="00532B79" w:rsidRDefault="005A0C83" w:rsidP="005A0C83">
      <w:pPr>
        <w:pStyle w:val="ToRText"/>
        <w:shd w:val="clear" w:color="auto" w:fill="F2F2F2" w:themeFill="background1" w:themeFillShade="F2"/>
        <w:rPr>
          <w:b w:val="0"/>
          <w:color w:val="auto"/>
          <w:shd w:val="clear" w:color="auto" w:fill="F2F2F2" w:themeFill="background1" w:themeFillShade="F2"/>
        </w:rPr>
      </w:pPr>
      <w:r w:rsidRPr="00532B79">
        <w:rPr>
          <w:b w:val="0"/>
          <w:color w:val="auto"/>
          <w:shd w:val="clear" w:color="auto" w:fill="F2F2F2" w:themeFill="background1" w:themeFillShade="F2"/>
        </w:rPr>
        <w:t>i)</w:t>
      </w:r>
      <w:r w:rsidRPr="00532B79">
        <w:rPr>
          <w:b w:val="0"/>
          <w:color w:val="auto"/>
          <w:shd w:val="clear" w:color="auto" w:fill="F2F2F2" w:themeFill="background1" w:themeFillShade="F2"/>
        </w:rPr>
        <w:tab/>
        <w:t>PAH patients, irrespective of disease severity or aetiology;</w:t>
      </w:r>
    </w:p>
    <w:p w:rsidR="005A0C83" w:rsidRPr="00532B79" w:rsidRDefault="005A0C83" w:rsidP="005A0C83">
      <w:pPr>
        <w:pStyle w:val="ToRText"/>
        <w:shd w:val="clear" w:color="auto" w:fill="F2F2F2" w:themeFill="background1" w:themeFillShade="F2"/>
        <w:rPr>
          <w:b w:val="0"/>
          <w:color w:val="auto"/>
          <w:shd w:val="clear" w:color="auto" w:fill="F2F2F2" w:themeFill="background1" w:themeFillShade="F2"/>
        </w:rPr>
      </w:pPr>
      <w:r w:rsidRPr="00532B79">
        <w:rPr>
          <w:b w:val="0"/>
          <w:color w:val="auto"/>
          <w:shd w:val="clear" w:color="auto" w:fill="F2F2F2" w:themeFill="background1" w:themeFillShade="F2"/>
        </w:rPr>
        <w:t>ii)</w:t>
      </w:r>
      <w:r w:rsidRPr="00532B79">
        <w:rPr>
          <w:b w:val="0"/>
          <w:color w:val="auto"/>
          <w:shd w:val="clear" w:color="auto" w:fill="F2F2F2" w:themeFill="background1" w:themeFillShade="F2"/>
        </w:rPr>
        <w:tab/>
        <w:t>PAH patients with FC III or IV; and</w:t>
      </w:r>
    </w:p>
    <w:p w:rsidR="005A0C83" w:rsidRPr="00D228A6" w:rsidRDefault="005A0C83" w:rsidP="005A0C83">
      <w:pPr>
        <w:pStyle w:val="ToRText"/>
        <w:shd w:val="clear" w:color="auto" w:fill="F2F2F2" w:themeFill="background1" w:themeFillShade="F2"/>
        <w:rPr>
          <w:b w:val="0"/>
          <w:color w:val="auto"/>
        </w:rPr>
      </w:pPr>
      <w:r w:rsidRPr="00532B79">
        <w:rPr>
          <w:b w:val="0"/>
          <w:color w:val="auto"/>
          <w:shd w:val="clear" w:color="auto" w:fill="F2F2F2" w:themeFill="background1" w:themeFillShade="F2"/>
        </w:rPr>
        <w:t>iii)</w:t>
      </w:r>
      <w:r w:rsidRPr="00532B79">
        <w:rPr>
          <w:b w:val="0"/>
          <w:color w:val="auto"/>
          <w:shd w:val="clear" w:color="auto" w:fill="F2F2F2" w:themeFill="background1" w:themeFillShade="F2"/>
        </w:rPr>
        <w:tab/>
        <w:t>PAH patients with different disease aetiologies?</w:t>
      </w:r>
    </w:p>
    <w:p w:rsidR="009B35CE" w:rsidRPr="006316DF" w:rsidRDefault="00441F08" w:rsidP="009B35CE">
      <w:pPr>
        <w:pStyle w:val="Heading4"/>
      </w:pPr>
      <w:r>
        <w:lastRenderedPageBreak/>
        <w:t>4.1.3.1</w:t>
      </w:r>
      <w:r>
        <w:tab/>
      </w:r>
      <w:r w:rsidR="009B35CE" w:rsidRPr="006316DF">
        <w:t xml:space="preserve">ERA </w:t>
      </w:r>
      <w:r w:rsidR="009B35CE" w:rsidRPr="00EF6A61">
        <w:t>in addition to PDE-5 inhibitor</w:t>
      </w:r>
    </w:p>
    <w:p w:rsidR="009B35CE" w:rsidRPr="00107676" w:rsidRDefault="009B35CE" w:rsidP="009B35CE">
      <w:pPr>
        <w:pStyle w:val="Heading5"/>
      </w:pPr>
      <w:r w:rsidRPr="00107676">
        <w:t>Clinical effectiveness</w:t>
      </w:r>
    </w:p>
    <w:p w:rsidR="00B14A50" w:rsidRDefault="00B14A50" w:rsidP="00B14A50">
      <w:r w:rsidRPr="00822C52">
        <w:t>Four RCTs reported on the effectiveness of an ERA in addition to a PDE-5</w:t>
      </w:r>
      <w:r>
        <w:t xml:space="preserve"> </w:t>
      </w:r>
      <w:r w:rsidRPr="00C5017B">
        <w:t xml:space="preserve">inhibitor </w:t>
      </w:r>
      <w:r w:rsidRPr="00822C52">
        <w:t xml:space="preserve">in treating PAH compared with placebo plus a </w:t>
      </w:r>
      <w:r>
        <w:t>PDE-5 inhibitor</w:t>
      </w:r>
      <w:r w:rsidRPr="00822C52">
        <w:t xml:space="preserve"> in patients with PAH</w:t>
      </w:r>
      <w:r>
        <w:t>:</w:t>
      </w:r>
    </w:p>
    <w:p w:rsidR="00B14A50" w:rsidRPr="00B607A5" w:rsidRDefault="00B14A50" w:rsidP="0086175F">
      <w:pPr>
        <w:pStyle w:val="Bullettext"/>
      </w:pPr>
      <w:r w:rsidRPr="00B607A5">
        <w:t>Three trials (EARLY, COMPASS-2 and SERAPHIN) enrolled patients on stable PDE-5 inhibitor monotherapy (sequential combination therapy)</w:t>
      </w:r>
      <w:r w:rsidR="004E3670" w:rsidRPr="00B607A5">
        <w:t>.</w:t>
      </w:r>
    </w:p>
    <w:p w:rsidR="00B14A50" w:rsidRPr="00B607A5" w:rsidRDefault="00B14A50" w:rsidP="0086175F">
      <w:pPr>
        <w:pStyle w:val="Bullettext"/>
      </w:pPr>
      <w:r w:rsidRPr="00B607A5">
        <w:t>One trial (AMBITION) enrolled treatment naïve patients (initial combination therapy)</w:t>
      </w:r>
    </w:p>
    <w:p w:rsidR="00B14A50" w:rsidRPr="00B607A5" w:rsidRDefault="00B14A50" w:rsidP="0086175F">
      <w:pPr>
        <w:pStyle w:val="Bullettext"/>
      </w:pPr>
      <w:r w:rsidRPr="00B607A5">
        <w:t>There were no statistically significant differences in the effectiveness of treatment for patients receiving initial combination therapy versus monotherapy and patients receiving sequential combination therapy versus monotherapy.</w:t>
      </w:r>
    </w:p>
    <w:p w:rsidR="00B14A50" w:rsidRPr="00B607A5" w:rsidRDefault="00B14A50" w:rsidP="0086175F">
      <w:pPr>
        <w:pStyle w:val="Bullettext"/>
      </w:pPr>
      <w:r w:rsidRPr="00B607A5">
        <w:t>Two RCTs included a subgroup analysis for patients with WHO FC III/IV PAH.</w:t>
      </w:r>
    </w:p>
    <w:p w:rsidR="00B14A50" w:rsidRPr="00B607A5" w:rsidRDefault="00B14A50" w:rsidP="0086175F">
      <w:pPr>
        <w:pStyle w:val="Bullettext"/>
      </w:pPr>
      <w:r w:rsidRPr="00B607A5">
        <w:t>Two RCTs included a subgroup analysis for patients with different PAH aetiologies.</w:t>
      </w:r>
    </w:p>
    <w:p w:rsidR="009B35CE" w:rsidRDefault="009B35CE" w:rsidP="008A00DA">
      <w:r>
        <w:t>The evidence provided by these trials is summarised in</w:t>
      </w:r>
      <w:r w:rsidR="008A00DA">
        <w:t xml:space="preserve"> Table 4.5.</w:t>
      </w:r>
    </w:p>
    <w:p w:rsidR="009B35CE" w:rsidRDefault="00843DF8" w:rsidP="00550EA7">
      <w:r>
        <w:t xml:space="preserve">Overall, </w:t>
      </w:r>
      <w:r w:rsidRPr="00C84392">
        <w:t xml:space="preserve">there is </w:t>
      </w:r>
      <w:r w:rsidR="00CA6CD8" w:rsidRPr="00C84392">
        <w:t>some evidence to suggest</w:t>
      </w:r>
      <w:r w:rsidR="00CA6CD8">
        <w:t xml:space="preserve"> that</w:t>
      </w:r>
      <w:r w:rsidRPr="00843DF8">
        <w:t xml:space="preserve"> the use of an ERA in addition to PDE-5 inhibitor, relative to PDE-5 inhibitor monotherapy to treat PAH patients is likely to be beneficial</w:t>
      </w:r>
      <w:r w:rsidR="009B35CE" w:rsidRPr="006316DF">
        <w:t xml:space="preserve">. </w:t>
      </w:r>
      <w:r w:rsidR="009B35CE">
        <w:t>The evidence for patients with WHO FC III/IV PAH</w:t>
      </w:r>
      <w:r w:rsidR="009B35CE" w:rsidRPr="00FD4377">
        <w:t xml:space="preserve"> </w:t>
      </w:r>
      <w:r w:rsidR="009B35CE">
        <w:t xml:space="preserve">and </w:t>
      </w:r>
      <w:r w:rsidR="009A6001">
        <w:t xml:space="preserve">for </w:t>
      </w:r>
      <w:r w:rsidR="009B35CE">
        <w:t xml:space="preserve">patients </w:t>
      </w:r>
      <w:r w:rsidR="009A6001">
        <w:t>with different PAH aetiologies i</w:t>
      </w:r>
      <w:r w:rsidR="009B35CE">
        <w:t>s more limited</w:t>
      </w:r>
      <w:r w:rsidR="009A6001">
        <w:t xml:space="preserve">, </w:t>
      </w:r>
      <w:r w:rsidR="00CA6CD8">
        <w:t>introducing more</w:t>
      </w:r>
      <w:r w:rsidR="009A6001">
        <w:t xml:space="preserve"> uncertainty</w:t>
      </w:r>
      <w:r w:rsidR="009B35CE">
        <w:t>.</w:t>
      </w:r>
    </w:p>
    <w:p w:rsidR="009B35CE" w:rsidRDefault="00272F8F" w:rsidP="00BC5A2B">
      <w:pPr>
        <w:pStyle w:val="Caption"/>
      </w:pPr>
      <w:bookmarkStart w:id="15" w:name="_Ref506283556"/>
      <w:bookmarkStart w:id="16" w:name="_Toc512855409"/>
      <w:r>
        <w:t>Table 4.</w:t>
      </w:r>
      <w:r w:rsidR="00AA722D">
        <w:rPr>
          <w:noProof/>
        </w:rPr>
        <w:t>5</w:t>
      </w:r>
      <w:bookmarkEnd w:id="15"/>
      <w:r w:rsidR="00550EA7">
        <w:tab/>
      </w:r>
      <w:r w:rsidR="009B35CE">
        <w:t xml:space="preserve">Summary of the evidence for the clinical effectiveness of an </w:t>
      </w:r>
      <w:r w:rsidR="009B35CE" w:rsidRPr="00542902">
        <w:t xml:space="preserve">ERA in addition to </w:t>
      </w:r>
      <w:r w:rsidR="009B35CE">
        <w:t xml:space="preserve">a </w:t>
      </w:r>
      <w:r w:rsidR="009B35CE" w:rsidRPr="00542902">
        <w:t>PDE-5 inhibitor, relative</w:t>
      </w:r>
      <w:r w:rsidR="009B35CE">
        <w:t xml:space="preserve"> to PDE-5 inhibitor monotherapy</w:t>
      </w:r>
      <w:bookmarkEnd w:id="16"/>
    </w:p>
    <w:tbl>
      <w:tblPr>
        <w:tblStyle w:val="TableGrid"/>
        <w:tblW w:w="9634" w:type="dxa"/>
        <w:tblLayout w:type="fixed"/>
        <w:tblLook w:val="04A0" w:firstRow="1" w:lastRow="0" w:firstColumn="1" w:lastColumn="0" w:noHBand="0" w:noVBand="1"/>
        <w:tblCaption w:val="Summary of the evidence for the clinical effectiveness of an ERA in addition to a PDE-5 inhibitor, relative to PDE-5 inhibitor monotherapy"/>
      </w:tblPr>
      <w:tblGrid>
        <w:gridCol w:w="1555"/>
        <w:gridCol w:w="1656"/>
        <w:gridCol w:w="674"/>
        <w:gridCol w:w="2537"/>
        <w:gridCol w:w="3212"/>
      </w:tblGrid>
      <w:tr w:rsidR="009B35CE" w:rsidRPr="00550EA7" w:rsidTr="00DE4B2C">
        <w:trPr>
          <w:cnfStyle w:val="100000000000" w:firstRow="1" w:lastRow="0" w:firstColumn="0" w:lastColumn="0" w:oddVBand="0" w:evenVBand="0" w:oddHBand="0" w:evenHBand="0" w:firstRowFirstColumn="0" w:firstRowLastColumn="0" w:lastRowFirstColumn="0" w:lastRowLastColumn="0"/>
        </w:trPr>
        <w:tc>
          <w:tcPr>
            <w:tcW w:w="1555" w:type="dxa"/>
          </w:tcPr>
          <w:p w:rsidR="009B35CE" w:rsidRPr="00550EA7" w:rsidRDefault="009B35CE" w:rsidP="00550EA7">
            <w:pPr>
              <w:pStyle w:val="Tabletext"/>
              <w:rPr>
                <w:rFonts w:asciiTheme="minorHAnsi" w:hAnsiTheme="minorHAnsi"/>
                <w:b/>
              </w:rPr>
            </w:pPr>
            <w:r w:rsidRPr="00550EA7">
              <w:rPr>
                <w:b/>
              </w:rPr>
              <w:t>Outcome</w:t>
            </w:r>
          </w:p>
        </w:tc>
        <w:tc>
          <w:tcPr>
            <w:tcW w:w="2330" w:type="dxa"/>
            <w:gridSpan w:val="2"/>
          </w:tcPr>
          <w:p w:rsidR="00293DE5" w:rsidRDefault="009B35CE" w:rsidP="00293DE5">
            <w:pPr>
              <w:pStyle w:val="Tabletext"/>
              <w:rPr>
                <w:b/>
              </w:rPr>
            </w:pPr>
            <w:r w:rsidRPr="00550EA7">
              <w:rPr>
                <w:b/>
              </w:rPr>
              <w:t xml:space="preserve">Included trials </w:t>
            </w:r>
          </w:p>
          <w:p w:rsidR="00293DE5" w:rsidRPr="00293DE5" w:rsidRDefault="00293DE5" w:rsidP="00293DE5">
            <w:pPr>
              <w:pStyle w:val="Tabletext"/>
              <w:rPr>
                <w:b/>
              </w:rPr>
            </w:pPr>
            <w:r w:rsidRPr="00293DE5">
              <w:rPr>
                <w:b/>
              </w:rPr>
              <w:t>No. of patients</w:t>
            </w:r>
          </w:p>
        </w:tc>
        <w:tc>
          <w:tcPr>
            <w:tcW w:w="5749" w:type="dxa"/>
            <w:gridSpan w:val="2"/>
          </w:tcPr>
          <w:p w:rsidR="009B35CE" w:rsidRPr="00550EA7" w:rsidRDefault="009B35CE" w:rsidP="00550EA7">
            <w:pPr>
              <w:pStyle w:val="Tabletext"/>
              <w:rPr>
                <w:rFonts w:asciiTheme="minorHAnsi" w:hAnsiTheme="minorHAnsi"/>
                <w:b/>
              </w:rPr>
            </w:pPr>
            <w:r w:rsidRPr="00550EA7">
              <w:rPr>
                <w:b/>
              </w:rPr>
              <w:t>Summary of evidence</w:t>
            </w:r>
          </w:p>
        </w:tc>
      </w:tr>
      <w:tr w:rsidR="009B35CE" w:rsidTr="00550EA7">
        <w:tc>
          <w:tcPr>
            <w:tcW w:w="9634" w:type="dxa"/>
            <w:gridSpan w:val="5"/>
            <w:shd w:val="clear" w:color="auto" w:fill="000000" w:themeFill="text1"/>
          </w:tcPr>
          <w:p w:rsidR="009B35CE" w:rsidRDefault="009B35CE" w:rsidP="00550EA7">
            <w:pPr>
              <w:pStyle w:val="Tabletext"/>
              <w:rPr>
                <w:rFonts w:asciiTheme="minorHAnsi" w:hAnsiTheme="minorHAnsi"/>
              </w:rPr>
            </w:pPr>
            <w:r>
              <w:t>All PAH patients</w:t>
            </w:r>
          </w:p>
        </w:tc>
      </w:tr>
      <w:tr w:rsidR="009B35CE" w:rsidTr="00DE4B2C">
        <w:tc>
          <w:tcPr>
            <w:tcW w:w="1555" w:type="dxa"/>
          </w:tcPr>
          <w:p w:rsidR="009B35CE" w:rsidRPr="001D637C" w:rsidRDefault="009B35CE" w:rsidP="00550EA7">
            <w:pPr>
              <w:pStyle w:val="Tabletext"/>
            </w:pPr>
            <w:r w:rsidRPr="001D637C">
              <w:t>Clinical worsening</w:t>
            </w:r>
          </w:p>
        </w:tc>
        <w:tc>
          <w:tcPr>
            <w:tcW w:w="2330" w:type="dxa"/>
            <w:gridSpan w:val="2"/>
          </w:tcPr>
          <w:p w:rsidR="009B35CE" w:rsidRDefault="009B35CE" w:rsidP="00550EA7">
            <w:pPr>
              <w:pStyle w:val="Tabletext"/>
            </w:pPr>
            <w:r>
              <w:t>EARLY</w:t>
            </w:r>
            <w:r w:rsidR="00E85CDD">
              <w:br/>
            </w:r>
            <w:r>
              <w:t>(bosentan/sildenafil)</w:t>
            </w:r>
          </w:p>
          <w:p w:rsidR="009B35CE" w:rsidRDefault="009B35CE" w:rsidP="00550EA7">
            <w:pPr>
              <w:pStyle w:val="Tabletext"/>
            </w:pPr>
            <w:r>
              <w:t>COMPASS-2</w:t>
            </w:r>
            <w:r w:rsidR="00E85CDD">
              <w:br/>
            </w:r>
            <w:r w:rsidRPr="00542902">
              <w:t>(bosentan/sildenafil)</w:t>
            </w:r>
          </w:p>
          <w:p w:rsidR="009B35CE" w:rsidRDefault="009B35CE" w:rsidP="00550EA7">
            <w:pPr>
              <w:pStyle w:val="Tabletext"/>
            </w:pPr>
            <w:r>
              <w:t>SERAPHIN</w:t>
            </w:r>
            <w:r w:rsidR="00E85CDD">
              <w:br/>
            </w:r>
            <w:r>
              <w:t>(macitentan/any PDE-5i)</w:t>
            </w:r>
          </w:p>
          <w:p w:rsidR="009B35CE" w:rsidRDefault="009B35CE" w:rsidP="00E85CDD">
            <w:pPr>
              <w:pStyle w:val="Tabletext"/>
            </w:pPr>
            <w:r>
              <w:t>AMBITION</w:t>
            </w:r>
            <w:r w:rsidR="00E85CDD">
              <w:br/>
            </w:r>
            <w:r>
              <w:t>(ambrisentan/tadalafil)</w:t>
            </w:r>
          </w:p>
          <w:p w:rsidR="00293DE5" w:rsidRPr="001D637C" w:rsidRDefault="00293DE5" w:rsidP="00E85CDD">
            <w:pPr>
              <w:pStyle w:val="Tabletext"/>
            </w:pPr>
            <w:r>
              <w:t>N=1,124</w:t>
            </w:r>
          </w:p>
        </w:tc>
        <w:tc>
          <w:tcPr>
            <w:tcW w:w="5749" w:type="dxa"/>
            <w:gridSpan w:val="2"/>
          </w:tcPr>
          <w:p w:rsidR="009B35CE" w:rsidRPr="000E6C1B" w:rsidRDefault="009B35CE" w:rsidP="00480FDF">
            <w:pPr>
              <w:pStyle w:val="Tabletext"/>
              <w:numPr>
                <w:ilvl w:val="0"/>
                <w:numId w:val="25"/>
              </w:numPr>
              <w:ind w:left="227" w:hanging="219"/>
              <w:rPr>
                <w:szCs w:val="18"/>
              </w:rPr>
            </w:pPr>
            <w:r w:rsidRPr="006B11DC">
              <w:t>High quality</w:t>
            </w:r>
            <w:r w:rsidRPr="006B11DC">
              <w:rPr>
                <w:rFonts w:cs="Cambria Math"/>
              </w:rPr>
              <w:t xml:space="preserve"> evidence (GRADE </w:t>
            </w:r>
            <w:r w:rsidRPr="006B11DC">
              <w:rPr>
                <w:rFonts w:ascii="Cambria Math" w:hAnsi="Cambria Math" w:cs="Cambria Math"/>
                <w:color w:val="00B050"/>
              </w:rPr>
              <w:t>⨁⨁⨁⨁</w:t>
            </w:r>
            <w:r w:rsidRPr="006B11DC">
              <w:t>)</w:t>
            </w:r>
          </w:p>
          <w:p w:rsidR="009B35CE" w:rsidRPr="00DE4B2C" w:rsidRDefault="00A17B9D" w:rsidP="00A17B9D">
            <w:pPr>
              <w:pStyle w:val="Tabletext"/>
              <w:ind w:left="227" w:hanging="219"/>
              <w:rPr>
                <w:sz w:val="16"/>
                <w:szCs w:val="16"/>
                <w:highlight w:val="black"/>
              </w:rPr>
            </w:pP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p w:rsidR="000E0079" w:rsidRPr="00A17B9D" w:rsidRDefault="00A17B9D" w:rsidP="00A17B9D">
            <w:pPr>
              <w:pStyle w:val="Tabletext"/>
              <w:ind w:left="227" w:hanging="219"/>
              <w:rPr>
                <w:szCs w:val="18"/>
                <w:highlight w:val="black"/>
              </w:rPr>
            </w:pP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9B35CE" w:rsidTr="00DE4B2C">
        <w:tc>
          <w:tcPr>
            <w:tcW w:w="1555" w:type="dxa"/>
          </w:tcPr>
          <w:p w:rsidR="009B35CE" w:rsidRPr="001D637C" w:rsidRDefault="009B35CE" w:rsidP="00550EA7">
            <w:pPr>
              <w:pStyle w:val="Tabletext"/>
            </w:pPr>
            <w:r>
              <w:t>All-cause mortality</w:t>
            </w:r>
          </w:p>
        </w:tc>
        <w:tc>
          <w:tcPr>
            <w:tcW w:w="2330" w:type="dxa"/>
            <w:gridSpan w:val="2"/>
          </w:tcPr>
          <w:p w:rsidR="009B35CE" w:rsidRDefault="009B35CE" w:rsidP="00550EA7">
            <w:pPr>
              <w:pStyle w:val="Tabletext"/>
            </w:pPr>
            <w:r>
              <w:t>EARLY</w:t>
            </w:r>
            <w:r w:rsidR="00E85CDD">
              <w:br/>
            </w:r>
            <w:r>
              <w:t>(bosentan/sildenafil)</w:t>
            </w:r>
          </w:p>
          <w:p w:rsidR="009B35CE" w:rsidRDefault="009B35CE" w:rsidP="00550EA7">
            <w:pPr>
              <w:pStyle w:val="Tabletext"/>
            </w:pPr>
            <w:r>
              <w:t xml:space="preserve">COMPASS-2 </w:t>
            </w:r>
            <w:r w:rsidRPr="00542902">
              <w:t>(bosentan/sildenafil)</w:t>
            </w:r>
          </w:p>
          <w:p w:rsidR="009B35CE" w:rsidRDefault="009B35CE" w:rsidP="00550EA7">
            <w:pPr>
              <w:pStyle w:val="Tabletext"/>
            </w:pPr>
            <w:r>
              <w:t>SERAPHIN</w:t>
            </w:r>
            <w:r w:rsidR="00E85CDD">
              <w:br/>
            </w:r>
            <w:r>
              <w:t>(macitentan/any PDE-5i)</w:t>
            </w:r>
          </w:p>
          <w:p w:rsidR="009B35CE" w:rsidRDefault="009B35CE" w:rsidP="00550EA7">
            <w:pPr>
              <w:pStyle w:val="Tabletext"/>
            </w:pPr>
            <w:r>
              <w:t>AMBITION (ambrisentan/tadalafil)</w:t>
            </w:r>
          </w:p>
          <w:p w:rsidR="00293DE5" w:rsidRPr="001D637C" w:rsidRDefault="00293DE5" w:rsidP="009F446F">
            <w:pPr>
              <w:pStyle w:val="Tabletext"/>
            </w:pPr>
            <w:r>
              <w:t>N=1,</w:t>
            </w:r>
            <w:r w:rsidR="009F446F">
              <w:t>124</w:t>
            </w:r>
          </w:p>
        </w:tc>
        <w:tc>
          <w:tcPr>
            <w:tcW w:w="5749" w:type="dxa"/>
            <w:gridSpan w:val="2"/>
          </w:tcPr>
          <w:p w:rsidR="009B35CE" w:rsidRPr="006B11DC" w:rsidRDefault="00C52089" w:rsidP="00480FDF">
            <w:pPr>
              <w:pStyle w:val="Tabletext"/>
              <w:numPr>
                <w:ilvl w:val="0"/>
                <w:numId w:val="26"/>
              </w:numPr>
              <w:ind w:left="227" w:hanging="219"/>
            </w:pPr>
            <w:r>
              <w:t>Moderate</w:t>
            </w:r>
            <w:r w:rsidR="009B35CE" w:rsidRPr="006B11DC">
              <w:t xml:space="preserve"> quality</w:t>
            </w:r>
            <w:r w:rsidR="009B35CE" w:rsidRPr="006B11DC">
              <w:rPr>
                <w:rFonts w:cs="Cambria Math"/>
              </w:rPr>
              <w:t xml:space="preserve"> evidence (GRADE </w:t>
            </w:r>
            <w:r w:rsidR="009B35CE" w:rsidRPr="006B11DC">
              <w:rPr>
                <w:rFonts w:ascii="Cambria Math" w:hAnsi="Cambria Math" w:cs="Cambria Math"/>
                <w:color w:val="00B050"/>
              </w:rPr>
              <w:t>⨁⨁⨁</w:t>
            </w:r>
            <w:r>
              <w:rPr>
                <w:rFonts w:ascii="Cambria Math" w:eastAsia="Times New Roman" w:hAnsi="Cambria Math"/>
                <w:color w:val="C00000"/>
              </w:rPr>
              <w:t>⨀</w:t>
            </w:r>
            <w:r w:rsidR="009B35CE" w:rsidRPr="006B11DC">
              <w:t>)</w:t>
            </w:r>
          </w:p>
          <w:p w:rsidR="009B35CE" w:rsidRPr="00DE4B2C" w:rsidRDefault="00A17B9D" w:rsidP="00A17B9D">
            <w:pPr>
              <w:pStyle w:val="Tabletext"/>
              <w:ind w:left="227" w:hanging="219"/>
              <w:rPr>
                <w:sz w:val="16"/>
                <w:szCs w:val="16"/>
                <w:highlight w:val="black"/>
              </w:rPr>
            </w:pP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p w:rsidR="000E0079" w:rsidRPr="00A17B9D" w:rsidRDefault="00A17B9D" w:rsidP="00480FDF">
            <w:pPr>
              <w:pStyle w:val="Tabletext"/>
              <w:numPr>
                <w:ilvl w:val="0"/>
                <w:numId w:val="26"/>
              </w:numPr>
              <w:ind w:left="227" w:hanging="219"/>
              <w:rPr>
                <w:highlight w:val="black"/>
              </w:rPr>
            </w:pPr>
            <w:r w:rsidRPr="00DE4B2C">
              <w:rPr>
                <w:noProof/>
                <w:color w:val="000000"/>
                <w:sz w:val="16"/>
                <w:szCs w:val="16"/>
                <w:highlight w:val="black"/>
              </w:rPr>
              <w:t>'''''''''''''''' ''''''''''''' '''''' '''''''''''''''''''''' '''''''''''''''''''''''''''' ''''' ''''''''''''''''''''''''' '''''''''''''''''''''''''''' '''''' '''''''' ''''''''''''''''''''' ''''''''''''''''''''' '''''''''''''''''''''''''''''''''</w:t>
            </w:r>
            <w:r w:rsidR="00B14A50" w:rsidRPr="00A17B9D">
              <w:rPr>
                <w:szCs w:val="18"/>
                <w:highlight w:val="black"/>
              </w:rPr>
              <w:t xml:space="preserve"> </w:t>
            </w:r>
          </w:p>
        </w:tc>
      </w:tr>
      <w:tr w:rsidR="009B35CE" w:rsidTr="00DE4B2C">
        <w:tc>
          <w:tcPr>
            <w:tcW w:w="1555" w:type="dxa"/>
          </w:tcPr>
          <w:p w:rsidR="009B35CE" w:rsidRPr="001D637C" w:rsidRDefault="009B35CE" w:rsidP="00C84392">
            <w:pPr>
              <w:pStyle w:val="Tabletext"/>
            </w:pPr>
            <w:r>
              <w:lastRenderedPageBreak/>
              <w:t>Hospitalisation</w:t>
            </w:r>
            <w:r w:rsidR="00E26A38">
              <w:t xml:space="preserve"> </w:t>
            </w:r>
            <w:r w:rsidR="00C84392">
              <w:t>due to</w:t>
            </w:r>
            <w:r w:rsidR="00E26A38">
              <w:t xml:space="preserve"> </w:t>
            </w:r>
            <w:r w:rsidR="006F1431">
              <w:t xml:space="preserve">worsening </w:t>
            </w:r>
            <w:r w:rsidR="00C84392">
              <w:t>PAH</w:t>
            </w:r>
          </w:p>
        </w:tc>
        <w:tc>
          <w:tcPr>
            <w:tcW w:w="2330" w:type="dxa"/>
            <w:gridSpan w:val="2"/>
          </w:tcPr>
          <w:p w:rsidR="009B35CE" w:rsidRDefault="009B35CE" w:rsidP="00550EA7">
            <w:pPr>
              <w:pStyle w:val="Tabletext"/>
            </w:pPr>
            <w:r>
              <w:t>SERAPHIN</w:t>
            </w:r>
            <w:r w:rsidR="00E85CDD">
              <w:br/>
            </w:r>
            <w:r>
              <w:t>(macitentan/any PDE-5i)</w:t>
            </w:r>
          </w:p>
          <w:p w:rsidR="009B35CE" w:rsidRDefault="009B35CE" w:rsidP="00550EA7">
            <w:pPr>
              <w:pStyle w:val="Tabletext"/>
            </w:pPr>
            <w:r>
              <w:t>AMBITION (ambrisentan/tadalafil)</w:t>
            </w:r>
          </w:p>
          <w:p w:rsidR="00EC5CFD" w:rsidRPr="001D637C" w:rsidRDefault="00EC5CFD" w:rsidP="009F446F">
            <w:pPr>
              <w:pStyle w:val="Tabletext"/>
            </w:pPr>
            <w:r>
              <w:t>N=</w:t>
            </w:r>
            <w:r w:rsidR="009F446F">
              <w:t>7</w:t>
            </w:r>
            <w:r>
              <w:t>6</w:t>
            </w:r>
            <w:r w:rsidR="009F446F">
              <w:t>1</w:t>
            </w:r>
          </w:p>
        </w:tc>
        <w:tc>
          <w:tcPr>
            <w:tcW w:w="5749" w:type="dxa"/>
            <w:gridSpan w:val="2"/>
          </w:tcPr>
          <w:p w:rsidR="009B35CE" w:rsidRPr="006B11DC" w:rsidRDefault="009B35CE" w:rsidP="00480FDF">
            <w:pPr>
              <w:pStyle w:val="Tabletext"/>
              <w:numPr>
                <w:ilvl w:val="0"/>
                <w:numId w:val="27"/>
              </w:numPr>
              <w:ind w:left="227" w:hanging="219"/>
            </w:pPr>
            <w:r w:rsidRPr="006B11DC">
              <w:t>High quality</w:t>
            </w:r>
            <w:r w:rsidRPr="006B11DC">
              <w:rPr>
                <w:rFonts w:cs="Cambria Math"/>
              </w:rPr>
              <w:t xml:space="preserve"> evidence (GRADE </w:t>
            </w:r>
            <w:r w:rsidRPr="006B11DC">
              <w:rPr>
                <w:rFonts w:ascii="Cambria Math" w:hAnsi="Cambria Math" w:cs="Cambria Math"/>
                <w:color w:val="00B050"/>
              </w:rPr>
              <w:t>⨁⨁⨁⨁</w:t>
            </w:r>
            <w:r w:rsidRPr="006B11DC">
              <w:t>)</w:t>
            </w:r>
          </w:p>
          <w:p w:rsidR="009B35CE" w:rsidRDefault="00767852" w:rsidP="00480FDF">
            <w:pPr>
              <w:pStyle w:val="Tabletext"/>
              <w:numPr>
                <w:ilvl w:val="0"/>
                <w:numId w:val="27"/>
              </w:numPr>
              <w:ind w:left="227" w:hanging="219"/>
            </w:pPr>
            <w:r w:rsidRPr="00767852">
              <w:t xml:space="preserve">Significantly fewer patients </w:t>
            </w:r>
            <w:r>
              <w:t xml:space="preserve">were hospitalised for worsening PAH </w:t>
            </w:r>
            <w:r w:rsidRPr="00767852">
              <w:t>with combination therapy compared with monotherapy</w:t>
            </w:r>
            <w:r w:rsidRPr="00767852" w:rsidDel="00767852">
              <w:t xml:space="preserve"> </w:t>
            </w:r>
            <w:r w:rsidR="009B35CE" w:rsidRPr="006B11DC">
              <w:t>(</w:t>
            </w:r>
            <w:r w:rsidR="009B35CE">
              <w:t xml:space="preserve">pooled </w:t>
            </w:r>
            <w:r w:rsidR="009B35CE" w:rsidRPr="006B11DC">
              <w:t xml:space="preserve">RR = </w:t>
            </w:r>
            <w:r w:rsidR="009B35CE">
              <w:t>0</w:t>
            </w:r>
            <w:r w:rsidR="009B35CE" w:rsidRPr="006B11DC">
              <w:t>.</w:t>
            </w:r>
            <w:r w:rsidR="00EE4DF7">
              <w:t>6</w:t>
            </w:r>
            <w:r>
              <w:t>7</w:t>
            </w:r>
            <w:r w:rsidR="009B35CE" w:rsidRPr="006B11DC">
              <w:t xml:space="preserve">; 95% CI </w:t>
            </w:r>
            <w:r w:rsidR="009B35CE">
              <w:t>0</w:t>
            </w:r>
            <w:r w:rsidR="009B35CE" w:rsidRPr="006B11DC">
              <w:t>.</w:t>
            </w:r>
            <w:r w:rsidR="00EE4DF7">
              <w:t>4</w:t>
            </w:r>
            <w:r w:rsidR="009B35CE">
              <w:t>5</w:t>
            </w:r>
            <w:r w:rsidR="009B35CE" w:rsidRPr="006B11DC">
              <w:t xml:space="preserve">, </w:t>
            </w:r>
            <w:r w:rsidR="009B35CE">
              <w:t>0</w:t>
            </w:r>
            <w:r>
              <w:t>.9</w:t>
            </w:r>
            <w:r w:rsidR="00EE4DF7">
              <w:t>8</w:t>
            </w:r>
            <w:r w:rsidR="009B35CE" w:rsidRPr="006B11DC">
              <w:t>)</w:t>
            </w:r>
          </w:p>
          <w:p w:rsidR="000E0079" w:rsidRPr="006B11DC" w:rsidRDefault="000E0079" w:rsidP="00480FDF">
            <w:pPr>
              <w:pStyle w:val="Tabletext"/>
              <w:numPr>
                <w:ilvl w:val="0"/>
                <w:numId w:val="27"/>
              </w:numPr>
              <w:ind w:left="227" w:hanging="219"/>
            </w:pPr>
            <w:r w:rsidRPr="000E0079">
              <w:rPr>
                <w:szCs w:val="18"/>
              </w:rPr>
              <w:t xml:space="preserve">There were no significant differences in </w:t>
            </w:r>
            <w:r w:rsidR="00B14A50">
              <w:rPr>
                <w:szCs w:val="18"/>
              </w:rPr>
              <w:t xml:space="preserve">treatment </w:t>
            </w:r>
            <w:r w:rsidRPr="000E0079">
              <w:rPr>
                <w:szCs w:val="18"/>
              </w:rPr>
              <w:t xml:space="preserve">effectiveness for </w:t>
            </w:r>
            <w:r w:rsidR="00B14A50">
              <w:rPr>
                <w:szCs w:val="18"/>
              </w:rPr>
              <w:t xml:space="preserve">the </w:t>
            </w:r>
            <w:r w:rsidRPr="000E0079">
              <w:rPr>
                <w:szCs w:val="18"/>
              </w:rPr>
              <w:t>different treatment combinations</w:t>
            </w:r>
          </w:p>
        </w:tc>
      </w:tr>
      <w:tr w:rsidR="009B35CE" w:rsidTr="00DE4B2C">
        <w:tc>
          <w:tcPr>
            <w:tcW w:w="1555" w:type="dxa"/>
          </w:tcPr>
          <w:p w:rsidR="009B35CE" w:rsidRPr="001D637C" w:rsidRDefault="009B35CE" w:rsidP="00550EA7">
            <w:pPr>
              <w:pStyle w:val="Tabletext"/>
            </w:pPr>
            <w:r w:rsidRPr="00FA1124">
              <w:t>Improved WHO FC</w:t>
            </w:r>
          </w:p>
        </w:tc>
        <w:tc>
          <w:tcPr>
            <w:tcW w:w="2330" w:type="dxa"/>
            <w:gridSpan w:val="2"/>
          </w:tcPr>
          <w:p w:rsidR="009B35CE" w:rsidRDefault="009B35CE" w:rsidP="00550EA7">
            <w:pPr>
              <w:pStyle w:val="Tabletext"/>
            </w:pPr>
            <w:r>
              <w:t xml:space="preserve">COMPASS-2 </w:t>
            </w:r>
            <w:r w:rsidRPr="00542902">
              <w:t>(bosentan/sildenafil)</w:t>
            </w:r>
          </w:p>
          <w:p w:rsidR="009B35CE" w:rsidRDefault="009B35CE" w:rsidP="00550EA7">
            <w:pPr>
              <w:pStyle w:val="Tabletext"/>
            </w:pPr>
            <w:r>
              <w:t>AMBITION (ambrisentan/tadalafil)</w:t>
            </w:r>
          </w:p>
          <w:p w:rsidR="00D03AF8" w:rsidRPr="001D637C" w:rsidRDefault="00D03AF8" w:rsidP="00550EA7">
            <w:pPr>
              <w:pStyle w:val="Tabletext"/>
            </w:pPr>
            <w:r>
              <w:t>N=7</w:t>
            </w:r>
            <w:r w:rsidRPr="006316DF">
              <w:t>0</w:t>
            </w:r>
            <w:r>
              <w:t>6</w:t>
            </w:r>
          </w:p>
        </w:tc>
        <w:tc>
          <w:tcPr>
            <w:tcW w:w="5749" w:type="dxa"/>
            <w:gridSpan w:val="2"/>
          </w:tcPr>
          <w:p w:rsidR="00D103A9" w:rsidRPr="006B11DC" w:rsidRDefault="00D103A9" w:rsidP="00480FDF">
            <w:pPr>
              <w:pStyle w:val="Tabletext"/>
              <w:numPr>
                <w:ilvl w:val="0"/>
                <w:numId w:val="27"/>
              </w:numPr>
              <w:ind w:left="227" w:hanging="219"/>
            </w:pPr>
            <w:r w:rsidRPr="006B11DC">
              <w:t>High quality</w:t>
            </w:r>
            <w:r w:rsidRPr="006B11DC">
              <w:rPr>
                <w:rFonts w:cs="Cambria Math"/>
              </w:rPr>
              <w:t xml:space="preserve"> evidence (GRADE </w:t>
            </w:r>
            <w:r w:rsidRPr="006B11DC">
              <w:rPr>
                <w:rFonts w:ascii="Cambria Math" w:hAnsi="Cambria Math" w:cs="Cambria Math"/>
                <w:color w:val="00B050"/>
              </w:rPr>
              <w:t>⨁⨁⨁⨁</w:t>
            </w:r>
            <w:r w:rsidRPr="006B11DC">
              <w:t>)</w:t>
            </w:r>
          </w:p>
          <w:p w:rsidR="009B35CE" w:rsidRDefault="009B35CE" w:rsidP="00480FDF">
            <w:pPr>
              <w:pStyle w:val="Tabletext"/>
              <w:numPr>
                <w:ilvl w:val="0"/>
                <w:numId w:val="27"/>
              </w:numPr>
              <w:ind w:left="227" w:hanging="219"/>
            </w:pPr>
            <w:r w:rsidRPr="00550EA7">
              <w:t xml:space="preserve">There was little difference in the proportion of patients whose </w:t>
            </w:r>
            <w:r w:rsidRPr="006B11DC">
              <w:t xml:space="preserve">WHO FC </w:t>
            </w:r>
            <w:r>
              <w:t xml:space="preserve">improved </w:t>
            </w:r>
            <w:r w:rsidRPr="006B11DC">
              <w:t xml:space="preserve">with </w:t>
            </w:r>
            <w:r>
              <w:t>combination therapy</w:t>
            </w:r>
            <w:r w:rsidRPr="006B11DC">
              <w:t xml:space="preserve"> compared with </w:t>
            </w:r>
            <w:r>
              <w:t>monotherapy</w:t>
            </w:r>
            <w:r w:rsidRPr="006B11DC">
              <w:t xml:space="preserve"> (</w:t>
            </w:r>
            <w:r>
              <w:t xml:space="preserve">pooled </w:t>
            </w:r>
            <w:r w:rsidRPr="006B11DC">
              <w:t xml:space="preserve">RR = </w:t>
            </w:r>
            <w:r>
              <w:t>1</w:t>
            </w:r>
            <w:r w:rsidRPr="006B11DC">
              <w:t>.1</w:t>
            </w:r>
            <w:r>
              <w:t>0</w:t>
            </w:r>
            <w:r w:rsidRPr="006B11DC">
              <w:t>; 95% CI 0.</w:t>
            </w:r>
            <w:r>
              <w:t>85</w:t>
            </w:r>
            <w:r w:rsidRPr="006B11DC">
              <w:t>, 1.</w:t>
            </w:r>
            <w:r>
              <w:t>42</w:t>
            </w:r>
            <w:r w:rsidRPr="006B11DC">
              <w:t>)</w:t>
            </w:r>
          </w:p>
          <w:p w:rsidR="000E0079" w:rsidRPr="006B11DC" w:rsidRDefault="000E0079" w:rsidP="00480FDF">
            <w:pPr>
              <w:pStyle w:val="Tabletext"/>
              <w:numPr>
                <w:ilvl w:val="0"/>
                <w:numId w:val="27"/>
              </w:numPr>
              <w:ind w:left="227" w:hanging="219"/>
            </w:pPr>
            <w:r w:rsidRPr="000E0079">
              <w:rPr>
                <w:szCs w:val="18"/>
              </w:rPr>
              <w:t xml:space="preserve">There were no significant differences in </w:t>
            </w:r>
            <w:r w:rsidR="00B14A50">
              <w:rPr>
                <w:szCs w:val="18"/>
              </w:rPr>
              <w:t xml:space="preserve">treatment </w:t>
            </w:r>
            <w:r w:rsidRPr="000E0079">
              <w:rPr>
                <w:szCs w:val="18"/>
              </w:rPr>
              <w:t xml:space="preserve">effectiveness for </w:t>
            </w:r>
            <w:r w:rsidR="00B14A50">
              <w:rPr>
                <w:szCs w:val="18"/>
              </w:rPr>
              <w:t xml:space="preserve">the </w:t>
            </w:r>
            <w:r w:rsidRPr="000E0079">
              <w:rPr>
                <w:szCs w:val="18"/>
              </w:rPr>
              <w:t>different treatment combinations</w:t>
            </w:r>
          </w:p>
        </w:tc>
      </w:tr>
      <w:tr w:rsidR="009B35CE" w:rsidTr="00DE4B2C">
        <w:tc>
          <w:tcPr>
            <w:tcW w:w="1555" w:type="dxa"/>
          </w:tcPr>
          <w:p w:rsidR="009B35CE" w:rsidRPr="001D637C" w:rsidRDefault="009B35CE" w:rsidP="00550EA7">
            <w:pPr>
              <w:pStyle w:val="Tabletext"/>
            </w:pPr>
            <w:r>
              <w:t>Worsened WHO FC</w:t>
            </w:r>
          </w:p>
        </w:tc>
        <w:tc>
          <w:tcPr>
            <w:tcW w:w="2330" w:type="dxa"/>
            <w:gridSpan w:val="2"/>
          </w:tcPr>
          <w:p w:rsidR="009B35CE" w:rsidRDefault="009B35CE" w:rsidP="00550EA7">
            <w:pPr>
              <w:pStyle w:val="Tabletext"/>
            </w:pPr>
            <w:r>
              <w:t xml:space="preserve">COMPASS-2 </w:t>
            </w:r>
            <w:r w:rsidRPr="00542902">
              <w:t>(bosentan/sildenafil)</w:t>
            </w:r>
          </w:p>
          <w:p w:rsidR="00D03AF8" w:rsidRDefault="009B35CE" w:rsidP="00D03AF8">
            <w:pPr>
              <w:pStyle w:val="Tabletext"/>
            </w:pPr>
            <w:r>
              <w:t>AMBITION (ambrisentan/tadalafil)</w:t>
            </w:r>
            <w:r w:rsidR="00D03AF8">
              <w:t xml:space="preserve"> </w:t>
            </w:r>
          </w:p>
          <w:p w:rsidR="009B35CE" w:rsidRPr="001D637C" w:rsidRDefault="00D03AF8" w:rsidP="00D03AF8">
            <w:pPr>
              <w:pStyle w:val="Tabletext"/>
            </w:pPr>
            <w:r>
              <w:t>N=7</w:t>
            </w:r>
            <w:r w:rsidRPr="006316DF">
              <w:t>0</w:t>
            </w:r>
            <w:r>
              <w:t>6</w:t>
            </w:r>
          </w:p>
        </w:tc>
        <w:tc>
          <w:tcPr>
            <w:tcW w:w="5749" w:type="dxa"/>
            <w:gridSpan w:val="2"/>
          </w:tcPr>
          <w:p w:rsidR="00D103A9" w:rsidRPr="006B11DC" w:rsidRDefault="00D103A9" w:rsidP="00480FDF">
            <w:pPr>
              <w:pStyle w:val="Tabletext"/>
              <w:numPr>
                <w:ilvl w:val="0"/>
                <w:numId w:val="27"/>
              </w:numPr>
              <w:ind w:left="227" w:hanging="219"/>
            </w:pPr>
            <w:r w:rsidRPr="006B11DC">
              <w:t>High quality</w:t>
            </w:r>
            <w:r w:rsidRPr="006B11DC">
              <w:rPr>
                <w:rFonts w:cs="Cambria Math"/>
              </w:rPr>
              <w:t xml:space="preserve"> evidence (GRADE </w:t>
            </w:r>
            <w:r w:rsidRPr="006B11DC">
              <w:rPr>
                <w:rFonts w:ascii="Cambria Math" w:hAnsi="Cambria Math" w:cs="Cambria Math"/>
                <w:color w:val="00B050"/>
              </w:rPr>
              <w:t>⨁⨁⨁⨁</w:t>
            </w:r>
            <w:r w:rsidRPr="006B11DC">
              <w:t>)</w:t>
            </w:r>
          </w:p>
          <w:p w:rsidR="009B35CE" w:rsidRDefault="009B35CE" w:rsidP="00480FDF">
            <w:pPr>
              <w:pStyle w:val="Tabletext"/>
              <w:numPr>
                <w:ilvl w:val="0"/>
                <w:numId w:val="27"/>
              </w:numPr>
              <w:ind w:left="227" w:hanging="219"/>
            </w:pPr>
            <w:r w:rsidRPr="00550EA7">
              <w:t xml:space="preserve">There was no difference in the proportion of patients whose </w:t>
            </w:r>
            <w:r w:rsidRPr="006B11DC">
              <w:t xml:space="preserve">WHO FC </w:t>
            </w:r>
            <w:r>
              <w:t xml:space="preserve">worsened </w:t>
            </w:r>
            <w:r w:rsidRPr="006B11DC">
              <w:t xml:space="preserve">with </w:t>
            </w:r>
            <w:r>
              <w:t>combination therapy</w:t>
            </w:r>
            <w:r w:rsidRPr="006B11DC">
              <w:t xml:space="preserve"> compared with </w:t>
            </w:r>
            <w:r>
              <w:t>monotherapy</w:t>
            </w:r>
            <w:r w:rsidRPr="006B11DC">
              <w:t xml:space="preserve"> (</w:t>
            </w:r>
            <w:r>
              <w:t xml:space="preserve">pooled </w:t>
            </w:r>
            <w:r w:rsidRPr="006B11DC">
              <w:t xml:space="preserve">RR = </w:t>
            </w:r>
            <w:r>
              <w:t>1.00</w:t>
            </w:r>
            <w:r w:rsidRPr="006B11DC">
              <w:t>; 95% CI 0.</w:t>
            </w:r>
            <w:r>
              <w:t>58</w:t>
            </w:r>
            <w:r w:rsidRPr="006B11DC">
              <w:t>, 1.</w:t>
            </w:r>
            <w:r>
              <w:t>73</w:t>
            </w:r>
            <w:r w:rsidRPr="006B11DC">
              <w:t>)</w:t>
            </w:r>
          </w:p>
          <w:p w:rsidR="000E0079" w:rsidRPr="006B11DC" w:rsidRDefault="000E0079" w:rsidP="00480FDF">
            <w:pPr>
              <w:pStyle w:val="Tabletext"/>
              <w:numPr>
                <w:ilvl w:val="0"/>
                <w:numId w:val="27"/>
              </w:numPr>
              <w:ind w:left="227" w:hanging="219"/>
            </w:pPr>
            <w:r w:rsidRPr="000E0079">
              <w:rPr>
                <w:szCs w:val="18"/>
              </w:rPr>
              <w:t xml:space="preserve">There were no significant differences in </w:t>
            </w:r>
            <w:r w:rsidR="00D63B76">
              <w:rPr>
                <w:szCs w:val="18"/>
              </w:rPr>
              <w:t xml:space="preserve">treatment </w:t>
            </w:r>
            <w:r w:rsidRPr="000E0079">
              <w:rPr>
                <w:szCs w:val="18"/>
              </w:rPr>
              <w:t xml:space="preserve">effectiveness for </w:t>
            </w:r>
            <w:r w:rsidR="00D63B76">
              <w:rPr>
                <w:szCs w:val="18"/>
              </w:rPr>
              <w:t xml:space="preserve">the </w:t>
            </w:r>
            <w:r w:rsidRPr="000E0079">
              <w:rPr>
                <w:szCs w:val="18"/>
              </w:rPr>
              <w:t>different treatment combinations</w:t>
            </w:r>
          </w:p>
        </w:tc>
      </w:tr>
      <w:tr w:rsidR="009B35CE" w:rsidTr="00DE4B2C">
        <w:tc>
          <w:tcPr>
            <w:tcW w:w="1555" w:type="dxa"/>
          </w:tcPr>
          <w:p w:rsidR="009B35CE" w:rsidRPr="001D637C" w:rsidRDefault="009B35CE" w:rsidP="00550EA7">
            <w:pPr>
              <w:pStyle w:val="Tabletext"/>
            </w:pPr>
            <w:r>
              <w:t>Change in 6MWD</w:t>
            </w:r>
            <w:r w:rsidR="006F1431">
              <w:t xml:space="preserve"> from baseline</w:t>
            </w:r>
          </w:p>
        </w:tc>
        <w:tc>
          <w:tcPr>
            <w:tcW w:w="2330" w:type="dxa"/>
            <w:gridSpan w:val="2"/>
          </w:tcPr>
          <w:p w:rsidR="009B35CE" w:rsidRDefault="009B35CE" w:rsidP="00550EA7">
            <w:pPr>
              <w:pStyle w:val="Tabletext"/>
            </w:pPr>
            <w:r>
              <w:t>EARLY</w:t>
            </w:r>
            <w:r w:rsidR="00B37D37">
              <w:br/>
            </w:r>
            <w:r>
              <w:t>(bosentan/sildenafil)</w:t>
            </w:r>
          </w:p>
          <w:p w:rsidR="009B35CE" w:rsidRDefault="009B35CE" w:rsidP="00550EA7">
            <w:pPr>
              <w:pStyle w:val="Tabletext"/>
            </w:pPr>
            <w:r>
              <w:t>COMPASS-2</w:t>
            </w:r>
            <w:r w:rsidR="00B37D37">
              <w:br/>
            </w:r>
            <w:r w:rsidRPr="00542902">
              <w:t>(bosentan/sildenafil)</w:t>
            </w:r>
          </w:p>
          <w:p w:rsidR="009B35CE" w:rsidRDefault="009B35CE" w:rsidP="00550EA7">
            <w:pPr>
              <w:pStyle w:val="Tabletext"/>
            </w:pPr>
            <w:r>
              <w:t>SERAPHIN</w:t>
            </w:r>
            <w:r w:rsidR="00B37D37">
              <w:br/>
            </w:r>
            <w:r>
              <w:t>(macitentan/any PDE-5i)</w:t>
            </w:r>
          </w:p>
          <w:p w:rsidR="00D03AF8" w:rsidRDefault="009B35CE" w:rsidP="00550EA7">
            <w:pPr>
              <w:pStyle w:val="Tabletext"/>
            </w:pPr>
            <w:r>
              <w:t>AMBITION (ambrisentan/tadalafil)</w:t>
            </w:r>
            <w:r w:rsidR="00D03AF8" w:rsidRPr="006316DF">
              <w:t xml:space="preserve"> </w:t>
            </w:r>
          </w:p>
          <w:p w:rsidR="009B35CE" w:rsidRPr="001D637C" w:rsidRDefault="00D03AF8" w:rsidP="00550EA7">
            <w:pPr>
              <w:pStyle w:val="Tabletext"/>
            </w:pPr>
            <w:r w:rsidRPr="006316DF">
              <w:t>N=1</w:t>
            </w:r>
            <w:r>
              <w:t>,0</w:t>
            </w:r>
            <w:r w:rsidRPr="006316DF">
              <w:t>4</w:t>
            </w:r>
            <w:r>
              <w:t>6</w:t>
            </w:r>
          </w:p>
        </w:tc>
        <w:tc>
          <w:tcPr>
            <w:tcW w:w="5749" w:type="dxa"/>
            <w:gridSpan w:val="2"/>
          </w:tcPr>
          <w:p w:rsidR="00D103A9" w:rsidRPr="006B11DC" w:rsidRDefault="00B179F1" w:rsidP="00480FDF">
            <w:pPr>
              <w:pStyle w:val="Tabletext"/>
              <w:numPr>
                <w:ilvl w:val="0"/>
                <w:numId w:val="27"/>
              </w:numPr>
              <w:ind w:left="227" w:hanging="219"/>
            </w:pPr>
            <w:r>
              <w:t>Low</w:t>
            </w:r>
            <w:r w:rsidR="00F705F8" w:rsidRPr="006B11DC">
              <w:t xml:space="preserve"> </w:t>
            </w:r>
            <w:r w:rsidR="00D103A9" w:rsidRPr="006B11DC">
              <w:t>quality</w:t>
            </w:r>
            <w:r w:rsidR="00D103A9" w:rsidRPr="006B11DC">
              <w:rPr>
                <w:rFonts w:cs="Cambria Math"/>
              </w:rPr>
              <w:t xml:space="preserve"> evidence (GRADE </w:t>
            </w:r>
            <w:r w:rsidR="00D103A9" w:rsidRPr="006B11DC">
              <w:rPr>
                <w:rFonts w:ascii="Cambria Math" w:hAnsi="Cambria Math" w:cs="Cambria Math"/>
                <w:color w:val="00B050"/>
              </w:rPr>
              <w:t>⨁⨁</w:t>
            </w:r>
            <w:r w:rsidRPr="00FA1124">
              <w:rPr>
                <w:rFonts w:ascii="Cambria Math" w:hAnsi="Cambria Math" w:cs="Cambria Math"/>
                <w:color w:val="C00000"/>
              </w:rPr>
              <w:t>⨀</w:t>
            </w:r>
            <w:r w:rsidR="00F705F8" w:rsidRPr="006316DF">
              <w:rPr>
                <w:rFonts w:ascii="Cambria Math" w:hAnsi="Cambria Math" w:cs="Cambria Math"/>
                <w:color w:val="C00000"/>
              </w:rPr>
              <w:t>⨀</w:t>
            </w:r>
            <w:r w:rsidR="00D103A9" w:rsidRPr="006B11DC">
              <w:t>)</w:t>
            </w:r>
          </w:p>
          <w:p w:rsidR="009B35CE" w:rsidRPr="006F1431" w:rsidRDefault="006B2E03" w:rsidP="00480FDF">
            <w:pPr>
              <w:pStyle w:val="Tabletext"/>
              <w:numPr>
                <w:ilvl w:val="0"/>
                <w:numId w:val="27"/>
              </w:numPr>
              <w:ind w:left="227" w:hanging="219"/>
            </w:pPr>
            <w:r w:rsidRPr="006F1431">
              <w:t>In 3 out of 4 studies, p</w:t>
            </w:r>
            <w:r w:rsidR="009B35CE" w:rsidRPr="006F1431">
              <w:t>atients on combination therapy had a larger mean improvement in their 6MWD than those on monotherapy</w:t>
            </w:r>
            <w:r w:rsidR="00F91388" w:rsidRPr="006F1431">
              <w:t>, but the difference was not clinically important</w:t>
            </w:r>
            <w:r w:rsidR="009B35CE" w:rsidRPr="006F1431">
              <w:t xml:space="preserve"> (range 17.</w:t>
            </w:r>
            <w:r w:rsidR="006B2A7D" w:rsidRPr="006F1431">
              <w:t>3</w:t>
            </w:r>
            <w:r w:rsidR="009B6434" w:rsidRPr="006F1431">
              <w:t xml:space="preserve"> m less to</w:t>
            </w:r>
            <w:r w:rsidR="009B35CE" w:rsidRPr="006F1431">
              <w:t xml:space="preserve"> 26.3</w:t>
            </w:r>
            <w:r w:rsidR="009B6434" w:rsidRPr="006F1431">
              <w:t xml:space="preserve"> m </w:t>
            </w:r>
            <w:r w:rsidR="00D63B76" w:rsidRPr="006F1431">
              <w:t xml:space="preserve">walked </w:t>
            </w:r>
            <w:r w:rsidR="009B6434" w:rsidRPr="006F1431">
              <w:t>further</w:t>
            </w:r>
            <w:r w:rsidR="009B35CE" w:rsidRPr="006F1431">
              <w:t>)</w:t>
            </w:r>
          </w:p>
          <w:p w:rsidR="000E0079" w:rsidRPr="006B11DC" w:rsidRDefault="000E0079" w:rsidP="00480FDF">
            <w:pPr>
              <w:pStyle w:val="Tabletext"/>
              <w:numPr>
                <w:ilvl w:val="0"/>
                <w:numId w:val="27"/>
              </w:numPr>
              <w:ind w:left="227" w:hanging="219"/>
            </w:pPr>
            <w:r w:rsidRPr="006F1431">
              <w:rPr>
                <w:szCs w:val="18"/>
              </w:rPr>
              <w:t xml:space="preserve">There were no significant differences in </w:t>
            </w:r>
            <w:r w:rsidR="004E3670" w:rsidRPr="006F1431">
              <w:rPr>
                <w:szCs w:val="18"/>
              </w:rPr>
              <w:t xml:space="preserve">treatment </w:t>
            </w:r>
            <w:r w:rsidRPr="006F1431">
              <w:rPr>
                <w:szCs w:val="18"/>
              </w:rPr>
              <w:t xml:space="preserve">effectiveness for </w:t>
            </w:r>
            <w:r w:rsidR="004E3670" w:rsidRPr="006F1431">
              <w:rPr>
                <w:szCs w:val="18"/>
              </w:rPr>
              <w:t xml:space="preserve">the </w:t>
            </w:r>
            <w:r w:rsidRPr="006F1431">
              <w:rPr>
                <w:szCs w:val="18"/>
              </w:rPr>
              <w:t>different treatment combinations</w:t>
            </w:r>
          </w:p>
        </w:tc>
      </w:tr>
      <w:tr w:rsidR="009B35CE" w:rsidTr="00DE4B2C">
        <w:tc>
          <w:tcPr>
            <w:tcW w:w="1555" w:type="dxa"/>
          </w:tcPr>
          <w:p w:rsidR="009B35CE" w:rsidRDefault="009B35CE" w:rsidP="00550EA7">
            <w:pPr>
              <w:pStyle w:val="Tabletext"/>
            </w:pPr>
            <w:r>
              <w:t>Change in QoL</w:t>
            </w:r>
            <w:r w:rsidR="006F1431">
              <w:t xml:space="preserve"> from baseline</w:t>
            </w:r>
            <w:r>
              <w:t>:</w:t>
            </w:r>
          </w:p>
          <w:p w:rsidR="009B35CE" w:rsidRPr="001D637C" w:rsidRDefault="009B35CE" w:rsidP="00550EA7">
            <w:pPr>
              <w:pStyle w:val="Tabletext"/>
            </w:pPr>
            <w:r>
              <w:t>SF-36</w:t>
            </w:r>
            <w:r w:rsidR="000A7CB9">
              <w:t xml:space="preserve"> physical component</w:t>
            </w:r>
            <w:r w:rsidR="00384D2C" w:rsidRPr="00384D2C">
              <w:rPr>
                <w:vertAlign w:val="superscript"/>
              </w:rPr>
              <w:t>a</w:t>
            </w:r>
          </w:p>
        </w:tc>
        <w:tc>
          <w:tcPr>
            <w:tcW w:w="2330" w:type="dxa"/>
            <w:gridSpan w:val="2"/>
          </w:tcPr>
          <w:p w:rsidR="00D03AF8" w:rsidRDefault="009B35CE" w:rsidP="00B37D37">
            <w:pPr>
              <w:pStyle w:val="Tabletext"/>
            </w:pPr>
            <w:r>
              <w:t>SERAPHIN</w:t>
            </w:r>
            <w:r w:rsidR="00B37D37">
              <w:br/>
            </w:r>
            <w:r>
              <w:t>(macitentan/any PDE-5i)</w:t>
            </w:r>
            <w:r w:rsidR="00D03AF8" w:rsidRPr="006316DF">
              <w:t xml:space="preserve"> </w:t>
            </w:r>
          </w:p>
          <w:p w:rsidR="009B35CE" w:rsidRPr="001D637C" w:rsidRDefault="00D03AF8" w:rsidP="00B37D37">
            <w:pPr>
              <w:pStyle w:val="Tabletext"/>
            </w:pPr>
            <w:r w:rsidRPr="006316DF">
              <w:t>N=</w:t>
            </w:r>
            <w:r>
              <w:t>299</w:t>
            </w:r>
          </w:p>
        </w:tc>
        <w:tc>
          <w:tcPr>
            <w:tcW w:w="5749" w:type="dxa"/>
            <w:gridSpan w:val="2"/>
          </w:tcPr>
          <w:p w:rsidR="00D103A9" w:rsidRPr="006B11DC" w:rsidRDefault="00D103A9" w:rsidP="00480FDF">
            <w:pPr>
              <w:pStyle w:val="Tabletext"/>
              <w:numPr>
                <w:ilvl w:val="0"/>
                <w:numId w:val="27"/>
              </w:numPr>
              <w:ind w:left="227" w:hanging="219"/>
            </w:pPr>
            <w:r w:rsidRPr="006B11DC">
              <w:t>High quality</w:t>
            </w:r>
            <w:r w:rsidRPr="006B11DC">
              <w:rPr>
                <w:rFonts w:cs="Cambria Math"/>
              </w:rPr>
              <w:t xml:space="preserve"> evidence (GRADE </w:t>
            </w:r>
            <w:r w:rsidRPr="006B11DC">
              <w:rPr>
                <w:rFonts w:ascii="Cambria Math" w:hAnsi="Cambria Math" w:cs="Cambria Math"/>
                <w:color w:val="00B050"/>
              </w:rPr>
              <w:t>⨁⨁⨁⨁</w:t>
            </w:r>
            <w:r w:rsidRPr="006B11DC">
              <w:t>)</w:t>
            </w:r>
          </w:p>
          <w:p w:rsidR="009B35CE" w:rsidRPr="006B11DC" w:rsidRDefault="009B35CE" w:rsidP="00480FDF">
            <w:pPr>
              <w:pStyle w:val="Tabletext"/>
              <w:numPr>
                <w:ilvl w:val="0"/>
                <w:numId w:val="27"/>
              </w:numPr>
              <w:ind w:left="227" w:hanging="219"/>
            </w:pPr>
            <w:r w:rsidRPr="006B11DC">
              <w:t xml:space="preserve">Patients </w:t>
            </w:r>
            <w:r>
              <w:t>on combination therapy</w:t>
            </w:r>
            <w:r w:rsidRPr="006B11DC">
              <w:t xml:space="preserve"> had a larger mean improvement in their </w:t>
            </w:r>
            <w:r w:rsidR="006B2E03">
              <w:t>QoL</w:t>
            </w:r>
            <w:r w:rsidRPr="006B11DC">
              <w:t xml:space="preserve"> than those </w:t>
            </w:r>
            <w:r>
              <w:t>on monotherapy</w:t>
            </w:r>
            <w:r w:rsidRPr="006B11DC">
              <w:t xml:space="preserve"> (</w:t>
            </w:r>
            <w:r w:rsidRPr="00550EA7">
              <w:t>MD = 1.4 point improvement; 95% CI 0, 2.9)</w:t>
            </w:r>
          </w:p>
        </w:tc>
      </w:tr>
      <w:tr w:rsidR="00C46CE8" w:rsidTr="00A27740">
        <w:tc>
          <w:tcPr>
            <w:tcW w:w="3211" w:type="dxa"/>
            <w:gridSpan w:val="2"/>
            <w:shd w:val="clear" w:color="auto" w:fill="000000" w:themeFill="text1"/>
          </w:tcPr>
          <w:p w:rsidR="00C46CE8" w:rsidRPr="0034017B" w:rsidRDefault="00C46CE8" w:rsidP="00B37D37">
            <w:pPr>
              <w:pStyle w:val="Tabletext"/>
              <w:keepNext/>
            </w:pPr>
            <w:r>
              <w:t>P</w:t>
            </w:r>
            <w:r w:rsidRPr="0034017B">
              <w:t>atients with WHO FC III/IV PAH</w:t>
            </w:r>
          </w:p>
        </w:tc>
        <w:tc>
          <w:tcPr>
            <w:tcW w:w="3211" w:type="dxa"/>
            <w:gridSpan w:val="2"/>
            <w:shd w:val="clear" w:color="auto" w:fill="000000" w:themeFill="text1"/>
          </w:tcPr>
          <w:p w:rsidR="00C46CE8" w:rsidRPr="0034017B" w:rsidRDefault="00C46CE8" w:rsidP="00B37D37">
            <w:pPr>
              <w:pStyle w:val="Tabletext"/>
              <w:keepNext/>
            </w:pPr>
          </w:p>
        </w:tc>
        <w:tc>
          <w:tcPr>
            <w:tcW w:w="3212" w:type="dxa"/>
            <w:shd w:val="clear" w:color="auto" w:fill="000000" w:themeFill="text1"/>
          </w:tcPr>
          <w:p w:rsidR="00C46CE8" w:rsidRPr="0034017B" w:rsidRDefault="00C46CE8" w:rsidP="00B37D37">
            <w:pPr>
              <w:pStyle w:val="Tabletext"/>
              <w:keepNext/>
            </w:pPr>
          </w:p>
        </w:tc>
      </w:tr>
      <w:tr w:rsidR="009B35CE" w:rsidTr="00DE4B2C">
        <w:tc>
          <w:tcPr>
            <w:tcW w:w="1555" w:type="dxa"/>
          </w:tcPr>
          <w:p w:rsidR="009B35CE" w:rsidRDefault="009B35CE" w:rsidP="00550EA7">
            <w:pPr>
              <w:pStyle w:val="Tabletext"/>
            </w:pPr>
            <w:r w:rsidRPr="001D637C">
              <w:t>Clinical worsening</w:t>
            </w:r>
          </w:p>
        </w:tc>
        <w:tc>
          <w:tcPr>
            <w:tcW w:w="2330" w:type="dxa"/>
            <w:gridSpan w:val="2"/>
          </w:tcPr>
          <w:p w:rsidR="009B35CE" w:rsidRDefault="009B35CE" w:rsidP="00550EA7">
            <w:pPr>
              <w:pStyle w:val="Tabletext"/>
            </w:pPr>
            <w:r>
              <w:t xml:space="preserve">COMPASS-2 </w:t>
            </w:r>
            <w:r w:rsidRPr="00542902">
              <w:t>(bosentan/sildenafil)</w:t>
            </w:r>
          </w:p>
          <w:p w:rsidR="00D03AF8" w:rsidRDefault="009B35CE" w:rsidP="00B37D37">
            <w:pPr>
              <w:pStyle w:val="Tabletext"/>
            </w:pPr>
            <w:r>
              <w:t>SERAPHIN</w:t>
            </w:r>
            <w:r w:rsidR="00B37D37">
              <w:br/>
            </w:r>
            <w:r>
              <w:t>(macitentan/any PDE-5i)</w:t>
            </w:r>
            <w:r w:rsidR="00D03AF8" w:rsidRPr="006316DF">
              <w:t xml:space="preserve"> </w:t>
            </w:r>
          </w:p>
          <w:p w:rsidR="009B35CE" w:rsidRDefault="00D03AF8" w:rsidP="00B37D37">
            <w:pPr>
              <w:pStyle w:val="Tabletext"/>
            </w:pPr>
            <w:r w:rsidRPr="006316DF">
              <w:t>N=</w:t>
            </w:r>
            <w:r>
              <w:t>351</w:t>
            </w:r>
          </w:p>
        </w:tc>
        <w:tc>
          <w:tcPr>
            <w:tcW w:w="5749" w:type="dxa"/>
            <w:gridSpan w:val="2"/>
          </w:tcPr>
          <w:p w:rsidR="00D103A9" w:rsidRPr="006B11DC" w:rsidRDefault="00D103A9" w:rsidP="00480FDF">
            <w:pPr>
              <w:pStyle w:val="Tabletext"/>
              <w:numPr>
                <w:ilvl w:val="0"/>
                <w:numId w:val="27"/>
              </w:numPr>
              <w:ind w:left="227" w:hanging="219"/>
            </w:pPr>
            <w:r w:rsidRPr="006B11DC">
              <w:t>High quality</w:t>
            </w:r>
            <w:r w:rsidRPr="006B11DC">
              <w:rPr>
                <w:rFonts w:cs="Cambria Math"/>
              </w:rPr>
              <w:t xml:space="preserve"> evidence (GRADE </w:t>
            </w:r>
            <w:r w:rsidRPr="006B11DC">
              <w:rPr>
                <w:rFonts w:ascii="Cambria Math" w:hAnsi="Cambria Math" w:cs="Cambria Math"/>
                <w:color w:val="00B050"/>
              </w:rPr>
              <w:t>⨁⨁⨁⨁</w:t>
            </w:r>
            <w:r w:rsidRPr="006B11DC">
              <w:t>)</w:t>
            </w:r>
          </w:p>
          <w:p w:rsidR="009B35CE" w:rsidRPr="00DE4B2C" w:rsidRDefault="00A17B9D" w:rsidP="00A17B9D">
            <w:pPr>
              <w:pStyle w:val="Tabletext"/>
              <w:ind w:left="227" w:hanging="219"/>
              <w:rPr>
                <w:sz w:val="16"/>
                <w:szCs w:val="16"/>
                <w:highlight w:val="black"/>
              </w:rPr>
            </w:pP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p w:rsidR="000E0079" w:rsidRPr="00A17B9D" w:rsidRDefault="00A17B9D" w:rsidP="00A17B9D">
            <w:pPr>
              <w:pStyle w:val="Tabletext"/>
              <w:ind w:left="227" w:hanging="219"/>
              <w:rPr>
                <w:highlight w:val="black"/>
              </w:rPr>
            </w:pP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9B35CE" w:rsidTr="00DE4B2C">
        <w:tc>
          <w:tcPr>
            <w:tcW w:w="1555" w:type="dxa"/>
          </w:tcPr>
          <w:p w:rsidR="009B35CE" w:rsidRDefault="009B35CE" w:rsidP="00550EA7">
            <w:pPr>
              <w:pStyle w:val="Tabletext"/>
            </w:pPr>
            <w:r>
              <w:t>All-cause mortality</w:t>
            </w:r>
          </w:p>
        </w:tc>
        <w:tc>
          <w:tcPr>
            <w:tcW w:w="2330" w:type="dxa"/>
            <w:gridSpan w:val="2"/>
          </w:tcPr>
          <w:p w:rsidR="00D03AF8" w:rsidRDefault="009B35CE" w:rsidP="00B37D37">
            <w:pPr>
              <w:pStyle w:val="Tabletext"/>
            </w:pPr>
            <w:r>
              <w:t>SERAPHIN</w:t>
            </w:r>
            <w:r w:rsidR="00B37D37">
              <w:br/>
            </w:r>
            <w:r>
              <w:t>(macitentan/any PDE-5i)</w:t>
            </w:r>
            <w:r w:rsidR="00D03AF8" w:rsidRPr="006316DF">
              <w:t xml:space="preserve"> </w:t>
            </w:r>
          </w:p>
          <w:p w:rsidR="009B35CE" w:rsidRDefault="00D03AF8" w:rsidP="00B37D37">
            <w:pPr>
              <w:pStyle w:val="Tabletext"/>
            </w:pPr>
            <w:r w:rsidRPr="006316DF">
              <w:t>N=</w:t>
            </w:r>
            <w:r>
              <w:t>157</w:t>
            </w:r>
          </w:p>
        </w:tc>
        <w:tc>
          <w:tcPr>
            <w:tcW w:w="5749" w:type="dxa"/>
            <w:gridSpan w:val="2"/>
          </w:tcPr>
          <w:p w:rsidR="00D103A9" w:rsidRPr="006B11DC" w:rsidRDefault="00D103A9" w:rsidP="00480FDF">
            <w:pPr>
              <w:pStyle w:val="Tabletext"/>
              <w:numPr>
                <w:ilvl w:val="0"/>
                <w:numId w:val="27"/>
              </w:numPr>
              <w:ind w:left="227" w:hanging="219"/>
            </w:pPr>
            <w:r w:rsidRPr="006B11DC">
              <w:t>High quality</w:t>
            </w:r>
            <w:r w:rsidRPr="006B11DC">
              <w:rPr>
                <w:rFonts w:cs="Cambria Math"/>
              </w:rPr>
              <w:t xml:space="preserve"> evidence (GRADE </w:t>
            </w:r>
            <w:r w:rsidRPr="006B11DC">
              <w:rPr>
                <w:rFonts w:ascii="Cambria Math" w:hAnsi="Cambria Math" w:cs="Cambria Math"/>
                <w:color w:val="00B050"/>
              </w:rPr>
              <w:t>⨁⨁⨁⨁</w:t>
            </w:r>
            <w:r w:rsidRPr="006B11DC">
              <w:t>)</w:t>
            </w:r>
          </w:p>
          <w:p w:rsidR="009B35CE" w:rsidRPr="00A17B9D" w:rsidRDefault="00A17B9D" w:rsidP="00A17B9D">
            <w:pPr>
              <w:pStyle w:val="Tabletext"/>
              <w:ind w:left="227" w:hanging="219"/>
              <w:rPr>
                <w:highlight w:val="black"/>
              </w:rPr>
            </w:pP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9B35CE" w:rsidTr="00550EA7">
        <w:tc>
          <w:tcPr>
            <w:tcW w:w="9634" w:type="dxa"/>
            <w:gridSpan w:val="5"/>
            <w:shd w:val="clear" w:color="auto" w:fill="000000" w:themeFill="text1"/>
          </w:tcPr>
          <w:p w:rsidR="009B35CE" w:rsidRPr="0034017B" w:rsidRDefault="009B35CE" w:rsidP="00550EA7">
            <w:pPr>
              <w:pStyle w:val="Tabletext"/>
            </w:pPr>
            <w:r>
              <w:t>P</w:t>
            </w:r>
            <w:r w:rsidRPr="0034017B">
              <w:t>atients with different PAH aetiologies</w:t>
            </w:r>
          </w:p>
        </w:tc>
      </w:tr>
      <w:tr w:rsidR="009B35CE" w:rsidTr="00DE4B2C">
        <w:tc>
          <w:tcPr>
            <w:tcW w:w="1555" w:type="dxa"/>
          </w:tcPr>
          <w:p w:rsidR="009B35CE" w:rsidRDefault="009B35CE" w:rsidP="00550EA7">
            <w:pPr>
              <w:pStyle w:val="Tabletext"/>
            </w:pPr>
            <w:r w:rsidRPr="009F7572">
              <w:rPr>
                <w:rFonts w:cs="Tahoma"/>
              </w:rPr>
              <w:lastRenderedPageBreak/>
              <w:t>Clinical worsening in IPAH/HPAH</w:t>
            </w:r>
          </w:p>
        </w:tc>
        <w:tc>
          <w:tcPr>
            <w:tcW w:w="2330" w:type="dxa"/>
            <w:gridSpan w:val="2"/>
          </w:tcPr>
          <w:p w:rsidR="00D03AF8" w:rsidRDefault="009B35CE" w:rsidP="00550EA7">
            <w:pPr>
              <w:pStyle w:val="Tabletext"/>
            </w:pPr>
            <w:r>
              <w:t xml:space="preserve">COMPASS-2 </w:t>
            </w:r>
            <w:r w:rsidRPr="00542902">
              <w:t>(bosentan/sildenafil)</w:t>
            </w:r>
            <w:r w:rsidR="00D03AF8" w:rsidRPr="006316DF">
              <w:t xml:space="preserve"> </w:t>
            </w:r>
          </w:p>
          <w:p w:rsidR="009B35CE" w:rsidRDefault="00D03AF8" w:rsidP="00550EA7">
            <w:pPr>
              <w:pStyle w:val="Tabletext"/>
            </w:pPr>
            <w:r w:rsidRPr="006316DF">
              <w:t>N=</w:t>
            </w:r>
            <w:r>
              <w:t>226</w:t>
            </w:r>
          </w:p>
        </w:tc>
        <w:tc>
          <w:tcPr>
            <w:tcW w:w="5749" w:type="dxa"/>
            <w:gridSpan w:val="2"/>
          </w:tcPr>
          <w:p w:rsidR="00D103A9" w:rsidRPr="006B11DC" w:rsidRDefault="00D103A9" w:rsidP="00480FDF">
            <w:pPr>
              <w:pStyle w:val="Tabletext"/>
              <w:numPr>
                <w:ilvl w:val="0"/>
                <w:numId w:val="27"/>
              </w:numPr>
              <w:ind w:left="227" w:hanging="219"/>
            </w:pPr>
            <w:r w:rsidRPr="006B11DC">
              <w:t>High quality</w:t>
            </w:r>
            <w:r w:rsidRPr="006B11DC">
              <w:rPr>
                <w:rFonts w:cs="Cambria Math"/>
              </w:rPr>
              <w:t xml:space="preserve"> evidence (GRADE </w:t>
            </w:r>
            <w:r w:rsidRPr="006B11DC">
              <w:rPr>
                <w:rFonts w:ascii="Cambria Math" w:hAnsi="Cambria Math" w:cs="Cambria Math"/>
                <w:color w:val="00B050"/>
              </w:rPr>
              <w:t>⨁⨁⨁⨁</w:t>
            </w:r>
            <w:r w:rsidRPr="006B11DC">
              <w:t>)</w:t>
            </w:r>
          </w:p>
          <w:p w:rsidR="009B35CE" w:rsidRPr="006B11DC" w:rsidRDefault="009B35CE" w:rsidP="00480FDF">
            <w:pPr>
              <w:pStyle w:val="Tabletext"/>
              <w:numPr>
                <w:ilvl w:val="0"/>
                <w:numId w:val="27"/>
              </w:numPr>
              <w:ind w:left="227" w:hanging="219"/>
            </w:pPr>
            <w:r w:rsidRPr="00550EA7">
              <w:t>Fewer patients experienced clinical</w:t>
            </w:r>
            <w:r w:rsidRPr="0047271D">
              <w:t xml:space="preserve"> worsening with combination therapy compared with monotherapy</w:t>
            </w:r>
            <w:r>
              <w:t>,</w:t>
            </w:r>
            <w:r w:rsidRPr="0047271D">
              <w:t xml:space="preserve"> but the </w:t>
            </w:r>
            <w:r w:rsidR="00D84687">
              <w:t>95% CI indicates</w:t>
            </w:r>
            <w:r w:rsidRPr="0047271D">
              <w:t xml:space="preserve"> that there may also be </w:t>
            </w:r>
            <w:r w:rsidR="00CA40B9">
              <w:t>an</w:t>
            </w:r>
            <w:r>
              <w:t xml:space="preserve"> effect</w:t>
            </w:r>
            <w:r w:rsidRPr="0047271D">
              <w:t xml:space="preserve"> </w:t>
            </w:r>
            <w:r w:rsidR="00CA40B9">
              <w:t xml:space="preserve">in the opposite direction </w:t>
            </w:r>
            <w:r w:rsidRPr="0047271D">
              <w:t>(</w:t>
            </w:r>
            <w:r w:rsidR="000A7CB9">
              <w:t>H</w:t>
            </w:r>
            <w:r w:rsidRPr="0047271D">
              <w:t>R = 0.</w:t>
            </w:r>
            <w:r>
              <w:t>82</w:t>
            </w:r>
            <w:r w:rsidRPr="0047271D">
              <w:t>; 95% CI 0.</w:t>
            </w:r>
            <w:r>
              <w:t>5</w:t>
            </w:r>
            <w:r w:rsidRPr="0047271D">
              <w:t xml:space="preserve">5, </w:t>
            </w:r>
            <w:r>
              <w:t>1</w:t>
            </w:r>
            <w:r w:rsidRPr="0047271D">
              <w:t>.</w:t>
            </w:r>
            <w:r>
              <w:t>21</w:t>
            </w:r>
            <w:r w:rsidRPr="0047271D">
              <w:t>)</w:t>
            </w:r>
          </w:p>
        </w:tc>
      </w:tr>
      <w:tr w:rsidR="009B35CE" w:rsidTr="00DE4B2C">
        <w:tc>
          <w:tcPr>
            <w:tcW w:w="1555" w:type="dxa"/>
          </w:tcPr>
          <w:p w:rsidR="009B35CE" w:rsidRDefault="009B35CE" w:rsidP="00550EA7">
            <w:pPr>
              <w:pStyle w:val="Tabletext"/>
            </w:pPr>
            <w:r w:rsidRPr="009F7572">
              <w:rPr>
                <w:rFonts w:cs="Tahoma"/>
              </w:rPr>
              <w:t>Clinical worsening in PAH CTD</w:t>
            </w:r>
          </w:p>
        </w:tc>
        <w:tc>
          <w:tcPr>
            <w:tcW w:w="2330" w:type="dxa"/>
            <w:gridSpan w:val="2"/>
          </w:tcPr>
          <w:p w:rsidR="009B35CE" w:rsidRDefault="009B35CE" w:rsidP="00550EA7">
            <w:pPr>
              <w:pStyle w:val="Tabletext"/>
            </w:pPr>
            <w:r>
              <w:t xml:space="preserve">COMPASS-2 </w:t>
            </w:r>
            <w:r w:rsidRPr="00542902">
              <w:t>(bosentan/sildenafil)</w:t>
            </w:r>
          </w:p>
          <w:p w:rsidR="00D03AF8" w:rsidRDefault="009B35CE" w:rsidP="00550EA7">
            <w:pPr>
              <w:pStyle w:val="Tabletext"/>
            </w:pPr>
            <w:r>
              <w:t>AMBITION (ambrisentan/tadalafil)</w:t>
            </w:r>
            <w:r w:rsidR="00D03AF8" w:rsidRPr="006316DF">
              <w:t xml:space="preserve"> </w:t>
            </w:r>
          </w:p>
          <w:p w:rsidR="009B35CE" w:rsidRDefault="00D03AF8" w:rsidP="00550EA7">
            <w:pPr>
              <w:pStyle w:val="Tabletext"/>
            </w:pPr>
            <w:r w:rsidRPr="006316DF">
              <w:t>N=</w:t>
            </w:r>
            <w:r>
              <w:t>231</w:t>
            </w:r>
          </w:p>
        </w:tc>
        <w:tc>
          <w:tcPr>
            <w:tcW w:w="5749" w:type="dxa"/>
            <w:gridSpan w:val="2"/>
          </w:tcPr>
          <w:p w:rsidR="00D103A9" w:rsidRPr="006B11DC" w:rsidRDefault="00D103A9" w:rsidP="00480FDF">
            <w:pPr>
              <w:pStyle w:val="Tabletext"/>
              <w:numPr>
                <w:ilvl w:val="0"/>
                <w:numId w:val="27"/>
              </w:numPr>
              <w:ind w:left="227" w:hanging="219"/>
            </w:pPr>
            <w:r w:rsidRPr="006B11DC">
              <w:t>High quality</w:t>
            </w:r>
            <w:r w:rsidRPr="006B11DC">
              <w:rPr>
                <w:rFonts w:cs="Cambria Math"/>
              </w:rPr>
              <w:t xml:space="preserve"> evidence (GRADE </w:t>
            </w:r>
            <w:r w:rsidRPr="006B11DC">
              <w:rPr>
                <w:rFonts w:ascii="Cambria Math" w:hAnsi="Cambria Math" w:cs="Cambria Math"/>
                <w:color w:val="00B050"/>
              </w:rPr>
              <w:t>⨁⨁⨁⨁</w:t>
            </w:r>
            <w:r w:rsidRPr="006B11DC">
              <w:t>)</w:t>
            </w:r>
          </w:p>
          <w:p w:rsidR="009B35CE" w:rsidRPr="008D242E" w:rsidRDefault="009B35CE" w:rsidP="00480FDF">
            <w:pPr>
              <w:pStyle w:val="Tabletext"/>
              <w:numPr>
                <w:ilvl w:val="0"/>
                <w:numId w:val="27"/>
              </w:numPr>
              <w:ind w:left="227" w:hanging="219"/>
            </w:pPr>
            <w:r>
              <w:t>Could not calculate RR due to missing numerator in one arm of one study</w:t>
            </w:r>
          </w:p>
          <w:p w:rsidR="009B35CE" w:rsidRPr="006B11DC" w:rsidRDefault="009B35CE" w:rsidP="00480FDF">
            <w:pPr>
              <w:pStyle w:val="Tabletext"/>
              <w:numPr>
                <w:ilvl w:val="0"/>
                <w:numId w:val="27"/>
              </w:numPr>
              <w:ind w:left="227" w:hanging="219"/>
            </w:pPr>
            <w:r w:rsidRPr="00550EA7">
              <w:t>Fewer patients experienced clinical</w:t>
            </w:r>
            <w:r w:rsidRPr="0047271D">
              <w:t xml:space="preserve"> worsening with combination therapy compared with monotherapy</w:t>
            </w:r>
            <w:r>
              <w:t>,</w:t>
            </w:r>
            <w:r w:rsidRPr="0047271D">
              <w:t xml:space="preserve"> but </w:t>
            </w:r>
            <w:r w:rsidR="004E3670">
              <w:t>this did not quite reach statistical significance</w:t>
            </w:r>
            <w:r w:rsidRPr="0047271D">
              <w:t xml:space="preserve"> (</w:t>
            </w:r>
            <w:r>
              <w:t>pooled</w:t>
            </w:r>
            <w:r w:rsidRPr="0047271D">
              <w:t xml:space="preserve"> </w:t>
            </w:r>
            <w:r>
              <w:t>H</w:t>
            </w:r>
            <w:r w:rsidRPr="0047271D">
              <w:t>R = 0.</w:t>
            </w:r>
            <w:r>
              <w:t>59</w:t>
            </w:r>
            <w:r w:rsidRPr="0047271D">
              <w:t>; 95% CI 0.</w:t>
            </w:r>
            <w:r>
              <w:t>12</w:t>
            </w:r>
            <w:r w:rsidRPr="0047271D">
              <w:t xml:space="preserve">, </w:t>
            </w:r>
            <w:r>
              <w:t>1</w:t>
            </w:r>
            <w:r w:rsidRPr="0047271D">
              <w:t>.</w:t>
            </w:r>
            <w:r>
              <w:t>07</w:t>
            </w:r>
            <w:r w:rsidRPr="0047271D">
              <w:t>)</w:t>
            </w:r>
          </w:p>
        </w:tc>
      </w:tr>
      <w:tr w:rsidR="009B35CE" w:rsidTr="00DE4B2C">
        <w:tc>
          <w:tcPr>
            <w:tcW w:w="1555" w:type="dxa"/>
          </w:tcPr>
          <w:p w:rsidR="009B35CE" w:rsidRDefault="009B35CE" w:rsidP="00550EA7">
            <w:pPr>
              <w:pStyle w:val="Tabletext"/>
              <w:keepNext/>
            </w:pPr>
            <w:r w:rsidRPr="009F7572">
              <w:rPr>
                <w:rFonts w:cs="Tahoma"/>
              </w:rPr>
              <w:t>Clinical worsening in PAH-CHD</w:t>
            </w:r>
          </w:p>
        </w:tc>
        <w:tc>
          <w:tcPr>
            <w:tcW w:w="2330" w:type="dxa"/>
            <w:gridSpan w:val="2"/>
          </w:tcPr>
          <w:p w:rsidR="00D03AF8" w:rsidRDefault="009B35CE" w:rsidP="00550EA7">
            <w:pPr>
              <w:pStyle w:val="Tabletext"/>
              <w:keepNext/>
            </w:pPr>
            <w:r>
              <w:t xml:space="preserve">COMPASS-2 </w:t>
            </w:r>
            <w:r w:rsidRPr="00542902">
              <w:t>(bosentan/sildenafil)</w:t>
            </w:r>
            <w:r w:rsidR="00D03AF8" w:rsidRPr="006316DF">
              <w:t xml:space="preserve"> </w:t>
            </w:r>
          </w:p>
          <w:p w:rsidR="009B35CE" w:rsidRDefault="00D03AF8" w:rsidP="00550EA7">
            <w:pPr>
              <w:pStyle w:val="Tabletext"/>
              <w:keepNext/>
            </w:pPr>
            <w:r w:rsidRPr="006316DF">
              <w:t>N=</w:t>
            </w:r>
            <w:r>
              <w:t>20</w:t>
            </w:r>
          </w:p>
        </w:tc>
        <w:tc>
          <w:tcPr>
            <w:tcW w:w="5749" w:type="dxa"/>
            <w:gridSpan w:val="2"/>
          </w:tcPr>
          <w:p w:rsidR="00D103A9" w:rsidRPr="006B11DC" w:rsidRDefault="003E2CD7" w:rsidP="00480FDF">
            <w:pPr>
              <w:pStyle w:val="Tabletext"/>
              <w:numPr>
                <w:ilvl w:val="0"/>
                <w:numId w:val="27"/>
              </w:numPr>
              <w:ind w:left="227" w:hanging="219"/>
            </w:pPr>
            <w:r>
              <w:t>Low</w:t>
            </w:r>
            <w:r w:rsidRPr="006B11DC">
              <w:t xml:space="preserve"> quality</w:t>
            </w:r>
            <w:r w:rsidRPr="006B11DC">
              <w:rPr>
                <w:rFonts w:cs="Cambria Math"/>
              </w:rPr>
              <w:t xml:space="preserve"> evidence (GRADE </w:t>
            </w:r>
            <w:r w:rsidRPr="006B11DC">
              <w:rPr>
                <w:rFonts w:ascii="Cambria Math" w:hAnsi="Cambria Math" w:cs="Cambria Math"/>
                <w:color w:val="00B050"/>
              </w:rPr>
              <w:t>⨁⨁</w:t>
            </w:r>
            <w:r>
              <w:rPr>
                <w:rFonts w:ascii="Cambria Math" w:hAnsi="Cambria Math" w:cs="Cambria Math"/>
                <w:bCs/>
                <w:color w:val="C00000"/>
              </w:rPr>
              <w:t>⨀</w:t>
            </w:r>
            <w:r w:rsidRPr="00E564DD">
              <w:rPr>
                <w:rFonts w:ascii="Cambria Math" w:eastAsia="Times New Roman" w:hAnsi="Cambria Math" w:cs="Cambria Math"/>
                <w:bCs/>
                <w:color w:val="C00000"/>
              </w:rPr>
              <w:t>⨀</w:t>
            </w:r>
            <w:r w:rsidRPr="006B11DC">
              <w:t>)</w:t>
            </w:r>
          </w:p>
          <w:p w:rsidR="009B35CE" w:rsidRPr="006B11DC" w:rsidRDefault="009B35CE" w:rsidP="00480FDF">
            <w:pPr>
              <w:pStyle w:val="Tabletext"/>
              <w:keepNext/>
              <w:numPr>
                <w:ilvl w:val="0"/>
                <w:numId w:val="27"/>
              </w:numPr>
              <w:ind w:left="227" w:hanging="219"/>
            </w:pPr>
            <w:r w:rsidRPr="00550EA7">
              <w:t>Fewer patients experienced clinical</w:t>
            </w:r>
            <w:r w:rsidRPr="0047271D">
              <w:t xml:space="preserve"> worsening with combination therapy compared with monotherapy</w:t>
            </w:r>
            <w:r>
              <w:t>,</w:t>
            </w:r>
            <w:r w:rsidRPr="0047271D">
              <w:t xml:space="preserve"> but the </w:t>
            </w:r>
            <w:r w:rsidR="00CA40B9">
              <w:t xml:space="preserve">wide </w:t>
            </w:r>
            <w:r w:rsidR="00D84687">
              <w:t>95% CI indicates</w:t>
            </w:r>
            <w:r w:rsidRPr="0047271D">
              <w:t xml:space="preserve"> that </w:t>
            </w:r>
            <w:r w:rsidR="004E3670">
              <w:t>the study was underpowered for this outcome</w:t>
            </w:r>
            <w:r w:rsidRPr="0047271D">
              <w:t xml:space="preserve"> (</w:t>
            </w:r>
            <w:r>
              <w:t>H</w:t>
            </w:r>
            <w:r w:rsidRPr="0047271D">
              <w:t>R = 0.</w:t>
            </w:r>
            <w:r>
              <w:t>57</w:t>
            </w:r>
            <w:r w:rsidRPr="0047271D">
              <w:t>; 95% CI 0.</w:t>
            </w:r>
            <w:r>
              <w:t>10</w:t>
            </w:r>
            <w:r w:rsidRPr="0047271D">
              <w:t xml:space="preserve">, </w:t>
            </w:r>
            <w:r>
              <w:t>3</w:t>
            </w:r>
            <w:r w:rsidRPr="0047271D">
              <w:t>.</w:t>
            </w:r>
            <w:r>
              <w:t>17</w:t>
            </w:r>
            <w:r w:rsidRPr="0047271D">
              <w:t>)</w:t>
            </w:r>
          </w:p>
        </w:tc>
      </w:tr>
    </w:tbl>
    <w:p w:rsidR="00384D2C" w:rsidRDefault="00384D2C" w:rsidP="00550EA7">
      <w:pPr>
        <w:pStyle w:val="Tablenote"/>
      </w:pPr>
      <w:r w:rsidRPr="00384D2C">
        <w:rPr>
          <w:vertAlign w:val="superscript"/>
        </w:rPr>
        <w:t>a</w:t>
      </w:r>
      <w:r>
        <w:t xml:space="preserve"> </w:t>
      </w:r>
      <w:r w:rsidRPr="00384D2C">
        <w:t xml:space="preserve">SF-36 </w:t>
      </w:r>
      <w:r w:rsidR="006778E8">
        <w:t xml:space="preserve">physical component summary scores range from 0 to 100. A higher </w:t>
      </w:r>
      <w:r w:rsidRPr="00384D2C">
        <w:t xml:space="preserve">score </w:t>
      </w:r>
      <w:r>
        <w:t>indicates</w:t>
      </w:r>
      <w:r w:rsidRPr="00384D2C">
        <w:t xml:space="preserve"> better QoL. </w:t>
      </w:r>
    </w:p>
    <w:p w:rsidR="00862E9C" w:rsidRPr="006316DF" w:rsidRDefault="009B35CE" w:rsidP="00550EA7">
      <w:pPr>
        <w:pStyle w:val="Tablenote"/>
      </w:pPr>
      <w:r>
        <w:t xml:space="preserve">6MWD = 6-minute </w:t>
      </w:r>
      <w:r w:rsidR="0082368E">
        <w:t>walk distance</w:t>
      </w:r>
      <w:r>
        <w: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862E9C" w:rsidRPr="009E3B52">
        <w:t xml:space="preserve">; </w:t>
      </w:r>
      <w:r w:rsidRPr="00C65B42">
        <w:t xml:space="preserve">HPAH = heritable PAH; HR = hazard ratio; IPAH = idiopathic PAH; </w:t>
      </w:r>
      <w:r>
        <w:t xml:space="preserve">MD = mean difference; </w:t>
      </w:r>
      <w:r w:rsidRPr="00C65B42">
        <w:t xml:space="preserve">PAH = pulmonary arterial hypertension; </w:t>
      </w:r>
      <w:r w:rsidR="00B923F1">
        <w:t>PAH-</w:t>
      </w:r>
      <w:r w:rsidR="00B923F1" w:rsidRPr="00822C52">
        <w:t xml:space="preserve">CHD = </w:t>
      </w:r>
      <w:r w:rsidR="00B923F1">
        <w:t xml:space="preserve">PAH associated with </w:t>
      </w:r>
      <w:r w:rsidR="00B923F1" w:rsidRPr="00822C52">
        <w:t xml:space="preserve">congenital heart disease; </w:t>
      </w:r>
      <w:r w:rsidR="00B923F1">
        <w:t>PAH-</w:t>
      </w:r>
      <w:r w:rsidR="00B923F1" w:rsidRPr="00822C52">
        <w:t xml:space="preserve">CTD = </w:t>
      </w:r>
      <w:r w:rsidR="00B923F1">
        <w:t xml:space="preserve">PAH associated with </w:t>
      </w:r>
      <w:r w:rsidR="00B923F1" w:rsidRPr="00822C52">
        <w:t xml:space="preserve">connective tissue disease; </w:t>
      </w:r>
      <w:r w:rsidRPr="009B5AB3">
        <w:t>PDE-5 = phosphodiesterase type-5</w:t>
      </w:r>
      <w:r>
        <w:t>;</w:t>
      </w:r>
      <w:r w:rsidRPr="009B5AB3">
        <w:t xml:space="preserve"> </w:t>
      </w:r>
      <w:r>
        <w:t xml:space="preserve">QoL = quality of life; RR = relative risk; </w:t>
      </w:r>
      <w:r w:rsidRPr="00C65B42">
        <w:t>SF-36 = short form 36</w:t>
      </w:r>
      <w:r>
        <w:t>; WHO = World Health Organization</w:t>
      </w:r>
    </w:p>
    <w:p w:rsidR="009B35CE" w:rsidRPr="0042195A" w:rsidRDefault="009B35CE" w:rsidP="009B35CE">
      <w:pPr>
        <w:pStyle w:val="Heading5"/>
      </w:pPr>
      <w:r w:rsidRPr="0042195A">
        <w:t>Safety</w:t>
      </w:r>
    </w:p>
    <w:p w:rsidR="009B35CE" w:rsidRDefault="009B35CE" w:rsidP="009B35CE">
      <w:r>
        <w:t>Three RCTs reported on the comparative safety of treatment with an ERA plus a PDE-5 inhibitor compared with a PDE-5 inhibitor alone in any patient with PAH:</w:t>
      </w:r>
    </w:p>
    <w:p w:rsidR="009B35CE" w:rsidRPr="00B607A5" w:rsidRDefault="009B35CE" w:rsidP="00D103A9">
      <w:pPr>
        <w:pStyle w:val="Bullettext"/>
      </w:pPr>
      <w:r w:rsidRPr="00B607A5">
        <w:t>COMPASS-2, SERAPHIN and AMBITION</w:t>
      </w:r>
    </w:p>
    <w:p w:rsidR="009B35CE" w:rsidRPr="00B607A5" w:rsidRDefault="00E20AB7" w:rsidP="00D103A9">
      <w:pPr>
        <w:pStyle w:val="Bullettext"/>
      </w:pPr>
      <w:r w:rsidRPr="00B607A5">
        <w:t>There were no new safety signals identified.</w:t>
      </w:r>
    </w:p>
    <w:p w:rsidR="009B35CE" w:rsidRDefault="009B35CE" w:rsidP="00550EA7">
      <w:r>
        <w:t>The evidence provided by these trials is summarised in</w:t>
      </w:r>
      <w:r w:rsidR="00550EA7">
        <w:t xml:space="preserve"> </w:t>
      </w:r>
      <w:r w:rsidR="00AA722D">
        <w:t>Table 4.</w:t>
      </w:r>
      <w:r w:rsidR="00AA722D">
        <w:rPr>
          <w:noProof/>
        </w:rPr>
        <w:t>6</w:t>
      </w:r>
      <w:r>
        <w:t>.</w:t>
      </w:r>
    </w:p>
    <w:p w:rsidR="009B35CE" w:rsidRDefault="009A6001" w:rsidP="009B35CE">
      <w:r>
        <w:t xml:space="preserve">Overall, </w:t>
      </w:r>
      <w:r w:rsidR="00FB01E0">
        <w:t>use of</w:t>
      </w:r>
      <w:r w:rsidRPr="009A6001">
        <w:t xml:space="preserve"> an ERA in addition to </w:t>
      </w:r>
      <w:r w:rsidR="00FB01E0">
        <w:t xml:space="preserve">a </w:t>
      </w:r>
      <w:r w:rsidRPr="009A6001">
        <w:t>PDE-5 inhibitor</w:t>
      </w:r>
      <w:r w:rsidR="00FB01E0">
        <w:t xml:space="preserve"> could be </w:t>
      </w:r>
      <w:r w:rsidR="009D77E2">
        <w:t>non-</w:t>
      </w:r>
      <w:r w:rsidR="00FB01E0">
        <w:t xml:space="preserve">inferior to </w:t>
      </w:r>
      <w:r w:rsidRPr="009A6001">
        <w:t xml:space="preserve">PDE-5 inhibitor monotherapy </w:t>
      </w:r>
      <w:r w:rsidR="00FB01E0">
        <w:t xml:space="preserve">in terms of safety </w:t>
      </w:r>
      <w:r w:rsidRPr="009A6001">
        <w:t>when treating PAH patients.</w:t>
      </w:r>
      <w:r w:rsidR="009B35CE">
        <w:t xml:space="preserve"> </w:t>
      </w:r>
      <w:r w:rsidR="001217C9">
        <w:t>The comparative safety of an ERA plus a PDE-5 inhibitor relative to PDE-5 inhibitor monotherapy i</w:t>
      </w:r>
      <w:r w:rsidR="00A7777A">
        <w:t xml:space="preserve">n </w:t>
      </w:r>
      <w:r w:rsidR="00813A0D">
        <w:t xml:space="preserve">the subgroup of </w:t>
      </w:r>
      <w:r w:rsidR="00A7777A" w:rsidRPr="00FD4377">
        <w:t xml:space="preserve">patients with </w:t>
      </w:r>
      <w:r w:rsidR="00A7777A">
        <w:t>I</w:t>
      </w:r>
      <w:r w:rsidR="00A7777A" w:rsidRPr="00FD4377">
        <w:t>PAH</w:t>
      </w:r>
      <w:r w:rsidR="00A7777A">
        <w:t xml:space="preserve">/HPAH and in </w:t>
      </w:r>
      <w:r w:rsidR="00813A0D">
        <w:t xml:space="preserve">the subgroup of patients with </w:t>
      </w:r>
      <w:r w:rsidR="00A7777A">
        <w:t>PAH-CTD</w:t>
      </w:r>
      <w:r w:rsidR="001217C9">
        <w:t xml:space="preserve"> appeared </w:t>
      </w:r>
      <w:r w:rsidR="00813A0D">
        <w:t xml:space="preserve">to be largely </w:t>
      </w:r>
      <w:r w:rsidR="001217C9">
        <w:t xml:space="preserve">consistent with </w:t>
      </w:r>
      <w:r w:rsidR="00813A0D">
        <w:t>the comparative safety in the overall PAH population</w:t>
      </w:r>
      <w:r w:rsidR="009B35CE">
        <w:t>.</w:t>
      </w:r>
    </w:p>
    <w:p w:rsidR="009B35CE" w:rsidRDefault="00272F8F" w:rsidP="00BC5A2B">
      <w:pPr>
        <w:pStyle w:val="Caption"/>
      </w:pPr>
      <w:bookmarkStart w:id="17" w:name="_Ref505951366"/>
      <w:bookmarkStart w:id="18" w:name="_Toc512855410"/>
      <w:r>
        <w:t>Table 4.</w:t>
      </w:r>
      <w:r w:rsidR="00AA722D">
        <w:rPr>
          <w:noProof/>
        </w:rPr>
        <w:t>6</w:t>
      </w:r>
      <w:bookmarkEnd w:id="17"/>
      <w:r w:rsidR="00550EA7">
        <w:tab/>
      </w:r>
      <w:r w:rsidR="009B35CE">
        <w:t xml:space="preserve">Summary of the evidence for the safety of an </w:t>
      </w:r>
      <w:r w:rsidR="009B35CE" w:rsidRPr="00542902">
        <w:t xml:space="preserve">ERA in addition to </w:t>
      </w:r>
      <w:r w:rsidR="009B35CE">
        <w:t xml:space="preserve">a </w:t>
      </w:r>
      <w:r w:rsidR="009B35CE" w:rsidRPr="00542902">
        <w:t>PDE-5 inhibitor, relative</w:t>
      </w:r>
      <w:r w:rsidR="009B35CE">
        <w:t xml:space="preserve"> to PDE-5 inhibitor monotherapy</w:t>
      </w:r>
      <w:bookmarkEnd w:id="18"/>
    </w:p>
    <w:tbl>
      <w:tblPr>
        <w:tblStyle w:val="TableGrid"/>
        <w:tblW w:w="9634" w:type="dxa"/>
        <w:tblLook w:val="04A0" w:firstRow="1" w:lastRow="0" w:firstColumn="1" w:lastColumn="0" w:noHBand="0" w:noVBand="1"/>
        <w:tblCaption w:val="Summary of the evidence for the safety of an ERA in addition to a PDE-5 inhibitor, relative to PDE-5 inhibitor monotherapy"/>
      </w:tblPr>
      <w:tblGrid>
        <w:gridCol w:w="1553"/>
        <w:gridCol w:w="2093"/>
        <w:gridCol w:w="5988"/>
      </w:tblGrid>
      <w:tr w:rsidR="009B35CE" w:rsidRPr="00550EA7" w:rsidTr="00550EA7">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550EA7" w:rsidRDefault="009B35CE" w:rsidP="00550EA7">
            <w:pPr>
              <w:pStyle w:val="Tabletext"/>
              <w:rPr>
                <w:rFonts w:asciiTheme="minorHAnsi" w:hAnsiTheme="minorHAnsi"/>
                <w:b/>
              </w:rPr>
            </w:pPr>
            <w:r w:rsidRPr="00550EA7">
              <w:rPr>
                <w:b/>
              </w:rPr>
              <w:t>Outcome</w:t>
            </w:r>
          </w:p>
        </w:tc>
        <w:tc>
          <w:tcPr>
            <w:tcW w:w="1984" w:type="dxa"/>
            <w:tcBorders>
              <w:top w:val="single" w:sz="4" w:space="0" w:color="auto"/>
              <w:left w:val="single" w:sz="4" w:space="0" w:color="auto"/>
              <w:bottom w:val="single" w:sz="4" w:space="0" w:color="auto"/>
              <w:right w:val="single" w:sz="4" w:space="0" w:color="auto"/>
            </w:tcBorders>
          </w:tcPr>
          <w:p w:rsidR="00D03AF8" w:rsidRDefault="009B35CE" w:rsidP="00D03AF8">
            <w:pPr>
              <w:pStyle w:val="Tabletext"/>
              <w:rPr>
                <w:b/>
              </w:rPr>
            </w:pPr>
            <w:r w:rsidRPr="00550EA7">
              <w:rPr>
                <w:b/>
              </w:rPr>
              <w:t xml:space="preserve">Included trials </w:t>
            </w:r>
          </w:p>
          <w:p w:rsidR="009B35CE" w:rsidRPr="00550EA7" w:rsidRDefault="00D03AF8" w:rsidP="00D03AF8">
            <w:pPr>
              <w:pStyle w:val="Tabletext"/>
              <w:rPr>
                <w:rFonts w:asciiTheme="minorHAnsi" w:hAnsiTheme="minorHAnsi"/>
                <w:b/>
              </w:rPr>
            </w:pPr>
            <w:r w:rsidRPr="00293DE5">
              <w:rPr>
                <w:b/>
              </w:rPr>
              <w:t>No. of patients</w:t>
            </w:r>
          </w:p>
        </w:tc>
        <w:tc>
          <w:tcPr>
            <w:tcW w:w="6095" w:type="dxa"/>
            <w:tcBorders>
              <w:top w:val="single" w:sz="4" w:space="0" w:color="auto"/>
              <w:left w:val="single" w:sz="4" w:space="0" w:color="auto"/>
              <w:bottom w:val="single" w:sz="4" w:space="0" w:color="auto"/>
              <w:right w:val="single" w:sz="4" w:space="0" w:color="auto"/>
            </w:tcBorders>
          </w:tcPr>
          <w:p w:rsidR="009B35CE" w:rsidRPr="00550EA7" w:rsidRDefault="009B35CE" w:rsidP="00550EA7">
            <w:pPr>
              <w:pStyle w:val="Tabletext"/>
              <w:rPr>
                <w:rFonts w:asciiTheme="minorHAnsi" w:hAnsiTheme="minorHAnsi"/>
                <w:b/>
              </w:rPr>
            </w:pPr>
            <w:r w:rsidRPr="00550EA7">
              <w:rPr>
                <w:b/>
              </w:rPr>
              <w:t>Summary of evidence</w:t>
            </w:r>
          </w:p>
        </w:tc>
      </w:tr>
      <w:tr w:rsidR="009B35CE" w:rsidTr="00550EA7">
        <w:tc>
          <w:tcPr>
            <w:tcW w:w="9634" w:type="dxa"/>
            <w:gridSpan w:val="3"/>
            <w:tcBorders>
              <w:top w:val="nil"/>
              <w:left w:val="single" w:sz="4" w:space="0" w:color="auto"/>
              <w:bottom w:val="single" w:sz="4" w:space="0" w:color="auto"/>
              <w:right w:val="single" w:sz="4" w:space="0" w:color="auto"/>
            </w:tcBorders>
            <w:shd w:val="clear" w:color="auto" w:fill="000000"/>
          </w:tcPr>
          <w:p w:rsidR="009B35CE" w:rsidRDefault="009B35CE" w:rsidP="00550EA7">
            <w:pPr>
              <w:pStyle w:val="Tabletext"/>
              <w:keepNext/>
              <w:rPr>
                <w:rFonts w:asciiTheme="minorHAnsi" w:hAnsiTheme="minorHAnsi"/>
              </w:rPr>
            </w:pPr>
            <w:r>
              <w:t>A</w:t>
            </w:r>
            <w:r w:rsidRPr="00FD4377">
              <w:t>ll PAH patients</w:t>
            </w:r>
          </w:p>
        </w:tc>
      </w:tr>
      <w:tr w:rsidR="009B35CE" w:rsidTr="00550EA7">
        <w:tc>
          <w:tcPr>
            <w:tcW w:w="1555" w:type="dxa"/>
            <w:tcBorders>
              <w:top w:val="single" w:sz="4" w:space="0" w:color="auto"/>
              <w:left w:val="single" w:sz="4" w:space="0" w:color="auto"/>
              <w:bottom w:val="single" w:sz="4" w:space="0" w:color="auto"/>
              <w:right w:val="single" w:sz="4" w:space="0" w:color="auto"/>
            </w:tcBorders>
          </w:tcPr>
          <w:p w:rsidR="009B35CE" w:rsidRPr="001D637C" w:rsidRDefault="009B35CE" w:rsidP="00550EA7">
            <w:pPr>
              <w:pStyle w:val="Tabletext"/>
            </w:pPr>
            <w:r>
              <w:t>Any AE</w:t>
            </w:r>
          </w:p>
        </w:tc>
        <w:tc>
          <w:tcPr>
            <w:tcW w:w="1984" w:type="dxa"/>
            <w:tcBorders>
              <w:top w:val="single" w:sz="4" w:space="0" w:color="auto"/>
              <w:left w:val="single" w:sz="4" w:space="0" w:color="auto"/>
              <w:bottom w:val="single" w:sz="4" w:space="0" w:color="auto"/>
              <w:right w:val="single" w:sz="4" w:space="0" w:color="auto"/>
            </w:tcBorders>
          </w:tcPr>
          <w:p w:rsidR="00D03AF8" w:rsidRDefault="009B35CE" w:rsidP="00550EA7">
            <w:pPr>
              <w:pStyle w:val="Tabletext"/>
            </w:pPr>
            <w:r>
              <w:t xml:space="preserve">COMPASS-2 </w:t>
            </w:r>
            <w:r w:rsidRPr="00542902">
              <w:t>(bosentan/sildenafil)</w:t>
            </w:r>
            <w:r w:rsidR="00D03AF8">
              <w:t xml:space="preserve"> </w:t>
            </w:r>
          </w:p>
          <w:p w:rsidR="009B35CE" w:rsidRPr="001D637C" w:rsidRDefault="00D03AF8" w:rsidP="00550EA7">
            <w:pPr>
              <w:pStyle w:val="Tabletext"/>
            </w:pPr>
            <w:r>
              <w:t>N=333</w:t>
            </w:r>
          </w:p>
        </w:tc>
        <w:tc>
          <w:tcPr>
            <w:tcW w:w="6095" w:type="dxa"/>
            <w:tcBorders>
              <w:top w:val="single" w:sz="4" w:space="0" w:color="auto"/>
              <w:left w:val="single" w:sz="4" w:space="0" w:color="auto"/>
              <w:bottom w:val="single" w:sz="4" w:space="0" w:color="auto"/>
              <w:right w:val="single" w:sz="4" w:space="0" w:color="auto"/>
            </w:tcBorders>
          </w:tcPr>
          <w:p w:rsidR="009B35CE" w:rsidRPr="00B96C6F" w:rsidRDefault="009B35CE" w:rsidP="00480FDF">
            <w:pPr>
              <w:pStyle w:val="Tabletext"/>
              <w:numPr>
                <w:ilvl w:val="0"/>
                <w:numId w:val="28"/>
              </w:numPr>
              <w:ind w:left="227" w:hanging="219"/>
              <w:rPr>
                <w:szCs w:val="18"/>
              </w:rPr>
            </w:pPr>
            <w:r w:rsidRPr="00B96C6F">
              <w:t>High quality</w:t>
            </w:r>
            <w:r w:rsidRPr="00B96C6F">
              <w:rPr>
                <w:rFonts w:cs="Cambria Math"/>
              </w:rPr>
              <w:t xml:space="preserve"> evidence (GRADE </w:t>
            </w:r>
            <w:r w:rsidRPr="00B96C6F">
              <w:rPr>
                <w:rFonts w:ascii="Cambria Math" w:hAnsi="Cambria Math" w:cs="Cambria Math"/>
                <w:color w:val="00B050"/>
              </w:rPr>
              <w:t>⨁⨁⨁⨁</w:t>
            </w:r>
            <w:r w:rsidRPr="00B96C6F">
              <w:t>)</w:t>
            </w:r>
          </w:p>
          <w:p w:rsidR="009B35CE" w:rsidRPr="00B96C6F" w:rsidRDefault="009B35CE" w:rsidP="00480FDF">
            <w:pPr>
              <w:pStyle w:val="Tabletext"/>
              <w:numPr>
                <w:ilvl w:val="0"/>
                <w:numId w:val="28"/>
              </w:numPr>
              <w:ind w:left="227" w:hanging="219"/>
            </w:pPr>
            <w:r w:rsidRPr="00B96C6F">
              <w:t>The</w:t>
            </w:r>
            <w:r>
              <w:t xml:space="preserve"> </w:t>
            </w:r>
            <w:r w:rsidRPr="00B96C6F">
              <w:t>proportion of patients who had any AE was the same for both the combination therapy and monotherapy arms (RR = 0.</w:t>
            </w:r>
            <w:r>
              <w:t>99</w:t>
            </w:r>
            <w:r w:rsidRPr="00B96C6F">
              <w:t>; 95% CI 0.</w:t>
            </w:r>
            <w:r>
              <w:t>93</w:t>
            </w:r>
            <w:r w:rsidRPr="00B96C6F">
              <w:t>, 1.0</w:t>
            </w:r>
            <w:r>
              <w:t>6</w:t>
            </w:r>
            <w:r w:rsidRPr="00B96C6F">
              <w:t>)</w:t>
            </w:r>
          </w:p>
        </w:tc>
      </w:tr>
      <w:tr w:rsidR="009B35CE" w:rsidTr="00550EA7">
        <w:tc>
          <w:tcPr>
            <w:tcW w:w="1555" w:type="dxa"/>
          </w:tcPr>
          <w:p w:rsidR="009B35CE" w:rsidRPr="001D637C" w:rsidRDefault="009B35CE" w:rsidP="00550EA7">
            <w:pPr>
              <w:pStyle w:val="Tabletext"/>
            </w:pPr>
            <w:r>
              <w:lastRenderedPageBreak/>
              <w:t>Serious AEs</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550EA7">
            <w:pPr>
              <w:pStyle w:val="Tabletext"/>
            </w:pPr>
            <w:r>
              <w:t xml:space="preserve">COMPASS-2 </w:t>
            </w:r>
            <w:r w:rsidRPr="00542902">
              <w:t>(bosentan/sildenafil)</w:t>
            </w:r>
          </w:p>
          <w:p w:rsidR="00D03AF8" w:rsidRDefault="009B35CE" w:rsidP="00550EA7">
            <w:pPr>
              <w:pStyle w:val="Tabletext"/>
            </w:pPr>
            <w:r>
              <w:t>AMBITION (ambrisentan/tadalafil)</w:t>
            </w:r>
            <w:r w:rsidR="00D03AF8" w:rsidRPr="006316DF">
              <w:t xml:space="preserve"> </w:t>
            </w:r>
          </w:p>
          <w:p w:rsidR="009B35CE" w:rsidRPr="001D637C" w:rsidRDefault="00D03AF8" w:rsidP="00550EA7">
            <w:pPr>
              <w:pStyle w:val="Tabletext"/>
            </w:pPr>
            <w:r w:rsidRPr="006316DF">
              <w:t>N=</w:t>
            </w:r>
            <w:r>
              <w:t>70</w:t>
            </w:r>
            <w:r w:rsidRPr="006316DF">
              <w:t>5</w:t>
            </w:r>
          </w:p>
        </w:tc>
        <w:tc>
          <w:tcPr>
            <w:tcW w:w="6095" w:type="dxa"/>
          </w:tcPr>
          <w:p w:rsidR="00D103A9" w:rsidRPr="00B96C6F" w:rsidRDefault="00D103A9" w:rsidP="00480FDF">
            <w:pPr>
              <w:pStyle w:val="Tabletext"/>
              <w:numPr>
                <w:ilvl w:val="0"/>
                <w:numId w:val="28"/>
              </w:numPr>
              <w:ind w:left="227" w:hanging="219"/>
              <w:rPr>
                <w:szCs w:val="18"/>
              </w:rPr>
            </w:pPr>
            <w:r w:rsidRPr="00B96C6F">
              <w:t>High quality</w:t>
            </w:r>
            <w:r w:rsidRPr="00B96C6F">
              <w:rPr>
                <w:rFonts w:cs="Cambria Math"/>
              </w:rPr>
              <w:t xml:space="preserve"> evidence (GRADE </w:t>
            </w:r>
            <w:r w:rsidRPr="00B96C6F">
              <w:rPr>
                <w:rFonts w:ascii="Cambria Math" w:hAnsi="Cambria Math" w:cs="Cambria Math"/>
                <w:color w:val="00B050"/>
              </w:rPr>
              <w:t>⨁⨁⨁⨁</w:t>
            </w:r>
            <w:r w:rsidRPr="00B96C6F">
              <w:t>)</w:t>
            </w:r>
          </w:p>
          <w:p w:rsidR="009B35CE" w:rsidRPr="00B96C6F" w:rsidRDefault="009B35CE" w:rsidP="00480FDF">
            <w:pPr>
              <w:pStyle w:val="Tabletext"/>
              <w:numPr>
                <w:ilvl w:val="0"/>
                <w:numId w:val="28"/>
              </w:numPr>
              <w:ind w:left="227" w:hanging="219"/>
            </w:pPr>
            <w:r w:rsidRPr="00550EA7">
              <w:t xml:space="preserve">Significantly fewer patients </w:t>
            </w:r>
            <w:r w:rsidR="001902A8">
              <w:t>had</w:t>
            </w:r>
            <w:r w:rsidR="005425F7">
              <w:t xml:space="preserve"> </w:t>
            </w:r>
            <w:r w:rsidRPr="00550EA7">
              <w:t>a serious AE</w:t>
            </w:r>
            <w:r w:rsidRPr="00B96C6F">
              <w:t xml:space="preserve"> with combination the</w:t>
            </w:r>
            <w:r>
              <w:t>rapy compared with monotherapy</w:t>
            </w:r>
            <w:r w:rsidRPr="00B96C6F">
              <w:t xml:space="preserve"> (</w:t>
            </w:r>
            <w:r>
              <w:t>pooled R</w:t>
            </w:r>
            <w:r w:rsidRPr="00B96C6F">
              <w:t>R = 0.8</w:t>
            </w:r>
            <w:r>
              <w:t>2</w:t>
            </w:r>
            <w:r w:rsidRPr="00B96C6F">
              <w:t>; 95% CI 0.</w:t>
            </w:r>
            <w:r>
              <w:t>69</w:t>
            </w:r>
            <w:r w:rsidRPr="00B96C6F">
              <w:t xml:space="preserve">, </w:t>
            </w:r>
            <w:r>
              <w:t>0</w:t>
            </w:r>
            <w:r w:rsidRPr="00B96C6F">
              <w:t>.</w:t>
            </w:r>
            <w:r>
              <w:t>96</w:t>
            </w:r>
            <w:r w:rsidRPr="00B96C6F">
              <w:t>)</w:t>
            </w:r>
          </w:p>
        </w:tc>
      </w:tr>
      <w:tr w:rsidR="009B35CE" w:rsidTr="00550EA7">
        <w:tc>
          <w:tcPr>
            <w:tcW w:w="1555" w:type="dxa"/>
          </w:tcPr>
          <w:p w:rsidR="009B35CE" w:rsidRDefault="009B35CE" w:rsidP="00550EA7">
            <w:pPr>
              <w:pStyle w:val="Tabletext"/>
            </w:pPr>
            <w:r w:rsidRPr="00B96C6F">
              <w:t>AEs leading to treatment discontinuation</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550EA7">
            <w:pPr>
              <w:pStyle w:val="Tabletext"/>
            </w:pPr>
            <w:r>
              <w:t xml:space="preserve">COMPASS-2 </w:t>
            </w:r>
            <w:r w:rsidRPr="00542902">
              <w:t>(bosentan/sildenafil)</w:t>
            </w:r>
          </w:p>
          <w:p w:rsidR="00D03AF8" w:rsidRDefault="009B35CE" w:rsidP="00D03AF8">
            <w:pPr>
              <w:pStyle w:val="Tabletext"/>
            </w:pPr>
            <w:r>
              <w:t>AMBITION (ambrisentan/tadalafil)</w:t>
            </w:r>
            <w:r w:rsidR="00D03AF8">
              <w:t xml:space="preserve"> </w:t>
            </w:r>
          </w:p>
          <w:p w:rsidR="009B35CE" w:rsidRDefault="00D03AF8" w:rsidP="00D03AF8">
            <w:pPr>
              <w:pStyle w:val="Tabletext"/>
            </w:pPr>
            <w:r w:rsidRPr="006316DF">
              <w:t>N=</w:t>
            </w:r>
            <w:r>
              <w:t>70</w:t>
            </w:r>
            <w:r w:rsidRPr="006316DF">
              <w:t>5</w:t>
            </w:r>
          </w:p>
        </w:tc>
        <w:tc>
          <w:tcPr>
            <w:tcW w:w="6095" w:type="dxa"/>
            <w:tcBorders>
              <w:top w:val="single" w:sz="4" w:space="0" w:color="auto"/>
              <w:left w:val="single" w:sz="4" w:space="0" w:color="auto"/>
              <w:bottom w:val="single" w:sz="4" w:space="0" w:color="auto"/>
              <w:right w:val="single" w:sz="4" w:space="0" w:color="auto"/>
            </w:tcBorders>
          </w:tcPr>
          <w:p w:rsidR="00D103A9" w:rsidRPr="00B96C6F" w:rsidRDefault="00D103A9" w:rsidP="00480FDF">
            <w:pPr>
              <w:pStyle w:val="Tabletext"/>
              <w:numPr>
                <w:ilvl w:val="0"/>
                <w:numId w:val="28"/>
              </w:numPr>
              <w:ind w:left="227" w:hanging="219"/>
              <w:rPr>
                <w:szCs w:val="18"/>
              </w:rPr>
            </w:pPr>
            <w:r w:rsidRPr="00B96C6F">
              <w:t>High quality</w:t>
            </w:r>
            <w:r w:rsidRPr="00B96C6F">
              <w:rPr>
                <w:rFonts w:cs="Cambria Math"/>
              </w:rPr>
              <w:t xml:space="preserve"> evidence (GRADE </w:t>
            </w:r>
            <w:r w:rsidRPr="00B96C6F">
              <w:rPr>
                <w:rFonts w:ascii="Cambria Math" w:hAnsi="Cambria Math" w:cs="Cambria Math"/>
                <w:color w:val="00B050"/>
              </w:rPr>
              <w:t>⨁⨁⨁⨁</w:t>
            </w:r>
            <w:r w:rsidRPr="00B96C6F">
              <w:t>)</w:t>
            </w:r>
          </w:p>
          <w:p w:rsidR="009B35CE" w:rsidRPr="006B11DC" w:rsidRDefault="009B35CE" w:rsidP="00480FDF">
            <w:pPr>
              <w:pStyle w:val="Tabletext"/>
              <w:numPr>
                <w:ilvl w:val="0"/>
                <w:numId w:val="28"/>
              </w:numPr>
              <w:ind w:left="227" w:hanging="219"/>
            </w:pPr>
            <w:r w:rsidRPr="00F3410B">
              <w:t>More patients had an AE leading to treatment discontinuation</w:t>
            </w:r>
            <w:r w:rsidRPr="00B96C6F">
              <w:t xml:space="preserve"> with combination therapy compared with monotherapy, </w:t>
            </w:r>
            <w:r w:rsidRPr="00F3410B">
              <w:t xml:space="preserve">but the </w:t>
            </w:r>
            <w:r w:rsidR="00D84687">
              <w:t>95% CI indicates</w:t>
            </w:r>
            <w:r w:rsidRPr="00F3410B">
              <w:t xml:space="preserve"> that there could also be </w:t>
            </w:r>
            <w:r w:rsidR="00CA40B9">
              <w:t>an</w:t>
            </w:r>
            <w:r w:rsidR="00AD2B3C">
              <w:t xml:space="preserve"> </w:t>
            </w:r>
            <w:r w:rsidRPr="00F3410B">
              <w:t>effect</w:t>
            </w:r>
            <w:r w:rsidRPr="00B96C6F">
              <w:t xml:space="preserve"> </w:t>
            </w:r>
            <w:r w:rsidR="00CA40B9">
              <w:t xml:space="preserve">in the opposite direction </w:t>
            </w:r>
            <w:r w:rsidRPr="00B96C6F">
              <w:t xml:space="preserve">(pooled RR = </w:t>
            </w:r>
            <w:r>
              <w:t>1</w:t>
            </w:r>
            <w:r w:rsidRPr="00B96C6F">
              <w:t>.</w:t>
            </w:r>
            <w:r>
              <w:t>4</w:t>
            </w:r>
            <w:r w:rsidRPr="00B96C6F">
              <w:t>7; 95% CI 0.</w:t>
            </w:r>
            <w:r>
              <w:t>81</w:t>
            </w:r>
            <w:r w:rsidRPr="00B96C6F">
              <w:t xml:space="preserve">, </w:t>
            </w:r>
            <w:r>
              <w:t>2</w:t>
            </w:r>
            <w:r w:rsidRPr="00B96C6F">
              <w:t>.</w:t>
            </w:r>
            <w:r>
              <w:t>66</w:t>
            </w:r>
            <w:r w:rsidRPr="00B96C6F">
              <w:t>)</w:t>
            </w:r>
          </w:p>
        </w:tc>
      </w:tr>
      <w:tr w:rsidR="00CA6CD8" w:rsidTr="00550EA7">
        <w:tc>
          <w:tcPr>
            <w:tcW w:w="9634" w:type="dxa"/>
            <w:gridSpan w:val="3"/>
            <w:tcBorders>
              <w:top w:val="nil"/>
              <w:left w:val="single" w:sz="4" w:space="0" w:color="auto"/>
              <w:bottom w:val="single" w:sz="4" w:space="0" w:color="auto"/>
              <w:right w:val="single" w:sz="4" w:space="0" w:color="auto"/>
            </w:tcBorders>
            <w:shd w:val="clear" w:color="auto" w:fill="000000"/>
          </w:tcPr>
          <w:p w:rsidR="00CA6CD8" w:rsidRPr="00FD4377" w:rsidRDefault="00CA6CD8" w:rsidP="00306B37">
            <w:pPr>
              <w:pStyle w:val="Tabletext"/>
              <w:keepNext/>
            </w:pPr>
            <w:r>
              <w:t>P</w:t>
            </w:r>
            <w:r w:rsidRPr="00FD4377">
              <w:t xml:space="preserve">atients with </w:t>
            </w:r>
            <w:r>
              <w:t>IPAH/HPAH</w:t>
            </w:r>
          </w:p>
        </w:tc>
      </w:tr>
      <w:tr w:rsidR="00CA6CD8" w:rsidTr="00550EA7">
        <w:tc>
          <w:tcPr>
            <w:tcW w:w="1555" w:type="dxa"/>
            <w:tcBorders>
              <w:top w:val="single" w:sz="4" w:space="0" w:color="auto"/>
              <w:left w:val="single" w:sz="4" w:space="0" w:color="auto"/>
              <w:bottom w:val="single" w:sz="4" w:space="0" w:color="auto"/>
              <w:right w:val="single" w:sz="4" w:space="0" w:color="auto"/>
            </w:tcBorders>
          </w:tcPr>
          <w:p w:rsidR="00CA6CD8" w:rsidRPr="00B96C6F" w:rsidRDefault="00CA6CD8" w:rsidP="00CA6CD8">
            <w:pPr>
              <w:pStyle w:val="Tabletext"/>
            </w:pPr>
            <w:r w:rsidRPr="00F3410B">
              <w:rPr>
                <w:rFonts w:cs="Tahoma"/>
              </w:rPr>
              <w:t>Any AE in IPAH/HPAH</w:t>
            </w:r>
          </w:p>
        </w:tc>
        <w:tc>
          <w:tcPr>
            <w:tcW w:w="1984" w:type="dxa"/>
            <w:tcBorders>
              <w:top w:val="single" w:sz="4" w:space="0" w:color="auto"/>
              <w:left w:val="single" w:sz="4" w:space="0" w:color="auto"/>
              <w:bottom w:val="single" w:sz="4" w:space="0" w:color="auto"/>
              <w:right w:val="single" w:sz="4" w:space="0" w:color="auto"/>
            </w:tcBorders>
          </w:tcPr>
          <w:p w:rsidR="00CA6CD8" w:rsidRDefault="00CA6CD8" w:rsidP="00CA6CD8">
            <w:pPr>
              <w:pStyle w:val="Tabletext"/>
            </w:pPr>
            <w:r>
              <w:t>AMBITION (ambrisentan/tadalafil)</w:t>
            </w:r>
          </w:p>
          <w:p w:rsidR="00D03AF8" w:rsidRDefault="00D03AF8" w:rsidP="00CA6CD8">
            <w:pPr>
              <w:pStyle w:val="Tabletext"/>
            </w:pPr>
            <w:r>
              <w:t>N=204</w:t>
            </w:r>
          </w:p>
        </w:tc>
        <w:tc>
          <w:tcPr>
            <w:tcW w:w="6095" w:type="dxa"/>
            <w:tcBorders>
              <w:top w:val="single" w:sz="4" w:space="0" w:color="auto"/>
              <w:left w:val="single" w:sz="4" w:space="0" w:color="auto"/>
              <w:bottom w:val="single" w:sz="4" w:space="0" w:color="auto"/>
              <w:right w:val="single" w:sz="4" w:space="0" w:color="auto"/>
            </w:tcBorders>
          </w:tcPr>
          <w:p w:rsidR="00CA6CD8" w:rsidRPr="00B96C6F" w:rsidRDefault="00CA6CD8" w:rsidP="00480FDF">
            <w:pPr>
              <w:pStyle w:val="Tabletext"/>
              <w:numPr>
                <w:ilvl w:val="0"/>
                <w:numId w:val="28"/>
              </w:numPr>
              <w:ind w:left="227" w:hanging="219"/>
              <w:rPr>
                <w:szCs w:val="18"/>
              </w:rPr>
            </w:pPr>
            <w:r w:rsidRPr="00B96C6F">
              <w:t>High quality</w:t>
            </w:r>
            <w:r w:rsidRPr="00B96C6F">
              <w:rPr>
                <w:rFonts w:cs="Cambria Math"/>
              </w:rPr>
              <w:t xml:space="preserve"> evidence (GRADE </w:t>
            </w:r>
            <w:r w:rsidRPr="00B96C6F">
              <w:rPr>
                <w:rFonts w:ascii="Cambria Math" w:hAnsi="Cambria Math" w:cs="Cambria Math"/>
                <w:color w:val="00B050"/>
              </w:rPr>
              <w:t>⨁⨁⨁⨁</w:t>
            </w:r>
            <w:r w:rsidRPr="00B96C6F">
              <w:t>)</w:t>
            </w:r>
          </w:p>
          <w:p w:rsidR="00CA6CD8" w:rsidRPr="00B96C6F" w:rsidRDefault="00CA6CD8" w:rsidP="00480FDF">
            <w:pPr>
              <w:pStyle w:val="Tabletext"/>
              <w:numPr>
                <w:ilvl w:val="0"/>
                <w:numId w:val="28"/>
              </w:numPr>
              <w:ind w:left="227" w:hanging="219"/>
            </w:pPr>
            <w:r w:rsidRPr="00B96C6F">
              <w:t>The</w:t>
            </w:r>
            <w:r>
              <w:t xml:space="preserve"> </w:t>
            </w:r>
            <w:r w:rsidRPr="00B96C6F">
              <w:t xml:space="preserve">proportion of patients who had any AE was the same for both the combination therapy and monotherapy arms (RR = </w:t>
            </w:r>
            <w:r>
              <w:t>1</w:t>
            </w:r>
            <w:r w:rsidRPr="00B96C6F">
              <w:t>.</w:t>
            </w:r>
            <w:r>
              <w:t>04</w:t>
            </w:r>
            <w:r w:rsidRPr="00B96C6F">
              <w:t>; 95% CI 0.</w:t>
            </w:r>
            <w:r>
              <w:t>97</w:t>
            </w:r>
            <w:r w:rsidRPr="00B96C6F">
              <w:t>, 1.</w:t>
            </w:r>
            <w:r>
              <w:t>12</w:t>
            </w:r>
            <w:r w:rsidRPr="00B96C6F">
              <w:t>)</w:t>
            </w:r>
          </w:p>
        </w:tc>
      </w:tr>
      <w:tr w:rsidR="00CA6CD8" w:rsidTr="00550EA7">
        <w:tc>
          <w:tcPr>
            <w:tcW w:w="1555" w:type="dxa"/>
          </w:tcPr>
          <w:p w:rsidR="00CA6CD8" w:rsidRPr="00B96C6F" w:rsidRDefault="00CA6CD8" w:rsidP="00CA6CD8">
            <w:pPr>
              <w:pStyle w:val="Tabletext"/>
            </w:pPr>
            <w:r w:rsidRPr="00F3410B">
              <w:rPr>
                <w:rFonts w:cs="Tahoma"/>
              </w:rPr>
              <w:t>Serious AEs in IPAH/HPAH</w:t>
            </w:r>
          </w:p>
        </w:tc>
        <w:tc>
          <w:tcPr>
            <w:tcW w:w="1984" w:type="dxa"/>
          </w:tcPr>
          <w:p w:rsidR="00D03AF8" w:rsidRDefault="00CA6CD8" w:rsidP="00D03AF8">
            <w:pPr>
              <w:pStyle w:val="Tabletext"/>
            </w:pPr>
            <w:r>
              <w:t>AMBITION (ambrisentan/tadalafil)</w:t>
            </w:r>
            <w:r w:rsidR="00D03AF8">
              <w:t xml:space="preserve"> </w:t>
            </w:r>
          </w:p>
          <w:p w:rsidR="00CA6CD8" w:rsidRDefault="00D03AF8" w:rsidP="00D03AF8">
            <w:pPr>
              <w:pStyle w:val="Tabletext"/>
            </w:pPr>
            <w:r>
              <w:t>N=204</w:t>
            </w:r>
          </w:p>
        </w:tc>
        <w:tc>
          <w:tcPr>
            <w:tcW w:w="6095" w:type="dxa"/>
          </w:tcPr>
          <w:p w:rsidR="00CA6CD8" w:rsidRPr="00B96C6F" w:rsidRDefault="00CA6CD8" w:rsidP="00480FDF">
            <w:pPr>
              <w:pStyle w:val="Tabletext"/>
              <w:numPr>
                <w:ilvl w:val="0"/>
                <w:numId w:val="28"/>
              </w:numPr>
              <w:ind w:left="227" w:hanging="219"/>
              <w:rPr>
                <w:szCs w:val="18"/>
              </w:rPr>
            </w:pPr>
            <w:r w:rsidRPr="00B96C6F">
              <w:t>High quality</w:t>
            </w:r>
            <w:r w:rsidRPr="00B96C6F">
              <w:rPr>
                <w:rFonts w:cs="Cambria Math"/>
              </w:rPr>
              <w:t xml:space="preserve"> evidence (GRADE </w:t>
            </w:r>
            <w:r w:rsidRPr="00B96C6F">
              <w:rPr>
                <w:rFonts w:ascii="Cambria Math" w:hAnsi="Cambria Math" w:cs="Cambria Math"/>
                <w:color w:val="00B050"/>
              </w:rPr>
              <w:t>⨁⨁⨁⨁</w:t>
            </w:r>
            <w:r w:rsidRPr="00B96C6F">
              <w:t>)</w:t>
            </w:r>
          </w:p>
          <w:p w:rsidR="00CA6CD8" w:rsidRPr="00B96C6F" w:rsidRDefault="00CA6CD8" w:rsidP="00480FDF">
            <w:pPr>
              <w:pStyle w:val="Tabletext"/>
              <w:numPr>
                <w:ilvl w:val="0"/>
                <w:numId w:val="28"/>
              </w:numPr>
              <w:ind w:left="227" w:hanging="219"/>
            </w:pPr>
            <w:r>
              <w:t>Fewer</w:t>
            </w:r>
            <w:r w:rsidRPr="00F3410B">
              <w:t xml:space="preserve"> patients had a</w:t>
            </w:r>
            <w:r>
              <w:t xml:space="preserve"> serious</w:t>
            </w:r>
            <w:r w:rsidRPr="00F3410B">
              <w:t xml:space="preserve"> AE </w:t>
            </w:r>
            <w:r w:rsidRPr="00B96C6F">
              <w:t xml:space="preserve">with combination therapy compared with monotherapy, </w:t>
            </w:r>
            <w:r w:rsidR="00CA40B9" w:rsidRPr="00160CDF">
              <w:t xml:space="preserve">but the 95% CI indicates that there could also be </w:t>
            </w:r>
            <w:r w:rsidR="00CA40B9">
              <w:t>an</w:t>
            </w:r>
            <w:r w:rsidR="00CA40B9" w:rsidRPr="00160CDF">
              <w:t xml:space="preserve"> effect</w:t>
            </w:r>
            <w:r w:rsidR="00CA40B9">
              <w:t xml:space="preserve"> in the opposite direction</w:t>
            </w:r>
            <w:r w:rsidRPr="00B96C6F">
              <w:t xml:space="preserve"> (RR = 0.</w:t>
            </w:r>
            <w:r>
              <w:t>85</w:t>
            </w:r>
            <w:r w:rsidRPr="00B96C6F">
              <w:t>; 95% CI 0.5</w:t>
            </w:r>
            <w:r>
              <w:t>8</w:t>
            </w:r>
            <w:r w:rsidRPr="00B96C6F">
              <w:t xml:space="preserve">, </w:t>
            </w:r>
            <w:r>
              <w:t>1.25)</w:t>
            </w:r>
          </w:p>
        </w:tc>
      </w:tr>
      <w:tr w:rsidR="00CA6CD8" w:rsidTr="00550EA7">
        <w:tc>
          <w:tcPr>
            <w:tcW w:w="1555" w:type="dxa"/>
          </w:tcPr>
          <w:p w:rsidR="00CA6CD8" w:rsidRPr="00B96C6F" w:rsidRDefault="00CA6CD8" w:rsidP="00CA6CD8">
            <w:pPr>
              <w:pStyle w:val="Tabletext"/>
            </w:pPr>
            <w:r w:rsidRPr="00F3410B">
              <w:rPr>
                <w:rFonts w:cs="Tahoma"/>
              </w:rPr>
              <w:t>AEs leading to treatment discontinuation in IPAH/HPAH</w:t>
            </w:r>
          </w:p>
        </w:tc>
        <w:tc>
          <w:tcPr>
            <w:tcW w:w="1984" w:type="dxa"/>
          </w:tcPr>
          <w:p w:rsidR="00D03AF8" w:rsidRDefault="00CA6CD8" w:rsidP="00D03AF8">
            <w:pPr>
              <w:pStyle w:val="Tabletext"/>
            </w:pPr>
            <w:r>
              <w:t>AMBITION (ambrisentan/tadalafil)</w:t>
            </w:r>
            <w:r w:rsidR="00D03AF8">
              <w:t xml:space="preserve"> </w:t>
            </w:r>
          </w:p>
          <w:p w:rsidR="00CA6CD8" w:rsidRDefault="00D03AF8" w:rsidP="00D03AF8">
            <w:pPr>
              <w:pStyle w:val="Tabletext"/>
            </w:pPr>
            <w:r>
              <w:t>N=204</w:t>
            </w:r>
          </w:p>
        </w:tc>
        <w:tc>
          <w:tcPr>
            <w:tcW w:w="6095" w:type="dxa"/>
          </w:tcPr>
          <w:p w:rsidR="00CA6CD8" w:rsidRPr="00B96C6F" w:rsidRDefault="006C297E" w:rsidP="00480FDF">
            <w:pPr>
              <w:pStyle w:val="Tabletext"/>
              <w:numPr>
                <w:ilvl w:val="0"/>
                <w:numId w:val="28"/>
              </w:numPr>
              <w:ind w:left="227" w:hanging="219"/>
              <w:rPr>
                <w:szCs w:val="18"/>
              </w:rPr>
            </w:pPr>
            <w:r>
              <w:t>Moderate</w:t>
            </w:r>
            <w:r w:rsidR="00CA6CD8" w:rsidRPr="00B96C6F">
              <w:t xml:space="preserve"> quality</w:t>
            </w:r>
            <w:r w:rsidR="00CA6CD8" w:rsidRPr="00B96C6F">
              <w:rPr>
                <w:rFonts w:cs="Cambria Math"/>
              </w:rPr>
              <w:t xml:space="preserve"> evidence (GRADE </w:t>
            </w:r>
            <w:r w:rsidR="00CA6CD8" w:rsidRPr="00B96C6F">
              <w:rPr>
                <w:rFonts w:ascii="Cambria Math" w:hAnsi="Cambria Math" w:cs="Cambria Math"/>
                <w:color w:val="00B050"/>
              </w:rPr>
              <w:t>⨁⨁⨁</w:t>
            </w:r>
            <w:r w:rsidRPr="00E564DD">
              <w:rPr>
                <w:rFonts w:ascii="Cambria Math" w:eastAsia="Times New Roman" w:hAnsi="Cambria Math" w:cs="Cambria Math"/>
                <w:bCs/>
                <w:color w:val="C00000"/>
              </w:rPr>
              <w:t>⨀</w:t>
            </w:r>
            <w:r w:rsidR="00CA6CD8" w:rsidRPr="00B96C6F">
              <w:t>)</w:t>
            </w:r>
          </w:p>
          <w:p w:rsidR="00CA6CD8" w:rsidRPr="00B96C6F" w:rsidRDefault="00CA6CD8" w:rsidP="00480FDF">
            <w:pPr>
              <w:pStyle w:val="Tabletext"/>
              <w:numPr>
                <w:ilvl w:val="0"/>
                <w:numId w:val="28"/>
              </w:numPr>
              <w:ind w:left="227" w:hanging="219"/>
            </w:pPr>
            <w:r w:rsidRPr="00B96C6F">
              <w:t>The</w:t>
            </w:r>
            <w:r>
              <w:t xml:space="preserve"> </w:t>
            </w:r>
            <w:r w:rsidRPr="00B96C6F">
              <w:t xml:space="preserve">proportion of patients who had an AE </w:t>
            </w:r>
            <w:r>
              <w:t xml:space="preserve">leading to treatment discontinuation </w:t>
            </w:r>
            <w:r w:rsidRPr="00B96C6F">
              <w:t xml:space="preserve">was the same for both the combination therapy and monotherapy (RR = </w:t>
            </w:r>
            <w:r>
              <w:t>0</w:t>
            </w:r>
            <w:r w:rsidRPr="00B96C6F">
              <w:t>.</w:t>
            </w:r>
            <w:r>
              <w:t>98</w:t>
            </w:r>
            <w:r w:rsidRPr="00B96C6F">
              <w:t>; 95% CI 0.</w:t>
            </w:r>
            <w:r>
              <w:t>44</w:t>
            </w:r>
            <w:r w:rsidRPr="00B96C6F">
              <w:t xml:space="preserve">, </w:t>
            </w:r>
            <w:r>
              <w:t>2</w:t>
            </w:r>
            <w:r w:rsidRPr="00B96C6F">
              <w:t>.</w:t>
            </w:r>
            <w:r>
              <w:t>20</w:t>
            </w:r>
            <w:r w:rsidRPr="00B96C6F">
              <w:t>)</w:t>
            </w:r>
          </w:p>
        </w:tc>
      </w:tr>
      <w:tr w:rsidR="00CA6CD8" w:rsidTr="00550EA7">
        <w:tc>
          <w:tcPr>
            <w:tcW w:w="9634" w:type="dxa"/>
            <w:gridSpan w:val="3"/>
            <w:tcBorders>
              <w:top w:val="nil"/>
              <w:left w:val="single" w:sz="4" w:space="0" w:color="auto"/>
              <w:bottom w:val="single" w:sz="4" w:space="0" w:color="auto"/>
              <w:right w:val="single" w:sz="4" w:space="0" w:color="auto"/>
            </w:tcBorders>
            <w:shd w:val="clear" w:color="auto" w:fill="000000"/>
          </w:tcPr>
          <w:p w:rsidR="00CA6CD8" w:rsidRPr="00FD4377" w:rsidRDefault="00CA6CD8" w:rsidP="00306B37">
            <w:pPr>
              <w:pStyle w:val="Tabletext"/>
              <w:keepNext/>
            </w:pPr>
            <w:r>
              <w:t>P</w:t>
            </w:r>
            <w:r w:rsidRPr="00FD4377">
              <w:t xml:space="preserve">atients with </w:t>
            </w:r>
            <w:r>
              <w:t>PAH-CTD</w:t>
            </w:r>
          </w:p>
        </w:tc>
      </w:tr>
      <w:tr w:rsidR="00CA6CD8" w:rsidTr="00550EA7">
        <w:tc>
          <w:tcPr>
            <w:tcW w:w="1555" w:type="dxa"/>
            <w:tcBorders>
              <w:top w:val="single" w:sz="4" w:space="0" w:color="auto"/>
              <w:left w:val="single" w:sz="4" w:space="0" w:color="auto"/>
              <w:bottom w:val="single" w:sz="4" w:space="0" w:color="auto"/>
              <w:right w:val="single" w:sz="4" w:space="0" w:color="auto"/>
            </w:tcBorders>
          </w:tcPr>
          <w:p w:rsidR="00CA6CD8" w:rsidRPr="00B96C6F" w:rsidRDefault="00CA6CD8" w:rsidP="00CA6CD8">
            <w:pPr>
              <w:pStyle w:val="Tabletext"/>
            </w:pPr>
            <w:r w:rsidRPr="00F3410B">
              <w:rPr>
                <w:rFonts w:cs="Tahoma"/>
              </w:rPr>
              <w:t>Any AE in PAH-CTD</w:t>
            </w:r>
          </w:p>
        </w:tc>
        <w:tc>
          <w:tcPr>
            <w:tcW w:w="1984" w:type="dxa"/>
            <w:tcBorders>
              <w:top w:val="single" w:sz="4" w:space="0" w:color="auto"/>
              <w:left w:val="single" w:sz="4" w:space="0" w:color="auto"/>
              <w:bottom w:val="single" w:sz="4" w:space="0" w:color="auto"/>
              <w:right w:val="single" w:sz="4" w:space="0" w:color="auto"/>
            </w:tcBorders>
          </w:tcPr>
          <w:p w:rsidR="00D03AF8" w:rsidRDefault="00CA6CD8" w:rsidP="00D03AF8">
            <w:pPr>
              <w:pStyle w:val="Tabletext"/>
            </w:pPr>
            <w:r>
              <w:t>AMBITION (ambrisentan/tadalafil)</w:t>
            </w:r>
            <w:r w:rsidR="00D03AF8">
              <w:t xml:space="preserve"> </w:t>
            </w:r>
          </w:p>
          <w:p w:rsidR="00CA6CD8" w:rsidRDefault="00D03AF8" w:rsidP="00D03AF8">
            <w:pPr>
              <w:pStyle w:val="Tabletext"/>
            </w:pPr>
            <w:r>
              <w:t>N=143</w:t>
            </w:r>
          </w:p>
        </w:tc>
        <w:tc>
          <w:tcPr>
            <w:tcW w:w="6095" w:type="dxa"/>
          </w:tcPr>
          <w:p w:rsidR="00CA6CD8" w:rsidRPr="00B96C6F" w:rsidRDefault="00CA6CD8" w:rsidP="00480FDF">
            <w:pPr>
              <w:pStyle w:val="Tabletext"/>
              <w:numPr>
                <w:ilvl w:val="0"/>
                <w:numId w:val="28"/>
              </w:numPr>
              <w:ind w:left="227" w:hanging="219"/>
              <w:rPr>
                <w:szCs w:val="18"/>
              </w:rPr>
            </w:pPr>
            <w:r w:rsidRPr="00B96C6F">
              <w:t>High quality</w:t>
            </w:r>
            <w:r w:rsidRPr="00B96C6F">
              <w:rPr>
                <w:rFonts w:cs="Cambria Math"/>
              </w:rPr>
              <w:t xml:space="preserve"> evidence (GRADE </w:t>
            </w:r>
            <w:r w:rsidRPr="00B96C6F">
              <w:rPr>
                <w:rFonts w:ascii="Cambria Math" w:hAnsi="Cambria Math" w:cs="Cambria Math"/>
                <w:color w:val="00B050"/>
              </w:rPr>
              <w:t>⨁⨁⨁⨁</w:t>
            </w:r>
            <w:r w:rsidRPr="00B96C6F">
              <w:t>)</w:t>
            </w:r>
          </w:p>
          <w:p w:rsidR="00CA6CD8" w:rsidRPr="00B96C6F" w:rsidRDefault="00CA6CD8" w:rsidP="00480FDF">
            <w:pPr>
              <w:pStyle w:val="Tabletext"/>
              <w:numPr>
                <w:ilvl w:val="0"/>
                <w:numId w:val="28"/>
              </w:numPr>
              <w:ind w:left="227" w:hanging="219"/>
            </w:pPr>
            <w:r w:rsidRPr="00B96C6F">
              <w:t>The</w:t>
            </w:r>
            <w:r>
              <w:t xml:space="preserve"> </w:t>
            </w:r>
            <w:r w:rsidRPr="00B96C6F">
              <w:t>proportion of patients who had any AE was the same for both the combination therapy and monotherapy arms (</w:t>
            </w:r>
            <w:r>
              <w:t>R</w:t>
            </w:r>
            <w:r w:rsidRPr="00B96C6F">
              <w:t xml:space="preserve">R = </w:t>
            </w:r>
            <w:r>
              <w:t>1.</w:t>
            </w:r>
            <w:r w:rsidRPr="00B96C6F">
              <w:t>0</w:t>
            </w:r>
            <w:r>
              <w:t>2</w:t>
            </w:r>
            <w:r w:rsidRPr="00B96C6F">
              <w:t>; 95% CI 0.</w:t>
            </w:r>
            <w:r>
              <w:t>96</w:t>
            </w:r>
            <w:r w:rsidRPr="00B96C6F">
              <w:t xml:space="preserve">, </w:t>
            </w:r>
            <w:r>
              <w:t>1</w:t>
            </w:r>
            <w:r w:rsidRPr="00B96C6F">
              <w:t>.</w:t>
            </w:r>
            <w:r>
              <w:t>07</w:t>
            </w:r>
            <w:r w:rsidRPr="00B96C6F">
              <w:t>)</w:t>
            </w:r>
          </w:p>
        </w:tc>
      </w:tr>
      <w:tr w:rsidR="00CA6CD8" w:rsidTr="00550EA7">
        <w:tc>
          <w:tcPr>
            <w:tcW w:w="1555" w:type="dxa"/>
            <w:tcBorders>
              <w:top w:val="single" w:sz="4" w:space="0" w:color="auto"/>
              <w:left w:val="single" w:sz="4" w:space="0" w:color="auto"/>
              <w:bottom w:val="single" w:sz="4" w:space="0" w:color="auto"/>
              <w:right w:val="single" w:sz="4" w:space="0" w:color="auto"/>
            </w:tcBorders>
          </w:tcPr>
          <w:p w:rsidR="00CA6CD8" w:rsidRPr="00B96C6F" w:rsidRDefault="00CA6CD8" w:rsidP="00CA6CD8">
            <w:pPr>
              <w:pStyle w:val="Tabletext"/>
            </w:pPr>
            <w:r w:rsidRPr="00F3410B">
              <w:rPr>
                <w:rFonts w:cs="Tahoma"/>
              </w:rPr>
              <w:t>Serious AEs in PAH-CTD</w:t>
            </w:r>
          </w:p>
        </w:tc>
        <w:tc>
          <w:tcPr>
            <w:tcW w:w="1984" w:type="dxa"/>
            <w:tcBorders>
              <w:top w:val="single" w:sz="4" w:space="0" w:color="auto"/>
              <w:left w:val="single" w:sz="4" w:space="0" w:color="auto"/>
              <w:bottom w:val="single" w:sz="4" w:space="0" w:color="auto"/>
              <w:right w:val="single" w:sz="4" w:space="0" w:color="auto"/>
            </w:tcBorders>
          </w:tcPr>
          <w:p w:rsidR="00D03AF8" w:rsidRDefault="00CA6CD8" w:rsidP="00D03AF8">
            <w:pPr>
              <w:pStyle w:val="Tabletext"/>
            </w:pPr>
            <w:r>
              <w:t>AMBITION (ambrisentan/tadalafil)</w:t>
            </w:r>
            <w:r w:rsidR="00D03AF8">
              <w:t xml:space="preserve"> </w:t>
            </w:r>
          </w:p>
          <w:p w:rsidR="00CA6CD8" w:rsidRDefault="00D03AF8" w:rsidP="00D03AF8">
            <w:pPr>
              <w:pStyle w:val="Tabletext"/>
            </w:pPr>
            <w:r>
              <w:t>N=143</w:t>
            </w:r>
          </w:p>
        </w:tc>
        <w:tc>
          <w:tcPr>
            <w:tcW w:w="6095" w:type="dxa"/>
            <w:tcBorders>
              <w:top w:val="single" w:sz="4" w:space="0" w:color="auto"/>
              <w:left w:val="single" w:sz="4" w:space="0" w:color="auto"/>
              <w:bottom w:val="single" w:sz="4" w:space="0" w:color="auto"/>
              <w:right w:val="single" w:sz="4" w:space="0" w:color="auto"/>
            </w:tcBorders>
          </w:tcPr>
          <w:p w:rsidR="00CA6CD8" w:rsidRPr="00B96C6F" w:rsidRDefault="00CA6CD8" w:rsidP="00480FDF">
            <w:pPr>
              <w:pStyle w:val="Tabletext"/>
              <w:numPr>
                <w:ilvl w:val="0"/>
                <w:numId w:val="28"/>
              </w:numPr>
              <w:ind w:left="227" w:hanging="219"/>
              <w:rPr>
                <w:szCs w:val="18"/>
              </w:rPr>
            </w:pPr>
            <w:r w:rsidRPr="00B96C6F">
              <w:t>High quality</w:t>
            </w:r>
            <w:r w:rsidRPr="00B96C6F">
              <w:rPr>
                <w:rFonts w:cs="Cambria Math"/>
              </w:rPr>
              <w:t xml:space="preserve"> evidence (GRADE </w:t>
            </w:r>
            <w:r w:rsidRPr="00B96C6F">
              <w:rPr>
                <w:rFonts w:ascii="Cambria Math" w:hAnsi="Cambria Math" w:cs="Cambria Math"/>
                <w:color w:val="00B050"/>
              </w:rPr>
              <w:t>⨁⨁⨁⨁</w:t>
            </w:r>
            <w:r w:rsidRPr="00B96C6F">
              <w:t>)</w:t>
            </w:r>
          </w:p>
          <w:p w:rsidR="00CA6CD8" w:rsidRPr="00B96C6F" w:rsidRDefault="00CA6CD8" w:rsidP="00480FDF">
            <w:pPr>
              <w:pStyle w:val="Tabletext"/>
              <w:numPr>
                <w:ilvl w:val="0"/>
                <w:numId w:val="28"/>
              </w:numPr>
              <w:ind w:left="227" w:hanging="219"/>
            </w:pPr>
            <w:r w:rsidRPr="00550EA7">
              <w:t>Fewer patients had a serious AE</w:t>
            </w:r>
            <w:r w:rsidRPr="00B96C6F">
              <w:t xml:space="preserve"> with combination therapy compared with monotherapy</w:t>
            </w:r>
            <w:r>
              <w:t>,</w:t>
            </w:r>
            <w:r w:rsidRPr="00B96C6F">
              <w:t xml:space="preserve"> </w:t>
            </w:r>
            <w:r w:rsidRPr="00F3410B">
              <w:t xml:space="preserve">but the </w:t>
            </w:r>
            <w:r w:rsidR="00D84687">
              <w:t>95% CI indicates</w:t>
            </w:r>
            <w:r w:rsidRPr="00F3410B">
              <w:t xml:space="preserve"> that there could also be </w:t>
            </w:r>
            <w:r w:rsidR="00CA40B9">
              <w:t xml:space="preserve">an </w:t>
            </w:r>
            <w:r w:rsidRPr="00F3410B">
              <w:t>effect</w:t>
            </w:r>
            <w:r w:rsidRPr="00B96C6F">
              <w:t xml:space="preserve"> </w:t>
            </w:r>
            <w:r w:rsidR="00CA40B9">
              <w:t xml:space="preserve">in the opposite direction </w:t>
            </w:r>
            <w:r w:rsidRPr="00B96C6F">
              <w:t>(RR = 0.</w:t>
            </w:r>
            <w:r>
              <w:t>87</w:t>
            </w:r>
            <w:r w:rsidRPr="00B96C6F">
              <w:t>; 95% CI 0.</w:t>
            </w:r>
            <w:r>
              <w:t>60</w:t>
            </w:r>
            <w:r w:rsidRPr="00B96C6F">
              <w:t xml:space="preserve">, </w:t>
            </w:r>
            <w:r>
              <w:t>1.28</w:t>
            </w:r>
            <w:r w:rsidRPr="00B96C6F">
              <w:t>)</w:t>
            </w:r>
          </w:p>
        </w:tc>
      </w:tr>
      <w:tr w:rsidR="00CA6CD8" w:rsidTr="00550EA7">
        <w:tc>
          <w:tcPr>
            <w:tcW w:w="1555" w:type="dxa"/>
          </w:tcPr>
          <w:p w:rsidR="00CA6CD8" w:rsidRPr="00B96C6F" w:rsidRDefault="00CA6CD8" w:rsidP="00B970A7">
            <w:pPr>
              <w:pStyle w:val="Tabletext"/>
              <w:keepNext/>
            </w:pPr>
            <w:r w:rsidRPr="00F3410B">
              <w:rPr>
                <w:rFonts w:cs="Tahoma"/>
              </w:rPr>
              <w:t>AEs leading to treatment discontinuation in PAH-CTD</w:t>
            </w:r>
          </w:p>
        </w:tc>
        <w:tc>
          <w:tcPr>
            <w:tcW w:w="1984" w:type="dxa"/>
          </w:tcPr>
          <w:p w:rsidR="00D03AF8" w:rsidRDefault="00CA6CD8" w:rsidP="00D03AF8">
            <w:pPr>
              <w:pStyle w:val="Tabletext"/>
            </w:pPr>
            <w:r>
              <w:t>AMBITION (ambrisentan/tadalafil)</w:t>
            </w:r>
            <w:r w:rsidR="00D03AF8">
              <w:t xml:space="preserve"> </w:t>
            </w:r>
          </w:p>
          <w:p w:rsidR="00CA6CD8" w:rsidRDefault="00D03AF8" w:rsidP="00D03AF8">
            <w:pPr>
              <w:pStyle w:val="Tabletext"/>
              <w:keepNext/>
            </w:pPr>
            <w:r>
              <w:t>N=143</w:t>
            </w:r>
          </w:p>
        </w:tc>
        <w:tc>
          <w:tcPr>
            <w:tcW w:w="6095" w:type="dxa"/>
          </w:tcPr>
          <w:p w:rsidR="00CA6CD8" w:rsidRPr="00B96C6F" w:rsidRDefault="006C297E" w:rsidP="00480FDF">
            <w:pPr>
              <w:pStyle w:val="Tabletext"/>
              <w:numPr>
                <w:ilvl w:val="0"/>
                <w:numId w:val="28"/>
              </w:numPr>
              <w:ind w:left="227" w:hanging="219"/>
              <w:rPr>
                <w:szCs w:val="18"/>
              </w:rPr>
            </w:pPr>
            <w:r>
              <w:t>Moderate</w:t>
            </w:r>
            <w:r w:rsidR="00CA6CD8" w:rsidRPr="00B96C6F">
              <w:t xml:space="preserve"> quality</w:t>
            </w:r>
            <w:r w:rsidR="00CA6CD8" w:rsidRPr="00B96C6F">
              <w:rPr>
                <w:rFonts w:cs="Cambria Math"/>
              </w:rPr>
              <w:t xml:space="preserve"> evidence (GRADE </w:t>
            </w:r>
            <w:r w:rsidR="00CA6CD8" w:rsidRPr="00B96C6F">
              <w:rPr>
                <w:rFonts w:ascii="Cambria Math" w:hAnsi="Cambria Math" w:cs="Cambria Math"/>
                <w:color w:val="00B050"/>
              </w:rPr>
              <w:t>⨁⨁⨁</w:t>
            </w:r>
            <w:r w:rsidRPr="00E564DD">
              <w:rPr>
                <w:rFonts w:ascii="Cambria Math" w:eastAsia="Times New Roman" w:hAnsi="Cambria Math" w:cs="Cambria Math"/>
                <w:bCs/>
                <w:color w:val="C00000"/>
              </w:rPr>
              <w:t>⨀</w:t>
            </w:r>
            <w:r w:rsidR="00CA6CD8" w:rsidRPr="00B96C6F">
              <w:t>)</w:t>
            </w:r>
          </w:p>
          <w:p w:rsidR="00CA6CD8" w:rsidRPr="00B96C6F" w:rsidRDefault="00CA40B9" w:rsidP="00480FDF">
            <w:pPr>
              <w:pStyle w:val="Tabletext"/>
              <w:numPr>
                <w:ilvl w:val="0"/>
                <w:numId w:val="28"/>
              </w:numPr>
              <w:ind w:left="227" w:hanging="219"/>
            </w:pPr>
            <w:r>
              <w:t>Fewer</w:t>
            </w:r>
            <w:r w:rsidRPr="00B96C6F">
              <w:t xml:space="preserve"> patients had an AE </w:t>
            </w:r>
            <w:r>
              <w:t xml:space="preserve">leading to treatment discontinuation with </w:t>
            </w:r>
            <w:r w:rsidRPr="00B96C6F">
              <w:t xml:space="preserve">combination therapy </w:t>
            </w:r>
            <w:r>
              <w:t>compared with</w:t>
            </w:r>
            <w:r w:rsidRPr="00B96C6F">
              <w:t xml:space="preserve"> monotherapy</w:t>
            </w:r>
            <w:r w:rsidRPr="00160CDF">
              <w:t xml:space="preserve">, but the 95% CI indicates that there could also be </w:t>
            </w:r>
            <w:r>
              <w:t>an</w:t>
            </w:r>
            <w:r w:rsidRPr="00160CDF">
              <w:t xml:space="preserve"> effect</w:t>
            </w:r>
            <w:r>
              <w:t xml:space="preserve"> in the opposite direction</w:t>
            </w:r>
            <w:r w:rsidR="00CA6CD8" w:rsidRPr="00B96C6F">
              <w:t xml:space="preserve"> (RR = </w:t>
            </w:r>
            <w:r w:rsidR="00CA6CD8">
              <w:t>0</w:t>
            </w:r>
            <w:r w:rsidR="00CA6CD8" w:rsidRPr="00B96C6F">
              <w:t>.</w:t>
            </w:r>
            <w:r w:rsidR="00CA6CD8">
              <w:t>91</w:t>
            </w:r>
            <w:r w:rsidR="00CA6CD8" w:rsidRPr="00B96C6F">
              <w:t>; 95% CI 0.</w:t>
            </w:r>
            <w:r w:rsidR="00CA6CD8">
              <w:t>37</w:t>
            </w:r>
            <w:r w:rsidR="00CA6CD8" w:rsidRPr="00B96C6F">
              <w:t xml:space="preserve">, </w:t>
            </w:r>
            <w:r w:rsidR="00CA6CD8">
              <w:t>2</w:t>
            </w:r>
            <w:r w:rsidR="00CA6CD8" w:rsidRPr="00B96C6F">
              <w:t>.</w:t>
            </w:r>
            <w:r w:rsidR="00CA6CD8">
              <w:t>19</w:t>
            </w:r>
            <w:r w:rsidR="00CA6CD8" w:rsidRPr="00B96C6F">
              <w:t>)</w:t>
            </w:r>
          </w:p>
        </w:tc>
      </w:tr>
    </w:tbl>
    <w:p w:rsidR="00B970A7" w:rsidRDefault="00B970A7" w:rsidP="00550EA7">
      <w:pPr>
        <w:pStyle w:val="Tablenote"/>
      </w:pPr>
      <w:r>
        <w:t xml:space="preserve">AE = adverse event; </w:t>
      </w:r>
      <w:r w:rsidR="009B35CE">
        <w:t>CI = confidence interval; ERA = e</w:t>
      </w:r>
      <w:r w:rsidR="009B35CE" w:rsidRPr="00107676">
        <w:t xml:space="preserve">ndothelin </w:t>
      </w:r>
      <w:r w:rsidR="009B35CE">
        <w:t>r</w:t>
      </w:r>
      <w:r w:rsidR="009B35CE" w:rsidRPr="00107676">
        <w:t xml:space="preserve">eceptor </w:t>
      </w:r>
      <w:r w:rsidR="009B35CE">
        <w:t>a</w:t>
      </w:r>
      <w:r w:rsidR="009B35CE" w:rsidRPr="00107676">
        <w:t>ntagonist</w:t>
      </w:r>
      <w:r w:rsidR="009B35CE">
        <w:t>;</w:t>
      </w:r>
      <w:r w:rsidR="00F20C66" w:rsidRPr="00F20C66">
        <w:t xml:space="preserve"> </w:t>
      </w:r>
      <w:r w:rsidR="00385E5A">
        <w:t>GRADE = grading of recommendations assessment, development and evaluation</w:t>
      </w:r>
      <w:r w:rsidR="001D34EE" w:rsidRPr="001D34EE">
        <w:rPr>
          <w:noProof/>
          <w:vertAlign w:val="superscript"/>
        </w:rPr>
        <w:t>1</w:t>
      </w:r>
      <w:r w:rsidR="00F20C66" w:rsidRPr="009E3B52">
        <w:t>;</w:t>
      </w:r>
      <w:r w:rsidR="009B35CE">
        <w:t xml:space="preserve"> </w:t>
      </w:r>
      <w:r w:rsidR="009B35CE" w:rsidRPr="00C65B42">
        <w:t xml:space="preserve">HPAH = heritable PAH; IPAH = idiopathic PAH; PAH = pulmonary arterial hypertension; </w:t>
      </w:r>
      <w:r w:rsidR="00B923F1">
        <w:t>PAH-</w:t>
      </w:r>
      <w:r w:rsidR="00B923F1" w:rsidRPr="00822C52">
        <w:t xml:space="preserve">CTD = </w:t>
      </w:r>
      <w:r w:rsidR="00B923F1">
        <w:t xml:space="preserve">PAH associated with </w:t>
      </w:r>
      <w:r w:rsidR="00B923F1" w:rsidRPr="00822C52">
        <w:t xml:space="preserve">connective tissue disease; </w:t>
      </w:r>
      <w:r w:rsidR="009B35CE" w:rsidRPr="009B5AB3">
        <w:t>PDE-5 = phosphodiesterase type-5</w:t>
      </w:r>
      <w:r w:rsidR="009B35CE">
        <w:t>;</w:t>
      </w:r>
      <w:r w:rsidR="009B35CE" w:rsidRPr="009B5AB3">
        <w:t xml:space="preserve"> </w:t>
      </w:r>
      <w:r w:rsidR="009B35CE">
        <w:t>RR = relative risk</w:t>
      </w:r>
    </w:p>
    <w:p w:rsidR="009B35CE" w:rsidRPr="006316DF" w:rsidRDefault="00441F08" w:rsidP="009B35CE">
      <w:pPr>
        <w:pStyle w:val="Heading4"/>
      </w:pPr>
      <w:r>
        <w:t>4.1.3.2</w:t>
      </w:r>
      <w:r>
        <w:tab/>
      </w:r>
      <w:r w:rsidR="009B35CE" w:rsidRPr="006316DF">
        <w:t xml:space="preserve">ERA </w:t>
      </w:r>
      <w:r w:rsidR="009B35CE" w:rsidRPr="00EF6A61">
        <w:t xml:space="preserve">in addition to </w:t>
      </w:r>
      <w:r w:rsidR="000E0079">
        <w:t>prostanoid</w:t>
      </w:r>
    </w:p>
    <w:p w:rsidR="009B35CE" w:rsidRPr="00107676" w:rsidRDefault="009B35CE" w:rsidP="009B35CE">
      <w:pPr>
        <w:pStyle w:val="Heading5"/>
      </w:pPr>
      <w:r w:rsidRPr="00107676">
        <w:t>Clinical effectiveness</w:t>
      </w:r>
    </w:p>
    <w:p w:rsidR="009B35CE" w:rsidRPr="00C77B6A" w:rsidRDefault="009B35CE" w:rsidP="009B35CE">
      <w:pPr>
        <w:spacing w:after="40"/>
      </w:pPr>
      <w:r w:rsidRPr="00C77B6A">
        <w:t xml:space="preserve">Two RCTs reported on the effectiveness of an ERA in addition to </w:t>
      </w:r>
      <w:r w:rsidR="0017012F" w:rsidRPr="0017012F">
        <w:t xml:space="preserve">prostanoid </w:t>
      </w:r>
      <w:r w:rsidR="00762E16">
        <w:t xml:space="preserve">therapy </w:t>
      </w:r>
      <w:r w:rsidRPr="00C77B6A">
        <w:t>in treating PAH compared with place</w:t>
      </w:r>
      <w:r>
        <w:t xml:space="preserve">bo plus a </w:t>
      </w:r>
      <w:r w:rsidR="0017012F" w:rsidRPr="0017012F">
        <w:t>prostanoid</w:t>
      </w:r>
      <w:r>
        <w:t>:</w:t>
      </w:r>
    </w:p>
    <w:p w:rsidR="009B35CE" w:rsidRPr="00B607A5" w:rsidRDefault="009B35CE" w:rsidP="0086175F">
      <w:pPr>
        <w:pStyle w:val="Bullettext"/>
        <w:rPr>
          <w:bCs/>
        </w:rPr>
      </w:pPr>
      <w:r w:rsidRPr="00B607A5">
        <w:lastRenderedPageBreak/>
        <w:t xml:space="preserve">BREATHE-2 enrolled treatment-naïve patients with </w:t>
      </w:r>
      <w:r w:rsidR="006B4B22" w:rsidRPr="00B607A5">
        <w:t>WHO</w:t>
      </w:r>
      <w:r w:rsidRPr="00B607A5">
        <w:t xml:space="preserve"> FC III/IV PAH to receive combination therapy or monotherapy</w:t>
      </w:r>
    </w:p>
    <w:p w:rsidR="009B35CE" w:rsidRPr="00B607A5" w:rsidRDefault="009B35CE" w:rsidP="0086175F">
      <w:pPr>
        <w:pStyle w:val="Bullettext"/>
        <w:rPr>
          <w:bCs/>
        </w:rPr>
      </w:pPr>
      <w:r w:rsidRPr="00B607A5">
        <w:t>Han 2017 enrolled treatment-naïve patients with WHO FC III/IV PAH to receive combination therapy or monotherapy</w:t>
      </w:r>
    </w:p>
    <w:p w:rsidR="009B35CE" w:rsidRDefault="009B35CE" w:rsidP="00EE7D4B">
      <w:pPr>
        <w:spacing w:before="0" w:line="240" w:lineRule="auto"/>
      </w:pPr>
      <w:r w:rsidRPr="00550EA7">
        <w:t>The evidence provided by these trials for patients with WHO FC III/IV PAH is summarised in</w:t>
      </w:r>
      <w:r w:rsidR="00EE7D4B">
        <w:t xml:space="preserve"> Table 4.7</w:t>
      </w:r>
      <w:r>
        <w:t>.</w:t>
      </w:r>
    </w:p>
    <w:p w:rsidR="009B35CE" w:rsidRDefault="001E5DED" w:rsidP="009B35CE">
      <w:r>
        <w:t xml:space="preserve">Overall, </w:t>
      </w:r>
      <w:r w:rsidRPr="001E5DED">
        <w:t>the</w:t>
      </w:r>
      <w:r w:rsidR="00A7777A">
        <w:t xml:space="preserve">re is </w:t>
      </w:r>
      <w:r w:rsidR="00F9446B">
        <w:t xml:space="preserve">uncertainty as to whether </w:t>
      </w:r>
      <w:r w:rsidRPr="001E5DED">
        <w:t>an ERA in addition to prostanoid</w:t>
      </w:r>
      <w:r w:rsidR="00762E16">
        <w:t xml:space="preserve"> therapy</w:t>
      </w:r>
      <w:r w:rsidRPr="001E5DED">
        <w:t>, relative to prostanoid monotherapy</w:t>
      </w:r>
      <w:r w:rsidR="00F9446B">
        <w:t>,</w:t>
      </w:r>
      <w:r w:rsidRPr="001E5DED">
        <w:t xml:space="preserve"> </w:t>
      </w:r>
      <w:r w:rsidR="00F9446B">
        <w:t xml:space="preserve">is beneficial in </w:t>
      </w:r>
      <w:r w:rsidRPr="001E5DED">
        <w:t>patients with WHO FC III/IV PAH</w:t>
      </w:r>
      <w:r w:rsidR="009B35CE" w:rsidRPr="006316DF">
        <w:t>.</w:t>
      </w:r>
    </w:p>
    <w:p w:rsidR="009B35CE" w:rsidRDefault="00272F8F" w:rsidP="00BC5A2B">
      <w:pPr>
        <w:pStyle w:val="Caption"/>
      </w:pPr>
      <w:bookmarkStart w:id="19" w:name="_Ref505953962"/>
      <w:bookmarkStart w:id="20" w:name="_Toc512855411"/>
      <w:r>
        <w:t>Table 4.</w:t>
      </w:r>
      <w:r w:rsidR="00AA722D">
        <w:rPr>
          <w:noProof/>
        </w:rPr>
        <w:t>7</w:t>
      </w:r>
      <w:bookmarkEnd w:id="19"/>
      <w:r w:rsidR="00550EA7">
        <w:tab/>
      </w:r>
      <w:r w:rsidR="009B35CE">
        <w:t xml:space="preserve">Summary of the evidence for the clinical effectiveness of an </w:t>
      </w:r>
      <w:r w:rsidR="009B35CE" w:rsidRPr="00542902">
        <w:t xml:space="preserve">ERA in addition to </w:t>
      </w:r>
      <w:r w:rsidR="009B35CE">
        <w:t xml:space="preserve">a </w:t>
      </w:r>
      <w:r w:rsidR="000E0079">
        <w:t>prostanoid</w:t>
      </w:r>
      <w:r w:rsidR="009B35CE" w:rsidRPr="00542902">
        <w:t>, relative</w:t>
      </w:r>
      <w:r w:rsidR="009B35CE">
        <w:t xml:space="preserve"> to </w:t>
      </w:r>
      <w:r w:rsidR="000E0079">
        <w:t>prostanoid</w:t>
      </w:r>
      <w:r w:rsidR="009B35CE">
        <w:t xml:space="preserve"> monotherapy</w:t>
      </w:r>
      <w:bookmarkEnd w:id="20"/>
    </w:p>
    <w:tbl>
      <w:tblPr>
        <w:tblStyle w:val="TableGrid"/>
        <w:tblW w:w="9634" w:type="dxa"/>
        <w:tblLook w:val="04A0" w:firstRow="1" w:lastRow="0" w:firstColumn="1" w:lastColumn="0" w:noHBand="0" w:noVBand="1"/>
        <w:tblCaption w:val="Summary of the evidence for the clinical effectiveness of an ERA in addition to a prostanoid, relative to prostanoid monotherapy"/>
      </w:tblPr>
      <w:tblGrid>
        <w:gridCol w:w="1550"/>
        <w:gridCol w:w="2283"/>
        <w:gridCol w:w="5801"/>
      </w:tblGrid>
      <w:tr w:rsidR="009B35CE" w:rsidRPr="00550EA7" w:rsidTr="00550EA7">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550EA7" w:rsidRDefault="009B35CE" w:rsidP="00550EA7">
            <w:pPr>
              <w:pStyle w:val="Tabletext"/>
              <w:rPr>
                <w:rFonts w:asciiTheme="minorHAnsi" w:hAnsiTheme="minorHAnsi"/>
                <w:b/>
              </w:rPr>
            </w:pPr>
            <w:r w:rsidRPr="00550EA7">
              <w:rPr>
                <w:b/>
              </w:rPr>
              <w:t>Outcome</w:t>
            </w:r>
          </w:p>
        </w:tc>
        <w:tc>
          <w:tcPr>
            <w:tcW w:w="1984" w:type="dxa"/>
            <w:tcBorders>
              <w:top w:val="single" w:sz="4" w:space="0" w:color="auto"/>
              <w:left w:val="single" w:sz="4" w:space="0" w:color="auto"/>
              <w:bottom w:val="single" w:sz="4" w:space="0" w:color="auto"/>
              <w:right w:val="single" w:sz="4" w:space="0" w:color="auto"/>
            </w:tcBorders>
          </w:tcPr>
          <w:p w:rsidR="00D03AF8" w:rsidRDefault="009B35CE" w:rsidP="00D03AF8">
            <w:pPr>
              <w:pStyle w:val="Tabletext"/>
              <w:rPr>
                <w:b/>
              </w:rPr>
            </w:pPr>
            <w:r w:rsidRPr="00550EA7">
              <w:rPr>
                <w:b/>
              </w:rPr>
              <w:t xml:space="preserve">Included trials </w:t>
            </w:r>
          </w:p>
          <w:p w:rsidR="009B35CE" w:rsidRPr="00550EA7" w:rsidRDefault="00D03AF8" w:rsidP="00D03AF8">
            <w:pPr>
              <w:pStyle w:val="Tabletext"/>
              <w:rPr>
                <w:rFonts w:asciiTheme="minorHAnsi" w:hAnsiTheme="minorHAnsi"/>
                <w:b/>
              </w:rPr>
            </w:pPr>
            <w:r w:rsidRPr="00293DE5">
              <w:rPr>
                <w:b/>
              </w:rPr>
              <w:t>No. of patients</w:t>
            </w:r>
          </w:p>
        </w:tc>
        <w:tc>
          <w:tcPr>
            <w:tcW w:w="6095" w:type="dxa"/>
            <w:tcBorders>
              <w:top w:val="single" w:sz="4" w:space="0" w:color="auto"/>
              <w:left w:val="single" w:sz="4" w:space="0" w:color="auto"/>
              <w:bottom w:val="single" w:sz="4" w:space="0" w:color="auto"/>
              <w:right w:val="single" w:sz="4" w:space="0" w:color="auto"/>
            </w:tcBorders>
          </w:tcPr>
          <w:p w:rsidR="009B35CE" w:rsidRPr="00550EA7" w:rsidRDefault="009B35CE" w:rsidP="00550EA7">
            <w:pPr>
              <w:pStyle w:val="Tabletext"/>
              <w:rPr>
                <w:rFonts w:asciiTheme="minorHAnsi" w:hAnsiTheme="minorHAnsi"/>
                <w:b/>
              </w:rPr>
            </w:pPr>
            <w:r w:rsidRPr="00550EA7">
              <w:rPr>
                <w:b/>
              </w:rPr>
              <w:t>Summary of evidence</w:t>
            </w:r>
          </w:p>
        </w:tc>
      </w:tr>
      <w:tr w:rsidR="009B35CE" w:rsidTr="00550EA7">
        <w:tc>
          <w:tcPr>
            <w:tcW w:w="9634" w:type="dxa"/>
            <w:gridSpan w:val="3"/>
            <w:tcBorders>
              <w:top w:val="nil"/>
              <w:left w:val="single" w:sz="4" w:space="0" w:color="auto"/>
              <w:bottom w:val="single" w:sz="4" w:space="0" w:color="auto"/>
              <w:right w:val="single" w:sz="4" w:space="0" w:color="auto"/>
            </w:tcBorders>
            <w:shd w:val="clear" w:color="auto" w:fill="000000"/>
          </w:tcPr>
          <w:p w:rsidR="009B35CE" w:rsidRDefault="009B35CE" w:rsidP="00550EA7">
            <w:pPr>
              <w:pStyle w:val="Tabletext"/>
              <w:rPr>
                <w:rFonts w:asciiTheme="minorHAnsi" w:hAnsiTheme="minorHAnsi"/>
              </w:rPr>
            </w:pPr>
            <w:r>
              <w:t>P</w:t>
            </w:r>
            <w:r w:rsidRPr="00FD4377">
              <w:t>atients with WHO FC III/IV PAH</w:t>
            </w:r>
          </w:p>
        </w:tc>
      </w:tr>
      <w:tr w:rsidR="00695728" w:rsidTr="00550EA7">
        <w:tc>
          <w:tcPr>
            <w:tcW w:w="1555" w:type="dxa"/>
          </w:tcPr>
          <w:p w:rsidR="00695728" w:rsidRPr="001D637C" w:rsidRDefault="00695728" w:rsidP="00695728">
            <w:pPr>
              <w:pStyle w:val="Tabletext"/>
            </w:pPr>
            <w:r>
              <w:t>All-cause mortality</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BREATHE-2 (bosentan/epoprostenol)</w:t>
            </w:r>
          </w:p>
          <w:p w:rsidR="00695728" w:rsidRPr="001D637C" w:rsidRDefault="00695728" w:rsidP="00695728">
            <w:pPr>
              <w:pStyle w:val="Tabletext"/>
            </w:pPr>
            <w:r>
              <w:t>N=33</w:t>
            </w:r>
          </w:p>
        </w:tc>
        <w:tc>
          <w:tcPr>
            <w:tcW w:w="6095" w:type="dxa"/>
          </w:tcPr>
          <w:p w:rsidR="00695728" w:rsidRPr="00C77B6A" w:rsidRDefault="00695728" w:rsidP="00480FDF">
            <w:pPr>
              <w:pStyle w:val="Tabletext"/>
              <w:numPr>
                <w:ilvl w:val="0"/>
                <w:numId w:val="29"/>
              </w:numPr>
              <w:ind w:left="227" w:hanging="219"/>
            </w:pPr>
            <w:r>
              <w:t>Low</w:t>
            </w:r>
            <w:r w:rsidRPr="00C77B6A">
              <w:t xml:space="preserve"> quality</w:t>
            </w:r>
            <w:r w:rsidRPr="00C77B6A">
              <w:rPr>
                <w:rFonts w:cs="Cambria Math"/>
              </w:rPr>
              <w:t xml:space="preserve"> evidence (GRADE </w:t>
            </w:r>
            <w:r w:rsidRPr="00C77B6A">
              <w:rPr>
                <w:rFonts w:ascii="Cambria Math" w:hAnsi="Cambria Math" w:cs="Cambria Math"/>
                <w:color w:val="00B050"/>
              </w:rPr>
              <w:t>⨁⨁</w:t>
            </w:r>
            <w:r w:rsidRPr="006316DF">
              <w:rPr>
                <w:rFonts w:ascii="Cambria Math" w:hAnsi="Cambria Math" w:cs="Cambria Math"/>
                <w:color w:val="C00000"/>
              </w:rPr>
              <w:t>⨀⨀</w:t>
            </w:r>
            <w:r w:rsidRPr="00C77B6A">
              <w:t>)</w:t>
            </w:r>
          </w:p>
          <w:p w:rsidR="00695728" w:rsidRPr="00C77B6A" w:rsidRDefault="00695728" w:rsidP="00480FDF">
            <w:pPr>
              <w:pStyle w:val="Tabletext"/>
              <w:numPr>
                <w:ilvl w:val="0"/>
                <w:numId w:val="29"/>
              </w:numPr>
              <w:ind w:left="227" w:hanging="219"/>
            </w:pPr>
            <w:r>
              <w:t>More</w:t>
            </w:r>
            <w:r w:rsidRPr="00B92556">
              <w:t xml:space="preserve"> patients die</w:t>
            </w:r>
            <w:r>
              <w:t>d</w:t>
            </w:r>
            <w:r w:rsidRPr="00B92556">
              <w:t xml:space="preserve"> from any cause with combination therapy compared with monotherapy, but </w:t>
            </w:r>
            <w:r>
              <w:t xml:space="preserve">the </w:t>
            </w:r>
            <w:r w:rsidR="00CA40B9">
              <w:t>wide 95% CI indicates that the study was underpowered for this outcome</w:t>
            </w:r>
            <w:r w:rsidR="00CA40B9" w:rsidRPr="00B92556">
              <w:t xml:space="preserve"> </w:t>
            </w:r>
            <w:r w:rsidRPr="00B92556">
              <w:t>(</w:t>
            </w:r>
            <w:r>
              <w:t>ARD</w:t>
            </w:r>
            <w:r w:rsidRPr="00B92556">
              <w:t xml:space="preserve"> = 13.6%; 95% CI −0.7</w:t>
            </w:r>
            <w:r>
              <w:t xml:space="preserve">, </w:t>
            </w:r>
            <w:r w:rsidRPr="00B92556">
              <w:t>28.0)</w:t>
            </w:r>
          </w:p>
        </w:tc>
      </w:tr>
      <w:tr w:rsidR="00695728" w:rsidTr="00550EA7">
        <w:tc>
          <w:tcPr>
            <w:tcW w:w="1555" w:type="dxa"/>
            <w:tcBorders>
              <w:top w:val="single" w:sz="4" w:space="0" w:color="auto"/>
              <w:left w:val="single" w:sz="4" w:space="0" w:color="auto"/>
              <w:bottom w:val="single" w:sz="4" w:space="0" w:color="auto"/>
              <w:right w:val="single" w:sz="4" w:space="0" w:color="auto"/>
            </w:tcBorders>
          </w:tcPr>
          <w:p w:rsidR="00695728" w:rsidRPr="001D637C" w:rsidRDefault="00695728" w:rsidP="00695728">
            <w:pPr>
              <w:pStyle w:val="Tabletext"/>
            </w:pPr>
            <w:r w:rsidRPr="00FA1124">
              <w:t>Improved WHO FC</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 xml:space="preserve">BREATHE-2 (bosentan/epoprostenol) </w:t>
            </w:r>
          </w:p>
          <w:p w:rsidR="00695728" w:rsidRPr="001D637C" w:rsidRDefault="00695728" w:rsidP="00695728">
            <w:pPr>
              <w:pStyle w:val="Tabletext"/>
            </w:pPr>
            <w:r>
              <w:t>N=33</w:t>
            </w:r>
          </w:p>
        </w:tc>
        <w:tc>
          <w:tcPr>
            <w:tcW w:w="6095" w:type="dxa"/>
            <w:tcBorders>
              <w:top w:val="single" w:sz="4" w:space="0" w:color="auto"/>
              <w:left w:val="single" w:sz="4" w:space="0" w:color="auto"/>
              <w:bottom w:val="single" w:sz="4" w:space="0" w:color="auto"/>
              <w:right w:val="single" w:sz="4" w:space="0" w:color="auto"/>
            </w:tcBorders>
          </w:tcPr>
          <w:p w:rsidR="00695728" w:rsidRPr="00C77B6A" w:rsidRDefault="00695728" w:rsidP="00480FDF">
            <w:pPr>
              <w:pStyle w:val="Tabletext"/>
              <w:numPr>
                <w:ilvl w:val="0"/>
                <w:numId w:val="29"/>
              </w:numPr>
              <w:ind w:left="227" w:hanging="219"/>
            </w:pPr>
            <w:r>
              <w:t>Very low</w:t>
            </w:r>
            <w:r w:rsidRPr="00C77B6A">
              <w:t xml:space="preserve"> quality</w:t>
            </w:r>
            <w:r w:rsidRPr="00C77B6A">
              <w:rPr>
                <w:rFonts w:cs="Cambria Math"/>
              </w:rPr>
              <w:t xml:space="preserve"> evidence (GRADE </w:t>
            </w:r>
            <w:r w:rsidRPr="00C77B6A">
              <w:rPr>
                <w:rFonts w:ascii="Cambria Math" w:hAnsi="Cambria Math" w:cs="Cambria Math"/>
                <w:color w:val="00B050"/>
              </w:rPr>
              <w:t>⨁</w:t>
            </w:r>
            <w:r w:rsidRPr="006316DF">
              <w:rPr>
                <w:rFonts w:ascii="Cambria Math" w:hAnsi="Cambria Math" w:cs="Cambria Math"/>
                <w:color w:val="C00000"/>
              </w:rPr>
              <w:t>⨀⨀</w:t>
            </w:r>
            <w:r w:rsidRPr="00E564DD">
              <w:rPr>
                <w:rFonts w:ascii="Cambria Math" w:eastAsia="Times New Roman" w:hAnsi="Cambria Math" w:cs="Cambria Math"/>
                <w:bCs/>
                <w:color w:val="C00000"/>
              </w:rPr>
              <w:t>⨀</w:t>
            </w:r>
            <w:r w:rsidRPr="00C77B6A">
              <w:t>)</w:t>
            </w:r>
          </w:p>
          <w:p w:rsidR="00695728" w:rsidRPr="006B11DC" w:rsidRDefault="00695728" w:rsidP="00480FDF">
            <w:pPr>
              <w:pStyle w:val="Tabletext"/>
              <w:numPr>
                <w:ilvl w:val="0"/>
                <w:numId w:val="29"/>
              </w:numPr>
              <w:ind w:left="227" w:hanging="219"/>
            </w:pPr>
            <w:r>
              <w:t>More</w:t>
            </w:r>
            <w:r w:rsidRPr="00B92556">
              <w:t xml:space="preserve"> patients </w:t>
            </w:r>
            <w:r>
              <w:t>improved their WHO FC</w:t>
            </w:r>
            <w:r w:rsidRPr="00B92556">
              <w:t xml:space="preserve"> with combination therapy compared with monotherapy, but the </w:t>
            </w:r>
            <w:r w:rsidR="00CA40B9">
              <w:t>wide 95% CI indicates that the study was underpowered for this outcome</w:t>
            </w:r>
            <w:r w:rsidRPr="00B92556">
              <w:t xml:space="preserve"> </w:t>
            </w:r>
            <w:r w:rsidRPr="006B11DC">
              <w:t xml:space="preserve">(RR = </w:t>
            </w:r>
            <w:r>
              <w:t>1</w:t>
            </w:r>
            <w:r w:rsidRPr="006B11DC">
              <w:t>.</w:t>
            </w:r>
            <w:r>
              <w:t>30</w:t>
            </w:r>
            <w:r w:rsidRPr="006B11DC">
              <w:t>; 95% CI 0.</w:t>
            </w:r>
            <w:r>
              <w:t>62</w:t>
            </w:r>
            <w:r w:rsidRPr="006B11DC">
              <w:t xml:space="preserve">, </w:t>
            </w:r>
            <w:r>
              <w:t>2</w:t>
            </w:r>
            <w:r w:rsidRPr="006B11DC">
              <w:t>.</w:t>
            </w:r>
            <w:r>
              <w:t>71</w:t>
            </w:r>
            <w:r w:rsidRPr="006B11DC">
              <w:t>)</w:t>
            </w:r>
          </w:p>
        </w:tc>
      </w:tr>
      <w:tr w:rsidR="00695728" w:rsidTr="007E6052">
        <w:tc>
          <w:tcPr>
            <w:tcW w:w="1555" w:type="dxa"/>
          </w:tcPr>
          <w:p w:rsidR="00695728" w:rsidRPr="001D637C" w:rsidRDefault="00695728" w:rsidP="00695728">
            <w:pPr>
              <w:pStyle w:val="Tabletext"/>
            </w:pPr>
            <w:r>
              <w:t>Change in 6MWD</w:t>
            </w:r>
            <w:r>
              <w:rPr>
                <w:rFonts w:cs="Arial"/>
              </w:rPr>
              <w:t xml:space="preserve"> from baseline</w:t>
            </w:r>
          </w:p>
        </w:tc>
        <w:tc>
          <w:tcPr>
            <w:tcW w:w="1984" w:type="dxa"/>
          </w:tcPr>
          <w:p w:rsidR="00695728" w:rsidRDefault="00695728" w:rsidP="00695728">
            <w:pPr>
              <w:pStyle w:val="Tabletext"/>
            </w:pPr>
            <w:r>
              <w:t>BREATHE-2 (bosentan/epoprostenol)</w:t>
            </w:r>
          </w:p>
          <w:p w:rsidR="00695728" w:rsidRDefault="00695728" w:rsidP="00695728">
            <w:pPr>
              <w:pStyle w:val="Tabletext"/>
            </w:pPr>
            <w:r>
              <w:t>Han 2017 (bosentan/iloprost)</w:t>
            </w:r>
          </w:p>
          <w:p w:rsidR="00695728" w:rsidRPr="001D637C" w:rsidRDefault="00695728" w:rsidP="00695728">
            <w:pPr>
              <w:pStyle w:val="Tabletext"/>
            </w:pPr>
            <w:r>
              <w:t>N=47</w:t>
            </w:r>
          </w:p>
        </w:tc>
        <w:tc>
          <w:tcPr>
            <w:tcW w:w="6095" w:type="dxa"/>
          </w:tcPr>
          <w:p w:rsidR="00695728" w:rsidRPr="006B11DC" w:rsidRDefault="00695728" w:rsidP="00480FDF">
            <w:pPr>
              <w:pStyle w:val="Tabletext"/>
              <w:numPr>
                <w:ilvl w:val="0"/>
                <w:numId w:val="29"/>
              </w:numPr>
              <w:ind w:left="227" w:hanging="219"/>
            </w:pPr>
            <w:r>
              <w:t>Very low</w:t>
            </w:r>
            <w:r w:rsidRPr="006B11DC">
              <w:t xml:space="preserve"> quality evidence (GRADE </w:t>
            </w:r>
            <w:r w:rsidRPr="006316DF">
              <w:rPr>
                <w:rFonts w:ascii="Cambria Math" w:hAnsi="Cambria Math" w:cs="Cambria Math"/>
                <w:color w:val="00B050"/>
              </w:rPr>
              <w:t>⨁</w:t>
            </w:r>
            <w:r w:rsidRPr="006316DF">
              <w:rPr>
                <w:rFonts w:ascii="Cambria Math" w:hAnsi="Cambria Math" w:cs="Cambria Math"/>
                <w:color w:val="C00000"/>
              </w:rPr>
              <w:t>⨀⨀⨀</w:t>
            </w:r>
            <w:r w:rsidRPr="006B11DC">
              <w:t>)</w:t>
            </w:r>
          </w:p>
          <w:p w:rsidR="00695728" w:rsidRDefault="00695728" w:rsidP="00480FDF">
            <w:pPr>
              <w:pStyle w:val="Tabletext"/>
              <w:numPr>
                <w:ilvl w:val="0"/>
                <w:numId w:val="29"/>
              </w:numPr>
              <w:ind w:left="227" w:hanging="219"/>
            </w:pPr>
            <w:r>
              <w:t>In 1 out of 2 studies p</w:t>
            </w:r>
            <w:r w:rsidRPr="006B11DC">
              <w:t xml:space="preserve">atients </w:t>
            </w:r>
            <w:r>
              <w:t>on combination therapy</w:t>
            </w:r>
            <w:r w:rsidRPr="006B11DC">
              <w:t xml:space="preserve"> had </w:t>
            </w:r>
            <w:r>
              <w:t xml:space="preserve"> a</w:t>
            </w:r>
            <w:r w:rsidRPr="006B11DC">
              <w:t xml:space="preserve"> large</w:t>
            </w:r>
            <w:r>
              <w:t xml:space="preserve"> clinically important</w:t>
            </w:r>
            <w:r w:rsidRPr="006B11DC">
              <w:t xml:space="preserve"> improvement in their 6MWD </w:t>
            </w:r>
            <w:r>
              <w:t>compared with</w:t>
            </w:r>
            <w:r w:rsidRPr="006B11DC">
              <w:t xml:space="preserve"> those </w:t>
            </w:r>
            <w:r>
              <w:t>on monotherapy</w:t>
            </w:r>
            <w:r w:rsidRPr="006B11DC">
              <w:t xml:space="preserve"> (</w:t>
            </w:r>
            <w:r>
              <w:t>range</w:t>
            </w:r>
            <w:r w:rsidRPr="006B11DC">
              <w:t xml:space="preserve"> </w:t>
            </w:r>
            <w:r>
              <w:t>6</w:t>
            </w:r>
            <w:r w:rsidRPr="006B11DC">
              <w:t>.</w:t>
            </w:r>
            <w:r>
              <w:t>0 m less to</w:t>
            </w:r>
            <w:r w:rsidRPr="006B11DC">
              <w:t xml:space="preserve"> </w:t>
            </w:r>
            <w:r>
              <w:t xml:space="preserve">123.6 m </w:t>
            </w:r>
            <w:r w:rsidR="00002D3C">
              <w:t xml:space="preserve">walked </w:t>
            </w:r>
            <w:r>
              <w:t>further</w:t>
            </w:r>
            <w:r w:rsidRPr="006B11DC">
              <w:t>)</w:t>
            </w:r>
            <w:r>
              <w:t xml:space="preserve"> </w:t>
            </w:r>
          </w:p>
          <w:p w:rsidR="00695728" w:rsidRPr="006B11DC" w:rsidRDefault="00CA40B9" w:rsidP="00480FDF">
            <w:pPr>
              <w:pStyle w:val="Tabletext"/>
              <w:numPr>
                <w:ilvl w:val="0"/>
                <w:numId w:val="29"/>
              </w:numPr>
              <w:ind w:left="227" w:hanging="219"/>
            </w:pPr>
            <w:r>
              <w:t>Two studies were too small to determine whether the two different treatment combinations differ in their treatment effectiveness</w:t>
            </w:r>
          </w:p>
        </w:tc>
      </w:tr>
      <w:tr w:rsidR="00695728" w:rsidTr="007E6052">
        <w:tc>
          <w:tcPr>
            <w:tcW w:w="1555" w:type="dxa"/>
          </w:tcPr>
          <w:p w:rsidR="00695728" w:rsidRDefault="00695728" w:rsidP="00695728">
            <w:pPr>
              <w:pStyle w:val="Tabletext"/>
            </w:pPr>
            <w:r>
              <w:t>Change in QoL</w:t>
            </w:r>
            <w:r>
              <w:rPr>
                <w:rFonts w:cs="Arial"/>
              </w:rPr>
              <w:t xml:space="preserve"> from baseline</w:t>
            </w:r>
            <w:r>
              <w:t>:</w:t>
            </w:r>
          </w:p>
          <w:p w:rsidR="00695728" w:rsidRPr="001D637C" w:rsidRDefault="00695728" w:rsidP="00695728">
            <w:pPr>
              <w:pStyle w:val="Tabletext"/>
            </w:pPr>
            <w:r>
              <w:t>MLHF</w:t>
            </w:r>
            <w:r w:rsidRPr="000054CF">
              <w:rPr>
                <w:vertAlign w:val="superscript"/>
              </w:rPr>
              <w:t>a</w:t>
            </w:r>
          </w:p>
        </w:tc>
        <w:tc>
          <w:tcPr>
            <w:tcW w:w="1984" w:type="dxa"/>
          </w:tcPr>
          <w:p w:rsidR="00695728" w:rsidRDefault="00695728" w:rsidP="00695728">
            <w:pPr>
              <w:pStyle w:val="Tabletext"/>
            </w:pPr>
            <w:r>
              <w:t xml:space="preserve">Han 2017 (bosentan/iloprost) </w:t>
            </w:r>
          </w:p>
          <w:p w:rsidR="00695728" w:rsidRPr="001D637C" w:rsidRDefault="00695728" w:rsidP="00695728">
            <w:pPr>
              <w:pStyle w:val="Tabletext"/>
            </w:pPr>
            <w:r>
              <w:t>N=14</w:t>
            </w:r>
          </w:p>
        </w:tc>
        <w:tc>
          <w:tcPr>
            <w:tcW w:w="6095" w:type="dxa"/>
          </w:tcPr>
          <w:p w:rsidR="00695728" w:rsidRPr="00C77B6A" w:rsidRDefault="00695728" w:rsidP="00480FDF">
            <w:pPr>
              <w:pStyle w:val="Tabletext"/>
              <w:numPr>
                <w:ilvl w:val="0"/>
                <w:numId w:val="29"/>
              </w:numPr>
              <w:ind w:left="227" w:hanging="219"/>
            </w:pPr>
            <w:r>
              <w:t>Very low</w:t>
            </w:r>
            <w:r w:rsidRPr="00C77B6A">
              <w:t xml:space="preserve"> quality</w:t>
            </w:r>
            <w:r w:rsidRPr="00C77B6A">
              <w:rPr>
                <w:rFonts w:cs="Cambria Math"/>
              </w:rPr>
              <w:t xml:space="preserve"> evidence (GRADE </w:t>
            </w:r>
            <w:r w:rsidRPr="00C77B6A">
              <w:rPr>
                <w:rFonts w:ascii="Cambria Math" w:hAnsi="Cambria Math" w:cs="Cambria Math"/>
                <w:color w:val="00B050"/>
              </w:rPr>
              <w:t>⨁</w:t>
            </w:r>
            <w:r>
              <w:rPr>
                <w:rFonts w:ascii="Cambria Math" w:hAnsi="Cambria Math" w:cs="Cambria Math"/>
                <w:color w:val="C00000"/>
              </w:rPr>
              <w:t>⨀</w:t>
            </w:r>
            <w:r>
              <w:rPr>
                <w:rFonts w:ascii="Cambria Math" w:hAnsi="Cambria Math" w:cs="Cambria Math"/>
                <w:bCs/>
                <w:color w:val="FF0000"/>
              </w:rPr>
              <w:t>⨀⨀</w:t>
            </w:r>
            <w:r w:rsidRPr="00C77B6A">
              <w:t>)</w:t>
            </w:r>
          </w:p>
          <w:p w:rsidR="00695728" w:rsidRPr="006B11DC" w:rsidRDefault="00695728" w:rsidP="00480FDF">
            <w:pPr>
              <w:pStyle w:val="Tabletext"/>
              <w:numPr>
                <w:ilvl w:val="0"/>
                <w:numId w:val="29"/>
              </w:numPr>
              <w:ind w:left="227" w:hanging="219"/>
            </w:pPr>
            <w:r w:rsidRPr="006B11DC">
              <w:t xml:space="preserve">Patients </w:t>
            </w:r>
            <w:r>
              <w:t>on combination therapy</w:t>
            </w:r>
            <w:r w:rsidRPr="006B11DC">
              <w:t xml:space="preserve"> had a larger mean improvement in their </w:t>
            </w:r>
            <w:r>
              <w:t>QoL</w:t>
            </w:r>
            <w:r w:rsidRPr="006B11DC">
              <w:t xml:space="preserve"> than those </w:t>
            </w:r>
            <w:r>
              <w:t>on monotherapy</w:t>
            </w:r>
            <w:r w:rsidRPr="006B11DC">
              <w:t xml:space="preserve"> (</w:t>
            </w:r>
            <w:r w:rsidRPr="00550EA7">
              <w:t>MD = 35.34 point improvement</w:t>
            </w:r>
            <w:r w:rsidR="00CA40B9">
              <w:t xml:space="preserve"> was a clinically important </w:t>
            </w:r>
            <w:r w:rsidR="00955FF7">
              <w:t>difference</w:t>
            </w:r>
            <w:r w:rsidRPr="006B11DC">
              <w:t>)</w:t>
            </w:r>
          </w:p>
        </w:tc>
      </w:tr>
      <w:tr w:rsidR="00695728" w:rsidTr="00550EA7">
        <w:tc>
          <w:tcPr>
            <w:tcW w:w="1555" w:type="dxa"/>
          </w:tcPr>
          <w:p w:rsidR="00695728" w:rsidRDefault="00695728" w:rsidP="00695728">
            <w:pPr>
              <w:pStyle w:val="Tabletext"/>
            </w:pPr>
            <w:r>
              <w:t>Change in haemodynamic parameters</w:t>
            </w:r>
            <w:r>
              <w:rPr>
                <w:rFonts w:cs="Arial"/>
              </w:rPr>
              <w:t xml:space="preserve"> from baseline</w:t>
            </w:r>
            <w:r>
              <w:t>:</w:t>
            </w:r>
          </w:p>
          <w:p w:rsidR="00695728" w:rsidRPr="001D637C" w:rsidRDefault="00695728" w:rsidP="00695728">
            <w:pPr>
              <w:pStyle w:val="Tabletext"/>
            </w:pPr>
            <w:r>
              <w:t>CAI, PVR, mPAP</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BREATHE-2 (bosentan/epoprostenol)</w:t>
            </w:r>
          </w:p>
          <w:p w:rsidR="00695728" w:rsidRDefault="00695728" w:rsidP="00695728">
            <w:pPr>
              <w:pStyle w:val="Tabletext"/>
            </w:pPr>
            <w:r>
              <w:t xml:space="preserve">Han 2017 (bosentan/iloprost) </w:t>
            </w:r>
          </w:p>
          <w:p w:rsidR="00695728" w:rsidRPr="001D637C" w:rsidRDefault="00695728" w:rsidP="00695728">
            <w:pPr>
              <w:pStyle w:val="Tabletext"/>
            </w:pPr>
            <w:r>
              <w:t>N=47</w:t>
            </w:r>
          </w:p>
        </w:tc>
        <w:tc>
          <w:tcPr>
            <w:tcW w:w="6095" w:type="dxa"/>
          </w:tcPr>
          <w:p w:rsidR="00695728" w:rsidRPr="006B11DC" w:rsidRDefault="00695728" w:rsidP="00480FDF">
            <w:pPr>
              <w:pStyle w:val="Tabletext"/>
              <w:numPr>
                <w:ilvl w:val="0"/>
                <w:numId w:val="29"/>
              </w:numPr>
              <w:ind w:left="227" w:hanging="219"/>
            </w:pPr>
            <w:r>
              <w:t>Very low</w:t>
            </w:r>
            <w:r w:rsidRPr="006B11DC">
              <w:t xml:space="preserve"> quality evidence (GRADE </w:t>
            </w:r>
            <w:r w:rsidRPr="006316DF">
              <w:rPr>
                <w:rFonts w:ascii="Cambria Math" w:hAnsi="Cambria Math" w:cs="Cambria Math"/>
                <w:color w:val="00B050"/>
              </w:rPr>
              <w:t>⨁</w:t>
            </w:r>
            <w:r w:rsidRPr="006316DF">
              <w:rPr>
                <w:rFonts w:ascii="Cambria Math" w:hAnsi="Cambria Math" w:cs="Cambria Math"/>
                <w:color w:val="C00000"/>
              </w:rPr>
              <w:t>⨀⨀⨀</w:t>
            </w:r>
            <w:r w:rsidRPr="006B11DC">
              <w:t>)</w:t>
            </w:r>
          </w:p>
          <w:p w:rsidR="00695728" w:rsidRDefault="00695728" w:rsidP="00480FDF">
            <w:pPr>
              <w:pStyle w:val="Tabletext"/>
              <w:numPr>
                <w:ilvl w:val="0"/>
                <w:numId w:val="29"/>
              </w:numPr>
              <w:ind w:left="227" w:hanging="219"/>
            </w:pPr>
            <w:r w:rsidRPr="00550EA7">
              <w:t xml:space="preserve">Patients on combination therapy had a larger mean improvement in their haemodynamic parameters </w:t>
            </w:r>
            <w:r>
              <w:t xml:space="preserve"> </w:t>
            </w:r>
            <w:r w:rsidRPr="00550EA7">
              <w:t>than those on monotherapy</w:t>
            </w:r>
            <w:r>
              <w:t xml:space="preserve"> and were likely to be clinically important in 1 out of 2 studies</w:t>
            </w:r>
            <w:r w:rsidRPr="00550EA7">
              <w:t xml:space="preserve"> (CAI range 10.8−17</w:t>
            </w:r>
            <w:r>
              <w:t>% improvement</w:t>
            </w:r>
            <w:r w:rsidRPr="00550EA7">
              <w:t>; PVR range 9.5−</w:t>
            </w:r>
            <w:r>
              <w:t>2</w:t>
            </w:r>
            <w:r w:rsidRPr="00550EA7">
              <w:t>1.5</w:t>
            </w:r>
            <w:r>
              <w:t>% improvement</w:t>
            </w:r>
            <w:r w:rsidRPr="00550EA7">
              <w:t>; mPAP range 6.8−26.3</w:t>
            </w:r>
            <w:r>
              <w:t>% improvement</w:t>
            </w:r>
            <w:r w:rsidRPr="00550EA7">
              <w:t>)</w:t>
            </w:r>
          </w:p>
          <w:p w:rsidR="00695728" w:rsidRPr="006B11DC" w:rsidRDefault="00CA40B9" w:rsidP="00480FDF">
            <w:pPr>
              <w:pStyle w:val="Tabletext"/>
              <w:numPr>
                <w:ilvl w:val="0"/>
                <w:numId w:val="29"/>
              </w:numPr>
              <w:ind w:left="227" w:hanging="219"/>
            </w:pPr>
            <w:r w:rsidRPr="00CA40B9">
              <w:t>The two studies were too small to determine whether the two different treatment combinations differ in their treatment effectiveness</w:t>
            </w:r>
          </w:p>
        </w:tc>
      </w:tr>
      <w:tr w:rsidR="00695728" w:rsidTr="00550EA7">
        <w:tc>
          <w:tcPr>
            <w:tcW w:w="1555" w:type="dxa"/>
          </w:tcPr>
          <w:p w:rsidR="00695728" w:rsidRDefault="00695728" w:rsidP="00695728">
            <w:pPr>
              <w:pStyle w:val="Tabletext"/>
            </w:pPr>
            <w:r>
              <w:t>Change in haemodynamic parameters</w:t>
            </w:r>
            <w:r>
              <w:rPr>
                <w:rFonts w:cs="Arial"/>
              </w:rPr>
              <w:t xml:space="preserve"> from baseline</w:t>
            </w:r>
            <w:r>
              <w:t>:</w:t>
            </w:r>
          </w:p>
          <w:p w:rsidR="00695728" w:rsidRPr="001D637C" w:rsidRDefault="00695728" w:rsidP="00695728">
            <w:pPr>
              <w:pStyle w:val="Tabletext"/>
            </w:pPr>
            <w:r>
              <w:t>mRAP, TPR</w:t>
            </w:r>
          </w:p>
        </w:tc>
        <w:tc>
          <w:tcPr>
            <w:tcW w:w="1984" w:type="dxa"/>
          </w:tcPr>
          <w:p w:rsidR="00695728" w:rsidRDefault="00695728" w:rsidP="00695728">
            <w:pPr>
              <w:pStyle w:val="Tabletext"/>
            </w:pPr>
            <w:r>
              <w:t xml:space="preserve">BREATHE-2 (bosentan/epoprostenol) </w:t>
            </w:r>
          </w:p>
          <w:p w:rsidR="00695728" w:rsidRPr="001D637C" w:rsidRDefault="00695728" w:rsidP="00695728">
            <w:pPr>
              <w:pStyle w:val="Tabletext"/>
            </w:pPr>
            <w:r>
              <w:t>N=33</w:t>
            </w:r>
          </w:p>
        </w:tc>
        <w:tc>
          <w:tcPr>
            <w:tcW w:w="6095" w:type="dxa"/>
          </w:tcPr>
          <w:p w:rsidR="00695728" w:rsidRPr="00C77B6A" w:rsidRDefault="00872747" w:rsidP="00480FDF">
            <w:pPr>
              <w:pStyle w:val="Tabletext"/>
              <w:numPr>
                <w:ilvl w:val="0"/>
                <w:numId w:val="29"/>
              </w:numPr>
              <w:ind w:left="227" w:hanging="219"/>
            </w:pPr>
            <w:r>
              <w:t>Very l</w:t>
            </w:r>
            <w:r w:rsidR="00695728">
              <w:t>ow</w:t>
            </w:r>
            <w:r w:rsidR="00695728" w:rsidRPr="00C77B6A">
              <w:t xml:space="preserve"> quality</w:t>
            </w:r>
            <w:r w:rsidR="00695728" w:rsidRPr="00C77B6A">
              <w:rPr>
                <w:rFonts w:cs="Cambria Math"/>
              </w:rPr>
              <w:t xml:space="preserve"> evidence (GRADE </w:t>
            </w:r>
            <w:r w:rsidR="00695728" w:rsidRPr="00C77B6A">
              <w:rPr>
                <w:rFonts w:ascii="Cambria Math" w:hAnsi="Cambria Math" w:cs="Cambria Math"/>
                <w:color w:val="00B050"/>
              </w:rPr>
              <w:t>⨁</w:t>
            </w:r>
            <w:r w:rsidRPr="006316DF">
              <w:rPr>
                <w:rFonts w:ascii="Cambria Math" w:hAnsi="Cambria Math" w:cs="Cambria Math"/>
                <w:color w:val="C00000"/>
              </w:rPr>
              <w:t>⨀</w:t>
            </w:r>
            <w:r w:rsidR="00695728" w:rsidRPr="006316DF">
              <w:rPr>
                <w:rFonts w:ascii="Cambria Math" w:hAnsi="Cambria Math" w:cs="Cambria Math"/>
                <w:color w:val="C00000"/>
              </w:rPr>
              <w:t>⨀⨀</w:t>
            </w:r>
            <w:r w:rsidR="00695728" w:rsidRPr="00C77B6A">
              <w:t>)</w:t>
            </w:r>
          </w:p>
          <w:p w:rsidR="00695728" w:rsidRPr="006B11DC" w:rsidRDefault="00695728" w:rsidP="00480FDF">
            <w:pPr>
              <w:pStyle w:val="Tabletext"/>
              <w:numPr>
                <w:ilvl w:val="0"/>
                <w:numId w:val="29"/>
              </w:numPr>
              <w:ind w:left="227" w:hanging="219"/>
            </w:pPr>
            <w:r w:rsidRPr="006B11DC">
              <w:t xml:space="preserve">Patients </w:t>
            </w:r>
            <w:r>
              <w:t>on combination therapy</w:t>
            </w:r>
            <w:r w:rsidRPr="006B11DC">
              <w:t xml:space="preserve"> had a larger mean improvement in their </w:t>
            </w:r>
            <w:r w:rsidRPr="00550EA7">
              <w:t xml:space="preserve">haemodynamic parameters </w:t>
            </w:r>
            <w:r w:rsidRPr="006B11DC">
              <w:t xml:space="preserve">than those </w:t>
            </w:r>
            <w:r>
              <w:t>on monotherapy</w:t>
            </w:r>
            <w:r w:rsidRPr="006B11DC">
              <w:t xml:space="preserve"> (</w:t>
            </w:r>
            <w:r>
              <w:t>mRAP MD</w:t>
            </w:r>
            <w:r w:rsidRPr="006B11DC">
              <w:t xml:space="preserve"> = </w:t>
            </w:r>
            <w:r>
              <w:t>2</w:t>
            </w:r>
            <w:r w:rsidRPr="006B11DC">
              <w:t>.</w:t>
            </w:r>
            <w:r>
              <w:t>2</w:t>
            </w:r>
            <w:r w:rsidRPr="006B11DC">
              <w:t xml:space="preserve"> m</w:t>
            </w:r>
            <w:r>
              <w:t xml:space="preserve">mHg improvement; TPR MD = </w:t>
            </w:r>
            <w:r w:rsidRPr="006B11DC">
              <w:t>1</w:t>
            </w:r>
            <w:r>
              <w:t>3.7% improvement)</w:t>
            </w:r>
          </w:p>
        </w:tc>
      </w:tr>
    </w:tbl>
    <w:p w:rsidR="000054CF" w:rsidRDefault="000054CF" w:rsidP="00550EA7">
      <w:pPr>
        <w:pStyle w:val="Tablenote"/>
      </w:pPr>
      <w:r w:rsidRPr="000054CF">
        <w:rPr>
          <w:vertAlign w:val="superscript"/>
        </w:rPr>
        <w:lastRenderedPageBreak/>
        <w:t>a</w:t>
      </w:r>
      <w:r>
        <w:t xml:space="preserve"> MLHF total scores range from 0 to 105. A higher</w:t>
      </w:r>
      <w:r w:rsidRPr="000054CF">
        <w:t xml:space="preserve"> score </w:t>
      </w:r>
      <w:r w:rsidR="003903A0">
        <w:t>indicates</w:t>
      </w:r>
      <w:r w:rsidRPr="000054CF">
        <w:t xml:space="preserve"> poorer QoL</w:t>
      </w:r>
      <w:r>
        <w:t xml:space="preserve">. </w:t>
      </w:r>
    </w:p>
    <w:p w:rsidR="00F20C66" w:rsidRDefault="009B35CE" w:rsidP="00550EA7">
      <w:pPr>
        <w:pStyle w:val="Tablenote"/>
      </w:pPr>
      <w:r>
        <w:t xml:space="preserve">6MWD = 6-minute </w:t>
      </w:r>
      <w:r w:rsidR="0082368E">
        <w:t>walk distance</w:t>
      </w:r>
      <w:r w:rsidR="00B21201">
        <w:t>; ARD</w:t>
      </w:r>
      <w:r>
        <w:t xml:space="preserve"> = absolute risk </w:t>
      </w:r>
      <w:r w:rsidR="00B21201">
        <w:t>difference</w:t>
      </w:r>
      <w:r>
        <w:t xml:space="preserve">; </w:t>
      </w:r>
      <w:r w:rsidR="00D103A9">
        <w:t xml:space="preserve">CAI = cardiac index; </w:t>
      </w:r>
      <w:r>
        <w:t>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F20C66" w:rsidRPr="009E3B52">
        <w:t xml:space="preserve">; </w:t>
      </w:r>
      <w:r>
        <w:t xml:space="preserve">MD = mean difference; </w:t>
      </w:r>
      <w:r w:rsidR="00DF4187">
        <w:t xml:space="preserve">MLHF = Minnesota living with heart failure; </w:t>
      </w:r>
      <w:r w:rsidR="004510DE">
        <w:t>mPAP = mean pulmonary artery</w:t>
      </w:r>
      <w:r>
        <w:t xml:space="preserve"> pressure; mRAP = mean right atrial pressure; </w:t>
      </w:r>
      <w:r w:rsidRPr="00C65B42">
        <w:t xml:space="preserve">PAH = pulmonary arterial hypertension; </w:t>
      </w:r>
      <w:r w:rsidRPr="009123E2">
        <w:t>PVR</w:t>
      </w:r>
      <w:r>
        <w:t xml:space="preserve"> = p</w:t>
      </w:r>
      <w:r w:rsidRPr="009123E2">
        <w:t xml:space="preserve">ulmonary </w:t>
      </w:r>
      <w:r>
        <w:t>v</w:t>
      </w:r>
      <w:r w:rsidRPr="009123E2">
        <w:t xml:space="preserve">ascular </w:t>
      </w:r>
      <w:r>
        <w:t>r</w:t>
      </w:r>
      <w:r w:rsidRPr="009123E2">
        <w:t>esistance</w:t>
      </w:r>
      <w:r>
        <w:t xml:space="preserve">; QoL = quality of life; RR = relative risk; </w:t>
      </w:r>
      <w:r w:rsidRPr="00474FD8">
        <w:t>TPR = total pulmonary resistance</w:t>
      </w:r>
      <w:r>
        <w:t>;</w:t>
      </w:r>
      <w:r w:rsidRPr="00474FD8">
        <w:t xml:space="preserve"> </w:t>
      </w:r>
      <w:r>
        <w:t>WHO = World Health Organization</w:t>
      </w:r>
    </w:p>
    <w:p w:rsidR="009B35CE" w:rsidRPr="0042195A" w:rsidRDefault="009B35CE" w:rsidP="009B35CE">
      <w:pPr>
        <w:pStyle w:val="Heading5"/>
      </w:pPr>
      <w:r w:rsidRPr="0042195A">
        <w:t>Safety</w:t>
      </w:r>
    </w:p>
    <w:p w:rsidR="009B35CE" w:rsidRDefault="009B35CE" w:rsidP="009B35CE">
      <w:r>
        <w:t>T</w:t>
      </w:r>
      <w:r w:rsidR="00CA40B9">
        <w:t>wo</w:t>
      </w:r>
      <w:r>
        <w:t xml:space="preserve"> RCTs reported on the comparative safety of treatment with an ERA plus a </w:t>
      </w:r>
      <w:r w:rsidR="006A201F">
        <w:t>pros</w:t>
      </w:r>
      <w:r w:rsidR="000167B4">
        <w:t>t</w:t>
      </w:r>
      <w:r w:rsidR="006A201F">
        <w:t>anoid</w:t>
      </w:r>
      <w:r>
        <w:t xml:space="preserve"> compared with a </w:t>
      </w:r>
      <w:r w:rsidR="000167B4">
        <w:t>prostanoid</w:t>
      </w:r>
      <w:r>
        <w:t xml:space="preserve"> alone in any patient with PAH:</w:t>
      </w:r>
    </w:p>
    <w:p w:rsidR="009B35CE" w:rsidRPr="00B607A5" w:rsidRDefault="00CA40B9" w:rsidP="00D103A9">
      <w:pPr>
        <w:pStyle w:val="Bullettext"/>
      </w:pPr>
      <w:r w:rsidRPr="00B607A5">
        <w:t>BREATH</w:t>
      </w:r>
      <w:r w:rsidR="00B607A5">
        <w:t>E</w:t>
      </w:r>
      <w:r w:rsidRPr="00B607A5">
        <w:t>-2 and Han 2017</w:t>
      </w:r>
    </w:p>
    <w:p w:rsidR="009B35CE" w:rsidRPr="00B607A5" w:rsidRDefault="00E20AB7" w:rsidP="00D103A9">
      <w:pPr>
        <w:pStyle w:val="Bullettext"/>
      </w:pPr>
      <w:r w:rsidRPr="00B607A5">
        <w:t>There were no new safety signals identified</w:t>
      </w:r>
      <w:r w:rsidR="009B35CE" w:rsidRPr="00B607A5">
        <w:t>.</w:t>
      </w:r>
    </w:p>
    <w:p w:rsidR="009B35CE" w:rsidRDefault="009B35CE" w:rsidP="00550EA7">
      <w:r>
        <w:t>The evidence provided by these trials for patients</w:t>
      </w:r>
      <w:r w:rsidRPr="007D34E3">
        <w:t xml:space="preserve"> with WHO FC III/IV PAH</w:t>
      </w:r>
      <w:r>
        <w:t xml:space="preserve"> is summarised in</w:t>
      </w:r>
      <w:r w:rsidR="00550EA7">
        <w:t xml:space="preserve"> </w:t>
      </w:r>
      <w:r w:rsidR="00AA722D">
        <w:t>Table 4.</w:t>
      </w:r>
      <w:r w:rsidR="00AA722D">
        <w:rPr>
          <w:noProof/>
        </w:rPr>
        <w:t>8</w:t>
      </w:r>
      <w:r w:rsidR="00550EA7">
        <w:t>.</w:t>
      </w:r>
    </w:p>
    <w:p w:rsidR="009B35CE" w:rsidRDefault="00D875C8" w:rsidP="009B35CE">
      <w:r>
        <w:t>Overall</w:t>
      </w:r>
      <w:r w:rsidRPr="006316DF">
        <w:t xml:space="preserve">, </w:t>
      </w:r>
      <w:r>
        <w:t xml:space="preserve">although </w:t>
      </w:r>
      <w:r w:rsidRPr="000522D6">
        <w:t>the</w:t>
      </w:r>
      <w:r>
        <w:t>re is uncertainty,</w:t>
      </w:r>
      <w:r w:rsidRPr="000522D6">
        <w:t xml:space="preserve"> </w:t>
      </w:r>
      <w:r w:rsidRPr="006316DF">
        <w:t xml:space="preserve">use of an ERA </w:t>
      </w:r>
      <w:r w:rsidRPr="000522D6">
        <w:t xml:space="preserve">in addition to </w:t>
      </w:r>
      <w:r>
        <w:t>a prostanoid</w:t>
      </w:r>
      <w:r w:rsidRPr="000522D6">
        <w:t xml:space="preserve"> </w:t>
      </w:r>
      <w:r>
        <w:t>could</w:t>
      </w:r>
      <w:r w:rsidRPr="006316DF">
        <w:t xml:space="preserve"> be </w:t>
      </w:r>
      <w:r>
        <w:t>non-inferior to</w:t>
      </w:r>
      <w:r w:rsidRPr="000522D6">
        <w:t xml:space="preserve"> </w:t>
      </w:r>
      <w:r>
        <w:t>prostanoid</w:t>
      </w:r>
      <w:r w:rsidRPr="000522D6">
        <w:t xml:space="preserve"> monotherapy </w:t>
      </w:r>
      <w:r>
        <w:t>when</w:t>
      </w:r>
      <w:r w:rsidRPr="006316DF">
        <w:t xml:space="preserve"> treat</w:t>
      </w:r>
      <w:r>
        <w:t>ing</w:t>
      </w:r>
      <w:r w:rsidRPr="006316DF">
        <w:t xml:space="preserve"> </w:t>
      </w:r>
      <w:r>
        <w:t xml:space="preserve">patients with </w:t>
      </w:r>
      <w:r w:rsidRPr="00C754B8">
        <w:t>WHO FC III/IV PAH</w:t>
      </w:r>
      <w:r>
        <w:t>.</w:t>
      </w:r>
    </w:p>
    <w:p w:rsidR="009B35CE" w:rsidRDefault="00272F8F" w:rsidP="00BC5A2B">
      <w:pPr>
        <w:pStyle w:val="Caption"/>
      </w:pPr>
      <w:bookmarkStart w:id="21" w:name="_Ref506192023"/>
      <w:bookmarkStart w:id="22" w:name="_Toc512855412"/>
      <w:r>
        <w:t>Table 4.</w:t>
      </w:r>
      <w:r w:rsidR="00AA722D">
        <w:rPr>
          <w:noProof/>
        </w:rPr>
        <w:t>8</w:t>
      </w:r>
      <w:bookmarkEnd w:id="21"/>
      <w:r w:rsidR="00550EA7">
        <w:tab/>
      </w:r>
      <w:r w:rsidR="009B35CE">
        <w:t xml:space="preserve">Summary of the evidence for the safety of an </w:t>
      </w:r>
      <w:r w:rsidR="009B35CE" w:rsidRPr="00542902">
        <w:t xml:space="preserve">ERA in addition to </w:t>
      </w:r>
      <w:r w:rsidR="000167B4">
        <w:t xml:space="preserve">a </w:t>
      </w:r>
      <w:r w:rsidR="000E0079">
        <w:t>prostanoid</w:t>
      </w:r>
      <w:r w:rsidR="009B35CE" w:rsidRPr="00542902">
        <w:t>, relative</w:t>
      </w:r>
      <w:r w:rsidR="009B35CE">
        <w:t xml:space="preserve"> to </w:t>
      </w:r>
      <w:r w:rsidR="000E0079">
        <w:t>prostanoid</w:t>
      </w:r>
      <w:r w:rsidR="009B35CE">
        <w:t xml:space="preserve"> monotherapy</w:t>
      </w:r>
      <w:bookmarkEnd w:id="22"/>
    </w:p>
    <w:tbl>
      <w:tblPr>
        <w:tblStyle w:val="TableGrid"/>
        <w:tblW w:w="9776" w:type="dxa"/>
        <w:tblLook w:val="04A0" w:firstRow="1" w:lastRow="0" w:firstColumn="1" w:lastColumn="0" w:noHBand="0" w:noVBand="1"/>
        <w:tblCaption w:val="Summary of the evidence for the safety of an ERA in addition to a prostanoid, relative to prostanoid monotherapy"/>
      </w:tblPr>
      <w:tblGrid>
        <w:gridCol w:w="1549"/>
        <w:gridCol w:w="2283"/>
        <w:gridCol w:w="5944"/>
      </w:tblGrid>
      <w:tr w:rsidR="009B35CE" w:rsidRPr="00737EA5" w:rsidTr="00550EA7">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6C297E" w:rsidRDefault="009B35CE" w:rsidP="000E0079">
            <w:pPr>
              <w:pStyle w:val="Tabletext"/>
              <w:rPr>
                <w:rFonts w:asciiTheme="minorHAnsi" w:hAnsiTheme="minorHAnsi"/>
                <w:b/>
              </w:rPr>
            </w:pPr>
            <w:r w:rsidRPr="006C297E">
              <w:rPr>
                <w:b/>
              </w:rPr>
              <w:t>Outcome</w:t>
            </w:r>
          </w:p>
        </w:tc>
        <w:tc>
          <w:tcPr>
            <w:tcW w:w="1984" w:type="dxa"/>
            <w:tcBorders>
              <w:top w:val="single" w:sz="4" w:space="0" w:color="auto"/>
              <w:left w:val="single" w:sz="4" w:space="0" w:color="auto"/>
              <w:bottom w:val="single" w:sz="4" w:space="0" w:color="auto"/>
              <w:right w:val="single" w:sz="4" w:space="0" w:color="auto"/>
            </w:tcBorders>
          </w:tcPr>
          <w:p w:rsidR="009B35CE" w:rsidRPr="006C297E" w:rsidRDefault="009B35CE" w:rsidP="000E0079">
            <w:pPr>
              <w:pStyle w:val="Tabletext"/>
              <w:rPr>
                <w:rFonts w:asciiTheme="minorHAnsi" w:hAnsiTheme="minorHAnsi"/>
                <w:b/>
              </w:rPr>
            </w:pPr>
            <w:r w:rsidRPr="006C297E">
              <w:rPr>
                <w:b/>
              </w:rPr>
              <w:t xml:space="preserve">Included trials </w:t>
            </w:r>
          </w:p>
        </w:tc>
        <w:tc>
          <w:tcPr>
            <w:tcW w:w="6237" w:type="dxa"/>
            <w:tcBorders>
              <w:top w:val="single" w:sz="4" w:space="0" w:color="auto"/>
              <w:left w:val="single" w:sz="4" w:space="0" w:color="auto"/>
              <w:bottom w:val="single" w:sz="4" w:space="0" w:color="auto"/>
              <w:right w:val="single" w:sz="4" w:space="0" w:color="auto"/>
            </w:tcBorders>
          </w:tcPr>
          <w:p w:rsidR="009B35CE" w:rsidRPr="006C297E" w:rsidRDefault="009B35CE" w:rsidP="000E0079">
            <w:pPr>
              <w:pStyle w:val="Tabletext"/>
              <w:rPr>
                <w:rFonts w:asciiTheme="minorHAnsi" w:hAnsiTheme="minorHAnsi"/>
                <w:b/>
              </w:rPr>
            </w:pPr>
            <w:r w:rsidRPr="006C297E">
              <w:rPr>
                <w:b/>
              </w:rPr>
              <w:t>Summary of evidence</w:t>
            </w:r>
          </w:p>
        </w:tc>
      </w:tr>
      <w:tr w:rsidR="009B35CE" w:rsidTr="00550EA7">
        <w:tc>
          <w:tcPr>
            <w:tcW w:w="9776" w:type="dxa"/>
            <w:gridSpan w:val="3"/>
            <w:tcBorders>
              <w:top w:val="nil"/>
              <w:left w:val="single" w:sz="4" w:space="0" w:color="auto"/>
              <w:bottom w:val="single" w:sz="4" w:space="0" w:color="auto"/>
              <w:right w:val="single" w:sz="4" w:space="0" w:color="auto"/>
            </w:tcBorders>
            <w:shd w:val="clear" w:color="auto" w:fill="000000"/>
          </w:tcPr>
          <w:p w:rsidR="009B35CE" w:rsidRDefault="009B35CE" w:rsidP="000E0079">
            <w:pPr>
              <w:pStyle w:val="Tabletext"/>
              <w:keepNext/>
              <w:rPr>
                <w:rFonts w:asciiTheme="minorHAnsi" w:hAnsiTheme="minorHAnsi"/>
              </w:rPr>
            </w:pPr>
            <w:r>
              <w:t>P</w:t>
            </w:r>
            <w:r w:rsidRPr="00FD4377">
              <w:t>atients with WHO FC III/IV PAH</w:t>
            </w:r>
          </w:p>
        </w:tc>
      </w:tr>
      <w:tr w:rsidR="00695728" w:rsidTr="00550EA7">
        <w:tc>
          <w:tcPr>
            <w:tcW w:w="1555" w:type="dxa"/>
            <w:tcBorders>
              <w:top w:val="single" w:sz="4" w:space="0" w:color="auto"/>
              <w:left w:val="single" w:sz="4" w:space="0" w:color="auto"/>
              <w:bottom w:val="single" w:sz="4" w:space="0" w:color="auto"/>
              <w:right w:val="single" w:sz="4" w:space="0" w:color="auto"/>
            </w:tcBorders>
          </w:tcPr>
          <w:p w:rsidR="00695728" w:rsidRPr="001D637C" w:rsidRDefault="00695728" w:rsidP="00695728">
            <w:pPr>
              <w:pStyle w:val="Tabletext"/>
            </w:pPr>
            <w:r>
              <w:t>Any AE</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Han 2017 (bosentan/iloprost)</w:t>
            </w:r>
          </w:p>
          <w:p w:rsidR="00695728" w:rsidRPr="001D637C" w:rsidRDefault="00695728" w:rsidP="00695728">
            <w:pPr>
              <w:pStyle w:val="Tabletext"/>
            </w:pPr>
            <w:r>
              <w:t>N=14</w:t>
            </w:r>
          </w:p>
        </w:tc>
        <w:tc>
          <w:tcPr>
            <w:tcW w:w="6237" w:type="dxa"/>
            <w:tcBorders>
              <w:top w:val="single" w:sz="4" w:space="0" w:color="auto"/>
              <w:left w:val="single" w:sz="4" w:space="0" w:color="auto"/>
              <w:bottom w:val="single" w:sz="4" w:space="0" w:color="auto"/>
              <w:right w:val="single" w:sz="4" w:space="0" w:color="auto"/>
            </w:tcBorders>
          </w:tcPr>
          <w:p w:rsidR="00695728" w:rsidRPr="00B96C6F" w:rsidRDefault="00695728" w:rsidP="00480FDF">
            <w:pPr>
              <w:pStyle w:val="Tabletext"/>
              <w:numPr>
                <w:ilvl w:val="0"/>
                <w:numId w:val="44"/>
              </w:numPr>
              <w:ind w:left="227" w:hanging="219"/>
              <w:rPr>
                <w:szCs w:val="18"/>
              </w:rPr>
            </w:pPr>
            <w:r>
              <w:t>Low</w:t>
            </w:r>
            <w:r w:rsidRPr="00B96C6F">
              <w:t xml:space="preserve"> quality</w:t>
            </w:r>
            <w:r w:rsidRPr="00B96C6F">
              <w:rPr>
                <w:rFonts w:cs="Cambria Math"/>
              </w:rPr>
              <w:t xml:space="preserve"> evidence (GRADE </w:t>
            </w:r>
            <w:r w:rsidRPr="00B96C6F">
              <w:rPr>
                <w:rFonts w:ascii="Cambria Math" w:hAnsi="Cambria Math" w:cs="Cambria Math"/>
                <w:color w:val="00B050"/>
              </w:rPr>
              <w:t>⨁⨁</w:t>
            </w:r>
            <w:r w:rsidRPr="00E564DD">
              <w:rPr>
                <w:rFonts w:ascii="Cambria Math" w:eastAsia="Times New Roman" w:hAnsi="Cambria Math" w:cs="Cambria Math"/>
                <w:bCs/>
                <w:color w:val="C00000"/>
              </w:rPr>
              <w:t>⨀</w:t>
            </w:r>
            <w:r w:rsidRPr="006316DF">
              <w:rPr>
                <w:rFonts w:ascii="Cambria Math" w:hAnsi="Cambria Math" w:cs="Cambria Math"/>
                <w:color w:val="C00000"/>
              </w:rPr>
              <w:t>⨀</w:t>
            </w:r>
            <w:r w:rsidRPr="00B96C6F">
              <w:t>)</w:t>
            </w:r>
          </w:p>
          <w:p w:rsidR="00695728" w:rsidRPr="00B96C6F" w:rsidRDefault="00695728" w:rsidP="00480FDF">
            <w:pPr>
              <w:pStyle w:val="Tabletext"/>
              <w:numPr>
                <w:ilvl w:val="0"/>
                <w:numId w:val="44"/>
              </w:numPr>
              <w:ind w:left="227" w:hanging="219"/>
            </w:pPr>
            <w:r w:rsidRPr="00B96C6F">
              <w:t>The</w:t>
            </w:r>
            <w:r>
              <w:t xml:space="preserve"> </w:t>
            </w:r>
            <w:r w:rsidRPr="00B96C6F">
              <w:t xml:space="preserve">proportion of patients who had any AE was </w:t>
            </w:r>
            <w:r>
              <w:t>similar</w:t>
            </w:r>
            <w:r w:rsidRPr="00B96C6F">
              <w:t xml:space="preserve"> for both the combination therapy and monotherapy arms</w:t>
            </w:r>
            <w:r>
              <w:t>, but the 95% CI indicates that there could be an effect favouring either treatment arm</w:t>
            </w:r>
            <w:r w:rsidRPr="00B96C6F">
              <w:t xml:space="preserve"> (RR = </w:t>
            </w:r>
            <w:r>
              <w:t>1</w:t>
            </w:r>
            <w:r w:rsidRPr="00B96C6F">
              <w:t>.</w:t>
            </w:r>
            <w:r>
              <w:t>05</w:t>
            </w:r>
            <w:r w:rsidRPr="00B96C6F">
              <w:t>; 95% CI 0.</w:t>
            </w:r>
            <w:r>
              <w:t>67</w:t>
            </w:r>
            <w:r w:rsidRPr="00B96C6F">
              <w:t>, 1.</w:t>
            </w:r>
            <w:r>
              <w:t>64</w:t>
            </w:r>
            <w:r w:rsidRPr="00B96C6F">
              <w:t>)</w:t>
            </w:r>
          </w:p>
        </w:tc>
      </w:tr>
      <w:tr w:rsidR="00695728" w:rsidTr="00550EA7">
        <w:tc>
          <w:tcPr>
            <w:tcW w:w="1555" w:type="dxa"/>
          </w:tcPr>
          <w:p w:rsidR="00695728" w:rsidRPr="001D637C" w:rsidRDefault="00695728" w:rsidP="00695728">
            <w:pPr>
              <w:pStyle w:val="Tabletext"/>
            </w:pPr>
            <w:r>
              <w:t>Serious AEs</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BREATHE-2 (bosentan/epoprostenol)</w:t>
            </w:r>
          </w:p>
          <w:p w:rsidR="009A57D8" w:rsidRPr="001D637C" w:rsidRDefault="009A57D8" w:rsidP="00695728">
            <w:pPr>
              <w:pStyle w:val="Tabletext"/>
            </w:pPr>
            <w:r>
              <w:t>N=44</w:t>
            </w:r>
          </w:p>
        </w:tc>
        <w:tc>
          <w:tcPr>
            <w:tcW w:w="6237" w:type="dxa"/>
          </w:tcPr>
          <w:p w:rsidR="00695728" w:rsidRPr="00B96C6F" w:rsidRDefault="00695728" w:rsidP="00480FDF">
            <w:pPr>
              <w:pStyle w:val="Tabletext"/>
              <w:numPr>
                <w:ilvl w:val="0"/>
                <w:numId w:val="44"/>
              </w:numPr>
              <w:ind w:left="227" w:hanging="219"/>
            </w:pPr>
            <w:r>
              <w:t>Very low</w:t>
            </w:r>
            <w:r w:rsidRPr="00B96C6F">
              <w:t xml:space="preserve"> quality</w:t>
            </w:r>
            <w:r w:rsidRPr="00D103A9">
              <w:t xml:space="preserve"> evidence (GRADE </w:t>
            </w:r>
            <w:r w:rsidRPr="006316DF">
              <w:rPr>
                <w:rFonts w:ascii="Cambria Math" w:hAnsi="Cambria Math" w:cs="Cambria Math"/>
                <w:color w:val="00B050"/>
              </w:rPr>
              <w:t>⨁</w:t>
            </w:r>
            <w:r w:rsidRPr="00E564DD">
              <w:rPr>
                <w:rFonts w:ascii="Cambria Math" w:eastAsia="Times New Roman" w:hAnsi="Cambria Math" w:cs="Cambria Math"/>
                <w:bCs/>
                <w:color w:val="C00000"/>
              </w:rPr>
              <w:t>⨀⨀</w:t>
            </w:r>
            <w:r w:rsidRPr="006316DF">
              <w:rPr>
                <w:rFonts w:ascii="Cambria Math" w:hAnsi="Cambria Math" w:cs="Cambria Math"/>
                <w:color w:val="C00000"/>
              </w:rPr>
              <w:t>⨀</w:t>
            </w:r>
            <w:r w:rsidRPr="00B96C6F">
              <w:t>)</w:t>
            </w:r>
          </w:p>
          <w:p w:rsidR="00695728" w:rsidRPr="00B96C6F" w:rsidRDefault="00695728" w:rsidP="00480FDF">
            <w:pPr>
              <w:pStyle w:val="Tabletext"/>
              <w:numPr>
                <w:ilvl w:val="0"/>
                <w:numId w:val="44"/>
              </w:numPr>
              <w:ind w:left="227" w:hanging="219"/>
            </w:pPr>
            <w:r w:rsidRPr="00D103A9">
              <w:t xml:space="preserve">Fewer patients </w:t>
            </w:r>
            <w:r>
              <w:t xml:space="preserve">experienced </w:t>
            </w:r>
            <w:r w:rsidRPr="00D103A9">
              <w:t>a serious AE</w:t>
            </w:r>
            <w:r w:rsidRPr="00B96C6F">
              <w:t xml:space="preserve"> with combination the</w:t>
            </w:r>
            <w:r>
              <w:t>rapy compared with monotherapy,</w:t>
            </w:r>
            <w:r w:rsidRPr="00B96C6F">
              <w:t xml:space="preserve"> </w:t>
            </w:r>
            <w:r w:rsidRPr="00F3410B">
              <w:t xml:space="preserve">but </w:t>
            </w:r>
            <w:r w:rsidR="009A57D8">
              <w:t>the wide 95% CI indicates</w:t>
            </w:r>
            <w:r w:rsidR="009A57D8" w:rsidRPr="00F3410B">
              <w:t xml:space="preserve"> that </w:t>
            </w:r>
            <w:r w:rsidR="009A57D8">
              <w:t>the study was likely underpowered for this outcome</w:t>
            </w:r>
            <w:r w:rsidRPr="00B96C6F">
              <w:t xml:space="preserve"> (</w:t>
            </w:r>
            <w:r>
              <w:t>RR = 0.75</w:t>
            </w:r>
            <w:r w:rsidRPr="00B96C6F">
              <w:t>; 95% CI 0.</w:t>
            </w:r>
            <w:r>
              <w:t>15</w:t>
            </w:r>
            <w:r w:rsidRPr="00B96C6F">
              <w:t xml:space="preserve">, </w:t>
            </w:r>
            <w:r>
              <w:t>3</w:t>
            </w:r>
            <w:r w:rsidRPr="00B96C6F">
              <w:t>.</w:t>
            </w:r>
            <w:r>
              <w:t>85</w:t>
            </w:r>
            <w:r w:rsidRPr="00B96C6F">
              <w:t>)</w:t>
            </w:r>
          </w:p>
        </w:tc>
      </w:tr>
      <w:tr w:rsidR="00695728" w:rsidTr="00550EA7">
        <w:tc>
          <w:tcPr>
            <w:tcW w:w="1555" w:type="dxa"/>
          </w:tcPr>
          <w:p w:rsidR="00695728" w:rsidRDefault="00695728" w:rsidP="00695728">
            <w:pPr>
              <w:pStyle w:val="Tabletext"/>
            </w:pPr>
            <w:r w:rsidRPr="00B96C6F">
              <w:t>AEs leading to treatment discontinuation</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 xml:space="preserve">BREATHE-2 (bosentan/epoprostenol) </w:t>
            </w:r>
          </w:p>
          <w:p w:rsidR="00695728" w:rsidRDefault="00695728" w:rsidP="00695728">
            <w:pPr>
              <w:pStyle w:val="Tabletext"/>
            </w:pPr>
            <w:r>
              <w:t>N=44</w:t>
            </w:r>
          </w:p>
        </w:tc>
        <w:tc>
          <w:tcPr>
            <w:tcW w:w="6237" w:type="dxa"/>
            <w:tcBorders>
              <w:top w:val="single" w:sz="4" w:space="0" w:color="auto"/>
              <w:left w:val="single" w:sz="4" w:space="0" w:color="auto"/>
              <w:bottom w:val="single" w:sz="4" w:space="0" w:color="auto"/>
              <w:right w:val="single" w:sz="4" w:space="0" w:color="auto"/>
            </w:tcBorders>
          </w:tcPr>
          <w:p w:rsidR="00695728" w:rsidRPr="00D103A9" w:rsidRDefault="00695728" w:rsidP="00480FDF">
            <w:pPr>
              <w:pStyle w:val="Tabletext"/>
              <w:numPr>
                <w:ilvl w:val="0"/>
                <w:numId w:val="44"/>
              </w:numPr>
              <w:ind w:left="227" w:hanging="219"/>
            </w:pPr>
            <w:r>
              <w:t>Very low</w:t>
            </w:r>
            <w:r w:rsidRPr="00B96C6F">
              <w:t xml:space="preserve"> quality</w:t>
            </w:r>
            <w:r w:rsidRPr="00D103A9">
              <w:t xml:space="preserve"> evidence (GRADE </w:t>
            </w:r>
            <w:r w:rsidRPr="006316DF">
              <w:rPr>
                <w:rFonts w:ascii="Cambria Math" w:hAnsi="Cambria Math" w:cs="Cambria Math"/>
                <w:color w:val="00B050"/>
              </w:rPr>
              <w:t>⨁</w:t>
            </w:r>
            <w:r w:rsidRPr="00E564DD">
              <w:rPr>
                <w:rFonts w:ascii="Cambria Math" w:eastAsia="Times New Roman" w:hAnsi="Cambria Math" w:cs="Cambria Math"/>
                <w:bCs/>
                <w:color w:val="C00000"/>
              </w:rPr>
              <w:t>⨀⨀</w:t>
            </w:r>
            <w:r w:rsidRPr="006316DF">
              <w:rPr>
                <w:rFonts w:ascii="Cambria Math" w:hAnsi="Cambria Math" w:cs="Cambria Math"/>
                <w:color w:val="C00000"/>
              </w:rPr>
              <w:t>⨀</w:t>
            </w:r>
            <w:r w:rsidRPr="00B96C6F">
              <w:t>)</w:t>
            </w:r>
          </w:p>
          <w:p w:rsidR="00695728" w:rsidRPr="006B11DC" w:rsidRDefault="00695728" w:rsidP="00480FDF">
            <w:pPr>
              <w:pStyle w:val="Tabletext"/>
              <w:numPr>
                <w:ilvl w:val="0"/>
                <w:numId w:val="44"/>
              </w:numPr>
              <w:ind w:left="227" w:hanging="219"/>
            </w:pPr>
            <w:r>
              <w:t>Fewer</w:t>
            </w:r>
            <w:r w:rsidRPr="00F3410B">
              <w:t xml:space="preserve"> patients had an AE leading to treatment discontinuation</w:t>
            </w:r>
            <w:r w:rsidRPr="00B96C6F">
              <w:t xml:space="preserve"> with combination therapy compared with monotherapy, </w:t>
            </w:r>
            <w:r w:rsidRPr="00F3410B">
              <w:t xml:space="preserve">but the </w:t>
            </w:r>
            <w:r w:rsidR="009A57D8">
              <w:t>wide 95% CI indicates</w:t>
            </w:r>
            <w:r w:rsidR="009A57D8" w:rsidRPr="00F3410B">
              <w:t xml:space="preserve"> that </w:t>
            </w:r>
            <w:r w:rsidR="009A57D8">
              <w:t>the study was likely underpowered for this outcome</w:t>
            </w:r>
            <w:r w:rsidRPr="00B96C6F">
              <w:t xml:space="preserve"> (RR = </w:t>
            </w:r>
            <w:r>
              <w:t>0</w:t>
            </w:r>
            <w:r w:rsidRPr="00B96C6F">
              <w:t>.</w:t>
            </w:r>
            <w:r>
              <w:t>50</w:t>
            </w:r>
            <w:r w:rsidRPr="00B96C6F">
              <w:t>; 95% CI 0.</w:t>
            </w:r>
            <w:r>
              <w:t>03</w:t>
            </w:r>
            <w:r w:rsidRPr="00B96C6F">
              <w:t xml:space="preserve">, </w:t>
            </w:r>
            <w:r>
              <w:t>7</w:t>
            </w:r>
            <w:r w:rsidRPr="00B96C6F">
              <w:t>.</w:t>
            </w:r>
            <w:r>
              <w:t>26</w:t>
            </w:r>
            <w:r w:rsidRPr="00B96C6F">
              <w:t>)</w:t>
            </w:r>
          </w:p>
        </w:tc>
      </w:tr>
    </w:tbl>
    <w:p w:rsidR="006B2C7A" w:rsidRPr="006316DF" w:rsidRDefault="009B35CE" w:rsidP="00D103A9">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6B2C7A" w:rsidRPr="009E3B52">
        <w:t xml:space="preserve">; </w:t>
      </w:r>
      <w:r w:rsidRPr="009123E2">
        <w:t>PAH</w:t>
      </w:r>
      <w:r>
        <w:t xml:space="preserve"> = p</w:t>
      </w:r>
      <w:r w:rsidRPr="009123E2">
        <w:t xml:space="preserve">ulmonary </w:t>
      </w:r>
      <w:r>
        <w:t>a</w:t>
      </w:r>
      <w:r w:rsidRPr="009123E2">
        <w:t xml:space="preserve">rterial </w:t>
      </w:r>
      <w:r>
        <w:t>h</w:t>
      </w:r>
      <w:r w:rsidRPr="009123E2">
        <w:t>ypertension</w:t>
      </w:r>
      <w:r>
        <w:t>; RR = relative risk; WHO = World Health Organization</w:t>
      </w:r>
    </w:p>
    <w:p w:rsidR="009B35CE" w:rsidRDefault="00441F08" w:rsidP="009B35CE">
      <w:pPr>
        <w:pStyle w:val="Heading4"/>
      </w:pPr>
      <w:r>
        <w:t>4.1.3.3</w:t>
      </w:r>
      <w:r>
        <w:tab/>
      </w:r>
      <w:r w:rsidR="009B35CE" w:rsidRPr="00D90EBF">
        <w:t>PDE-5 inhibitor in addition to ERA</w:t>
      </w:r>
    </w:p>
    <w:p w:rsidR="009B35CE" w:rsidRPr="00107676" w:rsidRDefault="009B35CE" w:rsidP="009B35CE">
      <w:pPr>
        <w:pStyle w:val="Heading5"/>
      </w:pPr>
      <w:r w:rsidRPr="00107676">
        <w:t>Clinical effectiveness</w:t>
      </w:r>
    </w:p>
    <w:p w:rsidR="009B35CE" w:rsidRDefault="009B35CE" w:rsidP="009B35CE">
      <w:r w:rsidRPr="00822C52">
        <w:t>F</w:t>
      </w:r>
      <w:r>
        <w:t>ive</w:t>
      </w:r>
      <w:r w:rsidRPr="00822C52">
        <w:t xml:space="preserve"> RCTs reported on the effectiveness of a PDE-5</w:t>
      </w:r>
      <w:r>
        <w:t xml:space="preserve"> </w:t>
      </w:r>
      <w:r w:rsidRPr="00C5017B">
        <w:t xml:space="preserve">inhibitor </w:t>
      </w:r>
      <w:r w:rsidRPr="00822C52">
        <w:t xml:space="preserve">in addition to an ERA in treating PAH </w:t>
      </w:r>
      <w:r w:rsidR="001902A8">
        <w:t xml:space="preserve">patients </w:t>
      </w:r>
      <w:r w:rsidRPr="00822C52">
        <w:t xml:space="preserve">compared with placebo plus </w:t>
      </w:r>
      <w:r>
        <w:t>an ERA:</w:t>
      </w:r>
    </w:p>
    <w:p w:rsidR="009B35CE" w:rsidRPr="00B607A5" w:rsidRDefault="009B35CE" w:rsidP="00D103A9">
      <w:pPr>
        <w:pStyle w:val="Bullettext"/>
      </w:pPr>
      <w:r w:rsidRPr="00B607A5">
        <w:t>Four trials (PHIRST, Mainguy 2013, Vizza 2017 and Zhuang 2014) enrolled patients on stable PDE-5 inhibitor monotherapy (sequential combination therapy)</w:t>
      </w:r>
      <w:r w:rsidR="001902A8" w:rsidRPr="00B607A5">
        <w:t>.</w:t>
      </w:r>
    </w:p>
    <w:p w:rsidR="009B35CE" w:rsidRPr="00B607A5" w:rsidRDefault="009B35CE" w:rsidP="00D103A9">
      <w:pPr>
        <w:pStyle w:val="Bullettext"/>
      </w:pPr>
      <w:r w:rsidRPr="00B607A5">
        <w:lastRenderedPageBreak/>
        <w:t>One trial (AMBITION) enrolled treatment naïve patients (initial combination therapy)</w:t>
      </w:r>
    </w:p>
    <w:p w:rsidR="009B35CE" w:rsidRPr="00B607A5" w:rsidRDefault="009B35CE" w:rsidP="0086175F">
      <w:pPr>
        <w:pStyle w:val="Bullettext"/>
      </w:pPr>
      <w:r w:rsidRPr="00B607A5">
        <w:t xml:space="preserve">There were no statistically significant differences in </w:t>
      </w:r>
      <w:r w:rsidR="001902A8" w:rsidRPr="00B607A5">
        <w:t>outcomes</w:t>
      </w:r>
      <w:r w:rsidRPr="00B607A5">
        <w:t xml:space="preserve"> for patients receiving initial combination therapy versus monotherapy and patients receiving sequential combination therapy versus monotherapy</w:t>
      </w:r>
      <w:r w:rsidR="001902A8" w:rsidRPr="00B607A5">
        <w:t>.</w:t>
      </w:r>
    </w:p>
    <w:p w:rsidR="009B35CE" w:rsidRPr="00B607A5" w:rsidRDefault="009B35CE" w:rsidP="00D103A9">
      <w:pPr>
        <w:pStyle w:val="Bullettext"/>
      </w:pPr>
      <w:r w:rsidRPr="00B607A5">
        <w:t xml:space="preserve">Two RCTs included </w:t>
      </w:r>
      <w:r w:rsidR="001902A8" w:rsidRPr="00B607A5">
        <w:t xml:space="preserve">a </w:t>
      </w:r>
      <w:r w:rsidRPr="00B607A5">
        <w:t>subgroup analysis for patients with WHO FC III/IV PAH</w:t>
      </w:r>
      <w:r w:rsidR="001902A8" w:rsidRPr="00B607A5">
        <w:t>.</w:t>
      </w:r>
    </w:p>
    <w:p w:rsidR="009B35CE" w:rsidRPr="00B607A5" w:rsidRDefault="009B35CE" w:rsidP="00D103A9">
      <w:pPr>
        <w:pStyle w:val="Bullettext"/>
      </w:pPr>
      <w:r w:rsidRPr="00B607A5">
        <w:t xml:space="preserve">Three RCTs included </w:t>
      </w:r>
      <w:r w:rsidR="001902A8" w:rsidRPr="00B607A5">
        <w:t xml:space="preserve">a </w:t>
      </w:r>
      <w:r w:rsidRPr="00B607A5">
        <w:t>subgroup analysis for patients with different PAH aetiologies.</w:t>
      </w:r>
    </w:p>
    <w:p w:rsidR="009B35CE" w:rsidRPr="0034017B" w:rsidRDefault="009B35CE" w:rsidP="00D103A9">
      <w:r w:rsidRPr="0034017B">
        <w:t>The evidence provided by these trials for all PAH patients is summarised in</w:t>
      </w:r>
      <w:r w:rsidR="00D103A9">
        <w:t xml:space="preserve"> </w:t>
      </w:r>
      <w:r w:rsidR="00AA722D">
        <w:t>Table 4.</w:t>
      </w:r>
      <w:r w:rsidR="00AA722D">
        <w:rPr>
          <w:noProof/>
        </w:rPr>
        <w:t>9</w:t>
      </w:r>
      <w:r w:rsidRPr="0034017B">
        <w:t>.</w:t>
      </w:r>
    </w:p>
    <w:p w:rsidR="009B35CE" w:rsidRPr="0034017B" w:rsidRDefault="001E5DED" w:rsidP="009B35CE">
      <w:r>
        <w:t xml:space="preserve">Overall, </w:t>
      </w:r>
      <w:r w:rsidRPr="00C84392">
        <w:t xml:space="preserve">there is </w:t>
      </w:r>
      <w:r w:rsidR="0074627B" w:rsidRPr="00C84392">
        <w:t>some evidence</w:t>
      </w:r>
      <w:r w:rsidR="0074627B">
        <w:t xml:space="preserve"> to suggest that</w:t>
      </w:r>
      <w:r w:rsidRPr="001E5DED">
        <w:t xml:space="preserve"> the use of a PDE-5 inhibitor in addition to an ERA</w:t>
      </w:r>
      <w:r w:rsidR="001902A8" w:rsidRPr="001902A8">
        <w:t xml:space="preserve"> </w:t>
      </w:r>
      <w:r w:rsidR="001902A8" w:rsidRPr="001E5DED">
        <w:t>to treat PAH patients</w:t>
      </w:r>
      <w:r w:rsidRPr="001E5DED">
        <w:t>, relative to ERA monotherapy</w:t>
      </w:r>
      <w:r w:rsidR="001902A8">
        <w:t>,</w:t>
      </w:r>
      <w:r w:rsidRPr="001E5DED">
        <w:t xml:space="preserve"> is likely to be beneficial</w:t>
      </w:r>
      <w:r w:rsidR="009B35CE" w:rsidRPr="0034017B">
        <w:t xml:space="preserve">. </w:t>
      </w:r>
      <w:r w:rsidR="009B35CE">
        <w:t>The evidence for patients with WHO FC III/IV PAH,</w:t>
      </w:r>
      <w:r w:rsidR="009B35CE" w:rsidRPr="00FD4377">
        <w:t xml:space="preserve"> </w:t>
      </w:r>
      <w:r w:rsidR="009B35CE">
        <w:t>and for patients with either</w:t>
      </w:r>
      <w:r w:rsidR="009B35CE" w:rsidRPr="00F83D2D">
        <w:t xml:space="preserve"> IPAH/HPAH </w:t>
      </w:r>
      <w:r w:rsidR="009B35CE">
        <w:t xml:space="preserve">or PAH-CTD is </w:t>
      </w:r>
      <w:r>
        <w:t xml:space="preserve">more </w:t>
      </w:r>
      <w:r w:rsidR="009B35CE">
        <w:t>limited.</w:t>
      </w:r>
    </w:p>
    <w:p w:rsidR="009B35CE" w:rsidRPr="0034017B" w:rsidRDefault="00272F8F" w:rsidP="00BC5A2B">
      <w:pPr>
        <w:pStyle w:val="Caption"/>
      </w:pPr>
      <w:bookmarkStart w:id="23" w:name="_Ref506191091"/>
      <w:bookmarkStart w:id="24" w:name="_Toc512855413"/>
      <w:r>
        <w:t>Table 4.</w:t>
      </w:r>
      <w:r w:rsidR="00AA722D">
        <w:rPr>
          <w:noProof/>
        </w:rPr>
        <w:t>9</w:t>
      </w:r>
      <w:bookmarkEnd w:id="23"/>
      <w:r w:rsidR="00D103A9">
        <w:tab/>
      </w:r>
      <w:r w:rsidR="009B35CE" w:rsidRPr="0034017B">
        <w:t>Summary of the evidence for</w:t>
      </w:r>
      <w:r w:rsidR="009B35CE">
        <w:t xml:space="preserve"> the clinical effectiveness of</w:t>
      </w:r>
      <w:r w:rsidR="009B35CE" w:rsidRPr="0034017B">
        <w:t xml:space="preserve"> a PDE-5 inhibitor</w:t>
      </w:r>
      <w:r w:rsidR="000E0079" w:rsidRPr="000E0079">
        <w:t xml:space="preserve"> </w:t>
      </w:r>
      <w:r w:rsidR="000E0079" w:rsidRPr="0034017B">
        <w:t>in addition to</w:t>
      </w:r>
      <w:r w:rsidR="000E0079" w:rsidRPr="000E0079">
        <w:t xml:space="preserve"> </w:t>
      </w:r>
      <w:r w:rsidR="000E0079" w:rsidRPr="0034017B">
        <w:t>an ERA</w:t>
      </w:r>
      <w:r w:rsidR="009B35CE" w:rsidRPr="0034017B">
        <w:t xml:space="preserve">, relative to </w:t>
      </w:r>
      <w:r w:rsidR="00BC132E">
        <w:t>ERA monotherapy</w:t>
      </w:r>
      <w:bookmarkEnd w:id="24"/>
    </w:p>
    <w:tbl>
      <w:tblPr>
        <w:tblStyle w:val="TableGrid"/>
        <w:tblW w:w="9634" w:type="dxa"/>
        <w:tblLook w:val="04A0" w:firstRow="1" w:lastRow="0" w:firstColumn="1" w:lastColumn="0" w:noHBand="0" w:noVBand="1"/>
        <w:tblCaption w:val="Summary of the evidence for the clinical effectiveness of a PDE-5 inhibitor in addition to an ERA, relative to ERA monotherapy"/>
      </w:tblPr>
      <w:tblGrid>
        <w:gridCol w:w="1553"/>
        <w:gridCol w:w="2093"/>
        <w:gridCol w:w="5988"/>
      </w:tblGrid>
      <w:tr w:rsidR="009B35CE" w:rsidRPr="00D103A9" w:rsidTr="00D103A9">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D103A9" w:rsidRDefault="009B35CE" w:rsidP="00D103A9">
            <w:pPr>
              <w:pStyle w:val="Tabletext"/>
              <w:rPr>
                <w:rFonts w:asciiTheme="minorHAnsi" w:hAnsiTheme="minorHAnsi"/>
                <w:b/>
              </w:rPr>
            </w:pPr>
            <w:r w:rsidRPr="00D103A9">
              <w:rPr>
                <w:b/>
              </w:rPr>
              <w:t>Outcome</w:t>
            </w:r>
          </w:p>
        </w:tc>
        <w:tc>
          <w:tcPr>
            <w:tcW w:w="1984" w:type="dxa"/>
            <w:tcBorders>
              <w:top w:val="single" w:sz="4" w:space="0" w:color="auto"/>
              <w:left w:val="single" w:sz="4" w:space="0" w:color="auto"/>
              <w:bottom w:val="single" w:sz="4" w:space="0" w:color="auto"/>
              <w:right w:val="single" w:sz="4" w:space="0" w:color="auto"/>
            </w:tcBorders>
          </w:tcPr>
          <w:p w:rsidR="00787DD0" w:rsidRDefault="009B35CE" w:rsidP="00787DD0">
            <w:pPr>
              <w:pStyle w:val="Tabletext"/>
              <w:rPr>
                <w:b/>
              </w:rPr>
            </w:pPr>
            <w:r w:rsidRPr="00D103A9">
              <w:rPr>
                <w:b/>
              </w:rPr>
              <w:t xml:space="preserve">Included trials </w:t>
            </w:r>
          </w:p>
          <w:p w:rsidR="009B35CE" w:rsidRPr="00D103A9" w:rsidRDefault="00787DD0" w:rsidP="00787DD0">
            <w:pPr>
              <w:pStyle w:val="Tabletext"/>
              <w:rPr>
                <w:rFonts w:asciiTheme="minorHAnsi" w:hAnsiTheme="minorHAnsi"/>
                <w:b/>
              </w:rPr>
            </w:pPr>
            <w:r w:rsidRPr="00293DE5">
              <w:rPr>
                <w:b/>
              </w:rPr>
              <w:t>No. of patients</w:t>
            </w:r>
          </w:p>
        </w:tc>
        <w:tc>
          <w:tcPr>
            <w:tcW w:w="6095" w:type="dxa"/>
            <w:tcBorders>
              <w:top w:val="single" w:sz="4" w:space="0" w:color="auto"/>
              <w:left w:val="single" w:sz="4" w:space="0" w:color="auto"/>
              <w:bottom w:val="single" w:sz="4" w:space="0" w:color="auto"/>
              <w:right w:val="single" w:sz="4" w:space="0" w:color="auto"/>
            </w:tcBorders>
          </w:tcPr>
          <w:p w:rsidR="009B35CE" w:rsidRPr="00D103A9" w:rsidRDefault="009B35CE" w:rsidP="00D103A9">
            <w:pPr>
              <w:pStyle w:val="Tabletext"/>
              <w:rPr>
                <w:rFonts w:asciiTheme="minorHAnsi" w:hAnsiTheme="minorHAnsi"/>
                <w:b/>
              </w:rPr>
            </w:pPr>
            <w:r w:rsidRPr="00D103A9">
              <w:rPr>
                <w:b/>
              </w:rPr>
              <w:t>Summary of evidence</w:t>
            </w:r>
          </w:p>
        </w:tc>
      </w:tr>
      <w:tr w:rsidR="009B35CE" w:rsidRPr="0034017B"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Pr="0034017B" w:rsidRDefault="006B2C7A" w:rsidP="00695728">
            <w:pPr>
              <w:pStyle w:val="Tabletext"/>
              <w:keepNext/>
              <w:rPr>
                <w:rFonts w:asciiTheme="minorHAnsi" w:hAnsiTheme="minorHAnsi"/>
              </w:rPr>
            </w:pPr>
            <w:r>
              <w:t>A</w:t>
            </w:r>
            <w:r w:rsidR="009B35CE" w:rsidRPr="00FD4377">
              <w:t>ll PAH patients</w:t>
            </w:r>
          </w:p>
        </w:tc>
      </w:tr>
      <w:tr w:rsidR="009B35CE" w:rsidRPr="0034017B" w:rsidTr="00D103A9">
        <w:tc>
          <w:tcPr>
            <w:tcW w:w="1555" w:type="dxa"/>
            <w:tcBorders>
              <w:top w:val="single" w:sz="4" w:space="0" w:color="auto"/>
              <w:left w:val="single" w:sz="4" w:space="0" w:color="auto"/>
              <w:bottom w:val="single" w:sz="4" w:space="0" w:color="auto"/>
              <w:right w:val="single" w:sz="4" w:space="0" w:color="auto"/>
            </w:tcBorders>
          </w:tcPr>
          <w:p w:rsidR="009B35CE" w:rsidRPr="0034017B" w:rsidRDefault="009B35CE" w:rsidP="00D103A9">
            <w:pPr>
              <w:pStyle w:val="Tabletext"/>
            </w:pPr>
            <w:r w:rsidRPr="0034017B">
              <w:t>Clinical worsening</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AMBITION (tadalafil/ambrisentan)</w:t>
            </w:r>
          </w:p>
          <w:p w:rsidR="009B35CE" w:rsidRDefault="009B35CE" w:rsidP="00D103A9">
            <w:pPr>
              <w:pStyle w:val="Tabletext"/>
            </w:pPr>
            <w:r>
              <w:t>PHIRST</w:t>
            </w:r>
            <w:r w:rsidR="00B37D37">
              <w:br/>
            </w:r>
            <w:r>
              <w:t>(tadalafil/</w:t>
            </w:r>
            <w:r w:rsidRPr="00885C20">
              <w:t>b</w:t>
            </w:r>
            <w:r>
              <w:t>o</w:t>
            </w:r>
            <w:r w:rsidRPr="00885C20">
              <w:t>sentan)</w:t>
            </w:r>
          </w:p>
          <w:p w:rsidR="009B35CE" w:rsidRDefault="009B35CE" w:rsidP="00D103A9">
            <w:pPr>
              <w:pStyle w:val="Tabletext"/>
            </w:pPr>
            <w:r>
              <w:t>Z</w:t>
            </w:r>
            <w:r w:rsidR="008D6E18">
              <w:t>h</w:t>
            </w:r>
            <w:r>
              <w:t>uang 2014 (tadalafil/ambrisentan)</w:t>
            </w:r>
          </w:p>
          <w:p w:rsidR="009B35CE" w:rsidRDefault="009B35CE" w:rsidP="00D103A9">
            <w:pPr>
              <w:pStyle w:val="Tabletext"/>
            </w:pPr>
            <w:r>
              <w:t>Vizza 2017 (sildenafil/bosentan)</w:t>
            </w:r>
          </w:p>
          <w:p w:rsidR="00787DD0" w:rsidRPr="0034017B" w:rsidRDefault="00787DD0" w:rsidP="00D103A9">
            <w:pPr>
              <w:pStyle w:val="Tabletext"/>
            </w:pPr>
            <w:r>
              <w:t>N=694</w:t>
            </w:r>
          </w:p>
        </w:tc>
        <w:tc>
          <w:tcPr>
            <w:tcW w:w="6095" w:type="dxa"/>
            <w:tcBorders>
              <w:top w:val="single" w:sz="4" w:space="0" w:color="auto"/>
              <w:left w:val="single" w:sz="4" w:space="0" w:color="auto"/>
              <w:bottom w:val="single" w:sz="4" w:space="0" w:color="auto"/>
              <w:right w:val="single" w:sz="4" w:space="0" w:color="auto"/>
            </w:tcBorders>
          </w:tcPr>
          <w:p w:rsidR="009B35CE" w:rsidRPr="0034017B" w:rsidRDefault="009B35CE" w:rsidP="00480FDF">
            <w:pPr>
              <w:pStyle w:val="Tabletext"/>
              <w:numPr>
                <w:ilvl w:val="0"/>
                <w:numId w:val="30"/>
              </w:numPr>
              <w:ind w:left="227" w:hanging="227"/>
              <w:rPr>
                <w:szCs w:val="18"/>
              </w:rPr>
            </w:pPr>
            <w:r w:rsidRPr="0034017B">
              <w:t>High quality</w:t>
            </w:r>
            <w:r w:rsidRPr="0034017B">
              <w:rPr>
                <w:rFonts w:cs="Cambria Math"/>
              </w:rPr>
              <w:t xml:space="preserve"> evidence (GRADE </w:t>
            </w:r>
            <w:r w:rsidRPr="0034017B">
              <w:rPr>
                <w:rFonts w:ascii="Cambria Math" w:hAnsi="Cambria Math" w:cs="Cambria Math"/>
                <w:color w:val="00B050"/>
              </w:rPr>
              <w:t>⨁⨁⨁⨁</w:t>
            </w:r>
            <w:r w:rsidRPr="0034017B">
              <w:t>)</w:t>
            </w:r>
          </w:p>
          <w:p w:rsidR="009B35CE" w:rsidRDefault="009B35CE" w:rsidP="00480FDF">
            <w:pPr>
              <w:pStyle w:val="Tabletext"/>
              <w:numPr>
                <w:ilvl w:val="0"/>
                <w:numId w:val="30"/>
              </w:numPr>
              <w:ind w:left="227" w:hanging="227"/>
            </w:pPr>
            <w:r w:rsidRPr="0034017B">
              <w:rPr>
                <w:szCs w:val="18"/>
              </w:rPr>
              <w:t>Significantly fewer patients experienced clinical</w:t>
            </w:r>
            <w:r w:rsidRPr="0034017B">
              <w:t xml:space="preserve"> worsening with combination therapy compared with monotherapy (pooled RR = 0.</w:t>
            </w:r>
            <w:r>
              <w:t>53</w:t>
            </w:r>
            <w:r w:rsidRPr="0034017B">
              <w:t>; 95% CI 0.</w:t>
            </w:r>
            <w:r>
              <w:t>38</w:t>
            </w:r>
            <w:r w:rsidRPr="0034017B">
              <w:t>, 0.</w:t>
            </w:r>
            <w:r>
              <w:t>73</w:t>
            </w:r>
            <w:r w:rsidRPr="0034017B">
              <w:t>)</w:t>
            </w:r>
          </w:p>
          <w:p w:rsidR="00BC132E" w:rsidRPr="00BC132E" w:rsidRDefault="001902A8" w:rsidP="00480FDF">
            <w:pPr>
              <w:pStyle w:val="Tabletext"/>
              <w:numPr>
                <w:ilvl w:val="0"/>
                <w:numId w:val="30"/>
              </w:numPr>
              <w:ind w:left="227" w:hanging="227"/>
              <w:rPr>
                <w:szCs w:val="18"/>
              </w:rPr>
            </w:pPr>
            <w:r>
              <w:rPr>
                <w:szCs w:val="18"/>
              </w:rPr>
              <w:t>There were</w:t>
            </w:r>
            <w:r w:rsidR="00BC132E">
              <w:rPr>
                <w:szCs w:val="18"/>
              </w:rPr>
              <w:t xml:space="preserve"> n</w:t>
            </w:r>
            <w:r w:rsidR="00BC132E" w:rsidRPr="0034017B">
              <w:rPr>
                <w:szCs w:val="18"/>
              </w:rPr>
              <w:t xml:space="preserve">o significant differences in </w:t>
            </w:r>
            <w:r>
              <w:rPr>
                <w:szCs w:val="18"/>
              </w:rPr>
              <w:t xml:space="preserve">treatment </w:t>
            </w:r>
            <w:r w:rsidR="00BC132E" w:rsidRPr="0034017B">
              <w:rPr>
                <w:szCs w:val="18"/>
              </w:rPr>
              <w:t xml:space="preserve">effectiveness for </w:t>
            </w:r>
            <w:r>
              <w:rPr>
                <w:szCs w:val="18"/>
              </w:rPr>
              <w:t xml:space="preserve">the </w:t>
            </w:r>
            <w:r w:rsidR="00BC132E" w:rsidRPr="0034017B">
              <w:rPr>
                <w:szCs w:val="18"/>
              </w:rPr>
              <w:t>d</w:t>
            </w:r>
            <w:r w:rsidR="00BC132E">
              <w:rPr>
                <w:szCs w:val="18"/>
              </w:rPr>
              <w:t>ifferent treatment combinations</w:t>
            </w:r>
            <w:r w:rsidR="0085196B">
              <w:rPr>
                <w:szCs w:val="18"/>
              </w:rPr>
              <w:t>, but the point estimate for Vizza 2017 showed the opposite effect</w:t>
            </w:r>
          </w:p>
        </w:tc>
      </w:tr>
      <w:tr w:rsidR="009B35CE" w:rsidRPr="0034017B" w:rsidTr="00D103A9">
        <w:tc>
          <w:tcPr>
            <w:tcW w:w="1555" w:type="dxa"/>
          </w:tcPr>
          <w:p w:rsidR="009B35CE" w:rsidRPr="0034017B" w:rsidRDefault="009B35CE" w:rsidP="00D103A9">
            <w:pPr>
              <w:pStyle w:val="Tabletext"/>
            </w:pPr>
            <w:r w:rsidRPr="0034017B">
              <w:t>All-cause mortality</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AMBITION (tadalafil/ambrisentan)</w:t>
            </w:r>
          </w:p>
          <w:p w:rsidR="009B35CE" w:rsidRDefault="009B35CE" w:rsidP="00D103A9">
            <w:pPr>
              <w:pStyle w:val="Tabletext"/>
            </w:pPr>
            <w:r>
              <w:t>Z</w:t>
            </w:r>
            <w:r w:rsidR="008D6E18">
              <w:t>h</w:t>
            </w:r>
            <w:r>
              <w:t>uang 2014 (tadalafil/ambrisentan)</w:t>
            </w:r>
          </w:p>
          <w:p w:rsidR="009B35CE" w:rsidRDefault="009B35CE" w:rsidP="00D103A9">
            <w:pPr>
              <w:pStyle w:val="Tabletext"/>
            </w:pPr>
            <w:r>
              <w:t>Vizza 2017 (sildenafil/bosentan)</w:t>
            </w:r>
          </w:p>
          <w:p w:rsidR="00787DD0" w:rsidRPr="0034017B" w:rsidRDefault="00787DD0" w:rsidP="00D103A9">
            <w:pPr>
              <w:pStyle w:val="Tabletext"/>
            </w:pPr>
            <w:r>
              <w:t>N=682</w:t>
            </w:r>
          </w:p>
        </w:tc>
        <w:tc>
          <w:tcPr>
            <w:tcW w:w="6095" w:type="dxa"/>
          </w:tcPr>
          <w:p w:rsidR="009B35CE" w:rsidRPr="0034017B" w:rsidRDefault="00695728" w:rsidP="00480FDF">
            <w:pPr>
              <w:pStyle w:val="Tabletext"/>
              <w:numPr>
                <w:ilvl w:val="0"/>
                <w:numId w:val="30"/>
              </w:numPr>
              <w:ind w:left="227" w:hanging="227"/>
            </w:pPr>
            <w:r>
              <w:t>Moderate</w:t>
            </w:r>
            <w:r w:rsidRPr="0034017B">
              <w:t xml:space="preserve"> quality</w:t>
            </w:r>
            <w:r w:rsidRPr="0034017B">
              <w:rPr>
                <w:rFonts w:cs="Cambria Math"/>
              </w:rPr>
              <w:t xml:space="preserve"> evidence (GRADE </w:t>
            </w:r>
            <w:r w:rsidRPr="0034017B">
              <w:rPr>
                <w:rFonts w:ascii="Cambria Math" w:hAnsi="Cambria Math" w:cs="Cambria Math"/>
                <w:color w:val="00B050"/>
              </w:rPr>
              <w:t>⨁⨁⨁</w:t>
            </w:r>
            <w:r w:rsidRPr="006316DF">
              <w:rPr>
                <w:rFonts w:ascii="Cambria Math" w:hAnsi="Cambria Math" w:cs="Cambria Math"/>
                <w:color w:val="C00000"/>
              </w:rPr>
              <w:t>⨀</w:t>
            </w:r>
            <w:r w:rsidRPr="0034017B">
              <w:t>)</w:t>
            </w:r>
          </w:p>
          <w:p w:rsidR="009B35CE" w:rsidRPr="001902A8" w:rsidRDefault="009B35CE" w:rsidP="00480FDF">
            <w:pPr>
              <w:pStyle w:val="Tabletext"/>
              <w:numPr>
                <w:ilvl w:val="0"/>
                <w:numId w:val="30"/>
              </w:numPr>
              <w:ind w:left="227" w:hanging="227"/>
              <w:rPr>
                <w:szCs w:val="18"/>
              </w:rPr>
            </w:pPr>
            <w:r w:rsidRPr="0034017B">
              <w:rPr>
                <w:szCs w:val="18"/>
              </w:rPr>
              <w:t>Fewer patients died from any cause</w:t>
            </w:r>
            <w:r w:rsidRPr="001902A8">
              <w:rPr>
                <w:szCs w:val="18"/>
              </w:rPr>
              <w:t xml:space="preserve"> with combination therapy compared with monotherapy, but the </w:t>
            </w:r>
            <w:r w:rsidR="00D84687" w:rsidRPr="001902A8">
              <w:rPr>
                <w:szCs w:val="18"/>
              </w:rPr>
              <w:t>95% CI indicates</w:t>
            </w:r>
            <w:r w:rsidRPr="001902A8">
              <w:rPr>
                <w:szCs w:val="18"/>
              </w:rPr>
              <w:t xml:space="preserve"> that </w:t>
            </w:r>
            <w:r w:rsidR="009A57D8">
              <w:rPr>
                <w:szCs w:val="18"/>
              </w:rPr>
              <w:t>there could also be an effect in the opposite direction</w:t>
            </w:r>
            <w:r w:rsidR="001902A8" w:rsidRPr="001902A8">
              <w:rPr>
                <w:szCs w:val="18"/>
              </w:rPr>
              <w:t xml:space="preserve"> </w:t>
            </w:r>
            <w:r w:rsidRPr="001902A8">
              <w:rPr>
                <w:szCs w:val="18"/>
              </w:rPr>
              <w:t>(pooled RR = 0.64; 95% CI 0.18, 2.36)</w:t>
            </w:r>
          </w:p>
          <w:p w:rsidR="00BC132E" w:rsidRPr="0034017B" w:rsidRDefault="00BC132E" w:rsidP="00480FDF">
            <w:pPr>
              <w:pStyle w:val="Tabletext"/>
              <w:numPr>
                <w:ilvl w:val="0"/>
                <w:numId w:val="30"/>
              </w:numPr>
              <w:ind w:left="227" w:hanging="227"/>
            </w:pPr>
            <w:r>
              <w:rPr>
                <w:szCs w:val="18"/>
              </w:rPr>
              <w:t>There w</w:t>
            </w:r>
            <w:r w:rsidR="001902A8">
              <w:rPr>
                <w:szCs w:val="18"/>
              </w:rPr>
              <w:t>ere</w:t>
            </w:r>
            <w:r>
              <w:rPr>
                <w:szCs w:val="18"/>
              </w:rPr>
              <w:t xml:space="preserve"> n</w:t>
            </w:r>
            <w:r w:rsidRPr="0034017B">
              <w:rPr>
                <w:szCs w:val="18"/>
              </w:rPr>
              <w:t xml:space="preserve">o significant differences in </w:t>
            </w:r>
            <w:r w:rsidR="001902A8">
              <w:rPr>
                <w:szCs w:val="18"/>
              </w:rPr>
              <w:t xml:space="preserve">treatment </w:t>
            </w:r>
            <w:r w:rsidRPr="0034017B">
              <w:rPr>
                <w:szCs w:val="18"/>
              </w:rPr>
              <w:t xml:space="preserve">effectiveness for </w:t>
            </w:r>
            <w:r w:rsidR="001902A8">
              <w:rPr>
                <w:szCs w:val="18"/>
              </w:rPr>
              <w:t xml:space="preserve">the </w:t>
            </w:r>
            <w:r w:rsidRPr="0034017B">
              <w:rPr>
                <w:szCs w:val="18"/>
              </w:rPr>
              <w:t>d</w:t>
            </w:r>
            <w:r>
              <w:rPr>
                <w:szCs w:val="18"/>
              </w:rPr>
              <w:t>ifferent treatment combinations</w:t>
            </w:r>
            <w:r w:rsidR="0085196B">
              <w:rPr>
                <w:szCs w:val="18"/>
              </w:rPr>
              <w:t>, but the point estimate for Vizza 2017 showed the opposite effect</w:t>
            </w:r>
          </w:p>
        </w:tc>
      </w:tr>
      <w:tr w:rsidR="009B35CE" w:rsidRPr="0034017B" w:rsidTr="00D103A9">
        <w:tc>
          <w:tcPr>
            <w:tcW w:w="1555" w:type="dxa"/>
            <w:tcBorders>
              <w:top w:val="single" w:sz="4" w:space="0" w:color="auto"/>
              <w:left w:val="single" w:sz="4" w:space="0" w:color="auto"/>
              <w:bottom w:val="single" w:sz="4" w:space="0" w:color="auto"/>
              <w:right w:val="single" w:sz="4" w:space="0" w:color="auto"/>
            </w:tcBorders>
          </w:tcPr>
          <w:p w:rsidR="009B35CE" w:rsidRPr="0034017B" w:rsidRDefault="009B35CE" w:rsidP="00D103A9">
            <w:pPr>
              <w:pStyle w:val="Tabletext"/>
            </w:pPr>
            <w:r w:rsidRPr="0034017B">
              <w:t>Hospitalisation</w:t>
            </w:r>
            <w:r w:rsidR="00951198">
              <w:t xml:space="preserve"> due to </w:t>
            </w:r>
            <w:r w:rsidR="00695728">
              <w:t xml:space="preserve">worsening </w:t>
            </w:r>
            <w:r w:rsidR="00951198">
              <w:t>PAH</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AMBITION (tadalafil/ambrisentan)</w:t>
            </w:r>
          </w:p>
          <w:p w:rsidR="009B35CE" w:rsidRDefault="009B35CE" w:rsidP="00D103A9">
            <w:pPr>
              <w:pStyle w:val="Tabletext"/>
            </w:pPr>
            <w:r>
              <w:t>Z</w:t>
            </w:r>
            <w:r w:rsidR="008D6E18">
              <w:t>h</w:t>
            </w:r>
            <w:r>
              <w:t>uang 2014 (tadalafil/ambrisentan)</w:t>
            </w:r>
          </w:p>
          <w:p w:rsidR="009B35CE" w:rsidRDefault="009B35CE" w:rsidP="00D103A9">
            <w:pPr>
              <w:pStyle w:val="Tabletext"/>
            </w:pPr>
            <w:r>
              <w:t>Vizza 2017 (sildenafil/bosentan)</w:t>
            </w:r>
          </w:p>
          <w:p w:rsidR="00787DD0" w:rsidRPr="0034017B" w:rsidRDefault="00787DD0" w:rsidP="00D103A9">
            <w:pPr>
              <w:pStyle w:val="Tabletext"/>
            </w:pPr>
            <w:r>
              <w:t>N=607</w:t>
            </w:r>
          </w:p>
        </w:tc>
        <w:tc>
          <w:tcPr>
            <w:tcW w:w="6095" w:type="dxa"/>
            <w:tcBorders>
              <w:top w:val="single" w:sz="4" w:space="0" w:color="auto"/>
              <w:left w:val="single" w:sz="4" w:space="0" w:color="auto"/>
              <w:bottom w:val="single" w:sz="4" w:space="0" w:color="auto"/>
              <w:right w:val="single" w:sz="4" w:space="0" w:color="auto"/>
            </w:tcBorders>
          </w:tcPr>
          <w:p w:rsidR="009B35CE" w:rsidRPr="0034017B" w:rsidRDefault="009B35CE" w:rsidP="00480FDF">
            <w:pPr>
              <w:pStyle w:val="Tabletext"/>
              <w:numPr>
                <w:ilvl w:val="0"/>
                <w:numId w:val="30"/>
              </w:numPr>
              <w:ind w:left="227" w:hanging="227"/>
            </w:pPr>
            <w:r w:rsidRPr="0034017B">
              <w:t>High quality</w:t>
            </w:r>
            <w:r w:rsidRPr="0034017B">
              <w:rPr>
                <w:rFonts w:cs="Cambria Math"/>
              </w:rPr>
              <w:t xml:space="preserve"> evidence (GRADE </w:t>
            </w:r>
            <w:r w:rsidRPr="0034017B">
              <w:rPr>
                <w:rFonts w:ascii="Cambria Math" w:hAnsi="Cambria Math" w:cs="Cambria Math"/>
                <w:color w:val="00B050"/>
              </w:rPr>
              <w:t>⨁⨁⨁⨁</w:t>
            </w:r>
            <w:r w:rsidRPr="0034017B">
              <w:t>)</w:t>
            </w:r>
          </w:p>
          <w:p w:rsidR="009B35CE" w:rsidRDefault="00951198" w:rsidP="00480FDF">
            <w:pPr>
              <w:pStyle w:val="Tabletext"/>
              <w:numPr>
                <w:ilvl w:val="0"/>
                <w:numId w:val="30"/>
              </w:numPr>
              <w:ind w:left="227" w:hanging="227"/>
            </w:pPr>
            <w:r>
              <w:rPr>
                <w:szCs w:val="18"/>
              </w:rPr>
              <w:t>Significantly f</w:t>
            </w:r>
            <w:r w:rsidR="009B35CE" w:rsidRPr="0034017B">
              <w:rPr>
                <w:szCs w:val="18"/>
              </w:rPr>
              <w:t xml:space="preserve">ewer patients </w:t>
            </w:r>
            <w:r w:rsidR="009B35CE">
              <w:rPr>
                <w:szCs w:val="18"/>
              </w:rPr>
              <w:t>were hospitalised</w:t>
            </w:r>
            <w:r w:rsidR="009B35CE" w:rsidRPr="0034017B">
              <w:t xml:space="preserve"> with combination therapy compared with monotherapy (pooled RR = 0.</w:t>
            </w:r>
            <w:r>
              <w:t>42</w:t>
            </w:r>
            <w:r w:rsidR="009B35CE" w:rsidRPr="0034017B">
              <w:t>; 95% CI 0.</w:t>
            </w:r>
            <w:r>
              <w:t>2</w:t>
            </w:r>
            <w:r w:rsidR="009B35CE" w:rsidRPr="0034017B">
              <w:t>5, 0</w:t>
            </w:r>
            <w:r>
              <w:t>.</w:t>
            </w:r>
            <w:r w:rsidR="009B35CE">
              <w:t>7</w:t>
            </w:r>
            <w:r>
              <w:t>0</w:t>
            </w:r>
            <w:r w:rsidR="009B35CE" w:rsidRPr="0034017B">
              <w:t>)</w:t>
            </w:r>
          </w:p>
          <w:p w:rsidR="00BC132E" w:rsidRPr="0034017B" w:rsidRDefault="001902A8" w:rsidP="00480FDF">
            <w:pPr>
              <w:pStyle w:val="Tabletext"/>
              <w:numPr>
                <w:ilvl w:val="0"/>
                <w:numId w:val="30"/>
              </w:numPr>
              <w:ind w:left="227" w:hanging="227"/>
            </w:pPr>
            <w:r>
              <w:rPr>
                <w:szCs w:val="18"/>
              </w:rPr>
              <w:t>There were</w:t>
            </w:r>
            <w:r w:rsidR="00BC132E">
              <w:rPr>
                <w:szCs w:val="18"/>
              </w:rPr>
              <w:t xml:space="preserve"> n</w:t>
            </w:r>
            <w:r w:rsidR="00BC132E" w:rsidRPr="0034017B">
              <w:rPr>
                <w:szCs w:val="18"/>
              </w:rPr>
              <w:t xml:space="preserve">o significant differences in </w:t>
            </w:r>
            <w:r>
              <w:rPr>
                <w:szCs w:val="18"/>
              </w:rPr>
              <w:t xml:space="preserve">treatment </w:t>
            </w:r>
            <w:r w:rsidR="00BC132E" w:rsidRPr="0034017B">
              <w:rPr>
                <w:szCs w:val="18"/>
              </w:rPr>
              <w:t xml:space="preserve">effectiveness for </w:t>
            </w:r>
            <w:r>
              <w:rPr>
                <w:szCs w:val="18"/>
              </w:rPr>
              <w:t xml:space="preserve">the </w:t>
            </w:r>
            <w:r w:rsidR="00BC132E" w:rsidRPr="0034017B">
              <w:rPr>
                <w:szCs w:val="18"/>
              </w:rPr>
              <w:t>d</w:t>
            </w:r>
            <w:r w:rsidR="00BC132E">
              <w:rPr>
                <w:szCs w:val="18"/>
              </w:rPr>
              <w:t>ifferent treatment combinations</w:t>
            </w:r>
          </w:p>
        </w:tc>
      </w:tr>
      <w:tr w:rsidR="009B35CE" w:rsidRPr="0034017B" w:rsidTr="00D103A9">
        <w:tc>
          <w:tcPr>
            <w:tcW w:w="1555" w:type="dxa"/>
            <w:tcBorders>
              <w:top w:val="single" w:sz="4" w:space="0" w:color="auto"/>
              <w:left w:val="single" w:sz="4" w:space="0" w:color="auto"/>
              <w:bottom w:val="single" w:sz="4" w:space="0" w:color="auto"/>
              <w:right w:val="single" w:sz="4" w:space="0" w:color="auto"/>
            </w:tcBorders>
          </w:tcPr>
          <w:p w:rsidR="009B35CE" w:rsidRPr="0034017B" w:rsidRDefault="009B35CE" w:rsidP="00D103A9">
            <w:pPr>
              <w:pStyle w:val="Tabletext"/>
            </w:pPr>
            <w:r w:rsidRPr="0034017B">
              <w:t>Improved WHO FC</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AMBITION (tadalafil/ambrisentan)</w:t>
            </w:r>
          </w:p>
          <w:p w:rsidR="009B35CE" w:rsidRDefault="009B35CE" w:rsidP="00D103A9">
            <w:pPr>
              <w:pStyle w:val="Tabletext"/>
            </w:pPr>
            <w:r>
              <w:t>PHIRST</w:t>
            </w:r>
            <w:r w:rsidR="00B37D37">
              <w:br/>
            </w:r>
            <w:r>
              <w:t>(tadalafil/</w:t>
            </w:r>
            <w:r w:rsidRPr="00885C20">
              <w:t>b</w:t>
            </w:r>
            <w:r>
              <w:t>o</w:t>
            </w:r>
            <w:r w:rsidRPr="00885C20">
              <w:t>sentan)</w:t>
            </w:r>
          </w:p>
          <w:p w:rsidR="009B35CE" w:rsidRDefault="009B35CE" w:rsidP="00D103A9">
            <w:pPr>
              <w:pStyle w:val="Tabletext"/>
            </w:pPr>
            <w:r>
              <w:t>Z</w:t>
            </w:r>
            <w:r w:rsidR="008D6E18">
              <w:t>h</w:t>
            </w:r>
            <w:r>
              <w:t>uang 2014 (tadalafil/ambrisentan)</w:t>
            </w:r>
          </w:p>
          <w:p w:rsidR="009B35CE" w:rsidRDefault="009B35CE" w:rsidP="00D103A9">
            <w:pPr>
              <w:pStyle w:val="Tabletext"/>
            </w:pPr>
            <w:r>
              <w:t>Vizza 2017 (sildenafil/bosentan)</w:t>
            </w:r>
          </w:p>
          <w:p w:rsidR="00787DD0" w:rsidRPr="0034017B" w:rsidRDefault="00787DD0" w:rsidP="00D103A9">
            <w:pPr>
              <w:pStyle w:val="Tabletext"/>
            </w:pPr>
            <w:r>
              <w:t>N=6</w:t>
            </w:r>
            <w:r w:rsidR="006E1D35">
              <w:t>9</w:t>
            </w:r>
            <w:r>
              <w:t>1</w:t>
            </w:r>
          </w:p>
        </w:tc>
        <w:tc>
          <w:tcPr>
            <w:tcW w:w="6095" w:type="dxa"/>
            <w:tcBorders>
              <w:top w:val="single" w:sz="4" w:space="0" w:color="auto"/>
              <w:left w:val="single" w:sz="4" w:space="0" w:color="auto"/>
              <w:bottom w:val="single" w:sz="4" w:space="0" w:color="auto"/>
              <w:right w:val="single" w:sz="4" w:space="0" w:color="auto"/>
            </w:tcBorders>
          </w:tcPr>
          <w:p w:rsidR="009B35CE" w:rsidRPr="0034017B" w:rsidRDefault="009B35CE" w:rsidP="00480FDF">
            <w:pPr>
              <w:pStyle w:val="Tabletext"/>
              <w:numPr>
                <w:ilvl w:val="0"/>
                <w:numId w:val="30"/>
              </w:numPr>
              <w:ind w:left="227" w:hanging="227"/>
              <w:rPr>
                <w:szCs w:val="18"/>
              </w:rPr>
            </w:pPr>
            <w:r w:rsidRPr="0034017B">
              <w:t>High quality</w:t>
            </w:r>
            <w:r w:rsidRPr="0034017B">
              <w:rPr>
                <w:rFonts w:cs="Cambria Math"/>
              </w:rPr>
              <w:t xml:space="preserve"> evidence (GRADE </w:t>
            </w:r>
            <w:r w:rsidRPr="0034017B">
              <w:rPr>
                <w:rFonts w:ascii="Cambria Math" w:hAnsi="Cambria Math" w:cs="Cambria Math"/>
                <w:color w:val="00B050"/>
              </w:rPr>
              <w:t>⨁⨁⨁⨁</w:t>
            </w:r>
            <w:r w:rsidRPr="0034017B">
              <w:t>)</w:t>
            </w:r>
          </w:p>
          <w:p w:rsidR="005A1E1C" w:rsidRPr="0034017B" w:rsidRDefault="009B35CE" w:rsidP="00480FDF">
            <w:pPr>
              <w:pStyle w:val="Tabletext"/>
              <w:numPr>
                <w:ilvl w:val="0"/>
                <w:numId w:val="30"/>
              </w:numPr>
              <w:ind w:left="227" w:hanging="227"/>
            </w:pPr>
            <w:r w:rsidRPr="0034017B">
              <w:rPr>
                <w:szCs w:val="18"/>
              </w:rPr>
              <w:t xml:space="preserve">There was little difference in the proportion of patients whose </w:t>
            </w:r>
            <w:r w:rsidRPr="0034017B">
              <w:t>WHO FC improved with combination therapy compared with monotherapy (pooled RR = 1.1</w:t>
            </w:r>
            <w:r>
              <w:t>1</w:t>
            </w:r>
            <w:r w:rsidRPr="0034017B">
              <w:t>; 95% CI 0.</w:t>
            </w:r>
            <w:r>
              <w:t>77</w:t>
            </w:r>
            <w:r w:rsidRPr="0034017B">
              <w:t>, 1.</w:t>
            </w:r>
            <w:r>
              <w:t>60</w:t>
            </w:r>
            <w:r w:rsidRPr="0034017B">
              <w:t>)</w:t>
            </w:r>
            <w:r w:rsidR="005A1E1C" w:rsidRPr="0034017B">
              <w:t xml:space="preserve"> </w:t>
            </w:r>
          </w:p>
          <w:p w:rsidR="00BC132E" w:rsidRPr="0034017B" w:rsidRDefault="005A1E1C" w:rsidP="00480FDF">
            <w:pPr>
              <w:pStyle w:val="Tabletext"/>
              <w:numPr>
                <w:ilvl w:val="0"/>
                <w:numId w:val="30"/>
              </w:numPr>
              <w:ind w:left="227" w:hanging="227"/>
            </w:pPr>
            <w:r>
              <w:rPr>
                <w:szCs w:val="18"/>
              </w:rPr>
              <w:t>The PHIRST study showed a trend favouring the opposite effect to the other 3 studies</w:t>
            </w:r>
          </w:p>
        </w:tc>
      </w:tr>
      <w:tr w:rsidR="009B35CE" w:rsidRPr="0034017B" w:rsidTr="00D103A9">
        <w:tc>
          <w:tcPr>
            <w:tcW w:w="1555" w:type="dxa"/>
          </w:tcPr>
          <w:p w:rsidR="009B35CE" w:rsidRPr="0034017B" w:rsidRDefault="009B35CE" w:rsidP="00D103A9">
            <w:pPr>
              <w:pStyle w:val="Tabletext"/>
            </w:pPr>
            <w:r w:rsidRPr="0034017B">
              <w:lastRenderedPageBreak/>
              <w:t>Worsened WHO FC</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AMBITION (tadalafil/ambrisentan)</w:t>
            </w:r>
          </w:p>
          <w:p w:rsidR="009B35CE" w:rsidRDefault="009B35CE" w:rsidP="00D103A9">
            <w:pPr>
              <w:pStyle w:val="Tabletext"/>
            </w:pPr>
            <w:r>
              <w:t>PHIRST</w:t>
            </w:r>
            <w:r w:rsidR="00B37D37">
              <w:br/>
            </w:r>
            <w:r>
              <w:t>(tadalafil/</w:t>
            </w:r>
            <w:r w:rsidRPr="00885C20">
              <w:t>b</w:t>
            </w:r>
            <w:r>
              <w:t>o</w:t>
            </w:r>
            <w:r w:rsidRPr="00885C20">
              <w:t>sentan)</w:t>
            </w:r>
          </w:p>
          <w:p w:rsidR="009B35CE" w:rsidRDefault="009B35CE" w:rsidP="00D103A9">
            <w:pPr>
              <w:pStyle w:val="Tabletext"/>
            </w:pPr>
            <w:r>
              <w:t>Z</w:t>
            </w:r>
            <w:r w:rsidR="008D6E18">
              <w:t>h</w:t>
            </w:r>
            <w:r>
              <w:t>uang 2014 (tadalafil/ambrisentan)</w:t>
            </w:r>
          </w:p>
          <w:p w:rsidR="009B35CE" w:rsidRDefault="009B35CE" w:rsidP="00D103A9">
            <w:pPr>
              <w:pStyle w:val="Tabletext"/>
            </w:pPr>
            <w:r>
              <w:t>Vizza 2017 (sildenafil/bosentan)</w:t>
            </w:r>
          </w:p>
          <w:p w:rsidR="00787DD0" w:rsidRPr="0034017B" w:rsidRDefault="00787DD0" w:rsidP="00D103A9">
            <w:pPr>
              <w:pStyle w:val="Tabletext"/>
            </w:pPr>
            <w:r>
              <w:t>N=6</w:t>
            </w:r>
            <w:r w:rsidR="006E1D35">
              <w:t>9</w:t>
            </w:r>
            <w:r>
              <w:t>1</w:t>
            </w:r>
          </w:p>
        </w:tc>
        <w:tc>
          <w:tcPr>
            <w:tcW w:w="6095" w:type="dxa"/>
          </w:tcPr>
          <w:p w:rsidR="009B35CE" w:rsidRPr="0034017B" w:rsidRDefault="009B35CE" w:rsidP="00480FDF">
            <w:pPr>
              <w:pStyle w:val="Tabletext"/>
              <w:numPr>
                <w:ilvl w:val="0"/>
                <w:numId w:val="30"/>
              </w:numPr>
              <w:ind w:left="227" w:hanging="227"/>
            </w:pPr>
            <w:r w:rsidRPr="0034017B">
              <w:t>High quality</w:t>
            </w:r>
            <w:r w:rsidRPr="0034017B">
              <w:rPr>
                <w:rFonts w:cs="Cambria Math"/>
              </w:rPr>
              <w:t xml:space="preserve"> evidence (GRADE </w:t>
            </w:r>
            <w:r w:rsidRPr="0034017B">
              <w:rPr>
                <w:rFonts w:ascii="Cambria Math" w:hAnsi="Cambria Math" w:cs="Cambria Math"/>
                <w:color w:val="00B050"/>
              </w:rPr>
              <w:t>⨁⨁⨁⨁</w:t>
            </w:r>
            <w:r w:rsidRPr="0034017B">
              <w:t>)</w:t>
            </w:r>
          </w:p>
          <w:p w:rsidR="009B35CE" w:rsidRPr="00BC132E" w:rsidRDefault="009B35CE" w:rsidP="00480FDF">
            <w:pPr>
              <w:pStyle w:val="Tabletext"/>
              <w:numPr>
                <w:ilvl w:val="0"/>
                <w:numId w:val="30"/>
              </w:numPr>
              <w:ind w:left="227" w:hanging="227"/>
            </w:pPr>
            <w:r>
              <w:rPr>
                <w:szCs w:val="18"/>
              </w:rPr>
              <w:t>Fewer patients on</w:t>
            </w:r>
            <w:r w:rsidRPr="0034017B">
              <w:rPr>
                <w:szCs w:val="18"/>
              </w:rPr>
              <w:t xml:space="preserve"> </w:t>
            </w:r>
            <w:r w:rsidRPr="00CA622D">
              <w:rPr>
                <w:szCs w:val="18"/>
              </w:rPr>
              <w:t xml:space="preserve">combination therapy had worsening of their WHO FC compared with monotherapy, but the </w:t>
            </w:r>
            <w:r w:rsidR="001902A8">
              <w:rPr>
                <w:szCs w:val="18"/>
              </w:rPr>
              <w:t>result did not quite reach statistical significance</w:t>
            </w:r>
            <w:r w:rsidRPr="00CA622D">
              <w:rPr>
                <w:szCs w:val="18"/>
              </w:rPr>
              <w:t xml:space="preserve"> (pooled RR = 0.60; 95% CI 0.34, 1.05)</w:t>
            </w:r>
          </w:p>
          <w:p w:rsidR="00BC132E" w:rsidRPr="0034017B" w:rsidRDefault="00BC132E" w:rsidP="00480FDF">
            <w:pPr>
              <w:pStyle w:val="Tabletext"/>
              <w:numPr>
                <w:ilvl w:val="0"/>
                <w:numId w:val="30"/>
              </w:numPr>
              <w:ind w:left="227" w:hanging="227"/>
            </w:pPr>
            <w:r>
              <w:rPr>
                <w:szCs w:val="18"/>
              </w:rPr>
              <w:t>There w</w:t>
            </w:r>
            <w:r w:rsidR="001902A8">
              <w:rPr>
                <w:szCs w:val="18"/>
              </w:rPr>
              <w:t>ere</w:t>
            </w:r>
            <w:r>
              <w:rPr>
                <w:szCs w:val="18"/>
              </w:rPr>
              <w:t xml:space="preserve"> n</w:t>
            </w:r>
            <w:r w:rsidRPr="0034017B">
              <w:rPr>
                <w:szCs w:val="18"/>
              </w:rPr>
              <w:t xml:space="preserve">o significant differences in </w:t>
            </w:r>
            <w:r w:rsidR="001902A8">
              <w:rPr>
                <w:szCs w:val="18"/>
              </w:rPr>
              <w:t xml:space="preserve">treatment </w:t>
            </w:r>
            <w:r w:rsidRPr="0034017B">
              <w:rPr>
                <w:szCs w:val="18"/>
              </w:rPr>
              <w:t xml:space="preserve">effectiveness for </w:t>
            </w:r>
            <w:r w:rsidR="001902A8">
              <w:rPr>
                <w:szCs w:val="18"/>
              </w:rPr>
              <w:t xml:space="preserve">the </w:t>
            </w:r>
            <w:r w:rsidRPr="0034017B">
              <w:rPr>
                <w:szCs w:val="18"/>
              </w:rPr>
              <w:t>d</w:t>
            </w:r>
            <w:r>
              <w:rPr>
                <w:szCs w:val="18"/>
              </w:rPr>
              <w:t>ifferent treatment combinations</w:t>
            </w:r>
          </w:p>
        </w:tc>
      </w:tr>
      <w:tr w:rsidR="00695728" w:rsidRPr="0034017B" w:rsidTr="00D103A9">
        <w:tc>
          <w:tcPr>
            <w:tcW w:w="1555" w:type="dxa"/>
          </w:tcPr>
          <w:p w:rsidR="00695728" w:rsidRPr="0034017B" w:rsidRDefault="00695728" w:rsidP="00695728">
            <w:pPr>
              <w:pStyle w:val="Tabletext"/>
            </w:pPr>
            <w:r w:rsidRPr="0034017B">
              <w:t>Change in 6MWD</w:t>
            </w:r>
            <w:r>
              <w:rPr>
                <w:rFonts w:cs="Arial"/>
              </w:rPr>
              <w:t xml:space="preserve"> from baseline</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AMBITION (tadalafil/ambrisentan)</w:t>
            </w:r>
          </w:p>
          <w:p w:rsidR="00695728" w:rsidRDefault="00695728" w:rsidP="00695728">
            <w:pPr>
              <w:pStyle w:val="Tabletext"/>
            </w:pPr>
            <w:r>
              <w:t>PHIRST</w:t>
            </w:r>
            <w:r>
              <w:br/>
              <w:t>(tadalafil/</w:t>
            </w:r>
            <w:r w:rsidRPr="00885C20">
              <w:t>b</w:t>
            </w:r>
            <w:r>
              <w:t>o</w:t>
            </w:r>
            <w:r w:rsidRPr="00885C20">
              <w:t>sentan)</w:t>
            </w:r>
          </w:p>
          <w:p w:rsidR="00695728" w:rsidRDefault="00695728" w:rsidP="00695728">
            <w:pPr>
              <w:pStyle w:val="Tabletext"/>
            </w:pPr>
            <w:r>
              <w:t>Zhuang 2014 (tadalafil/ambrisentan)</w:t>
            </w:r>
          </w:p>
          <w:p w:rsidR="00695728" w:rsidRDefault="00695728" w:rsidP="00695728">
            <w:pPr>
              <w:pStyle w:val="Tabletext"/>
            </w:pPr>
            <w:r>
              <w:t>Vizza 2017 (sildenafil/bosentan)</w:t>
            </w:r>
          </w:p>
          <w:p w:rsidR="00695728" w:rsidRDefault="00695728" w:rsidP="00695728">
            <w:pPr>
              <w:pStyle w:val="Tabletext"/>
            </w:pPr>
            <w:r>
              <w:t xml:space="preserve">Mainguy 2013 </w:t>
            </w:r>
            <w:r w:rsidRPr="00885C20">
              <w:t>(</w:t>
            </w:r>
            <w:r>
              <w:t>silden</w:t>
            </w:r>
            <w:r w:rsidRPr="00885C20">
              <w:t>afil/</w:t>
            </w:r>
            <w:r>
              <w:t>PDE-5 inhibitor</w:t>
            </w:r>
            <w:r w:rsidRPr="00885C20">
              <w:t>)</w:t>
            </w:r>
          </w:p>
          <w:p w:rsidR="00695728" w:rsidRPr="0034017B" w:rsidRDefault="00695728" w:rsidP="00695728">
            <w:pPr>
              <w:pStyle w:val="Tabletext"/>
            </w:pPr>
            <w:r>
              <w:t>N=726</w:t>
            </w:r>
          </w:p>
        </w:tc>
        <w:tc>
          <w:tcPr>
            <w:tcW w:w="6095" w:type="dxa"/>
          </w:tcPr>
          <w:p w:rsidR="00695728" w:rsidRPr="004E393A" w:rsidRDefault="00695728" w:rsidP="00480FDF">
            <w:pPr>
              <w:pStyle w:val="Tabletext"/>
              <w:numPr>
                <w:ilvl w:val="0"/>
                <w:numId w:val="30"/>
              </w:numPr>
              <w:ind w:left="227" w:hanging="227"/>
            </w:pPr>
            <w:r>
              <w:t>Moderate</w:t>
            </w:r>
            <w:r w:rsidRPr="0034017B">
              <w:t xml:space="preserve"> quality evidence (GRADE </w:t>
            </w:r>
            <w:r w:rsidRPr="0034017B">
              <w:rPr>
                <w:rFonts w:ascii="Cambria Math" w:hAnsi="Cambria Math" w:cs="Cambria Math"/>
                <w:color w:val="00B050"/>
              </w:rPr>
              <w:t>⨁⨁⨁</w:t>
            </w:r>
            <w:r w:rsidRPr="00E564DD">
              <w:rPr>
                <w:rFonts w:ascii="Cambria Math" w:eastAsia="Times New Roman" w:hAnsi="Cambria Math" w:cs="Cambria Math"/>
                <w:bCs/>
                <w:color w:val="C00000"/>
              </w:rPr>
              <w:t>⨀</w:t>
            </w:r>
            <w:r w:rsidRPr="0034017B">
              <w:t>)</w:t>
            </w:r>
          </w:p>
          <w:p w:rsidR="00695728" w:rsidRPr="0034017B" w:rsidRDefault="00695728" w:rsidP="00480FDF">
            <w:pPr>
              <w:pStyle w:val="Tabletext"/>
              <w:numPr>
                <w:ilvl w:val="0"/>
                <w:numId w:val="30"/>
              </w:numPr>
              <w:ind w:left="227" w:hanging="227"/>
            </w:pPr>
            <w:r>
              <w:t>In 4 out of 5 studies, p</w:t>
            </w:r>
            <w:r w:rsidRPr="0034017B">
              <w:t>atients on combination therapy had a larger mean improvement in their 6MWD than those on monotherapy</w:t>
            </w:r>
            <w:r w:rsidR="00002D3C">
              <w:t>,</w:t>
            </w:r>
            <w:r>
              <w:t xml:space="preserve"> and the difference </w:t>
            </w:r>
            <w:r w:rsidR="009A57D8">
              <w:t>could be</w:t>
            </w:r>
            <w:r>
              <w:t xml:space="preserve"> clinically important in 1 study</w:t>
            </w:r>
            <w:r w:rsidRPr="0034017B">
              <w:t xml:space="preserve"> (range </w:t>
            </w:r>
            <w:r>
              <w:t>2</w:t>
            </w:r>
            <w:r w:rsidRPr="0034017B">
              <w:t>.</w:t>
            </w:r>
            <w:r>
              <w:t>4 m less to 3</w:t>
            </w:r>
            <w:r w:rsidRPr="0034017B">
              <w:t>6.</w:t>
            </w:r>
            <w:r>
              <w:t xml:space="preserve">1 m </w:t>
            </w:r>
            <w:r w:rsidR="00002D3C">
              <w:t xml:space="preserve">walked </w:t>
            </w:r>
            <w:r>
              <w:t>further</w:t>
            </w:r>
            <w:r w:rsidRPr="0034017B">
              <w:t xml:space="preserve">) </w:t>
            </w:r>
          </w:p>
          <w:p w:rsidR="00695728" w:rsidRPr="0034017B" w:rsidRDefault="00695728" w:rsidP="00480FDF">
            <w:pPr>
              <w:pStyle w:val="Tabletext"/>
              <w:numPr>
                <w:ilvl w:val="0"/>
                <w:numId w:val="30"/>
              </w:numPr>
              <w:ind w:left="227" w:hanging="227"/>
            </w:pPr>
            <w:r w:rsidRPr="004E393A">
              <w:t xml:space="preserve">The </w:t>
            </w:r>
            <w:r>
              <w:t>Vizza 2017</w:t>
            </w:r>
            <w:r w:rsidRPr="004E393A">
              <w:t xml:space="preserve"> study showed a trend favouring the opposite effect to the other </w:t>
            </w:r>
            <w:r>
              <w:t>4</w:t>
            </w:r>
            <w:r w:rsidRPr="004E393A">
              <w:t xml:space="preserve"> studies</w:t>
            </w:r>
            <w:r>
              <w:t>, but this difference may not be statistically significant</w:t>
            </w:r>
          </w:p>
        </w:tc>
      </w:tr>
      <w:tr w:rsidR="00B37D37" w:rsidRPr="0034017B" w:rsidTr="00B37D37">
        <w:tc>
          <w:tcPr>
            <w:tcW w:w="1555" w:type="dxa"/>
          </w:tcPr>
          <w:p w:rsidR="00B37D37" w:rsidRDefault="00B37D37" w:rsidP="00362678">
            <w:pPr>
              <w:pStyle w:val="Tabletext"/>
            </w:pPr>
            <w:r w:rsidRPr="0034017B">
              <w:t xml:space="preserve">Change in </w:t>
            </w:r>
            <w:r>
              <w:t>haemodynamic parameters</w:t>
            </w:r>
            <w:r w:rsidR="00695728">
              <w:t xml:space="preserve"> from baseline</w:t>
            </w:r>
            <w:r>
              <w:t>:</w:t>
            </w:r>
          </w:p>
          <w:p w:rsidR="00B37D37" w:rsidRPr="0034017B" w:rsidRDefault="00B37D37" w:rsidP="00362678">
            <w:pPr>
              <w:pStyle w:val="Tabletext"/>
            </w:pPr>
            <w:r>
              <w:t>PVR, mPAP</w:t>
            </w:r>
          </w:p>
        </w:tc>
        <w:tc>
          <w:tcPr>
            <w:tcW w:w="1984" w:type="dxa"/>
          </w:tcPr>
          <w:p w:rsidR="00B37D37" w:rsidRDefault="00B37D37" w:rsidP="00362678">
            <w:pPr>
              <w:pStyle w:val="Tabletext"/>
            </w:pPr>
            <w:r>
              <w:t>Z</w:t>
            </w:r>
            <w:r w:rsidR="008D6E18">
              <w:t>h</w:t>
            </w:r>
            <w:r>
              <w:t>uang 2014 (tadalafil/ambrisentan)</w:t>
            </w:r>
          </w:p>
          <w:p w:rsidR="00787DD0" w:rsidRPr="0034017B" w:rsidRDefault="00787DD0" w:rsidP="00362678">
            <w:pPr>
              <w:pStyle w:val="Tabletext"/>
            </w:pPr>
            <w:r>
              <w:t>N=124</w:t>
            </w:r>
          </w:p>
        </w:tc>
        <w:tc>
          <w:tcPr>
            <w:tcW w:w="6095" w:type="dxa"/>
          </w:tcPr>
          <w:p w:rsidR="00B37D37" w:rsidRPr="0034017B" w:rsidRDefault="006C297E" w:rsidP="00480FDF">
            <w:pPr>
              <w:pStyle w:val="Tabletext"/>
              <w:numPr>
                <w:ilvl w:val="0"/>
                <w:numId w:val="30"/>
              </w:numPr>
              <w:ind w:left="227" w:hanging="227"/>
            </w:pPr>
            <w:r>
              <w:t>Low</w:t>
            </w:r>
            <w:r w:rsidR="00B37D37" w:rsidRPr="0034017B">
              <w:t xml:space="preserve"> quality evidence (GRADE </w:t>
            </w:r>
            <w:r w:rsidR="00B37D37" w:rsidRPr="0034017B">
              <w:rPr>
                <w:rFonts w:ascii="Cambria Math" w:hAnsi="Cambria Math" w:cs="Cambria Math"/>
                <w:color w:val="00B050"/>
              </w:rPr>
              <w:t>⨁⨁</w:t>
            </w:r>
            <w:r w:rsidRPr="00E564DD">
              <w:rPr>
                <w:rFonts w:ascii="Cambria Math" w:eastAsia="Times New Roman" w:hAnsi="Cambria Math" w:cs="Cambria Math"/>
                <w:bCs/>
                <w:color w:val="C00000"/>
              </w:rPr>
              <w:t>⨀⨀</w:t>
            </w:r>
            <w:r w:rsidR="00B37D37" w:rsidRPr="0034017B">
              <w:t>)</w:t>
            </w:r>
          </w:p>
          <w:p w:rsidR="00B37D37" w:rsidRPr="004E393A" w:rsidRDefault="00B37D37" w:rsidP="00480FDF">
            <w:pPr>
              <w:pStyle w:val="Tabletext"/>
              <w:numPr>
                <w:ilvl w:val="0"/>
                <w:numId w:val="30"/>
              </w:numPr>
              <w:ind w:left="227" w:hanging="227"/>
            </w:pPr>
            <w:r w:rsidRPr="0034017B">
              <w:t xml:space="preserve">Patients on combination therapy had a larger mean improvement in their </w:t>
            </w:r>
            <w:r w:rsidR="006B2E03">
              <w:t>haemodynamic parameters</w:t>
            </w:r>
            <w:r w:rsidRPr="0034017B">
              <w:t xml:space="preserve"> than those </w:t>
            </w:r>
            <w:r w:rsidR="00C61C3E">
              <w:t>patients receiving</w:t>
            </w:r>
            <w:r w:rsidRPr="0034017B">
              <w:t xml:space="preserve"> monotherapy (</w:t>
            </w:r>
            <w:r>
              <w:t>PVR MD</w:t>
            </w:r>
            <w:r w:rsidRPr="0034017B">
              <w:t xml:space="preserve"> = </w:t>
            </w:r>
            <w:r>
              <w:t>1</w:t>
            </w:r>
            <w:r w:rsidRPr="0034017B">
              <w:t>3.</w:t>
            </w:r>
            <w:r>
              <w:t>9% improvement</w:t>
            </w:r>
            <w:r w:rsidRPr="004E393A">
              <w:t xml:space="preserve">; </w:t>
            </w:r>
            <w:r>
              <w:t>mPAP MD = 8.5% improvement</w:t>
            </w:r>
            <w:r w:rsidRPr="004E393A">
              <w:t>)</w:t>
            </w:r>
          </w:p>
        </w:tc>
      </w:tr>
      <w:tr w:rsidR="009B35CE" w:rsidRPr="0034017B"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Pr="00885C20" w:rsidRDefault="009F4016" w:rsidP="009F4016">
            <w:pPr>
              <w:pStyle w:val="Tabletext"/>
              <w:keepNext/>
            </w:pPr>
            <w:r>
              <w:t>P</w:t>
            </w:r>
            <w:r w:rsidR="009B35CE" w:rsidRPr="00885C20">
              <w:t>atients with WHO FC III/IV PAH</w:t>
            </w:r>
          </w:p>
        </w:tc>
      </w:tr>
      <w:tr w:rsidR="009B35CE" w:rsidRPr="0034017B" w:rsidTr="00D103A9">
        <w:tc>
          <w:tcPr>
            <w:tcW w:w="1555" w:type="dxa"/>
          </w:tcPr>
          <w:p w:rsidR="009B35CE" w:rsidRPr="0034017B" w:rsidRDefault="009B35CE" w:rsidP="00D103A9">
            <w:pPr>
              <w:pStyle w:val="Tabletext"/>
            </w:pPr>
            <w:r>
              <w:t>Change in 6MWD</w:t>
            </w:r>
            <w:r w:rsidR="00695728">
              <w:t xml:space="preserve"> from baseline</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PHIRST</w:t>
            </w:r>
            <w:r w:rsidR="00B37D37">
              <w:br/>
            </w:r>
            <w:r>
              <w:t>(tadalafil/</w:t>
            </w:r>
            <w:r w:rsidRPr="00885C20">
              <w:t>b</w:t>
            </w:r>
            <w:r>
              <w:t>o</w:t>
            </w:r>
            <w:r w:rsidRPr="00885C20">
              <w:t>sentan)</w:t>
            </w:r>
          </w:p>
          <w:p w:rsidR="009B35CE" w:rsidRDefault="009B35CE" w:rsidP="00D103A9">
            <w:pPr>
              <w:pStyle w:val="Tabletext"/>
            </w:pPr>
            <w:r>
              <w:t>Z</w:t>
            </w:r>
            <w:r w:rsidR="008D6E18">
              <w:t>h</w:t>
            </w:r>
            <w:r>
              <w:t>uang 2014 (tadalafil/ambrisentan)</w:t>
            </w:r>
          </w:p>
          <w:p w:rsidR="00787DD0" w:rsidRPr="0034017B" w:rsidRDefault="00787DD0" w:rsidP="00D103A9">
            <w:pPr>
              <w:pStyle w:val="Tabletext"/>
            </w:pPr>
            <w:r>
              <w:t>N=109</w:t>
            </w:r>
          </w:p>
        </w:tc>
        <w:tc>
          <w:tcPr>
            <w:tcW w:w="6095" w:type="dxa"/>
          </w:tcPr>
          <w:p w:rsidR="009B35CE" w:rsidRPr="0034017B" w:rsidRDefault="00F705F8" w:rsidP="00480FDF">
            <w:pPr>
              <w:pStyle w:val="Tabletext"/>
              <w:numPr>
                <w:ilvl w:val="0"/>
                <w:numId w:val="31"/>
              </w:numPr>
              <w:ind w:left="227" w:hanging="219"/>
            </w:pPr>
            <w:r>
              <w:t>Moderate</w:t>
            </w:r>
            <w:r w:rsidRPr="0034017B">
              <w:t xml:space="preserve"> </w:t>
            </w:r>
            <w:r w:rsidR="009B35CE" w:rsidRPr="0034017B">
              <w:t xml:space="preserve">quality evidence (GRADE </w:t>
            </w:r>
            <w:r w:rsidR="009B35CE" w:rsidRPr="0034017B">
              <w:rPr>
                <w:rFonts w:ascii="Cambria Math" w:hAnsi="Cambria Math" w:cs="Cambria Math"/>
                <w:color w:val="00B050"/>
              </w:rPr>
              <w:t>⨁⨁⨁</w:t>
            </w:r>
            <w:r w:rsidRPr="006316DF">
              <w:rPr>
                <w:rFonts w:ascii="Cambria Math" w:hAnsi="Cambria Math" w:cs="Cambria Math"/>
                <w:color w:val="C00000"/>
              </w:rPr>
              <w:t>⨀</w:t>
            </w:r>
            <w:r w:rsidR="009B35CE" w:rsidRPr="0034017B">
              <w:t>)</w:t>
            </w:r>
          </w:p>
          <w:p w:rsidR="009B35CE" w:rsidRDefault="009B35CE" w:rsidP="00480FDF">
            <w:pPr>
              <w:pStyle w:val="Tabletext"/>
              <w:numPr>
                <w:ilvl w:val="0"/>
                <w:numId w:val="31"/>
              </w:numPr>
              <w:ind w:left="227" w:hanging="219"/>
            </w:pPr>
            <w:r w:rsidRPr="0034017B">
              <w:t xml:space="preserve">Patients on combination therapy had a larger mean improvement in their 6MWD than those </w:t>
            </w:r>
            <w:r w:rsidR="00C61C3E">
              <w:t>patients receiving</w:t>
            </w:r>
            <w:r w:rsidRPr="0034017B">
              <w:t xml:space="preserve"> monotherapy</w:t>
            </w:r>
            <w:r w:rsidR="009A57D8">
              <w:t>, but the difference was not clinically important</w:t>
            </w:r>
            <w:r w:rsidRPr="0034017B">
              <w:t xml:space="preserve"> (range </w:t>
            </w:r>
            <w:r>
              <w:t>13</w:t>
            </w:r>
            <w:r w:rsidRPr="0034017B">
              <w:t>.</w:t>
            </w:r>
            <w:r>
              <w:t>5</w:t>
            </w:r>
            <w:r w:rsidR="009B6434">
              <w:t>−</w:t>
            </w:r>
            <w:r>
              <w:t>20</w:t>
            </w:r>
            <w:r w:rsidRPr="0034017B">
              <w:t>.</w:t>
            </w:r>
            <w:r>
              <w:t>1</w:t>
            </w:r>
            <w:r w:rsidR="009B6434">
              <w:t xml:space="preserve"> m </w:t>
            </w:r>
            <w:r w:rsidR="00C61C3E">
              <w:t xml:space="preserve">walked </w:t>
            </w:r>
            <w:r w:rsidR="009B6434">
              <w:t>further</w:t>
            </w:r>
            <w:r w:rsidRPr="0034017B">
              <w:t>)</w:t>
            </w:r>
          </w:p>
          <w:p w:rsidR="00BC132E" w:rsidRPr="0034017B" w:rsidRDefault="00BC132E" w:rsidP="00480FDF">
            <w:pPr>
              <w:pStyle w:val="Tabletext"/>
              <w:numPr>
                <w:ilvl w:val="0"/>
                <w:numId w:val="31"/>
              </w:numPr>
              <w:ind w:left="227" w:hanging="219"/>
            </w:pPr>
            <w:r>
              <w:rPr>
                <w:szCs w:val="18"/>
              </w:rPr>
              <w:t xml:space="preserve">There </w:t>
            </w:r>
            <w:r w:rsidR="00C61C3E">
              <w:rPr>
                <w:szCs w:val="18"/>
              </w:rPr>
              <w:t xml:space="preserve">were </w:t>
            </w:r>
            <w:r>
              <w:rPr>
                <w:szCs w:val="18"/>
              </w:rPr>
              <w:t>n</w:t>
            </w:r>
            <w:r w:rsidRPr="0034017B">
              <w:rPr>
                <w:szCs w:val="18"/>
              </w:rPr>
              <w:t xml:space="preserve">o significant differences in </w:t>
            </w:r>
            <w:r w:rsidR="00C61C3E">
              <w:rPr>
                <w:szCs w:val="18"/>
              </w:rPr>
              <w:t xml:space="preserve">treatment </w:t>
            </w:r>
            <w:r w:rsidRPr="0034017B">
              <w:rPr>
                <w:szCs w:val="18"/>
              </w:rPr>
              <w:t xml:space="preserve">effectiveness for </w:t>
            </w:r>
            <w:r w:rsidR="00C61C3E">
              <w:rPr>
                <w:szCs w:val="18"/>
              </w:rPr>
              <w:t xml:space="preserve">the </w:t>
            </w:r>
            <w:r w:rsidRPr="0034017B">
              <w:rPr>
                <w:szCs w:val="18"/>
              </w:rPr>
              <w:t>d</w:t>
            </w:r>
            <w:r>
              <w:rPr>
                <w:szCs w:val="18"/>
              </w:rPr>
              <w:t>ifferent treatment combinations</w:t>
            </w:r>
          </w:p>
        </w:tc>
      </w:tr>
      <w:tr w:rsidR="009B35CE" w:rsidRPr="0034017B"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Pr="00885C20" w:rsidRDefault="009B35CE" w:rsidP="00487776">
            <w:pPr>
              <w:pStyle w:val="Tabletext"/>
              <w:keepNext/>
            </w:pPr>
            <w:r>
              <w:t>P</w:t>
            </w:r>
            <w:r w:rsidRPr="00885C20">
              <w:t xml:space="preserve">atients with </w:t>
            </w:r>
            <w:r>
              <w:t>I</w:t>
            </w:r>
            <w:r w:rsidRPr="00885C20">
              <w:t>PAH</w:t>
            </w:r>
            <w:r>
              <w:t>/HPAH</w:t>
            </w:r>
          </w:p>
        </w:tc>
      </w:tr>
      <w:tr w:rsidR="009B35CE" w:rsidRPr="0034017B" w:rsidTr="00D103A9">
        <w:tc>
          <w:tcPr>
            <w:tcW w:w="1555" w:type="dxa"/>
          </w:tcPr>
          <w:p w:rsidR="009B35CE" w:rsidRPr="0034017B" w:rsidRDefault="009B35CE" w:rsidP="00D103A9">
            <w:pPr>
              <w:pStyle w:val="Tabletext"/>
            </w:pPr>
            <w:r>
              <w:t>Change in 6MWD</w:t>
            </w:r>
            <w:r w:rsidR="00695728">
              <w:t xml:space="preserve"> from baseline</w:t>
            </w:r>
          </w:p>
        </w:tc>
        <w:tc>
          <w:tcPr>
            <w:tcW w:w="1984" w:type="dxa"/>
          </w:tcPr>
          <w:p w:rsidR="009B35CE" w:rsidRDefault="009B35CE" w:rsidP="00D103A9">
            <w:pPr>
              <w:pStyle w:val="Tabletext"/>
            </w:pPr>
            <w:r>
              <w:t>PHIRST</w:t>
            </w:r>
            <w:r w:rsidR="00B37D37">
              <w:br/>
            </w:r>
            <w:r>
              <w:t>(tadalafil/</w:t>
            </w:r>
            <w:r w:rsidRPr="00885C20">
              <w:t>b</w:t>
            </w:r>
            <w:r>
              <w:t>o</w:t>
            </w:r>
            <w:r w:rsidRPr="00885C20">
              <w:t>sentan)</w:t>
            </w:r>
          </w:p>
          <w:p w:rsidR="00787DD0" w:rsidRDefault="009B35CE" w:rsidP="00D103A9">
            <w:pPr>
              <w:pStyle w:val="Tabletext"/>
              <w:rPr>
                <w:rFonts w:cs="Arial"/>
              </w:rPr>
            </w:pPr>
            <w:r>
              <w:t>Vizza 2017 (sildenafil/bosentan)</w:t>
            </w:r>
            <w:r w:rsidR="00787DD0" w:rsidRPr="006316DF">
              <w:rPr>
                <w:rFonts w:cs="Arial"/>
              </w:rPr>
              <w:t xml:space="preserve"> </w:t>
            </w:r>
          </w:p>
          <w:p w:rsidR="009B35CE" w:rsidRDefault="00787DD0" w:rsidP="00D103A9">
            <w:pPr>
              <w:pStyle w:val="Tabletext"/>
            </w:pPr>
            <w:r w:rsidRPr="006316DF">
              <w:rPr>
                <w:rFonts w:cs="Arial"/>
              </w:rPr>
              <w:t>N=</w:t>
            </w:r>
            <w:r>
              <w:rPr>
                <w:rFonts w:cs="Arial"/>
              </w:rPr>
              <w:t>120</w:t>
            </w:r>
          </w:p>
        </w:tc>
        <w:tc>
          <w:tcPr>
            <w:tcW w:w="6095" w:type="dxa"/>
          </w:tcPr>
          <w:p w:rsidR="009B35CE" w:rsidRPr="0034017B" w:rsidRDefault="00B47224" w:rsidP="00480FDF">
            <w:pPr>
              <w:pStyle w:val="Tabletext"/>
              <w:numPr>
                <w:ilvl w:val="0"/>
                <w:numId w:val="32"/>
              </w:numPr>
              <w:ind w:left="227" w:hanging="219"/>
            </w:pPr>
            <w:r>
              <w:t>Moderate</w:t>
            </w:r>
            <w:r w:rsidRPr="0034017B">
              <w:t xml:space="preserve"> </w:t>
            </w:r>
            <w:r w:rsidR="009B35CE" w:rsidRPr="0034017B">
              <w:t xml:space="preserve">quality evidence (GRADE </w:t>
            </w:r>
            <w:r w:rsidR="009B35CE" w:rsidRPr="0034017B">
              <w:rPr>
                <w:rFonts w:ascii="Cambria Math" w:hAnsi="Cambria Math" w:cs="Cambria Math"/>
                <w:color w:val="00B050"/>
              </w:rPr>
              <w:t>⨁⨁⨁</w:t>
            </w:r>
            <w:r w:rsidRPr="006316DF">
              <w:rPr>
                <w:rFonts w:ascii="Cambria Math" w:hAnsi="Cambria Math" w:cs="Cambria Math"/>
                <w:color w:val="C00000"/>
              </w:rPr>
              <w:t>⨀</w:t>
            </w:r>
            <w:r w:rsidR="009B35CE" w:rsidRPr="0034017B">
              <w:t>)</w:t>
            </w:r>
          </w:p>
          <w:p w:rsidR="009B35CE" w:rsidRDefault="009B35CE" w:rsidP="00480FDF">
            <w:pPr>
              <w:pStyle w:val="Tabletext"/>
              <w:numPr>
                <w:ilvl w:val="0"/>
                <w:numId w:val="32"/>
              </w:numPr>
              <w:ind w:left="227" w:hanging="219"/>
            </w:pPr>
            <w:r w:rsidRPr="0034017B">
              <w:t>Patients on combination therapy had a larger mean improvement in their 6MWD than those on monotherapy</w:t>
            </w:r>
            <w:r w:rsidR="009A57D8">
              <w:t>,</w:t>
            </w:r>
            <w:r w:rsidR="00280914">
              <w:t xml:space="preserve"> but the difference was not clinically important</w:t>
            </w:r>
            <w:r w:rsidRPr="0034017B">
              <w:t xml:space="preserve"> (range </w:t>
            </w:r>
            <w:r>
              <w:t>8</w:t>
            </w:r>
            <w:r w:rsidRPr="0034017B">
              <w:t>.</w:t>
            </w:r>
            <w:r>
              <w:t>6</w:t>
            </w:r>
            <w:r w:rsidR="009B6434">
              <w:t>−</w:t>
            </w:r>
            <w:r>
              <w:t>13</w:t>
            </w:r>
            <w:r w:rsidRPr="0034017B">
              <w:t>.</w:t>
            </w:r>
            <w:r>
              <w:t>6</w:t>
            </w:r>
            <w:r w:rsidR="009B6434">
              <w:t xml:space="preserve"> m </w:t>
            </w:r>
            <w:r w:rsidR="00C61C3E">
              <w:t xml:space="preserve">walked </w:t>
            </w:r>
            <w:r w:rsidR="0082368E">
              <w:t>further</w:t>
            </w:r>
            <w:r w:rsidRPr="0034017B">
              <w:t>)</w:t>
            </w:r>
          </w:p>
          <w:p w:rsidR="00BC132E" w:rsidRPr="0034017B" w:rsidRDefault="00BC132E" w:rsidP="00480FDF">
            <w:pPr>
              <w:pStyle w:val="Tabletext"/>
              <w:numPr>
                <w:ilvl w:val="0"/>
                <w:numId w:val="32"/>
              </w:numPr>
              <w:ind w:left="227" w:hanging="219"/>
            </w:pPr>
            <w:r>
              <w:rPr>
                <w:szCs w:val="18"/>
              </w:rPr>
              <w:t xml:space="preserve">There </w:t>
            </w:r>
            <w:r w:rsidR="00C61C3E">
              <w:rPr>
                <w:szCs w:val="18"/>
              </w:rPr>
              <w:t>were</w:t>
            </w:r>
            <w:r>
              <w:rPr>
                <w:szCs w:val="18"/>
              </w:rPr>
              <w:t xml:space="preserve"> n</w:t>
            </w:r>
            <w:r w:rsidRPr="0034017B">
              <w:rPr>
                <w:szCs w:val="18"/>
              </w:rPr>
              <w:t xml:space="preserve">o significant differences in </w:t>
            </w:r>
            <w:r w:rsidR="00C61C3E">
              <w:rPr>
                <w:szCs w:val="18"/>
              </w:rPr>
              <w:t xml:space="preserve">treatment </w:t>
            </w:r>
            <w:r w:rsidRPr="0034017B">
              <w:rPr>
                <w:szCs w:val="18"/>
              </w:rPr>
              <w:t xml:space="preserve">effectiveness for </w:t>
            </w:r>
            <w:r w:rsidR="00C61C3E">
              <w:rPr>
                <w:szCs w:val="18"/>
              </w:rPr>
              <w:t xml:space="preserve">the </w:t>
            </w:r>
            <w:r w:rsidRPr="0034017B">
              <w:rPr>
                <w:szCs w:val="18"/>
              </w:rPr>
              <w:t>d</w:t>
            </w:r>
            <w:r>
              <w:rPr>
                <w:szCs w:val="18"/>
              </w:rPr>
              <w:t>ifferent treatment combinations</w:t>
            </w:r>
          </w:p>
        </w:tc>
      </w:tr>
      <w:tr w:rsidR="009B35CE" w:rsidRPr="0034017B"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Pr="00885C20" w:rsidRDefault="009B35CE" w:rsidP="00D103A9">
            <w:pPr>
              <w:pStyle w:val="Tabletext"/>
            </w:pPr>
            <w:r>
              <w:t>P</w:t>
            </w:r>
            <w:r w:rsidRPr="00885C20">
              <w:t>atients with PAH</w:t>
            </w:r>
            <w:r>
              <w:t>-CTD</w:t>
            </w:r>
          </w:p>
        </w:tc>
      </w:tr>
      <w:tr w:rsidR="009B35CE" w:rsidRPr="0034017B" w:rsidTr="00D103A9">
        <w:tc>
          <w:tcPr>
            <w:tcW w:w="1555" w:type="dxa"/>
            <w:tcBorders>
              <w:top w:val="single" w:sz="4" w:space="0" w:color="auto"/>
              <w:left w:val="single" w:sz="4" w:space="0" w:color="auto"/>
              <w:bottom w:val="single" w:sz="4" w:space="0" w:color="auto"/>
              <w:right w:val="single" w:sz="4" w:space="0" w:color="auto"/>
            </w:tcBorders>
          </w:tcPr>
          <w:p w:rsidR="009B35CE" w:rsidRPr="0034017B" w:rsidRDefault="009B35CE" w:rsidP="00D103A9">
            <w:pPr>
              <w:pStyle w:val="Tabletext"/>
            </w:pPr>
            <w:r w:rsidRPr="0034017B">
              <w:t>Clinical worsening</w:t>
            </w:r>
          </w:p>
        </w:tc>
        <w:tc>
          <w:tcPr>
            <w:tcW w:w="1984" w:type="dxa"/>
            <w:tcBorders>
              <w:top w:val="single" w:sz="4" w:space="0" w:color="auto"/>
              <w:left w:val="single" w:sz="4" w:space="0" w:color="auto"/>
              <w:bottom w:val="single" w:sz="4" w:space="0" w:color="auto"/>
              <w:right w:val="single" w:sz="4" w:space="0" w:color="auto"/>
            </w:tcBorders>
          </w:tcPr>
          <w:p w:rsidR="00787DD0" w:rsidRDefault="009B35CE" w:rsidP="00D103A9">
            <w:pPr>
              <w:pStyle w:val="Tabletext"/>
              <w:rPr>
                <w:rFonts w:cs="Arial"/>
              </w:rPr>
            </w:pPr>
            <w:r>
              <w:t>AMBITION (tadalafil/ambrisentan)</w:t>
            </w:r>
            <w:r w:rsidR="00787DD0" w:rsidRPr="006316DF">
              <w:rPr>
                <w:rFonts w:cs="Arial"/>
              </w:rPr>
              <w:t xml:space="preserve"> </w:t>
            </w:r>
          </w:p>
          <w:p w:rsidR="009B35CE" w:rsidRPr="0034017B" w:rsidRDefault="00787DD0" w:rsidP="00D103A9">
            <w:pPr>
              <w:pStyle w:val="Tabletext"/>
            </w:pPr>
            <w:r w:rsidRPr="006316DF">
              <w:rPr>
                <w:rFonts w:cs="Arial"/>
              </w:rPr>
              <w:t>N=</w:t>
            </w:r>
            <w:r>
              <w:rPr>
                <w:rFonts w:cs="Arial"/>
              </w:rPr>
              <w:t>147</w:t>
            </w:r>
          </w:p>
        </w:tc>
        <w:tc>
          <w:tcPr>
            <w:tcW w:w="6095" w:type="dxa"/>
            <w:tcBorders>
              <w:top w:val="single" w:sz="4" w:space="0" w:color="auto"/>
              <w:left w:val="single" w:sz="4" w:space="0" w:color="auto"/>
              <w:bottom w:val="single" w:sz="4" w:space="0" w:color="auto"/>
              <w:right w:val="single" w:sz="4" w:space="0" w:color="auto"/>
            </w:tcBorders>
          </w:tcPr>
          <w:p w:rsidR="009B35CE" w:rsidRPr="0034017B" w:rsidRDefault="009B35CE" w:rsidP="00480FDF">
            <w:pPr>
              <w:pStyle w:val="Tabletext"/>
              <w:numPr>
                <w:ilvl w:val="0"/>
                <w:numId w:val="33"/>
              </w:numPr>
              <w:ind w:left="227" w:hanging="227"/>
              <w:rPr>
                <w:szCs w:val="18"/>
              </w:rPr>
            </w:pPr>
            <w:r w:rsidRPr="0034017B">
              <w:t>High quality</w:t>
            </w:r>
            <w:r w:rsidRPr="0034017B">
              <w:rPr>
                <w:rFonts w:cs="Cambria Math"/>
              </w:rPr>
              <w:t xml:space="preserve"> evidence (GRADE </w:t>
            </w:r>
            <w:r w:rsidRPr="0034017B">
              <w:rPr>
                <w:rFonts w:ascii="Cambria Math" w:hAnsi="Cambria Math" w:cs="Cambria Math"/>
                <w:color w:val="00B050"/>
              </w:rPr>
              <w:t>⨁⨁⨁⨁</w:t>
            </w:r>
            <w:r w:rsidRPr="0034017B">
              <w:t>)</w:t>
            </w:r>
          </w:p>
          <w:p w:rsidR="009B35CE" w:rsidRPr="0034017B" w:rsidRDefault="009B35CE" w:rsidP="00480FDF">
            <w:pPr>
              <w:pStyle w:val="Tabletext"/>
              <w:numPr>
                <w:ilvl w:val="0"/>
                <w:numId w:val="33"/>
              </w:numPr>
              <w:ind w:left="227" w:hanging="227"/>
            </w:pPr>
            <w:r>
              <w:rPr>
                <w:szCs w:val="18"/>
              </w:rPr>
              <w:t>F</w:t>
            </w:r>
            <w:r w:rsidRPr="0034017B">
              <w:rPr>
                <w:szCs w:val="18"/>
              </w:rPr>
              <w:t>ewer patients experienced clinical</w:t>
            </w:r>
            <w:r w:rsidRPr="0034017B">
              <w:t xml:space="preserve"> worsening with combination therapy compared with monotherapy</w:t>
            </w:r>
            <w:r>
              <w:t xml:space="preserve">, but </w:t>
            </w:r>
            <w:r w:rsidR="00C61C3E">
              <w:t xml:space="preserve">the result </w:t>
            </w:r>
            <w:r>
              <w:t>just failed to reach statistical significance</w:t>
            </w:r>
            <w:r w:rsidRPr="0034017B">
              <w:t xml:space="preserve"> (</w:t>
            </w:r>
            <w:r>
              <w:t>H</w:t>
            </w:r>
            <w:r w:rsidRPr="0034017B">
              <w:t>R = 0.</w:t>
            </w:r>
            <w:r>
              <w:t>51</w:t>
            </w:r>
            <w:r w:rsidRPr="0034017B">
              <w:t>; 95% CI 0.</w:t>
            </w:r>
            <w:r>
              <w:t>25</w:t>
            </w:r>
            <w:r w:rsidRPr="0034017B">
              <w:t xml:space="preserve">, </w:t>
            </w:r>
            <w:r>
              <w:t>1</w:t>
            </w:r>
            <w:r w:rsidRPr="0034017B">
              <w:t>.</w:t>
            </w:r>
            <w:r>
              <w:t>01</w:t>
            </w:r>
            <w:r w:rsidRPr="0034017B">
              <w:t>)</w:t>
            </w:r>
          </w:p>
        </w:tc>
      </w:tr>
      <w:tr w:rsidR="009B35CE" w:rsidRPr="0034017B" w:rsidTr="00D103A9">
        <w:tc>
          <w:tcPr>
            <w:tcW w:w="1555" w:type="dxa"/>
            <w:tcBorders>
              <w:top w:val="single" w:sz="4" w:space="0" w:color="auto"/>
              <w:left w:val="single" w:sz="4" w:space="0" w:color="auto"/>
              <w:bottom w:val="single" w:sz="4" w:space="0" w:color="auto"/>
              <w:right w:val="single" w:sz="4" w:space="0" w:color="auto"/>
            </w:tcBorders>
          </w:tcPr>
          <w:p w:rsidR="009B35CE" w:rsidRPr="0034017B" w:rsidRDefault="009B35CE" w:rsidP="00D103A9">
            <w:pPr>
              <w:pStyle w:val="Tabletext"/>
            </w:pPr>
            <w:r>
              <w:lastRenderedPageBreak/>
              <w:t>Change in 6MWD</w:t>
            </w:r>
            <w:r w:rsidR="00695728">
              <w:t xml:space="preserve"> from baseline</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PHIRST</w:t>
            </w:r>
            <w:r w:rsidR="00B37D37">
              <w:br/>
            </w:r>
            <w:r>
              <w:t>(tadalafil/</w:t>
            </w:r>
            <w:r w:rsidRPr="00885C20">
              <w:t>b</w:t>
            </w:r>
            <w:r>
              <w:t>o</w:t>
            </w:r>
            <w:r w:rsidRPr="00885C20">
              <w:t>sentan)</w:t>
            </w:r>
          </w:p>
          <w:p w:rsidR="00787DD0" w:rsidRDefault="009B35CE" w:rsidP="00D103A9">
            <w:pPr>
              <w:pStyle w:val="Tabletext"/>
              <w:rPr>
                <w:rFonts w:cs="Arial"/>
              </w:rPr>
            </w:pPr>
            <w:r>
              <w:t>Vizza 2017 (sildenafil/bosentan)</w:t>
            </w:r>
            <w:r w:rsidR="00787DD0" w:rsidRPr="006316DF">
              <w:rPr>
                <w:rFonts w:cs="Arial"/>
              </w:rPr>
              <w:t xml:space="preserve"> </w:t>
            </w:r>
          </w:p>
          <w:p w:rsidR="009B35CE" w:rsidRDefault="00787DD0" w:rsidP="00D103A9">
            <w:pPr>
              <w:pStyle w:val="Tabletext"/>
            </w:pPr>
            <w:r w:rsidRPr="006316DF">
              <w:rPr>
                <w:rFonts w:cs="Arial"/>
              </w:rPr>
              <w:t>N=</w:t>
            </w:r>
            <w:r>
              <w:rPr>
                <w:rFonts w:cs="Arial"/>
              </w:rPr>
              <w:t>55</w:t>
            </w:r>
          </w:p>
        </w:tc>
        <w:tc>
          <w:tcPr>
            <w:tcW w:w="6095" w:type="dxa"/>
          </w:tcPr>
          <w:p w:rsidR="009B35CE" w:rsidRPr="0034017B" w:rsidRDefault="005D597D" w:rsidP="00480FDF">
            <w:pPr>
              <w:pStyle w:val="Tabletext"/>
              <w:numPr>
                <w:ilvl w:val="0"/>
                <w:numId w:val="33"/>
              </w:numPr>
              <w:ind w:left="227" w:hanging="227"/>
            </w:pPr>
            <w:r>
              <w:t>Very l</w:t>
            </w:r>
            <w:r w:rsidR="00B47224">
              <w:t>ow</w:t>
            </w:r>
            <w:r w:rsidR="00B47224" w:rsidRPr="0034017B">
              <w:t xml:space="preserve"> </w:t>
            </w:r>
            <w:r w:rsidR="009B35CE" w:rsidRPr="0034017B">
              <w:t xml:space="preserve">quality evidence (GRADE </w:t>
            </w:r>
            <w:r w:rsidR="009B35CE" w:rsidRPr="0034017B">
              <w:rPr>
                <w:rFonts w:ascii="Cambria Math" w:hAnsi="Cambria Math" w:cs="Cambria Math"/>
                <w:color w:val="00B050"/>
              </w:rPr>
              <w:t>⨁</w:t>
            </w:r>
            <w:r w:rsidRPr="00E564DD">
              <w:rPr>
                <w:rFonts w:ascii="Cambria Math" w:eastAsia="Times New Roman" w:hAnsi="Cambria Math" w:cs="Cambria Math"/>
                <w:bCs/>
                <w:color w:val="C00000"/>
              </w:rPr>
              <w:t>⨀</w:t>
            </w:r>
            <w:r w:rsidR="00B47224" w:rsidRPr="006316DF">
              <w:rPr>
                <w:rFonts w:ascii="Cambria Math" w:hAnsi="Cambria Math" w:cs="Cambria Math"/>
                <w:color w:val="C00000"/>
              </w:rPr>
              <w:t>⨀</w:t>
            </w:r>
            <w:r w:rsidR="00386993" w:rsidRPr="00E564DD">
              <w:rPr>
                <w:rFonts w:ascii="Cambria Math" w:eastAsia="Times New Roman" w:hAnsi="Cambria Math" w:cs="Cambria Math"/>
                <w:bCs/>
                <w:color w:val="FF0000"/>
              </w:rPr>
              <w:t>⨀</w:t>
            </w:r>
            <w:r w:rsidR="009B35CE" w:rsidRPr="0034017B">
              <w:t>)</w:t>
            </w:r>
          </w:p>
          <w:p w:rsidR="009B35CE" w:rsidRDefault="009B35CE" w:rsidP="00480FDF">
            <w:pPr>
              <w:pStyle w:val="Tabletext"/>
              <w:numPr>
                <w:ilvl w:val="0"/>
                <w:numId w:val="33"/>
              </w:numPr>
              <w:ind w:left="227" w:hanging="227"/>
            </w:pPr>
            <w:r w:rsidRPr="0034017B">
              <w:t xml:space="preserve">Patients on combination therapy had </w:t>
            </w:r>
            <w:r w:rsidR="00C61C3E">
              <w:t>a wide range of</w:t>
            </w:r>
            <w:r w:rsidRPr="0034017B">
              <w:t xml:space="preserve"> </w:t>
            </w:r>
            <w:r w:rsidR="00C61C3E">
              <w:t xml:space="preserve">change </w:t>
            </w:r>
            <w:r w:rsidRPr="0034017B">
              <w:t xml:space="preserve">in their 6MWD </w:t>
            </w:r>
            <w:r w:rsidR="00497A86">
              <w:t xml:space="preserve">compared with </w:t>
            </w:r>
            <w:r w:rsidRPr="0034017B">
              <w:t>those on monotherapy</w:t>
            </w:r>
            <w:r w:rsidR="009A57D8">
              <w:t>, but the difference was not clinically important</w:t>
            </w:r>
            <w:r w:rsidRPr="0034017B">
              <w:t xml:space="preserve"> (range </w:t>
            </w:r>
            <w:r>
              <w:t>34</w:t>
            </w:r>
            <w:r w:rsidRPr="0034017B">
              <w:t>.</w:t>
            </w:r>
            <w:r>
              <w:t>1</w:t>
            </w:r>
            <w:r w:rsidR="009B6434">
              <w:t xml:space="preserve"> m less to</w:t>
            </w:r>
            <w:r w:rsidRPr="0034017B">
              <w:t xml:space="preserve"> </w:t>
            </w:r>
            <w:r>
              <w:t>20</w:t>
            </w:r>
            <w:r w:rsidRPr="0034017B">
              <w:t>.</w:t>
            </w:r>
            <w:r>
              <w:t>7</w:t>
            </w:r>
            <w:r w:rsidR="009B6434">
              <w:t xml:space="preserve"> m </w:t>
            </w:r>
            <w:r w:rsidR="00C61C3E">
              <w:t xml:space="preserve">walked </w:t>
            </w:r>
            <w:r w:rsidR="0082368E">
              <w:t>further</w:t>
            </w:r>
            <w:r w:rsidRPr="0034017B">
              <w:t>)</w:t>
            </w:r>
          </w:p>
          <w:p w:rsidR="00BC132E" w:rsidRPr="0034017B" w:rsidRDefault="00BC132E" w:rsidP="00480FDF">
            <w:pPr>
              <w:pStyle w:val="Tabletext"/>
              <w:numPr>
                <w:ilvl w:val="0"/>
                <w:numId w:val="33"/>
              </w:numPr>
              <w:ind w:left="227" w:hanging="227"/>
            </w:pPr>
            <w:r>
              <w:rPr>
                <w:szCs w:val="18"/>
              </w:rPr>
              <w:t xml:space="preserve">There </w:t>
            </w:r>
            <w:r w:rsidR="00C61C3E">
              <w:rPr>
                <w:szCs w:val="18"/>
              </w:rPr>
              <w:t>were</w:t>
            </w:r>
            <w:r>
              <w:rPr>
                <w:szCs w:val="18"/>
              </w:rPr>
              <w:t xml:space="preserve"> n</w:t>
            </w:r>
            <w:r w:rsidRPr="0034017B">
              <w:rPr>
                <w:szCs w:val="18"/>
              </w:rPr>
              <w:t xml:space="preserve">o significant differences in </w:t>
            </w:r>
            <w:r w:rsidR="00C61C3E">
              <w:rPr>
                <w:szCs w:val="18"/>
              </w:rPr>
              <w:t xml:space="preserve">treatment </w:t>
            </w:r>
            <w:r w:rsidRPr="0034017B">
              <w:rPr>
                <w:szCs w:val="18"/>
              </w:rPr>
              <w:t xml:space="preserve">effectiveness for </w:t>
            </w:r>
            <w:r w:rsidR="00C61C3E">
              <w:rPr>
                <w:szCs w:val="18"/>
              </w:rPr>
              <w:t xml:space="preserve">the </w:t>
            </w:r>
            <w:r w:rsidRPr="0034017B">
              <w:rPr>
                <w:szCs w:val="18"/>
              </w:rPr>
              <w:t>d</w:t>
            </w:r>
            <w:r>
              <w:rPr>
                <w:szCs w:val="18"/>
              </w:rPr>
              <w:t>ifferent treatment combinations</w:t>
            </w:r>
          </w:p>
        </w:tc>
      </w:tr>
    </w:tbl>
    <w:p w:rsidR="006B2C7A" w:rsidRPr="0034017B" w:rsidRDefault="009B35CE" w:rsidP="00D103A9">
      <w:pPr>
        <w:pStyle w:val="Tablenote"/>
      </w:pPr>
      <w:r w:rsidRPr="0034017B">
        <w:t xml:space="preserve">6MWD = 6-minute </w:t>
      </w:r>
      <w:r w:rsidR="0082368E">
        <w:t>walk distance</w:t>
      </w:r>
      <w:r w:rsidRPr="0034017B">
        <w:t xml:space="preserve">; CI = confidence interval; ERA = endothelin receptor antagonist; FC = functional class; </w:t>
      </w:r>
      <w:r w:rsidR="00385E5A">
        <w:t>GRADE = grading of recommendations assessment, development and evaluation</w:t>
      </w:r>
      <w:r w:rsidR="001D34EE" w:rsidRPr="001D34EE">
        <w:rPr>
          <w:noProof/>
          <w:vertAlign w:val="superscript"/>
        </w:rPr>
        <w:t>1</w:t>
      </w:r>
      <w:r w:rsidR="006B2C7A" w:rsidRPr="009E3B52">
        <w:t xml:space="preserve">; </w:t>
      </w:r>
      <w:r w:rsidRPr="0034017B">
        <w:t xml:space="preserve">HPAH = heritable PAH; HR = hazard ratio; IPAH = idiopathic PAH; MD = mean difference; </w:t>
      </w:r>
      <w:r w:rsidR="004510DE">
        <w:t>mPAP = mean pulmonary artery</w:t>
      </w:r>
      <w:r>
        <w:t xml:space="preserve"> pressure;</w:t>
      </w:r>
      <w:r w:rsidRPr="0034017B">
        <w:t xml:space="preserve"> PAH = pulmonary arterial hypertension; </w:t>
      </w:r>
      <w:r w:rsidR="00B923F1">
        <w:t>PAH-</w:t>
      </w:r>
      <w:r w:rsidR="00B923F1" w:rsidRPr="0034017B">
        <w:t xml:space="preserve">CTD = </w:t>
      </w:r>
      <w:r w:rsidR="00B923F1">
        <w:t xml:space="preserve">PAH </w:t>
      </w:r>
      <w:r w:rsidR="00B923F1" w:rsidRPr="0034017B">
        <w:t xml:space="preserve">associated with connective tissue disease; </w:t>
      </w:r>
      <w:r w:rsidRPr="0034017B">
        <w:t xml:space="preserve">PDE-5 = phosphodiesterase type-5; </w:t>
      </w:r>
      <w:r w:rsidRPr="009123E2">
        <w:t>PVR</w:t>
      </w:r>
      <w:r>
        <w:t xml:space="preserve"> = p</w:t>
      </w:r>
      <w:r w:rsidRPr="009123E2">
        <w:t xml:space="preserve">ulmonary </w:t>
      </w:r>
      <w:r>
        <w:t>v</w:t>
      </w:r>
      <w:r w:rsidRPr="009123E2">
        <w:t xml:space="preserve">ascular </w:t>
      </w:r>
      <w:r>
        <w:t>r</w:t>
      </w:r>
      <w:r w:rsidRPr="009123E2">
        <w:t>esistance</w:t>
      </w:r>
      <w:r>
        <w:t xml:space="preserve">; </w:t>
      </w:r>
      <w:r w:rsidRPr="0034017B">
        <w:t>RR = relative risk; WHO = World Health Organization</w:t>
      </w:r>
      <w:r w:rsidRPr="00E060F4">
        <w:t xml:space="preserve"> </w:t>
      </w:r>
    </w:p>
    <w:p w:rsidR="009B35CE" w:rsidRPr="0034017B" w:rsidRDefault="009B35CE" w:rsidP="009B35CE">
      <w:pPr>
        <w:pStyle w:val="Heading5"/>
      </w:pPr>
      <w:r w:rsidRPr="0034017B">
        <w:t>Safety</w:t>
      </w:r>
    </w:p>
    <w:p w:rsidR="009B35CE" w:rsidRPr="0034017B" w:rsidRDefault="009A57D8" w:rsidP="009B35CE">
      <w:r>
        <w:t>Four</w:t>
      </w:r>
      <w:r w:rsidR="009B35CE" w:rsidRPr="0034017B">
        <w:t xml:space="preserve"> RCTs reported on the comparative safety of treatment with a </w:t>
      </w:r>
      <w:r w:rsidR="006A201F" w:rsidRPr="0034017B">
        <w:t>PDE-5 inhibitor plus a</w:t>
      </w:r>
      <w:r w:rsidR="006A201F">
        <w:t>n</w:t>
      </w:r>
      <w:r w:rsidR="006A201F" w:rsidRPr="0034017B">
        <w:t xml:space="preserve"> </w:t>
      </w:r>
      <w:r w:rsidR="009B35CE" w:rsidRPr="0034017B">
        <w:t>ERA compared with a</w:t>
      </w:r>
      <w:r w:rsidR="006A201F">
        <w:t>n</w:t>
      </w:r>
      <w:r w:rsidR="009B35CE" w:rsidRPr="0034017B">
        <w:t xml:space="preserve"> </w:t>
      </w:r>
      <w:r w:rsidR="006A201F">
        <w:t>ERA</w:t>
      </w:r>
      <w:r w:rsidR="009B35CE" w:rsidRPr="0034017B">
        <w:t xml:space="preserve"> alone in any patient with PAH:</w:t>
      </w:r>
    </w:p>
    <w:p w:rsidR="009B35CE" w:rsidRPr="00B607A5" w:rsidRDefault="009A57D8" w:rsidP="00D103A9">
      <w:pPr>
        <w:pStyle w:val="Bullettext"/>
      </w:pPr>
      <w:r w:rsidRPr="00B607A5">
        <w:t>PHIRST, AMBITION, Vizza 2017 and Zhuang 2014</w:t>
      </w:r>
    </w:p>
    <w:p w:rsidR="009B35CE" w:rsidRPr="00B607A5" w:rsidRDefault="00E20AB7" w:rsidP="00D103A9">
      <w:pPr>
        <w:pStyle w:val="Bullettext"/>
      </w:pPr>
      <w:r w:rsidRPr="00B607A5">
        <w:t>There were no new safety signals identified</w:t>
      </w:r>
      <w:r w:rsidR="009B35CE" w:rsidRPr="00B607A5">
        <w:t>.</w:t>
      </w:r>
    </w:p>
    <w:p w:rsidR="009B35CE" w:rsidRPr="0034017B" w:rsidRDefault="009B35CE" w:rsidP="00D103A9">
      <w:r w:rsidRPr="0034017B">
        <w:t>The evidence provided by these trials for all PAH patients is summarised in</w:t>
      </w:r>
      <w:r w:rsidR="00D103A9">
        <w:t xml:space="preserve"> </w:t>
      </w:r>
      <w:r w:rsidR="00AA722D">
        <w:t>Table 4.</w:t>
      </w:r>
      <w:r w:rsidR="00AA722D">
        <w:rPr>
          <w:noProof/>
        </w:rPr>
        <w:t>10</w:t>
      </w:r>
      <w:r w:rsidRPr="0034017B">
        <w:t>.</w:t>
      </w:r>
    </w:p>
    <w:p w:rsidR="009B35CE" w:rsidRPr="0034017B" w:rsidRDefault="001E5DED" w:rsidP="009B35CE">
      <w:r>
        <w:t xml:space="preserve">Overall, </w:t>
      </w:r>
      <w:r w:rsidRPr="001E5DED">
        <w:t xml:space="preserve">the use of a PDE-5 inhibitor in addition to </w:t>
      </w:r>
      <w:r w:rsidR="00497A86">
        <w:t xml:space="preserve">an </w:t>
      </w:r>
      <w:r w:rsidRPr="001E5DED">
        <w:t xml:space="preserve">ERA </w:t>
      </w:r>
      <w:r w:rsidR="00497A86">
        <w:t xml:space="preserve">appears </w:t>
      </w:r>
      <w:r w:rsidR="00943115">
        <w:t xml:space="preserve">non-inferior to </w:t>
      </w:r>
      <w:r w:rsidRPr="001E5DED">
        <w:t>ERA monotherapy when treating PAH patients</w:t>
      </w:r>
      <w:r w:rsidR="00C234D0">
        <w:t xml:space="preserve"> </w:t>
      </w:r>
      <w:r w:rsidR="00497A86">
        <w:t xml:space="preserve">overall, although </w:t>
      </w:r>
      <w:r w:rsidR="00813A0D">
        <w:t>the</w:t>
      </w:r>
      <w:r w:rsidR="00497A86">
        <w:t xml:space="preserve">re is possible safety concern for serious </w:t>
      </w:r>
      <w:r w:rsidR="00E20AB7">
        <w:t>adverse events (</w:t>
      </w:r>
      <w:r w:rsidR="00497A86">
        <w:t>AEs</w:t>
      </w:r>
      <w:r w:rsidR="00E20AB7">
        <w:t>)</w:t>
      </w:r>
      <w:r w:rsidR="00497A86">
        <w:t xml:space="preserve"> in the</w:t>
      </w:r>
      <w:r w:rsidR="00813A0D">
        <w:t xml:space="preserve"> subgroup of </w:t>
      </w:r>
      <w:r w:rsidRPr="001E5DED">
        <w:t>patients with PAH-CTD</w:t>
      </w:r>
      <w:r>
        <w:t>.</w:t>
      </w:r>
    </w:p>
    <w:p w:rsidR="009B35CE" w:rsidRPr="0034017B" w:rsidRDefault="00272F8F" w:rsidP="00BC5A2B">
      <w:pPr>
        <w:pStyle w:val="Caption"/>
      </w:pPr>
      <w:bookmarkStart w:id="25" w:name="_Ref506197561"/>
      <w:bookmarkStart w:id="26" w:name="_Toc512855414"/>
      <w:r>
        <w:t>Table 4.</w:t>
      </w:r>
      <w:r w:rsidR="00AA722D">
        <w:rPr>
          <w:noProof/>
        </w:rPr>
        <w:t>10</w:t>
      </w:r>
      <w:bookmarkEnd w:id="25"/>
      <w:r w:rsidR="00D103A9">
        <w:tab/>
      </w:r>
      <w:r w:rsidR="009B35CE" w:rsidRPr="0034017B">
        <w:t xml:space="preserve">Summary of the evidence for </w:t>
      </w:r>
      <w:r w:rsidR="009B35CE">
        <w:t xml:space="preserve">the safety of </w:t>
      </w:r>
      <w:r w:rsidR="009B35CE" w:rsidRPr="0034017B">
        <w:t xml:space="preserve">a </w:t>
      </w:r>
      <w:r w:rsidR="00BC132E" w:rsidRPr="00BC132E">
        <w:t>PDE-5 inhibitor in addition to an ERA, relative to ERA monotherapy</w:t>
      </w:r>
      <w:bookmarkEnd w:id="26"/>
    </w:p>
    <w:tbl>
      <w:tblPr>
        <w:tblStyle w:val="TableGrid"/>
        <w:tblW w:w="9634" w:type="dxa"/>
        <w:tblLayout w:type="fixed"/>
        <w:tblLook w:val="04A0" w:firstRow="1" w:lastRow="0" w:firstColumn="1" w:lastColumn="0" w:noHBand="0" w:noVBand="1"/>
        <w:tblCaption w:val="Summary of the evidence for the safety of a PDE-5 inhibitor in addition to an ERA, relative to ERA monotherapy"/>
      </w:tblPr>
      <w:tblGrid>
        <w:gridCol w:w="1696"/>
        <w:gridCol w:w="1843"/>
        <w:gridCol w:w="6095"/>
      </w:tblGrid>
      <w:tr w:rsidR="009B35CE" w:rsidRPr="00D103A9" w:rsidTr="00D103A9">
        <w:trPr>
          <w:cnfStyle w:val="100000000000" w:firstRow="1" w:lastRow="0" w:firstColumn="0" w:lastColumn="0" w:oddVBand="0" w:evenVBand="0" w:oddHBand="0" w:evenHBand="0" w:firstRowFirstColumn="0" w:firstRowLastColumn="0" w:lastRowFirstColumn="0" w:lastRowLastColumn="0"/>
        </w:trPr>
        <w:tc>
          <w:tcPr>
            <w:tcW w:w="1696" w:type="dxa"/>
            <w:tcBorders>
              <w:top w:val="single" w:sz="4" w:space="0" w:color="auto"/>
              <w:left w:val="single" w:sz="4" w:space="0" w:color="auto"/>
              <w:bottom w:val="single" w:sz="4" w:space="0" w:color="auto"/>
              <w:right w:val="single" w:sz="4" w:space="0" w:color="auto"/>
            </w:tcBorders>
          </w:tcPr>
          <w:p w:rsidR="009B35CE" w:rsidRPr="00D103A9" w:rsidRDefault="009B35CE" w:rsidP="00D103A9">
            <w:pPr>
              <w:pStyle w:val="Tabletext"/>
              <w:rPr>
                <w:rFonts w:asciiTheme="minorHAnsi" w:hAnsiTheme="minorHAnsi"/>
                <w:b/>
              </w:rPr>
            </w:pPr>
            <w:r w:rsidRPr="00D103A9">
              <w:rPr>
                <w:b/>
              </w:rPr>
              <w:t>Outcome</w:t>
            </w:r>
          </w:p>
        </w:tc>
        <w:tc>
          <w:tcPr>
            <w:tcW w:w="1843" w:type="dxa"/>
            <w:tcBorders>
              <w:top w:val="single" w:sz="4" w:space="0" w:color="auto"/>
              <w:left w:val="single" w:sz="4" w:space="0" w:color="auto"/>
              <w:bottom w:val="single" w:sz="4" w:space="0" w:color="auto"/>
              <w:right w:val="single" w:sz="4" w:space="0" w:color="auto"/>
            </w:tcBorders>
          </w:tcPr>
          <w:p w:rsidR="006E1D35" w:rsidRDefault="009B35CE" w:rsidP="006E1D35">
            <w:pPr>
              <w:pStyle w:val="Tabletext"/>
              <w:rPr>
                <w:b/>
              </w:rPr>
            </w:pPr>
            <w:r w:rsidRPr="00D103A9">
              <w:rPr>
                <w:b/>
              </w:rPr>
              <w:t xml:space="preserve">Included trials </w:t>
            </w:r>
          </w:p>
          <w:p w:rsidR="009B35CE" w:rsidRPr="00D103A9" w:rsidRDefault="006E1D35" w:rsidP="006E1D35">
            <w:pPr>
              <w:pStyle w:val="Tabletext"/>
              <w:rPr>
                <w:rFonts w:asciiTheme="minorHAnsi" w:hAnsiTheme="minorHAnsi"/>
                <w:b/>
              </w:rPr>
            </w:pPr>
            <w:r w:rsidRPr="00293DE5">
              <w:rPr>
                <w:b/>
              </w:rPr>
              <w:t>No. of patients</w:t>
            </w:r>
          </w:p>
        </w:tc>
        <w:tc>
          <w:tcPr>
            <w:tcW w:w="6095" w:type="dxa"/>
            <w:tcBorders>
              <w:top w:val="single" w:sz="4" w:space="0" w:color="auto"/>
              <w:left w:val="single" w:sz="4" w:space="0" w:color="auto"/>
              <w:bottom w:val="single" w:sz="4" w:space="0" w:color="auto"/>
              <w:right w:val="single" w:sz="4" w:space="0" w:color="auto"/>
            </w:tcBorders>
          </w:tcPr>
          <w:p w:rsidR="009B35CE" w:rsidRPr="00D103A9" w:rsidRDefault="009B35CE" w:rsidP="00D103A9">
            <w:pPr>
              <w:pStyle w:val="Tabletext"/>
              <w:rPr>
                <w:rFonts w:asciiTheme="minorHAnsi" w:hAnsiTheme="minorHAnsi"/>
                <w:b/>
              </w:rPr>
            </w:pPr>
            <w:r w:rsidRPr="00D103A9">
              <w:rPr>
                <w:b/>
              </w:rPr>
              <w:t>Summary of evidence</w:t>
            </w:r>
          </w:p>
        </w:tc>
      </w:tr>
      <w:tr w:rsidR="009B35CE" w:rsidRPr="0034017B"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Pr="0034017B" w:rsidRDefault="009B35CE" w:rsidP="00D103A9">
            <w:pPr>
              <w:pStyle w:val="Tabletext"/>
              <w:rPr>
                <w:rFonts w:asciiTheme="minorHAnsi" w:hAnsiTheme="minorHAnsi"/>
              </w:rPr>
            </w:pPr>
            <w:r>
              <w:t>A</w:t>
            </w:r>
            <w:r w:rsidRPr="00474FD8">
              <w:t>ll PAH patients</w:t>
            </w:r>
          </w:p>
        </w:tc>
      </w:tr>
      <w:tr w:rsidR="009B35CE" w:rsidRPr="0034017B" w:rsidTr="00D103A9">
        <w:tc>
          <w:tcPr>
            <w:tcW w:w="1696" w:type="dxa"/>
            <w:tcBorders>
              <w:top w:val="single" w:sz="4" w:space="0" w:color="auto"/>
              <w:left w:val="single" w:sz="4" w:space="0" w:color="auto"/>
              <w:bottom w:val="single" w:sz="4" w:space="0" w:color="auto"/>
              <w:right w:val="single" w:sz="4" w:space="0" w:color="auto"/>
            </w:tcBorders>
          </w:tcPr>
          <w:p w:rsidR="009B35CE" w:rsidRPr="0034017B" w:rsidRDefault="009B35CE" w:rsidP="00D103A9">
            <w:pPr>
              <w:pStyle w:val="Tabletext"/>
            </w:pPr>
            <w:r w:rsidRPr="0034017B">
              <w:t>Any AE</w:t>
            </w:r>
          </w:p>
        </w:tc>
        <w:tc>
          <w:tcPr>
            <w:tcW w:w="1843" w:type="dxa"/>
            <w:tcBorders>
              <w:top w:val="single" w:sz="4" w:space="0" w:color="auto"/>
              <w:left w:val="single" w:sz="4" w:space="0" w:color="auto"/>
              <w:bottom w:val="single" w:sz="4" w:space="0" w:color="auto"/>
              <w:right w:val="single" w:sz="4" w:space="0" w:color="auto"/>
            </w:tcBorders>
          </w:tcPr>
          <w:p w:rsidR="009B35CE" w:rsidRDefault="00497A86" w:rsidP="00D103A9">
            <w:pPr>
              <w:pStyle w:val="Tabletext"/>
            </w:pPr>
            <w:r>
              <w:t>PHIRST (</w:t>
            </w:r>
            <w:r w:rsidR="009B35CE">
              <w:t>tadalafil/</w:t>
            </w:r>
            <w:r w:rsidR="009B35CE" w:rsidRPr="00885C20">
              <w:t>b</w:t>
            </w:r>
            <w:r w:rsidR="009B35CE">
              <w:t>o</w:t>
            </w:r>
            <w:r w:rsidR="009B35CE" w:rsidRPr="00885C20">
              <w:t>sentan)</w:t>
            </w:r>
          </w:p>
          <w:p w:rsidR="00787DD0" w:rsidRDefault="009B35CE" w:rsidP="00D103A9">
            <w:pPr>
              <w:pStyle w:val="Tabletext"/>
            </w:pPr>
            <w:r>
              <w:t>Vizza 2017 (sildenafil/bosentan)</w:t>
            </w:r>
            <w:r w:rsidR="00787DD0">
              <w:t xml:space="preserve"> </w:t>
            </w:r>
          </w:p>
          <w:p w:rsidR="009B35CE" w:rsidRPr="0034017B" w:rsidRDefault="00787DD0" w:rsidP="00D103A9">
            <w:pPr>
              <w:pStyle w:val="Tabletext"/>
            </w:pPr>
            <w:r>
              <w:t>N=190</w:t>
            </w:r>
          </w:p>
        </w:tc>
        <w:tc>
          <w:tcPr>
            <w:tcW w:w="6095" w:type="dxa"/>
            <w:tcBorders>
              <w:top w:val="single" w:sz="4" w:space="0" w:color="auto"/>
              <w:left w:val="single" w:sz="4" w:space="0" w:color="auto"/>
              <w:bottom w:val="single" w:sz="4" w:space="0" w:color="auto"/>
              <w:right w:val="single" w:sz="4" w:space="0" w:color="auto"/>
            </w:tcBorders>
          </w:tcPr>
          <w:p w:rsidR="009B35CE" w:rsidRPr="0034017B" w:rsidRDefault="009B35CE" w:rsidP="00480FDF">
            <w:pPr>
              <w:pStyle w:val="Tabletext"/>
              <w:numPr>
                <w:ilvl w:val="0"/>
                <w:numId w:val="34"/>
              </w:numPr>
              <w:ind w:left="227" w:hanging="219"/>
              <w:rPr>
                <w:szCs w:val="18"/>
              </w:rPr>
            </w:pPr>
            <w:r w:rsidRPr="0034017B">
              <w:t>High quality</w:t>
            </w:r>
            <w:r w:rsidRPr="0034017B">
              <w:rPr>
                <w:rFonts w:cs="Cambria Math"/>
              </w:rPr>
              <w:t xml:space="preserve"> evidence (GRADE </w:t>
            </w:r>
            <w:r w:rsidRPr="0034017B">
              <w:rPr>
                <w:rFonts w:ascii="Cambria Math" w:hAnsi="Cambria Math" w:cs="Cambria Math"/>
                <w:color w:val="00B050"/>
              </w:rPr>
              <w:t>⨁⨁⨁⨁</w:t>
            </w:r>
            <w:r w:rsidRPr="0034017B">
              <w:t>)</w:t>
            </w:r>
          </w:p>
          <w:p w:rsidR="009B35CE" w:rsidRDefault="009B35CE" w:rsidP="00480FDF">
            <w:pPr>
              <w:pStyle w:val="Tabletext"/>
              <w:numPr>
                <w:ilvl w:val="0"/>
                <w:numId w:val="34"/>
              </w:numPr>
              <w:ind w:left="227" w:hanging="219"/>
            </w:pPr>
            <w:r w:rsidRPr="0034017B">
              <w:t xml:space="preserve">The proportion of patients who had any AE was </w:t>
            </w:r>
            <w:r>
              <w:t>similar</w:t>
            </w:r>
            <w:r w:rsidRPr="0034017B">
              <w:t xml:space="preserve"> for both the combination therapy and monotherapy arms (</w:t>
            </w:r>
            <w:r>
              <w:t xml:space="preserve">pooled </w:t>
            </w:r>
            <w:r w:rsidRPr="0034017B">
              <w:t xml:space="preserve">RR = </w:t>
            </w:r>
            <w:r>
              <w:t>1</w:t>
            </w:r>
            <w:r w:rsidRPr="0034017B">
              <w:t>.</w:t>
            </w:r>
            <w:r>
              <w:t>00</w:t>
            </w:r>
            <w:r w:rsidRPr="0034017B">
              <w:t>; 95% CI 0.</w:t>
            </w:r>
            <w:r>
              <w:t>7</w:t>
            </w:r>
            <w:r w:rsidRPr="0034017B">
              <w:t>9</w:t>
            </w:r>
            <w:r>
              <w:t>,</w:t>
            </w:r>
            <w:r w:rsidRPr="0034017B">
              <w:t xml:space="preserve"> 1.</w:t>
            </w:r>
            <w:r>
              <w:t>27</w:t>
            </w:r>
            <w:r w:rsidRPr="0034017B">
              <w:t>)</w:t>
            </w:r>
          </w:p>
          <w:p w:rsidR="00BC132E" w:rsidRPr="0034017B" w:rsidRDefault="00BC132E" w:rsidP="00480FDF">
            <w:pPr>
              <w:pStyle w:val="Tabletext"/>
              <w:numPr>
                <w:ilvl w:val="0"/>
                <w:numId w:val="34"/>
              </w:numPr>
              <w:ind w:left="227" w:hanging="219"/>
            </w:pPr>
            <w:r>
              <w:rPr>
                <w:szCs w:val="18"/>
              </w:rPr>
              <w:t xml:space="preserve">There </w:t>
            </w:r>
            <w:r w:rsidR="00497A86">
              <w:rPr>
                <w:szCs w:val="18"/>
              </w:rPr>
              <w:t>were</w:t>
            </w:r>
            <w:r>
              <w:rPr>
                <w:szCs w:val="18"/>
              </w:rPr>
              <w:t xml:space="preserve"> n</w:t>
            </w:r>
            <w:r w:rsidRPr="0034017B">
              <w:rPr>
                <w:szCs w:val="18"/>
              </w:rPr>
              <w:t xml:space="preserve">o significant differences in </w:t>
            </w:r>
            <w:r w:rsidR="00497A86">
              <w:rPr>
                <w:szCs w:val="18"/>
              </w:rPr>
              <w:t xml:space="preserve">treatment </w:t>
            </w:r>
            <w:r w:rsidRPr="0034017B">
              <w:rPr>
                <w:szCs w:val="18"/>
              </w:rPr>
              <w:t xml:space="preserve">effectiveness for </w:t>
            </w:r>
            <w:r w:rsidR="00497A86">
              <w:rPr>
                <w:szCs w:val="18"/>
              </w:rPr>
              <w:t xml:space="preserve">the </w:t>
            </w:r>
            <w:r w:rsidRPr="0034017B">
              <w:rPr>
                <w:szCs w:val="18"/>
              </w:rPr>
              <w:t>d</w:t>
            </w:r>
            <w:r>
              <w:rPr>
                <w:szCs w:val="18"/>
              </w:rPr>
              <w:t>ifferent treatment combinations</w:t>
            </w:r>
          </w:p>
        </w:tc>
      </w:tr>
      <w:tr w:rsidR="009B35CE" w:rsidRPr="0034017B" w:rsidTr="00D103A9">
        <w:tc>
          <w:tcPr>
            <w:tcW w:w="1696" w:type="dxa"/>
          </w:tcPr>
          <w:p w:rsidR="009B35CE" w:rsidRPr="0034017B" w:rsidRDefault="009B35CE" w:rsidP="00D103A9">
            <w:pPr>
              <w:pStyle w:val="Tabletext"/>
            </w:pPr>
            <w:r w:rsidRPr="0034017B">
              <w:t>Serious AEs</w:t>
            </w:r>
          </w:p>
        </w:tc>
        <w:tc>
          <w:tcPr>
            <w:tcW w:w="1843"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AMBITION (tadalafil/ambrisentan)</w:t>
            </w:r>
          </w:p>
          <w:p w:rsidR="00787DD0" w:rsidRDefault="009B35CE" w:rsidP="00D103A9">
            <w:pPr>
              <w:pStyle w:val="Tabletext"/>
            </w:pPr>
            <w:r>
              <w:t>Vizza 2017 (sildenafil/bosentan)</w:t>
            </w:r>
            <w:r w:rsidR="00787DD0" w:rsidRPr="006316DF">
              <w:t xml:space="preserve"> </w:t>
            </w:r>
          </w:p>
          <w:p w:rsidR="009B35CE" w:rsidRPr="0034017B" w:rsidRDefault="00787DD0" w:rsidP="00D103A9">
            <w:pPr>
              <w:pStyle w:val="Tabletext"/>
            </w:pPr>
            <w:r w:rsidRPr="006316DF">
              <w:t>N=</w:t>
            </w:r>
            <w:r>
              <w:t>482</w:t>
            </w:r>
          </w:p>
        </w:tc>
        <w:tc>
          <w:tcPr>
            <w:tcW w:w="6095" w:type="dxa"/>
          </w:tcPr>
          <w:p w:rsidR="009B35CE" w:rsidRPr="0034017B" w:rsidRDefault="009B35CE" w:rsidP="00480FDF">
            <w:pPr>
              <w:pStyle w:val="Tabletext"/>
              <w:numPr>
                <w:ilvl w:val="0"/>
                <w:numId w:val="34"/>
              </w:numPr>
              <w:ind w:left="227" w:hanging="219"/>
            </w:pPr>
            <w:r w:rsidRPr="0034017B">
              <w:t>High quality</w:t>
            </w:r>
            <w:r w:rsidRPr="0034017B">
              <w:rPr>
                <w:rFonts w:cs="Cambria Math"/>
              </w:rPr>
              <w:t xml:space="preserve"> evidence (GRADE </w:t>
            </w:r>
            <w:r w:rsidRPr="0034017B">
              <w:rPr>
                <w:rFonts w:ascii="Cambria Math" w:hAnsi="Cambria Math" w:cs="Cambria Math"/>
                <w:color w:val="00B050"/>
              </w:rPr>
              <w:t>⨁⨁⨁⨁</w:t>
            </w:r>
            <w:r w:rsidRPr="0034017B">
              <w:t>)</w:t>
            </w:r>
          </w:p>
          <w:p w:rsidR="009B35CE" w:rsidRDefault="009B35CE" w:rsidP="00480FDF">
            <w:pPr>
              <w:pStyle w:val="Tabletext"/>
              <w:numPr>
                <w:ilvl w:val="0"/>
                <w:numId w:val="34"/>
              </w:numPr>
              <w:ind w:left="227" w:hanging="219"/>
            </w:pPr>
            <w:r w:rsidRPr="0034017B">
              <w:t>The proportion of patients who had a</w:t>
            </w:r>
            <w:r>
              <w:t xml:space="preserve"> serious</w:t>
            </w:r>
            <w:r w:rsidRPr="0034017B">
              <w:t xml:space="preserve"> AE was </w:t>
            </w:r>
            <w:r>
              <w:t>similar</w:t>
            </w:r>
            <w:r w:rsidRPr="0034017B">
              <w:t xml:space="preserve"> for both the combination therapy and monotherapy arms (pooled RR = 0.</w:t>
            </w:r>
            <w:r>
              <w:t>99</w:t>
            </w:r>
            <w:r w:rsidRPr="0034017B">
              <w:t>; 95% CI 0.</w:t>
            </w:r>
            <w:r>
              <w:t>7</w:t>
            </w:r>
            <w:r w:rsidRPr="0034017B">
              <w:t xml:space="preserve">6, </w:t>
            </w:r>
            <w:r>
              <w:t>1</w:t>
            </w:r>
            <w:r w:rsidRPr="0034017B">
              <w:t>.</w:t>
            </w:r>
            <w:r>
              <w:t>2</w:t>
            </w:r>
            <w:r w:rsidRPr="0034017B">
              <w:t>9)</w:t>
            </w:r>
          </w:p>
          <w:p w:rsidR="00BC132E" w:rsidRPr="0034017B" w:rsidRDefault="00497A86" w:rsidP="00480FDF">
            <w:pPr>
              <w:pStyle w:val="Tabletext"/>
              <w:numPr>
                <w:ilvl w:val="0"/>
                <w:numId w:val="34"/>
              </w:numPr>
              <w:ind w:left="227" w:hanging="219"/>
            </w:pPr>
            <w:r w:rsidRPr="00497A86">
              <w:t>There were no significant differences in treatment effectiveness for the different treatment combinations</w:t>
            </w:r>
          </w:p>
        </w:tc>
      </w:tr>
      <w:tr w:rsidR="009B35CE" w:rsidRPr="0034017B" w:rsidTr="00D103A9">
        <w:tc>
          <w:tcPr>
            <w:tcW w:w="1696" w:type="dxa"/>
          </w:tcPr>
          <w:p w:rsidR="009B35CE" w:rsidRPr="0034017B" w:rsidRDefault="009B35CE" w:rsidP="00D103A9">
            <w:pPr>
              <w:pStyle w:val="Tabletext"/>
            </w:pPr>
            <w:r w:rsidRPr="0034017B">
              <w:t>AEs leading to treatment discontinuation</w:t>
            </w:r>
          </w:p>
        </w:tc>
        <w:tc>
          <w:tcPr>
            <w:tcW w:w="1843"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AMBITION (tadalafil/ambrisentan)</w:t>
            </w:r>
          </w:p>
          <w:p w:rsidR="00787DD0" w:rsidRDefault="009B35CE" w:rsidP="00D103A9">
            <w:pPr>
              <w:pStyle w:val="Tabletext"/>
            </w:pPr>
            <w:r>
              <w:t>Z</w:t>
            </w:r>
            <w:r w:rsidR="00730401">
              <w:t>h</w:t>
            </w:r>
            <w:r>
              <w:t>uang 2014 (tadalafil/ambrisentan)</w:t>
            </w:r>
            <w:r w:rsidR="00787DD0">
              <w:t xml:space="preserve"> </w:t>
            </w:r>
          </w:p>
          <w:p w:rsidR="009B35CE" w:rsidRPr="0034017B" w:rsidRDefault="00787DD0" w:rsidP="00D103A9">
            <w:pPr>
              <w:pStyle w:val="Tabletext"/>
            </w:pPr>
            <w:r>
              <w:t>N=503</w:t>
            </w:r>
          </w:p>
        </w:tc>
        <w:tc>
          <w:tcPr>
            <w:tcW w:w="6095" w:type="dxa"/>
            <w:tcBorders>
              <w:top w:val="single" w:sz="4" w:space="0" w:color="auto"/>
              <w:left w:val="single" w:sz="4" w:space="0" w:color="auto"/>
              <w:bottom w:val="single" w:sz="4" w:space="0" w:color="auto"/>
              <w:right w:val="single" w:sz="4" w:space="0" w:color="auto"/>
            </w:tcBorders>
          </w:tcPr>
          <w:p w:rsidR="009B35CE" w:rsidRPr="0034017B" w:rsidRDefault="005D597D" w:rsidP="00480FDF">
            <w:pPr>
              <w:pStyle w:val="Tabletext"/>
              <w:numPr>
                <w:ilvl w:val="0"/>
                <w:numId w:val="34"/>
              </w:numPr>
              <w:ind w:left="227" w:hanging="219"/>
              <w:rPr>
                <w:szCs w:val="18"/>
              </w:rPr>
            </w:pPr>
            <w:r>
              <w:t>Moderate</w:t>
            </w:r>
            <w:r w:rsidR="009B35CE" w:rsidRPr="0034017B">
              <w:t xml:space="preserve"> quality</w:t>
            </w:r>
            <w:r w:rsidR="009B35CE" w:rsidRPr="0034017B">
              <w:rPr>
                <w:rFonts w:cs="Cambria Math"/>
              </w:rPr>
              <w:t xml:space="preserve"> evidence (GRADE </w:t>
            </w:r>
            <w:r w:rsidR="009B35CE" w:rsidRPr="0034017B">
              <w:rPr>
                <w:rFonts w:ascii="Cambria Math" w:hAnsi="Cambria Math" w:cs="Cambria Math"/>
                <w:color w:val="00B050"/>
              </w:rPr>
              <w:t>⨁⨁⨁</w:t>
            </w:r>
            <w:r w:rsidRPr="00E564DD">
              <w:rPr>
                <w:rFonts w:ascii="Cambria Math" w:eastAsia="Times New Roman" w:hAnsi="Cambria Math" w:cs="Cambria Math"/>
                <w:bCs/>
                <w:color w:val="C00000"/>
              </w:rPr>
              <w:t>⨀</w:t>
            </w:r>
            <w:r w:rsidR="009B35CE" w:rsidRPr="0034017B">
              <w:t>)</w:t>
            </w:r>
          </w:p>
          <w:p w:rsidR="001D6F98" w:rsidRDefault="001D6F98" w:rsidP="00480FDF">
            <w:pPr>
              <w:pStyle w:val="Tabletext"/>
              <w:numPr>
                <w:ilvl w:val="0"/>
                <w:numId w:val="34"/>
              </w:numPr>
              <w:ind w:left="227" w:hanging="219"/>
            </w:pPr>
            <w:r w:rsidRPr="0034017B">
              <w:t>More patients had an AE leading to treatment discontinuation with combination therapy compared with monotherapy</w:t>
            </w:r>
            <w:r w:rsidR="009A57D8" w:rsidRPr="00160CDF">
              <w:t xml:space="preserve">, but the 95% CI indicates that there could also be </w:t>
            </w:r>
            <w:r w:rsidR="009A57D8">
              <w:t>an</w:t>
            </w:r>
            <w:r w:rsidR="009A57D8" w:rsidRPr="00160CDF">
              <w:t xml:space="preserve"> effect</w:t>
            </w:r>
            <w:r w:rsidR="009A57D8">
              <w:t xml:space="preserve"> in the opposite direction</w:t>
            </w:r>
            <w:r w:rsidRPr="0034017B">
              <w:t xml:space="preserve"> (pooled RR = 1.</w:t>
            </w:r>
            <w:r>
              <w:t>65</w:t>
            </w:r>
            <w:r w:rsidRPr="0034017B">
              <w:t>; 95% CI 0.</w:t>
            </w:r>
            <w:r>
              <w:t>35</w:t>
            </w:r>
            <w:r w:rsidRPr="0034017B">
              <w:t xml:space="preserve">, </w:t>
            </w:r>
            <w:r>
              <w:t>7</w:t>
            </w:r>
            <w:r w:rsidRPr="0034017B">
              <w:t>.</w:t>
            </w:r>
            <w:r>
              <w:t>81</w:t>
            </w:r>
            <w:r w:rsidRPr="0034017B">
              <w:t>)</w:t>
            </w:r>
          </w:p>
          <w:p w:rsidR="00BC132E" w:rsidRPr="0034017B" w:rsidRDefault="00497A86" w:rsidP="00480FDF">
            <w:pPr>
              <w:pStyle w:val="Tabletext"/>
              <w:numPr>
                <w:ilvl w:val="0"/>
                <w:numId w:val="34"/>
              </w:numPr>
              <w:ind w:left="227" w:hanging="219"/>
            </w:pPr>
            <w:r w:rsidRPr="00497A86">
              <w:t>There were no significant differences in treatment effectiveness for the different treatment combinations</w:t>
            </w:r>
          </w:p>
        </w:tc>
      </w:tr>
      <w:tr w:rsidR="009B35CE" w:rsidRPr="0034017B"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Pr="00474FD8" w:rsidRDefault="009B35CE" w:rsidP="00D103A9">
            <w:pPr>
              <w:pStyle w:val="Tabletext"/>
            </w:pPr>
            <w:r>
              <w:lastRenderedPageBreak/>
              <w:t>P</w:t>
            </w:r>
            <w:r w:rsidRPr="00474FD8">
              <w:t>atients with PAH</w:t>
            </w:r>
            <w:r>
              <w:t>-CTD</w:t>
            </w:r>
          </w:p>
        </w:tc>
      </w:tr>
      <w:tr w:rsidR="009B35CE" w:rsidRPr="0034017B" w:rsidTr="00D103A9">
        <w:tc>
          <w:tcPr>
            <w:tcW w:w="1696" w:type="dxa"/>
            <w:tcBorders>
              <w:top w:val="single" w:sz="4" w:space="0" w:color="auto"/>
              <w:left w:val="single" w:sz="4" w:space="0" w:color="auto"/>
              <w:bottom w:val="single" w:sz="4" w:space="0" w:color="auto"/>
              <w:right w:val="single" w:sz="4" w:space="0" w:color="auto"/>
            </w:tcBorders>
          </w:tcPr>
          <w:p w:rsidR="009B35CE" w:rsidRPr="0034017B" w:rsidRDefault="009B35CE" w:rsidP="00D103A9">
            <w:pPr>
              <w:pStyle w:val="Tabletext"/>
            </w:pPr>
            <w:r w:rsidRPr="0034017B">
              <w:t>Any AE</w:t>
            </w:r>
            <w:r>
              <w:t xml:space="preserve"> </w:t>
            </w:r>
          </w:p>
        </w:tc>
        <w:tc>
          <w:tcPr>
            <w:tcW w:w="1843" w:type="dxa"/>
            <w:tcBorders>
              <w:top w:val="single" w:sz="4" w:space="0" w:color="auto"/>
              <w:left w:val="single" w:sz="4" w:space="0" w:color="auto"/>
              <w:bottom w:val="single" w:sz="4" w:space="0" w:color="auto"/>
              <w:right w:val="single" w:sz="4" w:space="0" w:color="auto"/>
            </w:tcBorders>
          </w:tcPr>
          <w:p w:rsidR="00787DD0" w:rsidRDefault="009B35CE" w:rsidP="00D103A9">
            <w:pPr>
              <w:pStyle w:val="Tabletext"/>
              <w:rPr>
                <w:rFonts w:cs="Arial"/>
              </w:rPr>
            </w:pPr>
            <w:r>
              <w:t>AMBITION (tadalafil/ambrisentan)</w:t>
            </w:r>
            <w:r w:rsidR="00787DD0">
              <w:rPr>
                <w:rFonts w:cs="Arial"/>
              </w:rPr>
              <w:t xml:space="preserve"> </w:t>
            </w:r>
          </w:p>
          <w:p w:rsidR="009B35CE" w:rsidRPr="0034017B" w:rsidRDefault="00787DD0" w:rsidP="00D103A9">
            <w:pPr>
              <w:pStyle w:val="Tabletext"/>
            </w:pPr>
            <w:r>
              <w:rPr>
                <w:rFonts w:cs="Arial"/>
              </w:rPr>
              <w:t>N=146</w:t>
            </w:r>
          </w:p>
        </w:tc>
        <w:tc>
          <w:tcPr>
            <w:tcW w:w="6095" w:type="dxa"/>
            <w:tcBorders>
              <w:top w:val="single" w:sz="4" w:space="0" w:color="auto"/>
              <w:left w:val="single" w:sz="4" w:space="0" w:color="auto"/>
              <w:bottom w:val="single" w:sz="4" w:space="0" w:color="auto"/>
              <w:right w:val="single" w:sz="4" w:space="0" w:color="auto"/>
            </w:tcBorders>
          </w:tcPr>
          <w:p w:rsidR="009B35CE" w:rsidRPr="0034017B" w:rsidRDefault="009B35CE" w:rsidP="00480FDF">
            <w:pPr>
              <w:pStyle w:val="Tabletext"/>
              <w:numPr>
                <w:ilvl w:val="0"/>
                <w:numId w:val="35"/>
              </w:numPr>
              <w:ind w:left="227" w:hanging="219"/>
              <w:rPr>
                <w:szCs w:val="18"/>
              </w:rPr>
            </w:pPr>
            <w:r w:rsidRPr="0034017B">
              <w:t>High quality</w:t>
            </w:r>
            <w:r w:rsidRPr="0034017B">
              <w:rPr>
                <w:rFonts w:cs="Cambria Math"/>
              </w:rPr>
              <w:t xml:space="preserve"> evidence (GRADE </w:t>
            </w:r>
            <w:r w:rsidRPr="0034017B">
              <w:rPr>
                <w:rFonts w:ascii="Cambria Math" w:hAnsi="Cambria Math" w:cs="Cambria Math"/>
                <w:color w:val="00B050"/>
              </w:rPr>
              <w:t>⨁⨁⨁⨁</w:t>
            </w:r>
            <w:r w:rsidRPr="0034017B">
              <w:t>)</w:t>
            </w:r>
          </w:p>
          <w:p w:rsidR="009B35CE" w:rsidRPr="0034017B" w:rsidRDefault="009B35CE" w:rsidP="00480FDF">
            <w:pPr>
              <w:pStyle w:val="Tabletext"/>
              <w:numPr>
                <w:ilvl w:val="0"/>
                <w:numId w:val="35"/>
              </w:numPr>
              <w:ind w:left="227" w:hanging="219"/>
            </w:pPr>
            <w:r w:rsidRPr="0034017B">
              <w:t xml:space="preserve">The proportion of patients who had any AE was </w:t>
            </w:r>
            <w:r>
              <w:t>similar</w:t>
            </w:r>
            <w:r w:rsidRPr="0034017B">
              <w:t xml:space="preserve"> for both the combination therapy and monotherapy arms (RR = </w:t>
            </w:r>
            <w:r>
              <w:t>1</w:t>
            </w:r>
            <w:r w:rsidRPr="0034017B">
              <w:t>.</w:t>
            </w:r>
            <w:r>
              <w:t>04</w:t>
            </w:r>
            <w:r w:rsidRPr="0034017B">
              <w:t>; 95% CI 0.9</w:t>
            </w:r>
            <w:r>
              <w:t>7,</w:t>
            </w:r>
            <w:r w:rsidRPr="0034017B">
              <w:t xml:space="preserve"> 1.</w:t>
            </w:r>
            <w:r>
              <w:t>11</w:t>
            </w:r>
            <w:r w:rsidRPr="0034017B">
              <w:t>)</w:t>
            </w:r>
          </w:p>
        </w:tc>
      </w:tr>
      <w:tr w:rsidR="009B35CE" w:rsidRPr="0034017B" w:rsidTr="00D103A9">
        <w:tc>
          <w:tcPr>
            <w:tcW w:w="1696" w:type="dxa"/>
          </w:tcPr>
          <w:p w:rsidR="009B35CE" w:rsidRPr="0034017B" w:rsidRDefault="009B35CE" w:rsidP="00D103A9">
            <w:pPr>
              <w:pStyle w:val="Tabletext"/>
            </w:pPr>
            <w:r w:rsidRPr="0034017B">
              <w:t>Serious AEs</w:t>
            </w:r>
          </w:p>
        </w:tc>
        <w:tc>
          <w:tcPr>
            <w:tcW w:w="1843" w:type="dxa"/>
            <w:tcBorders>
              <w:top w:val="single" w:sz="4" w:space="0" w:color="auto"/>
              <w:left w:val="single" w:sz="4" w:space="0" w:color="auto"/>
              <w:bottom w:val="single" w:sz="4" w:space="0" w:color="auto"/>
              <w:right w:val="single" w:sz="4" w:space="0" w:color="auto"/>
            </w:tcBorders>
          </w:tcPr>
          <w:p w:rsidR="00787DD0" w:rsidRDefault="009B35CE" w:rsidP="00787DD0">
            <w:pPr>
              <w:pStyle w:val="Tabletext"/>
              <w:rPr>
                <w:rFonts w:cs="Arial"/>
              </w:rPr>
            </w:pPr>
            <w:r>
              <w:t>AMBITION (tadalafil/ambrisentan)</w:t>
            </w:r>
            <w:r w:rsidR="00787DD0">
              <w:rPr>
                <w:rFonts w:cs="Arial"/>
              </w:rPr>
              <w:t xml:space="preserve"> </w:t>
            </w:r>
          </w:p>
          <w:p w:rsidR="009B35CE" w:rsidRPr="0034017B" w:rsidRDefault="00787DD0" w:rsidP="00787DD0">
            <w:pPr>
              <w:pStyle w:val="Tabletext"/>
            </w:pPr>
            <w:r>
              <w:rPr>
                <w:rFonts w:cs="Arial"/>
              </w:rPr>
              <w:t>N=146</w:t>
            </w:r>
          </w:p>
        </w:tc>
        <w:tc>
          <w:tcPr>
            <w:tcW w:w="6095" w:type="dxa"/>
          </w:tcPr>
          <w:p w:rsidR="009B35CE" w:rsidRPr="0034017B" w:rsidRDefault="009B35CE" w:rsidP="00480FDF">
            <w:pPr>
              <w:pStyle w:val="Tabletext"/>
              <w:numPr>
                <w:ilvl w:val="0"/>
                <w:numId w:val="35"/>
              </w:numPr>
              <w:ind w:left="227" w:hanging="219"/>
            </w:pPr>
            <w:r w:rsidRPr="0034017B">
              <w:t>High quality</w:t>
            </w:r>
            <w:r w:rsidRPr="0034017B">
              <w:rPr>
                <w:rFonts w:cs="Cambria Math"/>
              </w:rPr>
              <w:t xml:space="preserve"> evidence (GRADE </w:t>
            </w:r>
            <w:r w:rsidRPr="0034017B">
              <w:rPr>
                <w:rFonts w:ascii="Cambria Math" w:hAnsi="Cambria Math" w:cs="Cambria Math"/>
                <w:color w:val="00B050"/>
              </w:rPr>
              <w:t>⨁⨁⨁⨁</w:t>
            </w:r>
            <w:r w:rsidRPr="0034017B">
              <w:t>)</w:t>
            </w:r>
          </w:p>
          <w:p w:rsidR="009B35CE" w:rsidRPr="0034017B" w:rsidRDefault="009B35CE" w:rsidP="00480FDF">
            <w:pPr>
              <w:pStyle w:val="Tabletext"/>
              <w:numPr>
                <w:ilvl w:val="0"/>
                <w:numId w:val="35"/>
              </w:numPr>
              <w:ind w:left="227" w:hanging="219"/>
            </w:pPr>
            <w:r w:rsidRPr="0034017B">
              <w:t>More patients had a</w:t>
            </w:r>
            <w:r>
              <w:t xml:space="preserve"> serious</w:t>
            </w:r>
            <w:r w:rsidRPr="0034017B">
              <w:t xml:space="preserve"> AE with combination therapy compared with monotherapy, but the </w:t>
            </w:r>
            <w:r w:rsidR="00D84687">
              <w:t>95% CI indicates</w:t>
            </w:r>
            <w:r w:rsidRPr="0034017B">
              <w:t xml:space="preserve"> that there could also be </w:t>
            </w:r>
            <w:r w:rsidR="009A57D8">
              <w:t>an</w:t>
            </w:r>
            <w:r>
              <w:t xml:space="preserve"> effect</w:t>
            </w:r>
            <w:r w:rsidRPr="0034017B">
              <w:t xml:space="preserve"> </w:t>
            </w:r>
            <w:r w:rsidR="009A57D8">
              <w:t xml:space="preserve">in the opposite direction </w:t>
            </w:r>
            <w:r w:rsidRPr="0034017B">
              <w:t xml:space="preserve">(RR = </w:t>
            </w:r>
            <w:r>
              <w:t>1</w:t>
            </w:r>
            <w:r w:rsidRPr="0034017B">
              <w:t>.</w:t>
            </w:r>
            <w:r>
              <w:t>28</w:t>
            </w:r>
            <w:r w:rsidRPr="0034017B">
              <w:t>; 95% CI 0.</w:t>
            </w:r>
            <w:r>
              <w:t>80</w:t>
            </w:r>
            <w:r w:rsidRPr="0034017B">
              <w:t xml:space="preserve">, </w:t>
            </w:r>
            <w:r>
              <w:t>2.04</w:t>
            </w:r>
            <w:r w:rsidRPr="0034017B">
              <w:t>)</w:t>
            </w:r>
          </w:p>
        </w:tc>
      </w:tr>
      <w:tr w:rsidR="009B35CE" w:rsidRPr="0034017B" w:rsidTr="00D103A9">
        <w:tc>
          <w:tcPr>
            <w:tcW w:w="1696" w:type="dxa"/>
          </w:tcPr>
          <w:p w:rsidR="009B35CE" w:rsidRPr="0034017B" w:rsidRDefault="009B35CE" w:rsidP="00D103A9">
            <w:pPr>
              <w:pStyle w:val="Tabletext"/>
            </w:pPr>
            <w:r w:rsidRPr="0034017B">
              <w:t>AEs leading to treatment discontinuation</w:t>
            </w:r>
          </w:p>
        </w:tc>
        <w:tc>
          <w:tcPr>
            <w:tcW w:w="1843" w:type="dxa"/>
            <w:tcBorders>
              <w:top w:val="single" w:sz="4" w:space="0" w:color="auto"/>
              <w:left w:val="single" w:sz="4" w:space="0" w:color="auto"/>
              <w:bottom w:val="single" w:sz="4" w:space="0" w:color="auto"/>
              <w:right w:val="single" w:sz="4" w:space="0" w:color="auto"/>
            </w:tcBorders>
          </w:tcPr>
          <w:p w:rsidR="00787DD0" w:rsidRDefault="009B35CE" w:rsidP="00787DD0">
            <w:pPr>
              <w:pStyle w:val="Tabletext"/>
              <w:rPr>
                <w:rFonts w:cs="Arial"/>
              </w:rPr>
            </w:pPr>
            <w:r>
              <w:t>AMBITION (tadalafil/ambrisentan)</w:t>
            </w:r>
            <w:r w:rsidR="00787DD0">
              <w:rPr>
                <w:rFonts w:cs="Arial"/>
              </w:rPr>
              <w:t xml:space="preserve"> </w:t>
            </w:r>
          </w:p>
          <w:p w:rsidR="009B35CE" w:rsidRPr="0034017B" w:rsidRDefault="00787DD0" w:rsidP="00787DD0">
            <w:pPr>
              <w:pStyle w:val="Tabletext"/>
            </w:pPr>
            <w:r>
              <w:rPr>
                <w:rFonts w:cs="Arial"/>
              </w:rPr>
              <w:t>N=146</w:t>
            </w:r>
          </w:p>
        </w:tc>
        <w:tc>
          <w:tcPr>
            <w:tcW w:w="6095" w:type="dxa"/>
            <w:tcBorders>
              <w:top w:val="single" w:sz="4" w:space="0" w:color="auto"/>
              <w:left w:val="single" w:sz="4" w:space="0" w:color="auto"/>
              <w:bottom w:val="single" w:sz="4" w:space="0" w:color="auto"/>
              <w:right w:val="single" w:sz="4" w:space="0" w:color="auto"/>
            </w:tcBorders>
          </w:tcPr>
          <w:p w:rsidR="009B35CE" w:rsidRPr="0034017B" w:rsidRDefault="009B35CE" w:rsidP="00480FDF">
            <w:pPr>
              <w:pStyle w:val="Tabletext"/>
              <w:numPr>
                <w:ilvl w:val="0"/>
                <w:numId w:val="35"/>
              </w:numPr>
              <w:ind w:left="227" w:hanging="219"/>
              <w:rPr>
                <w:szCs w:val="18"/>
              </w:rPr>
            </w:pPr>
            <w:r w:rsidRPr="0034017B">
              <w:t>High quality</w:t>
            </w:r>
            <w:r w:rsidRPr="0034017B">
              <w:rPr>
                <w:rFonts w:cs="Cambria Math"/>
              </w:rPr>
              <w:t xml:space="preserve"> evidence (GRADE </w:t>
            </w:r>
            <w:r w:rsidRPr="0034017B">
              <w:rPr>
                <w:rFonts w:ascii="Cambria Math" w:hAnsi="Cambria Math" w:cs="Cambria Math"/>
                <w:color w:val="00B050"/>
              </w:rPr>
              <w:t>⨁⨁⨁⨁</w:t>
            </w:r>
            <w:r w:rsidRPr="0034017B">
              <w:t>)</w:t>
            </w:r>
          </w:p>
          <w:p w:rsidR="009B35CE" w:rsidRPr="0034017B" w:rsidRDefault="009B35CE" w:rsidP="00480FDF">
            <w:pPr>
              <w:pStyle w:val="Tabletext"/>
              <w:numPr>
                <w:ilvl w:val="0"/>
                <w:numId w:val="35"/>
              </w:numPr>
              <w:ind w:left="227" w:hanging="219"/>
            </w:pPr>
            <w:r>
              <w:t xml:space="preserve">Fewer </w:t>
            </w:r>
            <w:r w:rsidRPr="0034017B">
              <w:t xml:space="preserve">patients had an AE leading to treatment discontinuation with combination therapy compared with monotherapy, but the </w:t>
            </w:r>
            <w:r w:rsidR="00D84687">
              <w:t>95% CI indicates</w:t>
            </w:r>
            <w:r w:rsidRPr="0034017B">
              <w:t xml:space="preserve"> that there could also be </w:t>
            </w:r>
            <w:r w:rsidR="009A57D8">
              <w:t>an</w:t>
            </w:r>
            <w:r>
              <w:t xml:space="preserve"> effect</w:t>
            </w:r>
            <w:r w:rsidRPr="0034017B">
              <w:t xml:space="preserve"> </w:t>
            </w:r>
            <w:r w:rsidR="009A57D8">
              <w:t xml:space="preserve">in the opposite direction </w:t>
            </w:r>
            <w:r w:rsidRPr="0034017B">
              <w:t xml:space="preserve">(RR = </w:t>
            </w:r>
            <w:r>
              <w:t>0</w:t>
            </w:r>
            <w:r w:rsidRPr="0034017B">
              <w:t>.</w:t>
            </w:r>
            <w:r>
              <w:t>75</w:t>
            </w:r>
            <w:r w:rsidRPr="0034017B">
              <w:t>; 95% CI 0.</w:t>
            </w:r>
            <w:r>
              <w:t>34</w:t>
            </w:r>
            <w:r w:rsidRPr="0034017B">
              <w:t xml:space="preserve">, </w:t>
            </w:r>
            <w:r>
              <w:t>1</w:t>
            </w:r>
            <w:r w:rsidRPr="0034017B">
              <w:t>.</w:t>
            </w:r>
            <w:r>
              <w:t>65</w:t>
            </w:r>
            <w:r w:rsidRPr="0034017B">
              <w:t>)</w:t>
            </w:r>
          </w:p>
        </w:tc>
      </w:tr>
    </w:tbl>
    <w:p w:rsidR="006B2C7A" w:rsidRDefault="006B2C7A" w:rsidP="00D103A9">
      <w:pPr>
        <w:pStyle w:val="Tablenote"/>
      </w:pPr>
      <w:r>
        <w:t xml:space="preserve">AE = adverse event; </w:t>
      </w:r>
      <w:r w:rsidR="009B35CE" w:rsidRPr="0034017B">
        <w:t xml:space="preserve">CI = confidence interval; ERA = endothelin receptor antagonist; </w:t>
      </w:r>
      <w:r w:rsidR="00385E5A">
        <w:t>GRADE = grading of recommendations assessment, development and evaluation</w:t>
      </w:r>
      <w:r w:rsidR="001D34EE" w:rsidRPr="001D34EE">
        <w:rPr>
          <w:noProof/>
          <w:vertAlign w:val="superscript"/>
        </w:rPr>
        <w:t>1</w:t>
      </w:r>
      <w:r w:rsidRPr="009E3B52">
        <w:t xml:space="preserve">; </w:t>
      </w:r>
      <w:r w:rsidR="009B35CE" w:rsidRPr="0034017B">
        <w:t xml:space="preserve">PAH = pulmonary arterial hypertension; </w:t>
      </w:r>
      <w:r w:rsidR="00B923F1">
        <w:t>PAH-</w:t>
      </w:r>
      <w:r w:rsidR="00B923F1" w:rsidRPr="0034017B">
        <w:t xml:space="preserve">CTD = </w:t>
      </w:r>
      <w:r w:rsidR="00B923F1">
        <w:t xml:space="preserve">PAH </w:t>
      </w:r>
      <w:r w:rsidR="00B923F1" w:rsidRPr="0034017B">
        <w:t xml:space="preserve">associated with connective tissue disease; </w:t>
      </w:r>
      <w:r w:rsidR="009B35CE" w:rsidRPr="0034017B">
        <w:t xml:space="preserve">PDE-5 = phosphodiesterase type-5; </w:t>
      </w:r>
      <w:r w:rsidR="009B35CE">
        <w:t>RR = relative risk</w:t>
      </w:r>
    </w:p>
    <w:p w:rsidR="009B35CE" w:rsidRPr="006316DF" w:rsidRDefault="00441F08" w:rsidP="009B35CE">
      <w:pPr>
        <w:pStyle w:val="Heading4"/>
      </w:pPr>
      <w:r>
        <w:t>4.1.3.4</w:t>
      </w:r>
      <w:r>
        <w:tab/>
      </w:r>
      <w:r w:rsidR="009B35CE">
        <w:t>PDE-5 inhibitor</w:t>
      </w:r>
      <w:r w:rsidR="009B35CE" w:rsidRPr="006316DF">
        <w:t xml:space="preserve"> </w:t>
      </w:r>
      <w:r w:rsidR="009B35CE" w:rsidRPr="00EF6A61">
        <w:t xml:space="preserve">in addition to </w:t>
      </w:r>
      <w:r w:rsidR="009B35CE" w:rsidRPr="00C22CAC">
        <w:t>prostan</w:t>
      </w:r>
      <w:r w:rsidR="00BC132E">
        <w:t>oid</w:t>
      </w:r>
    </w:p>
    <w:p w:rsidR="009B35CE" w:rsidRPr="00107676" w:rsidRDefault="009B35CE" w:rsidP="009B35CE">
      <w:pPr>
        <w:pStyle w:val="Heading5"/>
      </w:pPr>
      <w:r w:rsidRPr="00107676">
        <w:t>Clinical effectiveness</w:t>
      </w:r>
    </w:p>
    <w:p w:rsidR="009B35CE" w:rsidRPr="00C77B6A" w:rsidRDefault="009B35CE" w:rsidP="009B35CE">
      <w:pPr>
        <w:spacing w:after="40"/>
      </w:pPr>
      <w:r>
        <w:t>One</w:t>
      </w:r>
      <w:r w:rsidRPr="00C77B6A">
        <w:t xml:space="preserve"> RCT reported on the effectiveness of a </w:t>
      </w:r>
      <w:r w:rsidRPr="00BB4EA0">
        <w:t xml:space="preserve">PDE-5 inhibitor </w:t>
      </w:r>
      <w:r w:rsidRPr="00C77B6A">
        <w:t xml:space="preserve">in addition to </w:t>
      </w:r>
      <w:r w:rsidR="006A201F">
        <w:t xml:space="preserve">a </w:t>
      </w:r>
      <w:r w:rsidRPr="00C77B6A">
        <w:t>prosta</w:t>
      </w:r>
      <w:r w:rsidR="00BC132E">
        <w:t>noid</w:t>
      </w:r>
      <w:r w:rsidRPr="00C77B6A">
        <w:t xml:space="preserve"> in treating PAH compared with place</w:t>
      </w:r>
      <w:r>
        <w:t>bo plus a prosta</w:t>
      </w:r>
      <w:r w:rsidR="00BC132E">
        <w:t>noid</w:t>
      </w:r>
      <w:r>
        <w:t>:</w:t>
      </w:r>
    </w:p>
    <w:p w:rsidR="009B35CE" w:rsidRPr="00B607A5" w:rsidRDefault="009B35CE" w:rsidP="00D103A9">
      <w:pPr>
        <w:pStyle w:val="Bullettext"/>
        <w:rPr>
          <w:bCs/>
        </w:rPr>
      </w:pPr>
      <w:r w:rsidRPr="00B607A5">
        <w:t xml:space="preserve">PACES-1 enrolled patients receiving long-term intravenous epoprostenol therapy to receive combination therapy with sildenafil plus epoprostenol or epoprostenol </w:t>
      </w:r>
      <w:r w:rsidR="001D6F98" w:rsidRPr="00B607A5">
        <w:t>alone</w:t>
      </w:r>
      <w:r w:rsidR="00A87E2D" w:rsidRPr="00B607A5">
        <w:t>.</w:t>
      </w:r>
    </w:p>
    <w:p w:rsidR="009B35CE" w:rsidRDefault="009B35CE" w:rsidP="00D103A9">
      <w:r>
        <w:t>The evidence provided by this trial for all PAH patients is summarised in</w:t>
      </w:r>
      <w:r w:rsidR="00D103A9">
        <w:t xml:space="preserve"> </w:t>
      </w:r>
      <w:r w:rsidR="00AA722D">
        <w:t>Table 4.</w:t>
      </w:r>
      <w:r w:rsidR="00AA722D">
        <w:rPr>
          <w:noProof/>
        </w:rPr>
        <w:t>11</w:t>
      </w:r>
      <w:r>
        <w:t>.</w:t>
      </w:r>
    </w:p>
    <w:p w:rsidR="009B35CE" w:rsidRDefault="001E5DED" w:rsidP="009B35CE">
      <w:r>
        <w:t xml:space="preserve">Overall, </w:t>
      </w:r>
      <w:r w:rsidRPr="001E5DED">
        <w:t xml:space="preserve">the use of </w:t>
      </w:r>
      <w:r w:rsidR="006A201F">
        <w:t xml:space="preserve">a </w:t>
      </w:r>
      <w:r w:rsidR="006A201F" w:rsidRPr="001E5DED">
        <w:t xml:space="preserve">PDE-5 inhibitor </w:t>
      </w:r>
      <w:r w:rsidRPr="001E5DED">
        <w:t>in addition to</w:t>
      </w:r>
      <w:r w:rsidR="006A201F" w:rsidRPr="006A201F">
        <w:t xml:space="preserve"> </w:t>
      </w:r>
      <w:r w:rsidR="006A201F" w:rsidRPr="001E5DED">
        <w:t xml:space="preserve">a </w:t>
      </w:r>
      <w:r w:rsidR="006A201F">
        <w:t>prostanoid</w:t>
      </w:r>
      <w:r w:rsidRPr="001E5DED">
        <w:t xml:space="preserve">, relative to </w:t>
      </w:r>
      <w:r w:rsidR="006A201F">
        <w:t>prostanoid</w:t>
      </w:r>
      <w:r w:rsidRPr="001E5DED">
        <w:t xml:space="preserve"> monotherapy</w:t>
      </w:r>
      <w:r w:rsidR="00A87E2D">
        <w:t>,</w:t>
      </w:r>
      <w:r w:rsidRPr="001E5DED">
        <w:t xml:space="preserve"> to treat PAH patients is likely to be beneficial</w:t>
      </w:r>
      <w:r w:rsidR="009B35CE" w:rsidRPr="006316DF">
        <w:t xml:space="preserve">. </w:t>
      </w:r>
    </w:p>
    <w:p w:rsidR="009B35CE" w:rsidRDefault="00272F8F" w:rsidP="00BC5A2B">
      <w:pPr>
        <w:pStyle w:val="Caption"/>
      </w:pPr>
      <w:bookmarkStart w:id="27" w:name="_Ref506197499"/>
      <w:bookmarkStart w:id="28" w:name="_Toc512855415"/>
      <w:r>
        <w:t>Table 4.</w:t>
      </w:r>
      <w:r w:rsidR="00AA722D">
        <w:rPr>
          <w:noProof/>
        </w:rPr>
        <w:t>11</w:t>
      </w:r>
      <w:bookmarkEnd w:id="27"/>
      <w:r w:rsidR="00D103A9">
        <w:tab/>
      </w:r>
      <w:r w:rsidR="009B35CE">
        <w:t xml:space="preserve">Summary of the evidence for the clinical effectiveness of a </w:t>
      </w:r>
      <w:r w:rsidR="009B35CE" w:rsidRPr="00542902">
        <w:t xml:space="preserve">PDE-5 inhibitor in addition to </w:t>
      </w:r>
      <w:r w:rsidR="009B35CE">
        <w:t xml:space="preserve">a </w:t>
      </w:r>
      <w:r w:rsidR="001E5DED">
        <w:t>prostanoid</w:t>
      </w:r>
      <w:r w:rsidR="009B35CE" w:rsidRPr="00542902">
        <w:t>, relative</w:t>
      </w:r>
      <w:r w:rsidR="009B35CE">
        <w:t xml:space="preserve"> to </w:t>
      </w:r>
      <w:r w:rsidR="001E5DED">
        <w:t>prostanoid</w:t>
      </w:r>
      <w:r w:rsidR="009B35CE">
        <w:t xml:space="preserve"> monotherapy</w:t>
      </w:r>
      <w:bookmarkEnd w:id="28"/>
    </w:p>
    <w:tbl>
      <w:tblPr>
        <w:tblStyle w:val="TableGrid"/>
        <w:tblW w:w="9634" w:type="dxa"/>
        <w:tblLook w:val="04A0" w:firstRow="1" w:lastRow="0" w:firstColumn="1" w:lastColumn="0" w:noHBand="0" w:noVBand="1"/>
        <w:tblCaption w:val="Summary of the evidence for the clinical effectiveness of a PDE-5 inhibitor in addition to a prostanoid, relative to prostanoid monotherapy"/>
      </w:tblPr>
      <w:tblGrid>
        <w:gridCol w:w="1550"/>
        <w:gridCol w:w="2238"/>
        <w:gridCol w:w="5846"/>
      </w:tblGrid>
      <w:tr w:rsidR="009B35CE" w:rsidRPr="00605CD9" w:rsidTr="00D103A9">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6C297E" w:rsidRDefault="009B35CE" w:rsidP="00D103A9">
            <w:pPr>
              <w:pStyle w:val="Tabletext"/>
              <w:rPr>
                <w:rFonts w:asciiTheme="minorHAnsi" w:hAnsiTheme="minorHAnsi"/>
                <w:b/>
              </w:rPr>
            </w:pPr>
            <w:r w:rsidRPr="006C297E">
              <w:rPr>
                <w:b/>
              </w:rPr>
              <w:t>Outcome</w:t>
            </w:r>
          </w:p>
        </w:tc>
        <w:tc>
          <w:tcPr>
            <w:tcW w:w="1984" w:type="dxa"/>
            <w:tcBorders>
              <w:top w:val="single" w:sz="4" w:space="0" w:color="auto"/>
              <w:left w:val="single" w:sz="4" w:space="0" w:color="auto"/>
              <w:bottom w:val="single" w:sz="4" w:space="0" w:color="auto"/>
              <w:right w:val="single" w:sz="4" w:space="0" w:color="auto"/>
            </w:tcBorders>
          </w:tcPr>
          <w:p w:rsidR="00EA33A7" w:rsidRDefault="009B35CE" w:rsidP="00EA33A7">
            <w:pPr>
              <w:pStyle w:val="Tabletext"/>
              <w:rPr>
                <w:b/>
              </w:rPr>
            </w:pPr>
            <w:r w:rsidRPr="006C297E">
              <w:rPr>
                <w:b/>
              </w:rPr>
              <w:t xml:space="preserve">Included trials </w:t>
            </w:r>
          </w:p>
          <w:p w:rsidR="009B35CE" w:rsidRPr="006C297E" w:rsidRDefault="00EA33A7" w:rsidP="00EA33A7">
            <w:pPr>
              <w:pStyle w:val="Tabletext"/>
              <w:rPr>
                <w:rFonts w:asciiTheme="minorHAnsi" w:hAnsiTheme="minorHAnsi"/>
                <w:b/>
              </w:rPr>
            </w:pPr>
            <w:r w:rsidRPr="00293DE5">
              <w:rPr>
                <w:b/>
              </w:rPr>
              <w:t>No. of patients</w:t>
            </w:r>
          </w:p>
        </w:tc>
        <w:tc>
          <w:tcPr>
            <w:tcW w:w="6095" w:type="dxa"/>
            <w:tcBorders>
              <w:top w:val="single" w:sz="4" w:space="0" w:color="auto"/>
              <w:left w:val="single" w:sz="4" w:space="0" w:color="auto"/>
              <w:bottom w:val="single" w:sz="4" w:space="0" w:color="auto"/>
              <w:right w:val="single" w:sz="4" w:space="0" w:color="auto"/>
            </w:tcBorders>
          </w:tcPr>
          <w:p w:rsidR="009B35CE" w:rsidRPr="006C297E" w:rsidRDefault="009B35CE" w:rsidP="00D103A9">
            <w:pPr>
              <w:pStyle w:val="Tabletext"/>
              <w:rPr>
                <w:rFonts w:asciiTheme="minorHAnsi" w:hAnsiTheme="minorHAnsi"/>
                <w:b/>
              </w:rPr>
            </w:pPr>
            <w:r w:rsidRPr="006C297E">
              <w:rPr>
                <w:b/>
              </w:rPr>
              <w:t>Summary of evidence</w:t>
            </w:r>
          </w:p>
        </w:tc>
      </w:tr>
      <w:tr w:rsidR="009B35CE"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Default="009B35CE" w:rsidP="00D103A9">
            <w:pPr>
              <w:pStyle w:val="Tabletext"/>
              <w:rPr>
                <w:rFonts w:asciiTheme="minorHAnsi" w:hAnsiTheme="minorHAnsi"/>
              </w:rPr>
            </w:pPr>
            <w:r>
              <w:t>All PAH patients</w:t>
            </w:r>
          </w:p>
        </w:tc>
      </w:tr>
      <w:tr w:rsidR="009B35CE" w:rsidTr="00D103A9">
        <w:tc>
          <w:tcPr>
            <w:tcW w:w="1555" w:type="dxa"/>
          </w:tcPr>
          <w:p w:rsidR="009B35CE" w:rsidRDefault="009B35CE" w:rsidP="00D103A9">
            <w:pPr>
              <w:pStyle w:val="Tabletext"/>
            </w:pPr>
            <w:r>
              <w:t>Clinical worsening</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PACES-1 (sildenafil/epoprostenol)</w:t>
            </w:r>
          </w:p>
          <w:p w:rsidR="00EA33A7" w:rsidRDefault="00EA33A7" w:rsidP="00D103A9">
            <w:pPr>
              <w:pStyle w:val="Tabletext"/>
            </w:pPr>
            <w:r>
              <w:t>N=265</w:t>
            </w:r>
          </w:p>
        </w:tc>
        <w:tc>
          <w:tcPr>
            <w:tcW w:w="6095" w:type="dxa"/>
          </w:tcPr>
          <w:p w:rsidR="009B35CE" w:rsidRPr="00C77B6A" w:rsidRDefault="009B35CE" w:rsidP="00480FDF">
            <w:pPr>
              <w:pStyle w:val="Tabletext"/>
              <w:numPr>
                <w:ilvl w:val="0"/>
                <w:numId w:val="36"/>
              </w:numPr>
              <w:ind w:left="227" w:hanging="227"/>
            </w:pPr>
            <w:r w:rsidRPr="00C77B6A">
              <w:t>High quality</w:t>
            </w:r>
            <w:r w:rsidRPr="00C77B6A">
              <w:rPr>
                <w:rFonts w:cs="Cambria Math"/>
              </w:rPr>
              <w:t xml:space="preserve"> evidence (GRADE </w:t>
            </w:r>
            <w:r w:rsidRPr="00C77B6A">
              <w:rPr>
                <w:rFonts w:ascii="Cambria Math" w:hAnsi="Cambria Math" w:cs="Cambria Math"/>
                <w:color w:val="00B050"/>
              </w:rPr>
              <w:t>⨁⨁⨁⨁</w:t>
            </w:r>
            <w:r w:rsidRPr="00C77B6A">
              <w:t>)</w:t>
            </w:r>
          </w:p>
          <w:p w:rsidR="009B35CE" w:rsidRPr="00C77B6A" w:rsidRDefault="009B35CE" w:rsidP="00480FDF">
            <w:pPr>
              <w:pStyle w:val="Tabletext"/>
              <w:numPr>
                <w:ilvl w:val="0"/>
                <w:numId w:val="36"/>
              </w:numPr>
              <w:ind w:left="227" w:hanging="227"/>
            </w:pPr>
            <w:r>
              <w:t>Significantly fewer</w:t>
            </w:r>
            <w:r w:rsidRPr="00B92556">
              <w:t xml:space="preserve"> patients </w:t>
            </w:r>
            <w:r>
              <w:t>experienced clinical worsening of their PAH</w:t>
            </w:r>
            <w:r w:rsidRPr="00B92556">
              <w:t xml:space="preserve"> with combination th</w:t>
            </w:r>
            <w:r>
              <w:t>erapy compared with monotherapy</w:t>
            </w:r>
            <w:r w:rsidRPr="00B92556">
              <w:t xml:space="preserve"> </w:t>
            </w:r>
            <w:r>
              <w:t>(</w:t>
            </w:r>
            <w:r w:rsidRPr="00B92556">
              <w:t xml:space="preserve">RR = </w:t>
            </w:r>
            <w:r>
              <w:t>0.</w:t>
            </w:r>
            <w:r w:rsidRPr="00B92556">
              <w:t>3</w:t>
            </w:r>
            <w:r>
              <w:t>3</w:t>
            </w:r>
            <w:r w:rsidRPr="00B92556">
              <w:t>; 95% CI 0</w:t>
            </w:r>
            <w:r>
              <w:t>.15</w:t>
            </w:r>
            <w:r w:rsidRPr="00B92556">
              <w:t>, 0.7</w:t>
            </w:r>
            <w:r>
              <w:t>0</w:t>
            </w:r>
            <w:r w:rsidRPr="00B92556">
              <w:t>)</w:t>
            </w:r>
          </w:p>
        </w:tc>
      </w:tr>
      <w:tr w:rsidR="009B35CE" w:rsidTr="00D103A9">
        <w:tc>
          <w:tcPr>
            <w:tcW w:w="1555" w:type="dxa"/>
          </w:tcPr>
          <w:p w:rsidR="009B35CE" w:rsidRPr="001D637C" w:rsidRDefault="009B35CE" w:rsidP="00D103A9">
            <w:pPr>
              <w:pStyle w:val="Tabletext"/>
            </w:pPr>
            <w:r>
              <w:t>All-cause mortality</w:t>
            </w:r>
          </w:p>
        </w:tc>
        <w:tc>
          <w:tcPr>
            <w:tcW w:w="1984" w:type="dxa"/>
            <w:tcBorders>
              <w:top w:val="single" w:sz="4" w:space="0" w:color="auto"/>
              <w:left w:val="single" w:sz="4" w:space="0" w:color="auto"/>
              <w:bottom w:val="single" w:sz="4" w:space="0" w:color="auto"/>
              <w:right w:val="single" w:sz="4" w:space="0" w:color="auto"/>
            </w:tcBorders>
          </w:tcPr>
          <w:p w:rsidR="00EA33A7" w:rsidRDefault="009B35CE" w:rsidP="00EA33A7">
            <w:pPr>
              <w:pStyle w:val="Tabletext"/>
            </w:pPr>
            <w:r>
              <w:t>PACES-1 (sildenafil/epoprostenol)</w:t>
            </w:r>
            <w:r w:rsidR="00EA33A7">
              <w:t xml:space="preserve"> </w:t>
            </w:r>
          </w:p>
          <w:p w:rsidR="009B35CE" w:rsidRPr="001D637C" w:rsidRDefault="00EA33A7" w:rsidP="00EA33A7">
            <w:pPr>
              <w:pStyle w:val="Tabletext"/>
            </w:pPr>
            <w:r>
              <w:t>N=265</w:t>
            </w:r>
          </w:p>
        </w:tc>
        <w:tc>
          <w:tcPr>
            <w:tcW w:w="6095" w:type="dxa"/>
          </w:tcPr>
          <w:p w:rsidR="009B35CE" w:rsidRPr="00C77B6A" w:rsidRDefault="009B35CE" w:rsidP="00480FDF">
            <w:pPr>
              <w:pStyle w:val="Tabletext"/>
              <w:numPr>
                <w:ilvl w:val="0"/>
                <w:numId w:val="36"/>
              </w:numPr>
              <w:ind w:left="227" w:hanging="227"/>
            </w:pPr>
            <w:r w:rsidRPr="00C77B6A">
              <w:t>High quality</w:t>
            </w:r>
            <w:r w:rsidRPr="00C77B6A">
              <w:rPr>
                <w:rFonts w:cs="Cambria Math"/>
              </w:rPr>
              <w:t xml:space="preserve"> evidence (GRADE </w:t>
            </w:r>
            <w:r w:rsidRPr="00C77B6A">
              <w:rPr>
                <w:rFonts w:ascii="Cambria Math" w:hAnsi="Cambria Math" w:cs="Cambria Math"/>
                <w:color w:val="00B050"/>
              </w:rPr>
              <w:t>⨁⨁⨁⨁</w:t>
            </w:r>
            <w:r w:rsidRPr="00C77B6A">
              <w:t>)</w:t>
            </w:r>
          </w:p>
          <w:p w:rsidR="009B35CE" w:rsidRPr="00C77B6A" w:rsidRDefault="009B35CE" w:rsidP="00480FDF">
            <w:pPr>
              <w:pStyle w:val="Tabletext"/>
              <w:numPr>
                <w:ilvl w:val="0"/>
                <w:numId w:val="36"/>
              </w:numPr>
              <w:ind w:left="227" w:hanging="227"/>
            </w:pPr>
            <w:r>
              <w:t xml:space="preserve">Significantly fewer </w:t>
            </w:r>
            <w:r w:rsidRPr="00B92556">
              <w:t>patients die</w:t>
            </w:r>
            <w:r>
              <w:t>d</w:t>
            </w:r>
            <w:r w:rsidRPr="00B92556">
              <w:t xml:space="preserve"> from any cause with combination th</w:t>
            </w:r>
            <w:r>
              <w:t>erapy compared with monotherapy</w:t>
            </w:r>
            <w:r w:rsidRPr="00B92556">
              <w:t xml:space="preserve"> (</w:t>
            </w:r>
            <w:r w:rsidR="00B21201">
              <w:t>ARD</w:t>
            </w:r>
            <w:r w:rsidRPr="00B92556">
              <w:t xml:space="preserve"> = </w:t>
            </w:r>
            <w:r>
              <w:t>−5.</w:t>
            </w:r>
            <w:r w:rsidRPr="00B92556">
              <w:t xml:space="preserve">3%; 95% CI </w:t>
            </w:r>
            <w:r>
              <w:t>−9</w:t>
            </w:r>
            <w:r w:rsidRPr="00B92556">
              <w:t>.</w:t>
            </w:r>
            <w:r>
              <w:t>2, −1</w:t>
            </w:r>
            <w:r w:rsidRPr="00B92556">
              <w:t>.</w:t>
            </w:r>
            <w:r>
              <w:t>5</w:t>
            </w:r>
            <w:r w:rsidRPr="00B92556">
              <w:t>)</w:t>
            </w:r>
          </w:p>
        </w:tc>
      </w:tr>
      <w:tr w:rsidR="009B35CE" w:rsidTr="00D103A9">
        <w:tc>
          <w:tcPr>
            <w:tcW w:w="1555" w:type="dxa"/>
          </w:tcPr>
          <w:p w:rsidR="009B35CE" w:rsidRPr="00FA1124" w:rsidRDefault="009B35CE" w:rsidP="00D103A9">
            <w:pPr>
              <w:pStyle w:val="Tabletext"/>
            </w:pPr>
            <w:r>
              <w:lastRenderedPageBreak/>
              <w:t>Hospitalisation</w:t>
            </w:r>
            <w:r w:rsidR="00086A04">
              <w:t xml:space="preserve"> due to </w:t>
            </w:r>
            <w:r w:rsidR="00695728">
              <w:t xml:space="preserve">worsening </w:t>
            </w:r>
            <w:r w:rsidR="00086A04">
              <w:t>PAH</w:t>
            </w:r>
          </w:p>
        </w:tc>
        <w:tc>
          <w:tcPr>
            <w:tcW w:w="1984" w:type="dxa"/>
            <w:tcBorders>
              <w:top w:val="single" w:sz="4" w:space="0" w:color="auto"/>
              <w:left w:val="single" w:sz="4" w:space="0" w:color="auto"/>
              <w:bottom w:val="single" w:sz="4" w:space="0" w:color="auto"/>
              <w:right w:val="single" w:sz="4" w:space="0" w:color="auto"/>
            </w:tcBorders>
          </w:tcPr>
          <w:p w:rsidR="00EA33A7" w:rsidRDefault="009B35CE" w:rsidP="00EA33A7">
            <w:pPr>
              <w:pStyle w:val="Tabletext"/>
            </w:pPr>
            <w:r>
              <w:t>PACES-1 (sildenafil/epoprostenol)</w:t>
            </w:r>
            <w:r w:rsidR="00EA33A7">
              <w:t xml:space="preserve"> </w:t>
            </w:r>
          </w:p>
          <w:p w:rsidR="009B35CE" w:rsidRDefault="00EA33A7" w:rsidP="00EA33A7">
            <w:pPr>
              <w:pStyle w:val="Tabletext"/>
            </w:pPr>
            <w:r>
              <w:t>N=265</w:t>
            </w:r>
          </w:p>
        </w:tc>
        <w:tc>
          <w:tcPr>
            <w:tcW w:w="6095" w:type="dxa"/>
          </w:tcPr>
          <w:p w:rsidR="009B35CE" w:rsidRPr="006B11DC" w:rsidRDefault="009B35CE" w:rsidP="00480FDF">
            <w:pPr>
              <w:pStyle w:val="Tabletext"/>
              <w:numPr>
                <w:ilvl w:val="0"/>
                <w:numId w:val="36"/>
              </w:numPr>
              <w:ind w:left="227" w:hanging="227"/>
            </w:pPr>
            <w:r>
              <w:t>Moderate</w:t>
            </w:r>
            <w:r w:rsidRPr="006B11DC">
              <w:t xml:space="preserve"> quality evidence (GRADE </w:t>
            </w:r>
            <w:r w:rsidRPr="006B11DC">
              <w:rPr>
                <w:rFonts w:ascii="Cambria Math" w:hAnsi="Cambria Math" w:cs="Cambria Math"/>
                <w:color w:val="00B050"/>
              </w:rPr>
              <w:t>⨁⨁⨁</w:t>
            </w:r>
            <w:r w:rsidRPr="00083FA5">
              <w:rPr>
                <w:rFonts w:ascii="Cambria Math" w:hAnsi="Cambria Math" w:cs="Cambria Math"/>
                <w:color w:val="FF0000"/>
              </w:rPr>
              <w:t>⨀</w:t>
            </w:r>
            <w:r w:rsidRPr="006B11DC">
              <w:t>)</w:t>
            </w:r>
          </w:p>
          <w:p w:rsidR="009B35CE" w:rsidRPr="006B11DC" w:rsidRDefault="009B35CE" w:rsidP="00480FDF">
            <w:pPr>
              <w:pStyle w:val="Tabletext"/>
              <w:numPr>
                <w:ilvl w:val="0"/>
                <w:numId w:val="36"/>
              </w:numPr>
              <w:ind w:left="227" w:hanging="227"/>
            </w:pPr>
            <w:r>
              <w:t xml:space="preserve">Fewer </w:t>
            </w:r>
            <w:r w:rsidRPr="00B92556">
              <w:t xml:space="preserve">patients </w:t>
            </w:r>
            <w:r>
              <w:t>were hospitalised</w:t>
            </w:r>
            <w:r w:rsidRPr="00B92556">
              <w:t xml:space="preserve"> with combination th</w:t>
            </w:r>
            <w:r>
              <w:t>erapy compared with monotherapy</w:t>
            </w:r>
            <w:r w:rsidR="009A57D8">
              <w:t>,</w:t>
            </w:r>
            <w:r w:rsidRPr="00B92556">
              <w:t xml:space="preserve"> </w:t>
            </w:r>
            <w:r w:rsidRPr="00254F48">
              <w:t xml:space="preserve">but the </w:t>
            </w:r>
            <w:r w:rsidR="00D84687">
              <w:t>95% CI indicates</w:t>
            </w:r>
            <w:r w:rsidRPr="00254F48">
              <w:t xml:space="preserve"> that there </w:t>
            </w:r>
            <w:r>
              <w:t xml:space="preserve">may also be </w:t>
            </w:r>
            <w:r w:rsidR="009A57D8">
              <w:t>an</w:t>
            </w:r>
            <w:r>
              <w:t xml:space="preserve"> effect</w:t>
            </w:r>
            <w:r w:rsidRPr="00254F48">
              <w:t xml:space="preserve"> </w:t>
            </w:r>
            <w:r w:rsidR="009A57D8">
              <w:t xml:space="preserve">in the opposite direction </w:t>
            </w:r>
            <w:r w:rsidRPr="00B92556">
              <w:t xml:space="preserve">(RR = </w:t>
            </w:r>
            <w:r>
              <w:t>0.</w:t>
            </w:r>
            <w:r w:rsidR="00863ADB">
              <w:t>71</w:t>
            </w:r>
            <w:r w:rsidRPr="00B92556">
              <w:t xml:space="preserve">; 95% CI </w:t>
            </w:r>
            <w:r>
              <w:t>0</w:t>
            </w:r>
            <w:r w:rsidRPr="00B92556">
              <w:t>.</w:t>
            </w:r>
            <w:r>
              <w:t>3</w:t>
            </w:r>
            <w:r w:rsidR="00863ADB">
              <w:t>0</w:t>
            </w:r>
            <w:r w:rsidRPr="00B92556">
              <w:t xml:space="preserve">, </w:t>
            </w:r>
            <w:r w:rsidR="00863ADB">
              <w:t>1.71</w:t>
            </w:r>
            <w:r w:rsidRPr="00B92556">
              <w:t>)</w:t>
            </w:r>
          </w:p>
        </w:tc>
      </w:tr>
      <w:tr w:rsidR="00B37D37" w:rsidTr="00B37D37">
        <w:tc>
          <w:tcPr>
            <w:tcW w:w="1555" w:type="dxa"/>
          </w:tcPr>
          <w:p w:rsidR="00B37D37" w:rsidRPr="001D637C" w:rsidRDefault="00B37D37" w:rsidP="00362678">
            <w:pPr>
              <w:pStyle w:val="Tabletext"/>
            </w:pPr>
            <w:r>
              <w:t>Change in 6MWD</w:t>
            </w:r>
            <w:r w:rsidR="00695728">
              <w:t xml:space="preserve"> from baseline</w:t>
            </w:r>
          </w:p>
        </w:tc>
        <w:tc>
          <w:tcPr>
            <w:tcW w:w="1984" w:type="dxa"/>
          </w:tcPr>
          <w:p w:rsidR="00EA33A7" w:rsidRDefault="00B37D37" w:rsidP="00EA33A7">
            <w:pPr>
              <w:pStyle w:val="Tabletext"/>
            </w:pPr>
            <w:r>
              <w:t>PACES-1 (sildenafil/epoprostenol)</w:t>
            </w:r>
            <w:r w:rsidR="00EA33A7">
              <w:t xml:space="preserve"> </w:t>
            </w:r>
          </w:p>
          <w:p w:rsidR="00B37D37" w:rsidRPr="001D637C" w:rsidRDefault="00EA33A7" w:rsidP="00EA33A7">
            <w:pPr>
              <w:pStyle w:val="Tabletext"/>
            </w:pPr>
            <w:r>
              <w:t>N=265</w:t>
            </w:r>
          </w:p>
        </w:tc>
        <w:tc>
          <w:tcPr>
            <w:tcW w:w="6095" w:type="dxa"/>
          </w:tcPr>
          <w:p w:rsidR="00207AD0" w:rsidRPr="00C77B6A" w:rsidRDefault="00B47224" w:rsidP="00480FDF">
            <w:pPr>
              <w:pStyle w:val="Tabletext"/>
              <w:numPr>
                <w:ilvl w:val="0"/>
                <w:numId w:val="36"/>
              </w:numPr>
              <w:ind w:left="227" w:hanging="227"/>
            </w:pPr>
            <w:r>
              <w:t xml:space="preserve">Moderate </w:t>
            </w:r>
            <w:r w:rsidR="00207AD0" w:rsidRPr="00C77B6A">
              <w:t>quality</w:t>
            </w:r>
            <w:r w:rsidR="00207AD0" w:rsidRPr="00C77B6A">
              <w:rPr>
                <w:rFonts w:cs="Cambria Math"/>
              </w:rPr>
              <w:t xml:space="preserve"> evidence (GRADE </w:t>
            </w:r>
            <w:r w:rsidR="00207AD0" w:rsidRPr="00C77B6A">
              <w:rPr>
                <w:rFonts w:ascii="Cambria Math" w:hAnsi="Cambria Math" w:cs="Cambria Math"/>
                <w:color w:val="00B050"/>
              </w:rPr>
              <w:t>⨁⨁⨁</w:t>
            </w:r>
            <w:r w:rsidRPr="006316DF">
              <w:rPr>
                <w:rFonts w:ascii="Cambria Math" w:hAnsi="Cambria Math" w:cs="Cambria Math"/>
                <w:color w:val="C00000"/>
              </w:rPr>
              <w:t>⨀</w:t>
            </w:r>
            <w:r w:rsidR="00207AD0" w:rsidRPr="00C77B6A">
              <w:t>)</w:t>
            </w:r>
          </w:p>
          <w:p w:rsidR="00B37D37" w:rsidRPr="006B11DC" w:rsidRDefault="00B37D37" w:rsidP="00480FDF">
            <w:pPr>
              <w:pStyle w:val="Tabletext"/>
              <w:numPr>
                <w:ilvl w:val="0"/>
                <w:numId w:val="36"/>
              </w:numPr>
              <w:ind w:left="227" w:hanging="227"/>
            </w:pPr>
            <w:r w:rsidRPr="006B11DC">
              <w:t xml:space="preserve">Patients </w:t>
            </w:r>
            <w:r>
              <w:t>on combination therapy</w:t>
            </w:r>
            <w:r w:rsidRPr="006B11DC">
              <w:t xml:space="preserve"> had a larger mean improvement in their 6MWD than those </w:t>
            </w:r>
            <w:r>
              <w:t>on monotherapy</w:t>
            </w:r>
            <w:r w:rsidR="00280914">
              <w:t>, but the difference was not clinically important</w:t>
            </w:r>
            <w:r w:rsidRPr="006B11DC">
              <w:t xml:space="preserve"> (</w:t>
            </w:r>
            <w:r>
              <w:t>MD</w:t>
            </w:r>
            <w:r w:rsidRPr="006B11DC">
              <w:t xml:space="preserve"> = </w:t>
            </w:r>
            <w:r>
              <w:t>28</w:t>
            </w:r>
            <w:r w:rsidRPr="006B11DC">
              <w:t>.</w:t>
            </w:r>
            <w:r>
              <w:t>8</w:t>
            </w:r>
            <w:r w:rsidRPr="006B11DC">
              <w:t xml:space="preserve"> m </w:t>
            </w:r>
            <w:r w:rsidR="00A87E2D">
              <w:t xml:space="preserve">walked </w:t>
            </w:r>
            <w:r w:rsidRPr="006B11DC">
              <w:t xml:space="preserve">further; </w:t>
            </w:r>
            <w:r w:rsidR="003E046F">
              <w:t>95% CI</w:t>
            </w:r>
            <w:r w:rsidR="003E046F" w:rsidRPr="006B11DC">
              <w:t xml:space="preserve"> </w:t>
            </w:r>
            <w:r>
              <w:t>13</w:t>
            </w:r>
            <w:r w:rsidRPr="006B11DC">
              <w:t>.</w:t>
            </w:r>
            <w:r>
              <w:t>9</w:t>
            </w:r>
            <w:r w:rsidRPr="006B11DC">
              <w:t xml:space="preserve">, </w:t>
            </w:r>
            <w:r>
              <w:t>43.8</w:t>
            </w:r>
            <w:r w:rsidRPr="006B11DC">
              <w:t>)</w:t>
            </w:r>
          </w:p>
        </w:tc>
      </w:tr>
      <w:tr w:rsidR="00695728" w:rsidTr="00D103A9">
        <w:tc>
          <w:tcPr>
            <w:tcW w:w="1555" w:type="dxa"/>
          </w:tcPr>
          <w:p w:rsidR="00695728" w:rsidRDefault="00695728" w:rsidP="00695728">
            <w:pPr>
              <w:pStyle w:val="Tabletext"/>
            </w:pPr>
            <w:r>
              <w:t>Change in haemodynamic parameters from baseline:</w:t>
            </w:r>
          </w:p>
          <w:p w:rsidR="00695728" w:rsidRPr="001D637C" w:rsidRDefault="00695728" w:rsidP="00695728">
            <w:pPr>
              <w:pStyle w:val="Tabletext"/>
            </w:pPr>
            <w:r>
              <w:t>PVR, mPAP, mRAP</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 xml:space="preserve">PACES-1 (sildenafil/epoprostenol) </w:t>
            </w:r>
          </w:p>
          <w:p w:rsidR="00695728" w:rsidRPr="001D637C" w:rsidRDefault="00695728" w:rsidP="00695728">
            <w:pPr>
              <w:pStyle w:val="Tabletext"/>
            </w:pPr>
            <w:r>
              <w:t>N=265</w:t>
            </w:r>
          </w:p>
        </w:tc>
        <w:tc>
          <w:tcPr>
            <w:tcW w:w="6095" w:type="dxa"/>
          </w:tcPr>
          <w:p w:rsidR="00695728" w:rsidRPr="00C77B6A" w:rsidRDefault="00695728" w:rsidP="00480FDF">
            <w:pPr>
              <w:pStyle w:val="Tabletext"/>
              <w:numPr>
                <w:ilvl w:val="0"/>
                <w:numId w:val="36"/>
              </w:numPr>
              <w:ind w:left="227" w:hanging="227"/>
            </w:pPr>
            <w:r>
              <w:t>Low</w:t>
            </w:r>
            <w:r w:rsidRPr="00C77B6A">
              <w:t xml:space="preserve"> quality</w:t>
            </w:r>
            <w:r w:rsidRPr="00C77B6A">
              <w:rPr>
                <w:rFonts w:cs="Cambria Math"/>
              </w:rPr>
              <w:t xml:space="preserve"> evidence (GRADE </w:t>
            </w:r>
            <w:r w:rsidRPr="00C77B6A">
              <w:rPr>
                <w:rFonts w:ascii="Cambria Math" w:hAnsi="Cambria Math" w:cs="Cambria Math"/>
                <w:color w:val="00B050"/>
              </w:rPr>
              <w:t>⨁⨁</w:t>
            </w:r>
            <w:r w:rsidRPr="006316DF">
              <w:rPr>
                <w:rFonts w:ascii="Cambria Math" w:hAnsi="Cambria Math" w:cs="Cambria Math"/>
                <w:color w:val="C00000"/>
              </w:rPr>
              <w:t>⨀⨀</w:t>
            </w:r>
            <w:r w:rsidRPr="00C77B6A">
              <w:t>)</w:t>
            </w:r>
          </w:p>
          <w:p w:rsidR="00695728" w:rsidRPr="006B11DC" w:rsidRDefault="00695728" w:rsidP="00480FDF">
            <w:pPr>
              <w:pStyle w:val="Tabletext"/>
              <w:numPr>
                <w:ilvl w:val="0"/>
                <w:numId w:val="36"/>
              </w:numPr>
              <w:ind w:left="227" w:hanging="227"/>
            </w:pPr>
            <w:r w:rsidRPr="00083FA5">
              <w:rPr>
                <w:szCs w:val="18"/>
              </w:rPr>
              <w:t>Patients on combination therapy had a larger mean improvement in their haemodynamic parameters than those on monotherapy</w:t>
            </w:r>
            <w:r>
              <w:rPr>
                <w:szCs w:val="18"/>
              </w:rPr>
              <w:t xml:space="preserve"> and this improvement may be clinically important PVR and mRAP</w:t>
            </w:r>
            <w:r w:rsidRPr="00083FA5">
              <w:rPr>
                <w:szCs w:val="18"/>
              </w:rPr>
              <w:t xml:space="preserve"> (PVR</w:t>
            </w:r>
            <w:r>
              <w:rPr>
                <w:szCs w:val="18"/>
              </w:rPr>
              <w:t xml:space="preserve"> MD = </w:t>
            </w:r>
            <w:r w:rsidRPr="00083FA5">
              <w:rPr>
                <w:szCs w:val="18"/>
              </w:rPr>
              <w:t>20</w:t>
            </w:r>
            <w:r>
              <w:rPr>
                <w:szCs w:val="18"/>
              </w:rPr>
              <w:t>.8</w:t>
            </w:r>
            <w:r w:rsidRPr="00083FA5">
              <w:rPr>
                <w:szCs w:val="18"/>
              </w:rPr>
              <w:t xml:space="preserve">% </w:t>
            </w:r>
            <w:r>
              <w:rPr>
                <w:szCs w:val="18"/>
              </w:rPr>
              <w:t xml:space="preserve">improvement; </w:t>
            </w:r>
            <w:r w:rsidRPr="00083FA5">
              <w:rPr>
                <w:szCs w:val="18"/>
              </w:rPr>
              <w:t>mPAP</w:t>
            </w:r>
            <w:r>
              <w:rPr>
                <w:szCs w:val="18"/>
              </w:rPr>
              <w:t xml:space="preserve"> MD</w:t>
            </w:r>
            <w:r w:rsidRPr="00083FA5">
              <w:rPr>
                <w:szCs w:val="18"/>
              </w:rPr>
              <w:t xml:space="preserve"> = </w:t>
            </w:r>
            <w:r>
              <w:rPr>
                <w:szCs w:val="18"/>
              </w:rPr>
              <w:t>7</w:t>
            </w:r>
            <w:r w:rsidRPr="00083FA5">
              <w:rPr>
                <w:szCs w:val="18"/>
              </w:rPr>
              <w:t>.</w:t>
            </w:r>
            <w:r>
              <w:rPr>
                <w:szCs w:val="18"/>
              </w:rPr>
              <w:t>5</w:t>
            </w:r>
            <w:r w:rsidRPr="00083FA5">
              <w:rPr>
                <w:szCs w:val="18"/>
              </w:rPr>
              <w:t>%</w:t>
            </w:r>
            <w:r>
              <w:rPr>
                <w:szCs w:val="18"/>
              </w:rPr>
              <w:t xml:space="preserve"> improvement; </w:t>
            </w:r>
            <w:r w:rsidRPr="00083FA5">
              <w:rPr>
                <w:szCs w:val="18"/>
              </w:rPr>
              <w:t>m</w:t>
            </w:r>
            <w:r>
              <w:rPr>
                <w:szCs w:val="18"/>
              </w:rPr>
              <w:t>R</w:t>
            </w:r>
            <w:r w:rsidRPr="00083FA5">
              <w:rPr>
                <w:szCs w:val="18"/>
              </w:rPr>
              <w:t>AP</w:t>
            </w:r>
            <w:r>
              <w:rPr>
                <w:szCs w:val="18"/>
              </w:rPr>
              <w:t xml:space="preserve"> MD</w:t>
            </w:r>
            <w:r w:rsidRPr="00083FA5">
              <w:rPr>
                <w:szCs w:val="18"/>
              </w:rPr>
              <w:t xml:space="preserve"> = </w:t>
            </w:r>
            <w:r>
              <w:rPr>
                <w:szCs w:val="18"/>
              </w:rPr>
              <w:t>2</w:t>
            </w:r>
            <w:r w:rsidRPr="00083FA5">
              <w:rPr>
                <w:szCs w:val="18"/>
              </w:rPr>
              <w:t>.</w:t>
            </w:r>
            <w:r>
              <w:rPr>
                <w:szCs w:val="18"/>
              </w:rPr>
              <w:t>1 mmHg improvement</w:t>
            </w:r>
            <w:r w:rsidRPr="00083FA5">
              <w:rPr>
                <w:szCs w:val="18"/>
              </w:rPr>
              <w:t>)</w:t>
            </w:r>
          </w:p>
        </w:tc>
      </w:tr>
    </w:tbl>
    <w:p w:rsidR="006B2C7A" w:rsidRDefault="009B35CE" w:rsidP="00D103A9">
      <w:pPr>
        <w:pStyle w:val="Tablenote"/>
      </w:pPr>
      <w:r>
        <w:t xml:space="preserve">6MWD = 6-minute </w:t>
      </w:r>
      <w:r w:rsidR="0082368E">
        <w:t>walk distance</w:t>
      </w:r>
      <w:r w:rsidR="00B21201">
        <w:t>; ARD</w:t>
      </w:r>
      <w:r>
        <w:t xml:space="preserve"> = absolute risk </w:t>
      </w:r>
      <w:r w:rsidR="00B21201">
        <w:t>difference</w:t>
      </w:r>
      <w:r>
        <w:t xml:space="preserve">; CI = confidence interval; </w:t>
      </w:r>
      <w:r w:rsidR="00385E5A">
        <w:t>GRADE = grading of recommendations assessment, development and evaluation</w:t>
      </w:r>
      <w:r w:rsidR="001D34EE" w:rsidRPr="001D34EE">
        <w:rPr>
          <w:noProof/>
          <w:vertAlign w:val="superscript"/>
        </w:rPr>
        <w:t>1</w:t>
      </w:r>
      <w:r w:rsidR="006B2C7A" w:rsidRPr="009E3B52">
        <w:t xml:space="preserve">; </w:t>
      </w:r>
      <w:r>
        <w:t>MD = mean difference</w:t>
      </w:r>
      <w:r w:rsidR="004510DE">
        <w:t>; mPAP = mean pulmonary artery</w:t>
      </w:r>
      <w:r>
        <w:t xml:space="preserve"> pressure; mRAP = mean right atrial pressure; </w:t>
      </w:r>
      <w:r w:rsidRPr="00C65B42">
        <w:t xml:space="preserve">PAH = pulmonary arterial hypertension; </w:t>
      </w:r>
      <w:r w:rsidRPr="0034017B">
        <w:t xml:space="preserve">PDE-5 = phosphodiesterase type-5; </w:t>
      </w:r>
      <w:r w:rsidRPr="009123E2">
        <w:t>PVR</w:t>
      </w:r>
      <w:r>
        <w:t xml:space="preserve"> = p</w:t>
      </w:r>
      <w:r w:rsidRPr="009123E2">
        <w:t xml:space="preserve">ulmonary </w:t>
      </w:r>
      <w:r>
        <w:t>v</w:t>
      </w:r>
      <w:r w:rsidRPr="009123E2">
        <w:t xml:space="preserve">ascular </w:t>
      </w:r>
      <w:r>
        <w:t>r</w:t>
      </w:r>
      <w:r w:rsidRPr="009123E2">
        <w:t>esistance</w:t>
      </w:r>
      <w:r>
        <w:t>; RR = relative risk</w:t>
      </w:r>
    </w:p>
    <w:p w:rsidR="009B35CE" w:rsidRPr="0042195A" w:rsidRDefault="009B35CE" w:rsidP="009B35CE">
      <w:pPr>
        <w:pStyle w:val="Heading5"/>
      </w:pPr>
      <w:r w:rsidRPr="0042195A">
        <w:t>Safety</w:t>
      </w:r>
    </w:p>
    <w:p w:rsidR="009B35CE" w:rsidRDefault="009B35CE" w:rsidP="009B35CE">
      <w:r w:rsidRPr="004A7427">
        <w:t xml:space="preserve">One RCT reported on the effectiveness of a PDE-5 inhibitor in addition to </w:t>
      </w:r>
      <w:r w:rsidR="0017012F" w:rsidRPr="0017012F">
        <w:t>prostanoid</w:t>
      </w:r>
      <w:r w:rsidRPr="004A7427">
        <w:t xml:space="preserve"> </w:t>
      </w:r>
      <w:r w:rsidR="00A87E2D">
        <w:t xml:space="preserve">therapy </w:t>
      </w:r>
      <w:r w:rsidRPr="004A7427">
        <w:t xml:space="preserve">in treating PAH compared with placebo plus a </w:t>
      </w:r>
      <w:r w:rsidR="0017012F" w:rsidRPr="0017012F">
        <w:t>prostanoid</w:t>
      </w:r>
      <w:r w:rsidRPr="004A7427">
        <w:t>:</w:t>
      </w:r>
    </w:p>
    <w:p w:rsidR="009B35CE" w:rsidRPr="00B607A5" w:rsidRDefault="009B35CE" w:rsidP="00D103A9">
      <w:pPr>
        <w:pStyle w:val="Bullettext"/>
      </w:pPr>
      <w:r w:rsidRPr="00B607A5">
        <w:t>PACES-1</w:t>
      </w:r>
    </w:p>
    <w:p w:rsidR="009B35CE" w:rsidRPr="00B607A5" w:rsidRDefault="00E20AB7" w:rsidP="00D103A9">
      <w:pPr>
        <w:pStyle w:val="Bullettext"/>
      </w:pPr>
      <w:r w:rsidRPr="00B607A5">
        <w:t>There were no new safety signals identified.</w:t>
      </w:r>
    </w:p>
    <w:p w:rsidR="009B35CE" w:rsidRDefault="009B35CE" w:rsidP="00D103A9">
      <w:r>
        <w:t>The evidence provided by this trial is summarised in</w:t>
      </w:r>
      <w:r w:rsidR="00D103A9">
        <w:t xml:space="preserve"> </w:t>
      </w:r>
      <w:r w:rsidR="00AA722D">
        <w:t>Table 4.</w:t>
      </w:r>
      <w:r w:rsidR="00AA722D">
        <w:rPr>
          <w:noProof/>
        </w:rPr>
        <w:t>12</w:t>
      </w:r>
      <w:r>
        <w:t>.</w:t>
      </w:r>
    </w:p>
    <w:p w:rsidR="009B35CE" w:rsidRDefault="001E5DED" w:rsidP="009B35CE">
      <w:r>
        <w:t xml:space="preserve">Overall, </w:t>
      </w:r>
      <w:r w:rsidRPr="001E5DED">
        <w:t xml:space="preserve">the use of a PDE-5 inhibitor in addition to </w:t>
      </w:r>
      <w:r>
        <w:t>a prostanoid</w:t>
      </w:r>
      <w:r w:rsidRPr="001E5DED">
        <w:t xml:space="preserve"> </w:t>
      </w:r>
      <w:r w:rsidR="00E70D1D">
        <w:t xml:space="preserve">is likely to be </w:t>
      </w:r>
      <w:r w:rsidR="008B5A87">
        <w:t>non-inferior to</w:t>
      </w:r>
      <w:r w:rsidRPr="001E5DED">
        <w:t xml:space="preserve"> </w:t>
      </w:r>
      <w:r>
        <w:t>prostanoid</w:t>
      </w:r>
      <w:r w:rsidRPr="001E5DED">
        <w:t xml:space="preserve"> monotherapy </w:t>
      </w:r>
      <w:r w:rsidR="00966D50">
        <w:t xml:space="preserve">in terms of safety </w:t>
      </w:r>
      <w:r w:rsidRPr="001E5DED">
        <w:t xml:space="preserve">when treating </w:t>
      </w:r>
      <w:r>
        <w:t xml:space="preserve">PAH </w:t>
      </w:r>
      <w:r w:rsidRPr="001E5DED">
        <w:t>patients</w:t>
      </w:r>
      <w:r>
        <w:t>.</w:t>
      </w:r>
    </w:p>
    <w:p w:rsidR="009B35CE" w:rsidRDefault="00272F8F" w:rsidP="00BC5A2B">
      <w:pPr>
        <w:pStyle w:val="Caption"/>
      </w:pPr>
      <w:bookmarkStart w:id="29" w:name="_Ref506198795"/>
      <w:bookmarkStart w:id="30" w:name="_Toc512855416"/>
      <w:r>
        <w:t>Table 4.</w:t>
      </w:r>
      <w:r w:rsidR="00AA722D">
        <w:rPr>
          <w:noProof/>
        </w:rPr>
        <w:t>12</w:t>
      </w:r>
      <w:bookmarkEnd w:id="29"/>
      <w:r w:rsidR="00D103A9">
        <w:tab/>
      </w:r>
      <w:r w:rsidR="009B35CE">
        <w:t xml:space="preserve">Summary of the evidence for the </w:t>
      </w:r>
      <w:r w:rsidR="00D103A9">
        <w:t>safety of a</w:t>
      </w:r>
      <w:r w:rsidR="009B35CE">
        <w:t xml:space="preserve"> </w:t>
      </w:r>
      <w:r w:rsidR="009B35CE" w:rsidRPr="00254F48">
        <w:t xml:space="preserve">PDE-5 inhibitor in addition to a </w:t>
      </w:r>
      <w:r w:rsidR="001E5DED" w:rsidRPr="00254F48">
        <w:t>prostanoid</w:t>
      </w:r>
      <w:r w:rsidR="009B35CE" w:rsidRPr="00254F48">
        <w:t xml:space="preserve">, relative to </w:t>
      </w:r>
      <w:r w:rsidR="001E5DED" w:rsidRPr="00254F48">
        <w:t>prostanoid</w:t>
      </w:r>
      <w:r w:rsidR="009B35CE" w:rsidRPr="00254F48">
        <w:t xml:space="preserve"> </w:t>
      </w:r>
      <w:r w:rsidR="009B35CE">
        <w:t>monotherapy</w:t>
      </w:r>
      <w:bookmarkEnd w:id="30"/>
    </w:p>
    <w:tbl>
      <w:tblPr>
        <w:tblStyle w:val="TableGrid"/>
        <w:tblW w:w="9634" w:type="dxa"/>
        <w:tblLook w:val="04A0" w:firstRow="1" w:lastRow="0" w:firstColumn="1" w:lastColumn="0" w:noHBand="0" w:noVBand="1"/>
        <w:tblCaption w:val="Summary of the evidence for the safety of a PDE-5 inhibitor in addition to a prostanoid, relative to prostanoid monotherapy"/>
      </w:tblPr>
      <w:tblGrid>
        <w:gridCol w:w="1549"/>
        <w:gridCol w:w="2238"/>
        <w:gridCol w:w="5847"/>
      </w:tblGrid>
      <w:tr w:rsidR="009B35CE" w:rsidTr="00D103A9">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A0351C" w:rsidRDefault="009B35CE" w:rsidP="00D103A9">
            <w:pPr>
              <w:pStyle w:val="Tabletext"/>
              <w:rPr>
                <w:rFonts w:asciiTheme="minorHAnsi" w:hAnsiTheme="minorHAnsi"/>
                <w:b/>
              </w:rPr>
            </w:pPr>
            <w:r w:rsidRPr="00A0351C">
              <w:rPr>
                <w:b/>
              </w:rPr>
              <w:t>Outcome</w:t>
            </w:r>
          </w:p>
        </w:tc>
        <w:tc>
          <w:tcPr>
            <w:tcW w:w="1984" w:type="dxa"/>
            <w:tcBorders>
              <w:top w:val="single" w:sz="4" w:space="0" w:color="auto"/>
              <w:left w:val="single" w:sz="4" w:space="0" w:color="auto"/>
              <w:bottom w:val="single" w:sz="4" w:space="0" w:color="auto"/>
              <w:right w:val="single" w:sz="4" w:space="0" w:color="auto"/>
            </w:tcBorders>
          </w:tcPr>
          <w:p w:rsidR="009B35CE" w:rsidRPr="00A0351C" w:rsidRDefault="009B35CE" w:rsidP="00D103A9">
            <w:pPr>
              <w:pStyle w:val="Tabletext"/>
              <w:rPr>
                <w:rFonts w:asciiTheme="minorHAnsi" w:hAnsiTheme="minorHAnsi"/>
                <w:b/>
              </w:rPr>
            </w:pPr>
            <w:r w:rsidRPr="00A0351C">
              <w:rPr>
                <w:b/>
              </w:rPr>
              <w:t xml:space="preserve">Included trials </w:t>
            </w:r>
          </w:p>
        </w:tc>
        <w:tc>
          <w:tcPr>
            <w:tcW w:w="6095" w:type="dxa"/>
            <w:tcBorders>
              <w:top w:val="single" w:sz="4" w:space="0" w:color="auto"/>
              <w:left w:val="single" w:sz="4" w:space="0" w:color="auto"/>
              <w:bottom w:val="single" w:sz="4" w:space="0" w:color="auto"/>
              <w:right w:val="single" w:sz="4" w:space="0" w:color="auto"/>
            </w:tcBorders>
          </w:tcPr>
          <w:p w:rsidR="009B35CE" w:rsidRPr="00A0351C" w:rsidRDefault="009B35CE" w:rsidP="00D103A9">
            <w:pPr>
              <w:pStyle w:val="Tabletext"/>
              <w:rPr>
                <w:rFonts w:asciiTheme="minorHAnsi" w:hAnsiTheme="minorHAnsi"/>
                <w:b/>
              </w:rPr>
            </w:pPr>
            <w:r w:rsidRPr="00A0351C">
              <w:rPr>
                <w:b/>
              </w:rPr>
              <w:t>Summary of evidence</w:t>
            </w:r>
          </w:p>
        </w:tc>
      </w:tr>
      <w:tr w:rsidR="009B35CE"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Default="00A7700C" w:rsidP="00A7700C">
            <w:pPr>
              <w:pStyle w:val="Tabletext"/>
              <w:rPr>
                <w:rFonts w:asciiTheme="minorHAnsi" w:hAnsiTheme="minorHAnsi"/>
              </w:rPr>
            </w:pPr>
            <w:r>
              <w:t>All PAH p</w:t>
            </w:r>
            <w:r w:rsidR="009B35CE" w:rsidRPr="00FD4377">
              <w:t>atients</w:t>
            </w:r>
          </w:p>
        </w:tc>
      </w:tr>
      <w:tr w:rsidR="009B35CE" w:rsidTr="00D103A9">
        <w:tc>
          <w:tcPr>
            <w:tcW w:w="1555" w:type="dxa"/>
            <w:tcBorders>
              <w:top w:val="single" w:sz="4" w:space="0" w:color="auto"/>
              <w:left w:val="single" w:sz="4" w:space="0" w:color="auto"/>
              <w:bottom w:val="single" w:sz="4" w:space="0" w:color="auto"/>
              <w:right w:val="single" w:sz="4" w:space="0" w:color="auto"/>
            </w:tcBorders>
          </w:tcPr>
          <w:p w:rsidR="009B35CE" w:rsidRPr="001D637C" w:rsidRDefault="009B35CE" w:rsidP="00D103A9">
            <w:pPr>
              <w:pStyle w:val="Tabletext"/>
            </w:pPr>
            <w:r>
              <w:t>Any AE</w:t>
            </w:r>
          </w:p>
        </w:tc>
        <w:tc>
          <w:tcPr>
            <w:tcW w:w="1984" w:type="dxa"/>
            <w:tcBorders>
              <w:top w:val="single" w:sz="4" w:space="0" w:color="auto"/>
              <w:left w:val="single" w:sz="4" w:space="0" w:color="auto"/>
              <w:bottom w:val="single" w:sz="4" w:space="0" w:color="auto"/>
              <w:right w:val="single" w:sz="4" w:space="0" w:color="auto"/>
            </w:tcBorders>
          </w:tcPr>
          <w:p w:rsidR="00EA33A7" w:rsidRDefault="009B35CE" w:rsidP="00EA33A7">
            <w:pPr>
              <w:pStyle w:val="Tabletext"/>
            </w:pPr>
            <w:r>
              <w:t>PACES-1 (sildenafil/epoprostenol)</w:t>
            </w:r>
            <w:r w:rsidR="00EA33A7">
              <w:t xml:space="preserve"> </w:t>
            </w:r>
          </w:p>
          <w:p w:rsidR="009B35CE" w:rsidRPr="001D637C" w:rsidRDefault="00EA33A7" w:rsidP="00EA33A7">
            <w:pPr>
              <w:pStyle w:val="Tabletext"/>
            </w:pPr>
            <w:r>
              <w:t>N=265</w:t>
            </w:r>
          </w:p>
        </w:tc>
        <w:tc>
          <w:tcPr>
            <w:tcW w:w="6095" w:type="dxa"/>
            <w:tcBorders>
              <w:top w:val="single" w:sz="4" w:space="0" w:color="auto"/>
              <w:left w:val="single" w:sz="4" w:space="0" w:color="auto"/>
              <w:bottom w:val="single" w:sz="4" w:space="0" w:color="auto"/>
              <w:right w:val="single" w:sz="4" w:space="0" w:color="auto"/>
            </w:tcBorders>
          </w:tcPr>
          <w:p w:rsidR="009B35CE" w:rsidRPr="00B96C6F" w:rsidRDefault="009B35CE" w:rsidP="00480FDF">
            <w:pPr>
              <w:pStyle w:val="Tabletext"/>
              <w:numPr>
                <w:ilvl w:val="0"/>
                <w:numId w:val="37"/>
              </w:numPr>
              <w:ind w:left="227" w:hanging="227"/>
              <w:rPr>
                <w:szCs w:val="18"/>
              </w:rPr>
            </w:pPr>
            <w:r w:rsidRPr="00B96C6F">
              <w:t>High quality</w:t>
            </w:r>
            <w:r w:rsidRPr="00B96C6F">
              <w:rPr>
                <w:rFonts w:cs="Cambria Math"/>
              </w:rPr>
              <w:t xml:space="preserve"> evidence (GRADE </w:t>
            </w:r>
            <w:r w:rsidRPr="00B96C6F">
              <w:rPr>
                <w:rFonts w:ascii="Cambria Math" w:hAnsi="Cambria Math" w:cs="Cambria Math"/>
                <w:color w:val="00B050"/>
              </w:rPr>
              <w:t>⨁⨁⨁⨁</w:t>
            </w:r>
            <w:r w:rsidRPr="00B96C6F">
              <w:t>)</w:t>
            </w:r>
          </w:p>
          <w:p w:rsidR="009B35CE" w:rsidRPr="00B96C6F" w:rsidRDefault="009B35CE" w:rsidP="00480FDF">
            <w:pPr>
              <w:pStyle w:val="Tabletext"/>
              <w:numPr>
                <w:ilvl w:val="0"/>
                <w:numId w:val="37"/>
              </w:numPr>
              <w:ind w:left="227" w:hanging="227"/>
            </w:pPr>
            <w:r w:rsidRPr="00B96C6F">
              <w:t>The</w:t>
            </w:r>
            <w:r>
              <w:t xml:space="preserve"> </w:t>
            </w:r>
            <w:r w:rsidRPr="00B96C6F">
              <w:t xml:space="preserve">proportion of patients who had any AE was </w:t>
            </w:r>
            <w:r>
              <w:t>similar</w:t>
            </w:r>
            <w:r w:rsidRPr="00B96C6F">
              <w:t xml:space="preserve"> for both the combination therapy and monotherapy arms</w:t>
            </w:r>
            <w:r>
              <w:t xml:space="preserve"> </w:t>
            </w:r>
            <w:r w:rsidRPr="00B96C6F">
              <w:t xml:space="preserve">(RR = </w:t>
            </w:r>
            <w:r>
              <w:t>0</w:t>
            </w:r>
            <w:r w:rsidRPr="00B96C6F">
              <w:t>.</w:t>
            </w:r>
            <w:r>
              <w:t>95</w:t>
            </w:r>
            <w:r w:rsidRPr="00B96C6F">
              <w:t>; 95% CI 0.</w:t>
            </w:r>
            <w:r>
              <w:t>90</w:t>
            </w:r>
            <w:r w:rsidRPr="00B96C6F">
              <w:t>, 1.</w:t>
            </w:r>
            <w:r>
              <w:t>00</w:t>
            </w:r>
            <w:r w:rsidRPr="00B96C6F">
              <w:t>)</w:t>
            </w:r>
          </w:p>
        </w:tc>
      </w:tr>
      <w:tr w:rsidR="009B35CE" w:rsidTr="00D103A9">
        <w:tc>
          <w:tcPr>
            <w:tcW w:w="1555" w:type="dxa"/>
          </w:tcPr>
          <w:p w:rsidR="009B35CE" w:rsidRPr="001D637C" w:rsidRDefault="009B35CE" w:rsidP="00D103A9">
            <w:pPr>
              <w:pStyle w:val="Tabletext"/>
            </w:pPr>
            <w:r>
              <w:t>Serious AEs</w:t>
            </w:r>
          </w:p>
        </w:tc>
        <w:tc>
          <w:tcPr>
            <w:tcW w:w="1984" w:type="dxa"/>
            <w:tcBorders>
              <w:top w:val="single" w:sz="4" w:space="0" w:color="auto"/>
              <w:left w:val="single" w:sz="4" w:space="0" w:color="auto"/>
              <w:bottom w:val="single" w:sz="4" w:space="0" w:color="auto"/>
              <w:right w:val="single" w:sz="4" w:space="0" w:color="auto"/>
            </w:tcBorders>
          </w:tcPr>
          <w:p w:rsidR="00EA33A7" w:rsidRDefault="009B35CE" w:rsidP="00EA33A7">
            <w:pPr>
              <w:pStyle w:val="Tabletext"/>
            </w:pPr>
            <w:r>
              <w:t>PACES-1 (sildenafil/epoprostenol)</w:t>
            </w:r>
            <w:r w:rsidR="00EA33A7">
              <w:t xml:space="preserve"> </w:t>
            </w:r>
          </w:p>
          <w:p w:rsidR="009B35CE" w:rsidRPr="001D637C" w:rsidRDefault="00EA33A7" w:rsidP="00EA33A7">
            <w:pPr>
              <w:pStyle w:val="Tabletext"/>
            </w:pPr>
            <w:r>
              <w:t>N=265</w:t>
            </w:r>
          </w:p>
        </w:tc>
        <w:tc>
          <w:tcPr>
            <w:tcW w:w="6095" w:type="dxa"/>
          </w:tcPr>
          <w:p w:rsidR="009B35CE" w:rsidRPr="00B96C6F" w:rsidRDefault="009B35CE" w:rsidP="00480FDF">
            <w:pPr>
              <w:pStyle w:val="Tabletext"/>
              <w:numPr>
                <w:ilvl w:val="0"/>
                <w:numId w:val="37"/>
              </w:numPr>
              <w:ind w:left="227" w:hanging="227"/>
              <w:rPr>
                <w:szCs w:val="18"/>
              </w:rPr>
            </w:pPr>
            <w:r w:rsidRPr="00B96C6F">
              <w:t>High quality</w:t>
            </w:r>
            <w:r w:rsidRPr="00B96C6F">
              <w:rPr>
                <w:rFonts w:cs="Cambria Math"/>
              </w:rPr>
              <w:t xml:space="preserve"> evidence (GRADE </w:t>
            </w:r>
            <w:r w:rsidRPr="00B96C6F">
              <w:rPr>
                <w:rFonts w:ascii="Cambria Math" w:hAnsi="Cambria Math" w:cs="Cambria Math"/>
                <w:color w:val="00B050"/>
              </w:rPr>
              <w:t>⨁⨁⨁⨁</w:t>
            </w:r>
            <w:r w:rsidRPr="00B96C6F">
              <w:t>)</w:t>
            </w:r>
          </w:p>
          <w:p w:rsidR="009B35CE" w:rsidRPr="00B96C6F" w:rsidRDefault="009B35CE" w:rsidP="00480FDF">
            <w:pPr>
              <w:pStyle w:val="Tabletext"/>
              <w:numPr>
                <w:ilvl w:val="0"/>
                <w:numId w:val="37"/>
              </w:numPr>
              <w:ind w:left="227" w:hanging="227"/>
            </w:pPr>
            <w:r w:rsidRPr="00B96C6F">
              <w:rPr>
                <w:szCs w:val="18"/>
              </w:rPr>
              <w:t xml:space="preserve">Fewer patients </w:t>
            </w:r>
            <w:r w:rsidR="00A87E2D">
              <w:rPr>
                <w:szCs w:val="18"/>
              </w:rPr>
              <w:t xml:space="preserve">had </w:t>
            </w:r>
            <w:r>
              <w:rPr>
                <w:szCs w:val="18"/>
              </w:rPr>
              <w:t>a serious AE</w:t>
            </w:r>
            <w:r w:rsidRPr="00B96C6F">
              <w:t xml:space="preserve"> with combination the</w:t>
            </w:r>
            <w:r>
              <w:t>rapy compared with monotherapy,</w:t>
            </w:r>
            <w:r w:rsidRPr="00B96C6F">
              <w:t xml:space="preserve"> </w:t>
            </w:r>
            <w:r w:rsidRPr="00F3410B">
              <w:t xml:space="preserve">but the </w:t>
            </w:r>
            <w:r w:rsidR="00D84687">
              <w:t>95% CI indicates</w:t>
            </w:r>
            <w:r w:rsidRPr="00F3410B">
              <w:t xml:space="preserve"> that there could </w:t>
            </w:r>
            <w:r w:rsidR="009A57D8">
              <w:t xml:space="preserve">also be </w:t>
            </w:r>
            <w:r w:rsidR="00A87E2D">
              <w:t xml:space="preserve">an </w:t>
            </w:r>
            <w:r w:rsidRPr="00F3410B">
              <w:t>effect</w:t>
            </w:r>
            <w:r w:rsidR="00A87E2D">
              <w:t xml:space="preserve"> in the opposite direction</w:t>
            </w:r>
            <w:r w:rsidRPr="00B96C6F">
              <w:t xml:space="preserve"> (</w:t>
            </w:r>
            <w:r>
              <w:t>RR = 0.73</w:t>
            </w:r>
            <w:r w:rsidRPr="00B96C6F">
              <w:t>; 95% CI 0.</w:t>
            </w:r>
            <w:r>
              <w:t>48</w:t>
            </w:r>
            <w:r w:rsidRPr="00B96C6F">
              <w:t xml:space="preserve">, </w:t>
            </w:r>
            <w:r>
              <w:t>1</w:t>
            </w:r>
            <w:r w:rsidRPr="00B96C6F">
              <w:t>.</w:t>
            </w:r>
            <w:r>
              <w:t>10</w:t>
            </w:r>
            <w:r w:rsidRPr="00B96C6F">
              <w:t>)</w:t>
            </w:r>
          </w:p>
        </w:tc>
      </w:tr>
      <w:tr w:rsidR="009B35CE" w:rsidTr="00D103A9">
        <w:tc>
          <w:tcPr>
            <w:tcW w:w="1555" w:type="dxa"/>
          </w:tcPr>
          <w:p w:rsidR="009B35CE" w:rsidRDefault="009B35CE" w:rsidP="00D103A9">
            <w:pPr>
              <w:pStyle w:val="Tabletext"/>
            </w:pPr>
            <w:r w:rsidRPr="00B96C6F">
              <w:lastRenderedPageBreak/>
              <w:t>AEs leading to treatment discontinuation</w:t>
            </w:r>
          </w:p>
        </w:tc>
        <w:tc>
          <w:tcPr>
            <w:tcW w:w="1984" w:type="dxa"/>
            <w:tcBorders>
              <w:top w:val="single" w:sz="4" w:space="0" w:color="auto"/>
              <w:left w:val="single" w:sz="4" w:space="0" w:color="auto"/>
              <w:bottom w:val="single" w:sz="4" w:space="0" w:color="auto"/>
              <w:right w:val="single" w:sz="4" w:space="0" w:color="auto"/>
            </w:tcBorders>
          </w:tcPr>
          <w:p w:rsidR="00EA33A7" w:rsidRDefault="009B35CE" w:rsidP="00EA33A7">
            <w:pPr>
              <w:pStyle w:val="Tabletext"/>
            </w:pPr>
            <w:r>
              <w:t>PACES-1 (sildenafil/epoprostenol)</w:t>
            </w:r>
            <w:r w:rsidR="00EA33A7">
              <w:t xml:space="preserve"> </w:t>
            </w:r>
          </w:p>
          <w:p w:rsidR="009B35CE" w:rsidRDefault="00EA33A7" w:rsidP="00EA33A7">
            <w:pPr>
              <w:pStyle w:val="Tabletext"/>
            </w:pPr>
            <w:r>
              <w:t>N=265</w:t>
            </w:r>
          </w:p>
        </w:tc>
        <w:tc>
          <w:tcPr>
            <w:tcW w:w="6095" w:type="dxa"/>
            <w:tcBorders>
              <w:top w:val="single" w:sz="4" w:space="0" w:color="auto"/>
              <w:left w:val="single" w:sz="4" w:space="0" w:color="auto"/>
              <w:bottom w:val="single" w:sz="4" w:space="0" w:color="auto"/>
              <w:right w:val="single" w:sz="4" w:space="0" w:color="auto"/>
            </w:tcBorders>
          </w:tcPr>
          <w:p w:rsidR="009B35CE" w:rsidRPr="00B96C6F" w:rsidRDefault="009B35CE" w:rsidP="00480FDF">
            <w:pPr>
              <w:pStyle w:val="Tabletext"/>
              <w:numPr>
                <w:ilvl w:val="0"/>
                <w:numId w:val="37"/>
              </w:numPr>
              <w:ind w:left="227" w:hanging="227"/>
              <w:rPr>
                <w:szCs w:val="18"/>
              </w:rPr>
            </w:pPr>
            <w:r w:rsidRPr="00B96C6F">
              <w:t>High quality</w:t>
            </w:r>
            <w:r w:rsidRPr="00B96C6F">
              <w:rPr>
                <w:rFonts w:cs="Cambria Math"/>
              </w:rPr>
              <w:t xml:space="preserve"> evidence (GRADE </w:t>
            </w:r>
            <w:r w:rsidRPr="00B96C6F">
              <w:rPr>
                <w:rFonts w:ascii="Cambria Math" w:hAnsi="Cambria Math" w:cs="Cambria Math"/>
                <w:color w:val="00B050"/>
              </w:rPr>
              <w:t>⨁⨁⨁⨁</w:t>
            </w:r>
            <w:r w:rsidRPr="00B96C6F">
              <w:t>)</w:t>
            </w:r>
          </w:p>
          <w:p w:rsidR="009B35CE" w:rsidRPr="006B11DC" w:rsidRDefault="00695728" w:rsidP="00480FDF">
            <w:pPr>
              <w:pStyle w:val="Tabletext"/>
              <w:numPr>
                <w:ilvl w:val="0"/>
                <w:numId w:val="37"/>
              </w:numPr>
              <w:ind w:left="227" w:hanging="227"/>
            </w:pPr>
            <w:r>
              <w:t>Fewer</w:t>
            </w:r>
            <w:r w:rsidR="009B35CE">
              <w:t xml:space="preserve"> </w:t>
            </w:r>
            <w:r w:rsidR="009B35CE" w:rsidRPr="00F3410B">
              <w:t>patients had an AE leading to treatment discontinuation</w:t>
            </w:r>
            <w:r w:rsidR="009B35CE" w:rsidRPr="00B96C6F">
              <w:t xml:space="preserve"> with combination therapy compared with monotherapy, </w:t>
            </w:r>
            <w:r w:rsidR="009B35CE" w:rsidRPr="00F3410B">
              <w:t xml:space="preserve">but the </w:t>
            </w:r>
            <w:r w:rsidR="00D84687">
              <w:t>95% CI indicates</w:t>
            </w:r>
            <w:r w:rsidR="009B35CE" w:rsidRPr="00F3410B">
              <w:t xml:space="preserve"> that there could also be </w:t>
            </w:r>
            <w:r w:rsidR="009A57D8">
              <w:t>an</w:t>
            </w:r>
            <w:r w:rsidR="009B35CE" w:rsidRPr="00F3410B">
              <w:t xml:space="preserve"> effect</w:t>
            </w:r>
            <w:r w:rsidR="009B35CE" w:rsidRPr="00B96C6F">
              <w:t xml:space="preserve"> </w:t>
            </w:r>
            <w:r w:rsidR="009A57D8">
              <w:t xml:space="preserve">in the opposite direction </w:t>
            </w:r>
            <w:r w:rsidR="009B35CE" w:rsidRPr="00B96C6F">
              <w:t xml:space="preserve">(RR = </w:t>
            </w:r>
            <w:r w:rsidR="007463BE">
              <w:t>0.49</w:t>
            </w:r>
            <w:r w:rsidR="009B35CE" w:rsidRPr="00B96C6F">
              <w:t>; 95% CI 0.</w:t>
            </w:r>
            <w:r w:rsidR="008B5A87">
              <w:t>2</w:t>
            </w:r>
            <w:r w:rsidR="009B35CE">
              <w:t>0</w:t>
            </w:r>
            <w:r w:rsidR="009B35CE" w:rsidRPr="00B96C6F">
              <w:t xml:space="preserve">, </w:t>
            </w:r>
            <w:r w:rsidR="009B35CE">
              <w:t>1</w:t>
            </w:r>
            <w:r w:rsidR="009B35CE" w:rsidRPr="00B96C6F">
              <w:t>.</w:t>
            </w:r>
            <w:r w:rsidR="008B5A87">
              <w:t>1</w:t>
            </w:r>
            <w:r w:rsidR="009B35CE">
              <w:t>7</w:t>
            </w:r>
            <w:r w:rsidR="009B35CE" w:rsidRPr="00B96C6F">
              <w:t>)</w:t>
            </w:r>
          </w:p>
        </w:tc>
      </w:tr>
    </w:tbl>
    <w:p w:rsidR="003E046F" w:rsidRPr="006316DF" w:rsidRDefault="009B35CE" w:rsidP="00D103A9">
      <w:pPr>
        <w:pStyle w:val="Tablenote"/>
      </w:pPr>
      <w:r>
        <w:t xml:space="preserve">AE = adverse event; CI = confidence interval; </w:t>
      </w:r>
      <w:r w:rsidR="003E046F" w:rsidRPr="009E3B52">
        <w:t xml:space="preserve">FC = functional class; </w:t>
      </w:r>
      <w:r w:rsidR="00385E5A">
        <w:t>GRADE = grading of recommendations assessment, development and evaluation</w:t>
      </w:r>
      <w:r w:rsidR="001D34EE" w:rsidRPr="001D34EE">
        <w:rPr>
          <w:noProof/>
          <w:vertAlign w:val="superscript"/>
        </w:rPr>
        <w:t>1</w:t>
      </w:r>
      <w:r w:rsidR="003E046F" w:rsidRPr="009E3B52">
        <w:t xml:space="preserve">; </w:t>
      </w:r>
      <w:r w:rsidRPr="009123E2">
        <w:t>PAH</w:t>
      </w:r>
      <w:r>
        <w:t xml:space="preserve"> = p</w:t>
      </w:r>
      <w:r w:rsidRPr="009123E2">
        <w:t xml:space="preserve">ulmonary </w:t>
      </w:r>
      <w:r>
        <w:t>a</w:t>
      </w:r>
      <w:r w:rsidRPr="009123E2">
        <w:t xml:space="preserve">rterial </w:t>
      </w:r>
      <w:r>
        <w:t>h</w:t>
      </w:r>
      <w:r w:rsidRPr="009123E2">
        <w:t>ypertension</w:t>
      </w:r>
      <w:r>
        <w:t xml:space="preserve">; </w:t>
      </w:r>
      <w:r w:rsidRPr="004A7427">
        <w:t xml:space="preserve">PDE-5 = phosphodiesterase type-5; </w:t>
      </w:r>
      <w:r>
        <w:t>RR = relative risk</w:t>
      </w:r>
      <w:r w:rsidR="003E046F">
        <w:t>;</w:t>
      </w:r>
      <w:r w:rsidR="003E046F" w:rsidRPr="003E046F">
        <w:t xml:space="preserve"> </w:t>
      </w:r>
      <w:r w:rsidR="003E046F" w:rsidRPr="009E3B52">
        <w:t>WHO = World Health Organization</w:t>
      </w:r>
    </w:p>
    <w:p w:rsidR="009B35CE" w:rsidRPr="006316DF" w:rsidRDefault="00441F08" w:rsidP="009B35CE">
      <w:pPr>
        <w:pStyle w:val="Heading4"/>
      </w:pPr>
      <w:r>
        <w:t>4.1.3.5</w:t>
      </w:r>
      <w:r>
        <w:tab/>
      </w:r>
      <w:r w:rsidR="009B35CE" w:rsidRPr="00C22CAC">
        <w:t>Prosta</w:t>
      </w:r>
      <w:r w:rsidR="00BC132E">
        <w:t>noid</w:t>
      </w:r>
      <w:r w:rsidR="009B35CE">
        <w:t xml:space="preserve"> </w:t>
      </w:r>
      <w:r w:rsidR="009B35CE" w:rsidRPr="00EF6A61">
        <w:t xml:space="preserve">in addition to </w:t>
      </w:r>
      <w:r w:rsidR="009B35CE">
        <w:t xml:space="preserve">an </w:t>
      </w:r>
      <w:r w:rsidR="009B35CE" w:rsidRPr="006316DF">
        <w:t>ERA</w:t>
      </w:r>
    </w:p>
    <w:p w:rsidR="009B35CE" w:rsidRPr="00107676" w:rsidRDefault="009B35CE" w:rsidP="009B35CE">
      <w:pPr>
        <w:pStyle w:val="Heading5"/>
      </w:pPr>
      <w:r w:rsidRPr="00107676">
        <w:t>Clinical effectiveness</w:t>
      </w:r>
    </w:p>
    <w:p w:rsidR="009B35CE" w:rsidRPr="00C77B6A" w:rsidRDefault="009B35CE" w:rsidP="009B35CE">
      <w:pPr>
        <w:spacing w:after="40"/>
      </w:pPr>
      <w:r w:rsidRPr="00C77B6A">
        <w:t xml:space="preserve">Two RCTs reported on the effectiveness of </w:t>
      </w:r>
      <w:r w:rsidR="006A201F">
        <w:t xml:space="preserve">a </w:t>
      </w:r>
      <w:r w:rsidR="006A201F" w:rsidRPr="0017012F">
        <w:t xml:space="preserve">prostanoid </w:t>
      </w:r>
      <w:r w:rsidRPr="00C77B6A">
        <w:t xml:space="preserve">in addition to </w:t>
      </w:r>
      <w:r w:rsidR="006A201F" w:rsidRPr="00C77B6A">
        <w:t xml:space="preserve">an ERA </w:t>
      </w:r>
      <w:r w:rsidRPr="00C77B6A">
        <w:t xml:space="preserve">in treating PAH compared with </w:t>
      </w:r>
      <w:r w:rsidR="00A87E2D">
        <w:t xml:space="preserve">a </w:t>
      </w:r>
      <w:r w:rsidRPr="00C77B6A">
        <w:t>place</w:t>
      </w:r>
      <w:r>
        <w:t>bo plus a</w:t>
      </w:r>
      <w:r w:rsidR="006A201F">
        <w:t>n ERA</w:t>
      </w:r>
      <w:r>
        <w:t>:</w:t>
      </w:r>
    </w:p>
    <w:p w:rsidR="009B35CE" w:rsidRPr="00B607A5" w:rsidRDefault="009B35CE" w:rsidP="00D103A9">
      <w:pPr>
        <w:pStyle w:val="Bullettext"/>
        <w:rPr>
          <w:bCs/>
        </w:rPr>
      </w:pPr>
      <w:r w:rsidRPr="00B607A5">
        <w:t xml:space="preserve">COMBI enrolled patients with WHO FC III IPAH </w:t>
      </w:r>
      <w:r w:rsidR="00A87E2D" w:rsidRPr="00B607A5">
        <w:t>(</w:t>
      </w:r>
      <w:r w:rsidRPr="00B607A5">
        <w:t>who were already being treated with bosentan</w:t>
      </w:r>
      <w:r w:rsidR="00A87E2D" w:rsidRPr="00B607A5">
        <w:t>)</w:t>
      </w:r>
      <w:r w:rsidRPr="00B607A5">
        <w:t xml:space="preserve"> to receive combination therapy with the addition of iloprost or continue bosentan monotherapy</w:t>
      </w:r>
    </w:p>
    <w:p w:rsidR="009B35CE" w:rsidRPr="00B607A5" w:rsidRDefault="009B35CE" w:rsidP="00D103A9">
      <w:pPr>
        <w:pStyle w:val="Bullettext"/>
        <w:rPr>
          <w:bCs/>
        </w:rPr>
      </w:pPr>
      <w:r w:rsidRPr="00B607A5">
        <w:t>STEP enrolled patients with PAH who were already being treated with bosentan to receive combination therapy with the addition of iloprost or continue bosentan monotherapy</w:t>
      </w:r>
    </w:p>
    <w:p w:rsidR="009B35CE" w:rsidRPr="00B607A5" w:rsidRDefault="009B35CE" w:rsidP="00D103A9">
      <w:pPr>
        <w:pStyle w:val="Bullettext"/>
        <w:numPr>
          <w:ilvl w:val="1"/>
          <w:numId w:val="1"/>
        </w:numPr>
        <w:ind w:left="1134"/>
        <w:rPr>
          <w:bCs/>
        </w:rPr>
      </w:pPr>
      <w:r w:rsidRPr="00B607A5">
        <w:t xml:space="preserve">Nearly all included patients had </w:t>
      </w:r>
      <w:r w:rsidR="006B4B22" w:rsidRPr="00B607A5">
        <w:t>WHO</w:t>
      </w:r>
      <w:r w:rsidRPr="00B607A5">
        <w:t xml:space="preserve"> FC III/IV PAH; one patient randomised to monotherapy had </w:t>
      </w:r>
      <w:r w:rsidR="006B4B22" w:rsidRPr="00B607A5">
        <w:t>WHO</w:t>
      </w:r>
      <w:r w:rsidRPr="00B607A5">
        <w:t xml:space="preserve"> FC II PAH</w:t>
      </w:r>
    </w:p>
    <w:p w:rsidR="009B35CE" w:rsidRDefault="009B35CE" w:rsidP="00D103A9">
      <w:r>
        <w:t xml:space="preserve">The evidence provided by these trials for patients </w:t>
      </w:r>
      <w:r w:rsidRPr="00C77B6A">
        <w:t xml:space="preserve">with WHO FC III/IV PAH </w:t>
      </w:r>
      <w:r>
        <w:t>is summarised in</w:t>
      </w:r>
      <w:r w:rsidR="00D103A9">
        <w:t xml:space="preserve"> </w:t>
      </w:r>
      <w:r w:rsidR="00AA722D">
        <w:t>Table 4.</w:t>
      </w:r>
      <w:r w:rsidR="00AA722D">
        <w:rPr>
          <w:noProof/>
        </w:rPr>
        <w:t>13</w:t>
      </w:r>
      <w:r>
        <w:t>.</w:t>
      </w:r>
    </w:p>
    <w:p w:rsidR="009B35CE" w:rsidRDefault="001E5DED" w:rsidP="009B35CE">
      <w:r>
        <w:t xml:space="preserve">Overall, </w:t>
      </w:r>
      <w:r w:rsidR="008B5A87" w:rsidRPr="008B5A87">
        <w:t xml:space="preserve">there is </w:t>
      </w:r>
      <w:r w:rsidR="009A57D8">
        <w:t xml:space="preserve">limited </w:t>
      </w:r>
      <w:r w:rsidR="008B5A87" w:rsidRPr="008B5A87">
        <w:t xml:space="preserve">evidence to suggest that </w:t>
      </w:r>
      <w:r w:rsidRPr="000522D6">
        <w:t xml:space="preserve">the </w:t>
      </w:r>
      <w:r w:rsidRPr="006316DF">
        <w:t xml:space="preserve">use of a </w:t>
      </w:r>
      <w:r w:rsidRPr="00FF0F23">
        <w:t>prostanoid in addition to an ERA</w:t>
      </w:r>
      <w:r w:rsidRPr="000522D6">
        <w:t xml:space="preserve">, relative to </w:t>
      </w:r>
      <w:r>
        <w:t>ERA</w:t>
      </w:r>
      <w:r w:rsidRPr="000522D6">
        <w:t xml:space="preserve"> monotherapy</w:t>
      </w:r>
      <w:r w:rsidR="00A87E2D">
        <w:t>,</w:t>
      </w:r>
      <w:r w:rsidRPr="000522D6">
        <w:t xml:space="preserve"> </w:t>
      </w:r>
      <w:r w:rsidRPr="006316DF">
        <w:t xml:space="preserve">to treat </w:t>
      </w:r>
      <w:r>
        <w:t xml:space="preserve">patients with WHO FC III/IV PAH </w:t>
      </w:r>
      <w:r w:rsidR="008B5A87">
        <w:t>may</w:t>
      </w:r>
      <w:r w:rsidRPr="006316DF">
        <w:t xml:space="preserve"> be beneficial</w:t>
      </w:r>
      <w:r>
        <w:t>.</w:t>
      </w:r>
      <w:r w:rsidR="009A57D8" w:rsidRPr="009A57D8">
        <w:t xml:space="preserve"> </w:t>
      </w:r>
      <w:r w:rsidR="009A57D8" w:rsidRPr="00E60652">
        <w:t>This finding would be stronger if it were replicated in additional research.</w:t>
      </w:r>
    </w:p>
    <w:p w:rsidR="009B35CE" w:rsidRDefault="00272F8F" w:rsidP="00BC5A2B">
      <w:pPr>
        <w:pStyle w:val="Caption"/>
      </w:pPr>
      <w:bookmarkStart w:id="31" w:name="_Ref506203144"/>
      <w:bookmarkStart w:id="32" w:name="_Toc512855417"/>
      <w:r>
        <w:t>Table 4.</w:t>
      </w:r>
      <w:r w:rsidR="00AA722D">
        <w:rPr>
          <w:noProof/>
        </w:rPr>
        <w:t>13</w:t>
      </w:r>
      <w:bookmarkEnd w:id="31"/>
      <w:r w:rsidR="00D103A9">
        <w:tab/>
      </w:r>
      <w:r w:rsidR="009B35CE">
        <w:t xml:space="preserve">Summary of the evidence for the clinical effectiveness of a </w:t>
      </w:r>
      <w:r w:rsidR="001E5DED">
        <w:t>p</w:t>
      </w:r>
      <w:r w:rsidR="001E5DED" w:rsidRPr="00673C2E">
        <w:t>rost</w:t>
      </w:r>
      <w:r w:rsidR="001E5DED">
        <w:t>anoid</w:t>
      </w:r>
      <w:r w:rsidR="009B35CE" w:rsidRPr="00673C2E">
        <w:t xml:space="preserve"> in addition to an ERA</w:t>
      </w:r>
      <w:r w:rsidR="009B35CE" w:rsidRPr="00542902">
        <w:t>, relative</w:t>
      </w:r>
      <w:r w:rsidR="009B35CE">
        <w:t xml:space="preserve"> to ERA monotherapy</w:t>
      </w:r>
      <w:bookmarkEnd w:id="32"/>
    </w:p>
    <w:tbl>
      <w:tblPr>
        <w:tblStyle w:val="TableGrid"/>
        <w:tblW w:w="9634" w:type="dxa"/>
        <w:tblLook w:val="04A0" w:firstRow="1" w:lastRow="0" w:firstColumn="1" w:lastColumn="0" w:noHBand="0" w:noVBand="1"/>
        <w:tblCaption w:val="Summary of the evidence for the clinical effectiveness of a prostanoid in addition to an ERA, relative to ERA monotherapy"/>
      </w:tblPr>
      <w:tblGrid>
        <w:gridCol w:w="1555"/>
        <w:gridCol w:w="1984"/>
        <w:gridCol w:w="6095"/>
      </w:tblGrid>
      <w:tr w:rsidR="009B35CE" w:rsidRPr="00737EA5" w:rsidTr="00D103A9">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6C297E" w:rsidRDefault="009B35CE" w:rsidP="00D103A9">
            <w:pPr>
              <w:pStyle w:val="Tabletext"/>
              <w:rPr>
                <w:rFonts w:asciiTheme="minorHAnsi" w:hAnsiTheme="minorHAnsi"/>
                <w:b/>
              </w:rPr>
            </w:pPr>
            <w:r w:rsidRPr="006C297E">
              <w:rPr>
                <w:b/>
              </w:rPr>
              <w:t>Outcome</w:t>
            </w:r>
          </w:p>
        </w:tc>
        <w:tc>
          <w:tcPr>
            <w:tcW w:w="1984" w:type="dxa"/>
            <w:tcBorders>
              <w:top w:val="single" w:sz="4" w:space="0" w:color="auto"/>
              <w:left w:val="single" w:sz="4" w:space="0" w:color="auto"/>
              <w:bottom w:val="single" w:sz="4" w:space="0" w:color="auto"/>
              <w:right w:val="single" w:sz="4" w:space="0" w:color="auto"/>
            </w:tcBorders>
          </w:tcPr>
          <w:p w:rsidR="00EA33A7" w:rsidRDefault="009B35CE" w:rsidP="00EA33A7">
            <w:pPr>
              <w:pStyle w:val="Tabletext"/>
              <w:rPr>
                <w:b/>
              </w:rPr>
            </w:pPr>
            <w:r w:rsidRPr="006C297E">
              <w:rPr>
                <w:b/>
              </w:rPr>
              <w:t xml:space="preserve">Included trials </w:t>
            </w:r>
          </w:p>
          <w:p w:rsidR="009B35CE" w:rsidRPr="006C297E" w:rsidRDefault="00EA33A7" w:rsidP="00EA33A7">
            <w:pPr>
              <w:pStyle w:val="Tabletext"/>
              <w:rPr>
                <w:rFonts w:asciiTheme="minorHAnsi" w:hAnsiTheme="minorHAnsi"/>
                <w:b/>
              </w:rPr>
            </w:pPr>
            <w:r w:rsidRPr="00293DE5">
              <w:rPr>
                <w:b/>
              </w:rPr>
              <w:t>No. of patients</w:t>
            </w:r>
          </w:p>
        </w:tc>
        <w:tc>
          <w:tcPr>
            <w:tcW w:w="6095" w:type="dxa"/>
            <w:tcBorders>
              <w:top w:val="single" w:sz="4" w:space="0" w:color="auto"/>
              <w:left w:val="single" w:sz="4" w:space="0" w:color="auto"/>
              <w:bottom w:val="single" w:sz="4" w:space="0" w:color="auto"/>
              <w:right w:val="single" w:sz="4" w:space="0" w:color="auto"/>
            </w:tcBorders>
          </w:tcPr>
          <w:p w:rsidR="009B35CE" w:rsidRPr="006C297E" w:rsidRDefault="009B35CE" w:rsidP="00D103A9">
            <w:pPr>
              <w:pStyle w:val="Tabletext"/>
              <w:rPr>
                <w:rFonts w:asciiTheme="minorHAnsi" w:hAnsiTheme="minorHAnsi"/>
                <w:b/>
              </w:rPr>
            </w:pPr>
            <w:r w:rsidRPr="006C297E">
              <w:rPr>
                <w:b/>
              </w:rPr>
              <w:t>Summary of evidence</w:t>
            </w:r>
          </w:p>
        </w:tc>
      </w:tr>
      <w:tr w:rsidR="009B35CE"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Default="009B35CE" w:rsidP="00BC132E">
            <w:pPr>
              <w:pStyle w:val="Tabletext"/>
              <w:keepNext/>
              <w:rPr>
                <w:rFonts w:asciiTheme="minorHAnsi" w:hAnsiTheme="minorHAnsi"/>
              </w:rPr>
            </w:pPr>
            <w:r>
              <w:t>P</w:t>
            </w:r>
            <w:r w:rsidRPr="00FD4377">
              <w:t>atients with WHO FC III/IV PAH</w:t>
            </w:r>
          </w:p>
        </w:tc>
      </w:tr>
      <w:tr w:rsidR="00695728" w:rsidTr="00D103A9">
        <w:tc>
          <w:tcPr>
            <w:tcW w:w="1555" w:type="dxa"/>
          </w:tcPr>
          <w:p w:rsidR="00695728" w:rsidRPr="001D637C" w:rsidRDefault="00695728" w:rsidP="00695728">
            <w:pPr>
              <w:pStyle w:val="Tabletext"/>
            </w:pPr>
            <w:r>
              <w:t>Clinical worsening</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COMBI</w:t>
            </w:r>
            <w:r>
              <w:br/>
              <w:t>(iloprost/bosentan)</w:t>
            </w:r>
          </w:p>
          <w:p w:rsidR="00695728" w:rsidRDefault="00695728" w:rsidP="00695728">
            <w:pPr>
              <w:pStyle w:val="Tabletext"/>
            </w:pPr>
            <w:r>
              <w:t>STEP</w:t>
            </w:r>
            <w:r>
              <w:br/>
            </w:r>
            <w:r w:rsidRPr="00D13D2A">
              <w:t>(iloprost/bosentan)</w:t>
            </w:r>
          </w:p>
          <w:p w:rsidR="00695728" w:rsidRPr="001D637C" w:rsidRDefault="00695728" w:rsidP="00695728">
            <w:pPr>
              <w:pStyle w:val="Tabletext"/>
            </w:pPr>
            <w:r>
              <w:t>N=105</w:t>
            </w:r>
          </w:p>
        </w:tc>
        <w:tc>
          <w:tcPr>
            <w:tcW w:w="6095" w:type="dxa"/>
          </w:tcPr>
          <w:p w:rsidR="00695728" w:rsidRDefault="00695728" w:rsidP="00480FDF">
            <w:pPr>
              <w:pStyle w:val="Tabletext"/>
              <w:numPr>
                <w:ilvl w:val="0"/>
                <w:numId w:val="38"/>
              </w:numPr>
              <w:ind w:left="227" w:hanging="219"/>
            </w:pPr>
            <w:r>
              <w:t>Very low</w:t>
            </w:r>
            <w:r w:rsidRPr="00C77B6A">
              <w:t xml:space="preserve"> quality</w:t>
            </w:r>
            <w:r w:rsidRPr="00C77B6A">
              <w:rPr>
                <w:rFonts w:cs="Cambria Math"/>
              </w:rPr>
              <w:t xml:space="preserve"> evidence (GRADE </w:t>
            </w:r>
            <w:r w:rsidRPr="00416ABC">
              <w:rPr>
                <w:rFonts w:ascii="Cambria Math" w:hAnsi="Cambria Math" w:cs="Cambria Math"/>
                <w:color w:val="00B050"/>
              </w:rPr>
              <w:t>⨁</w:t>
            </w:r>
            <w:r w:rsidRPr="00E564DD">
              <w:rPr>
                <w:rFonts w:ascii="Cambria Math" w:hAnsi="Cambria Math" w:cs="Cambria Math"/>
                <w:bCs/>
                <w:color w:val="FF0000"/>
              </w:rPr>
              <w:t>⨀</w:t>
            </w:r>
            <w:r w:rsidRPr="00416ABC">
              <w:rPr>
                <w:rFonts w:ascii="Cambria Math" w:hAnsi="Cambria Math" w:cs="Cambria Math"/>
                <w:color w:val="C00000"/>
              </w:rPr>
              <w:t>⨀⨀</w:t>
            </w:r>
            <w:r w:rsidRPr="00C77B6A">
              <w:t>)</w:t>
            </w:r>
          </w:p>
          <w:p w:rsidR="00695728" w:rsidRPr="00C77B6A" w:rsidRDefault="00695728" w:rsidP="00480FDF">
            <w:pPr>
              <w:pStyle w:val="Tabletext"/>
              <w:numPr>
                <w:ilvl w:val="0"/>
                <w:numId w:val="38"/>
              </w:numPr>
              <w:ind w:left="227" w:hanging="219"/>
            </w:pPr>
            <w:r>
              <w:t xml:space="preserve">Fewer </w:t>
            </w:r>
            <w:r w:rsidRPr="00B92556">
              <w:t xml:space="preserve">patients </w:t>
            </w:r>
            <w:r>
              <w:t>experienced clinical worsening</w:t>
            </w:r>
            <w:r w:rsidRPr="00B92556">
              <w:t xml:space="preserve"> with combination therapy compared with monotherapy, but the </w:t>
            </w:r>
            <w:r>
              <w:t>95% CI indicates</w:t>
            </w:r>
            <w:r w:rsidRPr="00B92556">
              <w:t xml:space="preserve"> t</w:t>
            </w:r>
            <w:r>
              <w:t xml:space="preserve">hat </w:t>
            </w:r>
            <w:r w:rsidR="00955FF7">
              <w:t xml:space="preserve">there could also be an effect in the opposite direction </w:t>
            </w:r>
            <w:r>
              <w:t>(</w:t>
            </w:r>
            <w:r w:rsidRPr="00B92556">
              <w:t xml:space="preserve">RR = </w:t>
            </w:r>
            <w:r>
              <w:t>0.</w:t>
            </w:r>
            <w:r w:rsidRPr="00B92556">
              <w:t>3</w:t>
            </w:r>
            <w:r>
              <w:t>9</w:t>
            </w:r>
            <w:r w:rsidRPr="00B92556">
              <w:t>; 95% CI 0</w:t>
            </w:r>
            <w:r>
              <w:t>.04</w:t>
            </w:r>
            <w:r w:rsidRPr="00B92556">
              <w:t xml:space="preserve">, </w:t>
            </w:r>
            <w:r>
              <w:t>3</w:t>
            </w:r>
            <w:r w:rsidRPr="00B92556">
              <w:t>.</w:t>
            </w:r>
            <w:r>
              <w:t>45</w:t>
            </w:r>
            <w:r w:rsidRPr="00B92556">
              <w:t>)</w:t>
            </w:r>
          </w:p>
        </w:tc>
      </w:tr>
      <w:tr w:rsidR="00695728" w:rsidTr="00D103A9">
        <w:tc>
          <w:tcPr>
            <w:tcW w:w="1555" w:type="dxa"/>
          </w:tcPr>
          <w:p w:rsidR="00695728" w:rsidRPr="001D637C" w:rsidRDefault="00695728" w:rsidP="00695728">
            <w:pPr>
              <w:pStyle w:val="Tabletext"/>
            </w:pPr>
            <w:r>
              <w:t>All-cause mortality</w:t>
            </w:r>
          </w:p>
        </w:tc>
        <w:tc>
          <w:tcPr>
            <w:tcW w:w="1984" w:type="dxa"/>
          </w:tcPr>
          <w:p w:rsidR="00695728" w:rsidRDefault="00695728" w:rsidP="00695728">
            <w:pPr>
              <w:pStyle w:val="Tabletext"/>
            </w:pPr>
            <w:r>
              <w:t>COMBI</w:t>
            </w:r>
            <w:r>
              <w:br/>
              <w:t>(iloprost/bosentan)</w:t>
            </w:r>
          </w:p>
          <w:p w:rsidR="00695728" w:rsidRDefault="00695728" w:rsidP="00695728">
            <w:pPr>
              <w:pStyle w:val="Tabletext"/>
            </w:pPr>
            <w:r>
              <w:t>STEP</w:t>
            </w:r>
            <w:r>
              <w:br/>
            </w:r>
            <w:r w:rsidRPr="00D13D2A">
              <w:t>(iloprost/bosentan)</w:t>
            </w:r>
            <w:r>
              <w:t xml:space="preserve"> </w:t>
            </w:r>
          </w:p>
          <w:p w:rsidR="00695728" w:rsidRPr="001D637C" w:rsidRDefault="00695728" w:rsidP="00695728">
            <w:pPr>
              <w:pStyle w:val="Tabletext"/>
            </w:pPr>
            <w:r>
              <w:t>N=105</w:t>
            </w:r>
          </w:p>
        </w:tc>
        <w:tc>
          <w:tcPr>
            <w:tcW w:w="6095" w:type="dxa"/>
          </w:tcPr>
          <w:p w:rsidR="00695728" w:rsidRPr="006B11DC" w:rsidRDefault="00695728" w:rsidP="00480FDF">
            <w:pPr>
              <w:pStyle w:val="Tabletext"/>
              <w:numPr>
                <w:ilvl w:val="0"/>
                <w:numId w:val="38"/>
              </w:numPr>
              <w:ind w:left="227" w:hanging="219"/>
            </w:pPr>
            <w:r>
              <w:t>Moderate</w:t>
            </w:r>
            <w:r w:rsidRPr="006B11DC">
              <w:t xml:space="preserve"> quality evidence (GRADE </w:t>
            </w:r>
            <w:r w:rsidRPr="006B11DC">
              <w:rPr>
                <w:rFonts w:ascii="Cambria Math" w:hAnsi="Cambria Math" w:cs="Cambria Math"/>
                <w:color w:val="00B050"/>
              </w:rPr>
              <w:t>⨁⨁⨁</w:t>
            </w:r>
            <w:r w:rsidRPr="00083FA5">
              <w:rPr>
                <w:rFonts w:ascii="Cambria Math" w:hAnsi="Cambria Math" w:cs="Cambria Math"/>
                <w:color w:val="FF0000"/>
              </w:rPr>
              <w:t>⨀</w:t>
            </w:r>
            <w:r w:rsidRPr="006B11DC">
              <w:t>)</w:t>
            </w:r>
          </w:p>
          <w:p w:rsidR="00695728" w:rsidRPr="00C77B6A" w:rsidRDefault="00695728" w:rsidP="00480FDF">
            <w:pPr>
              <w:pStyle w:val="Tabletext"/>
              <w:numPr>
                <w:ilvl w:val="0"/>
                <w:numId w:val="38"/>
              </w:numPr>
              <w:ind w:left="227" w:hanging="219"/>
            </w:pPr>
            <w:r>
              <w:t>There were no</w:t>
            </w:r>
            <w:r w:rsidR="00955FF7">
              <w:t xml:space="preserve"> deaths during the study period</w:t>
            </w:r>
          </w:p>
        </w:tc>
      </w:tr>
      <w:tr w:rsidR="00695728" w:rsidTr="00D103A9">
        <w:tc>
          <w:tcPr>
            <w:tcW w:w="1555" w:type="dxa"/>
          </w:tcPr>
          <w:p w:rsidR="00695728" w:rsidRPr="001D637C" w:rsidRDefault="00695728" w:rsidP="00695728">
            <w:pPr>
              <w:pStyle w:val="Tabletext"/>
            </w:pPr>
            <w:r>
              <w:lastRenderedPageBreak/>
              <w:t>Hospitalisation due to worsening PAH</w:t>
            </w:r>
          </w:p>
        </w:tc>
        <w:tc>
          <w:tcPr>
            <w:tcW w:w="1984" w:type="dxa"/>
          </w:tcPr>
          <w:p w:rsidR="00695728" w:rsidRDefault="00695728" w:rsidP="00695728">
            <w:pPr>
              <w:pStyle w:val="Tabletext"/>
            </w:pPr>
            <w:r>
              <w:t>COMBI</w:t>
            </w:r>
            <w:r>
              <w:br/>
              <w:t>(iloprost/bosentan)</w:t>
            </w:r>
          </w:p>
          <w:p w:rsidR="00695728" w:rsidRDefault="00695728" w:rsidP="00695728">
            <w:pPr>
              <w:pStyle w:val="Tabletext"/>
            </w:pPr>
            <w:r>
              <w:t>STEP</w:t>
            </w:r>
            <w:r>
              <w:br/>
            </w:r>
            <w:r w:rsidRPr="00D13D2A">
              <w:t>(iloprost/bosentan)</w:t>
            </w:r>
            <w:r>
              <w:t xml:space="preserve"> </w:t>
            </w:r>
          </w:p>
          <w:p w:rsidR="00695728" w:rsidRPr="001D637C" w:rsidRDefault="00695728" w:rsidP="00695728">
            <w:pPr>
              <w:pStyle w:val="Tabletext"/>
            </w:pPr>
            <w:r>
              <w:t>N=105</w:t>
            </w:r>
          </w:p>
        </w:tc>
        <w:tc>
          <w:tcPr>
            <w:tcW w:w="6095" w:type="dxa"/>
          </w:tcPr>
          <w:p w:rsidR="00695728" w:rsidRPr="006B11DC" w:rsidRDefault="00695728" w:rsidP="00480FDF">
            <w:pPr>
              <w:pStyle w:val="Tabletext"/>
              <w:numPr>
                <w:ilvl w:val="0"/>
                <w:numId w:val="38"/>
              </w:numPr>
              <w:ind w:left="227" w:hanging="219"/>
            </w:pPr>
            <w:r>
              <w:t>Moderate</w:t>
            </w:r>
            <w:r w:rsidRPr="006B11DC">
              <w:t xml:space="preserve"> quality evidence (GRADE </w:t>
            </w:r>
            <w:r w:rsidRPr="006B11DC">
              <w:rPr>
                <w:rFonts w:ascii="Cambria Math" w:hAnsi="Cambria Math" w:cs="Cambria Math"/>
                <w:color w:val="00B050"/>
              </w:rPr>
              <w:t>⨁⨁⨁</w:t>
            </w:r>
            <w:r w:rsidRPr="00083FA5">
              <w:rPr>
                <w:rFonts w:ascii="Cambria Math" w:hAnsi="Cambria Math" w:cs="Cambria Math"/>
                <w:color w:val="FF0000"/>
              </w:rPr>
              <w:t>⨀</w:t>
            </w:r>
            <w:r w:rsidRPr="006B11DC">
              <w:t>)</w:t>
            </w:r>
          </w:p>
          <w:p w:rsidR="00695728" w:rsidRPr="00C77B6A" w:rsidRDefault="00695728" w:rsidP="00480FDF">
            <w:pPr>
              <w:pStyle w:val="Tabletext"/>
              <w:numPr>
                <w:ilvl w:val="0"/>
                <w:numId w:val="38"/>
              </w:numPr>
              <w:ind w:left="227" w:hanging="219"/>
            </w:pPr>
            <w:r>
              <w:t xml:space="preserve">Fewer </w:t>
            </w:r>
            <w:r w:rsidRPr="00B92556">
              <w:t xml:space="preserve">patients </w:t>
            </w:r>
            <w:r>
              <w:t>were hospitalised</w:t>
            </w:r>
            <w:r w:rsidRPr="00B92556">
              <w:t xml:space="preserve"> with combination th</w:t>
            </w:r>
            <w:r>
              <w:t>erapy compared with monotherapy</w:t>
            </w:r>
            <w:r w:rsidRPr="00C035C0">
              <w:t xml:space="preserve">, but the 95% CI indicates that there may also be </w:t>
            </w:r>
            <w:r w:rsidR="00955FF7">
              <w:t>an</w:t>
            </w:r>
            <w:r w:rsidRPr="00C035C0">
              <w:t xml:space="preserve"> effect</w:t>
            </w:r>
            <w:r w:rsidRPr="00B92556">
              <w:t xml:space="preserve"> </w:t>
            </w:r>
            <w:r w:rsidR="00955FF7">
              <w:t xml:space="preserve">in the opposite direction </w:t>
            </w:r>
            <w:r w:rsidRPr="00B92556">
              <w:t>(</w:t>
            </w:r>
            <w:r>
              <w:t>pooled ARD</w:t>
            </w:r>
            <w:r w:rsidRPr="00B92556">
              <w:t xml:space="preserve"> = </w:t>
            </w:r>
            <w:r>
              <w:t>−5.5</w:t>
            </w:r>
            <w:r w:rsidRPr="00B92556">
              <w:t xml:space="preserve">%; 95% CI </w:t>
            </w:r>
            <w:r>
              <w:t>−18.9, 7.8</w:t>
            </w:r>
            <w:r w:rsidRPr="00B92556">
              <w:t>)</w:t>
            </w:r>
          </w:p>
        </w:tc>
      </w:tr>
      <w:tr w:rsidR="00695728" w:rsidTr="00D103A9">
        <w:tc>
          <w:tcPr>
            <w:tcW w:w="1555" w:type="dxa"/>
          </w:tcPr>
          <w:p w:rsidR="00695728" w:rsidRPr="001D637C" w:rsidRDefault="00695728" w:rsidP="00695728">
            <w:pPr>
              <w:pStyle w:val="Tabletext"/>
            </w:pPr>
            <w:r w:rsidRPr="00FA1124">
              <w:t>Improved WHO FC</w:t>
            </w:r>
          </w:p>
        </w:tc>
        <w:tc>
          <w:tcPr>
            <w:tcW w:w="1984" w:type="dxa"/>
          </w:tcPr>
          <w:p w:rsidR="00695728" w:rsidRDefault="00695728" w:rsidP="00695728">
            <w:pPr>
              <w:pStyle w:val="Tabletext"/>
            </w:pPr>
            <w:r>
              <w:t>STEP</w:t>
            </w:r>
            <w:r>
              <w:br/>
            </w:r>
            <w:r w:rsidRPr="00D13D2A">
              <w:t>(iloprost/bosentan)</w:t>
            </w:r>
          </w:p>
          <w:p w:rsidR="00695728" w:rsidRPr="001D637C" w:rsidRDefault="00695728" w:rsidP="00695728">
            <w:pPr>
              <w:pStyle w:val="Tabletext"/>
            </w:pPr>
            <w:r>
              <w:t>N=65</w:t>
            </w:r>
          </w:p>
        </w:tc>
        <w:tc>
          <w:tcPr>
            <w:tcW w:w="6095" w:type="dxa"/>
          </w:tcPr>
          <w:p w:rsidR="00695728" w:rsidRPr="006B11DC" w:rsidRDefault="00695728" w:rsidP="00480FDF">
            <w:pPr>
              <w:pStyle w:val="Tabletext"/>
              <w:numPr>
                <w:ilvl w:val="0"/>
                <w:numId w:val="38"/>
              </w:numPr>
              <w:ind w:left="227" w:hanging="219"/>
            </w:pPr>
            <w:r>
              <w:t>Low</w:t>
            </w:r>
            <w:r w:rsidRPr="006B11DC">
              <w:t xml:space="preserve"> quality</w:t>
            </w:r>
            <w:r w:rsidRPr="006B11DC">
              <w:rPr>
                <w:rFonts w:cs="Cambria Math"/>
              </w:rPr>
              <w:t xml:space="preserve"> evidence (GRADE </w:t>
            </w:r>
            <w:r w:rsidRPr="006B11DC">
              <w:rPr>
                <w:rFonts w:ascii="Cambria Math" w:hAnsi="Cambria Math" w:cs="Cambria Math"/>
                <w:color w:val="00B050"/>
              </w:rPr>
              <w:t>⨁⨁</w:t>
            </w:r>
            <w:r w:rsidRPr="00E564DD">
              <w:rPr>
                <w:rFonts w:ascii="Cambria Math" w:eastAsia="Times New Roman" w:hAnsi="Cambria Math" w:cs="Cambria Math"/>
                <w:bCs/>
                <w:color w:val="C00000"/>
              </w:rPr>
              <w:t>⨀</w:t>
            </w:r>
            <w:r w:rsidRPr="006316DF">
              <w:rPr>
                <w:rFonts w:ascii="Cambria Math" w:hAnsi="Cambria Math" w:cs="Cambria Math"/>
                <w:color w:val="C00000"/>
              </w:rPr>
              <w:t>⨀</w:t>
            </w:r>
            <w:r w:rsidRPr="006B11DC">
              <w:t>)</w:t>
            </w:r>
          </w:p>
          <w:p w:rsidR="00695728" w:rsidRPr="006B11DC" w:rsidRDefault="00695728" w:rsidP="00480FDF">
            <w:pPr>
              <w:pStyle w:val="Tabletext"/>
              <w:numPr>
                <w:ilvl w:val="0"/>
                <w:numId w:val="38"/>
              </w:numPr>
              <w:ind w:left="227" w:hanging="219"/>
            </w:pPr>
            <w:r>
              <w:t>Significantly more</w:t>
            </w:r>
            <w:r w:rsidRPr="00B92556">
              <w:t xml:space="preserve"> patients </w:t>
            </w:r>
            <w:r>
              <w:t>improved their WHO FC</w:t>
            </w:r>
            <w:r w:rsidRPr="00B92556">
              <w:t xml:space="preserve"> with combination th</w:t>
            </w:r>
            <w:r>
              <w:t>erapy compared with monotherapy</w:t>
            </w:r>
            <w:r w:rsidRPr="00B92556">
              <w:t xml:space="preserve"> </w:t>
            </w:r>
            <w:r w:rsidRPr="006B11DC">
              <w:t xml:space="preserve">(RR = </w:t>
            </w:r>
            <w:r>
              <w:t>5</w:t>
            </w:r>
            <w:r w:rsidRPr="006B11DC">
              <w:t>.</w:t>
            </w:r>
            <w:r>
              <w:t>67</w:t>
            </w:r>
            <w:r w:rsidRPr="006B11DC">
              <w:t xml:space="preserve">; 95% CI </w:t>
            </w:r>
            <w:r>
              <w:t>1</w:t>
            </w:r>
            <w:r w:rsidRPr="006B11DC">
              <w:t>.</w:t>
            </w:r>
            <w:r>
              <w:t>36</w:t>
            </w:r>
            <w:r w:rsidRPr="006B11DC">
              <w:t xml:space="preserve">, </w:t>
            </w:r>
            <w:r>
              <w:t>23</w:t>
            </w:r>
            <w:r w:rsidRPr="006B11DC">
              <w:t>.</w:t>
            </w:r>
            <w:r>
              <w:t>61</w:t>
            </w:r>
            <w:r w:rsidRPr="006B11DC">
              <w:t>)</w:t>
            </w:r>
          </w:p>
        </w:tc>
      </w:tr>
      <w:tr w:rsidR="00695728" w:rsidTr="00D103A9">
        <w:tc>
          <w:tcPr>
            <w:tcW w:w="1555" w:type="dxa"/>
            <w:tcBorders>
              <w:top w:val="single" w:sz="4" w:space="0" w:color="auto"/>
              <w:left w:val="single" w:sz="4" w:space="0" w:color="auto"/>
              <w:bottom w:val="single" w:sz="4" w:space="0" w:color="auto"/>
              <w:right w:val="single" w:sz="4" w:space="0" w:color="auto"/>
            </w:tcBorders>
          </w:tcPr>
          <w:p w:rsidR="00695728" w:rsidRPr="001D637C" w:rsidRDefault="00695728" w:rsidP="00695728">
            <w:pPr>
              <w:pStyle w:val="Tabletext"/>
            </w:pPr>
            <w:r>
              <w:t xml:space="preserve">Worsened </w:t>
            </w:r>
            <w:r w:rsidRPr="00FA1124">
              <w:t>WHO FC</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STEP</w:t>
            </w:r>
            <w:r>
              <w:br/>
            </w:r>
            <w:r w:rsidRPr="00D13D2A">
              <w:t>(iloprost/bosentan)</w:t>
            </w:r>
            <w:r>
              <w:t xml:space="preserve"> </w:t>
            </w:r>
          </w:p>
          <w:p w:rsidR="00695728" w:rsidRPr="001D637C" w:rsidRDefault="00695728" w:rsidP="00695728">
            <w:pPr>
              <w:pStyle w:val="Tabletext"/>
            </w:pPr>
            <w:r>
              <w:t>N=65</w:t>
            </w:r>
          </w:p>
        </w:tc>
        <w:tc>
          <w:tcPr>
            <w:tcW w:w="6095" w:type="dxa"/>
            <w:tcBorders>
              <w:top w:val="single" w:sz="4" w:space="0" w:color="auto"/>
              <w:left w:val="single" w:sz="4" w:space="0" w:color="auto"/>
              <w:bottom w:val="single" w:sz="4" w:space="0" w:color="auto"/>
              <w:right w:val="single" w:sz="4" w:space="0" w:color="auto"/>
            </w:tcBorders>
          </w:tcPr>
          <w:p w:rsidR="00695728" w:rsidRPr="006B11DC" w:rsidRDefault="00695728" w:rsidP="00480FDF">
            <w:pPr>
              <w:pStyle w:val="Tabletext"/>
              <w:numPr>
                <w:ilvl w:val="0"/>
                <w:numId w:val="38"/>
              </w:numPr>
              <w:ind w:left="227" w:hanging="219"/>
            </w:pPr>
            <w:r>
              <w:t>Moderate</w:t>
            </w:r>
            <w:r w:rsidRPr="006B11DC">
              <w:t xml:space="preserve"> quality</w:t>
            </w:r>
            <w:r w:rsidRPr="006B11DC">
              <w:rPr>
                <w:rFonts w:cs="Cambria Math"/>
              </w:rPr>
              <w:t xml:space="preserve"> evidence (GRADE </w:t>
            </w:r>
            <w:r w:rsidRPr="006B11DC">
              <w:rPr>
                <w:rFonts w:ascii="Cambria Math" w:hAnsi="Cambria Math" w:cs="Cambria Math"/>
                <w:color w:val="00B050"/>
              </w:rPr>
              <w:t>⨁⨁⨁</w:t>
            </w:r>
            <w:r w:rsidRPr="00E564DD">
              <w:rPr>
                <w:rFonts w:ascii="Cambria Math" w:eastAsia="Times New Roman" w:hAnsi="Cambria Math" w:cs="Cambria Math"/>
                <w:bCs/>
                <w:color w:val="C00000"/>
              </w:rPr>
              <w:t>⨀</w:t>
            </w:r>
            <w:r w:rsidRPr="006B11DC">
              <w:t>)</w:t>
            </w:r>
          </w:p>
          <w:p w:rsidR="00695728" w:rsidRPr="006B11DC" w:rsidRDefault="00695728" w:rsidP="00480FDF">
            <w:pPr>
              <w:pStyle w:val="Tabletext"/>
              <w:numPr>
                <w:ilvl w:val="0"/>
                <w:numId w:val="38"/>
              </w:numPr>
              <w:ind w:left="227" w:hanging="219"/>
            </w:pPr>
            <w:r>
              <w:t xml:space="preserve">Fewer </w:t>
            </w:r>
            <w:r w:rsidRPr="00B92556">
              <w:t xml:space="preserve">patients </w:t>
            </w:r>
            <w:r>
              <w:t xml:space="preserve">on </w:t>
            </w:r>
            <w:r w:rsidRPr="00B92556">
              <w:t xml:space="preserve">combination therapy </w:t>
            </w:r>
            <w:r>
              <w:t>had worsening of their WHO FC</w:t>
            </w:r>
            <w:r w:rsidRPr="00B92556">
              <w:t xml:space="preserve"> </w:t>
            </w:r>
            <w:r>
              <w:t>compared with monotherapy,</w:t>
            </w:r>
            <w:r w:rsidRPr="00C94A2C">
              <w:t xml:space="preserve"> but the difference was not statistically significant</w:t>
            </w:r>
            <w:r w:rsidRPr="00B92556">
              <w:t xml:space="preserve"> </w:t>
            </w:r>
            <w:r w:rsidRPr="006B11DC">
              <w:t>(</w:t>
            </w:r>
            <w:r>
              <w:t>ARD</w:t>
            </w:r>
            <w:r w:rsidRPr="006B11DC">
              <w:t xml:space="preserve"> = </w:t>
            </w:r>
            <w:r>
              <w:t>−3.0%</w:t>
            </w:r>
            <w:r w:rsidRPr="006B11DC">
              <w:t xml:space="preserve">; 95% CI </w:t>
            </w:r>
            <w:r>
              <w:t>−8</w:t>
            </w:r>
            <w:r w:rsidRPr="006B11DC">
              <w:t>.</w:t>
            </w:r>
            <w:r>
              <w:t>9, 2.8</w:t>
            </w:r>
            <w:r w:rsidRPr="006B11DC">
              <w:t>)</w:t>
            </w:r>
          </w:p>
        </w:tc>
      </w:tr>
      <w:tr w:rsidR="00695728" w:rsidTr="000E67F8">
        <w:tc>
          <w:tcPr>
            <w:tcW w:w="1555" w:type="dxa"/>
          </w:tcPr>
          <w:p w:rsidR="00695728" w:rsidRPr="001D637C" w:rsidRDefault="00695728" w:rsidP="00695728">
            <w:pPr>
              <w:pStyle w:val="Tabletext"/>
            </w:pPr>
            <w:r>
              <w:t>Change in 6MWD</w:t>
            </w:r>
            <w:r>
              <w:rPr>
                <w:rFonts w:cs="Arial"/>
              </w:rPr>
              <w:t xml:space="preserve"> from baseline</w:t>
            </w:r>
          </w:p>
        </w:tc>
        <w:tc>
          <w:tcPr>
            <w:tcW w:w="1984" w:type="dxa"/>
          </w:tcPr>
          <w:p w:rsidR="00695728" w:rsidRDefault="00695728" w:rsidP="00695728">
            <w:pPr>
              <w:pStyle w:val="Tabletext"/>
            </w:pPr>
            <w:r>
              <w:t>COMBI</w:t>
            </w:r>
            <w:r>
              <w:br/>
              <w:t>(iloprost/bosentan)</w:t>
            </w:r>
          </w:p>
          <w:p w:rsidR="00695728" w:rsidRDefault="00695728" w:rsidP="00695728">
            <w:pPr>
              <w:pStyle w:val="Tabletext"/>
            </w:pPr>
            <w:r>
              <w:t>STEP</w:t>
            </w:r>
            <w:r>
              <w:br/>
            </w:r>
            <w:r w:rsidRPr="00D13D2A">
              <w:t>(iloprost/bosentan)</w:t>
            </w:r>
            <w:r>
              <w:t xml:space="preserve"> </w:t>
            </w:r>
          </w:p>
          <w:p w:rsidR="00695728" w:rsidRPr="001D637C" w:rsidRDefault="00695728" w:rsidP="00695728">
            <w:pPr>
              <w:pStyle w:val="Tabletext"/>
            </w:pPr>
            <w:r>
              <w:t>N=105</w:t>
            </w:r>
          </w:p>
        </w:tc>
        <w:tc>
          <w:tcPr>
            <w:tcW w:w="6095" w:type="dxa"/>
          </w:tcPr>
          <w:p w:rsidR="00695728" w:rsidRPr="006B11DC" w:rsidRDefault="00695728" w:rsidP="00480FDF">
            <w:pPr>
              <w:pStyle w:val="Tabletext"/>
              <w:numPr>
                <w:ilvl w:val="0"/>
                <w:numId w:val="38"/>
              </w:numPr>
              <w:ind w:left="227" w:hanging="219"/>
            </w:pPr>
            <w:r>
              <w:t>Low</w:t>
            </w:r>
            <w:r w:rsidRPr="006B11DC">
              <w:t xml:space="preserve"> quality evidence (GRADE </w:t>
            </w:r>
            <w:r w:rsidRPr="006B11DC">
              <w:rPr>
                <w:rFonts w:ascii="Cambria Math" w:hAnsi="Cambria Math" w:cs="Cambria Math"/>
                <w:color w:val="00B050"/>
              </w:rPr>
              <w:t>⨁⨁</w:t>
            </w:r>
            <w:r w:rsidRPr="006316DF">
              <w:rPr>
                <w:rFonts w:ascii="Cambria Math" w:hAnsi="Cambria Math" w:cs="Cambria Math"/>
                <w:color w:val="C00000"/>
              </w:rPr>
              <w:t>⨀</w:t>
            </w:r>
            <w:r w:rsidRPr="00083FA5">
              <w:rPr>
                <w:rFonts w:ascii="Cambria Math" w:hAnsi="Cambria Math" w:cs="Cambria Math"/>
                <w:color w:val="FF0000"/>
              </w:rPr>
              <w:t>⨀</w:t>
            </w:r>
            <w:r w:rsidRPr="006B11DC">
              <w:t>)</w:t>
            </w:r>
          </w:p>
          <w:p w:rsidR="00695728" w:rsidRPr="006B11DC" w:rsidRDefault="00695728" w:rsidP="00480FDF">
            <w:pPr>
              <w:pStyle w:val="Tabletext"/>
              <w:numPr>
                <w:ilvl w:val="0"/>
                <w:numId w:val="38"/>
              </w:numPr>
              <w:ind w:left="227" w:hanging="219"/>
            </w:pPr>
            <w:r w:rsidRPr="006B11DC">
              <w:t xml:space="preserve">Patients </w:t>
            </w:r>
            <w:r>
              <w:t>on combination therapy</w:t>
            </w:r>
            <w:r w:rsidRPr="006B11DC">
              <w:t xml:space="preserve"> had a larger mean improvement in their 6MWD than those </w:t>
            </w:r>
            <w:r>
              <w:t>on monotherapy</w:t>
            </w:r>
            <w:r w:rsidR="00E81CE2">
              <w:t>, but the difference was not clinically important</w:t>
            </w:r>
            <w:r w:rsidRPr="006B11DC">
              <w:t xml:space="preserve"> (</w:t>
            </w:r>
            <w:r>
              <w:t>range</w:t>
            </w:r>
            <w:r w:rsidRPr="006B11DC">
              <w:t xml:space="preserve"> </w:t>
            </w:r>
            <w:r>
              <w:t xml:space="preserve">10−26 m </w:t>
            </w:r>
            <w:r w:rsidR="00E81CE2">
              <w:t xml:space="preserve">walked </w:t>
            </w:r>
            <w:r>
              <w:t>further</w:t>
            </w:r>
            <w:r w:rsidRPr="006B11DC">
              <w:t>)</w:t>
            </w:r>
          </w:p>
        </w:tc>
      </w:tr>
      <w:tr w:rsidR="00695728" w:rsidTr="000E67F8">
        <w:tc>
          <w:tcPr>
            <w:tcW w:w="1555" w:type="dxa"/>
          </w:tcPr>
          <w:p w:rsidR="00695728" w:rsidRDefault="00695728" w:rsidP="00695728">
            <w:pPr>
              <w:pStyle w:val="Tabletext"/>
            </w:pPr>
            <w:r>
              <w:t>Change in QoL</w:t>
            </w:r>
            <w:r>
              <w:rPr>
                <w:rFonts w:cs="Arial"/>
              </w:rPr>
              <w:t xml:space="preserve"> from baseline</w:t>
            </w:r>
            <w:r>
              <w:t>:</w:t>
            </w:r>
          </w:p>
          <w:p w:rsidR="00695728" w:rsidRPr="001D637C" w:rsidRDefault="00695728" w:rsidP="00695728">
            <w:pPr>
              <w:pStyle w:val="Tabletext"/>
            </w:pPr>
            <w:r>
              <w:t>EQ-VAS</w:t>
            </w:r>
            <w:r w:rsidRPr="000054CF">
              <w:rPr>
                <w:vertAlign w:val="superscript"/>
              </w:rPr>
              <w:t>a</w:t>
            </w:r>
          </w:p>
        </w:tc>
        <w:tc>
          <w:tcPr>
            <w:tcW w:w="1984" w:type="dxa"/>
          </w:tcPr>
          <w:p w:rsidR="00695728" w:rsidRDefault="00695728" w:rsidP="00695728">
            <w:pPr>
              <w:pStyle w:val="Tabletext"/>
            </w:pPr>
            <w:r>
              <w:t>COMBI</w:t>
            </w:r>
            <w:r>
              <w:br/>
              <w:t>(iloprost/bosentan)</w:t>
            </w:r>
          </w:p>
          <w:p w:rsidR="00695728" w:rsidRPr="001D637C" w:rsidRDefault="00695728" w:rsidP="00695728">
            <w:pPr>
              <w:pStyle w:val="Tabletext"/>
            </w:pPr>
            <w:r>
              <w:t>N=40</w:t>
            </w:r>
          </w:p>
        </w:tc>
        <w:tc>
          <w:tcPr>
            <w:tcW w:w="6095" w:type="dxa"/>
          </w:tcPr>
          <w:p w:rsidR="00695728" w:rsidRPr="006B11DC" w:rsidRDefault="00695728" w:rsidP="00480FDF">
            <w:pPr>
              <w:pStyle w:val="Tabletext"/>
              <w:numPr>
                <w:ilvl w:val="0"/>
                <w:numId w:val="38"/>
              </w:numPr>
              <w:ind w:left="227" w:hanging="219"/>
            </w:pPr>
            <w:r>
              <w:t>Very low</w:t>
            </w:r>
            <w:r w:rsidRPr="006B11DC">
              <w:t xml:space="preserve"> quality evidence (GRADE </w:t>
            </w:r>
            <w:r w:rsidRPr="006B11DC">
              <w:rPr>
                <w:rFonts w:ascii="Cambria Math" w:hAnsi="Cambria Math" w:cs="Cambria Math"/>
                <w:color w:val="00B050"/>
              </w:rPr>
              <w:t>⨁</w:t>
            </w:r>
            <w:r w:rsidRPr="00E564DD">
              <w:rPr>
                <w:rFonts w:ascii="Cambria Math" w:eastAsia="Times New Roman" w:hAnsi="Cambria Math" w:cs="Cambria Math"/>
                <w:bCs/>
                <w:color w:val="C00000"/>
              </w:rPr>
              <w:t>⨀</w:t>
            </w:r>
            <w:r w:rsidRPr="006316DF">
              <w:rPr>
                <w:rFonts w:ascii="Cambria Math" w:hAnsi="Cambria Math" w:cs="Cambria Math"/>
                <w:color w:val="C00000"/>
              </w:rPr>
              <w:t>⨀</w:t>
            </w:r>
            <w:r w:rsidRPr="00083FA5">
              <w:rPr>
                <w:rFonts w:ascii="Cambria Math" w:hAnsi="Cambria Math" w:cs="Cambria Math"/>
                <w:color w:val="FF0000"/>
              </w:rPr>
              <w:t>⨀</w:t>
            </w:r>
            <w:r w:rsidRPr="006B11DC">
              <w:t>)</w:t>
            </w:r>
          </w:p>
          <w:p w:rsidR="00695728" w:rsidRPr="006B11DC" w:rsidRDefault="00695728" w:rsidP="00480FDF">
            <w:pPr>
              <w:pStyle w:val="Tabletext"/>
              <w:numPr>
                <w:ilvl w:val="0"/>
                <w:numId w:val="38"/>
              </w:numPr>
              <w:ind w:left="227" w:hanging="219"/>
            </w:pPr>
            <w:r w:rsidRPr="006B11DC">
              <w:t xml:space="preserve">Patients </w:t>
            </w:r>
            <w:r>
              <w:t>on combination therapy</w:t>
            </w:r>
            <w:r w:rsidRPr="006B11DC">
              <w:t xml:space="preserve"> had a larger mean improvement in their </w:t>
            </w:r>
            <w:r>
              <w:t>QoL</w:t>
            </w:r>
            <w:r w:rsidRPr="006B11DC">
              <w:t xml:space="preserve"> than those </w:t>
            </w:r>
            <w:r>
              <w:t>on monotherapy</w:t>
            </w:r>
            <w:r w:rsidRPr="006B11DC">
              <w:t xml:space="preserve"> (</w:t>
            </w:r>
            <w:r w:rsidRPr="006B11DC">
              <w:rPr>
                <w:rFonts w:cs="Arial"/>
              </w:rPr>
              <w:t xml:space="preserve">MD = </w:t>
            </w:r>
            <w:r>
              <w:rPr>
                <w:rFonts w:cs="Arial"/>
              </w:rPr>
              <w:t>10</w:t>
            </w:r>
            <w:r w:rsidRPr="006B11DC">
              <w:rPr>
                <w:rFonts w:cs="Arial"/>
              </w:rPr>
              <w:t xml:space="preserve"> point improvement</w:t>
            </w:r>
            <w:r w:rsidR="00955FF7">
              <w:rPr>
                <w:rFonts w:cs="Arial"/>
              </w:rPr>
              <w:t xml:space="preserve"> was a clinically important difference</w:t>
            </w:r>
            <w:r w:rsidRPr="006B11DC">
              <w:t>)</w:t>
            </w:r>
          </w:p>
        </w:tc>
      </w:tr>
      <w:tr w:rsidR="00695728" w:rsidTr="00D103A9">
        <w:tc>
          <w:tcPr>
            <w:tcW w:w="1555" w:type="dxa"/>
          </w:tcPr>
          <w:p w:rsidR="00695728" w:rsidRDefault="00695728" w:rsidP="00695728">
            <w:pPr>
              <w:pStyle w:val="Tabletext"/>
            </w:pPr>
            <w:r>
              <w:t>Change in haemodynamic parameters</w:t>
            </w:r>
            <w:r>
              <w:rPr>
                <w:rFonts w:cs="Arial"/>
              </w:rPr>
              <w:t xml:space="preserve"> from baseline</w:t>
            </w:r>
            <w:r>
              <w:t>:</w:t>
            </w:r>
          </w:p>
          <w:p w:rsidR="00695728" w:rsidRPr="001D637C" w:rsidRDefault="00695728" w:rsidP="00695728">
            <w:pPr>
              <w:pStyle w:val="Tabletext"/>
            </w:pPr>
            <w:r>
              <w:t>CAI, PVR, mPAP</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STEP</w:t>
            </w:r>
            <w:r>
              <w:br/>
            </w:r>
            <w:r w:rsidRPr="00D13D2A">
              <w:t>(iloprost/bosentan)</w:t>
            </w:r>
            <w:r>
              <w:t xml:space="preserve"> </w:t>
            </w:r>
          </w:p>
          <w:p w:rsidR="00695728" w:rsidRPr="001D637C" w:rsidRDefault="00695728" w:rsidP="00695728">
            <w:pPr>
              <w:pStyle w:val="Tabletext"/>
            </w:pPr>
            <w:r>
              <w:t>N=65</w:t>
            </w:r>
          </w:p>
        </w:tc>
        <w:tc>
          <w:tcPr>
            <w:tcW w:w="6095" w:type="dxa"/>
          </w:tcPr>
          <w:p w:rsidR="00695728" w:rsidRPr="006B11DC" w:rsidRDefault="00695728" w:rsidP="00480FDF">
            <w:pPr>
              <w:pStyle w:val="Tabletext"/>
              <w:numPr>
                <w:ilvl w:val="0"/>
                <w:numId w:val="38"/>
              </w:numPr>
              <w:ind w:left="227" w:hanging="219"/>
            </w:pPr>
            <w:r>
              <w:t>Moderate</w:t>
            </w:r>
            <w:r w:rsidRPr="006B11DC">
              <w:t xml:space="preserve"> quality</w:t>
            </w:r>
            <w:r w:rsidRPr="006B11DC">
              <w:rPr>
                <w:rFonts w:cs="Cambria Math"/>
              </w:rPr>
              <w:t xml:space="preserve"> evidence (GRADE </w:t>
            </w:r>
            <w:r w:rsidRPr="006B11DC">
              <w:rPr>
                <w:rFonts w:ascii="Cambria Math" w:hAnsi="Cambria Math" w:cs="Cambria Math"/>
                <w:color w:val="00B050"/>
              </w:rPr>
              <w:t>⨁⨁⨁</w:t>
            </w:r>
            <w:r w:rsidRPr="006316DF">
              <w:rPr>
                <w:rFonts w:ascii="Cambria Math" w:hAnsi="Cambria Math" w:cs="Cambria Math"/>
                <w:color w:val="C00000"/>
              </w:rPr>
              <w:t>⨀</w:t>
            </w:r>
            <w:r w:rsidRPr="006B11DC">
              <w:t>)</w:t>
            </w:r>
          </w:p>
          <w:p w:rsidR="00695728" w:rsidRPr="006B11DC" w:rsidRDefault="00695728" w:rsidP="00480FDF">
            <w:pPr>
              <w:pStyle w:val="Tabletext"/>
              <w:numPr>
                <w:ilvl w:val="0"/>
                <w:numId w:val="38"/>
              </w:numPr>
              <w:ind w:left="227" w:hanging="219"/>
            </w:pPr>
            <w:r w:rsidRPr="00083FA5">
              <w:rPr>
                <w:szCs w:val="18"/>
              </w:rPr>
              <w:t>Patients on combination therapy had a larger mean improvement in their haemodynamic parameters than those on monotherapy (PVR</w:t>
            </w:r>
            <w:r>
              <w:rPr>
                <w:szCs w:val="18"/>
              </w:rPr>
              <w:t xml:space="preserve"> MD</w:t>
            </w:r>
            <w:r w:rsidRPr="00083FA5">
              <w:rPr>
                <w:szCs w:val="18"/>
              </w:rPr>
              <w:t xml:space="preserve"> = </w:t>
            </w:r>
            <w:r>
              <w:rPr>
                <w:szCs w:val="18"/>
              </w:rPr>
              <w:t>30</w:t>
            </w:r>
            <w:r w:rsidRPr="00083FA5">
              <w:rPr>
                <w:szCs w:val="18"/>
              </w:rPr>
              <w:t>.</w:t>
            </w:r>
            <w:r>
              <w:rPr>
                <w:szCs w:val="18"/>
              </w:rPr>
              <w:t>4</w:t>
            </w:r>
            <w:r w:rsidRPr="00083FA5">
              <w:rPr>
                <w:szCs w:val="18"/>
              </w:rPr>
              <w:t xml:space="preserve">% </w:t>
            </w:r>
            <w:r>
              <w:rPr>
                <w:szCs w:val="18"/>
              </w:rPr>
              <w:t>improvement</w:t>
            </w:r>
            <w:r w:rsidR="00955FF7">
              <w:rPr>
                <w:szCs w:val="18"/>
              </w:rPr>
              <w:t xml:space="preserve"> was a clinically important difference</w:t>
            </w:r>
            <w:r>
              <w:rPr>
                <w:szCs w:val="18"/>
              </w:rPr>
              <w:t xml:space="preserve">; </w:t>
            </w:r>
            <w:r w:rsidRPr="00083FA5">
              <w:rPr>
                <w:szCs w:val="18"/>
              </w:rPr>
              <w:t>mPAP</w:t>
            </w:r>
            <w:r>
              <w:rPr>
                <w:szCs w:val="18"/>
              </w:rPr>
              <w:t xml:space="preserve"> clinically important MD</w:t>
            </w:r>
            <w:r w:rsidRPr="00083FA5">
              <w:rPr>
                <w:szCs w:val="18"/>
              </w:rPr>
              <w:t xml:space="preserve"> = 1</w:t>
            </w:r>
            <w:r>
              <w:rPr>
                <w:szCs w:val="18"/>
              </w:rPr>
              <w:t>5</w:t>
            </w:r>
            <w:r w:rsidRPr="00083FA5">
              <w:rPr>
                <w:szCs w:val="18"/>
              </w:rPr>
              <w:t>.6%</w:t>
            </w:r>
            <w:r>
              <w:rPr>
                <w:szCs w:val="18"/>
              </w:rPr>
              <w:t xml:space="preserve"> improvement</w:t>
            </w:r>
            <w:r w:rsidRPr="00083FA5">
              <w:rPr>
                <w:szCs w:val="18"/>
              </w:rPr>
              <w:t>)</w:t>
            </w:r>
          </w:p>
        </w:tc>
      </w:tr>
    </w:tbl>
    <w:p w:rsidR="000054CF" w:rsidRDefault="000054CF" w:rsidP="00D103A9">
      <w:pPr>
        <w:pStyle w:val="Tablenote"/>
      </w:pPr>
      <w:r w:rsidRPr="000054CF">
        <w:rPr>
          <w:vertAlign w:val="superscript"/>
        </w:rPr>
        <w:t>a</w:t>
      </w:r>
      <w:r>
        <w:t xml:space="preserve"> </w:t>
      </w:r>
      <w:r w:rsidRPr="000054CF">
        <w:t xml:space="preserve">EQ-VAS scores range from 0 to 100. A higher score represents better </w:t>
      </w:r>
      <w:r>
        <w:t>QoL</w:t>
      </w:r>
      <w:r w:rsidRPr="000054CF">
        <w:t xml:space="preserve">. </w:t>
      </w:r>
    </w:p>
    <w:p w:rsidR="003E046F" w:rsidRDefault="009B35CE" w:rsidP="00D103A9">
      <w:pPr>
        <w:pStyle w:val="Tablenote"/>
      </w:pPr>
      <w:r>
        <w:t xml:space="preserve">6MWD = 6-minute </w:t>
      </w:r>
      <w:r w:rsidR="0082368E">
        <w:t>walk distance</w:t>
      </w:r>
      <w:r w:rsidR="00B21201">
        <w:t>; ARD</w:t>
      </w:r>
      <w:r>
        <w:t xml:space="preserve"> = absolute risk </w:t>
      </w:r>
      <w:r w:rsidR="00B21201">
        <w:t>difference</w:t>
      </w:r>
      <w:r>
        <w:t xml:space="preserve">; </w:t>
      </w:r>
      <w:r w:rsidR="00D103A9">
        <w:t xml:space="preserve">CAI = cardiac index; </w:t>
      </w:r>
      <w:r>
        <w:t xml:space="preserve">CI = confidence interval; </w:t>
      </w:r>
      <w:r w:rsidRPr="00E413B2">
        <w:t>EQ-</w:t>
      </w:r>
      <w:r w:rsidR="00107963">
        <w:t>VAS</w:t>
      </w:r>
      <w:r w:rsidRPr="00E413B2">
        <w:t xml:space="preserve"> = </w:t>
      </w:r>
      <w:r w:rsidR="00572AE9" w:rsidRPr="00572AE9">
        <w:t xml:space="preserve">EuroQoL </w:t>
      </w:r>
      <w:r w:rsidR="00107963" w:rsidRPr="00107963">
        <w:t>visual analogue scale</w:t>
      </w:r>
      <w:r w:rsidRPr="00E413B2">
        <w:t xml:space="preserve">; </w:t>
      </w:r>
      <w:r>
        <w:t>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D419F1" w:rsidRPr="009E3B52">
        <w:t xml:space="preserve">; </w:t>
      </w:r>
      <w:r>
        <w:t>MD = mean difference</w:t>
      </w:r>
      <w:r w:rsidR="004510DE">
        <w:t>; mPAP = mean pulmonary artery</w:t>
      </w:r>
      <w:r>
        <w:t xml:space="preserve"> pressure; </w:t>
      </w:r>
      <w:r w:rsidRPr="00C65B42">
        <w:t xml:space="preserve">PAH = pulmonary arterial hypertension; </w:t>
      </w:r>
      <w:r w:rsidRPr="009123E2">
        <w:t>PVR</w:t>
      </w:r>
      <w:r>
        <w:t xml:space="preserve"> = p</w:t>
      </w:r>
      <w:r w:rsidRPr="009123E2">
        <w:t xml:space="preserve">ulmonary </w:t>
      </w:r>
      <w:r>
        <w:t>v</w:t>
      </w:r>
      <w:r w:rsidRPr="009123E2">
        <w:t xml:space="preserve">ascular </w:t>
      </w:r>
      <w:r>
        <w:t>r</w:t>
      </w:r>
      <w:r w:rsidRPr="009123E2">
        <w:t>esistance</w:t>
      </w:r>
      <w:r>
        <w:t>; QoL = quality of life; RR = relative risk; WHO = World Health Organization</w:t>
      </w:r>
    </w:p>
    <w:p w:rsidR="009B35CE" w:rsidRPr="0042195A" w:rsidRDefault="009B35CE" w:rsidP="009B35CE">
      <w:pPr>
        <w:pStyle w:val="Heading5"/>
      </w:pPr>
      <w:r w:rsidRPr="0042195A">
        <w:t>Safety</w:t>
      </w:r>
    </w:p>
    <w:p w:rsidR="009B35CE" w:rsidRDefault="009B35CE" w:rsidP="009B35CE">
      <w:r>
        <w:t xml:space="preserve">Two RCTs reported on the comparative safety of treatment with a </w:t>
      </w:r>
      <w:r w:rsidR="0017012F" w:rsidRPr="00E413B2">
        <w:t>prostanoid</w:t>
      </w:r>
      <w:r w:rsidRPr="00E413B2">
        <w:t xml:space="preserve"> in addition to an ERA </w:t>
      </w:r>
      <w:r>
        <w:t xml:space="preserve">compared with an ERA alone in patients with </w:t>
      </w:r>
      <w:r w:rsidRPr="00E413B2">
        <w:t xml:space="preserve">WHO FC III/IV </w:t>
      </w:r>
      <w:r>
        <w:t>PAH:</w:t>
      </w:r>
    </w:p>
    <w:p w:rsidR="009B35CE" w:rsidRPr="00B607A5" w:rsidRDefault="009B35CE" w:rsidP="00D103A9">
      <w:pPr>
        <w:pStyle w:val="Bullettext"/>
      </w:pPr>
      <w:r w:rsidRPr="00B607A5">
        <w:t>COMBI and STEP</w:t>
      </w:r>
    </w:p>
    <w:p w:rsidR="009B35CE" w:rsidRPr="00B607A5" w:rsidRDefault="00E20AB7" w:rsidP="00D103A9">
      <w:pPr>
        <w:pStyle w:val="Bullettext"/>
      </w:pPr>
      <w:r w:rsidRPr="00B607A5">
        <w:t>There were no new safety signals identified.</w:t>
      </w:r>
    </w:p>
    <w:p w:rsidR="009B35CE" w:rsidRPr="00256659" w:rsidRDefault="009B35CE" w:rsidP="009B35CE">
      <w:r w:rsidRPr="00256659">
        <w:t>The evidence provided by these trial</w:t>
      </w:r>
      <w:r w:rsidR="004B3BDC">
        <w:t>s is summarised in Table 4.14</w:t>
      </w:r>
      <w:r w:rsidRPr="00256659">
        <w:t>.</w:t>
      </w:r>
    </w:p>
    <w:p w:rsidR="009B35CE" w:rsidRDefault="001E5DED" w:rsidP="009B35CE">
      <w:r>
        <w:t xml:space="preserve">Overall, </w:t>
      </w:r>
      <w:r w:rsidRPr="001E5DED">
        <w:t xml:space="preserve">there is considerable uncertainty as to whether the use of a prostanoid in addition to </w:t>
      </w:r>
      <w:r w:rsidR="000E0E91">
        <w:t xml:space="preserve">an </w:t>
      </w:r>
      <w:r w:rsidRPr="001E5DED">
        <w:t>ERA is likely to be as safe as ERA monotherapy in patients with WHO FC III/IV PAH</w:t>
      </w:r>
      <w:r w:rsidR="009B35CE" w:rsidRPr="006316DF">
        <w:t xml:space="preserve">. </w:t>
      </w:r>
    </w:p>
    <w:p w:rsidR="005035F1" w:rsidRDefault="005035F1">
      <w:pPr>
        <w:spacing w:before="0" w:line="240" w:lineRule="auto"/>
        <w:rPr>
          <w:b/>
          <w:iCs/>
          <w:szCs w:val="18"/>
        </w:rPr>
      </w:pPr>
      <w:bookmarkStart w:id="33" w:name="_Ref506203156"/>
      <w:r>
        <w:br w:type="page"/>
      </w:r>
    </w:p>
    <w:p w:rsidR="009B35CE" w:rsidRDefault="00272F8F" w:rsidP="00BC5A2B">
      <w:pPr>
        <w:pStyle w:val="Caption"/>
      </w:pPr>
      <w:bookmarkStart w:id="34" w:name="_Toc512855418"/>
      <w:r>
        <w:lastRenderedPageBreak/>
        <w:t>Table 4.</w:t>
      </w:r>
      <w:r w:rsidR="00AA722D">
        <w:rPr>
          <w:noProof/>
        </w:rPr>
        <w:t>14</w:t>
      </w:r>
      <w:bookmarkEnd w:id="33"/>
      <w:r w:rsidR="00D103A9">
        <w:tab/>
      </w:r>
      <w:r w:rsidR="009B35CE">
        <w:t xml:space="preserve">Summary of the evidence for the safety of a </w:t>
      </w:r>
      <w:r w:rsidR="001E5DED" w:rsidRPr="00673C2E">
        <w:t>prostanoid</w:t>
      </w:r>
      <w:r w:rsidR="009B35CE" w:rsidRPr="00673C2E">
        <w:t xml:space="preserve"> in addition to an ERA, relative to ERA monotherapy</w:t>
      </w:r>
      <w:bookmarkEnd w:id="34"/>
    </w:p>
    <w:tbl>
      <w:tblPr>
        <w:tblStyle w:val="TableGrid"/>
        <w:tblW w:w="9634" w:type="dxa"/>
        <w:tblLook w:val="04A0" w:firstRow="1" w:lastRow="0" w:firstColumn="1" w:lastColumn="0" w:noHBand="0" w:noVBand="1"/>
        <w:tblCaption w:val="Summary of the evidence for the safety of a prostanoid in addition to an ERA, relative to ERA monotherapy"/>
      </w:tblPr>
      <w:tblGrid>
        <w:gridCol w:w="1555"/>
        <w:gridCol w:w="1984"/>
        <w:gridCol w:w="6095"/>
      </w:tblGrid>
      <w:tr w:rsidR="009B35CE" w:rsidRPr="00D103A9" w:rsidTr="00D103A9">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D103A9" w:rsidRDefault="009B35CE" w:rsidP="00D103A9">
            <w:pPr>
              <w:pStyle w:val="Tabletext"/>
              <w:rPr>
                <w:rFonts w:asciiTheme="minorHAnsi" w:hAnsiTheme="minorHAnsi"/>
                <w:b/>
              </w:rPr>
            </w:pPr>
            <w:r w:rsidRPr="00D103A9">
              <w:rPr>
                <w:b/>
              </w:rPr>
              <w:t>Outcome</w:t>
            </w:r>
          </w:p>
        </w:tc>
        <w:tc>
          <w:tcPr>
            <w:tcW w:w="1984" w:type="dxa"/>
            <w:tcBorders>
              <w:top w:val="single" w:sz="4" w:space="0" w:color="auto"/>
              <w:left w:val="single" w:sz="4" w:space="0" w:color="auto"/>
              <w:bottom w:val="single" w:sz="4" w:space="0" w:color="auto"/>
              <w:right w:val="single" w:sz="4" w:space="0" w:color="auto"/>
            </w:tcBorders>
          </w:tcPr>
          <w:p w:rsidR="0051596A" w:rsidRDefault="009B35CE" w:rsidP="0051596A">
            <w:pPr>
              <w:pStyle w:val="Tabletext"/>
              <w:rPr>
                <w:b/>
              </w:rPr>
            </w:pPr>
            <w:r w:rsidRPr="00D103A9">
              <w:rPr>
                <w:b/>
              </w:rPr>
              <w:t>Included trials</w:t>
            </w:r>
            <w:r w:rsidR="0051596A">
              <w:rPr>
                <w:b/>
              </w:rPr>
              <w:t xml:space="preserve"> </w:t>
            </w:r>
          </w:p>
          <w:p w:rsidR="009B35CE" w:rsidRPr="00D103A9" w:rsidRDefault="0051596A" w:rsidP="0051596A">
            <w:pPr>
              <w:pStyle w:val="Tabletext"/>
              <w:rPr>
                <w:rFonts w:asciiTheme="minorHAnsi" w:hAnsiTheme="minorHAnsi"/>
                <w:b/>
              </w:rPr>
            </w:pPr>
            <w:r w:rsidRPr="00293DE5">
              <w:rPr>
                <w:b/>
              </w:rPr>
              <w:t>No. of patients</w:t>
            </w:r>
            <w:r w:rsidR="009B35CE" w:rsidRPr="00D103A9">
              <w:rPr>
                <w:b/>
              </w:rPr>
              <w:t xml:space="preserve"> </w:t>
            </w:r>
          </w:p>
        </w:tc>
        <w:tc>
          <w:tcPr>
            <w:tcW w:w="6095" w:type="dxa"/>
            <w:tcBorders>
              <w:top w:val="single" w:sz="4" w:space="0" w:color="auto"/>
              <w:left w:val="single" w:sz="4" w:space="0" w:color="auto"/>
              <w:bottom w:val="single" w:sz="4" w:space="0" w:color="auto"/>
              <w:right w:val="single" w:sz="4" w:space="0" w:color="auto"/>
            </w:tcBorders>
          </w:tcPr>
          <w:p w:rsidR="009B35CE" w:rsidRPr="00D103A9" w:rsidRDefault="009B35CE" w:rsidP="00D103A9">
            <w:pPr>
              <w:pStyle w:val="Tabletext"/>
              <w:rPr>
                <w:rFonts w:asciiTheme="minorHAnsi" w:hAnsiTheme="minorHAnsi"/>
                <w:b/>
              </w:rPr>
            </w:pPr>
            <w:r w:rsidRPr="00D103A9">
              <w:rPr>
                <w:b/>
              </w:rPr>
              <w:t>Summary of evidence</w:t>
            </w:r>
          </w:p>
        </w:tc>
      </w:tr>
      <w:tr w:rsidR="009B35CE"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Default="009B35CE" w:rsidP="00D103A9">
            <w:pPr>
              <w:pStyle w:val="Tabletext"/>
              <w:rPr>
                <w:rFonts w:asciiTheme="minorHAnsi" w:hAnsiTheme="minorHAnsi"/>
              </w:rPr>
            </w:pPr>
            <w:r>
              <w:t>P</w:t>
            </w:r>
            <w:r w:rsidRPr="00FD4377">
              <w:t>atients with WHO FC III/IV PAH</w:t>
            </w:r>
          </w:p>
        </w:tc>
      </w:tr>
      <w:tr w:rsidR="009B35CE" w:rsidTr="00D103A9">
        <w:tc>
          <w:tcPr>
            <w:tcW w:w="1555" w:type="dxa"/>
            <w:tcBorders>
              <w:top w:val="single" w:sz="4" w:space="0" w:color="auto"/>
              <w:left w:val="single" w:sz="4" w:space="0" w:color="auto"/>
              <w:bottom w:val="single" w:sz="4" w:space="0" w:color="auto"/>
              <w:right w:val="single" w:sz="4" w:space="0" w:color="auto"/>
            </w:tcBorders>
          </w:tcPr>
          <w:p w:rsidR="009B35CE" w:rsidRPr="001D637C" w:rsidRDefault="009B35CE" w:rsidP="00D103A9">
            <w:pPr>
              <w:pStyle w:val="Tabletext"/>
            </w:pPr>
            <w:r>
              <w:t>Any AE</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COMBI</w:t>
            </w:r>
            <w:r w:rsidR="00B37D37">
              <w:br/>
            </w:r>
            <w:r>
              <w:t>(iloprost/bosentan)</w:t>
            </w:r>
          </w:p>
          <w:p w:rsidR="009B35CE" w:rsidRDefault="009B35CE" w:rsidP="00B37D37">
            <w:pPr>
              <w:pStyle w:val="Tabletext"/>
            </w:pPr>
            <w:r>
              <w:t>STEP</w:t>
            </w:r>
            <w:r w:rsidR="00B37D37">
              <w:br/>
            </w:r>
            <w:r w:rsidRPr="00D13D2A">
              <w:t>(iloprost/bosentan)</w:t>
            </w:r>
          </w:p>
          <w:p w:rsidR="002600D5" w:rsidRPr="001D637C" w:rsidRDefault="002600D5" w:rsidP="00B37D37">
            <w:pPr>
              <w:pStyle w:val="Tabletext"/>
            </w:pPr>
            <w:r>
              <w:t>N=107</w:t>
            </w:r>
          </w:p>
        </w:tc>
        <w:tc>
          <w:tcPr>
            <w:tcW w:w="6095" w:type="dxa"/>
            <w:tcBorders>
              <w:top w:val="single" w:sz="4" w:space="0" w:color="auto"/>
              <w:left w:val="single" w:sz="4" w:space="0" w:color="auto"/>
              <w:bottom w:val="single" w:sz="4" w:space="0" w:color="auto"/>
              <w:right w:val="single" w:sz="4" w:space="0" w:color="auto"/>
            </w:tcBorders>
          </w:tcPr>
          <w:p w:rsidR="009B35CE" w:rsidRPr="00C77B6A" w:rsidRDefault="005D597D" w:rsidP="00480FDF">
            <w:pPr>
              <w:pStyle w:val="Tabletext"/>
              <w:numPr>
                <w:ilvl w:val="0"/>
                <w:numId w:val="39"/>
              </w:numPr>
              <w:ind w:left="227" w:hanging="219"/>
            </w:pPr>
            <w:r>
              <w:t>Very l</w:t>
            </w:r>
            <w:r w:rsidR="009B35CE">
              <w:t>ow</w:t>
            </w:r>
            <w:r w:rsidR="009B35CE" w:rsidRPr="00C77B6A">
              <w:t xml:space="preserve"> quality</w:t>
            </w:r>
            <w:r w:rsidR="009B35CE" w:rsidRPr="00C77B6A">
              <w:rPr>
                <w:rFonts w:cs="Cambria Math"/>
              </w:rPr>
              <w:t xml:space="preserve"> evidence (GRADE </w:t>
            </w:r>
            <w:r w:rsidR="009B35CE" w:rsidRPr="00416ABC">
              <w:rPr>
                <w:rFonts w:ascii="Cambria Math" w:hAnsi="Cambria Math" w:cs="Cambria Math"/>
                <w:color w:val="00B050"/>
              </w:rPr>
              <w:t>⨁</w:t>
            </w:r>
            <w:r w:rsidRPr="00E564DD">
              <w:rPr>
                <w:rFonts w:ascii="Cambria Math" w:eastAsia="Times New Roman" w:hAnsi="Cambria Math" w:cs="Cambria Math"/>
                <w:bCs/>
                <w:color w:val="C00000"/>
              </w:rPr>
              <w:t>⨀</w:t>
            </w:r>
            <w:r w:rsidR="009B35CE" w:rsidRPr="00416ABC">
              <w:rPr>
                <w:rFonts w:ascii="Cambria Math" w:hAnsi="Cambria Math" w:cs="Cambria Math"/>
                <w:color w:val="C00000"/>
              </w:rPr>
              <w:t>⨀⨀</w:t>
            </w:r>
            <w:r w:rsidR="009B35CE" w:rsidRPr="00C77B6A">
              <w:t>)</w:t>
            </w:r>
          </w:p>
          <w:p w:rsidR="009B35CE" w:rsidRPr="00B96C6F" w:rsidRDefault="009B35CE" w:rsidP="00480FDF">
            <w:pPr>
              <w:pStyle w:val="Tabletext"/>
              <w:numPr>
                <w:ilvl w:val="0"/>
                <w:numId w:val="39"/>
              </w:numPr>
              <w:ind w:left="227" w:hanging="219"/>
            </w:pPr>
            <w:r w:rsidRPr="00E413B2">
              <w:t xml:space="preserve">More patients experienced an AE with combination therapy compared with monotherapy, but the </w:t>
            </w:r>
            <w:r w:rsidR="00D84687">
              <w:t>95% CI indicates</w:t>
            </w:r>
            <w:r w:rsidRPr="00E413B2">
              <w:t xml:space="preserve"> </w:t>
            </w:r>
            <w:r w:rsidR="00196DB5">
              <w:t>there was an effect in the opposite direction</w:t>
            </w:r>
            <w:r w:rsidRPr="00E413B2">
              <w:t xml:space="preserve"> </w:t>
            </w:r>
            <w:r w:rsidRPr="00B96C6F">
              <w:t>(</w:t>
            </w:r>
            <w:r>
              <w:t xml:space="preserve">pooled </w:t>
            </w:r>
            <w:r w:rsidRPr="00B96C6F">
              <w:t xml:space="preserve">RR = </w:t>
            </w:r>
            <w:r>
              <w:t>2</w:t>
            </w:r>
            <w:r w:rsidRPr="00B96C6F">
              <w:t>.</w:t>
            </w:r>
            <w:r>
              <w:t>40</w:t>
            </w:r>
            <w:r w:rsidRPr="00B96C6F">
              <w:t>; 95% CI 0.</w:t>
            </w:r>
            <w:r>
              <w:t>15</w:t>
            </w:r>
            <w:r w:rsidRPr="00B96C6F">
              <w:t xml:space="preserve">, </w:t>
            </w:r>
            <w:r>
              <w:t>37</w:t>
            </w:r>
            <w:r w:rsidRPr="00B96C6F">
              <w:t>.</w:t>
            </w:r>
            <w:r>
              <w:t>41</w:t>
            </w:r>
            <w:r w:rsidRPr="00B96C6F">
              <w:t>)</w:t>
            </w:r>
          </w:p>
        </w:tc>
      </w:tr>
      <w:tr w:rsidR="009B35CE" w:rsidTr="00D103A9">
        <w:tc>
          <w:tcPr>
            <w:tcW w:w="1555" w:type="dxa"/>
          </w:tcPr>
          <w:p w:rsidR="009B35CE" w:rsidRPr="001D637C" w:rsidRDefault="009B35CE" w:rsidP="00D103A9">
            <w:pPr>
              <w:pStyle w:val="Tabletext"/>
            </w:pPr>
            <w:r>
              <w:t>Serious AEs</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B37D37">
            <w:pPr>
              <w:pStyle w:val="Tabletext"/>
            </w:pPr>
            <w:r>
              <w:t>STEP</w:t>
            </w:r>
            <w:r w:rsidR="00B37D37">
              <w:br/>
            </w:r>
            <w:r w:rsidRPr="00D13D2A">
              <w:t>(iloprost/bosentan)</w:t>
            </w:r>
          </w:p>
          <w:p w:rsidR="002600D5" w:rsidRPr="001D637C" w:rsidRDefault="002600D5" w:rsidP="00B37D37">
            <w:pPr>
              <w:pStyle w:val="Tabletext"/>
            </w:pPr>
            <w:r>
              <w:t>N=67</w:t>
            </w:r>
          </w:p>
        </w:tc>
        <w:tc>
          <w:tcPr>
            <w:tcW w:w="6095" w:type="dxa"/>
          </w:tcPr>
          <w:p w:rsidR="009B35CE" w:rsidRPr="00B96C6F" w:rsidRDefault="009B35CE" w:rsidP="00480FDF">
            <w:pPr>
              <w:pStyle w:val="Tabletext"/>
              <w:numPr>
                <w:ilvl w:val="0"/>
                <w:numId w:val="39"/>
              </w:numPr>
              <w:ind w:left="227" w:hanging="219"/>
            </w:pPr>
            <w:r>
              <w:t>Moderate</w:t>
            </w:r>
            <w:r w:rsidRPr="00B96C6F">
              <w:t xml:space="preserve"> quality</w:t>
            </w:r>
            <w:r w:rsidRPr="00B96C6F">
              <w:rPr>
                <w:rFonts w:cs="Cambria Math"/>
              </w:rPr>
              <w:t xml:space="preserve"> evidence (GRADE </w:t>
            </w:r>
            <w:r w:rsidRPr="00B96C6F">
              <w:rPr>
                <w:rFonts w:ascii="Cambria Math" w:hAnsi="Cambria Math" w:cs="Cambria Math"/>
                <w:color w:val="00B050"/>
              </w:rPr>
              <w:t>⨁⨁⨁</w:t>
            </w:r>
            <w:r w:rsidRPr="00083FA5">
              <w:rPr>
                <w:rFonts w:ascii="Cambria Math" w:hAnsi="Cambria Math" w:cs="Cambria Math"/>
                <w:color w:val="FF0000"/>
              </w:rPr>
              <w:t>⨀</w:t>
            </w:r>
            <w:r w:rsidRPr="00B96C6F">
              <w:t>)</w:t>
            </w:r>
          </w:p>
          <w:p w:rsidR="009B35CE" w:rsidRPr="00B96C6F" w:rsidRDefault="009B35CE" w:rsidP="00480FDF">
            <w:pPr>
              <w:pStyle w:val="Tabletext"/>
              <w:numPr>
                <w:ilvl w:val="0"/>
                <w:numId w:val="39"/>
              </w:numPr>
              <w:ind w:left="227" w:hanging="219"/>
            </w:pPr>
            <w:r w:rsidRPr="00B96C6F">
              <w:rPr>
                <w:szCs w:val="18"/>
              </w:rPr>
              <w:t xml:space="preserve">Fewer patients </w:t>
            </w:r>
            <w:r w:rsidR="000E0E91">
              <w:rPr>
                <w:szCs w:val="18"/>
              </w:rPr>
              <w:t xml:space="preserve">had </w:t>
            </w:r>
            <w:r>
              <w:rPr>
                <w:szCs w:val="18"/>
              </w:rPr>
              <w:t>a serious AE</w:t>
            </w:r>
            <w:r w:rsidRPr="00B96C6F">
              <w:t xml:space="preserve"> with combination the</w:t>
            </w:r>
            <w:r>
              <w:t>rapy compared with monotherapy,</w:t>
            </w:r>
            <w:r w:rsidRPr="00B96C6F">
              <w:t xml:space="preserve"> </w:t>
            </w:r>
            <w:r w:rsidRPr="00F3410B">
              <w:t xml:space="preserve">but the </w:t>
            </w:r>
            <w:r w:rsidR="00D84687">
              <w:t>95% CI indicates</w:t>
            </w:r>
            <w:r w:rsidRPr="00F3410B">
              <w:t xml:space="preserve"> that there could also be </w:t>
            </w:r>
            <w:r w:rsidR="000E0E91">
              <w:t>an</w:t>
            </w:r>
            <w:r w:rsidRPr="00F3410B">
              <w:t xml:space="preserve"> effect</w:t>
            </w:r>
            <w:r w:rsidRPr="00B96C6F">
              <w:t xml:space="preserve"> </w:t>
            </w:r>
            <w:r w:rsidR="000E0E91">
              <w:t xml:space="preserve">in the opposite direction </w:t>
            </w:r>
            <w:r w:rsidRPr="00B96C6F">
              <w:t>(</w:t>
            </w:r>
            <w:r>
              <w:t>RR = 0.65</w:t>
            </w:r>
            <w:r w:rsidRPr="00B96C6F">
              <w:t>; 95% CI 0.</w:t>
            </w:r>
            <w:r>
              <w:t>23</w:t>
            </w:r>
            <w:r w:rsidRPr="00B96C6F">
              <w:t xml:space="preserve">, </w:t>
            </w:r>
            <w:r>
              <w:t>1</w:t>
            </w:r>
            <w:r w:rsidRPr="00B96C6F">
              <w:t>.</w:t>
            </w:r>
            <w:r>
              <w:t>85</w:t>
            </w:r>
            <w:r w:rsidRPr="00B96C6F">
              <w:t>)</w:t>
            </w:r>
          </w:p>
        </w:tc>
      </w:tr>
      <w:tr w:rsidR="009B35CE" w:rsidTr="00D103A9">
        <w:tc>
          <w:tcPr>
            <w:tcW w:w="1555" w:type="dxa"/>
          </w:tcPr>
          <w:p w:rsidR="009B35CE" w:rsidRDefault="009B35CE" w:rsidP="00D103A9">
            <w:pPr>
              <w:pStyle w:val="Tabletext"/>
            </w:pPr>
            <w:r w:rsidRPr="00B96C6F">
              <w:t>AEs leading to treatment discontinuation</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B37D37">
            <w:pPr>
              <w:pStyle w:val="Tabletext"/>
            </w:pPr>
            <w:r>
              <w:t>COMBI</w:t>
            </w:r>
            <w:r w:rsidR="00B37D37">
              <w:br/>
            </w:r>
            <w:r>
              <w:t>(iloprost/bosentan)</w:t>
            </w:r>
          </w:p>
          <w:p w:rsidR="002600D5" w:rsidRDefault="002600D5" w:rsidP="00B37D37">
            <w:pPr>
              <w:pStyle w:val="Tabletext"/>
            </w:pPr>
            <w:r>
              <w:t>N=40</w:t>
            </w:r>
          </w:p>
        </w:tc>
        <w:tc>
          <w:tcPr>
            <w:tcW w:w="6095" w:type="dxa"/>
            <w:tcBorders>
              <w:top w:val="single" w:sz="4" w:space="0" w:color="auto"/>
              <w:left w:val="single" w:sz="4" w:space="0" w:color="auto"/>
              <w:bottom w:val="single" w:sz="4" w:space="0" w:color="auto"/>
              <w:right w:val="single" w:sz="4" w:space="0" w:color="auto"/>
            </w:tcBorders>
          </w:tcPr>
          <w:p w:rsidR="009B35CE" w:rsidRPr="00C77B6A" w:rsidRDefault="00C828F9" w:rsidP="00480FDF">
            <w:pPr>
              <w:pStyle w:val="Tabletext"/>
              <w:numPr>
                <w:ilvl w:val="0"/>
                <w:numId w:val="39"/>
              </w:numPr>
              <w:ind w:left="227" w:hanging="219"/>
            </w:pPr>
            <w:r>
              <w:t>Very l</w:t>
            </w:r>
            <w:r w:rsidR="009B35CE">
              <w:t>ow</w:t>
            </w:r>
            <w:r w:rsidR="009B35CE" w:rsidRPr="00C77B6A">
              <w:t xml:space="preserve"> quality</w:t>
            </w:r>
            <w:r w:rsidR="009B35CE" w:rsidRPr="00C77B6A">
              <w:rPr>
                <w:rFonts w:cs="Cambria Math"/>
              </w:rPr>
              <w:t xml:space="preserve"> evidence (GRADE </w:t>
            </w:r>
            <w:r w:rsidR="009B35CE" w:rsidRPr="00416ABC">
              <w:rPr>
                <w:rFonts w:ascii="Cambria Math" w:hAnsi="Cambria Math" w:cs="Cambria Math"/>
                <w:color w:val="00B050"/>
              </w:rPr>
              <w:t>⨁</w:t>
            </w:r>
            <w:r w:rsidRPr="00416ABC">
              <w:rPr>
                <w:rFonts w:ascii="Cambria Math" w:hAnsi="Cambria Math" w:cs="Cambria Math"/>
                <w:color w:val="C00000"/>
              </w:rPr>
              <w:t>⨀</w:t>
            </w:r>
            <w:r w:rsidR="009B35CE" w:rsidRPr="00416ABC">
              <w:rPr>
                <w:rFonts w:ascii="Cambria Math" w:hAnsi="Cambria Math" w:cs="Cambria Math"/>
                <w:color w:val="C00000"/>
              </w:rPr>
              <w:t>⨀⨀</w:t>
            </w:r>
            <w:r w:rsidR="009B35CE" w:rsidRPr="00C77B6A">
              <w:t>)</w:t>
            </w:r>
          </w:p>
          <w:p w:rsidR="009B35CE" w:rsidRPr="006B11DC" w:rsidRDefault="009B35CE" w:rsidP="00480FDF">
            <w:pPr>
              <w:pStyle w:val="Tabletext"/>
              <w:numPr>
                <w:ilvl w:val="0"/>
                <w:numId w:val="39"/>
              </w:numPr>
              <w:ind w:left="227" w:hanging="219"/>
            </w:pPr>
            <w:r>
              <w:t xml:space="preserve">More </w:t>
            </w:r>
            <w:r w:rsidRPr="00F3410B">
              <w:t>patients had an AE leading to treatment discontinuation</w:t>
            </w:r>
            <w:r w:rsidRPr="00B96C6F">
              <w:t xml:space="preserve"> with combination therapy compared with monotherapy, </w:t>
            </w:r>
            <w:r w:rsidRPr="00F3410B">
              <w:t xml:space="preserve">but </w:t>
            </w:r>
            <w:r>
              <w:t xml:space="preserve">the difference was not statistically significant </w:t>
            </w:r>
            <w:r w:rsidRPr="00B96C6F">
              <w:t>(</w:t>
            </w:r>
            <w:r w:rsidR="00B21201">
              <w:t>ARD</w:t>
            </w:r>
            <w:r w:rsidRPr="00B96C6F">
              <w:t xml:space="preserve"> = </w:t>
            </w:r>
            <w:r>
              <w:t>5.2%</w:t>
            </w:r>
            <w:r w:rsidRPr="00B96C6F">
              <w:t xml:space="preserve">; 95% CI </w:t>
            </w:r>
            <w:r>
              <w:t>−4</w:t>
            </w:r>
            <w:r w:rsidRPr="00B96C6F">
              <w:t>.</w:t>
            </w:r>
            <w:r>
              <w:t>8</w:t>
            </w:r>
            <w:r w:rsidRPr="00B96C6F">
              <w:t xml:space="preserve">, </w:t>
            </w:r>
            <w:r>
              <w:t>15</w:t>
            </w:r>
            <w:r w:rsidRPr="00B96C6F">
              <w:t>.</w:t>
            </w:r>
            <w:r>
              <w:t>3</w:t>
            </w:r>
            <w:r w:rsidRPr="00B96C6F">
              <w:t>)</w:t>
            </w:r>
          </w:p>
        </w:tc>
      </w:tr>
    </w:tbl>
    <w:p w:rsidR="00D419F1" w:rsidRPr="006316DF" w:rsidRDefault="009B35CE" w:rsidP="00D103A9">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D419F1">
        <w:t xml:space="preserve">; </w:t>
      </w:r>
      <w:r w:rsidRPr="009123E2">
        <w:t>PAH</w:t>
      </w:r>
      <w:r>
        <w:t xml:space="preserve"> = p</w:t>
      </w:r>
      <w:r w:rsidRPr="009123E2">
        <w:t xml:space="preserve">ulmonary </w:t>
      </w:r>
      <w:r>
        <w:t>a</w:t>
      </w:r>
      <w:r w:rsidRPr="009123E2">
        <w:t xml:space="preserve">rterial </w:t>
      </w:r>
      <w:r>
        <w:t>h</w:t>
      </w:r>
      <w:r w:rsidRPr="009123E2">
        <w:t>ypertension</w:t>
      </w:r>
      <w:r>
        <w:t>; RR = relative risk; WHO = World Health Organization</w:t>
      </w:r>
    </w:p>
    <w:p w:rsidR="009B35CE" w:rsidRPr="006316DF" w:rsidRDefault="00441F08" w:rsidP="009B35CE">
      <w:pPr>
        <w:pStyle w:val="Heading4"/>
      </w:pPr>
      <w:r>
        <w:t>4.1.3.6</w:t>
      </w:r>
      <w:r>
        <w:tab/>
      </w:r>
      <w:r w:rsidR="009B35CE" w:rsidRPr="00CA622D">
        <w:t xml:space="preserve">sGC stimulator </w:t>
      </w:r>
      <w:r w:rsidR="009B35CE" w:rsidRPr="00EF6A61">
        <w:t xml:space="preserve">in addition to </w:t>
      </w:r>
      <w:r w:rsidR="009B35CE">
        <w:t>an ERA</w:t>
      </w:r>
    </w:p>
    <w:p w:rsidR="009B35CE" w:rsidRPr="00107676" w:rsidRDefault="009B35CE" w:rsidP="009B35CE">
      <w:pPr>
        <w:pStyle w:val="Heading5"/>
      </w:pPr>
      <w:r w:rsidRPr="00107676">
        <w:t>Clinical effectiveness</w:t>
      </w:r>
    </w:p>
    <w:p w:rsidR="009B35CE" w:rsidRDefault="009B35CE" w:rsidP="009B35CE">
      <w:r>
        <w:t xml:space="preserve">One </w:t>
      </w:r>
      <w:r w:rsidRPr="00822C52">
        <w:t xml:space="preserve">RCT reported on the effectiveness of a </w:t>
      </w:r>
      <w:r w:rsidRPr="002375AD">
        <w:t xml:space="preserve">sGC stimulator in addition to an ERA </w:t>
      </w:r>
      <w:r w:rsidRPr="00822C52">
        <w:t xml:space="preserve">in treating PAH </w:t>
      </w:r>
      <w:r w:rsidR="000E0E91">
        <w:t xml:space="preserve">when </w:t>
      </w:r>
      <w:r w:rsidRPr="00822C52">
        <w:t xml:space="preserve">compared with </w:t>
      </w:r>
      <w:r w:rsidR="000E0E91">
        <w:t xml:space="preserve">a </w:t>
      </w:r>
      <w:r w:rsidRPr="00822C52">
        <w:t>placebo plus a</w:t>
      </w:r>
      <w:r>
        <w:t>n</w:t>
      </w:r>
      <w:r w:rsidRPr="00822C52">
        <w:t xml:space="preserve"> </w:t>
      </w:r>
      <w:r>
        <w:t>ERA</w:t>
      </w:r>
      <w:r w:rsidRPr="00822C52">
        <w:t xml:space="preserve"> in patients with PAH</w:t>
      </w:r>
      <w:r>
        <w:t>:</w:t>
      </w:r>
    </w:p>
    <w:p w:rsidR="009B35CE" w:rsidRPr="00B607A5" w:rsidRDefault="009B35CE" w:rsidP="00D103A9">
      <w:pPr>
        <w:pStyle w:val="Bullettext"/>
      </w:pPr>
      <w:r w:rsidRPr="00B607A5">
        <w:t xml:space="preserve">PATENT-1 enrolled </w:t>
      </w:r>
      <w:r w:rsidR="006F5806" w:rsidRPr="00B607A5">
        <w:t xml:space="preserve">WHO FC I-IV </w:t>
      </w:r>
      <w:r w:rsidR="000E0E91" w:rsidRPr="00B607A5">
        <w:t xml:space="preserve">PAH </w:t>
      </w:r>
      <w:r w:rsidRPr="00B607A5">
        <w:t xml:space="preserve">patients with or without background ERA or </w:t>
      </w:r>
      <w:r w:rsidR="0017012F" w:rsidRPr="00B607A5">
        <w:t>prostanoid</w:t>
      </w:r>
      <w:r w:rsidRPr="00B607A5">
        <w:t xml:space="preserve"> therapy, to receive riociguat or placebo</w:t>
      </w:r>
      <w:r w:rsidR="006F5806" w:rsidRPr="00B607A5">
        <w:t xml:space="preserve">. </w:t>
      </w:r>
    </w:p>
    <w:p w:rsidR="009B35CE" w:rsidRPr="00B607A5" w:rsidRDefault="006F5806" w:rsidP="00D103A9">
      <w:pPr>
        <w:pStyle w:val="Bullettext"/>
      </w:pPr>
      <w:r w:rsidRPr="00B607A5">
        <w:t>A s</w:t>
      </w:r>
      <w:r w:rsidR="009B35CE" w:rsidRPr="00B607A5">
        <w:t xml:space="preserve">ubgroup analysis for </w:t>
      </w:r>
      <w:r w:rsidRPr="00B607A5">
        <w:t xml:space="preserve">pre-treated </w:t>
      </w:r>
      <w:r w:rsidR="009B35CE" w:rsidRPr="00B607A5">
        <w:t>patients with WHO FC III/IV PAH was also undertaken</w:t>
      </w:r>
    </w:p>
    <w:p w:rsidR="009B35CE" w:rsidRPr="00B607A5" w:rsidRDefault="009B35CE" w:rsidP="00D103A9">
      <w:pPr>
        <w:pStyle w:val="Bullettext"/>
        <w:numPr>
          <w:ilvl w:val="1"/>
          <w:numId w:val="1"/>
        </w:numPr>
        <w:ind w:left="1134"/>
      </w:pPr>
      <w:r w:rsidRPr="00B607A5">
        <w:t xml:space="preserve">12/87 (14%) patients in this subgroup were treated with a </w:t>
      </w:r>
      <w:r w:rsidR="0017012F" w:rsidRPr="00B607A5">
        <w:t>prostanoid</w:t>
      </w:r>
      <w:r w:rsidR="00F03788" w:rsidRPr="00B607A5">
        <w:t xml:space="preserve"> instead of an ERA</w:t>
      </w:r>
      <w:r w:rsidRPr="00B607A5">
        <w:t>.</w:t>
      </w:r>
    </w:p>
    <w:p w:rsidR="004B3BDC" w:rsidRDefault="009B35CE" w:rsidP="004B3BDC">
      <w:pPr>
        <w:spacing w:before="0" w:line="240" w:lineRule="auto"/>
      </w:pPr>
      <w:r>
        <w:t>The evidence provided by th</w:t>
      </w:r>
      <w:r w:rsidR="000E0E91">
        <w:t>is trial</w:t>
      </w:r>
      <w:r>
        <w:t xml:space="preserve"> is summarised in</w:t>
      </w:r>
      <w:r w:rsidR="004B3BDC">
        <w:t xml:space="preserve"> Table 4.15.</w:t>
      </w:r>
    </w:p>
    <w:p w:rsidR="006F5806" w:rsidRDefault="006F5806" w:rsidP="006F5806">
      <w:r>
        <w:t xml:space="preserve">Overall, </w:t>
      </w:r>
      <w:r w:rsidRPr="000522D6">
        <w:t xml:space="preserve">there </w:t>
      </w:r>
      <w:r w:rsidRPr="006F5806">
        <w:t xml:space="preserve">is </w:t>
      </w:r>
      <w:r w:rsidR="003C4687">
        <w:t xml:space="preserve">very </w:t>
      </w:r>
      <w:r w:rsidRPr="006F5806">
        <w:t>limited</w:t>
      </w:r>
      <w:r w:rsidRPr="000522D6">
        <w:t xml:space="preserve"> evidence </w:t>
      </w:r>
      <w:r>
        <w:t>indicating that the</w:t>
      </w:r>
      <w:r w:rsidRPr="000522D6">
        <w:t xml:space="preserve"> </w:t>
      </w:r>
      <w:r w:rsidRPr="006316DF">
        <w:t xml:space="preserve">use of a </w:t>
      </w:r>
      <w:r w:rsidRPr="00DC1C45">
        <w:t>sGC stimulator</w:t>
      </w:r>
      <w:r w:rsidRPr="00D00AC2">
        <w:t xml:space="preserve"> in addition to an ERA</w:t>
      </w:r>
      <w:r w:rsidRPr="000522D6">
        <w:t xml:space="preserve">, relative to </w:t>
      </w:r>
      <w:r>
        <w:t>ERA</w:t>
      </w:r>
      <w:r w:rsidRPr="000522D6">
        <w:t xml:space="preserve"> monotherapy</w:t>
      </w:r>
      <w:r>
        <w:t>,</w:t>
      </w:r>
      <w:r w:rsidRPr="000522D6">
        <w:t xml:space="preserve"> </w:t>
      </w:r>
      <w:r w:rsidR="00A17B9D">
        <w:rPr>
          <w:noProof/>
          <w:color w:val="000000"/>
          <w:highlight w:val="black"/>
        </w:rPr>
        <w:t>''''''' ''''' '''''''''''''''''''</w:t>
      </w:r>
      <w:r w:rsidRPr="00AB7ED5">
        <w:t xml:space="preserve"> </w:t>
      </w:r>
      <w:r>
        <w:t>for PAH patients</w:t>
      </w:r>
      <w:r w:rsidRPr="006316DF">
        <w:t xml:space="preserve">. </w:t>
      </w:r>
      <w:r>
        <w:t>The evidence for patients with WHO FC III/IV PAH</w:t>
      </w:r>
      <w:r w:rsidRPr="00FD4377">
        <w:t xml:space="preserve"> </w:t>
      </w:r>
      <w:r>
        <w:t xml:space="preserve">showed a similar </w:t>
      </w:r>
      <w:r w:rsidR="00A17B9D">
        <w:rPr>
          <w:noProof/>
          <w:color w:val="000000"/>
          <w:highlight w:val="black"/>
        </w:rPr>
        <w:t>'''''''''''''''''''</w:t>
      </w:r>
      <w:r>
        <w:t xml:space="preserve"> effect. This finding would be stronger if it were replicated in additional research.</w:t>
      </w:r>
    </w:p>
    <w:p w:rsidR="005035F1" w:rsidRDefault="005035F1">
      <w:pPr>
        <w:spacing w:before="0" w:line="240" w:lineRule="auto"/>
        <w:rPr>
          <w:b/>
          <w:iCs/>
          <w:szCs w:val="18"/>
        </w:rPr>
      </w:pPr>
      <w:bookmarkStart w:id="35" w:name="_Ref506204602"/>
      <w:r>
        <w:br w:type="page"/>
      </w:r>
    </w:p>
    <w:p w:rsidR="009B35CE" w:rsidRDefault="00272F8F" w:rsidP="00BC5A2B">
      <w:pPr>
        <w:pStyle w:val="Caption"/>
      </w:pPr>
      <w:bookmarkStart w:id="36" w:name="_Toc512855419"/>
      <w:r>
        <w:lastRenderedPageBreak/>
        <w:t>Table 4.</w:t>
      </w:r>
      <w:r w:rsidR="00AA722D">
        <w:rPr>
          <w:noProof/>
        </w:rPr>
        <w:t>15</w:t>
      </w:r>
      <w:bookmarkEnd w:id="35"/>
      <w:r w:rsidR="00D103A9">
        <w:tab/>
      </w:r>
      <w:r w:rsidR="009B35CE">
        <w:t xml:space="preserve">Summary of the evidence for the clinical effectiveness of a </w:t>
      </w:r>
      <w:r w:rsidR="009B35CE" w:rsidRPr="00CA622D">
        <w:t>sGC stimulator in addition to an ERA</w:t>
      </w:r>
      <w:r w:rsidR="009B35CE">
        <w:t>,</w:t>
      </w:r>
      <w:r w:rsidR="009B35CE" w:rsidRPr="00542902">
        <w:t xml:space="preserve"> relative</w:t>
      </w:r>
      <w:r w:rsidR="009B35CE">
        <w:t xml:space="preserve"> to ERA monotherapy</w:t>
      </w:r>
      <w:bookmarkEnd w:id="36"/>
    </w:p>
    <w:tbl>
      <w:tblPr>
        <w:tblStyle w:val="TableGrid"/>
        <w:tblW w:w="9752" w:type="dxa"/>
        <w:tblLayout w:type="fixed"/>
        <w:tblLook w:val="04A0" w:firstRow="1" w:lastRow="0" w:firstColumn="1" w:lastColumn="0" w:noHBand="0" w:noVBand="1"/>
        <w:tblCaption w:val="Summary of the evidence for the clinical effectiveness of a sGC stimulator in addition to an ERA, relative to ERA monotherapy"/>
      </w:tblPr>
      <w:tblGrid>
        <w:gridCol w:w="1475"/>
        <w:gridCol w:w="1559"/>
        <w:gridCol w:w="6718"/>
      </w:tblGrid>
      <w:tr w:rsidR="009B35CE" w:rsidRPr="00D103A9" w:rsidTr="00DE4B2C">
        <w:trPr>
          <w:cnfStyle w:val="100000000000" w:firstRow="1" w:lastRow="0" w:firstColumn="0" w:lastColumn="0" w:oddVBand="0" w:evenVBand="0" w:oddHBand="0" w:evenHBand="0" w:firstRowFirstColumn="0" w:firstRowLastColumn="0" w:lastRowFirstColumn="0" w:lastRowLastColumn="0"/>
        </w:trPr>
        <w:tc>
          <w:tcPr>
            <w:tcW w:w="1475" w:type="dxa"/>
            <w:tcBorders>
              <w:top w:val="single" w:sz="4" w:space="0" w:color="auto"/>
              <w:left w:val="single" w:sz="4" w:space="0" w:color="auto"/>
              <w:bottom w:val="single" w:sz="4" w:space="0" w:color="auto"/>
              <w:right w:val="single" w:sz="4" w:space="0" w:color="auto"/>
            </w:tcBorders>
          </w:tcPr>
          <w:p w:rsidR="009B35CE" w:rsidRPr="00D103A9" w:rsidRDefault="009B35CE" w:rsidP="00D103A9">
            <w:pPr>
              <w:pStyle w:val="Tabletext"/>
              <w:rPr>
                <w:rFonts w:asciiTheme="minorHAnsi" w:hAnsiTheme="minorHAnsi"/>
                <w:b/>
              </w:rPr>
            </w:pPr>
            <w:r w:rsidRPr="00D103A9">
              <w:rPr>
                <w:b/>
              </w:rPr>
              <w:t>Outcome</w:t>
            </w:r>
          </w:p>
        </w:tc>
        <w:tc>
          <w:tcPr>
            <w:tcW w:w="1559" w:type="dxa"/>
            <w:tcBorders>
              <w:top w:val="single" w:sz="4" w:space="0" w:color="auto"/>
              <w:left w:val="single" w:sz="4" w:space="0" w:color="auto"/>
              <w:bottom w:val="single" w:sz="4" w:space="0" w:color="auto"/>
              <w:right w:val="single" w:sz="4" w:space="0" w:color="auto"/>
            </w:tcBorders>
          </w:tcPr>
          <w:p w:rsidR="0051596A" w:rsidRDefault="009B35CE" w:rsidP="0051596A">
            <w:pPr>
              <w:pStyle w:val="Tabletext"/>
              <w:rPr>
                <w:b/>
              </w:rPr>
            </w:pPr>
            <w:r w:rsidRPr="00D103A9">
              <w:rPr>
                <w:b/>
              </w:rPr>
              <w:t>Included trials</w:t>
            </w:r>
            <w:r w:rsidR="0051596A">
              <w:rPr>
                <w:b/>
              </w:rPr>
              <w:t xml:space="preserve"> </w:t>
            </w:r>
          </w:p>
          <w:p w:rsidR="009B35CE" w:rsidRPr="00D103A9" w:rsidRDefault="0051596A" w:rsidP="0051596A">
            <w:pPr>
              <w:pStyle w:val="Tabletext"/>
              <w:rPr>
                <w:rFonts w:asciiTheme="minorHAnsi" w:hAnsiTheme="minorHAnsi"/>
                <w:b/>
              </w:rPr>
            </w:pPr>
            <w:r w:rsidRPr="00293DE5">
              <w:rPr>
                <w:b/>
              </w:rPr>
              <w:t>No. of patients</w:t>
            </w:r>
            <w:r w:rsidR="009B35CE" w:rsidRPr="00D103A9">
              <w:rPr>
                <w:b/>
              </w:rPr>
              <w:t xml:space="preserve"> </w:t>
            </w:r>
          </w:p>
        </w:tc>
        <w:tc>
          <w:tcPr>
            <w:tcW w:w="6718" w:type="dxa"/>
            <w:tcBorders>
              <w:top w:val="single" w:sz="4" w:space="0" w:color="auto"/>
              <w:left w:val="single" w:sz="4" w:space="0" w:color="auto"/>
              <w:bottom w:val="single" w:sz="4" w:space="0" w:color="auto"/>
              <w:right w:val="single" w:sz="4" w:space="0" w:color="auto"/>
            </w:tcBorders>
          </w:tcPr>
          <w:p w:rsidR="009B35CE" w:rsidRPr="00D103A9" w:rsidRDefault="009B35CE" w:rsidP="00D103A9">
            <w:pPr>
              <w:pStyle w:val="Tabletext"/>
              <w:rPr>
                <w:rFonts w:asciiTheme="minorHAnsi" w:hAnsiTheme="minorHAnsi"/>
                <w:b/>
              </w:rPr>
            </w:pPr>
            <w:r w:rsidRPr="00D103A9">
              <w:rPr>
                <w:b/>
              </w:rPr>
              <w:t>Summary of evidence</w:t>
            </w:r>
          </w:p>
        </w:tc>
      </w:tr>
      <w:tr w:rsidR="009B35CE" w:rsidTr="00DE4B2C">
        <w:tc>
          <w:tcPr>
            <w:tcW w:w="9752" w:type="dxa"/>
            <w:gridSpan w:val="3"/>
            <w:tcBorders>
              <w:top w:val="nil"/>
              <w:left w:val="single" w:sz="4" w:space="0" w:color="auto"/>
              <w:bottom w:val="single" w:sz="4" w:space="0" w:color="auto"/>
              <w:right w:val="single" w:sz="4" w:space="0" w:color="auto"/>
            </w:tcBorders>
            <w:shd w:val="clear" w:color="auto" w:fill="000000"/>
          </w:tcPr>
          <w:p w:rsidR="009B35CE" w:rsidRDefault="009B35CE" w:rsidP="00487776">
            <w:pPr>
              <w:pStyle w:val="Tabletext"/>
              <w:keepNext/>
              <w:rPr>
                <w:rFonts w:asciiTheme="minorHAnsi" w:hAnsiTheme="minorHAnsi"/>
              </w:rPr>
            </w:pPr>
            <w:r>
              <w:t>All PAH patients</w:t>
            </w:r>
          </w:p>
        </w:tc>
      </w:tr>
      <w:tr w:rsidR="009B35CE" w:rsidTr="00DE4B2C">
        <w:tc>
          <w:tcPr>
            <w:tcW w:w="1475" w:type="dxa"/>
            <w:tcBorders>
              <w:top w:val="single" w:sz="4" w:space="0" w:color="auto"/>
              <w:left w:val="single" w:sz="4" w:space="0" w:color="auto"/>
              <w:bottom w:val="single" w:sz="4" w:space="0" w:color="auto"/>
              <w:right w:val="single" w:sz="4" w:space="0" w:color="auto"/>
            </w:tcBorders>
          </w:tcPr>
          <w:p w:rsidR="009B35CE" w:rsidRPr="001D637C" w:rsidRDefault="009B35CE" w:rsidP="00D103A9">
            <w:pPr>
              <w:pStyle w:val="Tabletext"/>
            </w:pPr>
            <w:r w:rsidRPr="001D637C">
              <w:t>Clinical worsening</w:t>
            </w:r>
          </w:p>
        </w:tc>
        <w:tc>
          <w:tcPr>
            <w:tcW w:w="1559" w:type="dxa"/>
            <w:tcBorders>
              <w:top w:val="single" w:sz="4" w:space="0" w:color="auto"/>
              <w:left w:val="single" w:sz="4" w:space="0" w:color="auto"/>
              <w:bottom w:val="single" w:sz="4" w:space="0" w:color="auto"/>
              <w:right w:val="single" w:sz="4" w:space="0" w:color="auto"/>
            </w:tcBorders>
          </w:tcPr>
          <w:p w:rsidR="009B35CE" w:rsidRDefault="009B35CE" w:rsidP="00B37D37">
            <w:pPr>
              <w:pStyle w:val="Tabletext"/>
            </w:pPr>
            <w:r>
              <w:t>PATENT-1</w:t>
            </w:r>
            <w:r w:rsidR="00B37D37">
              <w:br/>
            </w:r>
            <w:r>
              <w:t>(riociguat/ERA)</w:t>
            </w:r>
          </w:p>
          <w:p w:rsidR="002600D5" w:rsidRPr="001D637C" w:rsidRDefault="002600D5" w:rsidP="00B37D37">
            <w:pPr>
              <w:pStyle w:val="Tabletext"/>
            </w:pPr>
            <w:r>
              <w:t>N=167</w:t>
            </w:r>
          </w:p>
        </w:tc>
        <w:tc>
          <w:tcPr>
            <w:tcW w:w="6718" w:type="dxa"/>
            <w:tcBorders>
              <w:top w:val="single" w:sz="4" w:space="0" w:color="auto"/>
              <w:left w:val="single" w:sz="4" w:space="0" w:color="auto"/>
              <w:bottom w:val="single" w:sz="4" w:space="0" w:color="auto"/>
              <w:right w:val="single" w:sz="4" w:space="0" w:color="auto"/>
            </w:tcBorders>
          </w:tcPr>
          <w:p w:rsidR="009B35CE" w:rsidRPr="00054374" w:rsidRDefault="005D597D" w:rsidP="00480FDF">
            <w:pPr>
              <w:pStyle w:val="Tabletext"/>
              <w:numPr>
                <w:ilvl w:val="0"/>
                <w:numId w:val="40"/>
              </w:numPr>
              <w:ind w:left="227" w:hanging="227"/>
              <w:rPr>
                <w:szCs w:val="18"/>
              </w:rPr>
            </w:pPr>
            <w:r>
              <w:t>Moderate</w:t>
            </w:r>
            <w:r w:rsidR="009B35CE" w:rsidRPr="00054374">
              <w:t xml:space="preserve"> quality</w:t>
            </w:r>
            <w:r w:rsidR="009B35CE" w:rsidRPr="00054374">
              <w:rPr>
                <w:rFonts w:cs="Cambria Math"/>
              </w:rPr>
              <w:t xml:space="preserve"> evidence (GRADE </w:t>
            </w:r>
            <w:r w:rsidR="009B35CE" w:rsidRPr="00054374">
              <w:rPr>
                <w:rFonts w:ascii="Cambria Math" w:hAnsi="Cambria Math" w:cs="Cambria Math"/>
                <w:color w:val="00B050"/>
              </w:rPr>
              <w:t>⨁⨁⨁</w:t>
            </w:r>
            <w:r w:rsidRPr="00E564DD">
              <w:rPr>
                <w:rFonts w:ascii="Cambria Math" w:eastAsia="Times New Roman" w:hAnsi="Cambria Math" w:cs="Cambria Math"/>
                <w:bCs/>
                <w:color w:val="C00000"/>
              </w:rPr>
              <w:t>⨀</w:t>
            </w:r>
            <w:r w:rsidR="009B35CE" w:rsidRPr="00054374">
              <w:t>)</w:t>
            </w:r>
          </w:p>
          <w:p w:rsidR="009B35CE" w:rsidRPr="00DE4B2C" w:rsidRDefault="00A17B9D" w:rsidP="00A17B9D">
            <w:pPr>
              <w:pStyle w:val="Tabletext"/>
              <w:ind w:left="227" w:hanging="227"/>
              <w:rPr>
                <w:sz w:val="16"/>
                <w:szCs w:val="16"/>
                <w:highlight w:val="black"/>
              </w:rPr>
            </w:pP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9B35CE" w:rsidTr="00DE4B2C">
        <w:tc>
          <w:tcPr>
            <w:tcW w:w="1475" w:type="dxa"/>
          </w:tcPr>
          <w:p w:rsidR="009B35CE" w:rsidRPr="001D637C" w:rsidRDefault="009B35CE" w:rsidP="00D103A9">
            <w:pPr>
              <w:pStyle w:val="Tabletext"/>
            </w:pPr>
            <w:r>
              <w:t>All-cause mortality</w:t>
            </w:r>
          </w:p>
        </w:tc>
        <w:tc>
          <w:tcPr>
            <w:tcW w:w="1559" w:type="dxa"/>
            <w:tcBorders>
              <w:top w:val="single" w:sz="4" w:space="0" w:color="auto"/>
              <w:left w:val="single" w:sz="4" w:space="0" w:color="auto"/>
              <w:bottom w:val="single" w:sz="4" w:space="0" w:color="auto"/>
              <w:right w:val="single" w:sz="4" w:space="0" w:color="auto"/>
            </w:tcBorders>
          </w:tcPr>
          <w:p w:rsidR="002600D5" w:rsidRDefault="009B35CE" w:rsidP="002600D5">
            <w:pPr>
              <w:pStyle w:val="Tabletext"/>
            </w:pPr>
            <w:r>
              <w:t>PATENT-1</w:t>
            </w:r>
            <w:r w:rsidR="00B37D37">
              <w:br/>
            </w:r>
            <w:r>
              <w:t>(riociguat/ERA)</w:t>
            </w:r>
            <w:r w:rsidR="002600D5">
              <w:t xml:space="preserve"> </w:t>
            </w:r>
          </w:p>
          <w:p w:rsidR="009B35CE" w:rsidRPr="001D637C" w:rsidRDefault="002600D5" w:rsidP="002600D5">
            <w:pPr>
              <w:pStyle w:val="Tabletext"/>
            </w:pPr>
            <w:r>
              <w:t>N=167</w:t>
            </w:r>
          </w:p>
        </w:tc>
        <w:tc>
          <w:tcPr>
            <w:tcW w:w="6718" w:type="dxa"/>
          </w:tcPr>
          <w:p w:rsidR="009B35CE" w:rsidRPr="00054374" w:rsidRDefault="009B35CE" w:rsidP="00480FDF">
            <w:pPr>
              <w:pStyle w:val="Tabletext"/>
              <w:numPr>
                <w:ilvl w:val="0"/>
                <w:numId w:val="40"/>
              </w:numPr>
              <w:ind w:left="227" w:hanging="227"/>
            </w:pPr>
            <w:r w:rsidRPr="00054374">
              <w:t>High quality</w:t>
            </w:r>
            <w:r w:rsidRPr="00054374">
              <w:rPr>
                <w:rFonts w:cs="Cambria Math"/>
              </w:rPr>
              <w:t xml:space="preserve"> evidence (GRADE </w:t>
            </w:r>
            <w:r w:rsidRPr="00054374">
              <w:rPr>
                <w:rFonts w:ascii="Cambria Math" w:hAnsi="Cambria Math" w:cs="Cambria Math"/>
                <w:color w:val="00B050"/>
              </w:rPr>
              <w:t>⨁⨁⨁⨁</w:t>
            </w:r>
            <w:r w:rsidRPr="00054374">
              <w:t>)</w:t>
            </w:r>
          </w:p>
          <w:p w:rsidR="009B35CE" w:rsidRPr="00DE4B2C" w:rsidRDefault="00A17B9D" w:rsidP="00A17B9D">
            <w:pPr>
              <w:pStyle w:val="Tabletext"/>
              <w:ind w:left="227" w:hanging="227"/>
              <w:rPr>
                <w:sz w:val="16"/>
                <w:szCs w:val="16"/>
                <w:highlight w:val="black"/>
              </w:rPr>
            </w:pP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9B35CE" w:rsidTr="00DE4B2C">
        <w:tc>
          <w:tcPr>
            <w:tcW w:w="1475" w:type="dxa"/>
            <w:tcBorders>
              <w:top w:val="single" w:sz="4" w:space="0" w:color="auto"/>
              <w:left w:val="single" w:sz="4" w:space="0" w:color="auto"/>
              <w:bottom w:val="single" w:sz="4" w:space="0" w:color="auto"/>
              <w:right w:val="single" w:sz="4" w:space="0" w:color="auto"/>
            </w:tcBorders>
          </w:tcPr>
          <w:p w:rsidR="009B35CE" w:rsidRPr="001D637C" w:rsidRDefault="009B35CE" w:rsidP="00D103A9">
            <w:pPr>
              <w:pStyle w:val="Tabletext"/>
            </w:pPr>
            <w:r>
              <w:t>Hospitalisation</w:t>
            </w:r>
            <w:r w:rsidR="004F560A">
              <w:t xml:space="preserve"> due to </w:t>
            </w:r>
            <w:r w:rsidR="00C828F9">
              <w:t xml:space="preserve">worsening </w:t>
            </w:r>
            <w:r w:rsidR="004F560A">
              <w:t>PAH</w:t>
            </w:r>
          </w:p>
        </w:tc>
        <w:tc>
          <w:tcPr>
            <w:tcW w:w="1559" w:type="dxa"/>
            <w:tcBorders>
              <w:top w:val="single" w:sz="4" w:space="0" w:color="auto"/>
              <w:left w:val="single" w:sz="4" w:space="0" w:color="auto"/>
              <w:bottom w:val="single" w:sz="4" w:space="0" w:color="auto"/>
              <w:right w:val="single" w:sz="4" w:space="0" w:color="auto"/>
            </w:tcBorders>
          </w:tcPr>
          <w:p w:rsidR="002600D5" w:rsidRDefault="009B35CE" w:rsidP="002600D5">
            <w:pPr>
              <w:pStyle w:val="Tabletext"/>
            </w:pPr>
            <w:r>
              <w:t>PATENT-1</w:t>
            </w:r>
            <w:r w:rsidR="00B37D37">
              <w:br/>
            </w:r>
            <w:r>
              <w:t>(riociguat/ERA)</w:t>
            </w:r>
            <w:r w:rsidR="002600D5">
              <w:t xml:space="preserve"> </w:t>
            </w:r>
          </w:p>
          <w:p w:rsidR="009B35CE" w:rsidRPr="001D637C" w:rsidRDefault="002600D5" w:rsidP="002600D5">
            <w:pPr>
              <w:pStyle w:val="Tabletext"/>
            </w:pPr>
            <w:r>
              <w:t>N=167</w:t>
            </w:r>
          </w:p>
        </w:tc>
        <w:tc>
          <w:tcPr>
            <w:tcW w:w="6718" w:type="dxa"/>
            <w:tcBorders>
              <w:top w:val="single" w:sz="4" w:space="0" w:color="auto"/>
              <w:left w:val="single" w:sz="4" w:space="0" w:color="auto"/>
              <w:bottom w:val="single" w:sz="4" w:space="0" w:color="auto"/>
              <w:right w:val="single" w:sz="4" w:space="0" w:color="auto"/>
            </w:tcBorders>
          </w:tcPr>
          <w:p w:rsidR="009B35CE" w:rsidRPr="00054374" w:rsidRDefault="005D597D" w:rsidP="00480FDF">
            <w:pPr>
              <w:pStyle w:val="Tabletext"/>
              <w:numPr>
                <w:ilvl w:val="0"/>
                <w:numId w:val="40"/>
              </w:numPr>
              <w:ind w:left="227" w:hanging="227"/>
            </w:pPr>
            <w:r>
              <w:t>Moderate</w:t>
            </w:r>
            <w:r w:rsidR="009B35CE" w:rsidRPr="00054374">
              <w:t xml:space="preserve"> quality</w:t>
            </w:r>
            <w:r w:rsidR="009B35CE" w:rsidRPr="00054374">
              <w:rPr>
                <w:rFonts w:cs="Cambria Math"/>
              </w:rPr>
              <w:t xml:space="preserve"> evidence (GRADE </w:t>
            </w:r>
            <w:r w:rsidR="009B35CE" w:rsidRPr="00054374">
              <w:rPr>
                <w:rFonts w:ascii="Cambria Math" w:hAnsi="Cambria Math" w:cs="Cambria Math"/>
                <w:color w:val="00B050"/>
              </w:rPr>
              <w:t>⨁⨁⨁</w:t>
            </w:r>
            <w:r w:rsidRPr="00E564DD">
              <w:rPr>
                <w:rFonts w:ascii="Cambria Math" w:eastAsia="Times New Roman" w:hAnsi="Cambria Math" w:cs="Cambria Math"/>
                <w:bCs/>
                <w:color w:val="C00000"/>
              </w:rPr>
              <w:t>⨀</w:t>
            </w:r>
            <w:r w:rsidR="009B35CE" w:rsidRPr="00054374">
              <w:t>)</w:t>
            </w:r>
          </w:p>
          <w:p w:rsidR="009B35CE" w:rsidRPr="00A17B9D" w:rsidRDefault="00A17B9D" w:rsidP="00A17B9D">
            <w:pPr>
              <w:pStyle w:val="Tabletext"/>
              <w:ind w:left="227" w:hanging="227"/>
              <w:rPr>
                <w:highlight w:val="black"/>
              </w:rPr>
            </w:pPr>
            <w:r>
              <w:rPr>
                <w:rFonts w:ascii="Symbol" w:hAnsi="Symbol"/>
                <w:noProof/>
                <w:color w:val="000000"/>
                <w:highlight w:val="black"/>
              </w:rPr>
              <w:t></w:t>
            </w: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9B35CE" w:rsidTr="00DE4B2C">
        <w:tc>
          <w:tcPr>
            <w:tcW w:w="1475" w:type="dxa"/>
            <w:tcBorders>
              <w:top w:val="single" w:sz="4" w:space="0" w:color="auto"/>
              <w:left w:val="single" w:sz="4" w:space="0" w:color="auto"/>
              <w:bottom w:val="single" w:sz="4" w:space="0" w:color="auto"/>
              <w:right w:val="single" w:sz="4" w:space="0" w:color="auto"/>
            </w:tcBorders>
          </w:tcPr>
          <w:p w:rsidR="009B35CE" w:rsidRPr="001D637C" w:rsidRDefault="009B35CE" w:rsidP="00D103A9">
            <w:pPr>
              <w:pStyle w:val="Tabletext"/>
            </w:pPr>
            <w:r w:rsidRPr="00FA1124">
              <w:t>Improved WHO FC</w:t>
            </w:r>
          </w:p>
        </w:tc>
        <w:tc>
          <w:tcPr>
            <w:tcW w:w="1559" w:type="dxa"/>
            <w:tcBorders>
              <w:top w:val="single" w:sz="4" w:space="0" w:color="auto"/>
              <w:left w:val="single" w:sz="4" w:space="0" w:color="auto"/>
              <w:bottom w:val="single" w:sz="4" w:space="0" w:color="auto"/>
              <w:right w:val="single" w:sz="4" w:space="0" w:color="auto"/>
            </w:tcBorders>
          </w:tcPr>
          <w:p w:rsidR="002600D5" w:rsidRDefault="009B35CE" w:rsidP="002600D5">
            <w:pPr>
              <w:pStyle w:val="Tabletext"/>
            </w:pPr>
            <w:r>
              <w:t>PATENT-1</w:t>
            </w:r>
            <w:r w:rsidR="00B37D37">
              <w:br/>
            </w:r>
            <w:r>
              <w:t>(riociguat/ERA)</w:t>
            </w:r>
            <w:r w:rsidR="002600D5">
              <w:t xml:space="preserve"> </w:t>
            </w:r>
          </w:p>
          <w:p w:rsidR="009B35CE" w:rsidRPr="001D637C" w:rsidRDefault="002600D5" w:rsidP="002600D5">
            <w:pPr>
              <w:pStyle w:val="Tabletext"/>
            </w:pPr>
            <w:r>
              <w:t>N=167</w:t>
            </w:r>
          </w:p>
        </w:tc>
        <w:tc>
          <w:tcPr>
            <w:tcW w:w="6718" w:type="dxa"/>
            <w:tcBorders>
              <w:top w:val="single" w:sz="4" w:space="0" w:color="auto"/>
              <w:left w:val="single" w:sz="4" w:space="0" w:color="auto"/>
              <w:bottom w:val="single" w:sz="4" w:space="0" w:color="auto"/>
              <w:right w:val="single" w:sz="4" w:space="0" w:color="auto"/>
            </w:tcBorders>
          </w:tcPr>
          <w:p w:rsidR="009B35CE" w:rsidRPr="00054374" w:rsidRDefault="005D597D" w:rsidP="00480FDF">
            <w:pPr>
              <w:pStyle w:val="Tabletext"/>
              <w:numPr>
                <w:ilvl w:val="0"/>
                <w:numId w:val="40"/>
              </w:numPr>
              <w:ind w:left="227" w:hanging="227"/>
            </w:pPr>
            <w:r>
              <w:t>Moderate</w:t>
            </w:r>
            <w:r w:rsidR="009B35CE" w:rsidRPr="00054374">
              <w:t xml:space="preserve"> quality</w:t>
            </w:r>
            <w:r w:rsidR="009B35CE" w:rsidRPr="00054374">
              <w:rPr>
                <w:rFonts w:cs="Cambria Math"/>
              </w:rPr>
              <w:t xml:space="preserve"> evidence (GRADE </w:t>
            </w:r>
            <w:r w:rsidR="009B35CE" w:rsidRPr="00054374">
              <w:rPr>
                <w:rFonts w:ascii="Cambria Math" w:hAnsi="Cambria Math" w:cs="Cambria Math"/>
                <w:color w:val="00B050"/>
              </w:rPr>
              <w:t>⨁⨁⨁</w:t>
            </w:r>
            <w:r w:rsidRPr="00E564DD">
              <w:rPr>
                <w:rFonts w:ascii="Cambria Math" w:eastAsia="Times New Roman" w:hAnsi="Cambria Math" w:cs="Cambria Math"/>
                <w:bCs/>
                <w:color w:val="C00000"/>
              </w:rPr>
              <w:t>⨀</w:t>
            </w:r>
            <w:r w:rsidR="009B35CE" w:rsidRPr="00054374">
              <w:t>)</w:t>
            </w:r>
          </w:p>
          <w:p w:rsidR="009B35CE" w:rsidRPr="00A17B9D" w:rsidRDefault="00A17B9D" w:rsidP="00A17B9D">
            <w:pPr>
              <w:pStyle w:val="Tabletext"/>
              <w:ind w:left="227" w:hanging="227"/>
              <w:rPr>
                <w:highlight w:val="black"/>
              </w:rPr>
            </w:pP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9B35CE" w:rsidTr="00DE4B2C">
        <w:tc>
          <w:tcPr>
            <w:tcW w:w="1475" w:type="dxa"/>
          </w:tcPr>
          <w:p w:rsidR="009B35CE" w:rsidRPr="001D637C" w:rsidRDefault="009B35CE" w:rsidP="00D103A9">
            <w:pPr>
              <w:pStyle w:val="Tabletext"/>
            </w:pPr>
            <w:r>
              <w:t>Worsened WHO FC</w:t>
            </w:r>
          </w:p>
        </w:tc>
        <w:tc>
          <w:tcPr>
            <w:tcW w:w="1559" w:type="dxa"/>
            <w:tcBorders>
              <w:top w:val="single" w:sz="4" w:space="0" w:color="auto"/>
              <w:left w:val="single" w:sz="4" w:space="0" w:color="auto"/>
              <w:bottom w:val="single" w:sz="4" w:space="0" w:color="auto"/>
              <w:right w:val="single" w:sz="4" w:space="0" w:color="auto"/>
            </w:tcBorders>
          </w:tcPr>
          <w:p w:rsidR="002600D5" w:rsidRDefault="009B35CE" w:rsidP="002600D5">
            <w:pPr>
              <w:pStyle w:val="Tabletext"/>
            </w:pPr>
            <w:r>
              <w:t>PATENT-1</w:t>
            </w:r>
            <w:r w:rsidR="00B37D37">
              <w:br/>
            </w:r>
            <w:r>
              <w:t>(riociguat/ERA)</w:t>
            </w:r>
            <w:r w:rsidR="002600D5">
              <w:t xml:space="preserve"> </w:t>
            </w:r>
          </w:p>
          <w:p w:rsidR="009B35CE" w:rsidRPr="001D637C" w:rsidRDefault="002600D5" w:rsidP="002600D5">
            <w:pPr>
              <w:pStyle w:val="Tabletext"/>
            </w:pPr>
            <w:r>
              <w:t>N=167</w:t>
            </w:r>
          </w:p>
        </w:tc>
        <w:tc>
          <w:tcPr>
            <w:tcW w:w="6718" w:type="dxa"/>
          </w:tcPr>
          <w:p w:rsidR="009B35CE" w:rsidRPr="00054374" w:rsidRDefault="005D597D" w:rsidP="00480FDF">
            <w:pPr>
              <w:pStyle w:val="Tabletext"/>
              <w:numPr>
                <w:ilvl w:val="0"/>
                <w:numId w:val="40"/>
              </w:numPr>
              <w:ind w:left="227" w:hanging="227"/>
            </w:pPr>
            <w:r>
              <w:t>Moderate</w:t>
            </w:r>
            <w:r w:rsidR="009B35CE" w:rsidRPr="00054374">
              <w:t xml:space="preserve"> quality</w:t>
            </w:r>
            <w:r w:rsidR="009B35CE" w:rsidRPr="00054374">
              <w:rPr>
                <w:rFonts w:cs="Cambria Math"/>
              </w:rPr>
              <w:t xml:space="preserve"> evidence (GRADE </w:t>
            </w:r>
            <w:r w:rsidR="009B35CE" w:rsidRPr="00054374">
              <w:rPr>
                <w:rFonts w:ascii="Cambria Math" w:hAnsi="Cambria Math" w:cs="Cambria Math"/>
                <w:color w:val="00B050"/>
              </w:rPr>
              <w:t>⨁⨁⨁</w:t>
            </w:r>
            <w:r w:rsidRPr="00E564DD">
              <w:rPr>
                <w:rFonts w:ascii="Cambria Math" w:eastAsia="Times New Roman" w:hAnsi="Cambria Math" w:cs="Cambria Math"/>
                <w:bCs/>
                <w:color w:val="C00000"/>
              </w:rPr>
              <w:t>⨀</w:t>
            </w:r>
            <w:r w:rsidR="009B35CE" w:rsidRPr="00054374">
              <w:t>)</w:t>
            </w:r>
          </w:p>
          <w:p w:rsidR="009B35CE" w:rsidRPr="00A17B9D" w:rsidRDefault="00A17B9D" w:rsidP="00A17B9D">
            <w:pPr>
              <w:pStyle w:val="Tabletext"/>
              <w:ind w:left="227" w:hanging="227"/>
              <w:rPr>
                <w:highlight w:val="black"/>
              </w:rPr>
            </w:pP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BE59C4" w:rsidTr="00DE4B2C">
        <w:tc>
          <w:tcPr>
            <w:tcW w:w="1475" w:type="dxa"/>
          </w:tcPr>
          <w:p w:rsidR="00BE59C4" w:rsidRPr="001D637C" w:rsidRDefault="00BE59C4" w:rsidP="00BE59C4">
            <w:pPr>
              <w:pStyle w:val="Tabletext"/>
            </w:pPr>
            <w:r>
              <w:t>Change in 6MWD</w:t>
            </w:r>
            <w:r w:rsidR="00C828F9">
              <w:t xml:space="preserve"> from baseline</w:t>
            </w:r>
          </w:p>
        </w:tc>
        <w:tc>
          <w:tcPr>
            <w:tcW w:w="1559" w:type="dxa"/>
          </w:tcPr>
          <w:p w:rsidR="002600D5" w:rsidRDefault="00BE59C4" w:rsidP="002600D5">
            <w:pPr>
              <w:pStyle w:val="Tabletext"/>
            </w:pPr>
            <w:r>
              <w:t>PATENT-1</w:t>
            </w:r>
            <w:r>
              <w:br/>
              <w:t>(riociguat/ERA)</w:t>
            </w:r>
            <w:r w:rsidR="002600D5">
              <w:t xml:space="preserve"> </w:t>
            </w:r>
          </w:p>
          <w:p w:rsidR="00BE59C4" w:rsidRPr="001D637C" w:rsidRDefault="002600D5" w:rsidP="002600D5">
            <w:pPr>
              <w:pStyle w:val="Tabletext"/>
            </w:pPr>
            <w:r>
              <w:t>N=167</w:t>
            </w:r>
          </w:p>
        </w:tc>
        <w:tc>
          <w:tcPr>
            <w:tcW w:w="6718" w:type="dxa"/>
          </w:tcPr>
          <w:p w:rsidR="00BE59C4" w:rsidRPr="00054374" w:rsidRDefault="00B47224" w:rsidP="00480FDF">
            <w:pPr>
              <w:pStyle w:val="Tabletext"/>
              <w:numPr>
                <w:ilvl w:val="0"/>
                <w:numId w:val="40"/>
              </w:numPr>
              <w:ind w:left="227" w:hanging="227"/>
            </w:pPr>
            <w:r>
              <w:t>Moderate</w:t>
            </w:r>
            <w:r w:rsidRPr="00054374">
              <w:t xml:space="preserve"> </w:t>
            </w:r>
            <w:r w:rsidR="00BE59C4" w:rsidRPr="00054374">
              <w:t xml:space="preserve">quality evidence (GRADE </w:t>
            </w:r>
            <w:r w:rsidR="00BE59C4" w:rsidRPr="00054374">
              <w:rPr>
                <w:rFonts w:ascii="Cambria Math" w:hAnsi="Cambria Math" w:cs="Cambria Math"/>
                <w:color w:val="00B050"/>
              </w:rPr>
              <w:t>⨁⨁⨁</w:t>
            </w:r>
            <w:r w:rsidRPr="006316DF">
              <w:rPr>
                <w:rFonts w:ascii="Cambria Math" w:hAnsi="Cambria Math" w:cs="Cambria Math"/>
                <w:color w:val="C00000"/>
              </w:rPr>
              <w:t>⨀</w:t>
            </w:r>
            <w:r w:rsidR="00BE59C4" w:rsidRPr="00054374">
              <w:t>)</w:t>
            </w:r>
          </w:p>
          <w:p w:rsidR="00BE59C4" w:rsidRPr="00A17B9D" w:rsidRDefault="00A17B9D" w:rsidP="00A17B9D">
            <w:pPr>
              <w:pStyle w:val="Tabletext"/>
              <w:ind w:left="227" w:hanging="227"/>
              <w:rPr>
                <w:highlight w:val="black"/>
              </w:rPr>
            </w:pPr>
            <w:r>
              <w:rPr>
                <w:rFonts w:ascii="Symbol" w:hAnsi="Symbol"/>
                <w:noProof/>
                <w:color w:val="000000"/>
                <w:highlight w:val="black"/>
              </w:rPr>
              <w:t></w:t>
            </w:r>
            <w:r>
              <w:rPr>
                <w:rFonts w:ascii="Symbol" w:hAnsi="Symbol"/>
                <w:noProof/>
                <w:color w:val="000000"/>
                <w:highlight w:val="black"/>
              </w:rPr>
              <w:t></w:t>
            </w: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BE59C4" w:rsidTr="00DE4B2C">
        <w:tc>
          <w:tcPr>
            <w:tcW w:w="1475" w:type="dxa"/>
          </w:tcPr>
          <w:p w:rsidR="00BE59C4" w:rsidRDefault="003903A0" w:rsidP="00BE59C4">
            <w:pPr>
              <w:pStyle w:val="Tabletext"/>
            </w:pPr>
            <w:r>
              <w:t>Change in QoL</w:t>
            </w:r>
            <w:r w:rsidR="00C828F9">
              <w:t xml:space="preserve"> from baseline</w:t>
            </w:r>
            <w:r>
              <w:t>:</w:t>
            </w:r>
          </w:p>
          <w:p w:rsidR="00BE59C4" w:rsidRPr="001D637C" w:rsidRDefault="00BE59C4" w:rsidP="00BE59C4">
            <w:pPr>
              <w:pStyle w:val="Tabletext"/>
            </w:pPr>
            <w:r>
              <w:t>EQ-5D</w:t>
            </w:r>
            <w:r w:rsidR="003903A0" w:rsidRPr="003903A0">
              <w:rPr>
                <w:vertAlign w:val="superscript"/>
              </w:rPr>
              <w:t>a</w:t>
            </w:r>
            <w:r>
              <w:t>, LPH</w:t>
            </w:r>
            <w:r w:rsidR="003903A0" w:rsidRPr="003903A0">
              <w:rPr>
                <w:vertAlign w:val="superscript"/>
              </w:rPr>
              <w:t>b</w:t>
            </w:r>
          </w:p>
        </w:tc>
        <w:tc>
          <w:tcPr>
            <w:tcW w:w="1559" w:type="dxa"/>
          </w:tcPr>
          <w:p w:rsidR="002600D5" w:rsidRDefault="00BE59C4" w:rsidP="002600D5">
            <w:pPr>
              <w:pStyle w:val="Tabletext"/>
            </w:pPr>
            <w:r>
              <w:t>PATENT-1</w:t>
            </w:r>
            <w:r>
              <w:br/>
              <w:t>(riociguat/ERA)</w:t>
            </w:r>
            <w:r w:rsidR="002600D5">
              <w:t xml:space="preserve"> </w:t>
            </w:r>
          </w:p>
          <w:p w:rsidR="00BE59C4" w:rsidRPr="001D637C" w:rsidRDefault="002600D5" w:rsidP="002600D5">
            <w:pPr>
              <w:pStyle w:val="Tabletext"/>
            </w:pPr>
            <w:r>
              <w:t>N=167</w:t>
            </w:r>
          </w:p>
        </w:tc>
        <w:tc>
          <w:tcPr>
            <w:tcW w:w="6718" w:type="dxa"/>
          </w:tcPr>
          <w:p w:rsidR="00BE59C4" w:rsidRPr="00054374" w:rsidRDefault="00BE59C4" w:rsidP="00480FDF">
            <w:pPr>
              <w:pStyle w:val="Tabletext"/>
              <w:numPr>
                <w:ilvl w:val="0"/>
                <w:numId w:val="40"/>
              </w:numPr>
              <w:ind w:left="227" w:hanging="227"/>
            </w:pPr>
            <w:r w:rsidRPr="00054374">
              <w:t xml:space="preserve">High quality evidence (GRADE </w:t>
            </w:r>
            <w:r w:rsidRPr="00054374">
              <w:rPr>
                <w:rFonts w:ascii="Cambria Math" w:hAnsi="Cambria Math" w:cs="Cambria Math"/>
                <w:color w:val="00B050"/>
              </w:rPr>
              <w:t>⨁⨁⨁⨁</w:t>
            </w:r>
            <w:r w:rsidRPr="00054374">
              <w:t>)</w:t>
            </w:r>
          </w:p>
          <w:p w:rsidR="00BE59C4" w:rsidRPr="00A17B9D" w:rsidRDefault="00A17B9D" w:rsidP="00A17B9D">
            <w:pPr>
              <w:pStyle w:val="Tabletext"/>
              <w:ind w:left="227" w:hanging="227"/>
              <w:rPr>
                <w:highlight w:val="black"/>
              </w:rPr>
            </w:pP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9B35CE" w:rsidTr="00DE4B2C">
        <w:tc>
          <w:tcPr>
            <w:tcW w:w="1475" w:type="dxa"/>
          </w:tcPr>
          <w:p w:rsidR="009B35CE" w:rsidRDefault="009B35CE" w:rsidP="00D103A9">
            <w:pPr>
              <w:pStyle w:val="Tabletext"/>
            </w:pPr>
            <w:r>
              <w:t>Change in haemodynamic parameters</w:t>
            </w:r>
            <w:r w:rsidR="00C828F9">
              <w:t xml:space="preserve"> from baseline</w:t>
            </w:r>
            <w:r>
              <w:t>:</w:t>
            </w:r>
          </w:p>
          <w:p w:rsidR="009B35CE" w:rsidRPr="001D637C" w:rsidRDefault="009B35CE" w:rsidP="00D103A9">
            <w:pPr>
              <w:pStyle w:val="Tabletext"/>
            </w:pPr>
            <w:r>
              <w:t>PVR</w:t>
            </w:r>
          </w:p>
        </w:tc>
        <w:tc>
          <w:tcPr>
            <w:tcW w:w="1559" w:type="dxa"/>
          </w:tcPr>
          <w:p w:rsidR="002600D5" w:rsidRDefault="009B35CE" w:rsidP="002600D5">
            <w:pPr>
              <w:pStyle w:val="Tabletext"/>
            </w:pPr>
            <w:r>
              <w:t>PATENT-1</w:t>
            </w:r>
            <w:r w:rsidR="00362678">
              <w:br/>
            </w:r>
            <w:r>
              <w:t>(riociguat/ERA)</w:t>
            </w:r>
            <w:r w:rsidR="002600D5">
              <w:t xml:space="preserve"> </w:t>
            </w:r>
          </w:p>
          <w:p w:rsidR="009B35CE" w:rsidRPr="001D637C" w:rsidRDefault="0051596A" w:rsidP="002600D5">
            <w:pPr>
              <w:pStyle w:val="Tabletext"/>
            </w:pPr>
            <w:r>
              <w:t>N=148</w:t>
            </w:r>
          </w:p>
        </w:tc>
        <w:tc>
          <w:tcPr>
            <w:tcW w:w="6718" w:type="dxa"/>
          </w:tcPr>
          <w:p w:rsidR="009B35CE" w:rsidRPr="00054374" w:rsidRDefault="00B47224" w:rsidP="00480FDF">
            <w:pPr>
              <w:pStyle w:val="Tabletext"/>
              <w:numPr>
                <w:ilvl w:val="0"/>
                <w:numId w:val="40"/>
              </w:numPr>
              <w:ind w:left="227" w:hanging="227"/>
            </w:pPr>
            <w:r>
              <w:t>Low</w:t>
            </w:r>
            <w:r w:rsidRPr="00054374">
              <w:t xml:space="preserve"> </w:t>
            </w:r>
            <w:r w:rsidR="009B35CE" w:rsidRPr="00054374">
              <w:t xml:space="preserve">quality evidence (GRADE </w:t>
            </w:r>
            <w:r w:rsidR="009B35CE" w:rsidRPr="00054374">
              <w:rPr>
                <w:rFonts w:ascii="Cambria Math" w:hAnsi="Cambria Math" w:cs="Cambria Math"/>
                <w:color w:val="00B050"/>
              </w:rPr>
              <w:t>⨁⨁</w:t>
            </w:r>
            <w:r w:rsidRPr="006316DF">
              <w:rPr>
                <w:rFonts w:ascii="Cambria Math" w:hAnsi="Cambria Math" w:cs="Cambria Math"/>
                <w:color w:val="C00000"/>
              </w:rPr>
              <w:t>⨀⨀</w:t>
            </w:r>
            <w:r w:rsidR="009B35CE" w:rsidRPr="00054374">
              <w:t>)</w:t>
            </w:r>
          </w:p>
          <w:p w:rsidR="009B35CE" w:rsidRPr="00A17B9D" w:rsidRDefault="00A17B9D" w:rsidP="00A17B9D">
            <w:pPr>
              <w:pStyle w:val="Tabletext"/>
              <w:ind w:left="227" w:hanging="227"/>
              <w:rPr>
                <w:highlight w:val="black"/>
              </w:rPr>
            </w:pP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9B35CE" w:rsidTr="00DE4B2C">
        <w:tc>
          <w:tcPr>
            <w:tcW w:w="9752" w:type="dxa"/>
            <w:gridSpan w:val="3"/>
            <w:tcBorders>
              <w:top w:val="nil"/>
              <w:left w:val="single" w:sz="4" w:space="0" w:color="auto"/>
              <w:bottom w:val="single" w:sz="4" w:space="0" w:color="auto"/>
              <w:right w:val="single" w:sz="4" w:space="0" w:color="auto"/>
            </w:tcBorders>
            <w:shd w:val="clear" w:color="auto" w:fill="000000"/>
          </w:tcPr>
          <w:p w:rsidR="009B35CE" w:rsidRPr="00054374" w:rsidRDefault="009B35CE" w:rsidP="00C828F9">
            <w:pPr>
              <w:pStyle w:val="Tabletext"/>
              <w:keepNext/>
            </w:pPr>
            <w:r w:rsidRPr="00054374">
              <w:lastRenderedPageBreak/>
              <w:t>Patients with WHO FC III/IV PAH</w:t>
            </w:r>
          </w:p>
        </w:tc>
      </w:tr>
      <w:tr w:rsidR="009B35CE" w:rsidTr="00DE4B2C">
        <w:tc>
          <w:tcPr>
            <w:tcW w:w="1475" w:type="dxa"/>
          </w:tcPr>
          <w:p w:rsidR="009B35CE" w:rsidRPr="001D637C" w:rsidRDefault="009B35CE" w:rsidP="00D103A9">
            <w:pPr>
              <w:pStyle w:val="Tabletext"/>
            </w:pPr>
            <w:r w:rsidRPr="001D637C">
              <w:t>Clinical worsening</w:t>
            </w:r>
          </w:p>
        </w:tc>
        <w:tc>
          <w:tcPr>
            <w:tcW w:w="1559" w:type="dxa"/>
          </w:tcPr>
          <w:p w:rsidR="009B35CE" w:rsidRDefault="009B35CE" w:rsidP="00362678">
            <w:pPr>
              <w:pStyle w:val="Tabletext"/>
            </w:pPr>
            <w:r>
              <w:t>PATENT-1</w:t>
            </w:r>
            <w:r w:rsidR="00362678">
              <w:br/>
            </w:r>
            <w:r>
              <w:t>(riociguat/ERA)</w:t>
            </w:r>
          </w:p>
          <w:p w:rsidR="0051596A" w:rsidRPr="001D637C" w:rsidRDefault="0051596A" w:rsidP="00362678">
            <w:pPr>
              <w:pStyle w:val="Tabletext"/>
            </w:pPr>
            <w:r>
              <w:t>N=120</w:t>
            </w:r>
          </w:p>
        </w:tc>
        <w:tc>
          <w:tcPr>
            <w:tcW w:w="6718" w:type="dxa"/>
          </w:tcPr>
          <w:p w:rsidR="009B35CE" w:rsidRPr="00054374" w:rsidRDefault="005D597D" w:rsidP="00480FDF">
            <w:pPr>
              <w:pStyle w:val="Tabletext"/>
              <w:numPr>
                <w:ilvl w:val="0"/>
                <w:numId w:val="41"/>
              </w:numPr>
              <w:ind w:left="227" w:hanging="227"/>
              <w:rPr>
                <w:szCs w:val="18"/>
              </w:rPr>
            </w:pPr>
            <w:r>
              <w:t>Moderate</w:t>
            </w:r>
            <w:r w:rsidR="009B35CE" w:rsidRPr="00054374">
              <w:t xml:space="preserve"> quality</w:t>
            </w:r>
            <w:r w:rsidR="009B35CE" w:rsidRPr="00054374">
              <w:rPr>
                <w:rFonts w:cs="Cambria Math"/>
              </w:rPr>
              <w:t xml:space="preserve"> evidence (GRADE </w:t>
            </w:r>
            <w:r w:rsidR="009B35CE" w:rsidRPr="00054374">
              <w:rPr>
                <w:rFonts w:ascii="Cambria Math" w:hAnsi="Cambria Math" w:cs="Cambria Math"/>
                <w:color w:val="00B050"/>
              </w:rPr>
              <w:t>⨁⨁⨁</w:t>
            </w:r>
            <w:r w:rsidRPr="00E564DD">
              <w:rPr>
                <w:rFonts w:ascii="Cambria Math" w:eastAsia="Times New Roman" w:hAnsi="Cambria Math" w:cs="Cambria Math"/>
                <w:bCs/>
                <w:color w:val="C00000"/>
              </w:rPr>
              <w:t>⨀</w:t>
            </w:r>
            <w:r w:rsidR="009B35CE" w:rsidRPr="00054374">
              <w:t>)</w:t>
            </w:r>
          </w:p>
          <w:p w:rsidR="009B35CE" w:rsidRPr="00A17B9D" w:rsidRDefault="00A17B9D" w:rsidP="00A17B9D">
            <w:pPr>
              <w:pStyle w:val="Tabletext"/>
              <w:ind w:left="227" w:hanging="227"/>
              <w:rPr>
                <w:highlight w:val="black"/>
              </w:rPr>
            </w:pP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9B35CE" w:rsidTr="00DE4B2C">
        <w:tc>
          <w:tcPr>
            <w:tcW w:w="1475" w:type="dxa"/>
          </w:tcPr>
          <w:p w:rsidR="009B35CE" w:rsidRPr="001D637C" w:rsidRDefault="009B35CE" w:rsidP="00D103A9">
            <w:pPr>
              <w:pStyle w:val="Tabletext"/>
            </w:pPr>
            <w:r>
              <w:t>All-cause mortality</w:t>
            </w:r>
          </w:p>
        </w:tc>
        <w:tc>
          <w:tcPr>
            <w:tcW w:w="1559" w:type="dxa"/>
          </w:tcPr>
          <w:p w:rsidR="0051596A" w:rsidRDefault="009B35CE" w:rsidP="0051596A">
            <w:pPr>
              <w:pStyle w:val="Tabletext"/>
            </w:pPr>
            <w:r>
              <w:t>PATENT-1</w:t>
            </w:r>
            <w:r w:rsidR="00362678">
              <w:br/>
            </w:r>
            <w:r>
              <w:t>(riociguat/ERA)</w:t>
            </w:r>
            <w:r w:rsidR="0051596A">
              <w:t xml:space="preserve"> </w:t>
            </w:r>
          </w:p>
          <w:p w:rsidR="009B35CE" w:rsidRPr="001D637C" w:rsidRDefault="0051596A" w:rsidP="0051596A">
            <w:pPr>
              <w:pStyle w:val="Tabletext"/>
            </w:pPr>
            <w:r>
              <w:t>N=120</w:t>
            </w:r>
          </w:p>
        </w:tc>
        <w:tc>
          <w:tcPr>
            <w:tcW w:w="6718" w:type="dxa"/>
          </w:tcPr>
          <w:p w:rsidR="009B35CE" w:rsidRPr="00054374" w:rsidRDefault="009B35CE" w:rsidP="00480FDF">
            <w:pPr>
              <w:pStyle w:val="Tabletext"/>
              <w:numPr>
                <w:ilvl w:val="0"/>
                <w:numId w:val="41"/>
              </w:numPr>
              <w:ind w:left="227" w:hanging="227"/>
            </w:pPr>
            <w:r w:rsidRPr="00054374">
              <w:t>High quality</w:t>
            </w:r>
            <w:r w:rsidRPr="00054374">
              <w:rPr>
                <w:rFonts w:cs="Cambria Math"/>
              </w:rPr>
              <w:t xml:space="preserve"> evidence (GRADE </w:t>
            </w:r>
            <w:r w:rsidRPr="00054374">
              <w:rPr>
                <w:rFonts w:ascii="Cambria Math" w:hAnsi="Cambria Math" w:cs="Cambria Math"/>
                <w:color w:val="00B050"/>
              </w:rPr>
              <w:t>⨁⨁⨁⨁</w:t>
            </w:r>
            <w:r w:rsidRPr="00054374">
              <w:t>)</w:t>
            </w:r>
          </w:p>
          <w:p w:rsidR="009B35CE" w:rsidRPr="00A17B9D" w:rsidRDefault="00A17B9D" w:rsidP="00A17B9D">
            <w:pPr>
              <w:pStyle w:val="Tabletext"/>
              <w:ind w:left="227" w:hanging="227"/>
              <w:rPr>
                <w:highlight w:val="black"/>
              </w:rPr>
            </w:pPr>
            <w:r>
              <w:rPr>
                <w:rFonts w:ascii="Symbol" w:hAnsi="Symbol"/>
                <w:noProof/>
                <w:color w:val="000000"/>
                <w:highlight w:val="black"/>
              </w:rPr>
              <w:t></w:t>
            </w: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9B35CE" w:rsidTr="00DE4B2C">
        <w:tc>
          <w:tcPr>
            <w:tcW w:w="1475" w:type="dxa"/>
          </w:tcPr>
          <w:p w:rsidR="009B35CE" w:rsidRPr="001D637C" w:rsidRDefault="009B35CE" w:rsidP="00D103A9">
            <w:pPr>
              <w:pStyle w:val="Tabletext"/>
            </w:pPr>
            <w:r>
              <w:t>Hospitalisation</w:t>
            </w:r>
            <w:r w:rsidR="004F560A">
              <w:t xml:space="preserve"> due to </w:t>
            </w:r>
            <w:r w:rsidR="00C828F9">
              <w:t xml:space="preserve">worsening </w:t>
            </w:r>
            <w:r w:rsidR="004F560A">
              <w:t>PAH</w:t>
            </w:r>
          </w:p>
        </w:tc>
        <w:tc>
          <w:tcPr>
            <w:tcW w:w="1559" w:type="dxa"/>
          </w:tcPr>
          <w:p w:rsidR="0051596A" w:rsidRDefault="009B35CE" w:rsidP="0051596A">
            <w:pPr>
              <w:pStyle w:val="Tabletext"/>
            </w:pPr>
            <w:r>
              <w:t>PATENT-1</w:t>
            </w:r>
            <w:r w:rsidR="00362678">
              <w:br/>
            </w:r>
            <w:r>
              <w:t>(riociguat/ERA)</w:t>
            </w:r>
            <w:r w:rsidR="0051596A">
              <w:t xml:space="preserve"> </w:t>
            </w:r>
          </w:p>
          <w:p w:rsidR="009B35CE" w:rsidRPr="001D637C" w:rsidRDefault="0051596A" w:rsidP="0051596A">
            <w:pPr>
              <w:pStyle w:val="Tabletext"/>
            </w:pPr>
            <w:r>
              <w:t>N=120</w:t>
            </w:r>
          </w:p>
        </w:tc>
        <w:tc>
          <w:tcPr>
            <w:tcW w:w="6718" w:type="dxa"/>
          </w:tcPr>
          <w:p w:rsidR="009B35CE" w:rsidRPr="00054374" w:rsidRDefault="005D597D" w:rsidP="00480FDF">
            <w:pPr>
              <w:pStyle w:val="Tabletext"/>
              <w:numPr>
                <w:ilvl w:val="0"/>
                <w:numId w:val="41"/>
              </w:numPr>
              <w:ind w:left="227" w:hanging="227"/>
            </w:pPr>
            <w:r>
              <w:t>Moderate</w:t>
            </w:r>
            <w:r w:rsidR="009B35CE" w:rsidRPr="00054374">
              <w:t xml:space="preserve"> quality</w:t>
            </w:r>
            <w:r w:rsidR="009B35CE" w:rsidRPr="00054374">
              <w:rPr>
                <w:rFonts w:cs="Cambria Math"/>
              </w:rPr>
              <w:t xml:space="preserve"> evidence (GRADE </w:t>
            </w:r>
            <w:r w:rsidR="009B35CE" w:rsidRPr="00054374">
              <w:rPr>
                <w:rFonts w:ascii="Cambria Math" w:hAnsi="Cambria Math" w:cs="Cambria Math"/>
                <w:color w:val="00B050"/>
              </w:rPr>
              <w:t>⨁⨁⨁</w:t>
            </w:r>
            <w:r w:rsidRPr="00E564DD">
              <w:rPr>
                <w:rFonts w:ascii="Cambria Math" w:eastAsia="Times New Roman" w:hAnsi="Cambria Math" w:cs="Cambria Math"/>
                <w:bCs/>
                <w:color w:val="C00000"/>
              </w:rPr>
              <w:t>⨀</w:t>
            </w:r>
            <w:r w:rsidR="009B35CE" w:rsidRPr="00054374">
              <w:t>)</w:t>
            </w:r>
          </w:p>
          <w:p w:rsidR="009B35CE" w:rsidRPr="00A17B9D" w:rsidRDefault="00A17B9D" w:rsidP="00A17B9D">
            <w:pPr>
              <w:pStyle w:val="Tabletext"/>
              <w:ind w:left="227" w:hanging="227"/>
              <w:rPr>
                <w:highlight w:val="black"/>
              </w:rPr>
            </w:pPr>
            <w:r>
              <w:rPr>
                <w:rFonts w:ascii="Symbol" w:hAnsi="Symbol"/>
                <w:noProof/>
                <w:color w:val="000000"/>
                <w:highlight w:val="black"/>
              </w:rPr>
              <w:t></w:t>
            </w:r>
            <w:r>
              <w:rPr>
                <w:rFonts w:ascii="Symbol" w:hAnsi="Symbol"/>
                <w:noProof/>
                <w:color w:val="000000"/>
                <w:highlight w:val="black"/>
              </w:rPr>
              <w:t></w:t>
            </w:r>
            <w:r>
              <w:rPr>
                <w:rFonts w:ascii="Symbol" w:hAnsi="Symbol"/>
                <w:noProof/>
                <w:color w:val="000000"/>
                <w:highlight w:val="black"/>
              </w:rPr>
              <w:t></w:t>
            </w: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9B35CE" w:rsidTr="00DE4B2C">
        <w:tc>
          <w:tcPr>
            <w:tcW w:w="1475" w:type="dxa"/>
          </w:tcPr>
          <w:p w:rsidR="009B35CE" w:rsidRPr="001D637C" w:rsidRDefault="009B35CE" w:rsidP="00D103A9">
            <w:pPr>
              <w:pStyle w:val="Tabletext"/>
            </w:pPr>
            <w:r w:rsidRPr="00FA1124">
              <w:t>Improved WHO FC</w:t>
            </w:r>
          </w:p>
        </w:tc>
        <w:tc>
          <w:tcPr>
            <w:tcW w:w="1559" w:type="dxa"/>
          </w:tcPr>
          <w:p w:rsidR="0051596A" w:rsidRDefault="009B35CE" w:rsidP="0051596A">
            <w:pPr>
              <w:pStyle w:val="Tabletext"/>
            </w:pPr>
            <w:r>
              <w:t>PATENT-1</w:t>
            </w:r>
            <w:r w:rsidR="00362678">
              <w:br/>
            </w:r>
            <w:r>
              <w:t>(riociguat/ERA)</w:t>
            </w:r>
            <w:r w:rsidR="0051596A">
              <w:t xml:space="preserve"> </w:t>
            </w:r>
          </w:p>
          <w:p w:rsidR="009B35CE" w:rsidRPr="001D637C" w:rsidRDefault="0051596A" w:rsidP="0051596A">
            <w:pPr>
              <w:pStyle w:val="Tabletext"/>
            </w:pPr>
            <w:r>
              <w:t>N=120</w:t>
            </w:r>
          </w:p>
        </w:tc>
        <w:tc>
          <w:tcPr>
            <w:tcW w:w="6718" w:type="dxa"/>
          </w:tcPr>
          <w:p w:rsidR="009B35CE" w:rsidRPr="00054374" w:rsidRDefault="005D597D" w:rsidP="00480FDF">
            <w:pPr>
              <w:pStyle w:val="Tabletext"/>
              <w:numPr>
                <w:ilvl w:val="0"/>
                <w:numId w:val="41"/>
              </w:numPr>
              <w:ind w:left="227" w:hanging="227"/>
            </w:pPr>
            <w:r>
              <w:t>Moderate</w:t>
            </w:r>
            <w:r w:rsidR="009B35CE" w:rsidRPr="00054374">
              <w:t xml:space="preserve"> quality</w:t>
            </w:r>
            <w:r w:rsidR="009B35CE" w:rsidRPr="00054374">
              <w:rPr>
                <w:rFonts w:cs="Cambria Math"/>
              </w:rPr>
              <w:t xml:space="preserve"> evidence (GRADE </w:t>
            </w:r>
            <w:r w:rsidR="009B35CE" w:rsidRPr="00054374">
              <w:rPr>
                <w:rFonts w:ascii="Cambria Math" w:hAnsi="Cambria Math" w:cs="Cambria Math"/>
                <w:color w:val="00B050"/>
              </w:rPr>
              <w:t>⨁⨁⨁</w:t>
            </w:r>
            <w:r w:rsidRPr="00E564DD">
              <w:rPr>
                <w:rFonts w:ascii="Cambria Math" w:eastAsia="Times New Roman" w:hAnsi="Cambria Math" w:cs="Cambria Math"/>
                <w:bCs/>
                <w:color w:val="C00000"/>
              </w:rPr>
              <w:t>⨀</w:t>
            </w:r>
            <w:r w:rsidR="009B35CE" w:rsidRPr="00054374">
              <w:t>)</w:t>
            </w:r>
          </w:p>
          <w:p w:rsidR="009B35CE" w:rsidRPr="00A17B9D" w:rsidRDefault="00A17B9D" w:rsidP="00A17B9D">
            <w:pPr>
              <w:pStyle w:val="Tabletext"/>
              <w:ind w:left="227" w:hanging="227"/>
              <w:rPr>
                <w:highlight w:val="black"/>
              </w:rPr>
            </w:pPr>
            <w:r>
              <w:rPr>
                <w:rFonts w:ascii="Symbol" w:hAnsi="Symbol"/>
                <w:noProof/>
                <w:color w:val="000000"/>
                <w:highlight w:val="black"/>
              </w:rPr>
              <w:t></w:t>
            </w:r>
            <w:r>
              <w:rPr>
                <w:rFonts w:ascii="Symbol" w:hAnsi="Symbol"/>
                <w:noProof/>
                <w:color w:val="000000"/>
                <w:highlight w:val="black"/>
              </w:rPr>
              <w:t></w:t>
            </w:r>
            <w:r>
              <w:rPr>
                <w:rFonts w:ascii="Symbol" w:hAnsi="Symbol"/>
                <w:noProof/>
                <w:color w:val="000000"/>
                <w:highlight w:val="black"/>
              </w:rPr>
              <w:t></w:t>
            </w: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9B35CE" w:rsidTr="00DE4B2C">
        <w:tc>
          <w:tcPr>
            <w:tcW w:w="1475" w:type="dxa"/>
          </w:tcPr>
          <w:p w:rsidR="009B35CE" w:rsidRPr="001D637C" w:rsidRDefault="009B35CE" w:rsidP="00D103A9">
            <w:pPr>
              <w:pStyle w:val="Tabletext"/>
            </w:pPr>
            <w:r>
              <w:t>Worsened WHO FC</w:t>
            </w:r>
          </w:p>
        </w:tc>
        <w:tc>
          <w:tcPr>
            <w:tcW w:w="1559" w:type="dxa"/>
          </w:tcPr>
          <w:p w:rsidR="0051596A" w:rsidRDefault="009B35CE" w:rsidP="0051596A">
            <w:pPr>
              <w:pStyle w:val="Tabletext"/>
            </w:pPr>
            <w:r>
              <w:t>PATENT-1</w:t>
            </w:r>
            <w:r w:rsidR="00362678">
              <w:br/>
            </w:r>
            <w:r>
              <w:t>(riociguat/ERA)</w:t>
            </w:r>
            <w:r w:rsidR="0051596A">
              <w:t xml:space="preserve"> </w:t>
            </w:r>
          </w:p>
          <w:p w:rsidR="009B35CE" w:rsidRPr="001D637C" w:rsidRDefault="0051596A" w:rsidP="0051596A">
            <w:pPr>
              <w:pStyle w:val="Tabletext"/>
            </w:pPr>
            <w:r>
              <w:t>N=120</w:t>
            </w:r>
          </w:p>
        </w:tc>
        <w:tc>
          <w:tcPr>
            <w:tcW w:w="6718" w:type="dxa"/>
          </w:tcPr>
          <w:p w:rsidR="009B35CE" w:rsidRPr="00B96C6F" w:rsidRDefault="00C828F9" w:rsidP="00480FDF">
            <w:pPr>
              <w:pStyle w:val="Tabletext"/>
              <w:numPr>
                <w:ilvl w:val="0"/>
                <w:numId w:val="41"/>
              </w:numPr>
              <w:ind w:left="227" w:hanging="227"/>
            </w:pPr>
            <w:r>
              <w:t>High</w:t>
            </w:r>
            <w:r w:rsidR="009B35CE" w:rsidRPr="00B96C6F">
              <w:t xml:space="preserve"> quality</w:t>
            </w:r>
            <w:r w:rsidR="009B35CE" w:rsidRPr="00B96C6F">
              <w:rPr>
                <w:rFonts w:cs="Cambria Math"/>
              </w:rPr>
              <w:t xml:space="preserve"> evidence (GRADE </w:t>
            </w:r>
            <w:r w:rsidR="009B35CE" w:rsidRPr="00B96C6F">
              <w:rPr>
                <w:rFonts w:ascii="Cambria Math" w:hAnsi="Cambria Math" w:cs="Cambria Math"/>
                <w:color w:val="00B050"/>
              </w:rPr>
              <w:t>⨁⨁⨁</w:t>
            </w:r>
            <w:r w:rsidRPr="00B96C6F">
              <w:rPr>
                <w:rFonts w:ascii="Cambria Math" w:hAnsi="Cambria Math" w:cs="Cambria Math"/>
                <w:color w:val="00B050"/>
              </w:rPr>
              <w:t>⨁</w:t>
            </w:r>
            <w:r w:rsidR="009B35CE" w:rsidRPr="00B96C6F">
              <w:t>)</w:t>
            </w:r>
          </w:p>
          <w:p w:rsidR="009B35CE" w:rsidRPr="00A17B9D" w:rsidRDefault="00A17B9D" w:rsidP="00A17B9D">
            <w:pPr>
              <w:pStyle w:val="Tabletext"/>
              <w:ind w:left="227" w:hanging="227"/>
              <w:rPr>
                <w:highlight w:val="black"/>
              </w:rPr>
            </w:pPr>
            <w:r>
              <w:rPr>
                <w:rFonts w:ascii="Symbol" w:hAnsi="Symbol"/>
                <w:noProof/>
                <w:color w:val="000000"/>
                <w:highlight w:val="black"/>
              </w:rPr>
              <w:t></w:t>
            </w: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Pr>
                <w:rFonts w:ascii="Symbol" w:hAnsi="Symbol"/>
                <w:noProof/>
                <w:color w:val="000000"/>
                <w:highlight w:val="black"/>
              </w:rPr>
              <w:t></w:t>
            </w:r>
          </w:p>
        </w:tc>
      </w:tr>
      <w:tr w:rsidR="00BE59C4" w:rsidTr="00DE4B2C">
        <w:tc>
          <w:tcPr>
            <w:tcW w:w="1475" w:type="dxa"/>
          </w:tcPr>
          <w:p w:rsidR="00BE59C4" w:rsidRPr="001D637C" w:rsidRDefault="00BE59C4" w:rsidP="00BE59C4">
            <w:pPr>
              <w:pStyle w:val="Tabletext"/>
            </w:pPr>
            <w:r>
              <w:t>Change in 6MWD</w:t>
            </w:r>
          </w:p>
        </w:tc>
        <w:tc>
          <w:tcPr>
            <w:tcW w:w="1559" w:type="dxa"/>
          </w:tcPr>
          <w:p w:rsidR="0051596A" w:rsidRDefault="00BE59C4" w:rsidP="0051596A">
            <w:pPr>
              <w:pStyle w:val="Tabletext"/>
            </w:pPr>
            <w:r>
              <w:t>PATENT-1</w:t>
            </w:r>
            <w:r>
              <w:br/>
              <w:t>(riociguat/ERA)</w:t>
            </w:r>
            <w:r w:rsidR="0051596A">
              <w:t xml:space="preserve"> </w:t>
            </w:r>
          </w:p>
          <w:p w:rsidR="00BE59C4" w:rsidRPr="001D637C" w:rsidRDefault="0051596A" w:rsidP="0051596A">
            <w:pPr>
              <w:pStyle w:val="Tabletext"/>
            </w:pPr>
            <w:r>
              <w:t>N=120</w:t>
            </w:r>
          </w:p>
        </w:tc>
        <w:tc>
          <w:tcPr>
            <w:tcW w:w="6718" w:type="dxa"/>
          </w:tcPr>
          <w:p w:rsidR="00BE59C4" w:rsidRPr="00054374" w:rsidRDefault="00BE59C4" w:rsidP="00480FDF">
            <w:pPr>
              <w:pStyle w:val="Tabletext"/>
              <w:numPr>
                <w:ilvl w:val="0"/>
                <w:numId w:val="41"/>
              </w:numPr>
              <w:ind w:left="227" w:hanging="227"/>
            </w:pPr>
            <w:r w:rsidRPr="00054374">
              <w:t xml:space="preserve">High quality evidence (GRADE </w:t>
            </w:r>
            <w:r w:rsidRPr="00054374">
              <w:rPr>
                <w:rFonts w:ascii="Cambria Math" w:hAnsi="Cambria Math" w:cs="Cambria Math"/>
                <w:color w:val="00B050"/>
              </w:rPr>
              <w:t>⨁⨁⨁⨁</w:t>
            </w:r>
            <w:r w:rsidRPr="00054374">
              <w:t>)</w:t>
            </w:r>
          </w:p>
          <w:p w:rsidR="00BE59C4" w:rsidRPr="00A17B9D" w:rsidRDefault="00A17B9D" w:rsidP="00A17B9D">
            <w:pPr>
              <w:pStyle w:val="Tabletext"/>
              <w:ind w:left="227" w:hanging="227"/>
              <w:rPr>
                <w:highlight w:val="black"/>
              </w:rPr>
            </w:pPr>
            <w:r>
              <w:rPr>
                <w:rFonts w:ascii="Symbol" w:hAnsi="Symbol"/>
                <w:noProof/>
                <w:color w:val="000000"/>
                <w:highlight w:val="black"/>
              </w:rPr>
              <w:t></w:t>
            </w:r>
            <w:r>
              <w:rPr>
                <w:rFonts w:ascii="Symbol" w:hAnsi="Symbol"/>
                <w:noProof/>
                <w:color w:val="000000"/>
                <w:highlight w:val="black"/>
              </w:rPr>
              <w:t></w:t>
            </w: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BE59C4" w:rsidTr="00DE4B2C">
        <w:tc>
          <w:tcPr>
            <w:tcW w:w="1475" w:type="dxa"/>
          </w:tcPr>
          <w:p w:rsidR="00BE59C4" w:rsidRDefault="00BE59C4" w:rsidP="00BE59C4">
            <w:pPr>
              <w:pStyle w:val="Tabletext"/>
              <w:keepNext/>
            </w:pPr>
            <w:r>
              <w:t>Change in QoL:</w:t>
            </w:r>
          </w:p>
          <w:p w:rsidR="00BE59C4" w:rsidRPr="003903A0" w:rsidRDefault="00BE59C4" w:rsidP="00BE59C4">
            <w:pPr>
              <w:pStyle w:val="Tabletext"/>
              <w:keepNext/>
              <w:rPr>
                <w:vertAlign w:val="superscript"/>
              </w:rPr>
            </w:pPr>
            <w:r>
              <w:t>EQ-5D</w:t>
            </w:r>
            <w:r w:rsidR="003903A0">
              <w:rPr>
                <w:vertAlign w:val="superscript"/>
              </w:rPr>
              <w:t>a</w:t>
            </w:r>
            <w:r>
              <w:t>, LPH</w:t>
            </w:r>
            <w:r w:rsidR="003903A0">
              <w:rPr>
                <w:vertAlign w:val="superscript"/>
              </w:rPr>
              <w:t>b</w:t>
            </w:r>
          </w:p>
        </w:tc>
        <w:tc>
          <w:tcPr>
            <w:tcW w:w="1559" w:type="dxa"/>
          </w:tcPr>
          <w:p w:rsidR="0051596A" w:rsidRDefault="00BE59C4" w:rsidP="0051596A">
            <w:pPr>
              <w:pStyle w:val="Tabletext"/>
            </w:pPr>
            <w:r>
              <w:t>PATENT-1</w:t>
            </w:r>
            <w:r>
              <w:br/>
              <w:t>(riociguat/ERA)</w:t>
            </w:r>
            <w:r w:rsidR="0051596A">
              <w:t xml:space="preserve"> </w:t>
            </w:r>
          </w:p>
          <w:p w:rsidR="00BE59C4" w:rsidRPr="001D637C" w:rsidRDefault="0051596A" w:rsidP="0051596A">
            <w:pPr>
              <w:pStyle w:val="Tabletext"/>
              <w:keepNext/>
            </w:pPr>
            <w:r>
              <w:t>N=120</w:t>
            </w:r>
          </w:p>
        </w:tc>
        <w:tc>
          <w:tcPr>
            <w:tcW w:w="6718" w:type="dxa"/>
          </w:tcPr>
          <w:p w:rsidR="00BE59C4" w:rsidRPr="00054374" w:rsidRDefault="00BE59C4" w:rsidP="00480FDF">
            <w:pPr>
              <w:pStyle w:val="Tabletext"/>
              <w:keepNext/>
              <w:numPr>
                <w:ilvl w:val="0"/>
                <w:numId w:val="41"/>
              </w:numPr>
              <w:ind w:left="227" w:hanging="227"/>
            </w:pPr>
            <w:r w:rsidRPr="00054374">
              <w:t xml:space="preserve">High quality evidence (GRADE </w:t>
            </w:r>
            <w:r w:rsidRPr="00054374">
              <w:rPr>
                <w:rFonts w:ascii="Cambria Math" w:hAnsi="Cambria Math" w:cs="Cambria Math"/>
                <w:color w:val="00B050"/>
              </w:rPr>
              <w:t>⨁⨁⨁⨁</w:t>
            </w:r>
            <w:r w:rsidRPr="00054374">
              <w:t>)</w:t>
            </w:r>
          </w:p>
          <w:p w:rsidR="00BE59C4" w:rsidRPr="00A17B9D" w:rsidRDefault="00A17B9D" w:rsidP="00A17B9D">
            <w:pPr>
              <w:pStyle w:val="Tabletext"/>
              <w:keepNext/>
              <w:ind w:left="227" w:hanging="227"/>
              <w:rPr>
                <w:highlight w:val="black"/>
              </w:rPr>
            </w:pPr>
            <w:r>
              <w:rPr>
                <w:rFonts w:ascii="Symbol" w:hAnsi="Symbol"/>
                <w:noProof/>
                <w:color w:val="000000"/>
                <w:highlight w:val="black"/>
              </w:rPr>
              <w:t></w:t>
            </w:r>
            <w:r>
              <w:rPr>
                <w:rFonts w:ascii="Symbol" w:hAnsi="Symbol"/>
                <w:noProof/>
                <w:color w:val="000000"/>
                <w:highlight w:val="black"/>
              </w:rPr>
              <w:t></w:t>
            </w: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r w:rsidR="009B35CE" w:rsidTr="00DE4B2C">
        <w:tc>
          <w:tcPr>
            <w:tcW w:w="1475" w:type="dxa"/>
          </w:tcPr>
          <w:p w:rsidR="009B35CE" w:rsidRDefault="009B35CE" w:rsidP="00D103A9">
            <w:pPr>
              <w:pStyle w:val="Tabletext"/>
            </w:pPr>
            <w:r>
              <w:t>Change in haemodynamic parameters:</w:t>
            </w:r>
          </w:p>
          <w:p w:rsidR="009B35CE" w:rsidRPr="001D637C" w:rsidRDefault="009B35CE" w:rsidP="00D103A9">
            <w:pPr>
              <w:pStyle w:val="Tabletext"/>
            </w:pPr>
            <w:r>
              <w:t>PVR</w:t>
            </w:r>
          </w:p>
        </w:tc>
        <w:tc>
          <w:tcPr>
            <w:tcW w:w="1559" w:type="dxa"/>
          </w:tcPr>
          <w:p w:rsidR="009B35CE" w:rsidRDefault="009B35CE" w:rsidP="00362678">
            <w:pPr>
              <w:pStyle w:val="Tabletext"/>
            </w:pPr>
            <w:r>
              <w:t>PATENT-1</w:t>
            </w:r>
            <w:r w:rsidR="00362678">
              <w:br/>
            </w:r>
            <w:r>
              <w:t>(riociguat/ERA)</w:t>
            </w:r>
          </w:p>
          <w:p w:rsidR="0051596A" w:rsidRPr="001D637C" w:rsidRDefault="0051596A" w:rsidP="00362678">
            <w:pPr>
              <w:pStyle w:val="Tabletext"/>
            </w:pPr>
            <w:r>
              <w:t>N=103</w:t>
            </w:r>
          </w:p>
        </w:tc>
        <w:tc>
          <w:tcPr>
            <w:tcW w:w="6718" w:type="dxa"/>
          </w:tcPr>
          <w:p w:rsidR="009B35CE" w:rsidRPr="00054374" w:rsidRDefault="00B47224" w:rsidP="00480FDF">
            <w:pPr>
              <w:pStyle w:val="Tabletext"/>
              <w:numPr>
                <w:ilvl w:val="0"/>
                <w:numId w:val="41"/>
              </w:numPr>
              <w:ind w:left="227" w:hanging="227"/>
            </w:pPr>
            <w:r>
              <w:t>Moderate</w:t>
            </w:r>
            <w:r w:rsidRPr="00054374">
              <w:t xml:space="preserve"> </w:t>
            </w:r>
            <w:r w:rsidR="009B35CE" w:rsidRPr="00054374">
              <w:t xml:space="preserve">quality evidence (GRADE </w:t>
            </w:r>
            <w:r w:rsidR="009B35CE" w:rsidRPr="00054374">
              <w:rPr>
                <w:rFonts w:ascii="Cambria Math" w:hAnsi="Cambria Math" w:cs="Cambria Math"/>
                <w:color w:val="00B050"/>
              </w:rPr>
              <w:t>⨁⨁⨁</w:t>
            </w:r>
            <w:r w:rsidRPr="006316DF">
              <w:rPr>
                <w:rFonts w:ascii="Cambria Math" w:hAnsi="Cambria Math" w:cs="Cambria Math"/>
                <w:color w:val="C00000"/>
              </w:rPr>
              <w:t>⨀</w:t>
            </w:r>
            <w:r w:rsidR="009B35CE" w:rsidRPr="00054374">
              <w:t>)</w:t>
            </w:r>
          </w:p>
          <w:p w:rsidR="009B35CE" w:rsidRPr="00A17B9D" w:rsidRDefault="00A17B9D" w:rsidP="00A17B9D">
            <w:pPr>
              <w:pStyle w:val="Tabletext"/>
              <w:ind w:left="227" w:hanging="227"/>
              <w:rPr>
                <w:highlight w:val="black"/>
              </w:rPr>
            </w:pPr>
            <w:r>
              <w:rPr>
                <w:rFonts w:ascii="Symbol" w:hAnsi="Symbol"/>
                <w:noProof/>
                <w:color w:val="000000"/>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r w:rsidRPr="00DE4B2C">
              <w:rPr>
                <w:rFonts w:ascii="Symbol" w:hAnsi="Symbol"/>
                <w:noProof/>
                <w:color w:val="000000"/>
                <w:sz w:val="16"/>
                <w:szCs w:val="16"/>
                <w:highlight w:val="black"/>
              </w:rPr>
              <w:t></w:t>
            </w:r>
          </w:p>
        </w:tc>
      </w:tr>
    </w:tbl>
    <w:p w:rsidR="006778E8" w:rsidRDefault="006778E8" w:rsidP="006778E8">
      <w:pPr>
        <w:pStyle w:val="Tablenote"/>
      </w:pPr>
      <w:r>
        <w:rPr>
          <w:vertAlign w:val="superscript"/>
        </w:rPr>
        <w:t xml:space="preserve">a </w:t>
      </w:r>
      <w:r>
        <w:t xml:space="preserve">EQ-5D utility scores range from </w:t>
      </w:r>
      <w:r w:rsidRPr="00C569DB">
        <w:t>−</w:t>
      </w:r>
      <w:r>
        <w:t>0.59 to 1.00. A higher score represents better QoL.</w:t>
      </w:r>
    </w:p>
    <w:p w:rsidR="006778E8" w:rsidRDefault="006778E8" w:rsidP="006778E8">
      <w:pPr>
        <w:pStyle w:val="Tablenote"/>
      </w:pPr>
      <w:r>
        <w:rPr>
          <w:vertAlign w:val="superscript"/>
        </w:rPr>
        <w:t xml:space="preserve">b </w:t>
      </w:r>
      <w:r>
        <w:t>LPH total scores range from 0 to 105. A higher score indicates poorer QoL.</w:t>
      </w:r>
    </w:p>
    <w:p w:rsidR="00D419F1" w:rsidRDefault="009B35CE" w:rsidP="00D103A9">
      <w:pPr>
        <w:pStyle w:val="Tablenote"/>
      </w:pPr>
      <w:r>
        <w:t xml:space="preserve">6MWD = 6-minute </w:t>
      </w:r>
      <w:r w:rsidR="0082368E">
        <w:t>walk distance</w:t>
      </w:r>
      <w:r w:rsidR="00B21201">
        <w:t>; ARD</w:t>
      </w:r>
      <w:r>
        <w:t xml:space="preserve"> = absolute risk </w:t>
      </w:r>
      <w:r w:rsidR="00B21201">
        <w:t>difference</w:t>
      </w:r>
      <w:r>
        <w:t xml:space="preserve">; CI = confidence interval; </w:t>
      </w:r>
      <w:r w:rsidR="00572AE9">
        <w:t xml:space="preserve">EQ-5D = EuroQol 5 </w:t>
      </w:r>
      <w:r w:rsidRPr="00151DD9">
        <w:t xml:space="preserve">dimension; </w:t>
      </w:r>
      <w:r>
        <w:t>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D419F1" w:rsidRPr="009E3B52">
        <w:t xml:space="preserve">; </w:t>
      </w:r>
      <w:r w:rsidRPr="00151DD9">
        <w:t xml:space="preserve">LPH = living with pulmonary hypertension; </w:t>
      </w:r>
      <w:r>
        <w:t xml:space="preserve">MD = mean difference; </w:t>
      </w:r>
      <w:r w:rsidRPr="00C65B42">
        <w:t xml:space="preserve">PAH = pulmonary arterial hypertension; </w:t>
      </w:r>
      <w:r w:rsidRPr="00151DD9">
        <w:t xml:space="preserve">PVR = pulmonary vascular resistance; </w:t>
      </w:r>
      <w:r>
        <w:t xml:space="preserve">QoL = quality of life; RR = relative risk; </w:t>
      </w:r>
      <w:r w:rsidRPr="00151DD9">
        <w:t>sGC = soluble guanylate cyclase stimulator;</w:t>
      </w:r>
      <w:r w:rsidR="009B47AA">
        <w:t xml:space="preserve"> </w:t>
      </w:r>
      <w:r>
        <w:t>WHO = World Health Organization</w:t>
      </w:r>
    </w:p>
    <w:p w:rsidR="009B35CE" w:rsidRPr="0042195A" w:rsidRDefault="009B35CE" w:rsidP="009B35CE">
      <w:pPr>
        <w:pStyle w:val="Heading5"/>
      </w:pPr>
      <w:r w:rsidRPr="0042195A">
        <w:lastRenderedPageBreak/>
        <w:t>Safety</w:t>
      </w:r>
    </w:p>
    <w:p w:rsidR="009B35CE" w:rsidRDefault="009B35CE" w:rsidP="009B35CE">
      <w:r w:rsidRPr="00944958">
        <w:t xml:space="preserve">There </w:t>
      </w:r>
      <w:r>
        <w:t>is no</w:t>
      </w:r>
      <w:r w:rsidRPr="00944958">
        <w:t xml:space="preserve"> evidence </w:t>
      </w:r>
      <w:r w:rsidR="00457FA6" w:rsidRPr="00457FA6">
        <w:t xml:space="preserve">to evaluate the comparative safety </w:t>
      </w:r>
      <w:r w:rsidRPr="00944958">
        <w:t xml:space="preserve">of a </w:t>
      </w:r>
      <w:r w:rsidRPr="00074323">
        <w:t>sGC stimulator in addition to an ERA, relative to ERA monotherapy</w:t>
      </w:r>
      <w:r w:rsidR="00C8308F">
        <w:t>,</w:t>
      </w:r>
      <w:r w:rsidRPr="00074323">
        <w:t xml:space="preserve"> </w:t>
      </w:r>
      <w:r w:rsidR="00457FA6">
        <w:t xml:space="preserve">when used </w:t>
      </w:r>
      <w:r w:rsidRPr="00944958">
        <w:t>to treat patients with PAH.</w:t>
      </w:r>
    </w:p>
    <w:p w:rsidR="009B35CE" w:rsidRPr="006316DF" w:rsidRDefault="00441F08" w:rsidP="009B35CE">
      <w:pPr>
        <w:pStyle w:val="Heading4"/>
      </w:pPr>
      <w:r>
        <w:t>4.1.3.7</w:t>
      </w:r>
      <w:r w:rsidR="00DE4B2C">
        <w:tab/>
      </w:r>
      <w:r>
        <w:tab/>
      </w:r>
      <w:r w:rsidR="009B35CE" w:rsidRPr="00986739">
        <w:t xml:space="preserve">sGC stimulator </w:t>
      </w:r>
      <w:r w:rsidR="009B35CE" w:rsidRPr="00EF6A61">
        <w:t xml:space="preserve">in addition to </w:t>
      </w:r>
      <w:r w:rsidR="009B35CE">
        <w:t xml:space="preserve">a </w:t>
      </w:r>
      <w:r w:rsidR="009B35CE" w:rsidRPr="00074323">
        <w:t>PDE-5 inhibitor</w:t>
      </w:r>
    </w:p>
    <w:p w:rsidR="009B35CE" w:rsidRPr="00107676" w:rsidRDefault="009B35CE" w:rsidP="009B35CE">
      <w:pPr>
        <w:pStyle w:val="Heading5"/>
      </w:pPr>
      <w:r w:rsidRPr="00107676">
        <w:t>Clinical effectiveness</w:t>
      </w:r>
    </w:p>
    <w:p w:rsidR="009B35CE" w:rsidRPr="00C77B6A" w:rsidRDefault="009B35CE" w:rsidP="009B35CE">
      <w:pPr>
        <w:spacing w:after="40"/>
      </w:pPr>
      <w:r>
        <w:t xml:space="preserve">One </w:t>
      </w:r>
      <w:r w:rsidRPr="00C77B6A">
        <w:t xml:space="preserve">RCT reported on the effectiveness of a </w:t>
      </w:r>
      <w:r w:rsidRPr="00986739">
        <w:t xml:space="preserve">sGC stimulator </w:t>
      </w:r>
      <w:r w:rsidRPr="00C77B6A">
        <w:t xml:space="preserve">in addition to </w:t>
      </w:r>
      <w:r w:rsidRPr="00986739">
        <w:t>PDE-5 inhibitor</w:t>
      </w:r>
      <w:r w:rsidRPr="00C77B6A">
        <w:t xml:space="preserve"> in treating PAH </w:t>
      </w:r>
      <w:r w:rsidR="00C8308F">
        <w:t xml:space="preserve">when </w:t>
      </w:r>
      <w:r w:rsidRPr="00C77B6A">
        <w:t>compared with place</w:t>
      </w:r>
      <w:r>
        <w:t xml:space="preserve">bo plus a </w:t>
      </w:r>
      <w:r w:rsidRPr="00986739">
        <w:t>PDE-5 inhibitor</w:t>
      </w:r>
      <w:r>
        <w:t>:</w:t>
      </w:r>
    </w:p>
    <w:p w:rsidR="009B35CE" w:rsidRPr="00B607A5" w:rsidRDefault="009B35CE" w:rsidP="00D103A9">
      <w:pPr>
        <w:pStyle w:val="Bullettext"/>
        <w:rPr>
          <w:bCs/>
        </w:rPr>
      </w:pPr>
      <w:r w:rsidRPr="00B607A5">
        <w:t xml:space="preserve">PATENT-PLUS enrolled </w:t>
      </w:r>
      <w:r w:rsidR="00C8308F" w:rsidRPr="00B607A5">
        <w:t xml:space="preserve">WHO FC III/IV PAH patients </w:t>
      </w:r>
      <w:r w:rsidRPr="00B607A5">
        <w:t xml:space="preserve">receiving stable sildenafil therapy to </w:t>
      </w:r>
      <w:r w:rsidR="00C8308F" w:rsidRPr="00B607A5">
        <w:t xml:space="preserve">additional </w:t>
      </w:r>
      <w:r w:rsidRPr="00B607A5">
        <w:t xml:space="preserve">receive </w:t>
      </w:r>
      <w:r w:rsidR="00C8308F" w:rsidRPr="00B607A5">
        <w:t xml:space="preserve">either </w:t>
      </w:r>
      <w:r w:rsidRPr="00B607A5">
        <w:t>riociguat or placebo</w:t>
      </w:r>
      <w:r w:rsidR="00C8308F" w:rsidRPr="00B607A5">
        <w:t>.</w:t>
      </w:r>
    </w:p>
    <w:p w:rsidR="009B35CE" w:rsidRPr="00B607A5" w:rsidRDefault="009B35CE" w:rsidP="00D103A9">
      <w:pPr>
        <w:pStyle w:val="Bullettext"/>
        <w:rPr>
          <w:bCs/>
        </w:rPr>
      </w:pPr>
      <w:r w:rsidRPr="00B607A5">
        <w:t xml:space="preserve">No subgroup analyses were </w:t>
      </w:r>
      <w:r w:rsidR="00EB514E" w:rsidRPr="00B607A5">
        <w:t>performed.</w:t>
      </w:r>
    </w:p>
    <w:p w:rsidR="009B35CE" w:rsidRDefault="009B35CE" w:rsidP="00D103A9">
      <w:r>
        <w:t>The evidence provided by this trial is summarised in</w:t>
      </w:r>
      <w:r w:rsidR="00D103A9">
        <w:t xml:space="preserve"> </w:t>
      </w:r>
      <w:r w:rsidR="00AA722D">
        <w:t>Table 4.</w:t>
      </w:r>
      <w:r w:rsidR="00AA722D">
        <w:rPr>
          <w:noProof/>
        </w:rPr>
        <w:t>16</w:t>
      </w:r>
      <w:r>
        <w:t>.</w:t>
      </w:r>
    </w:p>
    <w:p w:rsidR="009B35CE" w:rsidRDefault="00487776" w:rsidP="009B35CE">
      <w:r>
        <w:t xml:space="preserve">Overall, </w:t>
      </w:r>
      <w:r w:rsidRPr="00944958">
        <w:t xml:space="preserve">there is </w:t>
      </w:r>
      <w:r>
        <w:t>insufficient</w:t>
      </w:r>
      <w:r w:rsidRPr="00944958">
        <w:t xml:space="preserve"> evidence</w:t>
      </w:r>
      <w:r w:rsidRPr="000522D6">
        <w:t xml:space="preserve"> </w:t>
      </w:r>
      <w:r>
        <w:t>to determine</w:t>
      </w:r>
      <w:r w:rsidRPr="000522D6">
        <w:t xml:space="preserve"> whether </w:t>
      </w:r>
      <w:r w:rsidR="00EB514E">
        <w:t xml:space="preserve">the </w:t>
      </w:r>
      <w:r w:rsidRPr="006316DF">
        <w:t xml:space="preserve">use of a </w:t>
      </w:r>
      <w:r w:rsidRPr="00DC1C45">
        <w:t>sGC stimulator</w:t>
      </w:r>
      <w:r w:rsidRPr="00D00AC2">
        <w:t xml:space="preserve"> in addition to a </w:t>
      </w:r>
      <w:r w:rsidRPr="00944958">
        <w:t>PDE-5 inhibitor</w:t>
      </w:r>
      <w:r w:rsidRPr="000522D6">
        <w:t xml:space="preserve">, relative to </w:t>
      </w:r>
      <w:r w:rsidRPr="00944958">
        <w:t xml:space="preserve">PDE-5 inhibitor </w:t>
      </w:r>
      <w:r w:rsidRPr="000522D6">
        <w:t>monotherapy</w:t>
      </w:r>
      <w:r w:rsidR="00EB514E">
        <w:t>,</w:t>
      </w:r>
      <w:r w:rsidRPr="000522D6">
        <w:t xml:space="preserve"> </w:t>
      </w:r>
      <w:r w:rsidRPr="006316DF">
        <w:t>is likely to be beneficial</w:t>
      </w:r>
      <w:r w:rsidR="00EB514E">
        <w:t xml:space="preserve"> for PAH</w:t>
      </w:r>
      <w:r w:rsidRPr="006316DF">
        <w:t>.</w:t>
      </w:r>
    </w:p>
    <w:p w:rsidR="009B35CE" w:rsidRDefault="00272F8F" w:rsidP="00BC5A2B">
      <w:pPr>
        <w:pStyle w:val="Caption"/>
      </w:pPr>
      <w:bookmarkStart w:id="37" w:name="_Ref506206420"/>
      <w:bookmarkStart w:id="38" w:name="_Toc512855420"/>
      <w:r>
        <w:t>Table 4.</w:t>
      </w:r>
      <w:r w:rsidR="00AA722D">
        <w:rPr>
          <w:noProof/>
        </w:rPr>
        <w:t>16</w:t>
      </w:r>
      <w:bookmarkEnd w:id="37"/>
      <w:r w:rsidR="00D103A9">
        <w:tab/>
      </w:r>
      <w:r w:rsidR="009B35CE">
        <w:t xml:space="preserve">Summary of the evidence for the clinical effectiveness of a </w:t>
      </w:r>
      <w:r w:rsidR="009B35CE" w:rsidRPr="002375AD">
        <w:t xml:space="preserve">sGC stimulator </w:t>
      </w:r>
      <w:r w:rsidR="009B35CE" w:rsidRPr="00542902">
        <w:t xml:space="preserve">in addition to </w:t>
      </w:r>
      <w:r w:rsidR="009B35CE">
        <w:t xml:space="preserve">a </w:t>
      </w:r>
      <w:r w:rsidR="009B35CE" w:rsidRPr="00542902">
        <w:t>PDE-5 inhibitor, relative</w:t>
      </w:r>
      <w:r w:rsidR="009B35CE">
        <w:t xml:space="preserve"> to PDE-5 inhibitor monotherapy</w:t>
      </w:r>
      <w:bookmarkEnd w:id="38"/>
    </w:p>
    <w:tbl>
      <w:tblPr>
        <w:tblStyle w:val="TableGrid"/>
        <w:tblW w:w="9634" w:type="dxa"/>
        <w:tblLook w:val="04A0" w:firstRow="1" w:lastRow="0" w:firstColumn="1" w:lastColumn="0" w:noHBand="0" w:noVBand="1"/>
        <w:tblCaption w:val="Summary of the evidence for the clinical effectiveness of a sGC stimulator in addition to a PDE-5 inhibitor, relative to PDE-5 inhibitor monotherapy"/>
      </w:tblPr>
      <w:tblGrid>
        <w:gridCol w:w="1555"/>
        <w:gridCol w:w="1984"/>
        <w:gridCol w:w="6095"/>
      </w:tblGrid>
      <w:tr w:rsidR="009B35CE" w:rsidRPr="00737EA5" w:rsidTr="00D103A9">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6C297E" w:rsidRDefault="009B35CE" w:rsidP="00D103A9">
            <w:pPr>
              <w:pStyle w:val="Tabletext"/>
              <w:rPr>
                <w:rFonts w:asciiTheme="minorHAnsi" w:hAnsiTheme="minorHAnsi"/>
                <w:b/>
              </w:rPr>
            </w:pPr>
            <w:r w:rsidRPr="006C297E">
              <w:rPr>
                <w:b/>
              </w:rPr>
              <w:t>Outcome</w:t>
            </w:r>
          </w:p>
        </w:tc>
        <w:tc>
          <w:tcPr>
            <w:tcW w:w="1984" w:type="dxa"/>
            <w:tcBorders>
              <w:top w:val="single" w:sz="4" w:space="0" w:color="auto"/>
              <w:left w:val="single" w:sz="4" w:space="0" w:color="auto"/>
              <w:bottom w:val="single" w:sz="4" w:space="0" w:color="auto"/>
              <w:right w:val="single" w:sz="4" w:space="0" w:color="auto"/>
            </w:tcBorders>
          </w:tcPr>
          <w:p w:rsidR="0051596A" w:rsidRDefault="009B35CE" w:rsidP="0051596A">
            <w:pPr>
              <w:pStyle w:val="Tabletext"/>
              <w:rPr>
                <w:b/>
              </w:rPr>
            </w:pPr>
            <w:r w:rsidRPr="006C297E">
              <w:rPr>
                <w:b/>
              </w:rPr>
              <w:t>Included trials</w:t>
            </w:r>
            <w:r w:rsidR="0051596A">
              <w:rPr>
                <w:b/>
              </w:rPr>
              <w:t xml:space="preserve"> </w:t>
            </w:r>
          </w:p>
          <w:p w:rsidR="009B35CE" w:rsidRPr="006C297E" w:rsidRDefault="0051596A" w:rsidP="0051596A">
            <w:pPr>
              <w:pStyle w:val="Tabletext"/>
              <w:rPr>
                <w:rFonts w:asciiTheme="minorHAnsi" w:hAnsiTheme="minorHAnsi"/>
                <w:b/>
              </w:rPr>
            </w:pPr>
            <w:r w:rsidRPr="00293DE5">
              <w:rPr>
                <w:b/>
              </w:rPr>
              <w:t>No. of patients</w:t>
            </w:r>
            <w:r w:rsidR="009B35CE" w:rsidRPr="006C297E">
              <w:rPr>
                <w:b/>
              </w:rPr>
              <w:t xml:space="preserve"> </w:t>
            </w:r>
          </w:p>
        </w:tc>
        <w:tc>
          <w:tcPr>
            <w:tcW w:w="6095" w:type="dxa"/>
            <w:tcBorders>
              <w:top w:val="single" w:sz="4" w:space="0" w:color="auto"/>
              <w:left w:val="single" w:sz="4" w:space="0" w:color="auto"/>
              <w:bottom w:val="single" w:sz="4" w:space="0" w:color="auto"/>
              <w:right w:val="single" w:sz="4" w:space="0" w:color="auto"/>
            </w:tcBorders>
          </w:tcPr>
          <w:p w:rsidR="009B35CE" w:rsidRPr="006C297E" w:rsidRDefault="009B35CE" w:rsidP="00D103A9">
            <w:pPr>
              <w:pStyle w:val="Tabletext"/>
              <w:rPr>
                <w:rFonts w:asciiTheme="minorHAnsi" w:hAnsiTheme="minorHAnsi"/>
                <w:b/>
              </w:rPr>
            </w:pPr>
            <w:r w:rsidRPr="006C297E">
              <w:rPr>
                <w:b/>
              </w:rPr>
              <w:t>Summary of evidence</w:t>
            </w:r>
          </w:p>
        </w:tc>
      </w:tr>
      <w:tr w:rsidR="009B35CE"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Default="009B35CE" w:rsidP="00D103A9">
            <w:pPr>
              <w:pStyle w:val="Tabletext"/>
              <w:rPr>
                <w:rFonts w:asciiTheme="minorHAnsi" w:hAnsiTheme="minorHAnsi"/>
              </w:rPr>
            </w:pPr>
            <w:r>
              <w:t>P</w:t>
            </w:r>
            <w:r w:rsidRPr="00FD4377">
              <w:t>atients with WHO FC III/IV PAH</w:t>
            </w:r>
          </w:p>
        </w:tc>
      </w:tr>
      <w:tr w:rsidR="00C828F9" w:rsidTr="00D103A9">
        <w:tc>
          <w:tcPr>
            <w:tcW w:w="1555" w:type="dxa"/>
          </w:tcPr>
          <w:p w:rsidR="00C828F9" w:rsidRPr="001D637C" w:rsidRDefault="00C828F9" w:rsidP="00C828F9">
            <w:pPr>
              <w:pStyle w:val="Tabletext"/>
            </w:pPr>
            <w:r>
              <w:t>All-cause mortality</w:t>
            </w:r>
          </w:p>
        </w:tc>
        <w:tc>
          <w:tcPr>
            <w:tcW w:w="1984" w:type="dxa"/>
            <w:tcBorders>
              <w:top w:val="single" w:sz="4" w:space="0" w:color="auto"/>
              <w:left w:val="single" w:sz="4" w:space="0" w:color="auto"/>
              <w:bottom w:val="single" w:sz="4" w:space="0" w:color="auto"/>
              <w:right w:val="single" w:sz="4" w:space="0" w:color="auto"/>
            </w:tcBorders>
          </w:tcPr>
          <w:p w:rsidR="00C828F9" w:rsidRDefault="00C828F9" w:rsidP="00C828F9">
            <w:pPr>
              <w:pStyle w:val="Tabletext"/>
            </w:pPr>
            <w:r>
              <w:t>PATENT-PLUS (riociguat/sildenafil)</w:t>
            </w:r>
          </w:p>
          <w:p w:rsidR="00C828F9" w:rsidRPr="001D637C" w:rsidRDefault="00C828F9" w:rsidP="00C828F9">
            <w:pPr>
              <w:pStyle w:val="Tabletext"/>
            </w:pPr>
            <w:r>
              <w:t>N=18</w:t>
            </w:r>
          </w:p>
        </w:tc>
        <w:tc>
          <w:tcPr>
            <w:tcW w:w="6095" w:type="dxa"/>
          </w:tcPr>
          <w:p w:rsidR="00C828F9" w:rsidRPr="00C77B6A" w:rsidRDefault="00C828F9" w:rsidP="00480FDF">
            <w:pPr>
              <w:pStyle w:val="Tabletext"/>
              <w:numPr>
                <w:ilvl w:val="0"/>
                <w:numId w:val="42"/>
              </w:numPr>
              <w:ind w:left="227" w:hanging="227"/>
            </w:pPr>
            <w:r>
              <w:t>Low</w:t>
            </w:r>
            <w:r w:rsidRPr="00C77B6A">
              <w:t xml:space="preserve"> quality</w:t>
            </w:r>
            <w:r w:rsidRPr="00C77B6A">
              <w:rPr>
                <w:rFonts w:cs="Cambria Math"/>
              </w:rPr>
              <w:t xml:space="preserve"> evidence (GRADE </w:t>
            </w:r>
            <w:r w:rsidRPr="00C77B6A">
              <w:rPr>
                <w:rFonts w:ascii="Cambria Math" w:hAnsi="Cambria Math" w:cs="Cambria Math"/>
                <w:color w:val="00B050"/>
              </w:rPr>
              <w:t>⨁⨁</w:t>
            </w:r>
            <w:r w:rsidRPr="00E564DD">
              <w:rPr>
                <w:rFonts w:ascii="Cambria Math" w:eastAsia="Times New Roman" w:hAnsi="Cambria Math" w:cs="Cambria Math"/>
                <w:bCs/>
                <w:color w:val="FF0000"/>
              </w:rPr>
              <w:t>⨀⨀</w:t>
            </w:r>
            <w:r w:rsidRPr="00C77B6A">
              <w:t>)</w:t>
            </w:r>
          </w:p>
          <w:p w:rsidR="00C828F9" w:rsidRPr="00C77B6A" w:rsidRDefault="00C828F9" w:rsidP="00480FDF">
            <w:pPr>
              <w:pStyle w:val="Tabletext"/>
              <w:numPr>
                <w:ilvl w:val="0"/>
                <w:numId w:val="42"/>
              </w:numPr>
              <w:ind w:left="227" w:hanging="227"/>
            </w:pPr>
            <w:r>
              <w:t>No patients died during the study period</w:t>
            </w:r>
          </w:p>
        </w:tc>
      </w:tr>
      <w:tr w:rsidR="00C828F9" w:rsidTr="00D103A9">
        <w:tc>
          <w:tcPr>
            <w:tcW w:w="1555" w:type="dxa"/>
            <w:tcBorders>
              <w:top w:val="single" w:sz="4" w:space="0" w:color="auto"/>
              <w:left w:val="single" w:sz="4" w:space="0" w:color="auto"/>
              <w:bottom w:val="single" w:sz="4" w:space="0" w:color="auto"/>
              <w:right w:val="single" w:sz="4" w:space="0" w:color="auto"/>
            </w:tcBorders>
          </w:tcPr>
          <w:p w:rsidR="00C828F9" w:rsidRPr="001D637C" w:rsidRDefault="00C828F9" w:rsidP="00C828F9">
            <w:pPr>
              <w:pStyle w:val="Tabletext"/>
            </w:pPr>
            <w:r w:rsidRPr="00FA1124">
              <w:t>Improved WHO FC</w:t>
            </w:r>
          </w:p>
        </w:tc>
        <w:tc>
          <w:tcPr>
            <w:tcW w:w="1984" w:type="dxa"/>
            <w:tcBorders>
              <w:top w:val="single" w:sz="4" w:space="0" w:color="auto"/>
              <w:left w:val="single" w:sz="4" w:space="0" w:color="auto"/>
              <w:bottom w:val="single" w:sz="4" w:space="0" w:color="auto"/>
              <w:right w:val="single" w:sz="4" w:space="0" w:color="auto"/>
            </w:tcBorders>
          </w:tcPr>
          <w:p w:rsidR="00C828F9" w:rsidRDefault="00C828F9" w:rsidP="00C828F9">
            <w:pPr>
              <w:pStyle w:val="Tabletext"/>
            </w:pPr>
            <w:r>
              <w:t xml:space="preserve">PATENT-PLUS (riociguat/sildenafil) </w:t>
            </w:r>
          </w:p>
          <w:p w:rsidR="00C828F9" w:rsidRPr="001D637C" w:rsidRDefault="00C828F9" w:rsidP="00C828F9">
            <w:pPr>
              <w:pStyle w:val="Tabletext"/>
            </w:pPr>
            <w:r>
              <w:t>N=18</w:t>
            </w:r>
          </w:p>
        </w:tc>
        <w:tc>
          <w:tcPr>
            <w:tcW w:w="6095" w:type="dxa"/>
            <w:tcBorders>
              <w:top w:val="single" w:sz="4" w:space="0" w:color="auto"/>
              <w:left w:val="single" w:sz="4" w:space="0" w:color="auto"/>
              <w:bottom w:val="single" w:sz="4" w:space="0" w:color="auto"/>
              <w:right w:val="single" w:sz="4" w:space="0" w:color="auto"/>
            </w:tcBorders>
          </w:tcPr>
          <w:p w:rsidR="00C828F9" w:rsidRPr="006B11DC" w:rsidRDefault="00C828F9" w:rsidP="00480FDF">
            <w:pPr>
              <w:pStyle w:val="Tabletext"/>
              <w:numPr>
                <w:ilvl w:val="0"/>
                <w:numId w:val="42"/>
              </w:numPr>
              <w:ind w:left="227" w:hanging="227"/>
            </w:pPr>
            <w:r>
              <w:t xml:space="preserve">Low </w:t>
            </w:r>
            <w:r w:rsidRPr="006B11DC">
              <w:t xml:space="preserve">quality evidence (GRADE </w:t>
            </w:r>
            <w:r w:rsidRPr="006B11DC">
              <w:rPr>
                <w:rFonts w:ascii="Cambria Math" w:hAnsi="Cambria Math" w:cs="Cambria Math"/>
                <w:color w:val="00B050"/>
              </w:rPr>
              <w:t>⨁⨁</w:t>
            </w:r>
            <w:r w:rsidRPr="00E564DD">
              <w:rPr>
                <w:rFonts w:ascii="Cambria Math" w:hAnsi="Cambria Math" w:cs="Cambria Math"/>
                <w:bCs/>
                <w:color w:val="FF0000"/>
              </w:rPr>
              <w:t>⨀</w:t>
            </w:r>
            <w:r w:rsidRPr="00083FA5">
              <w:rPr>
                <w:rFonts w:ascii="Cambria Math" w:hAnsi="Cambria Math" w:cs="Cambria Math"/>
                <w:color w:val="FF0000"/>
              </w:rPr>
              <w:t>⨀</w:t>
            </w:r>
            <w:r w:rsidRPr="006B11DC">
              <w:t>)</w:t>
            </w:r>
          </w:p>
          <w:p w:rsidR="00C828F9" w:rsidRPr="006B11DC" w:rsidRDefault="00C828F9" w:rsidP="00480FDF">
            <w:pPr>
              <w:pStyle w:val="Tabletext"/>
              <w:numPr>
                <w:ilvl w:val="0"/>
                <w:numId w:val="42"/>
              </w:numPr>
              <w:ind w:left="227" w:hanging="227"/>
            </w:pPr>
            <w:r>
              <w:t xml:space="preserve">Fewer </w:t>
            </w:r>
            <w:r w:rsidRPr="00B92556">
              <w:t xml:space="preserve">patients </w:t>
            </w:r>
            <w:r>
              <w:t>improved their WHO FC</w:t>
            </w:r>
            <w:r w:rsidRPr="00B92556">
              <w:t xml:space="preserve"> with combination therapy compared with monotherapy, </w:t>
            </w:r>
            <w:r w:rsidR="00002D3C" w:rsidRPr="00B92556">
              <w:t xml:space="preserve">but the </w:t>
            </w:r>
            <w:r w:rsidR="00002D3C">
              <w:t>wide 95% CI indicates</w:t>
            </w:r>
            <w:r w:rsidR="00002D3C" w:rsidRPr="00B92556">
              <w:t xml:space="preserve"> that </w:t>
            </w:r>
            <w:r w:rsidR="00002D3C">
              <w:t>the study was underpowered for this outcome</w:t>
            </w:r>
            <w:r w:rsidR="00002D3C" w:rsidRPr="006B11DC">
              <w:t xml:space="preserve"> </w:t>
            </w:r>
            <w:r w:rsidRPr="006B11DC">
              <w:t xml:space="preserve">(RR = </w:t>
            </w:r>
            <w:r>
              <w:t>0</w:t>
            </w:r>
            <w:r w:rsidRPr="006B11DC">
              <w:t>.</w:t>
            </w:r>
            <w:r>
              <w:t>50</w:t>
            </w:r>
            <w:r w:rsidRPr="006B11DC">
              <w:t>; 95% CI 0.</w:t>
            </w:r>
            <w:r>
              <w:t>09</w:t>
            </w:r>
            <w:r w:rsidRPr="006B11DC">
              <w:t xml:space="preserve">, </w:t>
            </w:r>
            <w:r>
              <w:t>2</w:t>
            </w:r>
            <w:r w:rsidRPr="006B11DC">
              <w:t>.</w:t>
            </w:r>
            <w:r>
              <w:t>73</w:t>
            </w:r>
            <w:r w:rsidRPr="006B11DC">
              <w:t>)</w:t>
            </w:r>
          </w:p>
        </w:tc>
      </w:tr>
      <w:tr w:rsidR="00C828F9" w:rsidTr="00D103A9">
        <w:tc>
          <w:tcPr>
            <w:tcW w:w="1555" w:type="dxa"/>
          </w:tcPr>
          <w:p w:rsidR="00C828F9" w:rsidRPr="001D637C" w:rsidRDefault="00C828F9" w:rsidP="00C828F9">
            <w:pPr>
              <w:pStyle w:val="Tabletext"/>
            </w:pPr>
            <w:r>
              <w:t xml:space="preserve">Worsened </w:t>
            </w:r>
            <w:r w:rsidRPr="00FA1124">
              <w:t>WHO FC</w:t>
            </w:r>
          </w:p>
        </w:tc>
        <w:tc>
          <w:tcPr>
            <w:tcW w:w="1984" w:type="dxa"/>
            <w:tcBorders>
              <w:top w:val="single" w:sz="4" w:space="0" w:color="auto"/>
              <w:left w:val="single" w:sz="4" w:space="0" w:color="auto"/>
              <w:bottom w:val="single" w:sz="4" w:space="0" w:color="auto"/>
              <w:right w:val="single" w:sz="4" w:space="0" w:color="auto"/>
            </w:tcBorders>
          </w:tcPr>
          <w:p w:rsidR="00C828F9" w:rsidRDefault="00C828F9" w:rsidP="00C828F9">
            <w:pPr>
              <w:pStyle w:val="Tabletext"/>
            </w:pPr>
            <w:r>
              <w:t xml:space="preserve">PATENT-PLUS (riociguat/sildenafil) </w:t>
            </w:r>
          </w:p>
          <w:p w:rsidR="00C828F9" w:rsidRPr="001D637C" w:rsidRDefault="00C828F9" w:rsidP="00C828F9">
            <w:pPr>
              <w:pStyle w:val="Tabletext"/>
            </w:pPr>
            <w:r>
              <w:t>N=18</w:t>
            </w:r>
          </w:p>
        </w:tc>
        <w:tc>
          <w:tcPr>
            <w:tcW w:w="6095" w:type="dxa"/>
          </w:tcPr>
          <w:p w:rsidR="00C828F9" w:rsidRPr="006B11DC" w:rsidRDefault="00C828F9" w:rsidP="00480FDF">
            <w:pPr>
              <w:pStyle w:val="Tabletext"/>
              <w:numPr>
                <w:ilvl w:val="0"/>
                <w:numId w:val="42"/>
              </w:numPr>
              <w:ind w:left="227" w:hanging="227"/>
            </w:pPr>
            <w:r>
              <w:t>Low</w:t>
            </w:r>
            <w:r w:rsidRPr="006B11DC">
              <w:t xml:space="preserve"> quality</w:t>
            </w:r>
            <w:r w:rsidRPr="006B11DC">
              <w:rPr>
                <w:rFonts w:cs="Cambria Math"/>
              </w:rPr>
              <w:t xml:space="preserve"> evidence (GRADE </w:t>
            </w:r>
            <w:r w:rsidRPr="006B11DC">
              <w:rPr>
                <w:rFonts w:ascii="Cambria Math" w:hAnsi="Cambria Math" w:cs="Cambria Math"/>
                <w:color w:val="00B050"/>
              </w:rPr>
              <w:t>⨁⨁</w:t>
            </w:r>
            <w:r w:rsidRPr="00E564DD">
              <w:rPr>
                <w:rFonts w:ascii="Cambria Math" w:eastAsia="Times New Roman" w:hAnsi="Cambria Math" w:cs="Cambria Math"/>
                <w:bCs/>
                <w:color w:val="FF0000"/>
              </w:rPr>
              <w:t>⨀⨀</w:t>
            </w:r>
            <w:r w:rsidRPr="006B11DC">
              <w:t>)</w:t>
            </w:r>
          </w:p>
          <w:p w:rsidR="00C828F9" w:rsidRPr="006B11DC" w:rsidRDefault="00C828F9" w:rsidP="00480FDF">
            <w:pPr>
              <w:pStyle w:val="Tabletext"/>
              <w:numPr>
                <w:ilvl w:val="0"/>
                <w:numId w:val="42"/>
              </w:numPr>
              <w:ind w:left="227" w:hanging="227"/>
            </w:pPr>
            <w:r w:rsidRPr="00151DD9">
              <w:t>No patients had worsening of their WHO FC</w:t>
            </w:r>
            <w:r>
              <w:t xml:space="preserve"> during the study period</w:t>
            </w:r>
          </w:p>
        </w:tc>
      </w:tr>
      <w:tr w:rsidR="00C828F9" w:rsidTr="00D103A9">
        <w:tc>
          <w:tcPr>
            <w:tcW w:w="1555" w:type="dxa"/>
          </w:tcPr>
          <w:p w:rsidR="00C828F9" w:rsidRPr="001D637C" w:rsidRDefault="00C828F9" w:rsidP="00C828F9">
            <w:pPr>
              <w:pStyle w:val="Tabletext"/>
            </w:pPr>
            <w:r>
              <w:t>Change in 6MWD from baseline</w:t>
            </w:r>
          </w:p>
        </w:tc>
        <w:tc>
          <w:tcPr>
            <w:tcW w:w="1984" w:type="dxa"/>
            <w:tcBorders>
              <w:top w:val="single" w:sz="4" w:space="0" w:color="auto"/>
              <w:left w:val="single" w:sz="4" w:space="0" w:color="auto"/>
              <w:bottom w:val="single" w:sz="4" w:space="0" w:color="auto"/>
              <w:right w:val="single" w:sz="4" w:space="0" w:color="auto"/>
            </w:tcBorders>
          </w:tcPr>
          <w:p w:rsidR="00C828F9" w:rsidRDefault="00C828F9" w:rsidP="00C828F9">
            <w:pPr>
              <w:pStyle w:val="Tabletext"/>
            </w:pPr>
            <w:r>
              <w:t xml:space="preserve">PATENT-PLUS (riociguat/sildenafil) </w:t>
            </w:r>
          </w:p>
          <w:p w:rsidR="00C828F9" w:rsidRPr="001D637C" w:rsidRDefault="00C828F9" w:rsidP="00C828F9">
            <w:pPr>
              <w:pStyle w:val="Tabletext"/>
            </w:pPr>
            <w:r>
              <w:t>N=18</w:t>
            </w:r>
          </w:p>
        </w:tc>
        <w:tc>
          <w:tcPr>
            <w:tcW w:w="6095" w:type="dxa"/>
          </w:tcPr>
          <w:p w:rsidR="00C828F9" w:rsidRPr="006B11DC" w:rsidRDefault="00C828F9" w:rsidP="00480FDF">
            <w:pPr>
              <w:pStyle w:val="Tabletext"/>
              <w:numPr>
                <w:ilvl w:val="0"/>
                <w:numId w:val="42"/>
              </w:numPr>
              <w:ind w:left="227" w:hanging="227"/>
            </w:pPr>
            <w:r>
              <w:t>Very low</w:t>
            </w:r>
            <w:r w:rsidRPr="006B11DC">
              <w:t xml:space="preserve"> quality</w:t>
            </w:r>
            <w:r w:rsidRPr="006B11DC">
              <w:rPr>
                <w:rFonts w:cs="Cambria Math"/>
              </w:rPr>
              <w:t xml:space="preserve"> evidence (GRADE </w:t>
            </w:r>
            <w:r w:rsidRPr="006B11DC">
              <w:rPr>
                <w:rFonts w:ascii="Cambria Math" w:hAnsi="Cambria Math" w:cs="Cambria Math"/>
                <w:color w:val="00B050"/>
              </w:rPr>
              <w:t>⨁</w:t>
            </w:r>
            <w:r w:rsidRPr="00E564DD">
              <w:rPr>
                <w:rFonts w:ascii="Cambria Math" w:eastAsia="Times New Roman" w:hAnsi="Cambria Math" w:cs="Cambria Math"/>
                <w:bCs/>
                <w:color w:val="FF0000"/>
              </w:rPr>
              <w:t>⨀⨀</w:t>
            </w:r>
            <w:r w:rsidRPr="006316DF">
              <w:rPr>
                <w:rFonts w:ascii="Cambria Math" w:hAnsi="Cambria Math" w:cs="Cambria Math"/>
                <w:color w:val="C00000"/>
              </w:rPr>
              <w:t>⨀</w:t>
            </w:r>
            <w:r w:rsidRPr="006B11DC">
              <w:t>)</w:t>
            </w:r>
          </w:p>
          <w:p w:rsidR="00C828F9" w:rsidRPr="006B11DC" w:rsidRDefault="00C828F9" w:rsidP="00480FDF">
            <w:pPr>
              <w:pStyle w:val="Tabletext"/>
              <w:numPr>
                <w:ilvl w:val="0"/>
                <w:numId w:val="42"/>
              </w:numPr>
              <w:ind w:left="227" w:hanging="227"/>
            </w:pPr>
            <w:r w:rsidRPr="006B11DC">
              <w:t xml:space="preserve">Patients </w:t>
            </w:r>
            <w:r>
              <w:t>on combination therapy</w:t>
            </w:r>
            <w:r w:rsidRPr="006B11DC">
              <w:t xml:space="preserve"> had a </w:t>
            </w:r>
            <w:r>
              <w:t>smaller</w:t>
            </w:r>
            <w:r w:rsidRPr="006B11DC">
              <w:t xml:space="preserve"> mean improvement in their 6MWD than those </w:t>
            </w:r>
            <w:r>
              <w:t>on monotherapy</w:t>
            </w:r>
            <w:r w:rsidR="00002D3C">
              <w:t>, but the difference was not clinically important</w:t>
            </w:r>
            <w:r w:rsidRPr="006B11DC">
              <w:t xml:space="preserve"> (</w:t>
            </w:r>
            <w:r>
              <w:t>MD</w:t>
            </w:r>
            <w:r w:rsidRPr="006B11DC">
              <w:t xml:space="preserve"> = </w:t>
            </w:r>
            <w:r>
              <w:t>23</w:t>
            </w:r>
            <w:r w:rsidRPr="006B11DC">
              <w:t xml:space="preserve"> m </w:t>
            </w:r>
            <w:r>
              <w:t>less</w:t>
            </w:r>
            <w:r w:rsidRPr="006B11DC">
              <w:t>)</w:t>
            </w:r>
          </w:p>
        </w:tc>
      </w:tr>
    </w:tbl>
    <w:p w:rsidR="00D419F1" w:rsidRDefault="009B35CE" w:rsidP="00D103A9">
      <w:pPr>
        <w:pStyle w:val="Tablenote"/>
      </w:pPr>
      <w:r>
        <w:t xml:space="preserve">6MWD = 6-minute </w:t>
      </w:r>
      <w:r w:rsidR="0082368E">
        <w:t>walk distance</w:t>
      </w:r>
      <w:r>
        <w:t xml:space="preserve">; CI = confidence interval; FC = functional class; </w:t>
      </w:r>
      <w:r w:rsidR="00385E5A">
        <w:t>GRADE = grading of recommendations assessment, development and evaluation</w:t>
      </w:r>
      <w:r w:rsidR="001D34EE" w:rsidRPr="001D34EE">
        <w:rPr>
          <w:noProof/>
          <w:vertAlign w:val="superscript"/>
        </w:rPr>
        <w:t>1</w:t>
      </w:r>
      <w:r w:rsidR="00D419F1" w:rsidRPr="009E3B52">
        <w:t xml:space="preserve">; </w:t>
      </w:r>
      <w:r>
        <w:t xml:space="preserve">MD = mean difference; </w:t>
      </w:r>
      <w:r w:rsidRPr="00C65B42">
        <w:t xml:space="preserve">PAH = pulmonary arterial hypertension; </w:t>
      </w:r>
      <w:r w:rsidRPr="00955629">
        <w:t xml:space="preserve">PDE-5 = phosphodiesterase type-5; </w:t>
      </w:r>
      <w:r>
        <w:t xml:space="preserve">RR = relative risk; </w:t>
      </w:r>
      <w:r w:rsidR="009B47AA" w:rsidRPr="009B47AA">
        <w:t xml:space="preserve">sGC = soluble guanylate cyclase stimulator; </w:t>
      </w:r>
      <w:r>
        <w:t>WHO = World Health Organization</w:t>
      </w:r>
    </w:p>
    <w:p w:rsidR="009B35CE" w:rsidRPr="0042195A" w:rsidRDefault="009B35CE" w:rsidP="009B35CE">
      <w:pPr>
        <w:pStyle w:val="Heading5"/>
      </w:pPr>
      <w:r w:rsidRPr="0042195A">
        <w:t>Safety</w:t>
      </w:r>
    </w:p>
    <w:p w:rsidR="009B35CE" w:rsidRDefault="009B35CE" w:rsidP="009B35CE">
      <w:r>
        <w:t xml:space="preserve">One RCT reported on the comparative safety of treatment with a </w:t>
      </w:r>
      <w:r w:rsidRPr="002375AD">
        <w:t xml:space="preserve">sGC stimulator </w:t>
      </w:r>
      <w:r w:rsidRPr="00542902">
        <w:t xml:space="preserve">in addition to </w:t>
      </w:r>
      <w:r>
        <w:t xml:space="preserve">a </w:t>
      </w:r>
      <w:r w:rsidRPr="00542902">
        <w:t xml:space="preserve">PDE-5 inhibitor, </w:t>
      </w:r>
      <w:r>
        <w:t>compared with a PDE-5 inhibitor alone</w:t>
      </w:r>
      <w:r w:rsidR="00EB514E">
        <w:t>,</w:t>
      </w:r>
      <w:r>
        <w:t xml:space="preserve"> in patient</w:t>
      </w:r>
      <w:r w:rsidR="00EB514E">
        <w:t>s</w:t>
      </w:r>
      <w:r>
        <w:t xml:space="preserve"> with PAH:</w:t>
      </w:r>
    </w:p>
    <w:p w:rsidR="009B35CE" w:rsidRPr="00B607A5" w:rsidRDefault="009B35CE" w:rsidP="00D103A9">
      <w:pPr>
        <w:pStyle w:val="Bullettext"/>
      </w:pPr>
      <w:r w:rsidRPr="00B607A5">
        <w:lastRenderedPageBreak/>
        <w:t>PATENT-PLUS</w:t>
      </w:r>
    </w:p>
    <w:p w:rsidR="00EB514E" w:rsidRPr="00B607A5" w:rsidRDefault="00E20AB7" w:rsidP="007D4DF1">
      <w:pPr>
        <w:pStyle w:val="Bullettext"/>
      </w:pPr>
      <w:r w:rsidRPr="00B607A5">
        <w:t>There were no new safety signals identified.</w:t>
      </w:r>
      <w:r w:rsidR="007D4DF1" w:rsidRPr="00B607A5">
        <w:t xml:space="preserve"> </w:t>
      </w:r>
    </w:p>
    <w:p w:rsidR="009B35CE" w:rsidRDefault="009B35CE" w:rsidP="004B3BDC">
      <w:pPr>
        <w:spacing w:before="0" w:line="240" w:lineRule="auto"/>
      </w:pPr>
      <w:r>
        <w:t>The evidence provided by this trial is summarised in</w:t>
      </w:r>
      <w:r w:rsidR="00D103A9">
        <w:t xml:space="preserve"> </w:t>
      </w:r>
      <w:r w:rsidR="004B3BDC">
        <w:t>Table 4.17</w:t>
      </w:r>
      <w:r>
        <w:t>.</w:t>
      </w:r>
    </w:p>
    <w:p w:rsidR="009B35CE" w:rsidRDefault="00487776" w:rsidP="009B35CE">
      <w:r>
        <w:t xml:space="preserve">Overall, </w:t>
      </w:r>
      <w:r w:rsidRPr="00487776">
        <w:t>there is considerable uncertainty whether the use of a sGC stimulator in addition to PDE-5 inhibitor, relative to PDE-5 inhibitor monotherapy</w:t>
      </w:r>
      <w:r w:rsidR="00EB514E">
        <w:t xml:space="preserve">, </w:t>
      </w:r>
      <w:r w:rsidRPr="00487776">
        <w:t>would cause additional harm</w:t>
      </w:r>
      <w:r w:rsidR="00EB514E">
        <w:t xml:space="preserve"> to PAH patients</w:t>
      </w:r>
      <w:r w:rsidR="009B35CE" w:rsidRPr="006316DF">
        <w:t xml:space="preserve">. </w:t>
      </w:r>
    </w:p>
    <w:p w:rsidR="009B35CE" w:rsidRDefault="00272F8F" w:rsidP="00BC5A2B">
      <w:pPr>
        <w:pStyle w:val="Caption"/>
      </w:pPr>
      <w:bookmarkStart w:id="39" w:name="_Ref506207886"/>
      <w:bookmarkStart w:id="40" w:name="_Toc512855421"/>
      <w:r>
        <w:t>Table 4.</w:t>
      </w:r>
      <w:r w:rsidR="00AA722D">
        <w:rPr>
          <w:noProof/>
        </w:rPr>
        <w:t>17</w:t>
      </w:r>
      <w:bookmarkEnd w:id="39"/>
      <w:r w:rsidR="00D103A9">
        <w:tab/>
      </w:r>
      <w:r w:rsidR="009B35CE">
        <w:t xml:space="preserve">Summary of the evidence for the safety of a </w:t>
      </w:r>
      <w:r w:rsidR="009B35CE" w:rsidRPr="00986739">
        <w:t xml:space="preserve">sGC stimulator </w:t>
      </w:r>
      <w:r w:rsidR="009B35CE" w:rsidRPr="00542902">
        <w:t xml:space="preserve">in addition to </w:t>
      </w:r>
      <w:r w:rsidR="009B35CE">
        <w:t xml:space="preserve">a </w:t>
      </w:r>
      <w:r w:rsidR="009B35CE" w:rsidRPr="00542902">
        <w:t>PDE-5 inhibitor, relative</w:t>
      </w:r>
      <w:r w:rsidR="009B35CE">
        <w:t xml:space="preserve"> to PDE-5 inhibitor monotherapy</w:t>
      </w:r>
      <w:bookmarkEnd w:id="40"/>
    </w:p>
    <w:tbl>
      <w:tblPr>
        <w:tblStyle w:val="TableGrid"/>
        <w:tblW w:w="9634" w:type="dxa"/>
        <w:tblLook w:val="04A0" w:firstRow="1" w:lastRow="0" w:firstColumn="1" w:lastColumn="0" w:noHBand="0" w:noVBand="1"/>
        <w:tblCaption w:val="Summary of the evidence for the safety of a sGC stimulator in addition to a PDE-5 inhibitor, relative to PDE-5 inhibitor monotherapy"/>
      </w:tblPr>
      <w:tblGrid>
        <w:gridCol w:w="1555"/>
        <w:gridCol w:w="1984"/>
        <w:gridCol w:w="6095"/>
      </w:tblGrid>
      <w:tr w:rsidR="009B35CE" w:rsidRPr="00737EA5" w:rsidTr="00D103A9">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6C297E" w:rsidRDefault="009B35CE" w:rsidP="00D103A9">
            <w:pPr>
              <w:pStyle w:val="Tabletext"/>
              <w:rPr>
                <w:rFonts w:asciiTheme="minorHAnsi" w:hAnsiTheme="minorHAnsi"/>
                <w:b/>
              </w:rPr>
            </w:pPr>
            <w:r w:rsidRPr="006C297E">
              <w:rPr>
                <w:b/>
              </w:rPr>
              <w:t>Outcome</w:t>
            </w:r>
          </w:p>
        </w:tc>
        <w:tc>
          <w:tcPr>
            <w:tcW w:w="1984" w:type="dxa"/>
            <w:tcBorders>
              <w:top w:val="single" w:sz="4" w:space="0" w:color="auto"/>
              <w:left w:val="single" w:sz="4" w:space="0" w:color="auto"/>
              <w:bottom w:val="single" w:sz="4" w:space="0" w:color="auto"/>
              <w:right w:val="single" w:sz="4" w:space="0" w:color="auto"/>
            </w:tcBorders>
          </w:tcPr>
          <w:p w:rsidR="0051596A" w:rsidRDefault="009B35CE" w:rsidP="0051596A">
            <w:pPr>
              <w:pStyle w:val="Tabletext"/>
              <w:rPr>
                <w:b/>
              </w:rPr>
            </w:pPr>
            <w:r w:rsidRPr="006C297E">
              <w:rPr>
                <w:b/>
              </w:rPr>
              <w:t>Included trials</w:t>
            </w:r>
            <w:r w:rsidR="0051596A">
              <w:rPr>
                <w:b/>
              </w:rPr>
              <w:t xml:space="preserve"> </w:t>
            </w:r>
          </w:p>
          <w:p w:rsidR="009B35CE" w:rsidRPr="006C297E" w:rsidRDefault="0051596A" w:rsidP="0051596A">
            <w:pPr>
              <w:pStyle w:val="Tabletext"/>
              <w:rPr>
                <w:rFonts w:asciiTheme="minorHAnsi" w:hAnsiTheme="minorHAnsi"/>
                <w:b/>
              </w:rPr>
            </w:pPr>
            <w:r w:rsidRPr="00293DE5">
              <w:rPr>
                <w:b/>
              </w:rPr>
              <w:t>No. of patients</w:t>
            </w:r>
            <w:r w:rsidR="009B35CE" w:rsidRPr="006C297E">
              <w:rPr>
                <w:b/>
              </w:rPr>
              <w:t xml:space="preserve"> </w:t>
            </w:r>
          </w:p>
        </w:tc>
        <w:tc>
          <w:tcPr>
            <w:tcW w:w="6095" w:type="dxa"/>
            <w:tcBorders>
              <w:top w:val="single" w:sz="4" w:space="0" w:color="auto"/>
              <w:left w:val="single" w:sz="4" w:space="0" w:color="auto"/>
              <w:bottom w:val="single" w:sz="4" w:space="0" w:color="auto"/>
              <w:right w:val="single" w:sz="4" w:space="0" w:color="auto"/>
            </w:tcBorders>
          </w:tcPr>
          <w:p w:rsidR="009B35CE" w:rsidRPr="006C297E" w:rsidRDefault="009B35CE" w:rsidP="00D103A9">
            <w:pPr>
              <w:pStyle w:val="Tabletext"/>
              <w:rPr>
                <w:rFonts w:asciiTheme="minorHAnsi" w:hAnsiTheme="minorHAnsi"/>
                <w:b/>
              </w:rPr>
            </w:pPr>
            <w:r w:rsidRPr="006C297E">
              <w:rPr>
                <w:b/>
              </w:rPr>
              <w:t>Summary of evidence</w:t>
            </w:r>
          </w:p>
        </w:tc>
      </w:tr>
      <w:tr w:rsidR="009B35CE"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Default="009B35CE" w:rsidP="00D103A9">
            <w:pPr>
              <w:pStyle w:val="Tabletext"/>
              <w:rPr>
                <w:rFonts w:asciiTheme="minorHAnsi" w:hAnsiTheme="minorHAnsi"/>
              </w:rPr>
            </w:pPr>
            <w:r>
              <w:t>P</w:t>
            </w:r>
            <w:r w:rsidRPr="00FD4377">
              <w:t>atients with WHO FC III/IV PAH</w:t>
            </w:r>
          </w:p>
        </w:tc>
      </w:tr>
      <w:tr w:rsidR="009B35CE" w:rsidTr="00D103A9">
        <w:tc>
          <w:tcPr>
            <w:tcW w:w="1555" w:type="dxa"/>
            <w:tcBorders>
              <w:top w:val="single" w:sz="4" w:space="0" w:color="auto"/>
              <w:left w:val="single" w:sz="4" w:space="0" w:color="auto"/>
              <w:bottom w:val="single" w:sz="4" w:space="0" w:color="auto"/>
              <w:right w:val="single" w:sz="4" w:space="0" w:color="auto"/>
            </w:tcBorders>
          </w:tcPr>
          <w:p w:rsidR="009B35CE" w:rsidRPr="001D637C" w:rsidRDefault="009B35CE" w:rsidP="00D103A9">
            <w:pPr>
              <w:pStyle w:val="Tabletext"/>
            </w:pPr>
            <w:r>
              <w:t>Any AE</w:t>
            </w:r>
          </w:p>
        </w:tc>
        <w:tc>
          <w:tcPr>
            <w:tcW w:w="1984" w:type="dxa"/>
            <w:tcBorders>
              <w:top w:val="single" w:sz="4" w:space="0" w:color="auto"/>
              <w:left w:val="single" w:sz="4" w:space="0" w:color="auto"/>
              <w:bottom w:val="single" w:sz="4" w:space="0" w:color="auto"/>
              <w:right w:val="single" w:sz="4" w:space="0" w:color="auto"/>
            </w:tcBorders>
          </w:tcPr>
          <w:p w:rsidR="0051596A" w:rsidRDefault="009B35CE" w:rsidP="0051596A">
            <w:pPr>
              <w:pStyle w:val="Tabletext"/>
            </w:pPr>
            <w:r>
              <w:t>PATENT-PLUS (riociguat/sildenafil)</w:t>
            </w:r>
            <w:r w:rsidR="0051596A">
              <w:t xml:space="preserve"> </w:t>
            </w:r>
          </w:p>
          <w:p w:rsidR="009B35CE" w:rsidRPr="001D637C" w:rsidRDefault="0051596A" w:rsidP="0051596A">
            <w:pPr>
              <w:pStyle w:val="Tabletext"/>
            </w:pPr>
            <w:r>
              <w:t>N=18</w:t>
            </w:r>
          </w:p>
        </w:tc>
        <w:tc>
          <w:tcPr>
            <w:tcW w:w="6095" w:type="dxa"/>
            <w:tcBorders>
              <w:top w:val="single" w:sz="4" w:space="0" w:color="auto"/>
              <w:left w:val="single" w:sz="4" w:space="0" w:color="auto"/>
              <w:bottom w:val="single" w:sz="4" w:space="0" w:color="auto"/>
              <w:right w:val="single" w:sz="4" w:space="0" w:color="auto"/>
            </w:tcBorders>
          </w:tcPr>
          <w:p w:rsidR="009B35CE" w:rsidRPr="00B96C6F" w:rsidRDefault="00C828F9" w:rsidP="00480FDF">
            <w:pPr>
              <w:pStyle w:val="Tabletext"/>
              <w:numPr>
                <w:ilvl w:val="0"/>
                <w:numId w:val="56"/>
              </w:numPr>
              <w:ind w:left="227" w:hanging="219"/>
              <w:rPr>
                <w:szCs w:val="18"/>
              </w:rPr>
            </w:pPr>
            <w:r>
              <w:t xml:space="preserve">Low </w:t>
            </w:r>
            <w:r w:rsidRPr="006B11DC">
              <w:t xml:space="preserve">quality evidence (GRADE </w:t>
            </w:r>
            <w:r w:rsidRPr="006B11DC">
              <w:rPr>
                <w:rFonts w:ascii="Cambria Math" w:hAnsi="Cambria Math" w:cs="Cambria Math"/>
                <w:color w:val="00B050"/>
              </w:rPr>
              <w:t>⨁⨁</w:t>
            </w:r>
            <w:r w:rsidRPr="00E564DD">
              <w:rPr>
                <w:rFonts w:ascii="Cambria Math" w:hAnsi="Cambria Math" w:cs="Cambria Math"/>
                <w:bCs/>
                <w:color w:val="FF0000"/>
              </w:rPr>
              <w:t>⨀</w:t>
            </w:r>
            <w:r w:rsidRPr="00083FA5">
              <w:rPr>
                <w:rFonts w:ascii="Cambria Math" w:hAnsi="Cambria Math" w:cs="Cambria Math"/>
                <w:color w:val="FF0000"/>
              </w:rPr>
              <w:t>⨀</w:t>
            </w:r>
            <w:r w:rsidRPr="006B11DC">
              <w:t>)</w:t>
            </w:r>
          </w:p>
          <w:p w:rsidR="009B35CE" w:rsidRPr="00B96C6F" w:rsidRDefault="009B35CE" w:rsidP="00480FDF">
            <w:pPr>
              <w:pStyle w:val="Tabletext"/>
              <w:numPr>
                <w:ilvl w:val="0"/>
                <w:numId w:val="56"/>
              </w:numPr>
              <w:ind w:left="227" w:hanging="219"/>
            </w:pPr>
            <w:r w:rsidRPr="002375AD">
              <w:t xml:space="preserve">More patients experienced an AE with combination therapy compared with monotherapy, </w:t>
            </w:r>
            <w:r w:rsidR="00002D3C" w:rsidRPr="002375AD">
              <w:t xml:space="preserve">but the </w:t>
            </w:r>
            <w:r w:rsidR="00002D3C">
              <w:t>95% CI indicates</w:t>
            </w:r>
            <w:r w:rsidR="00002D3C" w:rsidRPr="002375AD">
              <w:t xml:space="preserve"> that </w:t>
            </w:r>
            <w:r w:rsidR="00002D3C">
              <w:t>the study was underpowered for this outcome</w:t>
            </w:r>
            <w:r w:rsidRPr="002375AD">
              <w:t xml:space="preserve"> </w:t>
            </w:r>
            <w:r w:rsidRPr="00B96C6F">
              <w:t xml:space="preserve">(RR = </w:t>
            </w:r>
            <w:r>
              <w:t>1</w:t>
            </w:r>
            <w:r w:rsidRPr="00B96C6F">
              <w:t>.</w:t>
            </w:r>
            <w:r>
              <w:t>50</w:t>
            </w:r>
            <w:r w:rsidRPr="00B96C6F">
              <w:t>; 95% CI 0.</w:t>
            </w:r>
            <w:r>
              <w:t>85</w:t>
            </w:r>
            <w:r w:rsidRPr="00B96C6F">
              <w:t xml:space="preserve">, </w:t>
            </w:r>
            <w:r>
              <w:t>2</w:t>
            </w:r>
            <w:r w:rsidRPr="00B96C6F">
              <w:t>.</w:t>
            </w:r>
            <w:r>
              <w:t>64</w:t>
            </w:r>
            <w:r w:rsidRPr="00B96C6F">
              <w:t>)</w:t>
            </w:r>
          </w:p>
        </w:tc>
      </w:tr>
      <w:tr w:rsidR="009B35CE" w:rsidTr="00D103A9">
        <w:tc>
          <w:tcPr>
            <w:tcW w:w="1555" w:type="dxa"/>
          </w:tcPr>
          <w:p w:rsidR="009B35CE" w:rsidRPr="001D637C" w:rsidRDefault="009B35CE" w:rsidP="00D103A9">
            <w:pPr>
              <w:pStyle w:val="Tabletext"/>
            </w:pPr>
            <w:r>
              <w:t>Serious AEs</w:t>
            </w:r>
          </w:p>
        </w:tc>
        <w:tc>
          <w:tcPr>
            <w:tcW w:w="1984" w:type="dxa"/>
            <w:tcBorders>
              <w:top w:val="single" w:sz="4" w:space="0" w:color="auto"/>
              <w:left w:val="single" w:sz="4" w:space="0" w:color="auto"/>
              <w:bottom w:val="single" w:sz="4" w:space="0" w:color="auto"/>
              <w:right w:val="single" w:sz="4" w:space="0" w:color="auto"/>
            </w:tcBorders>
          </w:tcPr>
          <w:p w:rsidR="0051596A" w:rsidRDefault="009B35CE" w:rsidP="0051596A">
            <w:pPr>
              <w:pStyle w:val="Tabletext"/>
            </w:pPr>
            <w:r>
              <w:t>PATENT-PLUS (riociguat/sildenafil)</w:t>
            </w:r>
            <w:r w:rsidR="0051596A">
              <w:t xml:space="preserve"> </w:t>
            </w:r>
          </w:p>
          <w:p w:rsidR="009B35CE" w:rsidRPr="001D637C" w:rsidRDefault="0051596A" w:rsidP="0051596A">
            <w:pPr>
              <w:pStyle w:val="Tabletext"/>
            </w:pPr>
            <w:r>
              <w:t>N=18</w:t>
            </w:r>
          </w:p>
        </w:tc>
        <w:tc>
          <w:tcPr>
            <w:tcW w:w="6095" w:type="dxa"/>
          </w:tcPr>
          <w:p w:rsidR="009B35CE" w:rsidRPr="00B96C6F" w:rsidRDefault="00C828F9" w:rsidP="00480FDF">
            <w:pPr>
              <w:pStyle w:val="Tabletext"/>
              <w:numPr>
                <w:ilvl w:val="0"/>
                <w:numId w:val="56"/>
              </w:numPr>
              <w:ind w:left="227" w:hanging="219"/>
              <w:rPr>
                <w:szCs w:val="18"/>
              </w:rPr>
            </w:pPr>
            <w:r>
              <w:t xml:space="preserve">Low </w:t>
            </w:r>
            <w:r w:rsidRPr="006B11DC">
              <w:t xml:space="preserve">quality evidence (GRADE </w:t>
            </w:r>
            <w:r w:rsidRPr="006B11DC">
              <w:rPr>
                <w:rFonts w:ascii="Cambria Math" w:hAnsi="Cambria Math" w:cs="Cambria Math"/>
                <w:color w:val="00B050"/>
              </w:rPr>
              <w:t>⨁⨁</w:t>
            </w:r>
            <w:r w:rsidRPr="00E564DD">
              <w:rPr>
                <w:rFonts w:ascii="Cambria Math" w:hAnsi="Cambria Math" w:cs="Cambria Math"/>
                <w:bCs/>
                <w:color w:val="FF0000"/>
              </w:rPr>
              <w:t>⨀</w:t>
            </w:r>
            <w:r w:rsidRPr="00083FA5">
              <w:rPr>
                <w:rFonts w:ascii="Cambria Math" w:hAnsi="Cambria Math" w:cs="Cambria Math"/>
                <w:color w:val="FF0000"/>
              </w:rPr>
              <w:t>⨀</w:t>
            </w:r>
            <w:r w:rsidRPr="006B11DC">
              <w:t>)</w:t>
            </w:r>
          </w:p>
          <w:p w:rsidR="009B35CE" w:rsidRPr="00B96C6F" w:rsidRDefault="009B35CE" w:rsidP="00480FDF">
            <w:pPr>
              <w:pStyle w:val="Tabletext"/>
              <w:numPr>
                <w:ilvl w:val="0"/>
                <w:numId w:val="56"/>
              </w:numPr>
              <w:ind w:left="227" w:hanging="219"/>
            </w:pPr>
            <w:r>
              <w:rPr>
                <w:szCs w:val="18"/>
              </w:rPr>
              <w:t>More</w:t>
            </w:r>
            <w:r w:rsidRPr="00B96C6F">
              <w:rPr>
                <w:szCs w:val="18"/>
              </w:rPr>
              <w:t xml:space="preserve"> patients </w:t>
            </w:r>
            <w:r w:rsidR="00E00863">
              <w:rPr>
                <w:szCs w:val="18"/>
              </w:rPr>
              <w:t xml:space="preserve">experienced </w:t>
            </w:r>
            <w:r>
              <w:rPr>
                <w:szCs w:val="18"/>
              </w:rPr>
              <w:t>a serious AE</w:t>
            </w:r>
            <w:r w:rsidRPr="00B96C6F">
              <w:t xml:space="preserve"> with combination the</w:t>
            </w:r>
            <w:r>
              <w:t xml:space="preserve">rapy compared with monotherapy, </w:t>
            </w:r>
            <w:r w:rsidR="00002D3C" w:rsidRPr="002375AD">
              <w:t xml:space="preserve">but the </w:t>
            </w:r>
            <w:r w:rsidR="00002D3C">
              <w:t>95% CI indicates</w:t>
            </w:r>
            <w:r w:rsidR="00002D3C" w:rsidRPr="002375AD">
              <w:t xml:space="preserve"> that </w:t>
            </w:r>
            <w:r w:rsidR="00002D3C">
              <w:t>the study was underpowered for this outcome</w:t>
            </w:r>
            <w:r w:rsidRPr="00B96C6F">
              <w:t xml:space="preserve"> (</w:t>
            </w:r>
            <w:r w:rsidR="00B21201">
              <w:t>ARD</w:t>
            </w:r>
            <w:r>
              <w:t xml:space="preserve"> = 16.7%</w:t>
            </w:r>
            <w:r w:rsidRPr="00B96C6F">
              <w:t xml:space="preserve">; 95% CI </w:t>
            </w:r>
            <w:r>
              <w:t>−4</w:t>
            </w:r>
            <w:r w:rsidRPr="00B96C6F">
              <w:t>.</w:t>
            </w:r>
            <w:r>
              <w:t>4</w:t>
            </w:r>
            <w:r w:rsidRPr="00B96C6F">
              <w:t xml:space="preserve">, </w:t>
            </w:r>
            <w:r>
              <w:t>37</w:t>
            </w:r>
            <w:r w:rsidRPr="00B96C6F">
              <w:t>.</w:t>
            </w:r>
            <w:r>
              <w:t>8</w:t>
            </w:r>
            <w:r w:rsidRPr="00B96C6F">
              <w:t>)</w:t>
            </w:r>
          </w:p>
        </w:tc>
      </w:tr>
      <w:tr w:rsidR="009B35CE" w:rsidTr="00D103A9">
        <w:tc>
          <w:tcPr>
            <w:tcW w:w="1555" w:type="dxa"/>
          </w:tcPr>
          <w:p w:rsidR="009B35CE" w:rsidRDefault="009B35CE" w:rsidP="00D103A9">
            <w:pPr>
              <w:pStyle w:val="Tabletext"/>
            </w:pPr>
            <w:r w:rsidRPr="00B96C6F">
              <w:t>AEs leading to treatment discontinuation</w:t>
            </w:r>
          </w:p>
        </w:tc>
        <w:tc>
          <w:tcPr>
            <w:tcW w:w="1984" w:type="dxa"/>
            <w:tcBorders>
              <w:top w:val="single" w:sz="4" w:space="0" w:color="auto"/>
              <w:left w:val="single" w:sz="4" w:space="0" w:color="auto"/>
              <w:bottom w:val="single" w:sz="4" w:space="0" w:color="auto"/>
              <w:right w:val="single" w:sz="4" w:space="0" w:color="auto"/>
            </w:tcBorders>
          </w:tcPr>
          <w:p w:rsidR="0051596A" w:rsidRDefault="009B35CE" w:rsidP="0051596A">
            <w:pPr>
              <w:pStyle w:val="Tabletext"/>
            </w:pPr>
            <w:r>
              <w:t>PATENT-PLUS (riociguat/sildenafil)</w:t>
            </w:r>
            <w:r w:rsidR="0051596A">
              <w:t xml:space="preserve"> </w:t>
            </w:r>
          </w:p>
          <w:p w:rsidR="009B35CE" w:rsidRDefault="0051596A" w:rsidP="0051596A">
            <w:pPr>
              <w:pStyle w:val="Tabletext"/>
            </w:pPr>
            <w:r>
              <w:t>N=18</w:t>
            </w:r>
          </w:p>
        </w:tc>
        <w:tc>
          <w:tcPr>
            <w:tcW w:w="6095" w:type="dxa"/>
            <w:tcBorders>
              <w:top w:val="single" w:sz="4" w:space="0" w:color="auto"/>
              <w:left w:val="single" w:sz="4" w:space="0" w:color="auto"/>
              <w:bottom w:val="single" w:sz="4" w:space="0" w:color="auto"/>
              <w:right w:val="single" w:sz="4" w:space="0" w:color="auto"/>
            </w:tcBorders>
          </w:tcPr>
          <w:p w:rsidR="009B35CE" w:rsidRPr="00B96C6F" w:rsidRDefault="00C828F9" w:rsidP="00480FDF">
            <w:pPr>
              <w:pStyle w:val="Tabletext"/>
              <w:numPr>
                <w:ilvl w:val="0"/>
                <w:numId w:val="56"/>
              </w:numPr>
              <w:ind w:left="227" w:hanging="219"/>
              <w:rPr>
                <w:szCs w:val="18"/>
              </w:rPr>
            </w:pPr>
            <w:r>
              <w:t xml:space="preserve">Low </w:t>
            </w:r>
            <w:r w:rsidRPr="006B11DC">
              <w:t xml:space="preserve">quality evidence (GRADE </w:t>
            </w:r>
            <w:r w:rsidRPr="006B11DC">
              <w:rPr>
                <w:rFonts w:ascii="Cambria Math" w:hAnsi="Cambria Math" w:cs="Cambria Math"/>
                <w:color w:val="00B050"/>
              </w:rPr>
              <w:t>⨁⨁</w:t>
            </w:r>
            <w:r w:rsidRPr="00E564DD">
              <w:rPr>
                <w:rFonts w:ascii="Cambria Math" w:hAnsi="Cambria Math" w:cs="Cambria Math"/>
                <w:bCs/>
                <w:color w:val="FF0000"/>
              </w:rPr>
              <w:t>⨀</w:t>
            </w:r>
            <w:r w:rsidRPr="00083FA5">
              <w:rPr>
                <w:rFonts w:ascii="Cambria Math" w:hAnsi="Cambria Math" w:cs="Cambria Math"/>
                <w:color w:val="FF0000"/>
              </w:rPr>
              <w:t>⨀</w:t>
            </w:r>
            <w:r w:rsidRPr="006B11DC">
              <w:t>)</w:t>
            </w:r>
          </w:p>
          <w:p w:rsidR="009B35CE" w:rsidRPr="006B11DC" w:rsidRDefault="009B35CE" w:rsidP="00480FDF">
            <w:pPr>
              <w:pStyle w:val="Tabletext"/>
              <w:numPr>
                <w:ilvl w:val="0"/>
                <w:numId w:val="56"/>
              </w:numPr>
              <w:ind w:left="227" w:hanging="219"/>
            </w:pPr>
            <w:r>
              <w:t xml:space="preserve">More </w:t>
            </w:r>
            <w:r w:rsidRPr="00F3410B">
              <w:t>patients had an AE leading to treatment discontinuation</w:t>
            </w:r>
            <w:r w:rsidRPr="00B96C6F">
              <w:t xml:space="preserve"> with combination th</w:t>
            </w:r>
            <w:r>
              <w:t>erapy compared with monotherapy,</w:t>
            </w:r>
            <w:r w:rsidRPr="00B96C6F">
              <w:t xml:space="preserve"> </w:t>
            </w:r>
            <w:r>
              <w:t>but the difference was not statistically significant</w:t>
            </w:r>
            <w:r w:rsidRPr="00B96C6F">
              <w:t xml:space="preserve"> (</w:t>
            </w:r>
            <w:r w:rsidR="00B21201">
              <w:t>ARD</w:t>
            </w:r>
            <w:r w:rsidRPr="00B96C6F">
              <w:t xml:space="preserve"> = </w:t>
            </w:r>
            <w:r>
              <w:t>8</w:t>
            </w:r>
            <w:r w:rsidRPr="00B96C6F">
              <w:t>.</w:t>
            </w:r>
            <w:r>
              <w:t>3%</w:t>
            </w:r>
            <w:r w:rsidRPr="00B96C6F">
              <w:t xml:space="preserve">; 95% CI </w:t>
            </w:r>
            <w:r>
              <w:t>−7</w:t>
            </w:r>
            <w:r w:rsidRPr="00B96C6F">
              <w:t>.</w:t>
            </w:r>
            <w:r>
              <w:t>3</w:t>
            </w:r>
            <w:r w:rsidRPr="00B96C6F">
              <w:t xml:space="preserve">, </w:t>
            </w:r>
            <w:r>
              <w:t>24.0</w:t>
            </w:r>
            <w:r w:rsidRPr="00B96C6F">
              <w:t>)</w:t>
            </w:r>
          </w:p>
        </w:tc>
      </w:tr>
    </w:tbl>
    <w:p w:rsidR="00D419F1" w:rsidRPr="006316DF" w:rsidRDefault="009B35CE" w:rsidP="00D103A9">
      <w:pPr>
        <w:pStyle w:val="Tablenote"/>
      </w:pPr>
      <w:r>
        <w:t xml:space="preserve">AE = adverse event; </w:t>
      </w:r>
      <w:r w:rsidR="00B21201">
        <w:t>ARD</w:t>
      </w:r>
      <w:r w:rsidRPr="00955629">
        <w:t xml:space="preserve"> = absolute risk </w:t>
      </w:r>
      <w:r w:rsidR="00B21201">
        <w:t>difference</w:t>
      </w:r>
      <w:r w:rsidRPr="00955629">
        <w:t xml:space="preserve">; CI = confidence interval; </w:t>
      </w:r>
      <w:r>
        <w:t xml:space="preserve">FC = functional class; </w:t>
      </w:r>
      <w:r w:rsidR="00385E5A">
        <w:t>GRADE = grading of recommendations assessment, development and evaluation</w:t>
      </w:r>
      <w:r w:rsidR="001D34EE" w:rsidRPr="001D34EE">
        <w:rPr>
          <w:noProof/>
          <w:vertAlign w:val="superscript"/>
        </w:rPr>
        <w:t>1</w:t>
      </w:r>
      <w:r w:rsidR="00D419F1" w:rsidRPr="009E3B52">
        <w:t>;</w:t>
      </w:r>
      <w:r w:rsidR="00D419F1">
        <w:t xml:space="preserve"> </w:t>
      </w:r>
      <w:r w:rsidRPr="009123E2">
        <w:t>PAH</w:t>
      </w:r>
      <w:r>
        <w:t xml:space="preserve"> = p</w:t>
      </w:r>
      <w:r w:rsidRPr="009123E2">
        <w:t xml:space="preserve">ulmonary </w:t>
      </w:r>
      <w:r>
        <w:t>a</w:t>
      </w:r>
      <w:r w:rsidRPr="009123E2">
        <w:t xml:space="preserve">rterial </w:t>
      </w:r>
      <w:r>
        <w:t>h</w:t>
      </w:r>
      <w:r w:rsidRPr="009123E2">
        <w:t>ypertension</w:t>
      </w:r>
      <w:r>
        <w:t xml:space="preserve">; </w:t>
      </w:r>
      <w:r w:rsidR="00BE3517" w:rsidRPr="00BE3517">
        <w:t xml:space="preserve">PDE-5 = phosphodiesterase type-5; </w:t>
      </w:r>
      <w:r>
        <w:t xml:space="preserve">RR = relative risk; </w:t>
      </w:r>
      <w:r w:rsidR="009B47AA" w:rsidRPr="009B47AA">
        <w:t xml:space="preserve">sGC = soluble guanylate cyclase stimulator; </w:t>
      </w:r>
      <w:r>
        <w:t>WHO = World Health Organization</w:t>
      </w:r>
    </w:p>
    <w:p w:rsidR="009B35CE" w:rsidRPr="006316DF" w:rsidRDefault="00441F08" w:rsidP="009B35CE">
      <w:pPr>
        <w:pStyle w:val="Heading4"/>
      </w:pPr>
      <w:r>
        <w:t>4.1.3.8</w:t>
      </w:r>
      <w:r>
        <w:tab/>
      </w:r>
      <w:r w:rsidR="009B35CE" w:rsidRPr="00CA622D">
        <w:t xml:space="preserve">sGC stimulator </w:t>
      </w:r>
      <w:r w:rsidR="009B35CE" w:rsidRPr="00EF6A61">
        <w:t xml:space="preserve">in addition to </w:t>
      </w:r>
      <w:r w:rsidR="009B35CE" w:rsidRPr="002375AD">
        <w:t>a prosta</w:t>
      </w:r>
      <w:r w:rsidR="0017012F">
        <w:t>noid</w:t>
      </w:r>
    </w:p>
    <w:p w:rsidR="009B35CE" w:rsidRPr="00107676" w:rsidRDefault="009B35CE" w:rsidP="009B35CE">
      <w:pPr>
        <w:pStyle w:val="Heading5"/>
      </w:pPr>
      <w:r w:rsidRPr="00107676">
        <w:t>Clinical effectiveness</w:t>
      </w:r>
    </w:p>
    <w:p w:rsidR="009B35CE" w:rsidRDefault="009B35CE" w:rsidP="009B35CE">
      <w:r>
        <w:t xml:space="preserve">One </w:t>
      </w:r>
      <w:r w:rsidR="00EB514E">
        <w:t>RCT</w:t>
      </w:r>
      <w:r w:rsidRPr="00822C52">
        <w:t xml:space="preserve"> rep</w:t>
      </w:r>
      <w:r w:rsidR="00D103A9">
        <w:t>orted on the effectiveness of a</w:t>
      </w:r>
      <w:r w:rsidRPr="00822C52">
        <w:t xml:space="preserve"> </w:t>
      </w:r>
      <w:r w:rsidRPr="00955629">
        <w:t xml:space="preserve">sGC stimulator </w:t>
      </w:r>
      <w:r w:rsidRPr="00822C52">
        <w:t xml:space="preserve">in addition to a </w:t>
      </w:r>
      <w:r w:rsidR="00487776">
        <w:t>prostanoid</w:t>
      </w:r>
      <w:r w:rsidRPr="00C5017B">
        <w:t xml:space="preserve"> </w:t>
      </w:r>
      <w:r w:rsidR="00EB514E">
        <w:t xml:space="preserve">when </w:t>
      </w:r>
      <w:r w:rsidRPr="00822C52">
        <w:t xml:space="preserve">compared with placebo plus a </w:t>
      </w:r>
      <w:r w:rsidR="00487776">
        <w:t>prostanoid</w:t>
      </w:r>
      <w:r w:rsidRPr="00822C52">
        <w:t xml:space="preserve"> in patients with PAH</w:t>
      </w:r>
      <w:r>
        <w:t>:</w:t>
      </w:r>
    </w:p>
    <w:p w:rsidR="009B35CE" w:rsidRPr="00B607A5" w:rsidRDefault="009B35CE" w:rsidP="00D103A9">
      <w:pPr>
        <w:pStyle w:val="Bullettext"/>
      </w:pPr>
      <w:r w:rsidRPr="00B607A5">
        <w:t xml:space="preserve">PATENT-1 enrolled </w:t>
      </w:r>
      <w:r w:rsidR="00EB514E" w:rsidRPr="00B607A5">
        <w:t xml:space="preserve">PAH </w:t>
      </w:r>
      <w:r w:rsidRPr="00B607A5">
        <w:t xml:space="preserve">patients with or without background ERA or </w:t>
      </w:r>
      <w:r w:rsidR="00487776" w:rsidRPr="00B607A5">
        <w:t>prostanoid</w:t>
      </w:r>
      <w:r w:rsidRPr="00B607A5">
        <w:t xml:space="preserve"> therapy, to receive riociguat or placebo</w:t>
      </w:r>
    </w:p>
    <w:p w:rsidR="009B35CE" w:rsidRPr="00B607A5" w:rsidRDefault="009B35CE" w:rsidP="00D103A9">
      <w:pPr>
        <w:pStyle w:val="Bullettext"/>
      </w:pPr>
      <w:r w:rsidRPr="00B607A5">
        <w:t xml:space="preserve">Due to the small size of the sGC stimulator ± </w:t>
      </w:r>
      <w:r w:rsidR="00487776" w:rsidRPr="00B607A5">
        <w:t>prostanoid</w:t>
      </w:r>
      <w:r w:rsidRPr="00B607A5">
        <w:t xml:space="preserve"> group, no further subgroup analysis was undertaken</w:t>
      </w:r>
    </w:p>
    <w:p w:rsidR="009B35CE" w:rsidRDefault="009B35CE" w:rsidP="00BB1BFB">
      <w:pPr>
        <w:spacing w:before="0" w:line="240" w:lineRule="auto"/>
      </w:pPr>
      <w:r>
        <w:t>The evidence provided by this trial is summarised in</w:t>
      </w:r>
      <w:r w:rsidR="00BB1BFB">
        <w:t xml:space="preserve"> Table 4.18.</w:t>
      </w:r>
      <w:r>
        <w:t>.</w:t>
      </w:r>
    </w:p>
    <w:p w:rsidR="009B35CE" w:rsidRDefault="00487776" w:rsidP="009B35CE">
      <w:r>
        <w:t xml:space="preserve">Overall, </w:t>
      </w:r>
      <w:r w:rsidRPr="001E5DED">
        <w:t xml:space="preserve">there is considerable uncertainty as to whether the use of a </w:t>
      </w:r>
      <w:r w:rsidRPr="00487776">
        <w:t xml:space="preserve">sGC stimulator </w:t>
      </w:r>
      <w:r w:rsidRPr="001E5DED">
        <w:t xml:space="preserve">in addition to a </w:t>
      </w:r>
      <w:r>
        <w:t>prostanoid</w:t>
      </w:r>
      <w:r w:rsidRPr="001E5DED">
        <w:t xml:space="preserve">, relative to </w:t>
      </w:r>
      <w:r>
        <w:t>prostanoid</w:t>
      </w:r>
      <w:r w:rsidRPr="001E5DED">
        <w:t xml:space="preserve"> monotherapy to treat PAH patients is likely to be beneficial</w:t>
      </w:r>
      <w:r w:rsidRPr="0034017B">
        <w:t>.</w:t>
      </w:r>
    </w:p>
    <w:p w:rsidR="00A74172" w:rsidRDefault="00A74172">
      <w:pPr>
        <w:spacing w:before="0" w:line="240" w:lineRule="auto"/>
        <w:rPr>
          <w:b/>
          <w:iCs/>
          <w:szCs w:val="18"/>
        </w:rPr>
      </w:pPr>
      <w:bookmarkStart w:id="41" w:name="_Ref506208359"/>
      <w:r>
        <w:br w:type="page"/>
      </w:r>
    </w:p>
    <w:p w:rsidR="009B35CE" w:rsidRDefault="00272F8F" w:rsidP="00BC5A2B">
      <w:pPr>
        <w:pStyle w:val="Caption"/>
      </w:pPr>
      <w:bookmarkStart w:id="42" w:name="_Toc512855422"/>
      <w:r>
        <w:lastRenderedPageBreak/>
        <w:t>Table 4.</w:t>
      </w:r>
      <w:r w:rsidR="00AA722D">
        <w:rPr>
          <w:noProof/>
        </w:rPr>
        <w:t>18</w:t>
      </w:r>
      <w:bookmarkEnd w:id="41"/>
      <w:r w:rsidR="00D103A9">
        <w:tab/>
      </w:r>
      <w:r w:rsidR="009B35CE">
        <w:t xml:space="preserve">Summary of the evidence for the clinical effectiveness of a </w:t>
      </w:r>
      <w:r w:rsidR="009B35CE" w:rsidRPr="00CA622D">
        <w:t xml:space="preserve">sGC stimulator in addition to a </w:t>
      </w:r>
      <w:r w:rsidR="00487776">
        <w:t>prostanoid</w:t>
      </w:r>
      <w:r w:rsidR="009B35CE">
        <w:t>,</w:t>
      </w:r>
      <w:r w:rsidR="009B35CE" w:rsidRPr="00542902">
        <w:t xml:space="preserve"> relative</w:t>
      </w:r>
      <w:r w:rsidR="009B35CE">
        <w:t xml:space="preserve"> to </w:t>
      </w:r>
      <w:r w:rsidR="00487776">
        <w:t>prostanoid</w:t>
      </w:r>
      <w:r w:rsidR="009B35CE">
        <w:t xml:space="preserve"> monotherapy</w:t>
      </w:r>
      <w:bookmarkEnd w:id="42"/>
    </w:p>
    <w:tbl>
      <w:tblPr>
        <w:tblStyle w:val="TableGrid"/>
        <w:tblW w:w="9752" w:type="dxa"/>
        <w:tblLayout w:type="fixed"/>
        <w:tblLook w:val="04A0" w:firstRow="1" w:lastRow="0" w:firstColumn="1" w:lastColumn="0" w:noHBand="0" w:noVBand="1"/>
        <w:tblCaption w:val="Summary of the evidence for the clinical effectiveness of a sGC stimulator in addition to a prostanoid, relative to prostanoid monotherapy"/>
      </w:tblPr>
      <w:tblGrid>
        <w:gridCol w:w="1333"/>
        <w:gridCol w:w="2126"/>
        <w:gridCol w:w="6293"/>
      </w:tblGrid>
      <w:tr w:rsidR="009B35CE" w:rsidRPr="00737EA5" w:rsidTr="008D640A">
        <w:trPr>
          <w:cnfStyle w:val="100000000000" w:firstRow="1" w:lastRow="0" w:firstColumn="0" w:lastColumn="0" w:oddVBand="0" w:evenVBand="0" w:oddHBand="0" w:evenHBand="0" w:firstRowFirstColumn="0" w:firstRowLastColumn="0" w:lastRowFirstColumn="0" w:lastRowLastColumn="0"/>
        </w:trPr>
        <w:tc>
          <w:tcPr>
            <w:tcW w:w="1333" w:type="dxa"/>
            <w:tcBorders>
              <w:top w:val="single" w:sz="4" w:space="0" w:color="auto"/>
              <w:left w:val="single" w:sz="4" w:space="0" w:color="auto"/>
              <w:bottom w:val="single" w:sz="4" w:space="0" w:color="auto"/>
              <w:right w:val="single" w:sz="4" w:space="0" w:color="auto"/>
            </w:tcBorders>
          </w:tcPr>
          <w:p w:rsidR="009B35CE" w:rsidRPr="006C297E" w:rsidRDefault="009B35CE" w:rsidP="00D103A9">
            <w:pPr>
              <w:pStyle w:val="Tabletext"/>
              <w:rPr>
                <w:rFonts w:asciiTheme="minorHAnsi" w:hAnsiTheme="minorHAnsi"/>
                <w:b/>
              </w:rPr>
            </w:pPr>
            <w:r w:rsidRPr="006C297E">
              <w:rPr>
                <w:b/>
              </w:rPr>
              <w:t>Outcome</w:t>
            </w:r>
          </w:p>
        </w:tc>
        <w:tc>
          <w:tcPr>
            <w:tcW w:w="2126" w:type="dxa"/>
            <w:tcBorders>
              <w:top w:val="single" w:sz="4" w:space="0" w:color="auto"/>
              <w:left w:val="single" w:sz="4" w:space="0" w:color="auto"/>
              <w:bottom w:val="single" w:sz="4" w:space="0" w:color="auto"/>
              <w:right w:val="single" w:sz="4" w:space="0" w:color="auto"/>
            </w:tcBorders>
          </w:tcPr>
          <w:p w:rsidR="0051596A" w:rsidRDefault="009B35CE" w:rsidP="0051596A">
            <w:pPr>
              <w:pStyle w:val="Tabletext"/>
              <w:rPr>
                <w:b/>
              </w:rPr>
            </w:pPr>
            <w:r w:rsidRPr="006C297E">
              <w:rPr>
                <w:b/>
              </w:rPr>
              <w:t>Included trials</w:t>
            </w:r>
            <w:r w:rsidR="0051596A">
              <w:rPr>
                <w:b/>
              </w:rPr>
              <w:t xml:space="preserve"> </w:t>
            </w:r>
          </w:p>
          <w:p w:rsidR="009B35CE" w:rsidRPr="006C297E" w:rsidRDefault="0051596A" w:rsidP="0051596A">
            <w:pPr>
              <w:pStyle w:val="Tabletext"/>
              <w:rPr>
                <w:rFonts w:asciiTheme="minorHAnsi" w:hAnsiTheme="minorHAnsi"/>
                <w:b/>
              </w:rPr>
            </w:pPr>
            <w:r w:rsidRPr="00293DE5">
              <w:rPr>
                <w:b/>
              </w:rPr>
              <w:t>No. of patients</w:t>
            </w:r>
            <w:r w:rsidR="009B35CE" w:rsidRPr="006C297E">
              <w:rPr>
                <w:b/>
              </w:rPr>
              <w:t xml:space="preserve"> </w:t>
            </w:r>
          </w:p>
        </w:tc>
        <w:tc>
          <w:tcPr>
            <w:tcW w:w="6293" w:type="dxa"/>
            <w:tcBorders>
              <w:top w:val="single" w:sz="4" w:space="0" w:color="auto"/>
              <w:left w:val="single" w:sz="4" w:space="0" w:color="auto"/>
              <w:bottom w:val="single" w:sz="4" w:space="0" w:color="auto"/>
              <w:right w:val="single" w:sz="4" w:space="0" w:color="auto"/>
            </w:tcBorders>
          </w:tcPr>
          <w:p w:rsidR="009B35CE" w:rsidRPr="006C297E" w:rsidRDefault="009B35CE" w:rsidP="00D103A9">
            <w:pPr>
              <w:pStyle w:val="Tabletext"/>
              <w:rPr>
                <w:rFonts w:asciiTheme="minorHAnsi" w:hAnsiTheme="minorHAnsi"/>
                <w:b/>
              </w:rPr>
            </w:pPr>
            <w:r w:rsidRPr="006C297E">
              <w:rPr>
                <w:b/>
              </w:rPr>
              <w:t>Summary of evidence</w:t>
            </w:r>
          </w:p>
        </w:tc>
      </w:tr>
      <w:tr w:rsidR="009B35CE" w:rsidTr="00DE4B2C">
        <w:tc>
          <w:tcPr>
            <w:tcW w:w="9752" w:type="dxa"/>
            <w:gridSpan w:val="3"/>
            <w:tcBorders>
              <w:top w:val="nil"/>
              <w:left w:val="single" w:sz="4" w:space="0" w:color="auto"/>
              <w:bottom w:val="single" w:sz="4" w:space="0" w:color="auto"/>
              <w:right w:val="single" w:sz="4" w:space="0" w:color="auto"/>
            </w:tcBorders>
            <w:shd w:val="clear" w:color="auto" w:fill="000000"/>
          </w:tcPr>
          <w:p w:rsidR="009B35CE" w:rsidRDefault="009B35CE" w:rsidP="00D103A9">
            <w:pPr>
              <w:pStyle w:val="Tabletext"/>
              <w:rPr>
                <w:rFonts w:asciiTheme="minorHAnsi" w:hAnsiTheme="minorHAnsi"/>
              </w:rPr>
            </w:pPr>
            <w:r>
              <w:t>All PAH patients</w:t>
            </w:r>
          </w:p>
        </w:tc>
      </w:tr>
      <w:tr w:rsidR="00C828F9" w:rsidTr="008D640A">
        <w:tc>
          <w:tcPr>
            <w:tcW w:w="1333" w:type="dxa"/>
            <w:tcBorders>
              <w:top w:val="single" w:sz="4" w:space="0" w:color="auto"/>
              <w:left w:val="single" w:sz="4" w:space="0" w:color="auto"/>
              <w:bottom w:val="single" w:sz="4" w:space="0" w:color="auto"/>
              <w:right w:val="single" w:sz="4" w:space="0" w:color="auto"/>
            </w:tcBorders>
          </w:tcPr>
          <w:p w:rsidR="00C828F9" w:rsidRPr="001D637C" w:rsidRDefault="00C828F9" w:rsidP="00C828F9">
            <w:pPr>
              <w:pStyle w:val="Tabletext"/>
            </w:pPr>
            <w:r w:rsidRPr="001D637C">
              <w:t>Clinical worsening</w:t>
            </w:r>
          </w:p>
        </w:tc>
        <w:tc>
          <w:tcPr>
            <w:tcW w:w="2126" w:type="dxa"/>
            <w:tcBorders>
              <w:top w:val="single" w:sz="4" w:space="0" w:color="auto"/>
              <w:left w:val="single" w:sz="4" w:space="0" w:color="auto"/>
              <w:bottom w:val="single" w:sz="4" w:space="0" w:color="auto"/>
              <w:right w:val="single" w:sz="4" w:space="0" w:color="auto"/>
            </w:tcBorders>
          </w:tcPr>
          <w:p w:rsidR="00C828F9" w:rsidRDefault="00C828F9" w:rsidP="00C828F9">
            <w:pPr>
              <w:pStyle w:val="Tabletext"/>
            </w:pPr>
            <w:r>
              <w:t>PATENT-1</w:t>
            </w:r>
            <w:r>
              <w:br/>
              <w:t>(riociguat/prostanoid)</w:t>
            </w:r>
          </w:p>
          <w:p w:rsidR="00C828F9" w:rsidRPr="001D637C" w:rsidRDefault="00C828F9" w:rsidP="00C828F9">
            <w:pPr>
              <w:pStyle w:val="Tabletext"/>
            </w:pPr>
            <w:r>
              <w:t>N=27</w:t>
            </w:r>
          </w:p>
        </w:tc>
        <w:tc>
          <w:tcPr>
            <w:tcW w:w="6293" w:type="dxa"/>
            <w:tcBorders>
              <w:top w:val="single" w:sz="4" w:space="0" w:color="auto"/>
              <w:left w:val="single" w:sz="4" w:space="0" w:color="auto"/>
              <w:bottom w:val="single" w:sz="4" w:space="0" w:color="auto"/>
              <w:right w:val="single" w:sz="4" w:space="0" w:color="auto"/>
            </w:tcBorders>
          </w:tcPr>
          <w:p w:rsidR="00C828F9" w:rsidRPr="00054374" w:rsidRDefault="00C828F9" w:rsidP="00480FDF">
            <w:pPr>
              <w:pStyle w:val="Tabletext"/>
              <w:numPr>
                <w:ilvl w:val="0"/>
                <w:numId w:val="43"/>
              </w:numPr>
              <w:ind w:left="227" w:hanging="227"/>
              <w:rPr>
                <w:szCs w:val="18"/>
              </w:rPr>
            </w:pPr>
            <w:r>
              <w:t>Low</w:t>
            </w:r>
            <w:r w:rsidRPr="00054374">
              <w:t xml:space="preserve"> quality</w:t>
            </w:r>
            <w:r w:rsidRPr="00054374">
              <w:rPr>
                <w:rFonts w:cs="Cambria Math"/>
              </w:rPr>
              <w:t xml:space="preserve"> evidence (GRADE </w:t>
            </w:r>
            <w:r w:rsidRPr="00054374">
              <w:rPr>
                <w:rFonts w:ascii="Cambria Math" w:hAnsi="Cambria Math" w:cs="Cambria Math"/>
                <w:color w:val="00B050"/>
              </w:rPr>
              <w:t>⨁⨁</w:t>
            </w:r>
            <w:r w:rsidRPr="00E564DD">
              <w:rPr>
                <w:rFonts w:ascii="Cambria Math" w:eastAsia="Times New Roman" w:hAnsi="Cambria Math" w:cs="Cambria Math"/>
                <w:bCs/>
                <w:color w:val="FF0000"/>
              </w:rPr>
              <w:t>⨀⨀</w:t>
            </w:r>
            <w:r w:rsidRPr="00054374">
              <w:t>)</w:t>
            </w:r>
          </w:p>
          <w:p w:rsidR="00C828F9" w:rsidRPr="008D640A" w:rsidRDefault="00A17B9D" w:rsidP="00A17B9D">
            <w:pPr>
              <w:pStyle w:val="Tabletext"/>
              <w:ind w:left="227" w:hanging="227"/>
              <w:rPr>
                <w:sz w:val="16"/>
                <w:szCs w:val="16"/>
                <w:highlight w:val="black"/>
              </w:rPr>
            </w:pP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p>
        </w:tc>
      </w:tr>
      <w:tr w:rsidR="00C828F9" w:rsidTr="008D640A">
        <w:tc>
          <w:tcPr>
            <w:tcW w:w="1333" w:type="dxa"/>
          </w:tcPr>
          <w:p w:rsidR="00C828F9" w:rsidRPr="001D637C" w:rsidRDefault="00C828F9" w:rsidP="00C828F9">
            <w:pPr>
              <w:pStyle w:val="Tabletext"/>
            </w:pPr>
            <w:r>
              <w:t>All-cause mortality</w:t>
            </w:r>
          </w:p>
        </w:tc>
        <w:tc>
          <w:tcPr>
            <w:tcW w:w="2126" w:type="dxa"/>
            <w:tcBorders>
              <w:top w:val="single" w:sz="4" w:space="0" w:color="auto"/>
              <w:left w:val="single" w:sz="4" w:space="0" w:color="auto"/>
              <w:bottom w:val="single" w:sz="4" w:space="0" w:color="auto"/>
              <w:right w:val="single" w:sz="4" w:space="0" w:color="auto"/>
            </w:tcBorders>
          </w:tcPr>
          <w:p w:rsidR="00C828F9" w:rsidRDefault="00C828F9" w:rsidP="00C828F9">
            <w:pPr>
              <w:pStyle w:val="Tabletext"/>
            </w:pPr>
            <w:r>
              <w:t>PATENT-1</w:t>
            </w:r>
            <w:r>
              <w:br/>
              <w:t xml:space="preserve">(riociguat/prostanoid) </w:t>
            </w:r>
          </w:p>
          <w:p w:rsidR="00C828F9" w:rsidRPr="001D637C" w:rsidRDefault="00C828F9" w:rsidP="00C828F9">
            <w:pPr>
              <w:pStyle w:val="Tabletext"/>
            </w:pPr>
            <w:r>
              <w:t>N=27</w:t>
            </w:r>
          </w:p>
        </w:tc>
        <w:tc>
          <w:tcPr>
            <w:tcW w:w="6293" w:type="dxa"/>
          </w:tcPr>
          <w:p w:rsidR="00C828F9" w:rsidRPr="00054374" w:rsidRDefault="00C828F9" w:rsidP="00480FDF">
            <w:pPr>
              <w:pStyle w:val="Tabletext"/>
              <w:numPr>
                <w:ilvl w:val="0"/>
                <w:numId w:val="43"/>
              </w:numPr>
              <w:ind w:left="227" w:hanging="227"/>
            </w:pPr>
            <w:r>
              <w:t>Low</w:t>
            </w:r>
            <w:r w:rsidRPr="00054374">
              <w:t xml:space="preserve"> quality</w:t>
            </w:r>
            <w:r w:rsidRPr="00054374">
              <w:rPr>
                <w:rFonts w:cs="Cambria Math"/>
              </w:rPr>
              <w:t xml:space="preserve"> evidence (GRADE </w:t>
            </w:r>
            <w:r w:rsidRPr="00054374">
              <w:rPr>
                <w:rFonts w:ascii="Cambria Math" w:hAnsi="Cambria Math" w:cs="Cambria Math"/>
                <w:color w:val="00B050"/>
              </w:rPr>
              <w:t>⨁⨁</w:t>
            </w:r>
            <w:r w:rsidRPr="00E564DD">
              <w:rPr>
                <w:rFonts w:ascii="Cambria Math" w:eastAsia="Times New Roman" w:hAnsi="Cambria Math" w:cs="Cambria Math"/>
                <w:bCs/>
                <w:color w:val="FF0000"/>
              </w:rPr>
              <w:t>⨀⨀</w:t>
            </w:r>
            <w:r w:rsidRPr="00054374">
              <w:t>)</w:t>
            </w:r>
          </w:p>
          <w:p w:rsidR="00C828F9" w:rsidRPr="00A17B9D" w:rsidRDefault="00A17B9D" w:rsidP="00A17B9D">
            <w:pPr>
              <w:pStyle w:val="Tabletext"/>
              <w:ind w:left="227" w:hanging="227"/>
              <w:rPr>
                <w:highlight w:val="black"/>
              </w:rPr>
            </w:pPr>
            <w:r>
              <w:rPr>
                <w:rFonts w:ascii="Symbol" w:hAnsi="Symbol"/>
                <w:noProof/>
                <w:color w:val="000000"/>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p>
        </w:tc>
      </w:tr>
      <w:tr w:rsidR="00C828F9" w:rsidTr="008D640A">
        <w:tc>
          <w:tcPr>
            <w:tcW w:w="1333" w:type="dxa"/>
            <w:tcBorders>
              <w:top w:val="single" w:sz="4" w:space="0" w:color="auto"/>
              <w:left w:val="single" w:sz="4" w:space="0" w:color="auto"/>
              <w:bottom w:val="single" w:sz="4" w:space="0" w:color="auto"/>
              <w:right w:val="single" w:sz="4" w:space="0" w:color="auto"/>
            </w:tcBorders>
          </w:tcPr>
          <w:p w:rsidR="00C828F9" w:rsidRPr="001D637C" w:rsidRDefault="00C828F9" w:rsidP="00C828F9">
            <w:pPr>
              <w:pStyle w:val="Tabletext"/>
            </w:pPr>
            <w:r>
              <w:t>Hospitalisation due to worsening PAH</w:t>
            </w:r>
          </w:p>
        </w:tc>
        <w:tc>
          <w:tcPr>
            <w:tcW w:w="2126" w:type="dxa"/>
            <w:tcBorders>
              <w:top w:val="single" w:sz="4" w:space="0" w:color="auto"/>
              <w:left w:val="single" w:sz="4" w:space="0" w:color="auto"/>
              <w:bottom w:val="single" w:sz="4" w:space="0" w:color="auto"/>
              <w:right w:val="single" w:sz="4" w:space="0" w:color="auto"/>
            </w:tcBorders>
          </w:tcPr>
          <w:p w:rsidR="00C828F9" w:rsidRDefault="00C828F9" w:rsidP="00C828F9">
            <w:pPr>
              <w:pStyle w:val="Tabletext"/>
            </w:pPr>
            <w:r>
              <w:t>PATENT-1</w:t>
            </w:r>
            <w:r>
              <w:br/>
              <w:t xml:space="preserve">(riociguat/prostanoid) </w:t>
            </w:r>
          </w:p>
          <w:p w:rsidR="00C828F9" w:rsidRPr="001D637C" w:rsidRDefault="00C828F9" w:rsidP="00C828F9">
            <w:pPr>
              <w:pStyle w:val="Tabletext"/>
            </w:pPr>
            <w:r>
              <w:t>N=27</w:t>
            </w:r>
          </w:p>
        </w:tc>
        <w:tc>
          <w:tcPr>
            <w:tcW w:w="6293" w:type="dxa"/>
            <w:tcBorders>
              <w:top w:val="single" w:sz="4" w:space="0" w:color="auto"/>
              <w:left w:val="single" w:sz="4" w:space="0" w:color="auto"/>
              <w:bottom w:val="single" w:sz="4" w:space="0" w:color="auto"/>
              <w:right w:val="single" w:sz="4" w:space="0" w:color="auto"/>
            </w:tcBorders>
          </w:tcPr>
          <w:p w:rsidR="00C828F9" w:rsidRPr="00054374" w:rsidRDefault="00C828F9" w:rsidP="00480FDF">
            <w:pPr>
              <w:pStyle w:val="Tabletext"/>
              <w:numPr>
                <w:ilvl w:val="0"/>
                <w:numId w:val="43"/>
              </w:numPr>
              <w:ind w:left="227" w:hanging="227"/>
            </w:pPr>
            <w:r>
              <w:t>Low</w:t>
            </w:r>
            <w:r w:rsidRPr="00054374">
              <w:t xml:space="preserve"> quality</w:t>
            </w:r>
            <w:r w:rsidRPr="00054374">
              <w:rPr>
                <w:rFonts w:cs="Cambria Math"/>
              </w:rPr>
              <w:t xml:space="preserve"> evidence (GRADE </w:t>
            </w:r>
            <w:r w:rsidRPr="00054374">
              <w:rPr>
                <w:rFonts w:ascii="Cambria Math" w:hAnsi="Cambria Math" w:cs="Cambria Math"/>
                <w:color w:val="00B050"/>
              </w:rPr>
              <w:t>⨁⨁</w:t>
            </w:r>
            <w:r w:rsidRPr="00E564DD">
              <w:rPr>
                <w:rFonts w:ascii="Cambria Math" w:eastAsia="Times New Roman" w:hAnsi="Cambria Math" w:cs="Cambria Math"/>
                <w:bCs/>
                <w:color w:val="FF0000"/>
              </w:rPr>
              <w:t>⨀⨀</w:t>
            </w:r>
            <w:r w:rsidRPr="00054374">
              <w:t>)</w:t>
            </w:r>
          </w:p>
          <w:p w:rsidR="00C828F9" w:rsidRPr="008D640A" w:rsidRDefault="00A17B9D" w:rsidP="00A17B9D">
            <w:pPr>
              <w:pStyle w:val="Tabletext"/>
              <w:ind w:left="227" w:hanging="227"/>
              <w:rPr>
                <w:sz w:val="16"/>
                <w:szCs w:val="16"/>
                <w:highlight w:val="black"/>
              </w:rPr>
            </w:pP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p>
        </w:tc>
      </w:tr>
      <w:tr w:rsidR="00C828F9" w:rsidTr="008D640A">
        <w:tc>
          <w:tcPr>
            <w:tcW w:w="1333" w:type="dxa"/>
            <w:tcBorders>
              <w:top w:val="single" w:sz="4" w:space="0" w:color="auto"/>
              <w:left w:val="single" w:sz="4" w:space="0" w:color="auto"/>
              <w:bottom w:val="single" w:sz="4" w:space="0" w:color="auto"/>
              <w:right w:val="single" w:sz="4" w:space="0" w:color="auto"/>
            </w:tcBorders>
          </w:tcPr>
          <w:p w:rsidR="00C828F9" w:rsidRPr="001D637C" w:rsidRDefault="00C828F9" w:rsidP="00C828F9">
            <w:pPr>
              <w:pStyle w:val="Tabletext"/>
            </w:pPr>
            <w:r w:rsidRPr="00FA1124">
              <w:t>Improved WHO FC</w:t>
            </w:r>
          </w:p>
        </w:tc>
        <w:tc>
          <w:tcPr>
            <w:tcW w:w="2126" w:type="dxa"/>
            <w:tcBorders>
              <w:top w:val="single" w:sz="4" w:space="0" w:color="auto"/>
              <w:left w:val="single" w:sz="4" w:space="0" w:color="auto"/>
              <w:bottom w:val="single" w:sz="4" w:space="0" w:color="auto"/>
              <w:right w:val="single" w:sz="4" w:space="0" w:color="auto"/>
            </w:tcBorders>
          </w:tcPr>
          <w:p w:rsidR="00C828F9" w:rsidRDefault="00C828F9" w:rsidP="00C828F9">
            <w:pPr>
              <w:pStyle w:val="Tabletext"/>
            </w:pPr>
            <w:r>
              <w:t>PATENT-1</w:t>
            </w:r>
            <w:r>
              <w:br/>
              <w:t xml:space="preserve">(riociguat/prostanoid) </w:t>
            </w:r>
          </w:p>
          <w:p w:rsidR="00C828F9" w:rsidRPr="001D637C" w:rsidRDefault="00C828F9" w:rsidP="00C828F9">
            <w:pPr>
              <w:pStyle w:val="Tabletext"/>
            </w:pPr>
            <w:r>
              <w:t>N=27</w:t>
            </w:r>
          </w:p>
        </w:tc>
        <w:tc>
          <w:tcPr>
            <w:tcW w:w="6293" w:type="dxa"/>
            <w:tcBorders>
              <w:top w:val="single" w:sz="4" w:space="0" w:color="auto"/>
              <w:left w:val="single" w:sz="4" w:space="0" w:color="auto"/>
              <w:bottom w:val="single" w:sz="4" w:space="0" w:color="auto"/>
              <w:right w:val="single" w:sz="4" w:space="0" w:color="auto"/>
            </w:tcBorders>
          </w:tcPr>
          <w:p w:rsidR="00C828F9" w:rsidRPr="00054374" w:rsidRDefault="00C828F9" w:rsidP="00480FDF">
            <w:pPr>
              <w:pStyle w:val="Tabletext"/>
              <w:numPr>
                <w:ilvl w:val="0"/>
                <w:numId w:val="43"/>
              </w:numPr>
              <w:ind w:left="227" w:hanging="227"/>
            </w:pPr>
            <w:r>
              <w:t>Very low</w:t>
            </w:r>
            <w:r w:rsidRPr="00054374">
              <w:t xml:space="preserve"> quality</w:t>
            </w:r>
            <w:r w:rsidRPr="00054374">
              <w:rPr>
                <w:rFonts w:cs="Cambria Math"/>
              </w:rPr>
              <w:t xml:space="preserve"> evidence (GRADE </w:t>
            </w:r>
            <w:r w:rsidRPr="00054374">
              <w:rPr>
                <w:rFonts w:ascii="Cambria Math" w:hAnsi="Cambria Math" w:cs="Cambria Math"/>
                <w:color w:val="00B050"/>
              </w:rPr>
              <w:t>⨁</w:t>
            </w:r>
            <w:r w:rsidRPr="00E564DD">
              <w:rPr>
                <w:rFonts w:ascii="Cambria Math" w:eastAsia="Times New Roman" w:hAnsi="Cambria Math" w:cs="Cambria Math"/>
                <w:bCs/>
                <w:color w:val="FF0000"/>
              </w:rPr>
              <w:t>⨀⨀</w:t>
            </w:r>
            <w:r w:rsidRPr="00E564DD">
              <w:rPr>
                <w:rFonts w:ascii="Cambria Math" w:eastAsia="Times New Roman" w:hAnsi="Cambria Math" w:cs="Cambria Math"/>
                <w:bCs/>
                <w:color w:val="C00000"/>
              </w:rPr>
              <w:t>⨀</w:t>
            </w:r>
            <w:r w:rsidRPr="00054374">
              <w:t>)</w:t>
            </w:r>
          </w:p>
          <w:p w:rsidR="00C828F9" w:rsidRPr="00A17B9D" w:rsidRDefault="00A17B9D" w:rsidP="00A17B9D">
            <w:pPr>
              <w:pStyle w:val="Tabletext"/>
              <w:ind w:left="227" w:hanging="227"/>
              <w:rPr>
                <w:highlight w:val="black"/>
              </w:rPr>
            </w:pPr>
            <w:r>
              <w:rPr>
                <w:rFonts w:ascii="Symbol" w:hAnsi="Symbol"/>
                <w:noProof/>
                <w:color w:val="000000"/>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p>
        </w:tc>
      </w:tr>
      <w:tr w:rsidR="00C828F9" w:rsidTr="008D640A">
        <w:tc>
          <w:tcPr>
            <w:tcW w:w="1333" w:type="dxa"/>
          </w:tcPr>
          <w:p w:rsidR="00C828F9" w:rsidRPr="001D637C" w:rsidRDefault="00C828F9" w:rsidP="00C828F9">
            <w:pPr>
              <w:pStyle w:val="Tabletext"/>
            </w:pPr>
            <w:r>
              <w:t>Worsened WHO FC</w:t>
            </w:r>
          </w:p>
        </w:tc>
        <w:tc>
          <w:tcPr>
            <w:tcW w:w="2126" w:type="dxa"/>
            <w:tcBorders>
              <w:top w:val="single" w:sz="4" w:space="0" w:color="auto"/>
              <w:left w:val="single" w:sz="4" w:space="0" w:color="auto"/>
              <w:bottom w:val="single" w:sz="4" w:space="0" w:color="auto"/>
              <w:right w:val="single" w:sz="4" w:space="0" w:color="auto"/>
            </w:tcBorders>
          </w:tcPr>
          <w:p w:rsidR="00C828F9" w:rsidRDefault="00C828F9" w:rsidP="00C828F9">
            <w:pPr>
              <w:pStyle w:val="Tabletext"/>
            </w:pPr>
            <w:r>
              <w:t>PATENT-1</w:t>
            </w:r>
            <w:r>
              <w:br/>
              <w:t xml:space="preserve">(riociguat/prostanoid) </w:t>
            </w:r>
          </w:p>
          <w:p w:rsidR="00C828F9" w:rsidRPr="001D637C" w:rsidRDefault="00C828F9" w:rsidP="00C828F9">
            <w:pPr>
              <w:pStyle w:val="Tabletext"/>
            </w:pPr>
            <w:r>
              <w:t>N=27</w:t>
            </w:r>
          </w:p>
        </w:tc>
        <w:tc>
          <w:tcPr>
            <w:tcW w:w="6293" w:type="dxa"/>
          </w:tcPr>
          <w:p w:rsidR="00C828F9" w:rsidRPr="00054374" w:rsidRDefault="00C828F9" w:rsidP="00480FDF">
            <w:pPr>
              <w:pStyle w:val="Tabletext"/>
              <w:numPr>
                <w:ilvl w:val="0"/>
                <w:numId w:val="43"/>
              </w:numPr>
              <w:ind w:left="227" w:hanging="227"/>
            </w:pPr>
            <w:r>
              <w:t>Low</w:t>
            </w:r>
            <w:r w:rsidRPr="00054374">
              <w:t xml:space="preserve"> quality</w:t>
            </w:r>
            <w:r w:rsidRPr="00054374">
              <w:rPr>
                <w:rFonts w:cs="Cambria Math"/>
              </w:rPr>
              <w:t xml:space="preserve"> evidence (GRADE </w:t>
            </w:r>
            <w:r w:rsidRPr="00054374">
              <w:rPr>
                <w:rFonts w:ascii="Cambria Math" w:hAnsi="Cambria Math" w:cs="Cambria Math"/>
                <w:color w:val="00B050"/>
              </w:rPr>
              <w:t>⨁⨁</w:t>
            </w:r>
            <w:r w:rsidRPr="00E564DD">
              <w:rPr>
                <w:rFonts w:ascii="Cambria Math" w:eastAsia="Times New Roman" w:hAnsi="Cambria Math" w:cs="Cambria Math"/>
                <w:bCs/>
                <w:color w:val="FF0000"/>
              </w:rPr>
              <w:t>⨀⨀</w:t>
            </w:r>
            <w:r w:rsidRPr="00054374">
              <w:t>)</w:t>
            </w:r>
          </w:p>
          <w:p w:rsidR="00C828F9" w:rsidRPr="00A17B9D" w:rsidRDefault="00A17B9D" w:rsidP="00A17B9D">
            <w:pPr>
              <w:pStyle w:val="Tabletext"/>
              <w:ind w:left="227" w:hanging="227"/>
              <w:rPr>
                <w:highlight w:val="black"/>
              </w:rPr>
            </w:pPr>
            <w:r>
              <w:rPr>
                <w:rFonts w:ascii="Symbol" w:hAnsi="Symbol"/>
                <w:noProof/>
                <w:color w:val="000000"/>
                <w:highlight w:val="black"/>
              </w:rPr>
              <w:t></w:t>
            </w:r>
            <w:r>
              <w:rPr>
                <w:rFonts w:ascii="Symbol" w:hAnsi="Symbol"/>
                <w:noProof/>
                <w:color w:val="000000"/>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p>
        </w:tc>
      </w:tr>
      <w:tr w:rsidR="00C828F9" w:rsidTr="008D640A">
        <w:tc>
          <w:tcPr>
            <w:tcW w:w="1333" w:type="dxa"/>
          </w:tcPr>
          <w:p w:rsidR="00C828F9" w:rsidRPr="001D637C" w:rsidRDefault="00C828F9" w:rsidP="00C828F9">
            <w:pPr>
              <w:pStyle w:val="Tabletext"/>
            </w:pPr>
            <w:r>
              <w:t>Change in 6MWD</w:t>
            </w:r>
            <w:r>
              <w:rPr>
                <w:rFonts w:cs="Arial"/>
              </w:rPr>
              <w:t xml:space="preserve"> from baseline</w:t>
            </w:r>
          </w:p>
        </w:tc>
        <w:tc>
          <w:tcPr>
            <w:tcW w:w="2126" w:type="dxa"/>
          </w:tcPr>
          <w:p w:rsidR="00C828F9" w:rsidRDefault="00C828F9" w:rsidP="00C828F9">
            <w:pPr>
              <w:pStyle w:val="Tabletext"/>
            </w:pPr>
            <w:r>
              <w:t>PATENT-1</w:t>
            </w:r>
            <w:r>
              <w:br/>
              <w:t xml:space="preserve">(riociguat/prostanoid) </w:t>
            </w:r>
          </w:p>
          <w:p w:rsidR="00C828F9" w:rsidRPr="001D637C" w:rsidRDefault="00C828F9" w:rsidP="00C828F9">
            <w:pPr>
              <w:pStyle w:val="Tabletext"/>
            </w:pPr>
            <w:r>
              <w:t>N=27</w:t>
            </w:r>
          </w:p>
        </w:tc>
        <w:tc>
          <w:tcPr>
            <w:tcW w:w="6293" w:type="dxa"/>
          </w:tcPr>
          <w:p w:rsidR="00C828F9" w:rsidRPr="00054374" w:rsidRDefault="00C828F9" w:rsidP="00480FDF">
            <w:pPr>
              <w:pStyle w:val="Tabletext"/>
              <w:numPr>
                <w:ilvl w:val="0"/>
                <w:numId w:val="43"/>
              </w:numPr>
              <w:ind w:left="227" w:hanging="227"/>
            </w:pPr>
            <w:r>
              <w:t>Low</w:t>
            </w:r>
            <w:r w:rsidRPr="00054374">
              <w:t xml:space="preserve"> quality evidence (GRADE </w:t>
            </w:r>
            <w:r w:rsidRPr="00054374">
              <w:rPr>
                <w:rFonts w:ascii="Cambria Math" w:hAnsi="Cambria Math" w:cs="Cambria Math"/>
                <w:color w:val="00B050"/>
              </w:rPr>
              <w:t>⨁⨁</w:t>
            </w:r>
            <w:r w:rsidRPr="00E564DD">
              <w:rPr>
                <w:rFonts w:ascii="Cambria Math" w:eastAsia="Times New Roman" w:hAnsi="Cambria Math" w:cs="Cambria Math"/>
                <w:bCs/>
                <w:color w:val="FF0000"/>
              </w:rPr>
              <w:t>⨀⨀</w:t>
            </w:r>
            <w:r w:rsidRPr="00054374">
              <w:t>)</w:t>
            </w:r>
          </w:p>
          <w:p w:rsidR="00C828F9" w:rsidRPr="00A17B9D" w:rsidRDefault="00A17B9D" w:rsidP="00A17B9D">
            <w:pPr>
              <w:pStyle w:val="Tabletext"/>
              <w:ind w:left="227" w:hanging="227"/>
              <w:rPr>
                <w:highlight w:val="black"/>
              </w:rPr>
            </w:pPr>
            <w:r>
              <w:rPr>
                <w:rFonts w:ascii="Symbol" w:hAnsi="Symbol"/>
                <w:noProof/>
                <w:color w:val="000000"/>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p>
        </w:tc>
      </w:tr>
      <w:tr w:rsidR="00C828F9" w:rsidTr="008D640A">
        <w:tc>
          <w:tcPr>
            <w:tcW w:w="1333" w:type="dxa"/>
          </w:tcPr>
          <w:p w:rsidR="00C828F9" w:rsidRDefault="00C828F9" w:rsidP="00C828F9">
            <w:pPr>
              <w:pStyle w:val="Tabletext"/>
            </w:pPr>
            <w:r>
              <w:t>Change in QoL</w:t>
            </w:r>
            <w:r>
              <w:rPr>
                <w:rFonts w:cs="Arial"/>
              </w:rPr>
              <w:t xml:space="preserve"> from baseline</w:t>
            </w:r>
            <w:r>
              <w:t>:</w:t>
            </w:r>
          </w:p>
          <w:p w:rsidR="00C828F9" w:rsidRPr="001D637C" w:rsidRDefault="00C828F9" w:rsidP="00C828F9">
            <w:pPr>
              <w:pStyle w:val="Tabletext"/>
            </w:pPr>
            <w:r>
              <w:t>EQ-5D</w:t>
            </w:r>
            <w:r>
              <w:rPr>
                <w:vertAlign w:val="superscript"/>
              </w:rPr>
              <w:t>a</w:t>
            </w:r>
            <w:r>
              <w:t>, LPH</w:t>
            </w:r>
            <w:r w:rsidRPr="003903A0">
              <w:rPr>
                <w:vertAlign w:val="superscript"/>
              </w:rPr>
              <w:t>b</w:t>
            </w:r>
          </w:p>
        </w:tc>
        <w:tc>
          <w:tcPr>
            <w:tcW w:w="2126" w:type="dxa"/>
          </w:tcPr>
          <w:p w:rsidR="00C828F9" w:rsidRDefault="00C828F9" w:rsidP="00C828F9">
            <w:pPr>
              <w:pStyle w:val="Tabletext"/>
            </w:pPr>
            <w:r>
              <w:t>PATENT-1</w:t>
            </w:r>
            <w:r>
              <w:br/>
              <w:t xml:space="preserve">(riociguat/prostanoid) </w:t>
            </w:r>
          </w:p>
          <w:p w:rsidR="00C828F9" w:rsidRPr="001D637C" w:rsidRDefault="00C828F9" w:rsidP="00C828F9">
            <w:pPr>
              <w:pStyle w:val="Tabletext"/>
            </w:pPr>
            <w:r>
              <w:t>N=27</w:t>
            </w:r>
          </w:p>
        </w:tc>
        <w:tc>
          <w:tcPr>
            <w:tcW w:w="6293" w:type="dxa"/>
          </w:tcPr>
          <w:p w:rsidR="00C828F9" w:rsidRPr="00054374" w:rsidRDefault="00C828F9" w:rsidP="00480FDF">
            <w:pPr>
              <w:pStyle w:val="Tabletext"/>
              <w:numPr>
                <w:ilvl w:val="0"/>
                <w:numId w:val="43"/>
              </w:numPr>
              <w:ind w:left="227" w:hanging="227"/>
            </w:pPr>
            <w:r>
              <w:t>Moderate</w:t>
            </w:r>
            <w:r w:rsidRPr="00054374">
              <w:t xml:space="preserve"> quality evidence (GRADE </w:t>
            </w:r>
            <w:r w:rsidRPr="00054374">
              <w:rPr>
                <w:rFonts w:ascii="Cambria Math" w:hAnsi="Cambria Math" w:cs="Cambria Math"/>
                <w:color w:val="00B050"/>
              </w:rPr>
              <w:t>⨁⨁⨁</w:t>
            </w:r>
            <w:r>
              <w:rPr>
                <w:rFonts w:ascii="Cambria Math" w:eastAsia="Times New Roman" w:hAnsi="Cambria Math" w:cs="Cambria Math"/>
                <w:bCs/>
                <w:color w:val="FF0000"/>
              </w:rPr>
              <w:t>⨀</w:t>
            </w:r>
            <w:r w:rsidRPr="00054374">
              <w:t>)</w:t>
            </w:r>
          </w:p>
          <w:p w:rsidR="00C828F9" w:rsidRPr="00A17B9D" w:rsidRDefault="00A17B9D" w:rsidP="00A17B9D">
            <w:pPr>
              <w:pStyle w:val="Tabletext"/>
              <w:ind w:left="227" w:hanging="227"/>
              <w:rPr>
                <w:highlight w:val="black"/>
              </w:rPr>
            </w:pPr>
            <w:r>
              <w:rPr>
                <w:rFonts w:ascii="Symbol" w:hAnsi="Symbol"/>
                <w:noProof/>
                <w:color w:val="000000"/>
                <w:highlight w:val="black"/>
              </w:rPr>
              <w:t></w:t>
            </w:r>
            <w:r>
              <w:rPr>
                <w:rFonts w:ascii="Symbol" w:hAnsi="Symbol"/>
                <w:noProof/>
                <w:color w:val="000000"/>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p>
        </w:tc>
      </w:tr>
      <w:tr w:rsidR="00C828F9" w:rsidTr="008D640A">
        <w:tc>
          <w:tcPr>
            <w:tcW w:w="1333" w:type="dxa"/>
          </w:tcPr>
          <w:p w:rsidR="00C828F9" w:rsidRDefault="00C828F9" w:rsidP="00C828F9">
            <w:pPr>
              <w:pStyle w:val="Tabletext"/>
            </w:pPr>
            <w:r>
              <w:t>Change in haemodynamic parameters</w:t>
            </w:r>
            <w:r>
              <w:rPr>
                <w:rFonts w:cs="Arial"/>
              </w:rPr>
              <w:t xml:space="preserve"> from baseline</w:t>
            </w:r>
            <w:r>
              <w:t>:</w:t>
            </w:r>
          </w:p>
          <w:p w:rsidR="00C828F9" w:rsidRPr="001D637C" w:rsidRDefault="00C828F9" w:rsidP="00C828F9">
            <w:pPr>
              <w:pStyle w:val="Tabletext"/>
            </w:pPr>
            <w:r>
              <w:t>PVR</w:t>
            </w:r>
          </w:p>
        </w:tc>
        <w:tc>
          <w:tcPr>
            <w:tcW w:w="2126" w:type="dxa"/>
          </w:tcPr>
          <w:p w:rsidR="00C828F9" w:rsidRDefault="00C828F9" w:rsidP="00C828F9">
            <w:pPr>
              <w:pStyle w:val="Tabletext"/>
            </w:pPr>
            <w:r>
              <w:t>PATENT-1</w:t>
            </w:r>
            <w:r>
              <w:br/>
              <w:t xml:space="preserve">(riociguat/prostanoid) </w:t>
            </w:r>
          </w:p>
          <w:p w:rsidR="00C828F9" w:rsidRPr="001D637C" w:rsidRDefault="00C828F9" w:rsidP="00C828F9">
            <w:pPr>
              <w:pStyle w:val="Tabletext"/>
            </w:pPr>
            <w:r>
              <w:t>N=27</w:t>
            </w:r>
          </w:p>
        </w:tc>
        <w:tc>
          <w:tcPr>
            <w:tcW w:w="6293" w:type="dxa"/>
          </w:tcPr>
          <w:p w:rsidR="00C828F9" w:rsidRPr="00054374" w:rsidRDefault="00C828F9" w:rsidP="00480FDF">
            <w:pPr>
              <w:pStyle w:val="Tabletext"/>
              <w:numPr>
                <w:ilvl w:val="0"/>
                <w:numId w:val="43"/>
              </w:numPr>
              <w:ind w:left="227" w:hanging="227"/>
            </w:pPr>
            <w:r>
              <w:t>Very low</w:t>
            </w:r>
            <w:r w:rsidRPr="00054374">
              <w:t xml:space="preserve"> quality evidence (GRADE </w:t>
            </w:r>
            <w:r w:rsidRPr="00054374">
              <w:rPr>
                <w:rFonts w:ascii="Cambria Math" w:hAnsi="Cambria Math" w:cs="Cambria Math"/>
                <w:color w:val="00B050"/>
              </w:rPr>
              <w:t>⨁</w:t>
            </w:r>
            <w:r w:rsidRPr="00E564DD">
              <w:rPr>
                <w:rFonts w:ascii="Cambria Math" w:eastAsia="Times New Roman" w:hAnsi="Cambria Math" w:cs="Cambria Math"/>
                <w:bCs/>
                <w:color w:val="FF0000"/>
              </w:rPr>
              <w:t>⨀⨀</w:t>
            </w:r>
            <w:r w:rsidRPr="006316DF">
              <w:rPr>
                <w:rFonts w:ascii="Cambria Math" w:hAnsi="Cambria Math" w:cs="Cambria Math"/>
                <w:color w:val="C00000"/>
              </w:rPr>
              <w:t>⨀</w:t>
            </w:r>
            <w:r w:rsidRPr="00054374">
              <w:t>)</w:t>
            </w:r>
          </w:p>
          <w:p w:rsidR="00C828F9" w:rsidRPr="00A17B9D" w:rsidRDefault="00A17B9D" w:rsidP="00A17B9D">
            <w:pPr>
              <w:pStyle w:val="Tabletext"/>
              <w:ind w:left="227" w:hanging="227"/>
              <w:rPr>
                <w:highlight w:val="black"/>
              </w:rPr>
            </w:pPr>
            <w:r>
              <w:rPr>
                <w:rFonts w:ascii="Symbol" w:hAnsi="Symbol"/>
                <w:noProof/>
                <w:color w:val="000000"/>
                <w:highlight w:val="black"/>
              </w:rPr>
              <w:t></w:t>
            </w:r>
            <w:r>
              <w:rPr>
                <w:rFonts w:ascii="Symbol" w:hAnsi="Symbol"/>
                <w:noProof/>
                <w:color w:val="000000"/>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p>
        </w:tc>
      </w:tr>
    </w:tbl>
    <w:p w:rsidR="006778E8" w:rsidRDefault="006778E8" w:rsidP="006778E8">
      <w:pPr>
        <w:pStyle w:val="Tablenote"/>
      </w:pPr>
      <w:r>
        <w:rPr>
          <w:vertAlign w:val="superscript"/>
        </w:rPr>
        <w:t xml:space="preserve">a </w:t>
      </w:r>
      <w:r>
        <w:t xml:space="preserve">EQ-5D utility scores range from </w:t>
      </w:r>
      <w:r w:rsidRPr="00C569DB">
        <w:t>−</w:t>
      </w:r>
      <w:r>
        <w:t>0.59 to 1.00. A higher score represents better QoL.</w:t>
      </w:r>
    </w:p>
    <w:p w:rsidR="006778E8" w:rsidRDefault="006778E8" w:rsidP="006778E8">
      <w:pPr>
        <w:pStyle w:val="Tablenote"/>
      </w:pPr>
      <w:r>
        <w:rPr>
          <w:vertAlign w:val="superscript"/>
        </w:rPr>
        <w:t xml:space="preserve">b </w:t>
      </w:r>
      <w:r>
        <w:t>LPH total scores range from 0 to 105. A higher score indicates poorer QoL.</w:t>
      </w:r>
    </w:p>
    <w:p w:rsidR="00BE3517" w:rsidRDefault="009B35CE" w:rsidP="00D103A9">
      <w:pPr>
        <w:pStyle w:val="Tablenote"/>
      </w:pPr>
      <w:r>
        <w:t xml:space="preserve">6MWD = 6-minute </w:t>
      </w:r>
      <w:r w:rsidR="0082368E">
        <w:t>walk distance</w:t>
      </w:r>
      <w:r w:rsidR="00B21201">
        <w:t>; ARD</w:t>
      </w:r>
      <w:r>
        <w:t xml:space="preserve"> = absolute risk </w:t>
      </w:r>
      <w:r w:rsidR="00B21201">
        <w:t>difference</w:t>
      </w:r>
      <w:r>
        <w:t xml:space="preserve">; CI = confidence interval; </w:t>
      </w:r>
      <w:r w:rsidR="00572AE9">
        <w:t xml:space="preserve">EQ-5D = EuroQol 5 </w:t>
      </w:r>
      <w:r w:rsidRPr="00151DD9">
        <w:t xml:space="preserve">dimension; </w:t>
      </w:r>
      <w:r>
        <w:t xml:space="preserve">FC = functional class; </w:t>
      </w:r>
      <w:r w:rsidR="00385E5A">
        <w:t>GRADE = grading of recommendations assessment, development and evaluation</w:t>
      </w:r>
      <w:r w:rsidR="001D34EE" w:rsidRPr="001D34EE">
        <w:rPr>
          <w:noProof/>
          <w:vertAlign w:val="superscript"/>
        </w:rPr>
        <w:t>1</w:t>
      </w:r>
      <w:r w:rsidR="00BE3517" w:rsidRPr="00BE3517">
        <w:t>;</w:t>
      </w:r>
      <w:r w:rsidR="00BE3517">
        <w:t xml:space="preserve"> </w:t>
      </w:r>
      <w:r w:rsidRPr="00151DD9">
        <w:lastRenderedPageBreak/>
        <w:t xml:space="preserve">LPH = living with pulmonary hypertension; </w:t>
      </w:r>
      <w:r>
        <w:t xml:space="preserve">MD = mean difference; </w:t>
      </w:r>
      <w:r w:rsidRPr="00C65B42">
        <w:t xml:space="preserve">PAH = pulmonary arterial hypertension; </w:t>
      </w:r>
      <w:r w:rsidRPr="00151DD9">
        <w:t xml:space="preserve">PVR = pulmonary vascular resistance; </w:t>
      </w:r>
      <w:r>
        <w:t xml:space="preserve">QoL = quality of life; RR = relative risk; </w:t>
      </w:r>
      <w:r w:rsidRPr="00151DD9">
        <w:t>sGC = soluble guanylate cyclase stimulator;</w:t>
      </w:r>
      <w:r>
        <w:t xml:space="preserve"> WHO = World Health Organization</w:t>
      </w:r>
    </w:p>
    <w:p w:rsidR="009B35CE" w:rsidRPr="0042195A" w:rsidRDefault="009B35CE" w:rsidP="009B35CE">
      <w:pPr>
        <w:pStyle w:val="Heading5"/>
      </w:pPr>
      <w:r w:rsidRPr="0042195A">
        <w:t>Safety</w:t>
      </w:r>
    </w:p>
    <w:p w:rsidR="005A0C83" w:rsidRDefault="00457FA6" w:rsidP="009B35CE">
      <w:r w:rsidRPr="00457FA6">
        <w:t xml:space="preserve">There is no evidence to evaluate the comparative safety of a sGC stimulator in addition to a </w:t>
      </w:r>
      <w:r>
        <w:t>prostanoid</w:t>
      </w:r>
      <w:r w:rsidRPr="00457FA6">
        <w:t xml:space="preserve">, relative to </w:t>
      </w:r>
      <w:r w:rsidR="0017012F">
        <w:t>prostanoid</w:t>
      </w:r>
      <w:r w:rsidRPr="00457FA6">
        <w:t xml:space="preserve"> monotherapy</w:t>
      </w:r>
      <w:r w:rsidR="00CC67A6">
        <w:t>,</w:t>
      </w:r>
      <w:r w:rsidRPr="00457FA6">
        <w:t xml:space="preserve"> when </w:t>
      </w:r>
      <w:r>
        <w:t>used to treat patients with PAH</w:t>
      </w:r>
      <w:r w:rsidR="009B35CE" w:rsidRPr="00944958">
        <w:t>.</w:t>
      </w:r>
    </w:p>
    <w:p w:rsidR="00FC1362" w:rsidRPr="00EB1471" w:rsidRDefault="00FC1362" w:rsidP="00D103A9">
      <w:pPr>
        <w:pStyle w:val="Heading3"/>
      </w:pPr>
      <w:bookmarkStart w:id="43" w:name="_Toc512855375"/>
      <w:r w:rsidRPr="00EB1471">
        <w:t>Effectiveness and safety of triple combination therapy</w:t>
      </w:r>
      <w:bookmarkEnd w:id="43"/>
      <w:r w:rsidRPr="00EB1471">
        <w:t xml:space="preserve"> </w:t>
      </w:r>
    </w:p>
    <w:p w:rsidR="005A0C83" w:rsidRPr="00532B79" w:rsidRDefault="005A0C83" w:rsidP="005A0C83">
      <w:pPr>
        <w:pStyle w:val="ToRText"/>
        <w:shd w:val="clear" w:color="auto" w:fill="F2F2F2" w:themeFill="background1" w:themeFillShade="F2"/>
        <w:spacing w:before="240"/>
        <w:rPr>
          <w:b w:val="0"/>
          <w:color w:val="auto"/>
          <w:shd w:val="clear" w:color="auto" w:fill="F2F2F2" w:themeFill="background1" w:themeFillShade="F2"/>
        </w:rPr>
      </w:pPr>
      <w:bookmarkStart w:id="44" w:name="_Toc486515177"/>
      <w:bookmarkStart w:id="45" w:name="_Toc468022801"/>
      <w:r w:rsidRPr="00532B79">
        <w:rPr>
          <w:b w:val="0"/>
          <w:color w:val="auto"/>
          <w:shd w:val="clear" w:color="auto" w:fill="F2F2F2" w:themeFill="background1" w:themeFillShade="F2"/>
        </w:rPr>
        <w:t>Q4.</w:t>
      </w:r>
      <w:r w:rsidRPr="00532B79">
        <w:rPr>
          <w:b w:val="0"/>
          <w:color w:val="auto"/>
          <w:shd w:val="clear" w:color="auto" w:fill="F2F2F2" w:themeFill="background1" w:themeFillShade="F2"/>
        </w:rPr>
        <w:tab/>
        <w:t xml:space="preserve">What is the effectiveness and safety of triple combination therapy involving any combination of an ERA, a PDE 5 inhibitor, a prostanoid, or a sGC stimulator, compared </w:t>
      </w:r>
      <w:r>
        <w:rPr>
          <w:b w:val="0"/>
          <w:color w:val="auto"/>
          <w:shd w:val="clear" w:color="auto" w:fill="F2F2F2" w:themeFill="background1" w:themeFillShade="F2"/>
        </w:rPr>
        <w:t>to dual combination therapy, in</w:t>
      </w:r>
    </w:p>
    <w:p w:rsidR="005A0C83" w:rsidRPr="00532B79" w:rsidRDefault="005A0C83" w:rsidP="005A0C83">
      <w:pPr>
        <w:pStyle w:val="ToRText"/>
        <w:shd w:val="clear" w:color="auto" w:fill="F2F2F2" w:themeFill="background1" w:themeFillShade="F2"/>
        <w:rPr>
          <w:b w:val="0"/>
          <w:color w:val="auto"/>
          <w:shd w:val="clear" w:color="auto" w:fill="F2F2F2" w:themeFill="background1" w:themeFillShade="F2"/>
        </w:rPr>
      </w:pPr>
      <w:r w:rsidRPr="00532B79">
        <w:rPr>
          <w:b w:val="0"/>
          <w:color w:val="auto"/>
          <w:shd w:val="clear" w:color="auto" w:fill="F2F2F2" w:themeFill="background1" w:themeFillShade="F2"/>
        </w:rPr>
        <w:t>i)</w:t>
      </w:r>
      <w:r w:rsidRPr="00532B79">
        <w:rPr>
          <w:b w:val="0"/>
          <w:color w:val="auto"/>
          <w:shd w:val="clear" w:color="auto" w:fill="F2F2F2" w:themeFill="background1" w:themeFillShade="F2"/>
        </w:rPr>
        <w:tab/>
        <w:t>PAH patients, irrespective of disease severity or aetiology;</w:t>
      </w:r>
    </w:p>
    <w:p w:rsidR="005A0C83" w:rsidRPr="00532B79" w:rsidRDefault="005A0C83" w:rsidP="005A0C83">
      <w:pPr>
        <w:pStyle w:val="ToRText"/>
        <w:shd w:val="clear" w:color="auto" w:fill="F2F2F2" w:themeFill="background1" w:themeFillShade="F2"/>
        <w:rPr>
          <w:b w:val="0"/>
          <w:color w:val="auto"/>
          <w:shd w:val="clear" w:color="auto" w:fill="F2F2F2" w:themeFill="background1" w:themeFillShade="F2"/>
        </w:rPr>
      </w:pPr>
      <w:r w:rsidRPr="00532B79">
        <w:rPr>
          <w:b w:val="0"/>
          <w:color w:val="auto"/>
          <w:shd w:val="clear" w:color="auto" w:fill="F2F2F2" w:themeFill="background1" w:themeFillShade="F2"/>
        </w:rPr>
        <w:t>ii)</w:t>
      </w:r>
      <w:r w:rsidRPr="00532B79">
        <w:rPr>
          <w:b w:val="0"/>
          <w:color w:val="auto"/>
          <w:shd w:val="clear" w:color="auto" w:fill="F2F2F2" w:themeFill="background1" w:themeFillShade="F2"/>
        </w:rPr>
        <w:tab/>
        <w:t xml:space="preserve">PAH patients with FC III or IV; and </w:t>
      </w:r>
    </w:p>
    <w:p w:rsidR="005A0C83" w:rsidRPr="00D228A6" w:rsidRDefault="005A0C83" w:rsidP="005A0C83">
      <w:pPr>
        <w:pStyle w:val="ToRText"/>
        <w:shd w:val="clear" w:color="auto" w:fill="F2F2F2" w:themeFill="background1" w:themeFillShade="F2"/>
        <w:rPr>
          <w:b w:val="0"/>
          <w:color w:val="auto"/>
        </w:rPr>
      </w:pPr>
      <w:r w:rsidRPr="00532B79">
        <w:rPr>
          <w:b w:val="0"/>
          <w:color w:val="auto"/>
          <w:shd w:val="clear" w:color="auto" w:fill="F2F2F2" w:themeFill="background1" w:themeFillShade="F2"/>
        </w:rPr>
        <w:t>iii)</w:t>
      </w:r>
      <w:r w:rsidRPr="00532B79">
        <w:rPr>
          <w:b w:val="0"/>
          <w:color w:val="auto"/>
          <w:shd w:val="clear" w:color="auto" w:fill="F2F2F2" w:themeFill="background1" w:themeFillShade="F2"/>
        </w:rPr>
        <w:tab/>
        <w:t>PAH patients with different disease aetiologies?</w:t>
      </w:r>
    </w:p>
    <w:p w:rsidR="009B35CE" w:rsidRDefault="009B35CE" w:rsidP="009B35CE">
      <w:r w:rsidRPr="006316DF">
        <w:t xml:space="preserve">There was no </w:t>
      </w:r>
      <w:r w:rsidR="00B521CF">
        <w:t xml:space="preserve">comparative </w:t>
      </w:r>
      <w:r w:rsidRPr="006316DF">
        <w:t xml:space="preserve">evidence concerning the effectiveness and safety of </w:t>
      </w:r>
      <w:r w:rsidRPr="00C64992">
        <w:t xml:space="preserve">triple combination therapy </w:t>
      </w:r>
      <w:r w:rsidRPr="006316DF">
        <w:t>with PAH medicine</w:t>
      </w:r>
      <w:r>
        <w:t>s</w:t>
      </w:r>
      <w:r w:rsidR="00B521CF">
        <w:t xml:space="preserve"> relative to</w:t>
      </w:r>
      <w:r w:rsidRPr="006316DF">
        <w:t xml:space="preserve"> </w:t>
      </w:r>
      <w:r w:rsidRPr="00C64992">
        <w:t>dual combination therapy</w:t>
      </w:r>
      <w:r w:rsidRPr="006316DF">
        <w:t xml:space="preserve"> in </w:t>
      </w:r>
      <w:r>
        <w:t xml:space="preserve">any </w:t>
      </w:r>
      <w:r w:rsidRPr="006316DF">
        <w:t>patients with PAH.</w:t>
      </w:r>
    </w:p>
    <w:p w:rsidR="003718FE" w:rsidRPr="00EB1471" w:rsidRDefault="003718FE" w:rsidP="00D103A9">
      <w:pPr>
        <w:pStyle w:val="Heading3"/>
      </w:pPr>
      <w:bookmarkStart w:id="46" w:name="_Toc512855376"/>
      <w:r>
        <w:t>Extended assessment of safety</w:t>
      </w:r>
      <w:bookmarkEnd w:id="46"/>
      <w:r w:rsidRPr="00EB1471">
        <w:t xml:space="preserve"> </w:t>
      </w:r>
    </w:p>
    <w:p w:rsidR="001D0FDA" w:rsidRDefault="001D0FDA" w:rsidP="001D0FDA">
      <w:r>
        <w:t>Results from a total of four RCTs and 19 observational studies were presented in the Review for extended safety assessment of PAH medicines. The key findings are:</w:t>
      </w:r>
    </w:p>
    <w:p w:rsidR="001D0FDA" w:rsidRPr="00B607A5" w:rsidRDefault="001D0FDA" w:rsidP="001D0FDA">
      <w:pPr>
        <w:pStyle w:val="Bullettext"/>
      </w:pPr>
      <w:r w:rsidRPr="00B607A5">
        <w:t xml:space="preserve">No clear safety signal has been identified on the basis of the safety data from included trials and studies. </w:t>
      </w:r>
    </w:p>
    <w:p w:rsidR="001D0FDA" w:rsidRPr="00B607A5" w:rsidRDefault="001D0FDA" w:rsidP="001D0FDA">
      <w:pPr>
        <w:pStyle w:val="Bullettext"/>
      </w:pPr>
      <w:r w:rsidRPr="00B607A5">
        <w:t xml:space="preserve">In paediatric patients, sildenafil had a worse safety profile than placebo. </w:t>
      </w:r>
      <w:r w:rsidR="006B2A7D" w:rsidRPr="00B607A5">
        <w:t>AE</w:t>
      </w:r>
      <w:r w:rsidRPr="00B607A5">
        <w:t xml:space="preserve">s occurring more frequently in patients receiving sildenafil, included pyrexia, increased erection, and upper respiratory tract infections. The occurrence of pyrexia, vomiting, and nausea appeared to be dose-related. </w:t>
      </w:r>
    </w:p>
    <w:p w:rsidR="001D0FDA" w:rsidRPr="00B607A5" w:rsidRDefault="001D0FDA" w:rsidP="001D0FDA">
      <w:pPr>
        <w:pStyle w:val="Bullettext"/>
      </w:pPr>
      <w:r w:rsidRPr="00B607A5">
        <w:t xml:space="preserve">The proportion of patients with ocular adverse events was generally low and comparable between sildenafil, at its recommended dose (ie 20 mg tid), and placebo, but with some </w:t>
      </w:r>
      <w:r w:rsidR="006B2A7D" w:rsidRPr="00B607A5">
        <w:t>AE</w:t>
      </w:r>
      <w:r w:rsidRPr="00B607A5">
        <w:t>s reported only in patients receiving sildenafil, eg retinal haemorrhage (1.4%).</w:t>
      </w:r>
    </w:p>
    <w:p w:rsidR="001D0FDA" w:rsidRPr="00B607A5" w:rsidRDefault="001D0FDA" w:rsidP="001D0FDA">
      <w:pPr>
        <w:pStyle w:val="Bullettext"/>
      </w:pPr>
      <w:r w:rsidRPr="00B607A5">
        <w:t xml:space="preserve">Monotherapy with tadalafil was inferior to placebo in terms of safety, with a higher incidence of overall </w:t>
      </w:r>
      <w:r w:rsidR="006B2A7D" w:rsidRPr="00B607A5">
        <w:t>AE</w:t>
      </w:r>
      <w:r w:rsidRPr="00B607A5">
        <w:t xml:space="preserve">s, diarrhoea, nausea, nasopharyngitis, upper respiratory tract infections, myalgia, flushing, dyspepsia and pain in </w:t>
      </w:r>
      <w:r w:rsidR="00DB4D9C" w:rsidRPr="00B607A5">
        <w:t>the extremities</w:t>
      </w:r>
      <w:r w:rsidRPr="00B607A5">
        <w:t>.</w:t>
      </w:r>
    </w:p>
    <w:p w:rsidR="001D0FDA" w:rsidRPr="00B607A5" w:rsidRDefault="001D0FDA" w:rsidP="001D0FDA">
      <w:pPr>
        <w:pStyle w:val="Bullettext"/>
      </w:pPr>
      <w:r w:rsidRPr="00B607A5">
        <w:t xml:space="preserve">The included observational studies followed patients for 2 years and above, which reflects the typical prolonged use of PAH medicines in clinical practice. For </w:t>
      </w:r>
      <w:r w:rsidR="00DB4D9C" w:rsidRPr="00B607A5">
        <w:t xml:space="preserve">individual </w:t>
      </w:r>
      <w:r w:rsidRPr="00B607A5">
        <w:t xml:space="preserve">PAH medicines, the safety results from observational studies generally agreed with each other and with the safety results from RCT(s) and post-marketing data included in </w:t>
      </w:r>
      <w:r w:rsidR="00DB4D9C" w:rsidRPr="00B607A5">
        <w:t xml:space="preserve">the </w:t>
      </w:r>
      <w:r w:rsidRPr="00B607A5">
        <w:t xml:space="preserve">product information (PI) documents. </w:t>
      </w:r>
    </w:p>
    <w:p w:rsidR="001D0FDA" w:rsidRPr="00B607A5" w:rsidRDefault="001D0FDA" w:rsidP="001D0FDA">
      <w:pPr>
        <w:pStyle w:val="Bullettext"/>
      </w:pPr>
      <w:r w:rsidRPr="00B607A5">
        <w:lastRenderedPageBreak/>
        <w:t xml:space="preserve">Limited data from studies in paediatric PAH patients suggested that, for both bosentan and sildenafil, the safety profile in children with PAH was generally consistent with that in adults. </w:t>
      </w:r>
    </w:p>
    <w:p w:rsidR="001D0FDA" w:rsidRDefault="001D0FDA" w:rsidP="001D0FDA">
      <w:r>
        <w:t xml:space="preserve">The potential new safety signals identified by comparing the TGA-approved PI with the EMA Summary of Product Characteristics (SmPC) and the FDA product label include: </w:t>
      </w:r>
    </w:p>
    <w:p w:rsidR="001D0FDA" w:rsidRDefault="001D0FDA" w:rsidP="00466BBD">
      <w:pPr>
        <w:pStyle w:val="Bullettext"/>
      </w:pPr>
      <w:r>
        <w:t>U</w:t>
      </w:r>
      <w:r w:rsidRPr="001240F2">
        <w:t>se of bosentan in patients with chronic obs</w:t>
      </w:r>
      <w:r>
        <w:t>tructive pulmonary disease</w:t>
      </w:r>
      <w:r w:rsidR="00466BBD">
        <w:t xml:space="preserve"> (</w:t>
      </w:r>
      <w:r w:rsidR="00466BBD" w:rsidRPr="00466BBD">
        <w:t>increase in minute ventilation</w:t>
      </w:r>
      <w:r w:rsidR="00466BBD">
        <w:t>,</w:t>
      </w:r>
      <w:r w:rsidR="00466BBD" w:rsidRPr="00466BBD">
        <w:t xml:space="preserve"> </w:t>
      </w:r>
      <w:r w:rsidR="00466BBD">
        <w:t>decreased</w:t>
      </w:r>
      <w:r w:rsidR="00466BBD" w:rsidRPr="00466BBD">
        <w:t xml:space="preserve"> oxygen saturation</w:t>
      </w:r>
      <w:r w:rsidR="00466BBD">
        <w:t xml:space="preserve"> and</w:t>
      </w:r>
      <w:r w:rsidR="00466BBD" w:rsidRPr="00466BBD">
        <w:t xml:space="preserve"> </w:t>
      </w:r>
      <w:r w:rsidR="00466BBD">
        <w:t>dyspnoea)</w:t>
      </w:r>
      <w:r>
        <w:t>.</w:t>
      </w:r>
    </w:p>
    <w:p w:rsidR="001D0FDA" w:rsidRDefault="006B2A7D" w:rsidP="001D0FDA">
      <w:pPr>
        <w:pStyle w:val="Bullettext"/>
      </w:pPr>
      <w:r>
        <w:t>AE</w:t>
      </w:r>
      <w:r w:rsidR="001D0FDA" w:rsidRPr="001240F2">
        <w:t>s of penile haemorrhage and haematospermia in patients receiving PDE-5 inhibitors (both sildenafil and tadalafil)</w:t>
      </w:r>
      <w:r w:rsidR="001D0FDA">
        <w:t>.</w:t>
      </w:r>
    </w:p>
    <w:p w:rsidR="001D0FDA" w:rsidRPr="00B607A5" w:rsidRDefault="001D0FDA" w:rsidP="001D0FDA">
      <w:pPr>
        <w:pStyle w:val="Bullettext"/>
      </w:pPr>
      <w:r w:rsidRPr="00B607A5">
        <w:t>Potential for vaso-occlusive crises in patients receiving sildenafil for PH secondary to sickle cell anaemia.</w:t>
      </w:r>
    </w:p>
    <w:p w:rsidR="001D0FDA" w:rsidRPr="00B607A5" w:rsidRDefault="001D0FDA" w:rsidP="001D0FDA">
      <w:pPr>
        <w:pStyle w:val="Bullettext"/>
      </w:pPr>
      <w:r w:rsidRPr="00B607A5">
        <w:t xml:space="preserve">Intracerebral haemorrhage in tadalafil-treated patients. </w:t>
      </w:r>
    </w:p>
    <w:p w:rsidR="001D0FDA" w:rsidRPr="00B607A5" w:rsidRDefault="001D0FDA" w:rsidP="001D0FDA">
      <w:pPr>
        <w:pStyle w:val="Bullettext"/>
      </w:pPr>
      <w:r w:rsidRPr="00B607A5">
        <w:t xml:space="preserve">Increased mortality and serious </w:t>
      </w:r>
      <w:r w:rsidR="006B2A7D" w:rsidRPr="00B607A5">
        <w:t>AE</w:t>
      </w:r>
      <w:r w:rsidRPr="00B607A5">
        <w:t xml:space="preserve">s in patients receiving riociguat in treating PH associated with idiopathic interstitial pneumonias. </w:t>
      </w:r>
    </w:p>
    <w:p w:rsidR="001D0FDA" w:rsidRDefault="00466BBD" w:rsidP="001D0FDA">
      <w:r>
        <w:t>There was evidence from a long-term observational study suggest</w:t>
      </w:r>
      <w:r w:rsidRPr="009138D5">
        <w:t xml:space="preserve">ing </w:t>
      </w:r>
      <w:r>
        <w:t xml:space="preserve">increased </w:t>
      </w:r>
      <w:r w:rsidRPr="009138D5">
        <w:t xml:space="preserve">mortality with </w:t>
      </w:r>
      <w:r>
        <w:t>higher sildenafil d</w:t>
      </w:r>
      <w:r w:rsidRPr="009138D5">
        <w:t>oses</w:t>
      </w:r>
      <w:r>
        <w:t>. S</w:t>
      </w:r>
      <w:r w:rsidRPr="009D0670">
        <w:t xml:space="preserve">ildenafil is not </w:t>
      </w:r>
      <w:r w:rsidRPr="00A8513C">
        <w:t>indicated</w:t>
      </w:r>
      <w:r w:rsidRPr="009D0670">
        <w:t xml:space="preserve"> for use in </w:t>
      </w:r>
      <w:r>
        <w:t xml:space="preserve">paediatric patients, according to the TGA PI. The FDA product label communicates an apparently lesser strength of warning: </w:t>
      </w:r>
      <w:r w:rsidRPr="009138D5">
        <w:t xml:space="preserve">use of </w:t>
      </w:r>
      <w:r>
        <w:t>sildenafil</w:t>
      </w:r>
      <w:r w:rsidRPr="009138D5">
        <w:t xml:space="preserve">, particularly chronic use, is not </w:t>
      </w:r>
      <w:r w:rsidRPr="00A8513C">
        <w:t>recommended</w:t>
      </w:r>
      <w:r w:rsidRPr="009138D5">
        <w:t xml:space="preserve"> in children</w:t>
      </w:r>
      <w:r>
        <w:t xml:space="preserve"> (namely </w:t>
      </w:r>
      <w:r w:rsidRPr="009138D5">
        <w:t xml:space="preserve">there may be situations in which the benefit-risk profile of </w:t>
      </w:r>
      <w:r>
        <w:t>sildenafil</w:t>
      </w:r>
      <w:r w:rsidRPr="009138D5">
        <w:t xml:space="preserve"> may be acceptable in individual children</w:t>
      </w:r>
      <w:r>
        <w:t>;</w:t>
      </w:r>
      <w:r w:rsidRPr="009138D5">
        <w:t xml:space="preserve"> for example, when other treatment options are limited and </w:t>
      </w:r>
      <w:r>
        <w:t>sildenafil</w:t>
      </w:r>
      <w:r w:rsidRPr="009138D5">
        <w:t xml:space="preserve"> can be used with close monitoring</w:t>
      </w:r>
      <w:r>
        <w:t>). The EMA SmPC states that sildenafil is indicated for the t</w:t>
      </w:r>
      <w:r w:rsidRPr="00A8513C">
        <w:t xml:space="preserve">reatment of </w:t>
      </w:r>
      <w:r>
        <w:t xml:space="preserve">children aged 1-17 years of age </w:t>
      </w:r>
      <w:r w:rsidRPr="00A8513C">
        <w:t xml:space="preserve">with </w:t>
      </w:r>
      <w:r>
        <w:t>PAH, but only at a recommended low dose. The international guidelines do not reach consensus regarding the use of sildenafil in paediatric PAH patients.</w:t>
      </w:r>
    </w:p>
    <w:p w:rsidR="00480FDF" w:rsidRPr="009F466A" w:rsidRDefault="00480FDF" w:rsidP="00480FDF">
      <w:pPr>
        <w:pStyle w:val="Heading3"/>
      </w:pPr>
      <w:bookmarkStart w:id="47" w:name="_Toc511121254"/>
      <w:bookmarkStart w:id="48" w:name="_Toc512855377"/>
      <w:r w:rsidRPr="009F466A">
        <w:t>Stakeholder views</w:t>
      </w:r>
      <w:bookmarkEnd w:id="47"/>
      <w:bookmarkEnd w:id="48"/>
    </w:p>
    <w:p w:rsidR="00480FDF" w:rsidRPr="00B833FB" w:rsidRDefault="00480FDF" w:rsidP="00B833FB">
      <w:pPr>
        <w:pStyle w:val="Bullettext"/>
      </w:pPr>
      <w:r w:rsidRPr="00B833FB">
        <w:t>Stakeholders suggest the review should include a review of recent clinical evidence as clinical guidelines may not reflect the most recent evidence.</w:t>
      </w:r>
    </w:p>
    <w:p w:rsidR="00480FDF" w:rsidRPr="00B833FB" w:rsidRDefault="00480FDF" w:rsidP="00B833FB">
      <w:pPr>
        <w:pStyle w:val="Bullettext"/>
      </w:pPr>
      <w:r w:rsidRPr="00B833FB">
        <w:t>Stakeholders suggest that decisions regarding combination therapy for WHO FC II patients are assessed based on the evidence from ToR 4.</w:t>
      </w:r>
    </w:p>
    <w:p w:rsidR="00480FDF" w:rsidRPr="00B833FB" w:rsidRDefault="00480FDF" w:rsidP="00B833FB">
      <w:pPr>
        <w:pStyle w:val="Bullettext"/>
      </w:pPr>
      <w:r w:rsidRPr="00B833FB">
        <w:t>Stakeholders are concerned that recent standards of clinically relevant endpoints may be used to re-evaluate evidence previously considered by PBAC, and would not support current medicines being removed from the PBS where such clinical endpoints are lacking from older studies.</w:t>
      </w:r>
    </w:p>
    <w:p w:rsidR="00480FDF" w:rsidRPr="00B833FB" w:rsidRDefault="005A0C83" w:rsidP="00B833FB">
      <w:pPr>
        <w:pStyle w:val="Bullettext"/>
      </w:pPr>
      <w:r>
        <w:t>Stakeholders note</w:t>
      </w:r>
      <w:r w:rsidR="00480FDF" w:rsidRPr="00B833FB">
        <w:t xml:space="preserve"> a shift from short-term functional changes to improvements in long-term outcomes in measuring treatment outcomes, and the need for composite endpoints of disease progression, including morbidity and mortality measures, to be included in assessment of PAH worsening.</w:t>
      </w:r>
    </w:p>
    <w:p w:rsidR="00480FDF" w:rsidRDefault="00480FDF" w:rsidP="00B833FB">
      <w:pPr>
        <w:pStyle w:val="Bullettext"/>
      </w:pPr>
      <w:r w:rsidRPr="00B833FB">
        <w:t xml:space="preserve">Stakeholders note there are few RCTs assessing the comparative efficacy and safety of PAH treatments, but provide available evidence for ambrisentan and epoprostenol that is yet to </w:t>
      </w:r>
      <w:r w:rsidRPr="00B833FB">
        <w:lastRenderedPageBreak/>
        <w:t>be</w:t>
      </w:r>
      <w:r w:rsidRPr="00550857">
        <w:t xml:space="preserve"> considered by PBAC, with inclusion of studies pertaining to combination use and use in the FC II patient population.</w:t>
      </w:r>
    </w:p>
    <w:p w:rsidR="00480FDF" w:rsidRPr="00550857" w:rsidRDefault="00480FDF" w:rsidP="00480FDF">
      <w:pPr>
        <w:pStyle w:val="Bullettext"/>
        <w:numPr>
          <w:ilvl w:val="0"/>
          <w:numId w:val="0"/>
        </w:numPr>
        <w:ind w:left="567"/>
      </w:pPr>
    </w:p>
    <w:p w:rsidR="00480FDF" w:rsidRPr="005A0C83" w:rsidRDefault="00480FDF" w:rsidP="00480FDF">
      <w:pPr>
        <w:pStyle w:val="Bullettext"/>
        <w:numPr>
          <w:ilvl w:val="0"/>
          <w:numId w:val="0"/>
        </w:numPr>
        <w:spacing w:before="240"/>
        <w:rPr>
          <w:b/>
        </w:rPr>
      </w:pPr>
      <w:r w:rsidRPr="005A0C83">
        <w:rPr>
          <w:b/>
        </w:rPr>
        <w:t>Committee in confidence – Start</w:t>
      </w:r>
    </w:p>
    <w:p w:rsidR="00480FDF" w:rsidRPr="008D640A" w:rsidRDefault="00A17B9D" w:rsidP="00A17B9D">
      <w:pPr>
        <w:pStyle w:val="Bullettext"/>
        <w:numPr>
          <w:ilvl w:val="0"/>
          <w:numId w:val="0"/>
        </w:numPr>
        <w:ind w:left="720" w:hanging="360"/>
        <w:rPr>
          <w:sz w:val="16"/>
          <w:szCs w:val="16"/>
          <w:highlight w:val="black"/>
        </w:rPr>
      </w:pP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p>
    <w:p w:rsidR="00480FDF" w:rsidRPr="008D640A" w:rsidRDefault="00A17B9D" w:rsidP="00A17B9D">
      <w:pPr>
        <w:pStyle w:val="Bullettext"/>
        <w:numPr>
          <w:ilvl w:val="0"/>
          <w:numId w:val="0"/>
        </w:numPr>
        <w:ind w:left="720" w:hanging="360"/>
        <w:rPr>
          <w:sz w:val="16"/>
          <w:szCs w:val="16"/>
          <w:highlight w:val="black"/>
        </w:rPr>
      </w:pP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p>
    <w:p w:rsidR="00480FDF" w:rsidRPr="008D640A" w:rsidRDefault="00A17B9D" w:rsidP="00A17B9D">
      <w:pPr>
        <w:pStyle w:val="Bullettext"/>
        <w:numPr>
          <w:ilvl w:val="0"/>
          <w:numId w:val="0"/>
        </w:numPr>
        <w:ind w:left="720" w:hanging="360"/>
        <w:rPr>
          <w:sz w:val="16"/>
          <w:szCs w:val="16"/>
          <w:highlight w:val="black"/>
        </w:rPr>
      </w:pP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r w:rsidRPr="008D640A">
        <w:rPr>
          <w:rFonts w:ascii="Symbol" w:hAnsi="Symbol"/>
          <w:noProof/>
          <w:color w:val="000000"/>
          <w:sz w:val="16"/>
          <w:szCs w:val="16"/>
          <w:highlight w:val="black"/>
        </w:rPr>
        <w:t></w:t>
      </w:r>
    </w:p>
    <w:p w:rsidR="00480FDF" w:rsidRPr="00505354" w:rsidRDefault="00480FDF" w:rsidP="00480FDF">
      <w:pPr>
        <w:pStyle w:val="Bullettext"/>
        <w:numPr>
          <w:ilvl w:val="0"/>
          <w:numId w:val="0"/>
        </w:numPr>
        <w:rPr>
          <w:b/>
        </w:rPr>
      </w:pPr>
      <w:r w:rsidRPr="005A0C83">
        <w:rPr>
          <w:b/>
        </w:rPr>
        <w:t>Committee in confidence - End</w:t>
      </w:r>
    </w:p>
    <w:p w:rsidR="00B27192" w:rsidRDefault="00B27192" w:rsidP="00395F6E">
      <w:pPr>
        <w:pStyle w:val="Heading3"/>
      </w:pPr>
      <w:bookmarkStart w:id="49" w:name="_Toc512855378"/>
      <w:r w:rsidRPr="00EB1471">
        <w:t>Con</w:t>
      </w:r>
      <w:r w:rsidR="00890B4D" w:rsidRPr="00EB1471">
        <w:t>s</w:t>
      </w:r>
      <w:r w:rsidRPr="00EB1471">
        <w:t>umer Views</w:t>
      </w:r>
      <w:bookmarkEnd w:id="49"/>
    </w:p>
    <w:p w:rsidR="00F177DF" w:rsidRPr="00F177DF" w:rsidRDefault="00F177DF" w:rsidP="00EE0B11">
      <w:pPr>
        <w:pStyle w:val="Bullettext"/>
      </w:pPr>
      <w:r w:rsidRPr="00F177DF">
        <w:t xml:space="preserve">Consumers on combination therapy </w:t>
      </w:r>
      <w:r>
        <w:t xml:space="preserve">advised they </w:t>
      </w:r>
      <w:r w:rsidRPr="00F177DF">
        <w:t xml:space="preserve">tended to be using various double and triple combinations of endothelin receptor antagonists with PDE5 inhibitors and prostacyclins. </w:t>
      </w:r>
    </w:p>
    <w:p w:rsidR="00F177DF" w:rsidRPr="00F177DF" w:rsidRDefault="00F177DF" w:rsidP="00EE0B11">
      <w:pPr>
        <w:pStyle w:val="Bullettext"/>
      </w:pPr>
      <w:r w:rsidRPr="00F177DF">
        <w:t xml:space="preserve">Some consumers participated in drug trials, including for bardoxolone methyl (Catalyst trial) and oral trepostinil, a prostacyclin analogue. </w:t>
      </w:r>
    </w:p>
    <w:p w:rsidR="00F177DF" w:rsidRPr="00F177DF" w:rsidRDefault="00F177DF" w:rsidP="00EE0B11">
      <w:pPr>
        <w:pStyle w:val="Bullettext"/>
      </w:pPr>
      <w:r w:rsidRPr="00F177DF">
        <w:t>There were reports of patients in the P</w:t>
      </w:r>
      <w:r w:rsidR="00A36179">
        <w:t>ulmonary Hypertension Association Australia</w:t>
      </w:r>
      <w:r w:rsidRPr="00F177DF">
        <w:t xml:space="preserve"> using selexipag.</w:t>
      </w:r>
    </w:p>
    <w:p w:rsidR="00F177DF" w:rsidRPr="00F177DF" w:rsidRDefault="00F177DF" w:rsidP="00EE0B11">
      <w:pPr>
        <w:pStyle w:val="Bullettext"/>
      </w:pPr>
      <w:r w:rsidRPr="00F177DF">
        <w:t>Consumers advised that they usually stay on the same medicines and add a further medicine to address worsening symptoms.</w:t>
      </w:r>
    </w:p>
    <w:p w:rsidR="00F177DF" w:rsidRPr="00F177DF" w:rsidRDefault="00F177DF" w:rsidP="00EE0B11">
      <w:pPr>
        <w:pStyle w:val="Bullettext"/>
      </w:pPr>
      <w:r w:rsidRPr="00F177DF">
        <w:t>Consumers swapped medicines to alleviate side-effects or because they proved ineffective.</w:t>
      </w:r>
    </w:p>
    <w:p w:rsidR="00F177DF" w:rsidRPr="00F177DF" w:rsidRDefault="00F177DF" w:rsidP="00EE0B11">
      <w:pPr>
        <w:pStyle w:val="Bullettext"/>
      </w:pPr>
      <w:r w:rsidRPr="00F177DF">
        <w:t xml:space="preserve">Consumers mentioned that some drugs worked better than others. </w:t>
      </w:r>
    </w:p>
    <w:p w:rsidR="00F177DF" w:rsidRPr="00F177DF" w:rsidRDefault="00F177DF" w:rsidP="00EE0B11">
      <w:pPr>
        <w:pStyle w:val="Bullettext"/>
      </w:pPr>
      <w:r w:rsidRPr="00F177DF">
        <w:t xml:space="preserve">Consumers pointed out that continuous intravenous administration of epoprostenol, while effective, leads to considerable inconvenience and additional cost </w:t>
      </w:r>
      <w:r>
        <w:t xml:space="preserve">for accessories and dressings. </w:t>
      </w:r>
      <w:r w:rsidRPr="00F177DF">
        <w:t xml:space="preserve">In addition there is a risk </w:t>
      </w:r>
      <w:r>
        <w:t xml:space="preserve">of catheter-related infection. </w:t>
      </w:r>
      <w:r w:rsidRPr="00F177DF">
        <w:t>Some consumers reported preferring the nebulised prostacyclins which although had more frequent dosing, were less invasive.</w:t>
      </w:r>
    </w:p>
    <w:p w:rsidR="00F177DF" w:rsidRPr="00F177DF" w:rsidRDefault="00F177DF" w:rsidP="00EE0B11">
      <w:pPr>
        <w:pStyle w:val="Bullettext"/>
      </w:pPr>
      <w:r w:rsidRPr="00F177DF">
        <w:t>Epoprostenol users generally have a backup infusion pump</w:t>
      </w:r>
      <w:r w:rsidR="005A0C83">
        <w:t xml:space="preserve"> and intravenous infusion sets.</w:t>
      </w:r>
    </w:p>
    <w:p w:rsidR="00F177DF" w:rsidRPr="00F177DF" w:rsidRDefault="00F177DF" w:rsidP="00EE0B11">
      <w:pPr>
        <w:pStyle w:val="Bullettext"/>
      </w:pPr>
      <w:r w:rsidRPr="00F177DF">
        <w:t>Consumers noted it is easier to take tablets twice daily than tablets three times daily.</w:t>
      </w:r>
    </w:p>
    <w:p w:rsidR="00F177DF" w:rsidRPr="00F177DF" w:rsidRDefault="00F177DF" w:rsidP="00EE0B11">
      <w:pPr>
        <w:pStyle w:val="Bullettext"/>
      </w:pPr>
      <w:r w:rsidRPr="00F177DF">
        <w:t>Consumers identified some PAH medicines which did not work in their particular case.  (macitentan x2, sildenafil, ilopr</w:t>
      </w:r>
      <w:r w:rsidR="005A0C83">
        <w:t>ost, beraprost).</w:t>
      </w:r>
    </w:p>
    <w:p w:rsidR="00F177DF" w:rsidRPr="00F177DF" w:rsidRDefault="00F177DF" w:rsidP="00EE0B11">
      <w:pPr>
        <w:pStyle w:val="Bullettext"/>
      </w:pPr>
      <w:r w:rsidRPr="00F177DF">
        <w:t>Generally consumers found that PAH medicines did not impact on other medicines.</w:t>
      </w:r>
    </w:p>
    <w:p w:rsidR="00F177DF" w:rsidRPr="00F177DF" w:rsidRDefault="00F177DF" w:rsidP="00EE0B11">
      <w:pPr>
        <w:pStyle w:val="Bullettext"/>
      </w:pPr>
      <w:r w:rsidRPr="00F177DF">
        <w:t>Some advised they could not take cold/flu medicines or antihistamines or anti-inflammatory medicines</w:t>
      </w:r>
      <w:r>
        <w:t>.</w:t>
      </w:r>
    </w:p>
    <w:p w:rsidR="00553362" w:rsidRPr="00EB1471" w:rsidRDefault="00A72B1D" w:rsidP="00D92F94">
      <w:pPr>
        <w:pStyle w:val="Heading2"/>
      </w:pPr>
      <w:bookmarkStart w:id="50" w:name="_Toc512855379"/>
      <w:bookmarkStart w:id="51" w:name="_Toc482191511"/>
      <w:bookmarkStart w:id="52" w:name="_Toc486515178"/>
      <w:bookmarkEnd w:id="44"/>
      <w:r>
        <w:t>Introduction</w:t>
      </w:r>
      <w:bookmarkEnd w:id="50"/>
    </w:p>
    <w:p w:rsidR="001D0FDA" w:rsidRPr="00EB1471" w:rsidRDefault="00606F24" w:rsidP="001D0FDA">
      <w:pPr>
        <w:rPr>
          <w:snapToGrid w:val="0"/>
        </w:rPr>
      </w:pPr>
      <w:r w:rsidRPr="00606F24">
        <w:rPr>
          <w:snapToGrid w:val="0"/>
        </w:rPr>
        <w:t>The</w:t>
      </w:r>
      <w:r w:rsidR="001D0FDA" w:rsidRPr="00606F24">
        <w:rPr>
          <w:snapToGrid w:val="0"/>
        </w:rPr>
        <w:t xml:space="preserve"> Australian Government Department of Health </w:t>
      </w:r>
      <w:r w:rsidRPr="00606F24">
        <w:rPr>
          <w:snapToGrid w:val="0"/>
        </w:rPr>
        <w:t xml:space="preserve">commissioned </w:t>
      </w:r>
      <w:r w:rsidR="001D0FDA" w:rsidRPr="00606F24">
        <w:rPr>
          <w:snapToGrid w:val="0"/>
        </w:rPr>
        <w:t>a systematic literature review of</w:t>
      </w:r>
      <w:r w:rsidR="001D0FDA" w:rsidRPr="00EB1471">
        <w:rPr>
          <w:snapToGrid w:val="0"/>
        </w:rPr>
        <w:t xml:space="preserve"> the </w:t>
      </w:r>
      <w:r w:rsidR="001D0FDA">
        <w:rPr>
          <w:snapToGrid w:val="0"/>
        </w:rPr>
        <w:t>PAH medicine</w:t>
      </w:r>
      <w:r w:rsidR="001D0FDA" w:rsidRPr="00EB1471">
        <w:rPr>
          <w:snapToGrid w:val="0"/>
        </w:rPr>
        <w:t xml:space="preserve">s currently listed on the PBS, particularly the combination use and use in the </w:t>
      </w:r>
      <w:r w:rsidR="001D0FDA" w:rsidRPr="00EB1471">
        <w:rPr>
          <w:snapToGrid w:val="0"/>
        </w:rPr>
        <w:lastRenderedPageBreak/>
        <w:t>WHO functional class II patient populations (Term of Reference 4 of the Post-Market Review of PAH medicines). For detailed background information regarding this PAH Post-Market Review, refer to the Background section.</w:t>
      </w:r>
    </w:p>
    <w:p w:rsidR="001D0FDA" w:rsidRPr="00EB1471" w:rsidRDefault="001D0FDA" w:rsidP="001D0FDA">
      <w:pPr>
        <w:rPr>
          <w:snapToGrid w:val="0"/>
        </w:rPr>
      </w:pPr>
      <w:r w:rsidRPr="00EB1471">
        <w:rPr>
          <w:snapToGrid w:val="0"/>
        </w:rPr>
        <w:t>T</w:t>
      </w:r>
      <w:r>
        <w:rPr>
          <w:snapToGrid w:val="0"/>
        </w:rPr>
        <w:t>he aim of ToR 4 of this review wa</w:t>
      </w:r>
      <w:r w:rsidRPr="00EB1471">
        <w:rPr>
          <w:snapToGrid w:val="0"/>
        </w:rPr>
        <w:t xml:space="preserve">s to update the evidence base for the eight PAH medicines listed on the PBS, as monotherapy, for the treatment of WHO FC III-IV and to assess the effectiveness and safety of </w:t>
      </w:r>
      <w:r>
        <w:rPr>
          <w:snapToGrid w:val="0"/>
        </w:rPr>
        <w:t>PAH medicine</w:t>
      </w:r>
      <w:r w:rsidRPr="00EB1471">
        <w:rPr>
          <w:snapToGrid w:val="0"/>
        </w:rPr>
        <w:t xml:space="preserve">s outside the PBS restrictions, ie for the treatment of patients with WHO FC I or II PAH as well as the combination use of these medicines. Any new safety signals associated with the listed </w:t>
      </w:r>
      <w:r>
        <w:rPr>
          <w:snapToGrid w:val="0"/>
        </w:rPr>
        <w:t>PAH medicine</w:t>
      </w:r>
      <w:r w:rsidRPr="00EB1471">
        <w:rPr>
          <w:snapToGrid w:val="0"/>
        </w:rPr>
        <w:t>s - that ha</w:t>
      </w:r>
      <w:r>
        <w:rPr>
          <w:snapToGrid w:val="0"/>
        </w:rPr>
        <w:t>d</w:t>
      </w:r>
      <w:r w:rsidRPr="00EB1471">
        <w:rPr>
          <w:snapToGrid w:val="0"/>
        </w:rPr>
        <w:t xml:space="preserve"> not been previously noted by the PBAC - were also of interest.</w:t>
      </w:r>
    </w:p>
    <w:p w:rsidR="00675E77" w:rsidRPr="00EB1471" w:rsidRDefault="00675E77" w:rsidP="00D92F94">
      <w:pPr>
        <w:pStyle w:val="Heading2"/>
      </w:pPr>
      <w:bookmarkStart w:id="53" w:name="_Toc512855380"/>
      <w:r w:rsidRPr="00EB1471">
        <w:t>Methodology</w:t>
      </w:r>
      <w:bookmarkEnd w:id="45"/>
      <w:bookmarkEnd w:id="51"/>
      <w:bookmarkEnd w:id="52"/>
      <w:bookmarkEnd w:id="53"/>
    </w:p>
    <w:p w:rsidR="001D0FDA" w:rsidRPr="00F819A1" w:rsidRDefault="001D0FDA" w:rsidP="001D0FDA">
      <w:pPr>
        <w:pStyle w:val="BodyText"/>
        <w:rPr>
          <w:rFonts w:asciiTheme="minorHAnsi" w:hAnsiTheme="minorHAnsi"/>
        </w:rPr>
      </w:pPr>
      <w:r w:rsidRPr="00F819A1">
        <w:rPr>
          <w:rFonts w:asciiTheme="minorHAnsi" w:hAnsiTheme="minorHAnsi"/>
        </w:rPr>
        <w:t>This section outlines the methodology that underpinned the evidence review undertaken to address ToR 4. Throughout Chapter 4, new studies that add to the existing evidence base are discussed in light of findings previously submitted to the PBAC, with consideration of whether the new evidence provides support for previous PBAC decision making and whether the new evidence supports the use of PAH medicines in PAH patients with less severe disease (ie WHO FC I-II) and the use of combination therapy with PAH medicines.</w:t>
      </w:r>
    </w:p>
    <w:p w:rsidR="001D0FDA" w:rsidRPr="00EB1471" w:rsidRDefault="001D0FDA" w:rsidP="00480FDF">
      <w:pPr>
        <w:pStyle w:val="Heading3"/>
        <w:numPr>
          <w:ilvl w:val="2"/>
          <w:numId w:val="45"/>
        </w:numPr>
        <w:tabs>
          <w:tab w:val="clear" w:pos="2695"/>
        </w:tabs>
        <w:ind w:left="0"/>
      </w:pPr>
      <w:bookmarkStart w:id="54" w:name="_Toc468022802"/>
      <w:bookmarkStart w:id="55" w:name="_Toc482191512"/>
      <w:bookmarkStart w:id="56" w:name="_Toc486515179"/>
      <w:bookmarkStart w:id="57" w:name="_Toc506464130"/>
      <w:bookmarkStart w:id="58" w:name="_Toc512855381"/>
      <w:r w:rsidRPr="00EB1471">
        <w:t>Identification of relevant studies</w:t>
      </w:r>
      <w:bookmarkEnd w:id="54"/>
      <w:bookmarkEnd w:id="55"/>
      <w:bookmarkEnd w:id="56"/>
      <w:bookmarkEnd w:id="57"/>
      <w:bookmarkEnd w:id="58"/>
    </w:p>
    <w:p w:rsidR="001D0FDA" w:rsidRPr="00EB1471" w:rsidRDefault="001D0FDA" w:rsidP="00480FDF">
      <w:pPr>
        <w:pStyle w:val="Heading4"/>
        <w:numPr>
          <w:ilvl w:val="3"/>
          <w:numId w:val="45"/>
        </w:numPr>
      </w:pPr>
      <w:r w:rsidRPr="00EB1471">
        <w:t>4.3.</w:t>
      </w:r>
      <w:r>
        <w:t>1</w:t>
      </w:r>
      <w:r w:rsidRPr="00EB1471">
        <w:t>.1</w:t>
      </w:r>
      <w:r w:rsidRPr="00EB1471">
        <w:tab/>
        <w:t>Research questions</w:t>
      </w:r>
    </w:p>
    <w:p w:rsidR="001D0FDA" w:rsidRPr="00EB1471" w:rsidRDefault="001D0FDA" w:rsidP="001D0FDA">
      <w:pPr>
        <w:rPr>
          <w:rFonts w:eastAsia="Times New Roman"/>
          <w:szCs w:val="20"/>
        </w:rPr>
      </w:pPr>
      <w:r w:rsidRPr="00EB1471">
        <w:rPr>
          <w:rFonts w:eastAsia="Times New Roman"/>
          <w:szCs w:val="20"/>
        </w:rPr>
        <w:t>Outlined below are the research questions that were formulated and used to guide the review:</w:t>
      </w:r>
    </w:p>
    <w:p w:rsidR="001D0FDA" w:rsidRPr="00EB1471" w:rsidRDefault="001D0FDA" w:rsidP="001D0FDA">
      <w:pPr>
        <w:ind w:left="709" w:hanging="425"/>
      </w:pPr>
      <w:r w:rsidRPr="00EB1471">
        <w:t>1.</w:t>
      </w:r>
      <w:r w:rsidRPr="00EB1471">
        <w:tab/>
        <w:t>What is the effectiveness and safety of monotherapy with a PAH medicine, compared to</w:t>
      </w:r>
      <w:r w:rsidRPr="00EB1471">
        <w:rPr>
          <w:i/>
        </w:rPr>
        <w:t xml:space="preserve"> </w:t>
      </w:r>
      <w:r w:rsidRPr="00EB1471">
        <w:t xml:space="preserve">placebo/no treatment or another PAH medicine listed on the PBS, in patients with WHO FC I or II PAH? </w:t>
      </w:r>
    </w:p>
    <w:p w:rsidR="001D0FDA" w:rsidRPr="00EB1471" w:rsidRDefault="001D0FDA" w:rsidP="001D0FDA">
      <w:pPr>
        <w:ind w:left="709" w:hanging="425"/>
      </w:pPr>
      <w:r w:rsidRPr="00EB1471">
        <w:t>2.</w:t>
      </w:r>
      <w:r w:rsidRPr="00EB1471">
        <w:tab/>
        <w:t>What is the new evidence concerning the effectiveness and safety of monotherapy with a PAH medicine, compared to the main comparator accepted by the PBAC, in patients with WHO FC III or IV PAH, that has not previously been considered by the PBAC?</w:t>
      </w:r>
    </w:p>
    <w:p w:rsidR="001D0FDA" w:rsidRPr="00EB1471" w:rsidRDefault="001D0FDA" w:rsidP="001D0FDA">
      <w:pPr>
        <w:ind w:left="709" w:hanging="425"/>
      </w:pPr>
      <w:r w:rsidRPr="00EB1471">
        <w:t>3.</w:t>
      </w:r>
      <w:r w:rsidRPr="00EB1471">
        <w:tab/>
        <w:t xml:space="preserve">What is the effectiveness and safety of dual combination therapy involving any combination of an ERA, a PDE-5 inhibitor, a prostanoid, or a sGC stimulator, compared to monotherapy, in: i) PAH patients, irrespective of disease severity or aetiology; ii) PAH patients with FC III or IV; and iii) PAH patients with different disease aetiologies? </w:t>
      </w:r>
    </w:p>
    <w:p w:rsidR="001D0FDA" w:rsidRPr="00EB1471" w:rsidRDefault="001D0FDA" w:rsidP="001D0FDA">
      <w:pPr>
        <w:ind w:left="709" w:hanging="425"/>
      </w:pPr>
      <w:r w:rsidRPr="00EB1471">
        <w:t>4.</w:t>
      </w:r>
      <w:r w:rsidRPr="00EB1471">
        <w:tab/>
        <w:t xml:space="preserve">What is the effectiveness and safety of triple combination therapy involving any combination of an ERA, a PDE-5 inhibitor, a prostanoid, or a sGC stimulator, compared to dual combination therapy, in: i) PAH patients, irrespective of disease severity or aetiology; ii) PAH patients with FC III or IV; and iii) PAH patients with different disease aetiologies? </w:t>
      </w:r>
    </w:p>
    <w:p w:rsidR="001D0FDA" w:rsidRPr="00EB1471" w:rsidRDefault="001D0FDA" w:rsidP="00C8237F">
      <w:pPr>
        <w:spacing w:before="0" w:line="240" w:lineRule="auto"/>
        <w:rPr>
          <w:rFonts w:cs="Arial"/>
          <w:bCs/>
        </w:rPr>
      </w:pPr>
      <w:r w:rsidRPr="00EB1471">
        <w:rPr>
          <w:rFonts w:cs="Arial"/>
          <w:bCs/>
        </w:rPr>
        <w:t xml:space="preserve">The PICO </w:t>
      </w:r>
      <w:r w:rsidRPr="00EB1471">
        <w:rPr>
          <w:snapToGrid w:val="0"/>
        </w:rPr>
        <w:t xml:space="preserve">(Population, Intervention, Comparator, Outcomes) </w:t>
      </w:r>
      <w:r w:rsidRPr="00EB1471">
        <w:rPr>
          <w:rFonts w:cs="Arial"/>
          <w:bCs/>
        </w:rPr>
        <w:t>study selection criteria for each of the research questions are shown in</w:t>
      </w:r>
      <w:r w:rsidR="00C8237F">
        <w:rPr>
          <w:rFonts w:cs="Arial"/>
          <w:bCs/>
        </w:rPr>
        <w:t xml:space="preserve"> Table 4.19 to Table 4.22</w:t>
      </w:r>
      <w:r w:rsidRPr="00EB1471">
        <w:rPr>
          <w:rFonts w:cs="Arial"/>
          <w:bCs/>
        </w:rPr>
        <w:t>.</w:t>
      </w:r>
    </w:p>
    <w:p w:rsidR="00F819A1" w:rsidRDefault="00F819A1">
      <w:pPr>
        <w:spacing w:before="0" w:line="240" w:lineRule="auto"/>
        <w:rPr>
          <w:b/>
          <w:iCs/>
          <w:szCs w:val="18"/>
        </w:rPr>
      </w:pPr>
      <w:bookmarkStart w:id="59" w:name="_Ref505948635"/>
      <w:bookmarkStart w:id="60" w:name="_Ref500769434"/>
      <w:r>
        <w:br w:type="page"/>
      </w:r>
    </w:p>
    <w:p w:rsidR="001D0FDA" w:rsidRPr="00EB1471" w:rsidRDefault="001D0FDA" w:rsidP="002002A6">
      <w:pPr>
        <w:pStyle w:val="Caption"/>
        <w:ind w:left="1134" w:hanging="1134"/>
      </w:pPr>
      <w:bookmarkStart w:id="61" w:name="_Toc512855423"/>
      <w:r>
        <w:lastRenderedPageBreak/>
        <w:t>Table 4.</w:t>
      </w:r>
      <w:r w:rsidR="00AA722D">
        <w:rPr>
          <w:noProof/>
        </w:rPr>
        <w:t>19</w:t>
      </w:r>
      <w:bookmarkEnd w:id="59"/>
      <w:r>
        <w:tab/>
      </w:r>
      <w:bookmarkEnd w:id="60"/>
      <w:r w:rsidRPr="00EB1471">
        <w:t>Study selection criteria for systematic review of PAH medicines: research question 1</w:t>
      </w:r>
      <w:bookmarkEnd w:id="61"/>
    </w:p>
    <w:tbl>
      <w:tblPr>
        <w:tblStyle w:val="TableGrid"/>
        <w:tblW w:w="5000" w:type="pct"/>
        <w:tblLook w:val="04A0" w:firstRow="1" w:lastRow="0" w:firstColumn="1" w:lastColumn="0" w:noHBand="0" w:noVBand="1"/>
        <w:tblCaption w:val="Study selection criteria for systematic review of PAH medicines: research question 1"/>
      </w:tblPr>
      <w:tblGrid>
        <w:gridCol w:w="1682"/>
        <w:gridCol w:w="8070"/>
      </w:tblGrid>
      <w:tr w:rsidR="001D0FDA" w:rsidRPr="00EB1471" w:rsidTr="006D01E8">
        <w:trPr>
          <w:cnfStyle w:val="100000000000" w:firstRow="1" w:lastRow="0" w:firstColumn="0" w:lastColumn="0" w:oddVBand="0" w:evenVBand="0" w:oddHBand="0" w:evenHBand="0" w:firstRowFirstColumn="0" w:firstRowLastColumn="0" w:lastRowFirstColumn="0" w:lastRowLastColumn="0"/>
          <w:trHeight w:val="54"/>
        </w:trPr>
        <w:tc>
          <w:tcPr>
            <w:tcW w:w="1661" w:type="dxa"/>
            <w:shd w:val="clear" w:color="auto" w:fill="BFBFBF" w:themeFill="background1" w:themeFillShade="BF"/>
          </w:tcPr>
          <w:p w:rsidR="001D0FDA" w:rsidRPr="00EB1471" w:rsidRDefault="001D0FDA" w:rsidP="001D0FDA">
            <w:pPr>
              <w:pStyle w:val="Tabletext"/>
              <w:rPr>
                <w:b/>
              </w:rPr>
            </w:pPr>
            <w:r w:rsidRPr="00EB1471">
              <w:rPr>
                <w:b/>
              </w:rPr>
              <w:t>PICO component</w:t>
            </w:r>
          </w:p>
        </w:tc>
        <w:tc>
          <w:tcPr>
            <w:tcW w:w="7967" w:type="dxa"/>
            <w:shd w:val="clear" w:color="auto" w:fill="BFBFBF" w:themeFill="background1" w:themeFillShade="BF"/>
          </w:tcPr>
          <w:p w:rsidR="001D0FDA" w:rsidRPr="00EB1471" w:rsidRDefault="001D0FDA" w:rsidP="001D0FDA">
            <w:pPr>
              <w:pStyle w:val="Tabletext"/>
              <w:rPr>
                <w:b/>
              </w:rPr>
            </w:pPr>
            <w:r w:rsidRPr="00EB1471">
              <w:rPr>
                <w:b/>
              </w:rPr>
              <w:t>Description</w:t>
            </w:r>
          </w:p>
        </w:tc>
      </w:tr>
      <w:tr w:rsidR="001D0FDA" w:rsidRPr="00EB1471" w:rsidTr="006D01E8">
        <w:tc>
          <w:tcPr>
            <w:tcW w:w="1661" w:type="dxa"/>
          </w:tcPr>
          <w:p w:rsidR="001D0FDA" w:rsidRPr="00EB1471" w:rsidRDefault="001D0FDA" w:rsidP="001D0FDA">
            <w:pPr>
              <w:pStyle w:val="Tabletext"/>
              <w:rPr>
                <w:b/>
              </w:rPr>
            </w:pPr>
            <w:r w:rsidRPr="00EB1471">
              <w:rPr>
                <w:b/>
              </w:rPr>
              <w:t>Population</w:t>
            </w:r>
          </w:p>
        </w:tc>
        <w:tc>
          <w:tcPr>
            <w:tcW w:w="7967" w:type="dxa"/>
          </w:tcPr>
          <w:p w:rsidR="001D0FDA" w:rsidRPr="00EB1471" w:rsidRDefault="001D0FDA" w:rsidP="001D0FDA">
            <w:pPr>
              <w:pStyle w:val="Tabletext"/>
            </w:pPr>
            <w:r w:rsidRPr="00EB1471">
              <w:t>Patients with WHO FC I or II PAH</w:t>
            </w:r>
          </w:p>
        </w:tc>
      </w:tr>
      <w:tr w:rsidR="001D0FDA" w:rsidRPr="00EB1471" w:rsidTr="006D01E8">
        <w:tc>
          <w:tcPr>
            <w:tcW w:w="1661" w:type="dxa"/>
          </w:tcPr>
          <w:p w:rsidR="001D0FDA" w:rsidRPr="00EB1471" w:rsidRDefault="001D0FDA" w:rsidP="001D0FDA">
            <w:pPr>
              <w:pStyle w:val="Tabletext"/>
              <w:rPr>
                <w:b/>
              </w:rPr>
            </w:pPr>
            <w:r w:rsidRPr="00EB1471">
              <w:rPr>
                <w:b/>
              </w:rPr>
              <w:t>Intervention</w:t>
            </w:r>
          </w:p>
        </w:tc>
        <w:tc>
          <w:tcPr>
            <w:tcW w:w="7967" w:type="dxa"/>
          </w:tcPr>
          <w:p w:rsidR="001D0FDA" w:rsidRPr="00EB1471" w:rsidRDefault="001D0FDA" w:rsidP="001D0FDA">
            <w:pPr>
              <w:pStyle w:val="Tabletext"/>
            </w:pPr>
            <w:r w:rsidRPr="00EB1471">
              <w:t>Monotherapy with a PAH medicine currently listed on the PBS</w:t>
            </w:r>
            <w:r w:rsidRPr="00EB1471">
              <w:rPr>
                <w:vertAlign w:val="superscript"/>
              </w:rPr>
              <w:t>a</w:t>
            </w:r>
            <w:r w:rsidRPr="00EB1471">
              <w:t xml:space="preserve"> </w:t>
            </w:r>
          </w:p>
        </w:tc>
      </w:tr>
      <w:tr w:rsidR="001D0FDA" w:rsidRPr="00EB1471" w:rsidTr="006D01E8">
        <w:tc>
          <w:tcPr>
            <w:tcW w:w="1661" w:type="dxa"/>
          </w:tcPr>
          <w:p w:rsidR="001D0FDA" w:rsidRPr="00EB1471" w:rsidRDefault="001D0FDA" w:rsidP="001D0FDA">
            <w:pPr>
              <w:pStyle w:val="Tabletext"/>
              <w:rPr>
                <w:b/>
              </w:rPr>
            </w:pPr>
            <w:r w:rsidRPr="00EB1471">
              <w:rPr>
                <w:b/>
              </w:rPr>
              <w:t>Comparators</w:t>
            </w:r>
          </w:p>
        </w:tc>
        <w:tc>
          <w:tcPr>
            <w:tcW w:w="7967" w:type="dxa"/>
          </w:tcPr>
          <w:p w:rsidR="001D0FDA" w:rsidRPr="00EB1471" w:rsidRDefault="001D0FDA" w:rsidP="001D0FDA">
            <w:pPr>
              <w:pStyle w:val="Tabletext"/>
            </w:pPr>
            <w:r w:rsidRPr="00EB1471">
              <w:t>Placebo/no treatment or another PAH medicine currently listed on the PBS</w:t>
            </w:r>
            <w:r w:rsidRPr="00EB1471">
              <w:rPr>
                <w:vertAlign w:val="superscript"/>
              </w:rPr>
              <w:t>a</w:t>
            </w:r>
          </w:p>
        </w:tc>
      </w:tr>
      <w:tr w:rsidR="001D0FDA" w:rsidRPr="00EB1471" w:rsidTr="006D01E8">
        <w:tc>
          <w:tcPr>
            <w:tcW w:w="1661" w:type="dxa"/>
          </w:tcPr>
          <w:p w:rsidR="001D0FDA" w:rsidRPr="00EB1471" w:rsidRDefault="001D0FDA" w:rsidP="001D0FDA">
            <w:pPr>
              <w:pStyle w:val="Tabletext"/>
              <w:rPr>
                <w:b/>
              </w:rPr>
            </w:pPr>
            <w:r w:rsidRPr="00EB1471">
              <w:rPr>
                <w:b/>
              </w:rPr>
              <w:t>Outcomes</w:t>
            </w:r>
          </w:p>
        </w:tc>
        <w:tc>
          <w:tcPr>
            <w:tcW w:w="7967" w:type="dxa"/>
          </w:tcPr>
          <w:p w:rsidR="001D0FDA" w:rsidRPr="00EB1471" w:rsidRDefault="001D0FDA" w:rsidP="001D0FDA">
            <w:pPr>
              <w:pStyle w:val="Tabletext"/>
            </w:pPr>
            <w:r w:rsidRPr="00EB1471">
              <w:rPr>
                <w:u w:val="single"/>
              </w:rPr>
              <w:t>Effectiveness</w:t>
            </w:r>
            <w:r w:rsidRPr="00EB1471">
              <w:t xml:space="preserve"> </w:t>
            </w:r>
            <w:r w:rsidRPr="00EB1471">
              <w:tab/>
              <w:t>Study-defined clinical worsening</w:t>
            </w:r>
            <w:r w:rsidRPr="00EB1471">
              <w:rPr>
                <w:vertAlign w:val="superscript"/>
              </w:rPr>
              <w:t>b</w:t>
            </w:r>
          </w:p>
          <w:p w:rsidR="001D0FDA" w:rsidRPr="00EB1471" w:rsidRDefault="001D0FDA" w:rsidP="001D0FDA">
            <w:pPr>
              <w:pStyle w:val="Tabletext"/>
            </w:pPr>
            <w:r w:rsidRPr="00EB1471">
              <w:tab/>
            </w:r>
            <w:r w:rsidRPr="00EB1471">
              <w:tab/>
              <w:t>Mortality</w:t>
            </w:r>
          </w:p>
          <w:p w:rsidR="001D0FDA" w:rsidRPr="00EB1471" w:rsidRDefault="001D0FDA" w:rsidP="001D0FDA">
            <w:pPr>
              <w:pStyle w:val="Tabletext"/>
            </w:pPr>
            <w:r w:rsidRPr="00EB1471">
              <w:tab/>
            </w:r>
            <w:r w:rsidRPr="00EB1471">
              <w:tab/>
              <w:t>Hospitalisation</w:t>
            </w:r>
          </w:p>
          <w:p w:rsidR="001D0FDA" w:rsidRPr="00EB1471" w:rsidRDefault="001D0FDA" w:rsidP="001D0FDA">
            <w:pPr>
              <w:pStyle w:val="Tabletext"/>
            </w:pPr>
            <w:r w:rsidRPr="00EB1471">
              <w:tab/>
            </w:r>
            <w:r w:rsidRPr="00EB1471">
              <w:tab/>
              <w:t>WHO FC</w:t>
            </w:r>
          </w:p>
          <w:p w:rsidR="001D0FDA" w:rsidRPr="00EB1471" w:rsidRDefault="001D0FDA" w:rsidP="001D0FDA">
            <w:pPr>
              <w:pStyle w:val="Tabletext"/>
            </w:pPr>
            <w:r w:rsidRPr="00EB1471">
              <w:tab/>
            </w:r>
            <w:r w:rsidRPr="00EB1471">
              <w:tab/>
              <w:t>6MWD</w:t>
            </w:r>
          </w:p>
          <w:p w:rsidR="001D0FDA" w:rsidRPr="00EB1471" w:rsidRDefault="001D0FDA" w:rsidP="001D0FDA">
            <w:pPr>
              <w:pStyle w:val="Tabletext"/>
            </w:pPr>
            <w:r w:rsidRPr="00EB1471">
              <w:tab/>
            </w:r>
            <w:r w:rsidRPr="00EB1471">
              <w:tab/>
              <w:t>Quality of life</w:t>
            </w:r>
          </w:p>
          <w:p w:rsidR="001D0FDA" w:rsidRPr="00EB1471" w:rsidRDefault="001D0FDA" w:rsidP="001D0FDA">
            <w:pPr>
              <w:pStyle w:val="Tabletext"/>
            </w:pPr>
            <w:r w:rsidRPr="00EB1471">
              <w:tab/>
            </w:r>
            <w:r w:rsidRPr="00EB1471">
              <w:tab/>
              <w:t>Lung transplant</w:t>
            </w:r>
          </w:p>
          <w:p w:rsidR="001D0FDA" w:rsidRPr="00EB1471" w:rsidRDefault="001D0FDA" w:rsidP="001D0FDA">
            <w:pPr>
              <w:pStyle w:val="Tabletext"/>
            </w:pPr>
            <w:r w:rsidRPr="00EB1471">
              <w:tab/>
            </w:r>
            <w:r w:rsidRPr="00EB1471">
              <w:tab/>
              <w:t>Atrial septostomy</w:t>
            </w:r>
          </w:p>
          <w:p w:rsidR="001D0FDA" w:rsidRPr="00EB1471" w:rsidRDefault="001D0FDA" w:rsidP="001D0FDA">
            <w:pPr>
              <w:pStyle w:val="Tabletext"/>
            </w:pPr>
            <w:r w:rsidRPr="00EB1471">
              <w:tab/>
            </w:r>
            <w:r w:rsidRPr="00EB1471">
              <w:tab/>
              <w:t>Initiation of other PAH medicine(s)</w:t>
            </w:r>
          </w:p>
          <w:p w:rsidR="001D0FDA" w:rsidRPr="00EB1471" w:rsidRDefault="001D0FDA" w:rsidP="001D0FDA">
            <w:pPr>
              <w:pStyle w:val="Tabletext"/>
            </w:pPr>
            <w:r w:rsidRPr="00EB1471">
              <w:tab/>
            </w:r>
            <w:r w:rsidRPr="00EB1471">
              <w:tab/>
              <w:t>Haemodynamic parameters</w:t>
            </w:r>
          </w:p>
          <w:p w:rsidR="001D0FDA" w:rsidRPr="00EB1471" w:rsidRDefault="001D0FDA" w:rsidP="001D0FDA">
            <w:pPr>
              <w:pStyle w:val="Tabletext"/>
            </w:pPr>
            <w:r w:rsidRPr="00EB1471">
              <w:rPr>
                <w:u w:val="single"/>
              </w:rPr>
              <w:t>Safety</w:t>
            </w:r>
            <w:r w:rsidRPr="00EB1471">
              <w:tab/>
            </w:r>
            <w:r w:rsidRPr="00EB1471">
              <w:tab/>
              <w:t>Adverse events</w:t>
            </w:r>
          </w:p>
        </w:tc>
      </w:tr>
      <w:tr w:rsidR="001D0FDA" w:rsidRPr="00EB1471" w:rsidTr="006D01E8">
        <w:tc>
          <w:tcPr>
            <w:tcW w:w="1661" w:type="dxa"/>
          </w:tcPr>
          <w:p w:rsidR="001D0FDA" w:rsidRPr="00EB1471" w:rsidRDefault="001D0FDA" w:rsidP="001D0FDA">
            <w:pPr>
              <w:pStyle w:val="Tabletext"/>
              <w:rPr>
                <w:b/>
              </w:rPr>
            </w:pPr>
            <w:r w:rsidRPr="00EB1471">
              <w:rPr>
                <w:b/>
              </w:rPr>
              <w:t>Study design</w:t>
            </w:r>
          </w:p>
        </w:tc>
        <w:tc>
          <w:tcPr>
            <w:tcW w:w="7967" w:type="dxa"/>
          </w:tcPr>
          <w:p w:rsidR="001D0FDA" w:rsidRPr="00EB1471" w:rsidRDefault="001D0FDA" w:rsidP="001D0FDA">
            <w:pPr>
              <w:pStyle w:val="Tabletext"/>
              <w:ind w:left="1418" w:hanging="1418"/>
              <w:rPr>
                <w:u w:val="single"/>
              </w:rPr>
            </w:pPr>
            <w:r w:rsidRPr="00EB1471">
              <w:rPr>
                <w:u w:val="single"/>
              </w:rPr>
              <w:t>Effectiveness</w:t>
            </w:r>
            <w:r w:rsidRPr="00EB1471">
              <w:tab/>
              <w:t>Randomised trials or systematic reviews of randomised trials. If there was no evidence obtainable from these study designs, then the search expanded to include nonrandomised or observational studies (cohort or case-control) and systematic reviews of these.</w:t>
            </w:r>
          </w:p>
          <w:p w:rsidR="001D0FDA" w:rsidRPr="00EB1471" w:rsidRDefault="001D0FDA" w:rsidP="001D0FDA">
            <w:pPr>
              <w:pStyle w:val="Tabletext"/>
              <w:ind w:left="1418" w:hanging="1418"/>
            </w:pPr>
            <w:r w:rsidRPr="00EB1471">
              <w:rPr>
                <w:u w:val="single"/>
              </w:rPr>
              <w:t>Safety</w:t>
            </w:r>
            <w:r w:rsidRPr="00EB1471">
              <w:tab/>
              <w:t>Randomised trials, large nonrandomised or observational studies (cohort, case-control, cross-sectional, or case series), or systematic reviews of randomised and/or nonrandomised/observational studies</w:t>
            </w:r>
          </w:p>
        </w:tc>
      </w:tr>
      <w:tr w:rsidR="001D0FDA" w:rsidRPr="00EB1471" w:rsidTr="006D01E8">
        <w:tc>
          <w:tcPr>
            <w:tcW w:w="1661" w:type="dxa"/>
          </w:tcPr>
          <w:p w:rsidR="001D0FDA" w:rsidRPr="00EB1471" w:rsidRDefault="001D0FDA" w:rsidP="001D0FDA">
            <w:pPr>
              <w:pStyle w:val="Tabletext"/>
              <w:rPr>
                <w:b/>
              </w:rPr>
            </w:pPr>
            <w:r w:rsidRPr="00EB1471">
              <w:rPr>
                <w:b/>
              </w:rPr>
              <w:t>Language</w:t>
            </w:r>
          </w:p>
        </w:tc>
        <w:tc>
          <w:tcPr>
            <w:tcW w:w="7967" w:type="dxa"/>
          </w:tcPr>
          <w:p w:rsidR="001D0FDA" w:rsidRPr="00EB1471" w:rsidRDefault="001D0FDA" w:rsidP="001D0FDA">
            <w:pPr>
              <w:pStyle w:val="Tabletext"/>
            </w:pPr>
            <w:r w:rsidRPr="00EB1471">
              <w:rPr>
                <w:rFonts w:cs="Arial Narrow"/>
              </w:rPr>
              <w:t xml:space="preserve">English only </w:t>
            </w:r>
          </w:p>
        </w:tc>
      </w:tr>
      <w:tr w:rsidR="001D0FDA" w:rsidRPr="00EB1471" w:rsidTr="006D01E8">
        <w:tc>
          <w:tcPr>
            <w:tcW w:w="9628" w:type="dxa"/>
            <w:gridSpan w:val="2"/>
          </w:tcPr>
          <w:p w:rsidR="001D0FDA" w:rsidRPr="00EB1471" w:rsidRDefault="001D0FDA" w:rsidP="001D0FDA">
            <w:pPr>
              <w:pStyle w:val="Tabletext"/>
              <w:rPr>
                <w:rFonts w:cs="Arial Narrow"/>
                <w:b/>
                <w:bCs/>
              </w:rPr>
            </w:pPr>
            <w:r w:rsidRPr="00EB1471">
              <w:rPr>
                <w:rFonts w:cs="Arial Narrow"/>
                <w:b/>
              </w:rPr>
              <w:t>Research question: What is the effectiveness and safety of monotherapy with a PAH medicine, compared to placebo/no treatment or another PAH medicine listed on the PBS, in patients with WHO FC I or II PAH?</w:t>
            </w:r>
          </w:p>
        </w:tc>
      </w:tr>
    </w:tbl>
    <w:p w:rsidR="006D01E8" w:rsidRPr="00EB1471" w:rsidRDefault="006D01E8" w:rsidP="006D01E8">
      <w:pPr>
        <w:pStyle w:val="Tablenote"/>
      </w:pPr>
      <w:r w:rsidRPr="00EB1471">
        <w:rPr>
          <w:vertAlign w:val="superscript"/>
        </w:rPr>
        <w:t>a</w:t>
      </w:r>
      <w:r w:rsidRPr="00EB1471">
        <w:t xml:space="preserve"> Including macitentan, ambrisentan, bosentan, sildenafil, tadalafil, iloprost, epoprostenol and riociguat</w:t>
      </w:r>
    </w:p>
    <w:p w:rsidR="006D01E8" w:rsidRPr="00EB1471" w:rsidRDefault="006D01E8" w:rsidP="006D01E8">
      <w:pPr>
        <w:pStyle w:val="Tablenote"/>
      </w:pPr>
      <w:r w:rsidRPr="00EB1471">
        <w:rPr>
          <w:vertAlign w:val="superscript"/>
        </w:rPr>
        <w:t>b</w:t>
      </w:r>
      <w:r w:rsidRPr="00EB1471">
        <w:t xml:space="preserve"> Representing a composite of death, PAH-related hospitalisation, lung transplantation, atrial septostomy, initiation of other PAH medicine(s), deterioration of functional class, and/or worsening of 6MWD. The definition the composite outcome differed between studies. </w:t>
      </w:r>
    </w:p>
    <w:p w:rsidR="001D0FDA" w:rsidRPr="00EB1471" w:rsidRDefault="001D0FDA" w:rsidP="001D0FDA">
      <w:pPr>
        <w:pStyle w:val="Tablenote"/>
      </w:pPr>
      <w:r w:rsidRPr="00EB1471">
        <w:t xml:space="preserve">6MWD = 6-minute </w:t>
      </w:r>
      <w:r w:rsidR="0082368E">
        <w:t>walk distance</w:t>
      </w:r>
      <w:r w:rsidRPr="00EB1471">
        <w:t>; FC = functional class; PAH = pulmonary arterial hypertension; PBS = Pharmaceutical Benefits Scheme; WHO = World Health Organization</w:t>
      </w:r>
    </w:p>
    <w:p w:rsidR="001D0FDA" w:rsidRPr="00EB1471" w:rsidRDefault="001D0FDA" w:rsidP="002002A6">
      <w:pPr>
        <w:pStyle w:val="Caption"/>
        <w:keepNext w:val="0"/>
        <w:ind w:left="1134" w:hanging="1134"/>
        <w:rPr>
          <w:i/>
        </w:rPr>
      </w:pPr>
      <w:bookmarkStart w:id="62" w:name="_Toc512855424"/>
      <w:r>
        <w:t>Table 4.</w:t>
      </w:r>
      <w:r w:rsidR="00AA722D">
        <w:rPr>
          <w:noProof/>
        </w:rPr>
        <w:t>20</w:t>
      </w:r>
      <w:r>
        <w:tab/>
      </w:r>
      <w:r w:rsidRPr="00EB1471">
        <w:t>Study selection criteria for systematic review of PAH medicines: research question 2</w:t>
      </w:r>
      <w:bookmarkEnd w:id="62"/>
    </w:p>
    <w:tbl>
      <w:tblPr>
        <w:tblStyle w:val="TableGrid"/>
        <w:tblW w:w="5000" w:type="pct"/>
        <w:tblLook w:val="04A0" w:firstRow="1" w:lastRow="0" w:firstColumn="1" w:lastColumn="0" w:noHBand="0" w:noVBand="1"/>
        <w:tblCaption w:val="Study selection criteria for systematic review of PAH medicines: research question 2"/>
      </w:tblPr>
      <w:tblGrid>
        <w:gridCol w:w="1682"/>
        <w:gridCol w:w="8070"/>
      </w:tblGrid>
      <w:tr w:rsidR="001D0FDA" w:rsidRPr="00EB1471" w:rsidTr="006D01E8">
        <w:trPr>
          <w:cnfStyle w:val="100000000000" w:firstRow="1" w:lastRow="0" w:firstColumn="0" w:lastColumn="0" w:oddVBand="0" w:evenVBand="0" w:oddHBand="0" w:evenHBand="0" w:firstRowFirstColumn="0" w:firstRowLastColumn="0" w:lastRowFirstColumn="0" w:lastRowLastColumn="0"/>
          <w:trHeight w:val="54"/>
        </w:trPr>
        <w:tc>
          <w:tcPr>
            <w:tcW w:w="1661" w:type="dxa"/>
            <w:shd w:val="clear" w:color="auto" w:fill="BFBFBF" w:themeFill="background1" w:themeFillShade="BF"/>
          </w:tcPr>
          <w:p w:rsidR="001D0FDA" w:rsidRPr="00EB1471" w:rsidRDefault="001D0FDA" w:rsidP="00D14599">
            <w:pPr>
              <w:pStyle w:val="Tabletext"/>
              <w:rPr>
                <w:b/>
              </w:rPr>
            </w:pPr>
            <w:r w:rsidRPr="00EB1471">
              <w:rPr>
                <w:b/>
              </w:rPr>
              <w:t>PICO component</w:t>
            </w:r>
          </w:p>
        </w:tc>
        <w:tc>
          <w:tcPr>
            <w:tcW w:w="7967" w:type="dxa"/>
            <w:shd w:val="clear" w:color="auto" w:fill="BFBFBF" w:themeFill="background1" w:themeFillShade="BF"/>
          </w:tcPr>
          <w:p w:rsidR="001D0FDA" w:rsidRPr="00EB1471" w:rsidRDefault="001D0FDA" w:rsidP="00D14599">
            <w:pPr>
              <w:pStyle w:val="Tabletext"/>
              <w:rPr>
                <w:b/>
              </w:rPr>
            </w:pPr>
            <w:r w:rsidRPr="00EB1471">
              <w:rPr>
                <w:b/>
              </w:rPr>
              <w:t>Description</w:t>
            </w:r>
          </w:p>
        </w:tc>
      </w:tr>
      <w:tr w:rsidR="001D0FDA" w:rsidRPr="00EB1471" w:rsidTr="006D01E8">
        <w:tc>
          <w:tcPr>
            <w:tcW w:w="1661" w:type="dxa"/>
          </w:tcPr>
          <w:p w:rsidR="001D0FDA" w:rsidRPr="00EB1471" w:rsidRDefault="001D0FDA" w:rsidP="00D14599">
            <w:pPr>
              <w:pStyle w:val="Tabletext"/>
              <w:rPr>
                <w:b/>
              </w:rPr>
            </w:pPr>
            <w:r w:rsidRPr="00EB1471">
              <w:rPr>
                <w:b/>
              </w:rPr>
              <w:t>Population</w:t>
            </w:r>
          </w:p>
        </w:tc>
        <w:tc>
          <w:tcPr>
            <w:tcW w:w="7967" w:type="dxa"/>
          </w:tcPr>
          <w:p w:rsidR="001D0FDA" w:rsidRPr="00EB1471" w:rsidRDefault="001D0FDA" w:rsidP="00D14599">
            <w:pPr>
              <w:pStyle w:val="Tabletext"/>
            </w:pPr>
            <w:r w:rsidRPr="00EB1471">
              <w:t xml:space="preserve">Patients with WHO FC III or IV PAH </w:t>
            </w:r>
          </w:p>
        </w:tc>
      </w:tr>
      <w:tr w:rsidR="001D0FDA" w:rsidRPr="00EB1471" w:rsidTr="006D01E8">
        <w:tc>
          <w:tcPr>
            <w:tcW w:w="1661" w:type="dxa"/>
          </w:tcPr>
          <w:p w:rsidR="001D0FDA" w:rsidRPr="00EB1471" w:rsidRDefault="001D0FDA" w:rsidP="00D14599">
            <w:pPr>
              <w:pStyle w:val="Tabletext"/>
              <w:rPr>
                <w:b/>
              </w:rPr>
            </w:pPr>
            <w:r w:rsidRPr="00EB1471">
              <w:rPr>
                <w:b/>
              </w:rPr>
              <w:t>Intervention</w:t>
            </w:r>
          </w:p>
        </w:tc>
        <w:tc>
          <w:tcPr>
            <w:tcW w:w="7967" w:type="dxa"/>
          </w:tcPr>
          <w:p w:rsidR="001D0FDA" w:rsidRPr="00EB1471" w:rsidRDefault="001D0FDA" w:rsidP="00D14599">
            <w:pPr>
              <w:pStyle w:val="Tabletext"/>
            </w:pPr>
            <w:r w:rsidRPr="00EB1471">
              <w:t>Monotherapy with a PAH medicine currently listed on the PBS</w:t>
            </w:r>
            <w:r w:rsidRPr="00EB1471">
              <w:rPr>
                <w:vertAlign w:val="superscript"/>
              </w:rPr>
              <w:t xml:space="preserve">a </w:t>
            </w:r>
          </w:p>
        </w:tc>
      </w:tr>
      <w:tr w:rsidR="001D0FDA" w:rsidRPr="00EB1471" w:rsidTr="006D01E8">
        <w:tc>
          <w:tcPr>
            <w:tcW w:w="1661" w:type="dxa"/>
          </w:tcPr>
          <w:p w:rsidR="001D0FDA" w:rsidRPr="00EB1471" w:rsidRDefault="001D0FDA" w:rsidP="00D14599">
            <w:pPr>
              <w:pStyle w:val="Tabletext"/>
              <w:rPr>
                <w:b/>
              </w:rPr>
            </w:pPr>
            <w:r w:rsidRPr="00EB1471">
              <w:rPr>
                <w:b/>
              </w:rPr>
              <w:t>Comparators</w:t>
            </w:r>
          </w:p>
        </w:tc>
        <w:tc>
          <w:tcPr>
            <w:tcW w:w="7967" w:type="dxa"/>
          </w:tcPr>
          <w:p w:rsidR="001D0FDA" w:rsidRPr="00EB1471" w:rsidRDefault="001D0FDA" w:rsidP="00D14599">
            <w:pPr>
              <w:pStyle w:val="Tabletext"/>
            </w:pPr>
            <w:r w:rsidRPr="00EB1471">
              <w:t>The main comparator previously accepted by the PBAC</w:t>
            </w:r>
          </w:p>
        </w:tc>
      </w:tr>
      <w:tr w:rsidR="001D0FDA" w:rsidRPr="00EB1471" w:rsidTr="006D01E8">
        <w:tc>
          <w:tcPr>
            <w:tcW w:w="1661" w:type="dxa"/>
          </w:tcPr>
          <w:p w:rsidR="001D0FDA" w:rsidRPr="00EB1471" w:rsidRDefault="001D0FDA" w:rsidP="00D14599">
            <w:pPr>
              <w:pStyle w:val="Tabletext"/>
              <w:rPr>
                <w:b/>
              </w:rPr>
            </w:pPr>
            <w:r w:rsidRPr="00EB1471">
              <w:rPr>
                <w:b/>
              </w:rPr>
              <w:t>Outcomes</w:t>
            </w:r>
          </w:p>
        </w:tc>
        <w:tc>
          <w:tcPr>
            <w:tcW w:w="7967" w:type="dxa"/>
          </w:tcPr>
          <w:p w:rsidR="001D0FDA" w:rsidRPr="00EB1471" w:rsidRDefault="001D0FDA" w:rsidP="00D14599">
            <w:pPr>
              <w:pStyle w:val="Tabletext"/>
            </w:pPr>
            <w:r w:rsidRPr="00EB1471">
              <w:rPr>
                <w:u w:val="single"/>
              </w:rPr>
              <w:t>Effectiveness</w:t>
            </w:r>
            <w:r w:rsidRPr="00EB1471">
              <w:t xml:space="preserve"> </w:t>
            </w:r>
            <w:r w:rsidRPr="00EB1471">
              <w:tab/>
              <w:t>Study-defined clinical worsening</w:t>
            </w:r>
            <w:r w:rsidRPr="00EB1471">
              <w:rPr>
                <w:vertAlign w:val="superscript"/>
              </w:rPr>
              <w:t>b</w:t>
            </w:r>
          </w:p>
          <w:p w:rsidR="001D0FDA" w:rsidRPr="00EB1471" w:rsidRDefault="001D0FDA" w:rsidP="00D14599">
            <w:pPr>
              <w:pStyle w:val="Tabletext"/>
            </w:pPr>
            <w:r w:rsidRPr="00EB1471">
              <w:tab/>
            </w:r>
            <w:r w:rsidRPr="00EB1471">
              <w:tab/>
              <w:t>Mortality</w:t>
            </w:r>
          </w:p>
          <w:p w:rsidR="001D0FDA" w:rsidRPr="00EB1471" w:rsidRDefault="001D0FDA" w:rsidP="00D14599">
            <w:pPr>
              <w:pStyle w:val="Tabletext"/>
            </w:pPr>
            <w:r w:rsidRPr="00EB1471">
              <w:tab/>
            </w:r>
            <w:r w:rsidRPr="00EB1471">
              <w:tab/>
              <w:t>Hospitalisation</w:t>
            </w:r>
          </w:p>
          <w:p w:rsidR="001D0FDA" w:rsidRPr="00EB1471" w:rsidRDefault="001D0FDA" w:rsidP="00D14599">
            <w:pPr>
              <w:pStyle w:val="Tabletext"/>
            </w:pPr>
            <w:r w:rsidRPr="00EB1471">
              <w:tab/>
            </w:r>
            <w:r w:rsidRPr="00EB1471">
              <w:tab/>
              <w:t>WHO FC</w:t>
            </w:r>
          </w:p>
          <w:p w:rsidR="001D0FDA" w:rsidRPr="00EB1471" w:rsidRDefault="001D0FDA" w:rsidP="00D14599">
            <w:pPr>
              <w:pStyle w:val="Tabletext"/>
            </w:pPr>
            <w:r w:rsidRPr="00EB1471">
              <w:tab/>
            </w:r>
            <w:r w:rsidRPr="00EB1471">
              <w:tab/>
              <w:t>6MWD</w:t>
            </w:r>
          </w:p>
          <w:p w:rsidR="001D0FDA" w:rsidRPr="00EB1471" w:rsidRDefault="001D0FDA" w:rsidP="00D14599">
            <w:pPr>
              <w:pStyle w:val="Tabletext"/>
            </w:pPr>
            <w:r w:rsidRPr="00EB1471">
              <w:tab/>
            </w:r>
            <w:r w:rsidRPr="00EB1471">
              <w:tab/>
              <w:t>Quality of life</w:t>
            </w:r>
          </w:p>
          <w:p w:rsidR="001D0FDA" w:rsidRPr="00EB1471" w:rsidRDefault="001D0FDA" w:rsidP="00D14599">
            <w:pPr>
              <w:pStyle w:val="Tabletext"/>
            </w:pPr>
            <w:r w:rsidRPr="00EB1471">
              <w:tab/>
            </w:r>
            <w:r w:rsidRPr="00EB1471">
              <w:tab/>
              <w:t>Lung transplant</w:t>
            </w:r>
          </w:p>
          <w:p w:rsidR="001D0FDA" w:rsidRPr="00EB1471" w:rsidRDefault="001D0FDA" w:rsidP="00D14599">
            <w:pPr>
              <w:pStyle w:val="Tabletext"/>
            </w:pPr>
            <w:r w:rsidRPr="00EB1471">
              <w:tab/>
            </w:r>
            <w:r w:rsidRPr="00EB1471">
              <w:tab/>
              <w:t>Atrial septostomy</w:t>
            </w:r>
          </w:p>
          <w:p w:rsidR="001D0FDA" w:rsidRPr="00EB1471" w:rsidRDefault="001D0FDA" w:rsidP="00D14599">
            <w:pPr>
              <w:pStyle w:val="Tabletext"/>
            </w:pPr>
            <w:r w:rsidRPr="00EB1471">
              <w:tab/>
            </w:r>
            <w:r w:rsidRPr="00EB1471">
              <w:tab/>
              <w:t>Initiation of other PAH medicine(s)</w:t>
            </w:r>
          </w:p>
          <w:p w:rsidR="001D0FDA" w:rsidRPr="00EB1471" w:rsidRDefault="001D0FDA" w:rsidP="00D14599">
            <w:pPr>
              <w:pStyle w:val="Tabletext"/>
              <w:ind w:left="1310" w:hanging="1310"/>
            </w:pPr>
            <w:r w:rsidRPr="00EB1471">
              <w:tab/>
            </w:r>
            <w:r w:rsidRPr="00EB1471">
              <w:tab/>
              <w:t>Haemodynamic parameters</w:t>
            </w:r>
          </w:p>
          <w:p w:rsidR="001D0FDA" w:rsidRPr="00EB1471" w:rsidRDefault="001D0FDA" w:rsidP="00D14599">
            <w:pPr>
              <w:pStyle w:val="Tabletext"/>
            </w:pPr>
            <w:r w:rsidRPr="00EB1471">
              <w:rPr>
                <w:u w:val="single"/>
              </w:rPr>
              <w:t>Safety</w:t>
            </w:r>
            <w:r w:rsidRPr="00EB1471">
              <w:tab/>
            </w:r>
            <w:r w:rsidRPr="00EB1471">
              <w:tab/>
              <w:t>Adverse events</w:t>
            </w:r>
          </w:p>
        </w:tc>
      </w:tr>
      <w:tr w:rsidR="001D0FDA" w:rsidRPr="00EB1471" w:rsidTr="006D01E8">
        <w:tc>
          <w:tcPr>
            <w:tcW w:w="1661" w:type="dxa"/>
          </w:tcPr>
          <w:p w:rsidR="001D0FDA" w:rsidRPr="00EB1471" w:rsidRDefault="001D0FDA" w:rsidP="00D14599">
            <w:pPr>
              <w:pStyle w:val="Tabletext"/>
              <w:rPr>
                <w:b/>
              </w:rPr>
            </w:pPr>
            <w:r w:rsidRPr="00EB1471">
              <w:rPr>
                <w:b/>
              </w:rPr>
              <w:lastRenderedPageBreak/>
              <w:t>Study design</w:t>
            </w:r>
          </w:p>
        </w:tc>
        <w:tc>
          <w:tcPr>
            <w:tcW w:w="7967" w:type="dxa"/>
          </w:tcPr>
          <w:p w:rsidR="001D0FDA" w:rsidRPr="00EB1471" w:rsidRDefault="001D0FDA" w:rsidP="00D14599">
            <w:pPr>
              <w:pStyle w:val="Tabletext"/>
              <w:ind w:left="1418" w:hanging="1418"/>
              <w:rPr>
                <w:u w:val="single"/>
              </w:rPr>
            </w:pPr>
            <w:r w:rsidRPr="00EB1471">
              <w:rPr>
                <w:u w:val="single"/>
              </w:rPr>
              <w:t>Effectiveness</w:t>
            </w:r>
            <w:r w:rsidRPr="00EB1471">
              <w:tab/>
              <w:t>Randomised trials or systematic reviews of randomised trials. If there was no evidence obtainable from these study designs and the previous evidence assessed by the PBAC was nonexperimental, then the search expanded to include nonrandomised or observational studies (cohort or case-control) and systematic reviews of these.</w:t>
            </w:r>
          </w:p>
          <w:p w:rsidR="001D0FDA" w:rsidRPr="00EB1471" w:rsidRDefault="001D0FDA" w:rsidP="00D14599">
            <w:pPr>
              <w:pStyle w:val="Tabletext"/>
              <w:ind w:left="1418" w:hanging="1418"/>
            </w:pPr>
            <w:r w:rsidRPr="00EB1471">
              <w:rPr>
                <w:u w:val="single"/>
              </w:rPr>
              <w:t>Safety</w:t>
            </w:r>
            <w:r w:rsidRPr="00EB1471">
              <w:tab/>
              <w:t>Randomised trials, large nonrandomised or observational studies (cohort, case-control, cross-sectional, or case series), or systematic reviews of randomised and/or nonrandomised/observational studies</w:t>
            </w:r>
          </w:p>
        </w:tc>
      </w:tr>
      <w:tr w:rsidR="001D0FDA" w:rsidRPr="00EB1471" w:rsidTr="006D01E8">
        <w:tc>
          <w:tcPr>
            <w:tcW w:w="1661" w:type="dxa"/>
          </w:tcPr>
          <w:p w:rsidR="001D0FDA" w:rsidRPr="00EB1471" w:rsidRDefault="001D0FDA" w:rsidP="00D14599">
            <w:pPr>
              <w:pStyle w:val="Tabletext"/>
              <w:rPr>
                <w:b/>
              </w:rPr>
            </w:pPr>
            <w:r w:rsidRPr="00EB1471">
              <w:rPr>
                <w:b/>
              </w:rPr>
              <w:t>Language</w:t>
            </w:r>
          </w:p>
        </w:tc>
        <w:tc>
          <w:tcPr>
            <w:tcW w:w="7967" w:type="dxa"/>
          </w:tcPr>
          <w:p w:rsidR="001D0FDA" w:rsidRPr="00EB1471" w:rsidRDefault="001D0FDA" w:rsidP="00D14599">
            <w:pPr>
              <w:pStyle w:val="Tabletext"/>
            </w:pPr>
            <w:r w:rsidRPr="00EB1471">
              <w:rPr>
                <w:rFonts w:cs="Arial Narrow"/>
              </w:rPr>
              <w:t>English only</w:t>
            </w:r>
          </w:p>
        </w:tc>
      </w:tr>
      <w:tr w:rsidR="001D0FDA" w:rsidRPr="00EB1471" w:rsidTr="006D01E8">
        <w:tc>
          <w:tcPr>
            <w:tcW w:w="9628" w:type="dxa"/>
            <w:gridSpan w:val="2"/>
          </w:tcPr>
          <w:p w:rsidR="001D0FDA" w:rsidRPr="00EB1471" w:rsidRDefault="001D0FDA" w:rsidP="00D14599">
            <w:pPr>
              <w:pStyle w:val="Tabletext"/>
              <w:rPr>
                <w:rFonts w:cs="Arial Narrow"/>
                <w:b/>
                <w:bCs/>
              </w:rPr>
            </w:pPr>
            <w:r w:rsidRPr="00EB1471">
              <w:rPr>
                <w:rFonts w:cs="Arial Narrow"/>
                <w:b/>
              </w:rPr>
              <w:t xml:space="preserve">Research question: What is the new evidence concerning the effectiveness and safety of monotherapy with a PAH medicine, compared to the main comparator accepted by the PBAC, in patients with WHO FC III or IV PAH, that has not previously been considered by the PBAC? </w:t>
            </w:r>
          </w:p>
        </w:tc>
      </w:tr>
    </w:tbl>
    <w:p w:rsidR="006D01E8" w:rsidRPr="00EB1471" w:rsidRDefault="006D01E8" w:rsidP="006D01E8">
      <w:pPr>
        <w:pStyle w:val="Tablenote"/>
      </w:pPr>
      <w:r w:rsidRPr="00EB1471">
        <w:rPr>
          <w:vertAlign w:val="superscript"/>
        </w:rPr>
        <w:t>a</w:t>
      </w:r>
      <w:r w:rsidRPr="00EB1471">
        <w:t xml:space="preserve"> Including macitentan, ambrisentan, bosentan, sildenafil, tadalafil, iloprost, epoprostenol and riociguat</w:t>
      </w:r>
    </w:p>
    <w:p w:rsidR="006D01E8" w:rsidRPr="00EB1471" w:rsidRDefault="006D01E8" w:rsidP="006D01E8">
      <w:pPr>
        <w:pStyle w:val="Tablenote"/>
      </w:pPr>
      <w:r w:rsidRPr="00EB1471">
        <w:rPr>
          <w:vertAlign w:val="superscript"/>
        </w:rPr>
        <w:t>b</w:t>
      </w:r>
      <w:r w:rsidRPr="00EB1471">
        <w:t xml:space="preserve"> Representing a composite of death, PAH-related hospitalisation, lung transplantation, atrial septostomy, initiation of other PAH medicine(s), deterioration of functional class, and/or worsening of 6MWD. The definition the composite outcome differed between studies.</w:t>
      </w:r>
    </w:p>
    <w:p w:rsidR="001D0FDA" w:rsidRPr="00EB1471" w:rsidRDefault="001D0FDA" w:rsidP="00D14599">
      <w:pPr>
        <w:pStyle w:val="Tablenote"/>
      </w:pPr>
      <w:r w:rsidRPr="00EB1471">
        <w:t xml:space="preserve">6MWD = 6-minute </w:t>
      </w:r>
      <w:r w:rsidR="0082368E">
        <w:t>walk distance</w:t>
      </w:r>
      <w:r w:rsidRPr="00EB1471">
        <w:t>; FC = functional class; PAH = pulmonary arterial hypertension; PBAC = Pharmaceutical Benefits Advisory Committee; PBS = Pharmaceutical Benefits Scheme; WHO = World Health Organization</w:t>
      </w:r>
    </w:p>
    <w:p w:rsidR="001D0FDA" w:rsidRPr="00EB1471" w:rsidRDefault="001D0FDA" w:rsidP="002002A6">
      <w:pPr>
        <w:pStyle w:val="Caption"/>
        <w:ind w:left="1134" w:hanging="1134"/>
      </w:pPr>
      <w:bookmarkStart w:id="63" w:name="_Ref508396773"/>
      <w:bookmarkStart w:id="64" w:name="_Ref508396772"/>
      <w:bookmarkStart w:id="65" w:name="_Toc512855425"/>
      <w:r>
        <w:t>Table 4.</w:t>
      </w:r>
      <w:r w:rsidR="00AA722D">
        <w:rPr>
          <w:noProof/>
        </w:rPr>
        <w:t>21</w:t>
      </w:r>
      <w:bookmarkEnd w:id="63"/>
      <w:r>
        <w:tab/>
      </w:r>
      <w:r w:rsidRPr="00EB1471">
        <w:t>Study selection criteria for systematic review of PAH medicines: research question 3</w:t>
      </w:r>
      <w:bookmarkEnd w:id="64"/>
      <w:bookmarkEnd w:id="65"/>
    </w:p>
    <w:tbl>
      <w:tblPr>
        <w:tblStyle w:val="TableGrid"/>
        <w:tblW w:w="5000" w:type="pct"/>
        <w:tblLook w:val="04A0" w:firstRow="1" w:lastRow="0" w:firstColumn="1" w:lastColumn="0" w:noHBand="0" w:noVBand="1"/>
        <w:tblCaption w:val="Study selection criteria for systematic review of PAH medicines: research question 3"/>
      </w:tblPr>
      <w:tblGrid>
        <w:gridCol w:w="1683"/>
        <w:gridCol w:w="8069"/>
      </w:tblGrid>
      <w:tr w:rsidR="001D0FDA" w:rsidRPr="00EB1471" w:rsidTr="006D01E8">
        <w:trPr>
          <w:cnfStyle w:val="100000000000" w:firstRow="1" w:lastRow="0" w:firstColumn="0" w:lastColumn="0" w:oddVBand="0" w:evenVBand="0" w:oddHBand="0" w:evenHBand="0" w:firstRowFirstColumn="0" w:firstRowLastColumn="0" w:lastRowFirstColumn="0" w:lastRowLastColumn="0"/>
          <w:trHeight w:val="54"/>
        </w:trPr>
        <w:tc>
          <w:tcPr>
            <w:tcW w:w="1662" w:type="dxa"/>
            <w:shd w:val="clear" w:color="auto" w:fill="BFBFBF" w:themeFill="background1" w:themeFillShade="BF"/>
          </w:tcPr>
          <w:p w:rsidR="001D0FDA" w:rsidRPr="00EB1471" w:rsidRDefault="001D0FDA" w:rsidP="001D0FDA">
            <w:pPr>
              <w:pStyle w:val="Tabletext"/>
              <w:rPr>
                <w:b/>
              </w:rPr>
            </w:pPr>
            <w:r w:rsidRPr="00EB1471">
              <w:rPr>
                <w:b/>
              </w:rPr>
              <w:t>PICO component</w:t>
            </w:r>
          </w:p>
        </w:tc>
        <w:tc>
          <w:tcPr>
            <w:tcW w:w="7966" w:type="dxa"/>
            <w:shd w:val="clear" w:color="auto" w:fill="BFBFBF" w:themeFill="background1" w:themeFillShade="BF"/>
          </w:tcPr>
          <w:p w:rsidR="001D0FDA" w:rsidRPr="00EB1471" w:rsidRDefault="001D0FDA" w:rsidP="001D0FDA">
            <w:pPr>
              <w:pStyle w:val="Tabletext"/>
              <w:rPr>
                <w:b/>
              </w:rPr>
            </w:pPr>
            <w:r w:rsidRPr="00EB1471">
              <w:rPr>
                <w:b/>
              </w:rPr>
              <w:t>Description</w:t>
            </w:r>
          </w:p>
        </w:tc>
      </w:tr>
      <w:tr w:rsidR="001D0FDA" w:rsidRPr="00EB1471" w:rsidTr="006D01E8">
        <w:tc>
          <w:tcPr>
            <w:tcW w:w="1662" w:type="dxa"/>
          </w:tcPr>
          <w:p w:rsidR="001D0FDA" w:rsidRPr="00EB1471" w:rsidRDefault="001D0FDA" w:rsidP="001D0FDA">
            <w:pPr>
              <w:pStyle w:val="Tabletext"/>
              <w:rPr>
                <w:b/>
              </w:rPr>
            </w:pPr>
            <w:r w:rsidRPr="00EB1471">
              <w:rPr>
                <w:b/>
              </w:rPr>
              <w:t>Population</w:t>
            </w:r>
          </w:p>
        </w:tc>
        <w:tc>
          <w:tcPr>
            <w:tcW w:w="7966" w:type="dxa"/>
          </w:tcPr>
          <w:p w:rsidR="001D0FDA" w:rsidRPr="00EB1471" w:rsidRDefault="001D0FDA" w:rsidP="001D0FDA">
            <w:pPr>
              <w:pStyle w:val="Tabletext"/>
            </w:pPr>
            <w:r w:rsidRPr="00EB1471">
              <w:t>Patients with PAH irrespective of disease severity or aetiology.</w:t>
            </w:r>
          </w:p>
          <w:p w:rsidR="001D0FDA" w:rsidRPr="00EB1471" w:rsidRDefault="001D0FDA" w:rsidP="001D0FDA">
            <w:pPr>
              <w:pStyle w:val="Tabletext"/>
            </w:pPr>
            <w:r w:rsidRPr="00EB1471">
              <w:t>Subgroups:</w:t>
            </w:r>
          </w:p>
          <w:p w:rsidR="001D0FDA" w:rsidRPr="00EB1471" w:rsidRDefault="001D0FDA" w:rsidP="001D0FDA">
            <w:pPr>
              <w:pStyle w:val="Tabletext"/>
              <w:numPr>
                <w:ilvl w:val="0"/>
                <w:numId w:val="14"/>
              </w:numPr>
              <w:autoSpaceDE/>
              <w:autoSpaceDN/>
              <w:adjustRightInd/>
              <w:ind w:left="458" w:hanging="284"/>
              <w:jc w:val="both"/>
            </w:pPr>
            <w:r w:rsidRPr="00EB1471">
              <w:t xml:space="preserve">with FC III or IV; or </w:t>
            </w:r>
          </w:p>
          <w:p w:rsidR="001D0FDA" w:rsidRPr="00EB1471" w:rsidRDefault="001D0FDA" w:rsidP="001D0FDA">
            <w:pPr>
              <w:pStyle w:val="Tabletext"/>
              <w:numPr>
                <w:ilvl w:val="0"/>
                <w:numId w:val="14"/>
              </w:numPr>
              <w:autoSpaceDE/>
              <w:autoSpaceDN/>
              <w:adjustRightInd/>
              <w:ind w:left="458" w:hanging="284"/>
              <w:jc w:val="both"/>
            </w:pPr>
            <w:r w:rsidRPr="00EB1471">
              <w:t>with different disease aetiologies</w:t>
            </w:r>
          </w:p>
        </w:tc>
      </w:tr>
      <w:tr w:rsidR="001D0FDA" w:rsidRPr="00EB1471" w:rsidTr="006D01E8">
        <w:tc>
          <w:tcPr>
            <w:tcW w:w="1662" w:type="dxa"/>
          </w:tcPr>
          <w:p w:rsidR="001D0FDA" w:rsidRPr="00EB1471" w:rsidRDefault="001D0FDA" w:rsidP="001D0FDA">
            <w:pPr>
              <w:pStyle w:val="Tabletext"/>
              <w:rPr>
                <w:b/>
              </w:rPr>
            </w:pPr>
            <w:r w:rsidRPr="00EB1471">
              <w:rPr>
                <w:b/>
              </w:rPr>
              <w:t>Interventions</w:t>
            </w:r>
          </w:p>
        </w:tc>
        <w:tc>
          <w:tcPr>
            <w:tcW w:w="7966" w:type="dxa"/>
          </w:tcPr>
          <w:p w:rsidR="001D0FDA" w:rsidRPr="00EB1471" w:rsidRDefault="001D0FDA" w:rsidP="001D0FDA">
            <w:pPr>
              <w:pStyle w:val="Tabletext"/>
            </w:pPr>
            <w:r w:rsidRPr="00EB1471">
              <w:t>Dual combination therapy involving any combination of an ERA, a PDE-5 inhibitor, a prostanoid, or a sGC stimulator currently listed on the PBS</w:t>
            </w:r>
            <w:r w:rsidRPr="00EB1471">
              <w:rPr>
                <w:vertAlign w:val="superscript"/>
              </w:rPr>
              <w:t>a</w:t>
            </w:r>
          </w:p>
        </w:tc>
      </w:tr>
      <w:tr w:rsidR="001D0FDA" w:rsidRPr="00EB1471" w:rsidTr="006D01E8">
        <w:tc>
          <w:tcPr>
            <w:tcW w:w="1662" w:type="dxa"/>
          </w:tcPr>
          <w:p w:rsidR="001D0FDA" w:rsidRPr="00EB1471" w:rsidRDefault="001D0FDA" w:rsidP="001D0FDA">
            <w:pPr>
              <w:pStyle w:val="Tabletext"/>
              <w:rPr>
                <w:b/>
              </w:rPr>
            </w:pPr>
            <w:r w:rsidRPr="00EB1471">
              <w:rPr>
                <w:b/>
              </w:rPr>
              <w:t>Comparator</w:t>
            </w:r>
          </w:p>
        </w:tc>
        <w:tc>
          <w:tcPr>
            <w:tcW w:w="7966" w:type="dxa"/>
          </w:tcPr>
          <w:p w:rsidR="001D0FDA" w:rsidRPr="00EB1471" w:rsidRDefault="001D0FDA" w:rsidP="001D0FDA">
            <w:pPr>
              <w:pStyle w:val="Tabletext"/>
            </w:pPr>
            <w:r w:rsidRPr="00EB1471">
              <w:t>Monotherapy with a PAH medicine currently listed on the PBS</w:t>
            </w:r>
            <w:r w:rsidRPr="00EB1471">
              <w:rPr>
                <w:vertAlign w:val="superscript"/>
              </w:rPr>
              <w:t>b</w:t>
            </w:r>
          </w:p>
        </w:tc>
      </w:tr>
      <w:tr w:rsidR="001D0FDA" w:rsidRPr="00EB1471" w:rsidTr="006D01E8">
        <w:tc>
          <w:tcPr>
            <w:tcW w:w="1662" w:type="dxa"/>
          </w:tcPr>
          <w:p w:rsidR="001D0FDA" w:rsidRPr="00EB1471" w:rsidRDefault="001D0FDA" w:rsidP="001D0FDA">
            <w:pPr>
              <w:pStyle w:val="Tabletext"/>
              <w:rPr>
                <w:b/>
              </w:rPr>
            </w:pPr>
            <w:r w:rsidRPr="00EB1471">
              <w:rPr>
                <w:b/>
              </w:rPr>
              <w:t>Outcomes</w:t>
            </w:r>
          </w:p>
        </w:tc>
        <w:tc>
          <w:tcPr>
            <w:tcW w:w="7966" w:type="dxa"/>
          </w:tcPr>
          <w:p w:rsidR="001D0FDA" w:rsidRPr="00EB1471" w:rsidRDefault="001D0FDA" w:rsidP="001D0FDA">
            <w:pPr>
              <w:pStyle w:val="Tabletext"/>
            </w:pPr>
            <w:r w:rsidRPr="00EB1471">
              <w:rPr>
                <w:u w:val="single"/>
              </w:rPr>
              <w:t>Effectiveness</w:t>
            </w:r>
            <w:r w:rsidRPr="00EB1471">
              <w:t xml:space="preserve"> </w:t>
            </w:r>
            <w:r w:rsidRPr="00EB1471">
              <w:tab/>
              <w:t>Study-defined clinical worsening</w:t>
            </w:r>
            <w:r w:rsidRPr="00EB1471">
              <w:rPr>
                <w:vertAlign w:val="superscript"/>
              </w:rPr>
              <w:t>c</w:t>
            </w:r>
          </w:p>
          <w:p w:rsidR="001D0FDA" w:rsidRPr="00EB1471" w:rsidRDefault="001D0FDA" w:rsidP="001D0FDA">
            <w:pPr>
              <w:pStyle w:val="Tabletext"/>
            </w:pPr>
            <w:r w:rsidRPr="00EB1471">
              <w:tab/>
            </w:r>
            <w:r w:rsidRPr="00EB1471">
              <w:tab/>
              <w:t>Mortality</w:t>
            </w:r>
          </w:p>
          <w:p w:rsidR="001D0FDA" w:rsidRPr="00EB1471" w:rsidRDefault="001D0FDA" w:rsidP="001D0FDA">
            <w:pPr>
              <w:pStyle w:val="Tabletext"/>
            </w:pPr>
            <w:r w:rsidRPr="00EB1471">
              <w:tab/>
            </w:r>
            <w:r w:rsidRPr="00EB1471">
              <w:tab/>
              <w:t>Hospitalisation</w:t>
            </w:r>
          </w:p>
          <w:p w:rsidR="001D0FDA" w:rsidRPr="00EB1471" w:rsidRDefault="001D0FDA" w:rsidP="001D0FDA">
            <w:pPr>
              <w:pStyle w:val="Tabletext"/>
            </w:pPr>
            <w:r w:rsidRPr="00EB1471">
              <w:tab/>
            </w:r>
            <w:r w:rsidRPr="00EB1471">
              <w:tab/>
              <w:t>WHO FC</w:t>
            </w:r>
          </w:p>
          <w:p w:rsidR="001D0FDA" w:rsidRPr="00EB1471" w:rsidRDefault="001D0FDA" w:rsidP="001D0FDA">
            <w:pPr>
              <w:pStyle w:val="Tabletext"/>
            </w:pPr>
            <w:r w:rsidRPr="00EB1471">
              <w:tab/>
            </w:r>
            <w:r w:rsidRPr="00EB1471">
              <w:tab/>
              <w:t>6MWD</w:t>
            </w:r>
          </w:p>
          <w:p w:rsidR="001D0FDA" w:rsidRPr="00EB1471" w:rsidRDefault="001D0FDA" w:rsidP="001D0FDA">
            <w:pPr>
              <w:pStyle w:val="Tabletext"/>
            </w:pPr>
            <w:r w:rsidRPr="00EB1471">
              <w:tab/>
            </w:r>
            <w:r w:rsidRPr="00EB1471">
              <w:tab/>
              <w:t>Quality of life</w:t>
            </w:r>
          </w:p>
          <w:p w:rsidR="001D0FDA" w:rsidRPr="00EB1471" w:rsidRDefault="001D0FDA" w:rsidP="001D0FDA">
            <w:pPr>
              <w:pStyle w:val="Tabletext"/>
            </w:pPr>
            <w:r w:rsidRPr="00EB1471">
              <w:tab/>
            </w:r>
            <w:r w:rsidRPr="00EB1471">
              <w:tab/>
              <w:t>Lung transplant</w:t>
            </w:r>
          </w:p>
          <w:p w:rsidR="001D0FDA" w:rsidRPr="00EB1471" w:rsidRDefault="001D0FDA" w:rsidP="001D0FDA">
            <w:pPr>
              <w:pStyle w:val="Tabletext"/>
            </w:pPr>
            <w:r w:rsidRPr="00EB1471">
              <w:tab/>
            </w:r>
            <w:r w:rsidRPr="00EB1471">
              <w:tab/>
              <w:t>Atrial septostomy</w:t>
            </w:r>
          </w:p>
          <w:p w:rsidR="001D0FDA" w:rsidRPr="00EB1471" w:rsidRDefault="001D0FDA" w:rsidP="001D0FDA">
            <w:pPr>
              <w:pStyle w:val="Tabletext"/>
            </w:pPr>
            <w:r w:rsidRPr="00EB1471">
              <w:tab/>
            </w:r>
            <w:r w:rsidRPr="00EB1471">
              <w:tab/>
              <w:t>Initiation of other PAH medicine(s)</w:t>
            </w:r>
          </w:p>
          <w:p w:rsidR="001D0FDA" w:rsidRPr="00EB1471" w:rsidRDefault="001D0FDA" w:rsidP="001D0FDA">
            <w:pPr>
              <w:pStyle w:val="Tabletext"/>
            </w:pPr>
            <w:r w:rsidRPr="00EB1471">
              <w:tab/>
            </w:r>
            <w:r w:rsidRPr="00EB1471">
              <w:tab/>
              <w:t>Haemodynamic parameters</w:t>
            </w:r>
          </w:p>
          <w:p w:rsidR="001D0FDA" w:rsidRPr="00EB1471" w:rsidRDefault="001D0FDA" w:rsidP="001D0FDA">
            <w:pPr>
              <w:pStyle w:val="Tabletext"/>
            </w:pPr>
            <w:r w:rsidRPr="00EB1471">
              <w:rPr>
                <w:u w:val="single"/>
              </w:rPr>
              <w:t>Safety</w:t>
            </w:r>
            <w:r w:rsidRPr="00EB1471">
              <w:tab/>
            </w:r>
            <w:r w:rsidRPr="00EB1471">
              <w:tab/>
              <w:t>Adverse events</w:t>
            </w:r>
          </w:p>
        </w:tc>
      </w:tr>
      <w:tr w:rsidR="001D0FDA" w:rsidRPr="00EB1471" w:rsidTr="006D01E8">
        <w:tc>
          <w:tcPr>
            <w:tcW w:w="1662" w:type="dxa"/>
          </w:tcPr>
          <w:p w:rsidR="001D0FDA" w:rsidRPr="00EB1471" w:rsidRDefault="001D0FDA" w:rsidP="001D0FDA">
            <w:pPr>
              <w:pStyle w:val="Tabletext"/>
              <w:rPr>
                <w:b/>
              </w:rPr>
            </w:pPr>
            <w:r w:rsidRPr="00EB1471">
              <w:rPr>
                <w:b/>
              </w:rPr>
              <w:t>Study design</w:t>
            </w:r>
          </w:p>
        </w:tc>
        <w:tc>
          <w:tcPr>
            <w:tcW w:w="7966" w:type="dxa"/>
          </w:tcPr>
          <w:p w:rsidR="001D0FDA" w:rsidRPr="00EB1471" w:rsidRDefault="001D0FDA" w:rsidP="001D0FDA">
            <w:pPr>
              <w:pStyle w:val="Tabletext"/>
              <w:ind w:left="1418" w:hanging="1418"/>
            </w:pPr>
            <w:r w:rsidRPr="00EB1471">
              <w:rPr>
                <w:u w:val="single"/>
              </w:rPr>
              <w:t>Effectiveness</w:t>
            </w:r>
            <w:r w:rsidRPr="00EB1471">
              <w:tab/>
              <w:t>Randomised trials or systematic reviews of randomised trials. If there was no evidence obtainable from these study designs, then the search expanded to include nonrandomised or observational studies (cohort or case-control) and systematic reviews of these.</w:t>
            </w:r>
          </w:p>
          <w:p w:rsidR="001D0FDA" w:rsidRPr="00EB1471" w:rsidRDefault="001D0FDA" w:rsidP="001D0FDA">
            <w:pPr>
              <w:pStyle w:val="Tabletext"/>
              <w:ind w:left="1418" w:hanging="1418"/>
            </w:pPr>
            <w:r w:rsidRPr="00EB1471">
              <w:rPr>
                <w:u w:val="single"/>
              </w:rPr>
              <w:t>Safety</w:t>
            </w:r>
            <w:r w:rsidRPr="00EB1471">
              <w:tab/>
              <w:t>Randomised trials, large nonrandomised or observational studies (cohort, case-control, cross-sectional, or case series), or systematic reviews of randomised and/or nonrandomised/observational studies</w:t>
            </w:r>
          </w:p>
        </w:tc>
      </w:tr>
      <w:tr w:rsidR="001D0FDA" w:rsidRPr="00EB1471" w:rsidTr="006D01E8">
        <w:tc>
          <w:tcPr>
            <w:tcW w:w="1662" w:type="dxa"/>
          </w:tcPr>
          <w:p w:rsidR="001D0FDA" w:rsidRPr="00EB1471" w:rsidRDefault="001D0FDA" w:rsidP="001D0FDA">
            <w:pPr>
              <w:pStyle w:val="Tabletext"/>
              <w:rPr>
                <w:b/>
              </w:rPr>
            </w:pPr>
            <w:r w:rsidRPr="00EB1471">
              <w:rPr>
                <w:b/>
              </w:rPr>
              <w:t>Language</w:t>
            </w:r>
          </w:p>
        </w:tc>
        <w:tc>
          <w:tcPr>
            <w:tcW w:w="7966" w:type="dxa"/>
          </w:tcPr>
          <w:p w:rsidR="001D0FDA" w:rsidRPr="00EB1471" w:rsidRDefault="001D0FDA" w:rsidP="001D0FDA">
            <w:pPr>
              <w:pStyle w:val="Tabletext"/>
            </w:pPr>
            <w:r w:rsidRPr="00EB1471">
              <w:rPr>
                <w:rFonts w:cs="Arial Narrow"/>
              </w:rPr>
              <w:t>English only</w:t>
            </w:r>
          </w:p>
        </w:tc>
      </w:tr>
      <w:tr w:rsidR="001D0FDA" w:rsidRPr="00EB1471" w:rsidTr="006D01E8">
        <w:tc>
          <w:tcPr>
            <w:tcW w:w="9628" w:type="dxa"/>
            <w:gridSpan w:val="2"/>
          </w:tcPr>
          <w:p w:rsidR="001D0FDA" w:rsidRPr="00EB1471" w:rsidRDefault="001D0FDA" w:rsidP="001D0FDA">
            <w:pPr>
              <w:pStyle w:val="Tabletext"/>
              <w:rPr>
                <w:rFonts w:cs="Arial Narrow"/>
                <w:b/>
                <w:bCs/>
              </w:rPr>
            </w:pPr>
            <w:r w:rsidRPr="00EB1471">
              <w:rPr>
                <w:rFonts w:cs="Arial Narrow"/>
                <w:b/>
              </w:rPr>
              <w:t>Research question: What is the effectiveness and safety of dual combination therapy involving any combination of an ERA, a PDE-5 inhibitor, a prostanoid, or a sGC stimulator, compared to monotherapy, in: i) PAH patients, irrespective of disease severity or aetiology; ii) PAH patients with FC III or IV; and iii) PAH patients with different disease aetiologies?</w:t>
            </w:r>
          </w:p>
        </w:tc>
      </w:tr>
    </w:tbl>
    <w:p w:rsidR="006D01E8" w:rsidRPr="00EB1471" w:rsidRDefault="006D01E8" w:rsidP="006D01E8">
      <w:pPr>
        <w:pStyle w:val="Tablenote"/>
      </w:pPr>
      <w:r w:rsidRPr="00EB1471">
        <w:rPr>
          <w:vertAlign w:val="superscript"/>
        </w:rPr>
        <w:t>a</w:t>
      </w:r>
      <w:r w:rsidRPr="00EB1471">
        <w:t xml:space="preserve"> ERA refers to macitentan, ambrisentan or bosentan. PDE-5 inhibitor refers to sildenafil or tadalafil. Prostanoid refers to iloprost or epoprostenol. sGC stimulator refers to riociguat </w:t>
      </w:r>
    </w:p>
    <w:p w:rsidR="006D01E8" w:rsidRPr="00EB1471" w:rsidRDefault="006D01E8" w:rsidP="006D01E8">
      <w:pPr>
        <w:pStyle w:val="Tablenote"/>
      </w:pPr>
      <w:r w:rsidRPr="00EB1471">
        <w:rPr>
          <w:vertAlign w:val="superscript"/>
        </w:rPr>
        <w:lastRenderedPageBreak/>
        <w:t>b</w:t>
      </w:r>
      <w:r w:rsidRPr="00EB1471">
        <w:t xml:space="preserve"> Including macitentan, ambrisentan, bosentan, sildenafil, tadalafil, iloprost, epoprostenol and riociguat</w:t>
      </w:r>
    </w:p>
    <w:p w:rsidR="006D01E8" w:rsidRPr="00EB1471" w:rsidRDefault="006D01E8" w:rsidP="006D01E8">
      <w:pPr>
        <w:pStyle w:val="Tablenote"/>
      </w:pPr>
      <w:r w:rsidRPr="00EB1471">
        <w:rPr>
          <w:vertAlign w:val="superscript"/>
        </w:rPr>
        <w:t>c</w:t>
      </w:r>
      <w:r w:rsidRPr="00EB1471">
        <w:t xml:space="preserve"> Representing a composite of death, PAH-related hospitalisation, lung transplantation, atrial septostomy, initiation of other PAH medicine(s), deterioration of functional class, and/or worsening of 6MWD. The definition the composite outcome differed between studies.</w:t>
      </w:r>
    </w:p>
    <w:p w:rsidR="001D0FDA" w:rsidRPr="00EB1471" w:rsidRDefault="001D0FDA" w:rsidP="001D0FDA">
      <w:pPr>
        <w:pStyle w:val="Tablenote"/>
      </w:pPr>
      <w:r w:rsidRPr="00EB1471">
        <w:t xml:space="preserve">6MWD = 6-minute </w:t>
      </w:r>
      <w:r w:rsidR="0082368E">
        <w:t>walk distance</w:t>
      </w:r>
      <w:r w:rsidRPr="00EB1471">
        <w:t>; ERA = endothelin receptor antagonist; FC = functional class; PAH = pulmonary arterial hypertension; PBS = Pharmaceutical Benefits Scheme; PDE-5 = phosphodiesterase type 5; sGC = soluble guanylate cyclase; WHO = World Health Organization</w:t>
      </w:r>
    </w:p>
    <w:p w:rsidR="001D0FDA" w:rsidRPr="00EB1471" w:rsidRDefault="001D0FDA" w:rsidP="002002A6">
      <w:pPr>
        <w:pStyle w:val="Caption"/>
        <w:ind w:left="1134" w:hanging="1134"/>
      </w:pPr>
      <w:bookmarkStart w:id="66" w:name="_Ref505948644"/>
      <w:bookmarkStart w:id="67" w:name="_Toc512855426"/>
      <w:r>
        <w:t>Table 4.</w:t>
      </w:r>
      <w:r w:rsidR="00AA722D">
        <w:rPr>
          <w:noProof/>
        </w:rPr>
        <w:t>22</w:t>
      </w:r>
      <w:bookmarkEnd w:id="66"/>
      <w:r>
        <w:tab/>
      </w:r>
      <w:r w:rsidRPr="00EB1471">
        <w:t>Study selection criteria for systematic review of PAH medicines: research question 4</w:t>
      </w:r>
      <w:bookmarkEnd w:id="67"/>
    </w:p>
    <w:tbl>
      <w:tblPr>
        <w:tblStyle w:val="TableGrid"/>
        <w:tblW w:w="5000" w:type="pct"/>
        <w:tblLook w:val="04A0" w:firstRow="1" w:lastRow="0" w:firstColumn="1" w:lastColumn="0" w:noHBand="0" w:noVBand="1"/>
        <w:tblCaption w:val="Study selection criteria for systematic review of PAH medicines: research question 4"/>
      </w:tblPr>
      <w:tblGrid>
        <w:gridCol w:w="1682"/>
        <w:gridCol w:w="8070"/>
      </w:tblGrid>
      <w:tr w:rsidR="001D0FDA" w:rsidRPr="00EB1471" w:rsidTr="006D01E8">
        <w:trPr>
          <w:cnfStyle w:val="100000000000" w:firstRow="1" w:lastRow="0" w:firstColumn="0" w:lastColumn="0" w:oddVBand="0" w:evenVBand="0" w:oddHBand="0" w:evenHBand="0" w:firstRowFirstColumn="0" w:firstRowLastColumn="0" w:lastRowFirstColumn="0" w:lastRowLastColumn="0"/>
          <w:trHeight w:val="54"/>
        </w:trPr>
        <w:tc>
          <w:tcPr>
            <w:tcW w:w="1661" w:type="dxa"/>
            <w:shd w:val="clear" w:color="auto" w:fill="BFBFBF" w:themeFill="background1" w:themeFillShade="BF"/>
          </w:tcPr>
          <w:p w:rsidR="001D0FDA" w:rsidRPr="00EB1471" w:rsidRDefault="001D0FDA" w:rsidP="00D14599">
            <w:pPr>
              <w:pStyle w:val="Tabletext"/>
              <w:keepLines/>
              <w:rPr>
                <w:b/>
              </w:rPr>
            </w:pPr>
            <w:r w:rsidRPr="00EB1471">
              <w:rPr>
                <w:b/>
              </w:rPr>
              <w:t>PICO component</w:t>
            </w:r>
          </w:p>
        </w:tc>
        <w:tc>
          <w:tcPr>
            <w:tcW w:w="7967" w:type="dxa"/>
            <w:shd w:val="clear" w:color="auto" w:fill="BFBFBF" w:themeFill="background1" w:themeFillShade="BF"/>
          </w:tcPr>
          <w:p w:rsidR="001D0FDA" w:rsidRPr="00EB1471" w:rsidRDefault="001D0FDA" w:rsidP="00D14599">
            <w:pPr>
              <w:pStyle w:val="Tabletext"/>
              <w:keepLines/>
              <w:rPr>
                <w:b/>
              </w:rPr>
            </w:pPr>
            <w:r w:rsidRPr="00EB1471">
              <w:rPr>
                <w:b/>
              </w:rPr>
              <w:t>Description</w:t>
            </w:r>
          </w:p>
        </w:tc>
      </w:tr>
      <w:tr w:rsidR="001D0FDA" w:rsidRPr="00EB1471" w:rsidTr="006D01E8">
        <w:tc>
          <w:tcPr>
            <w:tcW w:w="1661" w:type="dxa"/>
          </w:tcPr>
          <w:p w:rsidR="001D0FDA" w:rsidRPr="00EB1471" w:rsidRDefault="001D0FDA" w:rsidP="00D14599">
            <w:pPr>
              <w:pStyle w:val="Tabletext"/>
              <w:keepLines/>
              <w:rPr>
                <w:b/>
              </w:rPr>
            </w:pPr>
            <w:r w:rsidRPr="00EB1471">
              <w:rPr>
                <w:b/>
              </w:rPr>
              <w:t>Population</w:t>
            </w:r>
          </w:p>
        </w:tc>
        <w:tc>
          <w:tcPr>
            <w:tcW w:w="7967" w:type="dxa"/>
          </w:tcPr>
          <w:p w:rsidR="001D0FDA" w:rsidRPr="00EB1471" w:rsidRDefault="001D0FDA" w:rsidP="00D14599">
            <w:pPr>
              <w:pStyle w:val="Tabletext"/>
              <w:keepLines/>
            </w:pPr>
            <w:r w:rsidRPr="00EB1471">
              <w:t>Patients with PAH irrespective of disease severity or aetiology.</w:t>
            </w:r>
          </w:p>
          <w:p w:rsidR="001D0FDA" w:rsidRPr="00EB1471" w:rsidRDefault="001D0FDA" w:rsidP="00D14599">
            <w:pPr>
              <w:pStyle w:val="Tabletext"/>
              <w:keepLines/>
            </w:pPr>
            <w:r w:rsidRPr="00EB1471">
              <w:t>Subgroups:</w:t>
            </w:r>
          </w:p>
          <w:p w:rsidR="001D0FDA" w:rsidRPr="00EB1471" w:rsidRDefault="001D0FDA" w:rsidP="00D14599">
            <w:pPr>
              <w:pStyle w:val="Tabletext"/>
              <w:keepLines/>
              <w:numPr>
                <w:ilvl w:val="0"/>
                <w:numId w:val="13"/>
              </w:numPr>
              <w:autoSpaceDE/>
              <w:autoSpaceDN/>
              <w:adjustRightInd/>
              <w:ind w:left="458" w:hanging="284"/>
              <w:jc w:val="both"/>
            </w:pPr>
            <w:r w:rsidRPr="00EB1471">
              <w:t xml:space="preserve">with FC III or IV; or </w:t>
            </w:r>
          </w:p>
          <w:p w:rsidR="001D0FDA" w:rsidRPr="00EB1471" w:rsidRDefault="001D0FDA" w:rsidP="00D14599">
            <w:pPr>
              <w:pStyle w:val="Tabletext"/>
              <w:keepLines/>
              <w:numPr>
                <w:ilvl w:val="0"/>
                <w:numId w:val="13"/>
              </w:numPr>
              <w:autoSpaceDE/>
              <w:autoSpaceDN/>
              <w:adjustRightInd/>
              <w:ind w:left="458" w:hanging="284"/>
              <w:jc w:val="both"/>
            </w:pPr>
            <w:r w:rsidRPr="00EB1471">
              <w:t>with different disease aetiologies</w:t>
            </w:r>
          </w:p>
        </w:tc>
      </w:tr>
      <w:tr w:rsidR="001D0FDA" w:rsidRPr="00EB1471" w:rsidTr="006D01E8">
        <w:tc>
          <w:tcPr>
            <w:tcW w:w="1661" w:type="dxa"/>
          </w:tcPr>
          <w:p w:rsidR="001D0FDA" w:rsidRPr="00EB1471" w:rsidRDefault="001D0FDA" w:rsidP="00D14599">
            <w:pPr>
              <w:pStyle w:val="Tabletext"/>
              <w:keepLines/>
              <w:rPr>
                <w:b/>
              </w:rPr>
            </w:pPr>
            <w:r w:rsidRPr="00EB1471">
              <w:rPr>
                <w:b/>
              </w:rPr>
              <w:t>Intervention</w:t>
            </w:r>
          </w:p>
        </w:tc>
        <w:tc>
          <w:tcPr>
            <w:tcW w:w="7967" w:type="dxa"/>
          </w:tcPr>
          <w:p w:rsidR="001D0FDA" w:rsidRPr="00EB1471" w:rsidRDefault="001D0FDA" w:rsidP="00D14599">
            <w:pPr>
              <w:pStyle w:val="Tabletext"/>
              <w:keepLines/>
            </w:pPr>
            <w:r w:rsidRPr="00EB1471">
              <w:t>Triple combination therapy involving any combination of an ERA, a PDE-5 inhibitor, a prostanoid, or a sGC stimulator currently listed on the PBS</w:t>
            </w:r>
            <w:r w:rsidRPr="00EB1471">
              <w:rPr>
                <w:vertAlign w:val="superscript"/>
              </w:rPr>
              <w:t>a</w:t>
            </w:r>
          </w:p>
        </w:tc>
      </w:tr>
      <w:tr w:rsidR="001D0FDA" w:rsidRPr="00EB1471" w:rsidTr="006D01E8">
        <w:tc>
          <w:tcPr>
            <w:tcW w:w="1661" w:type="dxa"/>
          </w:tcPr>
          <w:p w:rsidR="001D0FDA" w:rsidRPr="00EB1471" w:rsidRDefault="001D0FDA" w:rsidP="00D14599">
            <w:pPr>
              <w:pStyle w:val="Tabletext"/>
              <w:keepLines/>
              <w:rPr>
                <w:b/>
              </w:rPr>
            </w:pPr>
            <w:r w:rsidRPr="00EB1471">
              <w:rPr>
                <w:b/>
              </w:rPr>
              <w:t>Comparator</w:t>
            </w:r>
          </w:p>
        </w:tc>
        <w:tc>
          <w:tcPr>
            <w:tcW w:w="7967" w:type="dxa"/>
          </w:tcPr>
          <w:p w:rsidR="001D0FDA" w:rsidRPr="00EB1471" w:rsidRDefault="001D0FDA" w:rsidP="00D14599">
            <w:pPr>
              <w:pStyle w:val="Tabletext"/>
              <w:keepLines/>
            </w:pPr>
            <w:r w:rsidRPr="00EB1471">
              <w:t>Dual combination therapy involving any combination of an ERA, a PDE-5 inhibitor, a prostanoid, or a sGC stimulator currently listed on the PBS</w:t>
            </w:r>
            <w:r w:rsidRPr="00EB1471">
              <w:rPr>
                <w:vertAlign w:val="superscript"/>
              </w:rPr>
              <w:t>a</w:t>
            </w:r>
          </w:p>
        </w:tc>
      </w:tr>
      <w:tr w:rsidR="001D0FDA" w:rsidRPr="00EB1471" w:rsidTr="006D01E8">
        <w:tc>
          <w:tcPr>
            <w:tcW w:w="1661" w:type="dxa"/>
          </w:tcPr>
          <w:p w:rsidR="001D0FDA" w:rsidRPr="00EB1471" w:rsidRDefault="001D0FDA" w:rsidP="00D14599">
            <w:pPr>
              <w:pStyle w:val="Tabletext"/>
              <w:keepLines/>
              <w:rPr>
                <w:b/>
              </w:rPr>
            </w:pPr>
            <w:r w:rsidRPr="00EB1471">
              <w:rPr>
                <w:b/>
              </w:rPr>
              <w:t>Outcomes</w:t>
            </w:r>
          </w:p>
        </w:tc>
        <w:tc>
          <w:tcPr>
            <w:tcW w:w="7967" w:type="dxa"/>
          </w:tcPr>
          <w:p w:rsidR="001D0FDA" w:rsidRPr="00EB1471" w:rsidRDefault="001D0FDA" w:rsidP="00D14599">
            <w:pPr>
              <w:pStyle w:val="Tabletext"/>
              <w:keepLines/>
            </w:pPr>
            <w:r w:rsidRPr="00EB1471">
              <w:rPr>
                <w:u w:val="single"/>
              </w:rPr>
              <w:t>Effectiveness</w:t>
            </w:r>
            <w:r w:rsidRPr="00EB1471">
              <w:t xml:space="preserve"> </w:t>
            </w:r>
            <w:r w:rsidRPr="00EB1471">
              <w:tab/>
              <w:t>Study-defined clinical worsening</w:t>
            </w:r>
            <w:r w:rsidRPr="00EB1471">
              <w:rPr>
                <w:vertAlign w:val="superscript"/>
              </w:rPr>
              <w:t>b</w:t>
            </w:r>
          </w:p>
          <w:p w:rsidR="001D0FDA" w:rsidRPr="00EB1471" w:rsidRDefault="001D0FDA" w:rsidP="00D14599">
            <w:pPr>
              <w:pStyle w:val="Tabletext"/>
              <w:keepLines/>
            </w:pPr>
            <w:r w:rsidRPr="00EB1471">
              <w:tab/>
            </w:r>
            <w:r w:rsidRPr="00EB1471">
              <w:tab/>
              <w:t>Mortality</w:t>
            </w:r>
          </w:p>
          <w:p w:rsidR="001D0FDA" w:rsidRPr="00EB1471" w:rsidRDefault="001D0FDA" w:rsidP="00D14599">
            <w:pPr>
              <w:pStyle w:val="Tabletext"/>
              <w:keepLines/>
            </w:pPr>
            <w:r w:rsidRPr="00EB1471">
              <w:tab/>
            </w:r>
            <w:r w:rsidRPr="00EB1471">
              <w:tab/>
              <w:t>Hospitalisation</w:t>
            </w:r>
          </w:p>
          <w:p w:rsidR="001D0FDA" w:rsidRPr="00EB1471" w:rsidRDefault="001D0FDA" w:rsidP="00D14599">
            <w:pPr>
              <w:pStyle w:val="Tabletext"/>
              <w:keepLines/>
            </w:pPr>
            <w:r w:rsidRPr="00EB1471">
              <w:tab/>
            </w:r>
            <w:r w:rsidRPr="00EB1471">
              <w:tab/>
              <w:t>WHO FC</w:t>
            </w:r>
          </w:p>
          <w:p w:rsidR="001D0FDA" w:rsidRPr="00EB1471" w:rsidRDefault="001D0FDA" w:rsidP="00D14599">
            <w:pPr>
              <w:pStyle w:val="Tabletext"/>
              <w:keepLines/>
            </w:pPr>
            <w:r w:rsidRPr="00EB1471">
              <w:tab/>
            </w:r>
            <w:r w:rsidRPr="00EB1471">
              <w:tab/>
              <w:t>6MWD</w:t>
            </w:r>
          </w:p>
          <w:p w:rsidR="001D0FDA" w:rsidRPr="00EB1471" w:rsidRDefault="001D0FDA" w:rsidP="00D14599">
            <w:pPr>
              <w:pStyle w:val="Tabletext"/>
              <w:keepLines/>
            </w:pPr>
            <w:r w:rsidRPr="00EB1471">
              <w:tab/>
            </w:r>
            <w:r w:rsidRPr="00EB1471">
              <w:tab/>
              <w:t>Quality of life</w:t>
            </w:r>
          </w:p>
          <w:p w:rsidR="001D0FDA" w:rsidRPr="00EB1471" w:rsidRDefault="001D0FDA" w:rsidP="00D14599">
            <w:pPr>
              <w:pStyle w:val="Tabletext"/>
              <w:keepLines/>
            </w:pPr>
            <w:r w:rsidRPr="00EB1471">
              <w:tab/>
            </w:r>
            <w:r w:rsidRPr="00EB1471">
              <w:tab/>
              <w:t>Lung transplant</w:t>
            </w:r>
          </w:p>
          <w:p w:rsidR="001D0FDA" w:rsidRPr="00EB1471" w:rsidRDefault="001D0FDA" w:rsidP="00D14599">
            <w:pPr>
              <w:pStyle w:val="Tabletext"/>
              <w:keepLines/>
            </w:pPr>
            <w:r w:rsidRPr="00EB1471">
              <w:tab/>
            </w:r>
            <w:r w:rsidRPr="00EB1471">
              <w:tab/>
              <w:t>Atrial septostomy</w:t>
            </w:r>
          </w:p>
          <w:p w:rsidR="001D0FDA" w:rsidRPr="00EB1471" w:rsidRDefault="001D0FDA" w:rsidP="00D14599">
            <w:pPr>
              <w:pStyle w:val="Tabletext"/>
              <w:keepLines/>
            </w:pPr>
            <w:r w:rsidRPr="00EB1471">
              <w:tab/>
            </w:r>
            <w:r w:rsidRPr="00EB1471">
              <w:tab/>
              <w:t>Initiation of other PAH medicine(s)</w:t>
            </w:r>
          </w:p>
          <w:p w:rsidR="001D0FDA" w:rsidRPr="00EB1471" w:rsidRDefault="001D0FDA" w:rsidP="00D14599">
            <w:pPr>
              <w:pStyle w:val="Tabletext"/>
              <w:keepLines/>
              <w:ind w:left="1310" w:hanging="1310"/>
            </w:pPr>
            <w:r w:rsidRPr="00EB1471">
              <w:tab/>
            </w:r>
            <w:r w:rsidRPr="00EB1471">
              <w:tab/>
              <w:t>Haemodynamic parameters</w:t>
            </w:r>
          </w:p>
          <w:p w:rsidR="001D0FDA" w:rsidRPr="00EB1471" w:rsidRDefault="001D0FDA" w:rsidP="00D14599">
            <w:pPr>
              <w:pStyle w:val="Tabletext"/>
              <w:keepLines/>
            </w:pPr>
            <w:r w:rsidRPr="00EB1471">
              <w:rPr>
                <w:u w:val="single"/>
              </w:rPr>
              <w:t>Safety</w:t>
            </w:r>
            <w:r w:rsidRPr="00EB1471">
              <w:tab/>
            </w:r>
            <w:r w:rsidRPr="00EB1471">
              <w:tab/>
              <w:t>Adverse events</w:t>
            </w:r>
          </w:p>
        </w:tc>
      </w:tr>
      <w:tr w:rsidR="001D0FDA" w:rsidRPr="00EB1471" w:rsidTr="006D01E8">
        <w:tc>
          <w:tcPr>
            <w:tcW w:w="1661" w:type="dxa"/>
          </w:tcPr>
          <w:p w:rsidR="001D0FDA" w:rsidRPr="00EB1471" w:rsidRDefault="001D0FDA" w:rsidP="00D14599">
            <w:pPr>
              <w:pStyle w:val="Tabletext"/>
              <w:keepLines/>
              <w:rPr>
                <w:b/>
              </w:rPr>
            </w:pPr>
            <w:r w:rsidRPr="00EB1471">
              <w:rPr>
                <w:b/>
              </w:rPr>
              <w:t>Study design</w:t>
            </w:r>
          </w:p>
        </w:tc>
        <w:tc>
          <w:tcPr>
            <w:tcW w:w="7967" w:type="dxa"/>
          </w:tcPr>
          <w:p w:rsidR="001D0FDA" w:rsidRPr="00EB1471" w:rsidRDefault="001D0FDA" w:rsidP="00D14599">
            <w:pPr>
              <w:pStyle w:val="Tabletext"/>
              <w:keepLines/>
              <w:ind w:left="1418" w:hanging="1418"/>
              <w:rPr>
                <w:u w:val="single"/>
              </w:rPr>
            </w:pPr>
            <w:r w:rsidRPr="00EB1471">
              <w:rPr>
                <w:u w:val="single"/>
              </w:rPr>
              <w:t>Effectiveness</w:t>
            </w:r>
            <w:r w:rsidRPr="00EB1471">
              <w:tab/>
              <w:t>Randomised trials or systematic reviews of randomised trials. If there was no evidence obtainable from these study designs, then the search expanded to include nonrandomised or observational studies (cohort or case-control) and systematic reviews of these.</w:t>
            </w:r>
          </w:p>
          <w:p w:rsidR="001D0FDA" w:rsidRPr="00EB1471" w:rsidRDefault="001D0FDA" w:rsidP="00D14599">
            <w:pPr>
              <w:pStyle w:val="Tabletext"/>
              <w:keepLines/>
              <w:ind w:left="1418" w:hanging="1418"/>
            </w:pPr>
            <w:r w:rsidRPr="00EB1471">
              <w:rPr>
                <w:u w:val="single"/>
              </w:rPr>
              <w:t>Safety</w:t>
            </w:r>
            <w:r w:rsidRPr="00EB1471">
              <w:tab/>
              <w:t>Randomised trials, large nonrandomised or observational studies (cohort, case-control, cross-sectional, or case series), or systematic reviews of randomised and/or nonrandomised/observational studies</w:t>
            </w:r>
          </w:p>
        </w:tc>
      </w:tr>
      <w:tr w:rsidR="001D0FDA" w:rsidRPr="00EB1471" w:rsidTr="006D01E8">
        <w:tc>
          <w:tcPr>
            <w:tcW w:w="1661" w:type="dxa"/>
          </w:tcPr>
          <w:p w:rsidR="001D0FDA" w:rsidRPr="00EB1471" w:rsidRDefault="001D0FDA" w:rsidP="00D14599">
            <w:pPr>
              <w:pStyle w:val="Tabletext"/>
              <w:keepLines/>
              <w:rPr>
                <w:b/>
              </w:rPr>
            </w:pPr>
            <w:r w:rsidRPr="00EB1471">
              <w:rPr>
                <w:b/>
              </w:rPr>
              <w:t>Language</w:t>
            </w:r>
          </w:p>
        </w:tc>
        <w:tc>
          <w:tcPr>
            <w:tcW w:w="7967" w:type="dxa"/>
          </w:tcPr>
          <w:p w:rsidR="001D0FDA" w:rsidRPr="00EB1471" w:rsidRDefault="001D0FDA" w:rsidP="00D14599">
            <w:pPr>
              <w:pStyle w:val="Tabletext"/>
              <w:keepLines/>
            </w:pPr>
            <w:r w:rsidRPr="00EB1471">
              <w:rPr>
                <w:rFonts w:cs="Arial Narrow"/>
              </w:rPr>
              <w:t>English only</w:t>
            </w:r>
          </w:p>
        </w:tc>
      </w:tr>
      <w:tr w:rsidR="001D0FDA" w:rsidRPr="00EB1471" w:rsidTr="006D01E8">
        <w:tc>
          <w:tcPr>
            <w:tcW w:w="9628" w:type="dxa"/>
            <w:gridSpan w:val="2"/>
          </w:tcPr>
          <w:p w:rsidR="001D0FDA" w:rsidRPr="00EB1471" w:rsidRDefault="001D0FDA" w:rsidP="00D14599">
            <w:pPr>
              <w:pStyle w:val="Tabletext"/>
              <w:keepLines/>
              <w:rPr>
                <w:rFonts w:cs="Arial Narrow"/>
                <w:b/>
                <w:bCs/>
              </w:rPr>
            </w:pPr>
            <w:r w:rsidRPr="00EB1471">
              <w:rPr>
                <w:rFonts w:cs="Arial Narrow"/>
                <w:b/>
              </w:rPr>
              <w:t>Research question: What is the efficacy and safety of triple combination therapy involving any combination of an ERA, a PDE-5 inhibitor, a prostanoid, or a sGC stimulator, compared to dual combination therapy, in: i) PAH patients, irrespective of disease severity or aetiology; ii) PAH patients with FC III or IV; and iii) PAH patients with different disease aetiologies?</w:t>
            </w:r>
          </w:p>
        </w:tc>
      </w:tr>
    </w:tbl>
    <w:p w:rsidR="006D01E8" w:rsidRPr="00BE3517" w:rsidRDefault="006D01E8" w:rsidP="006D01E8">
      <w:pPr>
        <w:pStyle w:val="Tablenote"/>
      </w:pPr>
      <w:r w:rsidRPr="00BE3517">
        <w:rPr>
          <w:vertAlign w:val="superscript"/>
        </w:rPr>
        <w:t>a</w:t>
      </w:r>
      <w:r w:rsidRPr="00BE3517">
        <w:t xml:space="preserve"> ERA refers to macitentan, ambrisentan or bosentan. PDE-5 inhibitor refers to sildenafil or tadalafil. Prostanoid refers to iloprost or epoprostenol. sGC stimulator refers to riociguat </w:t>
      </w:r>
    </w:p>
    <w:p w:rsidR="006D01E8" w:rsidRPr="00BE3517" w:rsidRDefault="006D01E8" w:rsidP="006D01E8">
      <w:pPr>
        <w:pStyle w:val="Tablenote"/>
      </w:pPr>
      <w:r w:rsidRPr="00BE3517">
        <w:rPr>
          <w:vertAlign w:val="superscript"/>
        </w:rPr>
        <w:t>b</w:t>
      </w:r>
      <w:r w:rsidRPr="00BE3517">
        <w:t xml:space="preserve"> Representing a composite of death, PAH-related hospitalisation, lung transplantation, atrial septostomy, initiation of other PAH medicine(s), deterioration of functional class, and/or worsening of 6MWD. The definition the composite outcome differed between studies.</w:t>
      </w:r>
    </w:p>
    <w:p w:rsidR="001D0FDA" w:rsidRPr="00BE3517" w:rsidRDefault="001D0FDA" w:rsidP="00BE3517">
      <w:pPr>
        <w:pStyle w:val="Tablenote"/>
      </w:pPr>
      <w:r w:rsidRPr="00BE3517">
        <w:t xml:space="preserve">6MWD = 6-minute </w:t>
      </w:r>
      <w:r w:rsidR="0082368E">
        <w:t>walk distance</w:t>
      </w:r>
      <w:r w:rsidRPr="00BE3517">
        <w:t>; ERA = endothelin receptor antagonist; FC = functional class; PAH = pulmonary arterial hypertension; PBS = Pharmaceutical Benefits Scheme; PDE-5 = phosphodiesterase type 5; sGC = soluble guanylate cyclase; WHO = World Health Organization</w:t>
      </w:r>
    </w:p>
    <w:p w:rsidR="001D0FDA" w:rsidRPr="00EB1471" w:rsidRDefault="001D0FDA" w:rsidP="00480FDF">
      <w:pPr>
        <w:pStyle w:val="Heading4"/>
        <w:numPr>
          <w:ilvl w:val="3"/>
          <w:numId w:val="45"/>
        </w:numPr>
      </w:pPr>
      <w:r w:rsidRPr="00EB1471">
        <w:t>4.3.</w:t>
      </w:r>
      <w:r>
        <w:t>1</w:t>
      </w:r>
      <w:r w:rsidRPr="00EB1471">
        <w:t>.2</w:t>
      </w:r>
      <w:r w:rsidRPr="00EB1471">
        <w:tab/>
        <w:t>Literature sources and search strategies</w:t>
      </w:r>
    </w:p>
    <w:p w:rsidR="001D0FDA" w:rsidRPr="00EB1471" w:rsidRDefault="001D0FDA" w:rsidP="001D0FDA">
      <w:r w:rsidRPr="00EB1471">
        <w:t xml:space="preserve">The peer reviewed literature was searched for studies which investigated the effectiveness and/or safety of the medicines currently listed on the PBS for the treatment of PAH. </w:t>
      </w:r>
      <w:r w:rsidR="0018092D" w:rsidRPr="00775ABB">
        <w:t xml:space="preserve">No restriction </w:t>
      </w:r>
      <w:r w:rsidR="0018092D">
        <w:t>was</w:t>
      </w:r>
      <w:r w:rsidR="0018092D" w:rsidRPr="00775ABB">
        <w:t xml:space="preserve"> placed on the time period searched because the search terms </w:t>
      </w:r>
      <w:r w:rsidR="0018092D">
        <w:t>included the specific drug names.</w:t>
      </w:r>
      <w:r w:rsidR="0018092D" w:rsidRPr="00775ABB">
        <w:t xml:space="preserve"> </w:t>
      </w:r>
      <w:r w:rsidRPr="00EB1471">
        <w:lastRenderedPageBreak/>
        <w:t>The initial literature search was conducted on 4</w:t>
      </w:r>
      <w:r w:rsidRPr="00EB1471">
        <w:rPr>
          <w:vertAlign w:val="superscript"/>
        </w:rPr>
        <w:t>th</w:t>
      </w:r>
      <w:r w:rsidRPr="00EB1471">
        <w:t xml:space="preserve"> October 2017 and updated on 5</w:t>
      </w:r>
      <w:r w:rsidRPr="00EB1471">
        <w:rPr>
          <w:vertAlign w:val="superscript"/>
        </w:rPr>
        <w:t>th</w:t>
      </w:r>
      <w:r w:rsidRPr="00EB1471">
        <w:t xml:space="preserve"> December 2017. The search covered the following databases: PubMed, Embase.com and the Cochrane Library. Search terms are described in </w:t>
      </w:r>
      <w:r w:rsidR="00AA722D">
        <w:t>Table 4.</w:t>
      </w:r>
      <w:r w:rsidR="00AA722D">
        <w:rPr>
          <w:noProof/>
        </w:rPr>
        <w:t>23</w:t>
      </w:r>
      <w:r w:rsidRPr="00EB1471">
        <w:t xml:space="preserve"> and </w:t>
      </w:r>
      <w:r w:rsidR="00AA722D">
        <w:t>Table 4.</w:t>
      </w:r>
      <w:r w:rsidR="00AA722D">
        <w:rPr>
          <w:noProof/>
        </w:rPr>
        <w:t>24</w:t>
      </w:r>
      <w:r w:rsidRPr="00EB1471">
        <w:t xml:space="preserve">. </w:t>
      </w:r>
    </w:p>
    <w:p w:rsidR="001D0FDA" w:rsidRPr="00EB1471" w:rsidRDefault="001D0FDA" w:rsidP="001D0FDA">
      <w:pPr>
        <w:pStyle w:val="Caption"/>
      </w:pPr>
      <w:bookmarkStart w:id="68" w:name="_Ref505948713"/>
      <w:bookmarkStart w:id="69" w:name="_Toc477865243"/>
      <w:bookmarkStart w:id="70" w:name="_Toc512855427"/>
      <w:r>
        <w:t>Table 4.</w:t>
      </w:r>
      <w:r w:rsidR="00AA722D">
        <w:rPr>
          <w:noProof/>
        </w:rPr>
        <w:t>23</w:t>
      </w:r>
      <w:bookmarkEnd w:id="68"/>
      <w:r>
        <w:tab/>
      </w:r>
      <w:r w:rsidRPr="00EB1471">
        <w:t>Search terms for evidence to inform the systematic review questions (Pubmed and Cochrane Library)</w:t>
      </w:r>
      <w:bookmarkEnd w:id="69"/>
      <w:bookmarkEnd w:id="7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arch terms for evidence to inform the systematic review questions (Pubmed and Cochrane Library)"/>
      </w:tblPr>
      <w:tblGrid>
        <w:gridCol w:w="1980"/>
        <w:gridCol w:w="7654"/>
      </w:tblGrid>
      <w:tr w:rsidR="001D0FDA" w:rsidRPr="00EB1471" w:rsidTr="00A0351C">
        <w:trPr>
          <w:cantSplit/>
          <w:tblHeader/>
        </w:trPr>
        <w:tc>
          <w:tcPr>
            <w:tcW w:w="1980" w:type="dxa"/>
            <w:shd w:val="clear" w:color="auto" w:fill="BFBFBF" w:themeFill="background1" w:themeFillShade="BF"/>
          </w:tcPr>
          <w:p w:rsidR="001D0FDA" w:rsidRPr="00EB1471" w:rsidRDefault="001D0FDA" w:rsidP="001D0FDA">
            <w:pPr>
              <w:pStyle w:val="Tabletext"/>
              <w:rPr>
                <w:b/>
              </w:rPr>
            </w:pPr>
            <w:r w:rsidRPr="00EB1471">
              <w:rPr>
                <w:b/>
              </w:rPr>
              <w:t>Element of clinical question</w:t>
            </w:r>
          </w:p>
        </w:tc>
        <w:tc>
          <w:tcPr>
            <w:tcW w:w="7654" w:type="dxa"/>
            <w:shd w:val="clear" w:color="auto" w:fill="BFBFBF" w:themeFill="background1" w:themeFillShade="BF"/>
          </w:tcPr>
          <w:p w:rsidR="001D0FDA" w:rsidRPr="00EB1471" w:rsidRDefault="001D0FDA" w:rsidP="001D0FDA">
            <w:pPr>
              <w:pStyle w:val="Tabletext"/>
              <w:rPr>
                <w:b/>
              </w:rPr>
            </w:pPr>
            <w:r w:rsidRPr="00EB1471">
              <w:rPr>
                <w:b/>
              </w:rPr>
              <w:t>Pubmed/Medline search terms</w:t>
            </w:r>
          </w:p>
        </w:tc>
      </w:tr>
      <w:tr w:rsidR="001D0FDA" w:rsidRPr="00EB1471" w:rsidTr="001D0FDA">
        <w:trPr>
          <w:cantSplit/>
        </w:trPr>
        <w:tc>
          <w:tcPr>
            <w:tcW w:w="1980" w:type="dxa"/>
          </w:tcPr>
          <w:p w:rsidR="001D0FDA" w:rsidRPr="00EB1471" w:rsidRDefault="001D0FDA" w:rsidP="001D0FDA">
            <w:pPr>
              <w:pStyle w:val="Tabletext"/>
            </w:pPr>
            <w:r w:rsidRPr="00EB1471">
              <w:t>Population</w:t>
            </w:r>
          </w:p>
        </w:tc>
        <w:tc>
          <w:tcPr>
            <w:tcW w:w="7654" w:type="dxa"/>
          </w:tcPr>
          <w:p w:rsidR="001D0FDA" w:rsidRPr="00EB1471" w:rsidRDefault="001D0FDA" w:rsidP="001D0FDA">
            <w:pPr>
              <w:pStyle w:val="Tabletext"/>
            </w:pPr>
            <w:r w:rsidRPr="00EB1471">
              <w:t>“pulmonary arterial hypertension” OR PAH OR “pulmonary artery hypertension” OR “primary pulmonary hypertension” OR IPAH OR FPAH OR HPAH OR CTEPH OR PVH OR POPH OR “pulmonary venous hypertension” OR “portopulmonary hypertension” OR “chronic thromboembolic pulmonary hypertension” OR “hypertension, pulmonary”[MesH]</w:t>
            </w:r>
          </w:p>
        </w:tc>
      </w:tr>
      <w:tr w:rsidR="001D0FDA" w:rsidRPr="00EB1471" w:rsidTr="001D0FDA">
        <w:tc>
          <w:tcPr>
            <w:tcW w:w="1980" w:type="dxa"/>
          </w:tcPr>
          <w:p w:rsidR="001D0FDA" w:rsidRPr="00EB1471" w:rsidRDefault="001D0FDA" w:rsidP="001D0FDA">
            <w:pPr>
              <w:pStyle w:val="Tabletext"/>
            </w:pPr>
            <w:r w:rsidRPr="00EB1471">
              <w:t>Intervention</w:t>
            </w:r>
          </w:p>
        </w:tc>
        <w:tc>
          <w:tcPr>
            <w:tcW w:w="7654" w:type="dxa"/>
          </w:tcPr>
          <w:p w:rsidR="001D0FDA" w:rsidRPr="00EB1471" w:rsidRDefault="001D0FDA" w:rsidP="001D0FDA">
            <w:pPr>
              <w:pStyle w:val="Tabletext"/>
            </w:pPr>
            <w:r w:rsidRPr="00EB1471">
              <w:t>Macitentan OR Opsumit OR</w:t>
            </w:r>
          </w:p>
          <w:p w:rsidR="001D0FDA" w:rsidRPr="00EB1471" w:rsidRDefault="001D0FDA" w:rsidP="001D0FDA">
            <w:pPr>
              <w:pStyle w:val="Tabletext"/>
            </w:pPr>
            <w:r w:rsidRPr="00EB1471">
              <w:t>ambrisentan OR Letairis OR Volibris OR Pulmonext OR</w:t>
            </w:r>
          </w:p>
          <w:p w:rsidR="001D0FDA" w:rsidRPr="00EB1471" w:rsidRDefault="001D0FDA" w:rsidP="001D0FDA">
            <w:pPr>
              <w:pStyle w:val="Tabletext"/>
            </w:pPr>
            <w:r w:rsidRPr="00EB1471">
              <w:t>bosentan OR Traceleer OR</w:t>
            </w:r>
          </w:p>
          <w:p w:rsidR="001D0FDA" w:rsidRPr="00EB1471" w:rsidRDefault="001D0FDA" w:rsidP="001D0FDA">
            <w:pPr>
              <w:pStyle w:val="Tabletext"/>
            </w:pPr>
            <w:r w:rsidRPr="00EB1471">
              <w:t>iloprost OR Ventavis OR Ilomedine OR</w:t>
            </w:r>
          </w:p>
          <w:p w:rsidR="001D0FDA" w:rsidRPr="00EB1471" w:rsidRDefault="001D0FDA" w:rsidP="001D0FDA">
            <w:pPr>
              <w:pStyle w:val="Tabletext"/>
            </w:pPr>
            <w:r w:rsidRPr="00EB1471">
              <w:t>epoprostenol OR Flolan OR Veletri OR</w:t>
            </w:r>
          </w:p>
          <w:p w:rsidR="001D0FDA" w:rsidRPr="00EB1471" w:rsidRDefault="001D0FDA" w:rsidP="001D0FDA">
            <w:pPr>
              <w:pStyle w:val="Tabletext"/>
            </w:pPr>
            <w:r w:rsidRPr="00EB1471">
              <w:t>sildenafil OR Viagra OR Revatio OR</w:t>
            </w:r>
          </w:p>
          <w:p w:rsidR="001D0FDA" w:rsidRPr="00EB1471" w:rsidRDefault="001D0FDA" w:rsidP="001D0FDA">
            <w:pPr>
              <w:pStyle w:val="Tabletext"/>
            </w:pPr>
            <w:r w:rsidRPr="00EB1471">
              <w:t>tadalafil OR Cialis OR Adcirca OR</w:t>
            </w:r>
          </w:p>
          <w:p w:rsidR="001D0FDA" w:rsidRPr="00EB1471" w:rsidRDefault="001D0FDA" w:rsidP="001D0FDA">
            <w:pPr>
              <w:pStyle w:val="Tabletext"/>
            </w:pPr>
            <w:r w:rsidRPr="00EB1471">
              <w:t>riociguat OR Adempas</w:t>
            </w:r>
          </w:p>
        </w:tc>
      </w:tr>
      <w:tr w:rsidR="001D0FDA" w:rsidRPr="00EB1471" w:rsidTr="001D0FDA">
        <w:tc>
          <w:tcPr>
            <w:tcW w:w="1980" w:type="dxa"/>
          </w:tcPr>
          <w:p w:rsidR="001D0FDA" w:rsidRPr="00EB1471" w:rsidRDefault="001D0FDA" w:rsidP="001D0FDA">
            <w:pPr>
              <w:pStyle w:val="Tabletext"/>
            </w:pPr>
            <w:r w:rsidRPr="00EB1471">
              <w:t>Comparator (if applicable)</w:t>
            </w:r>
          </w:p>
        </w:tc>
        <w:tc>
          <w:tcPr>
            <w:tcW w:w="7654" w:type="dxa"/>
          </w:tcPr>
          <w:p w:rsidR="001D0FDA" w:rsidRPr="00EB1471" w:rsidRDefault="001D0FDA" w:rsidP="001D0FDA">
            <w:pPr>
              <w:pStyle w:val="Tabletext"/>
            </w:pPr>
            <w:r w:rsidRPr="00EB1471">
              <w:t>-</w:t>
            </w:r>
          </w:p>
        </w:tc>
      </w:tr>
      <w:tr w:rsidR="001D0FDA" w:rsidRPr="00EB1471" w:rsidTr="001D0FDA">
        <w:tc>
          <w:tcPr>
            <w:tcW w:w="1980" w:type="dxa"/>
          </w:tcPr>
          <w:p w:rsidR="001D0FDA" w:rsidRPr="00EB1471" w:rsidRDefault="001D0FDA" w:rsidP="001D0FDA">
            <w:pPr>
              <w:pStyle w:val="Tabletext"/>
            </w:pPr>
            <w:r w:rsidRPr="00EB1471">
              <w:t>Outcomes (if applicable)</w:t>
            </w:r>
          </w:p>
        </w:tc>
        <w:tc>
          <w:tcPr>
            <w:tcW w:w="7654" w:type="dxa"/>
          </w:tcPr>
          <w:p w:rsidR="001D0FDA" w:rsidRPr="00EB1471" w:rsidRDefault="001D0FDA" w:rsidP="001D0FDA">
            <w:pPr>
              <w:pStyle w:val="Tabletext"/>
            </w:pPr>
            <w:r w:rsidRPr="00EB1471">
              <w:t>-</w:t>
            </w:r>
          </w:p>
        </w:tc>
      </w:tr>
      <w:tr w:rsidR="001D0FDA" w:rsidRPr="00EB1471" w:rsidTr="001D0FDA">
        <w:tc>
          <w:tcPr>
            <w:tcW w:w="1980" w:type="dxa"/>
          </w:tcPr>
          <w:p w:rsidR="001D0FDA" w:rsidRPr="00EB1471" w:rsidRDefault="001D0FDA" w:rsidP="001D0FDA">
            <w:pPr>
              <w:pStyle w:val="Tabletext"/>
            </w:pPr>
            <w:r w:rsidRPr="00EB1471">
              <w:t>Limits</w:t>
            </w:r>
          </w:p>
        </w:tc>
        <w:tc>
          <w:tcPr>
            <w:tcW w:w="7654" w:type="dxa"/>
          </w:tcPr>
          <w:p w:rsidR="001D0FDA" w:rsidRPr="00EB1471" w:rsidRDefault="001D0FDA" w:rsidP="001D0FDA">
            <w:pPr>
              <w:pStyle w:val="Tabletext"/>
            </w:pPr>
            <w:r w:rsidRPr="00EB1471">
              <w:t>Article type: Clinical Study OR Clinical Trial OR Controlled Clinical Trial OR Comparative Study OR Observational Study OR Pragmatic Clinical Trial OR Randomized Controlled Trial OR Systematic Reviews OR Meta-Analysis OR Technical Report</w:t>
            </w:r>
          </w:p>
        </w:tc>
      </w:tr>
    </w:tbl>
    <w:p w:rsidR="001D0FDA" w:rsidRPr="00EB1471" w:rsidRDefault="001D0FDA" w:rsidP="001D0FDA">
      <w:pPr>
        <w:pStyle w:val="Tablenote"/>
      </w:pPr>
      <w:r w:rsidRPr="00EB1471">
        <w:t>MeSH = Medical Subject Heading, based on a Medline/PubMed platform</w:t>
      </w:r>
    </w:p>
    <w:p w:rsidR="001D0FDA" w:rsidRPr="00EB1471" w:rsidRDefault="001D0FDA" w:rsidP="001D0FDA">
      <w:pPr>
        <w:pStyle w:val="Caption"/>
      </w:pPr>
      <w:bookmarkStart w:id="71" w:name="_Ref505948718"/>
      <w:bookmarkStart w:id="72" w:name="_Ref437507650"/>
      <w:bookmarkStart w:id="73" w:name="_Toc477865244"/>
      <w:bookmarkStart w:id="74" w:name="_Toc512855428"/>
      <w:r>
        <w:t>Table 4.</w:t>
      </w:r>
      <w:r w:rsidR="00AA722D">
        <w:rPr>
          <w:noProof/>
        </w:rPr>
        <w:t>24</w:t>
      </w:r>
      <w:bookmarkEnd w:id="71"/>
      <w:r>
        <w:tab/>
      </w:r>
      <w:r w:rsidRPr="00EB1471">
        <w:t>Search terms for evidence to inform the systematic review questions (</w:t>
      </w:r>
      <w:bookmarkEnd w:id="72"/>
      <w:r w:rsidRPr="00EB1471">
        <w:t>Embase PICO search)</w:t>
      </w:r>
      <w:bookmarkEnd w:id="73"/>
      <w:bookmarkEnd w:id="7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arch terms for evidence to inform the systematic review questions (Embase PICO search)"/>
      </w:tblPr>
      <w:tblGrid>
        <w:gridCol w:w="1980"/>
        <w:gridCol w:w="7654"/>
      </w:tblGrid>
      <w:tr w:rsidR="001D0FDA" w:rsidRPr="00EB1471" w:rsidTr="00A0351C">
        <w:trPr>
          <w:tblHeader/>
        </w:trPr>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D0FDA" w:rsidRPr="00EB1471" w:rsidRDefault="001D0FDA" w:rsidP="001D0FDA">
            <w:pPr>
              <w:pStyle w:val="Tabletext"/>
              <w:rPr>
                <w:b/>
              </w:rPr>
            </w:pPr>
            <w:r w:rsidRPr="00EB1471">
              <w:rPr>
                <w:b/>
              </w:rPr>
              <w:t>Element of clinical question</w:t>
            </w:r>
          </w:p>
        </w:tc>
        <w:tc>
          <w:tcPr>
            <w:tcW w:w="765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D0FDA" w:rsidRPr="00EB1471" w:rsidRDefault="001D0FDA" w:rsidP="001D0FDA">
            <w:pPr>
              <w:pStyle w:val="Tabletext"/>
              <w:rPr>
                <w:b/>
              </w:rPr>
            </w:pPr>
            <w:r w:rsidRPr="00EB1471">
              <w:rPr>
                <w:b/>
              </w:rPr>
              <w:t>Embase search terms</w:t>
            </w:r>
          </w:p>
        </w:tc>
      </w:tr>
      <w:tr w:rsidR="001D0FDA" w:rsidRPr="00EB1471" w:rsidTr="001D0FDA">
        <w:tc>
          <w:tcPr>
            <w:tcW w:w="1980" w:type="dxa"/>
            <w:tcBorders>
              <w:top w:val="single" w:sz="4" w:space="0" w:color="auto"/>
              <w:left w:val="single" w:sz="4" w:space="0" w:color="auto"/>
              <w:bottom w:val="single" w:sz="4" w:space="0" w:color="auto"/>
              <w:right w:val="single" w:sz="4" w:space="0" w:color="auto"/>
            </w:tcBorders>
            <w:hideMark/>
          </w:tcPr>
          <w:p w:rsidR="001D0FDA" w:rsidRPr="00EB1471" w:rsidRDefault="001D0FDA" w:rsidP="001D0FDA">
            <w:pPr>
              <w:pStyle w:val="Tabletext"/>
            </w:pPr>
            <w:r w:rsidRPr="00EB1471">
              <w:t>Population</w:t>
            </w:r>
          </w:p>
        </w:tc>
        <w:tc>
          <w:tcPr>
            <w:tcW w:w="7654" w:type="dxa"/>
            <w:tcBorders>
              <w:top w:val="single" w:sz="4" w:space="0" w:color="auto"/>
              <w:left w:val="single" w:sz="4" w:space="0" w:color="auto"/>
              <w:bottom w:val="single" w:sz="4" w:space="0" w:color="auto"/>
              <w:right w:val="single" w:sz="4" w:space="0" w:color="auto"/>
            </w:tcBorders>
          </w:tcPr>
          <w:p w:rsidR="001D0FDA" w:rsidRPr="00EB1471" w:rsidRDefault="001D0FDA" w:rsidP="001D0FDA">
            <w:pPr>
              <w:pStyle w:val="Tabletext"/>
            </w:pPr>
            <w:r w:rsidRPr="00EB1471">
              <w:t>‘pulmonary hypertension’/exp +19 synonyms:all</w:t>
            </w:r>
          </w:p>
        </w:tc>
      </w:tr>
      <w:tr w:rsidR="001D0FDA" w:rsidRPr="00EB1471" w:rsidTr="001D0FDA">
        <w:tc>
          <w:tcPr>
            <w:tcW w:w="1980" w:type="dxa"/>
            <w:tcBorders>
              <w:top w:val="single" w:sz="4" w:space="0" w:color="auto"/>
              <w:left w:val="single" w:sz="4" w:space="0" w:color="auto"/>
              <w:bottom w:val="single" w:sz="4" w:space="0" w:color="auto"/>
              <w:right w:val="single" w:sz="4" w:space="0" w:color="auto"/>
            </w:tcBorders>
            <w:hideMark/>
          </w:tcPr>
          <w:p w:rsidR="001D0FDA" w:rsidRPr="00EB1471" w:rsidRDefault="001D0FDA" w:rsidP="001D0FDA">
            <w:pPr>
              <w:pStyle w:val="Tabletext"/>
            </w:pPr>
            <w:r w:rsidRPr="00EB1471">
              <w:t>Intervention</w:t>
            </w:r>
          </w:p>
        </w:tc>
        <w:tc>
          <w:tcPr>
            <w:tcW w:w="7654" w:type="dxa"/>
            <w:tcBorders>
              <w:top w:val="single" w:sz="4" w:space="0" w:color="auto"/>
              <w:left w:val="single" w:sz="4" w:space="0" w:color="auto"/>
              <w:bottom w:val="single" w:sz="4" w:space="0" w:color="auto"/>
              <w:right w:val="single" w:sz="4" w:space="0" w:color="auto"/>
            </w:tcBorders>
          </w:tcPr>
          <w:p w:rsidR="001D0FDA" w:rsidRPr="00EB1471" w:rsidRDefault="001D0FDA" w:rsidP="001D0FDA">
            <w:pPr>
              <w:pStyle w:val="Tabletext"/>
            </w:pPr>
            <w:r w:rsidRPr="00EB1471">
              <w:t xml:space="preserve">macitentan/exp + 6 synonyms:all </w:t>
            </w:r>
          </w:p>
          <w:p w:rsidR="001D0FDA" w:rsidRPr="00EB1471" w:rsidRDefault="001D0FDA" w:rsidP="001D0FDA">
            <w:pPr>
              <w:pStyle w:val="Tabletext"/>
            </w:pPr>
            <w:r w:rsidRPr="00EB1471">
              <w:t>ambrisentan/exp +7 synonyms:all</w:t>
            </w:r>
          </w:p>
          <w:p w:rsidR="001D0FDA" w:rsidRPr="00EB1471" w:rsidRDefault="001D0FDA" w:rsidP="001D0FDA">
            <w:pPr>
              <w:pStyle w:val="Tabletext"/>
            </w:pPr>
            <w:r w:rsidRPr="00EB1471">
              <w:t>bosentan/exp + 11 synonyms:all</w:t>
            </w:r>
          </w:p>
          <w:p w:rsidR="001D0FDA" w:rsidRPr="00EB1471" w:rsidRDefault="001D0FDA" w:rsidP="001D0FDA">
            <w:pPr>
              <w:pStyle w:val="Tabletext"/>
            </w:pPr>
            <w:r w:rsidRPr="00EB1471">
              <w:t xml:space="preserve">iloprost/exp + 18 synonyms:all </w:t>
            </w:r>
          </w:p>
          <w:p w:rsidR="001D0FDA" w:rsidRPr="00EB1471" w:rsidRDefault="001D0FDA" w:rsidP="001D0FDA">
            <w:pPr>
              <w:pStyle w:val="Tabletext"/>
            </w:pPr>
            <w:r w:rsidRPr="00EB1471">
              <w:t>prostacyclin/exp + 17 synonyms:all</w:t>
            </w:r>
          </w:p>
          <w:p w:rsidR="001D0FDA" w:rsidRPr="00EB1471" w:rsidRDefault="001D0FDA" w:rsidP="001D0FDA">
            <w:pPr>
              <w:pStyle w:val="Tabletext"/>
            </w:pPr>
            <w:r w:rsidRPr="00EB1471">
              <w:t>sildenafil/exp + 28 synonyms:all</w:t>
            </w:r>
          </w:p>
          <w:p w:rsidR="001D0FDA" w:rsidRPr="00EB1471" w:rsidRDefault="001D0FDA" w:rsidP="001D0FDA">
            <w:pPr>
              <w:pStyle w:val="Tabletext"/>
            </w:pPr>
            <w:r w:rsidRPr="00EB1471">
              <w:t>tadalafil/exp + 17 synonyms:all</w:t>
            </w:r>
          </w:p>
          <w:p w:rsidR="001D0FDA" w:rsidRPr="00EB1471" w:rsidRDefault="001D0FDA" w:rsidP="001D0FDA">
            <w:pPr>
              <w:pStyle w:val="Tabletext"/>
            </w:pPr>
            <w:r w:rsidRPr="00EB1471">
              <w:t>riociguat/exp + 10 synonyms:all</w:t>
            </w:r>
          </w:p>
        </w:tc>
      </w:tr>
      <w:tr w:rsidR="001D0FDA" w:rsidRPr="00EB1471" w:rsidTr="001D0FDA">
        <w:tc>
          <w:tcPr>
            <w:tcW w:w="1980" w:type="dxa"/>
            <w:tcBorders>
              <w:top w:val="single" w:sz="4" w:space="0" w:color="auto"/>
              <w:left w:val="single" w:sz="4" w:space="0" w:color="auto"/>
              <w:bottom w:val="single" w:sz="4" w:space="0" w:color="auto"/>
              <w:right w:val="single" w:sz="4" w:space="0" w:color="auto"/>
            </w:tcBorders>
            <w:hideMark/>
          </w:tcPr>
          <w:p w:rsidR="001D0FDA" w:rsidRPr="00EB1471" w:rsidRDefault="001D0FDA" w:rsidP="001D0FDA">
            <w:pPr>
              <w:pStyle w:val="Tabletext"/>
            </w:pPr>
            <w:r w:rsidRPr="00EB1471">
              <w:t>Comparator (if applicable)</w:t>
            </w:r>
          </w:p>
        </w:tc>
        <w:tc>
          <w:tcPr>
            <w:tcW w:w="7654" w:type="dxa"/>
            <w:tcBorders>
              <w:top w:val="single" w:sz="4" w:space="0" w:color="auto"/>
              <w:left w:val="single" w:sz="4" w:space="0" w:color="auto"/>
              <w:bottom w:val="single" w:sz="4" w:space="0" w:color="auto"/>
              <w:right w:val="single" w:sz="4" w:space="0" w:color="auto"/>
            </w:tcBorders>
          </w:tcPr>
          <w:p w:rsidR="001D0FDA" w:rsidRPr="00EB1471" w:rsidRDefault="001D0FDA" w:rsidP="001D0FDA">
            <w:pPr>
              <w:pStyle w:val="Tabletext"/>
            </w:pPr>
            <w:r w:rsidRPr="00EB1471">
              <w:t>-</w:t>
            </w:r>
          </w:p>
        </w:tc>
      </w:tr>
      <w:tr w:rsidR="001D0FDA" w:rsidRPr="00EB1471" w:rsidTr="001D0FDA">
        <w:tc>
          <w:tcPr>
            <w:tcW w:w="1980" w:type="dxa"/>
            <w:tcBorders>
              <w:top w:val="single" w:sz="4" w:space="0" w:color="auto"/>
              <w:left w:val="single" w:sz="4" w:space="0" w:color="auto"/>
              <w:bottom w:val="single" w:sz="4" w:space="0" w:color="auto"/>
              <w:right w:val="single" w:sz="4" w:space="0" w:color="auto"/>
            </w:tcBorders>
            <w:hideMark/>
          </w:tcPr>
          <w:p w:rsidR="001D0FDA" w:rsidRPr="00EB1471" w:rsidRDefault="001D0FDA" w:rsidP="001D0FDA">
            <w:pPr>
              <w:pStyle w:val="Tabletext"/>
            </w:pPr>
            <w:r w:rsidRPr="00EB1471">
              <w:t>Outcomes (if applicable)</w:t>
            </w:r>
          </w:p>
        </w:tc>
        <w:tc>
          <w:tcPr>
            <w:tcW w:w="7654" w:type="dxa"/>
            <w:tcBorders>
              <w:top w:val="single" w:sz="4" w:space="0" w:color="auto"/>
              <w:left w:val="single" w:sz="4" w:space="0" w:color="auto"/>
              <w:bottom w:val="single" w:sz="4" w:space="0" w:color="auto"/>
              <w:right w:val="single" w:sz="4" w:space="0" w:color="auto"/>
            </w:tcBorders>
          </w:tcPr>
          <w:p w:rsidR="001D0FDA" w:rsidRPr="00EB1471" w:rsidRDefault="001D0FDA" w:rsidP="001D0FDA">
            <w:pPr>
              <w:pStyle w:val="Tabletext"/>
            </w:pPr>
            <w:r w:rsidRPr="00EB1471">
              <w:t>-</w:t>
            </w:r>
          </w:p>
        </w:tc>
      </w:tr>
      <w:tr w:rsidR="001D0FDA" w:rsidRPr="00EB1471" w:rsidTr="001D0FDA">
        <w:tc>
          <w:tcPr>
            <w:tcW w:w="1980" w:type="dxa"/>
            <w:tcBorders>
              <w:top w:val="single" w:sz="4" w:space="0" w:color="auto"/>
              <w:left w:val="single" w:sz="4" w:space="0" w:color="auto"/>
              <w:bottom w:val="single" w:sz="4" w:space="0" w:color="auto"/>
              <w:right w:val="single" w:sz="4" w:space="0" w:color="auto"/>
            </w:tcBorders>
            <w:hideMark/>
          </w:tcPr>
          <w:p w:rsidR="001D0FDA" w:rsidRPr="00EB1471" w:rsidRDefault="001D0FDA" w:rsidP="001D0FDA">
            <w:pPr>
              <w:pStyle w:val="Tabletext"/>
            </w:pPr>
            <w:r w:rsidRPr="00EB1471">
              <w:t>Limits</w:t>
            </w:r>
          </w:p>
        </w:tc>
        <w:tc>
          <w:tcPr>
            <w:tcW w:w="7654" w:type="dxa"/>
            <w:tcBorders>
              <w:top w:val="single" w:sz="4" w:space="0" w:color="auto"/>
              <w:left w:val="single" w:sz="4" w:space="0" w:color="auto"/>
              <w:bottom w:val="single" w:sz="4" w:space="0" w:color="auto"/>
              <w:right w:val="single" w:sz="4" w:space="0" w:color="auto"/>
            </w:tcBorders>
            <w:hideMark/>
          </w:tcPr>
          <w:p w:rsidR="001D0FDA" w:rsidRPr="00EB1471" w:rsidRDefault="001D0FDA" w:rsidP="001D0FDA">
            <w:pPr>
              <w:pStyle w:val="Tabletext"/>
            </w:pPr>
            <w:r w:rsidRPr="00EB1471">
              <w:t>controlled study OR clinical trial OR clinical article OR major clinical study OR randomized controlled trial (topic) OR randomized controlled trial OR controlled clinical trial OR retrospective study OR prospective study OR clinical trial (topic) OR double blind procedure OR multicentre study OR cohort analysis OR systematic review OR phase 3 clinical trial (topic)</w:t>
            </w:r>
          </w:p>
        </w:tc>
      </w:tr>
    </w:tbl>
    <w:p w:rsidR="001D0FDA" w:rsidRPr="00EB1471" w:rsidRDefault="001D0FDA" w:rsidP="001D0FDA">
      <w:r w:rsidRPr="00EB1471">
        <w:lastRenderedPageBreak/>
        <w:t xml:space="preserve">Relevant papers had their reference lists pearled for other studies potentially missed in the database searches. No restriction was placed on the time period searched because the search terms include the specific drug names. </w:t>
      </w:r>
    </w:p>
    <w:p w:rsidR="001D0FDA" w:rsidRPr="00EB1471" w:rsidRDefault="001D0FDA" w:rsidP="001D0FDA">
      <w:r w:rsidRPr="00EB1471">
        <w:t xml:space="preserve">In addition to literature obtained through the above databases, the WHO clinical trials registry was searched for potentially relevant clinical studies. The submissions provided by the sponsors, prior to the listing of their drugs on the PBS, were also cross-checked for relevant trials. </w:t>
      </w:r>
    </w:p>
    <w:p w:rsidR="001D0FDA" w:rsidRPr="00EB1471" w:rsidRDefault="001D0FDA" w:rsidP="00480FDF">
      <w:pPr>
        <w:pStyle w:val="Heading4"/>
        <w:numPr>
          <w:ilvl w:val="3"/>
          <w:numId w:val="45"/>
        </w:numPr>
      </w:pPr>
      <w:r w:rsidRPr="00EB1471">
        <w:t>4.3.</w:t>
      </w:r>
      <w:r>
        <w:t>1</w:t>
      </w:r>
      <w:r w:rsidRPr="00EB1471">
        <w:t>.3</w:t>
      </w:r>
      <w:r w:rsidRPr="00EB1471">
        <w:tab/>
        <w:t>Inclusion/exclusion criteria</w:t>
      </w:r>
    </w:p>
    <w:p w:rsidR="001D0FDA" w:rsidRPr="00572A49" w:rsidRDefault="001D0FDA" w:rsidP="001D0FDA">
      <w:r w:rsidRPr="00572A49">
        <w:t>In general, studies were excluded from the evidence base if they:</w:t>
      </w:r>
    </w:p>
    <w:p w:rsidR="001D0FDA" w:rsidRPr="00572A49" w:rsidRDefault="001D0FDA" w:rsidP="00480FDF">
      <w:pPr>
        <w:pStyle w:val="ListParagraph"/>
        <w:numPr>
          <w:ilvl w:val="0"/>
          <w:numId w:val="46"/>
        </w:numPr>
        <w:autoSpaceDE w:val="0"/>
        <w:autoSpaceDN w:val="0"/>
        <w:adjustRightInd w:val="0"/>
        <w:spacing w:before="0" w:after="120" w:line="240" w:lineRule="auto"/>
        <w:contextualSpacing w:val="0"/>
      </w:pPr>
      <w:r w:rsidRPr="00572A49">
        <w:t>Did not address the research questions;</w:t>
      </w:r>
    </w:p>
    <w:p w:rsidR="001D0FDA" w:rsidRPr="00572A49" w:rsidRDefault="001D0FDA" w:rsidP="00480FDF">
      <w:pPr>
        <w:pStyle w:val="ListParagraph"/>
        <w:numPr>
          <w:ilvl w:val="0"/>
          <w:numId w:val="46"/>
        </w:numPr>
        <w:autoSpaceDE w:val="0"/>
        <w:autoSpaceDN w:val="0"/>
        <w:adjustRightInd w:val="0"/>
        <w:spacing w:before="0" w:after="120" w:line="240" w:lineRule="auto"/>
        <w:contextualSpacing w:val="0"/>
      </w:pPr>
      <w:r w:rsidRPr="00572A49">
        <w:t>Did not provide information on the pre-specified target population, intervention or comparator;</w:t>
      </w:r>
    </w:p>
    <w:p w:rsidR="001D0FDA" w:rsidRPr="00572A49" w:rsidRDefault="001D0FDA" w:rsidP="00480FDF">
      <w:pPr>
        <w:pStyle w:val="ListParagraph"/>
        <w:numPr>
          <w:ilvl w:val="0"/>
          <w:numId w:val="46"/>
        </w:numPr>
        <w:autoSpaceDE w:val="0"/>
        <w:autoSpaceDN w:val="0"/>
        <w:adjustRightInd w:val="0"/>
        <w:spacing w:before="0" w:after="120" w:line="240" w:lineRule="auto"/>
        <w:contextualSpacing w:val="0"/>
      </w:pPr>
      <w:r w:rsidRPr="00572A49">
        <w:t>Were studies recruiting a mixed population (</w:t>
      </w:r>
      <w:r>
        <w:t>eg</w:t>
      </w:r>
      <w:r w:rsidRPr="00572A49">
        <w:t xml:space="preserve"> including both FC I/II PAH and FC III/IV PAH, with or without background therapy with PAH medicine(s) etc) which did not provide results of effectiveness analysis stratified by the appropriate subgroup(s) of patients of interest</w:t>
      </w:r>
      <w:r w:rsidRPr="00572A49">
        <w:rPr>
          <w:rStyle w:val="FootnoteReference"/>
        </w:rPr>
        <w:footnoteReference w:id="1"/>
      </w:r>
      <w:r w:rsidRPr="00572A49">
        <w:t>;</w:t>
      </w:r>
    </w:p>
    <w:p w:rsidR="008E745C" w:rsidRPr="008E745C" w:rsidRDefault="008E745C" w:rsidP="00480FDF">
      <w:pPr>
        <w:pStyle w:val="ListParagraph"/>
        <w:numPr>
          <w:ilvl w:val="0"/>
          <w:numId w:val="46"/>
        </w:numPr>
      </w:pPr>
      <w:r w:rsidRPr="008E745C">
        <w:t xml:space="preserve">Were studies </w:t>
      </w:r>
      <w:r>
        <w:t>investigated a mixture of PAH therapies in the intervention arm and/or in the comparator arm which did not provide results by PAH regimen</w:t>
      </w:r>
      <w:r w:rsidRPr="008E745C">
        <w:t>;</w:t>
      </w:r>
    </w:p>
    <w:p w:rsidR="001D0FDA" w:rsidRPr="00572A49" w:rsidRDefault="001D0FDA" w:rsidP="00480FDF">
      <w:pPr>
        <w:pStyle w:val="ListParagraph"/>
        <w:numPr>
          <w:ilvl w:val="0"/>
          <w:numId w:val="46"/>
        </w:numPr>
        <w:autoSpaceDE w:val="0"/>
        <w:autoSpaceDN w:val="0"/>
        <w:adjustRightInd w:val="0"/>
        <w:spacing w:before="0" w:after="120" w:line="240" w:lineRule="auto"/>
        <w:contextualSpacing w:val="0"/>
      </w:pPr>
      <w:r w:rsidRPr="00572A49">
        <w:t xml:space="preserve">Were studies where the administration and/or dosage of a </w:t>
      </w:r>
      <w:r>
        <w:t>PAH medicine</w:t>
      </w:r>
      <w:r w:rsidRPr="00572A49">
        <w:t xml:space="preserve"> is not approved or recommended by the TGA, </w:t>
      </w:r>
      <w:r>
        <w:t>ie</w:t>
      </w:r>
      <w:r w:rsidRPr="00572A49">
        <w:t xml:space="preserve"> intravenous use of iloprost (approved administration: inhaled) and ambrisentan 2.5mg once daily (od) (recommended dose: 5-10mg od);</w:t>
      </w:r>
    </w:p>
    <w:p w:rsidR="001D0FDA" w:rsidRPr="00572A49" w:rsidRDefault="001D0FDA" w:rsidP="00480FDF">
      <w:pPr>
        <w:pStyle w:val="ListParagraph"/>
        <w:numPr>
          <w:ilvl w:val="0"/>
          <w:numId w:val="46"/>
        </w:numPr>
        <w:autoSpaceDE w:val="0"/>
        <w:autoSpaceDN w:val="0"/>
        <w:adjustRightInd w:val="0"/>
        <w:spacing w:before="0" w:after="120" w:line="240" w:lineRule="auto"/>
        <w:contextualSpacing w:val="0"/>
      </w:pPr>
      <w:r w:rsidRPr="00572A49">
        <w:t xml:space="preserve">Were studies where a </w:t>
      </w:r>
      <w:r>
        <w:t>PAH medicine</w:t>
      </w:r>
      <w:r w:rsidRPr="00572A49">
        <w:t xml:space="preserve"> was not used for the purpose of treatment (</w:t>
      </w:r>
      <w:r>
        <w:t>eg</w:t>
      </w:r>
      <w:r w:rsidRPr="00572A49">
        <w:t xml:space="preserve"> one dose </w:t>
      </w:r>
      <w:r>
        <w:t>PAH medicine</w:t>
      </w:r>
      <w:r w:rsidRPr="00572A49">
        <w:t xml:space="preserve"> to examine its acute haemodynamic effects);</w:t>
      </w:r>
    </w:p>
    <w:p w:rsidR="001D0FDA" w:rsidRPr="00572A49" w:rsidRDefault="001D0FDA" w:rsidP="00480FDF">
      <w:pPr>
        <w:pStyle w:val="ListParagraph"/>
        <w:numPr>
          <w:ilvl w:val="0"/>
          <w:numId w:val="46"/>
        </w:numPr>
        <w:autoSpaceDE w:val="0"/>
        <w:autoSpaceDN w:val="0"/>
        <w:adjustRightInd w:val="0"/>
        <w:spacing w:before="0" w:after="120" w:line="240" w:lineRule="auto"/>
        <w:contextualSpacing w:val="0"/>
      </w:pPr>
      <w:r w:rsidRPr="00572A49">
        <w:t>Did not address one of the pre-specified outcomes and/or provided inadequate data on these outcomes;</w:t>
      </w:r>
    </w:p>
    <w:p w:rsidR="001D0FDA" w:rsidRPr="00572A49" w:rsidRDefault="001D0FDA" w:rsidP="00480FDF">
      <w:pPr>
        <w:pStyle w:val="ListParagraph"/>
        <w:numPr>
          <w:ilvl w:val="0"/>
          <w:numId w:val="46"/>
        </w:numPr>
        <w:autoSpaceDE w:val="0"/>
        <w:autoSpaceDN w:val="0"/>
        <w:adjustRightInd w:val="0"/>
        <w:spacing w:before="0" w:after="120" w:line="240" w:lineRule="auto"/>
        <w:contextualSpacing w:val="0"/>
      </w:pPr>
      <w:r w:rsidRPr="00572A49">
        <w:t xml:space="preserve">Did not have the appropriate study design (see below); </w:t>
      </w:r>
    </w:p>
    <w:p w:rsidR="001D0FDA" w:rsidRPr="00572A49" w:rsidRDefault="001D0FDA" w:rsidP="00480FDF">
      <w:pPr>
        <w:pStyle w:val="ListParagraph"/>
        <w:numPr>
          <w:ilvl w:val="0"/>
          <w:numId w:val="46"/>
        </w:numPr>
        <w:autoSpaceDE w:val="0"/>
        <w:autoSpaceDN w:val="0"/>
        <w:adjustRightInd w:val="0"/>
        <w:spacing w:before="0" w:after="120" w:line="240" w:lineRule="auto"/>
        <w:contextualSpacing w:val="0"/>
      </w:pPr>
      <w:r w:rsidRPr="00572A49">
        <w:t>Were studies in languages other than English; or</w:t>
      </w:r>
    </w:p>
    <w:p w:rsidR="001D0FDA" w:rsidRPr="00572A49" w:rsidRDefault="001D0FDA" w:rsidP="00480FDF">
      <w:pPr>
        <w:pStyle w:val="ListParagraph"/>
        <w:numPr>
          <w:ilvl w:val="0"/>
          <w:numId w:val="46"/>
        </w:numPr>
        <w:autoSpaceDE w:val="0"/>
        <w:autoSpaceDN w:val="0"/>
        <w:adjustRightInd w:val="0"/>
        <w:spacing w:before="0" w:after="120" w:line="240" w:lineRule="auto"/>
        <w:contextualSpacing w:val="0"/>
      </w:pPr>
      <w:r w:rsidRPr="00572A49">
        <w:t>Were only available in abstract form (</w:t>
      </w:r>
      <w:r>
        <w:t>ie</w:t>
      </w:r>
      <w:r w:rsidRPr="00572A49">
        <w:t xml:space="preserve"> conference abstract).</w:t>
      </w:r>
    </w:p>
    <w:p w:rsidR="001D0FDA" w:rsidRPr="00EB1471" w:rsidRDefault="001D0FDA" w:rsidP="001D0FDA">
      <w:r w:rsidRPr="00EB1471">
        <w:t>Study types that were considered for inclusion in the systematic review differed for the evaluation of effectiveness and safety.</w:t>
      </w:r>
    </w:p>
    <w:p w:rsidR="001D0FDA" w:rsidRPr="00EB1471" w:rsidRDefault="001D0FDA" w:rsidP="001D0FDA">
      <w:r w:rsidRPr="00EB1471">
        <w:rPr>
          <w:u w:val="single"/>
        </w:rPr>
        <w:t>Effectiveness</w:t>
      </w:r>
    </w:p>
    <w:p w:rsidR="001D0FDA" w:rsidRPr="00EB1471" w:rsidRDefault="001D0FDA" w:rsidP="00480FDF">
      <w:pPr>
        <w:pStyle w:val="ListParagraph"/>
        <w:numPr>
          <w:ilvl w:val="0"/>
          <w:numId w:val="46"/>
        </w:numPr>
        <w:autoSpaceDE w:val="0"/>
        <w:autoSpaceDN w:val="0"/>
        <w:adjustRightInd w:val="0"/>
        <w:spacing w:before="0" w:after="120" w:line="240" w:lineRule="auto"/>
        <w:contextualSpacing w:val="0"/>
      </w:pPr>
      <w:r w:rsidRPr="00EB1471">
        <w:t xml:space="preserve">Randomised controlled trials (RCTs); </w:t>
      </w:r>
    </w:p>
    <w:p w:rsidR="001D0FDA" w:rsidRPr="00EB1471" w:rsidRDefault="001D0FDA" w:rsidP="00480FDF">
      <w:pPr>
        <w:pStyle w:val="ListParagraph"/>
        <w:numPr>
          <w:ilvl w:val="0"/>
          <w:numId w:val="46"/>
        </w:numPr>
        <w:autoSpaceDE w:val="0"/>
        <w:autoSpaceDN w:val="0"/>
        <w:adjustRightInd w:val="0"/>
        <w:spacing w:before="0" w:after="120" w:line="240" w:lineRule="auto"/>
        <w:contextualSpacing w:val="0"/>
      </w:pPr>
      <w:r w:rsidRPr="00EB1471">
        <w:t>Large nonrandomised or observational comparative studies (</w:t>
      </w:r>
      <w:r>
        <w:t xml:space="preserve">eg </w:t>
      </w:r>
      <w:r w:rsidRPr="00EB1471">
        <w:t xml:space="preserve">cohort or case-control) </w:t>
      </w:r>
      <w:r w:rsidRPr="00EB1471">
        <w:rPr>
          <w:u w:val="single"/>
        </w:rPr>
        <w:t>only if</w:t>
      </w:r>
      <w:r w:rsidRPr="00EB1471">
        <w:t xml:space="preserve"> a higher level of evidence is absent; and</w:t>
      </w:r>
    </w:p>
    <w:p w:rsidR="001D0FDA" w:rsidRPr="00EB1471" w:rsidRDefault="001D0FDA" w:rsidP="00480FDF">
      <w:pPr>
        <w:pStyle w:val="ListParagraph"/>
        <w:numPr>
          <w:ilvl w:val="0"/>
          <w:numId w:val="46"/>
        </w:numPr>
        <w:autoSpaceDE w:val="0"/>
        <w:autoSpaceDN w:val="0"/>
        <w:adjustRightInd w:val="0"/>
        <w:spacing w:before="0" w:after="120" w:line="240" w:lineRule="auto"/>
        <w:contextualSpacing w:val="0"/>
      </w:pPr>
      <w:r w:rsidRPr="00EB1471">
        <w:t>Systematic reviews of evidence with the above study designs.</w:t>
      </w:r>
    </w:p>
    <w:p w:rsidR="001D0FDA" w:rsidRPr="00EB1471" w:rsidRDefault="001D0FDA" w:rsidP="001D0FDA">
      <w:pPr>
        <w:autoSpaceDE w:val="0"/>
        <w:autoSpaceDN w:val="0"/>
        <w:adjustRightInd w:val="0"/>
        <w:spacing w:after="120"/>
      </w:pPr>
      <w:r w:rsidRPr="00EB1471">
        <w:lastRenderedPageBreak/>
        <w:t xml:space="preserve">Systematic reviews </w:t>
      </w:r>
      <w:r>
        <w:t>would have been</w:t>
      </w:r>
      <w:r w:rsidRPr="00EB1471">
        <w:t xml:space="preserve"> included if they posed the same question and used the same criteria for selecting trials/studies as required for this current review, and the assessors were satisfied that the systematic review had adequately considered the risk of bias in the included primary studies. </w:t>
      </w:r>
    </w:p>
    <w:p w:rsidR="001D0FDA" w:rsidRPr="00EB1471" w:rsidRDefault="001D0FDA" w:rsidP="001D0FDA">
      <w:r w:rsidRPr="00EB1471">
        <w:t>Where adequate evidence was available of a higher quality (</w:t>
      </w:r>
      <w:r>
        <w:t>ie</w:t>
      </w:r>
      <w:r w:rsidRPr="00EB1471">
        <w:t xml:space="preserve"> studies with designs where bias is minimised), lower quality evidence was not considered. </w:t>
      </w:r>
    </w:p>
    <w:p w:rsidR="001D0FDA" w:rsidRPr="00EB1471" w:rsidRDefault="001D0FDA" w:rsidP="001D0FDA">
      <w:pPr>
        <w:rPr>
          <w:u w:val="single"/>
        </w:rPr>
      </w:pPr>
      <w:r w:rsidRPr="00EB1471">
        <w:rPr>
          <w:u w:val="single"/>
        </w:rPr>
        <w:t>Safety</w:t>
      </w:r>
    </w:p>
    <w:p w:rsidR="001D0FDA" w:rsidRPr="00EB1471" w:rsidRDefault="001D0FDA" w:rsidP="00480FDF">
      <w:pPr>
        <w:pStyle w:val="ListParagraph"/>
        <w:numPr>
          <w:ilvl w:val="0"/>
          <w:numId w:val="46"/>
        </w:numPr>
        <w:autoSpaceDE w:val="0"/>
        <w:autoSpaceDN w:val="0"/>
        <w:adjustRightInd w:val="0"/>
        <w:spacing w:before="0" w:after="120" w:line="240" w:lineRule="auto"/>
        <w:contextualSpacing w:val="0"/>
      </w:pPr>
      <w:r w:rsidRPr="00EB1471">
        <w:t xml:space="preserve">RCTs; </w:t>
      </w:r>
    </w:p>
    <w:p w:rsidR="001D0FDA" w:rsidRPr="00EB1471" w:rsidRDefault="001D0FDA" w:rsidP="00480FDF">
      <w:pPr>
        <w:pStyle w:val="ListParagraph"/>
        <w:numPr>
          <w:ilvl w:val="0"/>
          <w:numId w:val="46"/>
        </w:numPr>
        <w:autoSpaceDE w:val="0"/>
        <w:autoSpaceDN w:val="0"/>
        <w:adjustRightInd w:val="0"/>
        <w:spacing w:before="0" w:after="120" w:line="240" w:lineRule="auto"/>
        <w:contextualSpacing w:val="0"/>
      </w:pPr>
      <w:r w:rsidRPr="00EB1471">
        <w:t>Large nonrandomised or observational studies;</w:t>
      </w:r>
    </w:p>
    <w:p w:rsidR="001D0FDA" w:rsidRPr="00EB1471" w:rsidRDefault="001D0FDA" w:rsidP="00480FDF">
      <w:pPr>
        <w:pStyle w:val="ListParagraph"/>
        <w:numPr>
          <w:ilvl w:val="0"/>
          <w:numId w:val="46"/>
        </w:numPr>
        <w:autoSpaceDE w:val="0"/>
        <w:autoSpaceDN w:val="0"/>
        <w:adjustRightInd w:val="0"/>
        <w:spacing w:before="0" w:after="120" w:line="240" w:lineRule="auto"/>
        <w:contextualSpacing w:val="0"/>
      </w:pPr>
      <w:r w:rsidRPr="00EB1471">
        <w:t>Systematic reviews of evidence with any study design.</w:t>
      </w:r>
    </w:p>
    <w:p w:rsidR="001D0FDA" w:rsidRDefault="001D0FDA" w:rsidP="001D0FDA">
      <w:pPr>
        <w:autoSpaceDE w:val="0"/>
        <w:autoSpaceDN w:val="0"/>
        <w:adjustRightInd w:val="0"/>
        <w:spacing w:after="120"/>
      </w:pPr>
      <w:r w:rsidRPr="008D73C9">
        <w:t xml:space="preserve">In order to detect potential safety signals that had not been noted by the PBAC, the reviewer read the full article of any observational study with a sample size of ≥10 patients. Short-term (follow-up of &lt;2 years) studies were included only if they identified </w:t>
      </w:r>
      <w:r w:rsidR="006B2A7D">
        <w:t>AE</w:t>
      </w:r>
      <w:r w:rsidRPr="008D73C9">
        <w:t>s not reported or under-reported by RCTs or in the TGA-approved PI. Observational studies with longer follow-up (≥2 years) which fulfilled the PICO criteria were included in the literature review had ≥50 patients receiving PAH medicines in the studies or if they had reported new safety signals.</w:t>
      </w:r>
    </w:p>
    <w:p w:rsidR="001D0FDA" w:rsidRPr="00EB1471" w:rsidRDefault="001D0FDA" w:rsidP="001D0FDA">
      <w:pPr>
        <w:autoSpaceDE w:val="0"/>
        <w:autoSpaceDN w:val="0"/>
        <w:adjustRightInd w:val="0"/>
        <w:spacing w:after="120"/>
      </w:pPr>
      <w:r w:rsidRPr="00327569">
        <w:t xml:space="preserve">It was considered that routine </w:t>
      </w:r>
      <w:r w:rsidR="006B2A7D">
        <w:t>AE</w:t>
      </w:r>
      <w:r w:rsidRPr="00327569">
        <w:t xml:space="preserve"> reporting would be the source of </w:t>
      </w:r>
      <w:r w:rsidR="006B2A7D">
        <w:t>AE</w:t>
      </w:r>
      <w:r w:rsidRPr="00327569">
        <w:t xml:space="preserve"> data and that where relevant, </w:t>
      </w:r>
      <w:r>
        <w:t>PI</w:t>
      </w:r>
      <w:r w:rsidRPr="00327569">
        <w:t xml:space="preserve"> for the </w:t>
      </w:r>
      <w:r>
        <w:t>PAH medicine</w:t>
      </w:r>
      <w:r w:rsidRPr="00327569">
        <w:t xml:space="preserve"> affected would be updated to include these. Regulatory agencies are responsible for reviewing the </w:t>
      </w:r>
      <w:r w:rsidR="006B2A7D">
        <w:t>AE</w:t>
      </w:r>
      <w:r w:rsidRPr="00327569">
        <w:t xml:space="preserve"> reports and in some cases publish</w:t>
      </w:r>
      <w:r>
        <w:t xml:space="preserve"> the outcome of these reviews. W</w:t>
      </w:r>
      <w:r w:rsidRPr="00EB1471">
        <w:t xml:space="preserve">ebsites of regulatory agencies, including the TGA, the FDA and the </w:t>
      </w:r>
      <w:r>
        <w:t>EMA</w:t>
      </w:r>
      <w:r w:rsidRPr="00EB1471">
        <w:t xml:space="preserve">, were searched for any safety concerns from post-marketing drug safety surveillance which might incur regulatory recall actions undertaken to mitigate risk, </w:t>
      </w:r>
      <w:r>
        <w:t>eg</w:t>
      </w:r>
      <w:r w:rsidRPr="00EB1471">
        <w:t xml:space="preserve"> alterations of the product label, hazard alert, or suspension </w:t>
      </w:r>
      <w:r w:rsidR="00B603BC">
        <w:t>or cancellation of the product.</w:t>
      </w:r>
    </w:p>
    <w:p w:rsidR="001D0FDA" w:rsidRPr="00EB1471" w:rsidRDefault="001D0FDA" w:rsidP="00480FDF">
      <w:pPr>
        <w:pStyle w:val="Heading3"/>
        <w:numPr>
          <w:ilvl w:val="2"/>
          <w:numId w:val="45"/>
        </w:numPr>
        <w:tabs>
          <w:tab w:val="clear" w:pos="2695"/>
        </w:tabs>
        <w:ind w:left="0"/>
      </w:pPr>
      <w:bookmarkStart w:id="75" w:name="_Toc506464131"/>
      <w:bookmarkStart w:id="76" w:name="_Toc512855382"/>
      <w:r w:rsidRPr="00EB1471">
        <w:t>Search results and selection of evidence</w:t>
      </w:r>
      <w:bookmarkEnd w:id="75"/>
      <w:bookmarkEnd w:id="76"/>
    </w:p>
    <w:p w:rsidR="001D0FDA" w:rsidRPr="00EB1471" w:rsidRDefault="001D0FDA" w:rsidP="001D0FDA">
      <w:r w:rsidRPr="00EB1471">
        <w:t>A PRISMA flowchart (</w:t>
      </w:r>
      <w:r w:rsidR="00AA722D">
        <w:t>Figure 4.</w:t>
      </w:r>
      <w:r w:rsidR="00AA722D">
        <w:rPr>
          <w:noProof/>
        </w:rPr>
        <w:t>1</w:t>
      </w:r>
      <w:r w:rsidRPr="00EB1471">
        <w:t>) provides a graphic depiction of the results of the literature search and the application of the study selection criteria as stated in Section 4.3.</w:t>
      </w:r>
      <w:r>
        <w:t>1</w:t>
      </w:r>
      <w:r w:rsidRPr="00EB1471">
        <w:t xml:space="preserve"> </w:t>
      </w:r>
      <w:r w:rsidR="001D34EE" w:rsidRPr="001A1C44">
        <w:rPr>
          <w:noProof/>
          <w:vertAlign w:val="superscript"/>
        </w:rPr>
        <w:t>24</w:t>
      </w:r>
      <w:r w:rsidR="00B603BC">
        <w:t>.</w:t>
      </w:r>
    </w:p>
    <w:p w:rsidR="001D0FDA" w:rsidRPr="00EB1471" w:rsidRDefault="001D0FDA" w:rsidP="001D0FDA">
      <w:r w:rsidRPr="00EB1471">
        <w:t>Studies were selected by a single reviewer with a second reviewer assessing 10 per cent of the most relevant citations. Relevance was determined by the algorithm within Rayyan software</w:t>
      </w:r>
      <w:r w:rsidRPr="00EB1471">
        <w:rPr>
          <w:rStyle w:val="FootnoteReference"/>
        </w:rPr>
        <w:footnoteReference w:id="2"/>
      </w:r>
      <w:r w:rsidR="00B603BC">
        <w:t>.</w:t>
      </w:r>
    </w:p>
    <w:p w:rsidR="001D0FDA" w:rsidRPr="00EB1471" w:rsidRDefault="001D0FDA" w:rsidP="001D0FDA">
      <w:r w:rsidRPr="00EB1471">
        <w:t xml:space="preserve">Studies were excluded from the review if they could not be retrieved or if they met the study selection criteria but contained insufficient or inadequate data for data extraction and synthesis. These excluded studies are listed in </w:t>
      </w:r>
      <w:r>
        <w:t>Appendix</w:t>
      </w:r>
      <w:r w:rsidR="00DA2636">
        <w:t xml:space="preserve"> 4</w:t>
      </w:r>
      <w:r>
        <w:t>B</w:t>
      </w:r>
      <w:r w:rsidRPr="00EB1471">
        <w:t xml:space="preserve">. </w:t>
      </w:r>
      <w:r w:rsidRPr="008D73C9">
        <w:t xml:space="preserve">A list of short-term observational studies which did not detect any new safety signals and, therefore, were excluded from extended assessment of </w:t>
      </w:r>
      <w:r>
        <w:t xml:space="preserve">the </w:t>
      </w:r>
      <w:r w:rsidRPr="008D73C9">
        <w:t>safety of PAH medicines can be provided on demand.</w:t>
      </w:r>
    </w:p>
    <w:p w:rsidR="00CF03B6" w:rsidRPr="00EB1471" w:rsidRDefault="00367EA5" w:rsidP="001D0FDA">
      <w:r>
        <w:rPr>
          <w:noProof/>
          <w:lang w:eastAsia="en-AU"/>
        </w:rPr>
        <w:lastRenderedPageBreak/>
        <w:drawing>
          <wp:inline distT="0" distB="0" distL="0" distR="0" wp14:anchorId="61A6B57E" wp14:editId="538D9809">
            <wp:extent cx="5248910" cy="6804025"/>
            <wp:effectExtent l="0" t="0" r="8890" b="0"/>
            <wp:docPr id="4" name="Picture 4" descr="Summary of the process used to identify and select studies for the assessment of PAH medicines" title="PRISM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910" cy="6804025"/>
                    </a:xfrm>
                    <a:prstGeom prst="rect">
                      <a:avLst/>
                    </a:prstGeom>
                    <a:noFill/>
                  </pic:spPr>
                </pic:pic>
              </a:graphicData>
            </a:graphic>
          </wp:inline>
        </w:drawing>
      </w:r>
    </w:p>
    <w:p w:rsidR="001D0FDA" w:rsidRPr="00EB1471" w:rsidRDefault="001D0FDA" w:rsidP="00367EA5">
      <w:pPr>
        <w:pStyle w:val="Caption"/>
        <w:spacing w:before="120"/>
        <w:rPr>
          <w:rStyle w:val="CaptionChar"/>
          <w:rFonts w:eastAsiaTheme="minorHAnsi"/>
          <w:b/>
        </w:rPr>
      </w:pPr>
      <w:bookmarkStart w:id="77" w:name="_Ref505950925"/>
      <w:bookmarkStart w:id="78" w:name="_Toc512855574"/>
      <w:r>
        <w:t>Figure 4.</w:t>
      </w:r>
      <w:r w:rsidR="00AA722D">
        <w:rPr>
          <w:noProof/>
        </w:rPr>
        <w:t>1</w:t>
      </w:r>
      <w:bookmarkEnd w:id="77"/>
      <w:r>
        <w:rPr>
          <w:rStyle w:val="CaptionChar"/>
          <w:rFonts w:eastAsiaTheme="minorHAnsi"/>
          <w:b/>
        </w:rPr>
        <w:tab/>
      </w:r>
      <w:r w:rsidRPr="00EB1471">
        <w:rPr>
          <w:rStyle w:val="CaptionChar"/>
          <w:rFonts w:eastAsiaTheme="minorHAnsi"/>
          <w:b/>
        </w:rPr>
        <w:t xml:space="preserve">Summary of the process used to identify and select studies for the assessment of </w:t>
      </w:r>
      <w:r>
        <w:rPr>
          <w:rStyle w:val="CaptionChar"/>
          <w:rFonts w:eastAsiaTheme="minorHAnsi"/>
          <w:b/>
        </w:rPr>
        <w:t>PAH medicine</w:t>
      </w:r>
      <w:r w:rsidRPr="00EB1471">
        <w:rPr>
          <w:rStyle w:val="CaptionChar"/>
          <w:rFonts w:eastAsiaTheme="minorHAnsi"/>
          <w:b/>
        </w:rPr>
        <w:t>s</w:t>
      </w:r>
      <w:bookmarkEnd w:id="78"/>
    </w:p>
    <w:p w:rsidR="001D0FDA" w:rsidRPr="00EB1471" w:rsidRDefault="001D0FDA" w:rsidP="001D0FDA">
      <w:pPr>
        <w:pStyle w:val="Tablenote"/>
      </w:pPr>
      <w:r w:rsidRPr="00EB1471">
        <w:t>PICO = Population, Intervention, Comparator and Outcome; RCT = randomised controlled trial</w:t>
      </w:r>
    </w:p>
    <w:p w:rsidR="001D0FDA" w:rsidRPr="00EB1471" w:rsidRDefault="001D0FDA" w:rsidP="001D0FDA">
      <w:pPr>
        <w:rPr>
          <w:color w:val="000000"/>
        </w:rPr>
      </w:pPr>
      <w:r w:rsidRPr="00EB1471">
        <w:t xml:space="preserve">A profile of each included study is given in </w:t>
      </w:r>
      <w:r>
        <w:t xml:space="preserve">Appendix </w:t>
      </w:r>
      <w:r w:rsidR="00DA2636">
        <w:t>4</w:t>
      </w:r>
      <w:r>
        <w:t>A</w:t>
      </w:r>
      <w:r w:rsidRPr="00EB1471">
        <w:t xml:space="preserve">. </w:t>
      </w:r>
      <w:r w:rsidRPr="00EB1471">
        <w:rPr>
          <w:color w:val="000000"/>
        </w:rPr>
        <w:t>This study profile describes the study ID, authors, publication year, study design and study quality (level of evidence and risk of bias), study location, setting, length of follow-up of patients, study population characteristics, description of the intervention, description of the comparator and the relevant outcomes assessed. Key study characteristics are also summarised in a shorter format in Section 4.</w:t>
      </w:r>
      <w:r>
        <w:rPr>
          <w:color w:val="000000"/>
        </w:rPr>
        <w:t>3.4</w:t>
      </w:r>
      <w:r w:rsidRPr="00EB1471">
        <w:rPr>
          <w:color w:val="000000"/>
        </w:rPr>
        <w:t xml:space="preserve">. In studies where a </w:t>
      </w:r>
      <w:r>
        <w:rPr>
          <w:color w:val="000000"/>
        </w:rPr>
        <w:t>PAH medicine</w:t>
      </w:r>
      <w:r w:rsidRPr="00EB1471">
        <w:rPr>
          <w:color w:val="000000"/>
        </w:rPr>
        <w:t xml:space="preserve"> was given at different doses, data were extracted only for the arm with the dose that is recommended by the TGA-approved PI.</w:t>
      </w:r>
    </w:p>
    <w:p w:rsidR="001D0FDA" w:rsidRPr="00EB1471" w:rsidRDefault="001D0FDA" w:rsidP="00480FDF">
      <w:pPr>
        <w:pStyle w:val="Heading3"/>
        <w:numPr>
          <w:ilvl w:val="2"/>
          <w:numId w:val="45"/>
        </w:numPr>
        <w:tabs>
          <w:tab w:val="clear" w:pos="2695"/>
        </w:tabs>
        <w:ind w:left="0"/>
      </w:pPr>
      <w:bookmarkStart w:id="79" w:name="_Toc506464132"/>
      <w:bookmarkStart w:id="80" w:name="_Toc512855383"/>
      <w:r w:rsidRPr="00EB1471">
        <w:lastRenderedPageBreak/>
        <w:t>Critical appraisal</w:t>
      </w:r>
      <w:bookmarkEnd w:id="79"/>
      <w:bookmarkEnd w:id="80"/>
      <w:r w:rsidRPr="00EB1471">
        <w:t xml:space="preserve"> </w:t>
      </w:r>
    </w:p>
    <w:p w:rsidR="001D0FDA" w:rsidRPr="00EB1471" w:rsidRDefault="001D0FDA" w:rsidP="001D0FDA">
      <w:r w:rsidRPr="00EB1471">
        <w:t xml:space="preserve">Individual studies were critically appraised in terms of the risk of bias associated with their study design (NHMRC levels of evidence, see </w:t>
      </w:r>
      <w:r w:rsidR="00AA722D">
        <w:t>Table 4.</w:t>
      </w:r>
      <w:r w:rsidR="00AA722D">
        <w:rPr>
          <w:noProof/>
        </w:rPr>
        <w:t>25</w:t>
      </w:r>
      <w:r w:rsidRPr="00EB1471">
        <w:t xml:space="preserve">) and their execution. The Cochrane Collaboration’s </w:t>
      </w:r>
      <w:r>
        <w:t>tool for assessing risk of bias</w:t>
      </w:r>
      <w:r w:rsidR="001D34EE" w:rsidRPr="001A1C44">
        <w:rPr>
          <w:noProof/>
          <w:vertAlign w:val="superscript"/>
        </w:rPr>
        <w:t>25</w:t>
      </w:r>
      <w:r w:rsidRPr="00EB1471">
        <w:t xml:space="preserve"> was used to appraise the RCTs. Observational studies were assessed using Cochrane’s Risk Of Bias In Non-randomised Studies – o</w:t>
      </w:r>
      <w:r>
        <w:t>f Interventions (ROBINS-I) tool</w:t>
      </w:r>
      <w:r w:rsidR="001D34EE" w:rsidRPr="001A1C44">
        <w:rPr>
          <w:noProof/>
          <w:vertAlign w:val="superscript"/>
        </w:rPr>
        <w:t>26</w:t>
      </w:r>
      <w:r w:rsidRPr="00EB1471">
        <w:t>.</w:t>
      </w:r>
      <w:r>
        <w:t xml:space="preserve"> </w:t>
      </w:r>
      <w:r w:rsidRPr="00D53F84">
        <w:t>Systematic reviews would have been assess</w:t>
      </w:r>
      <w:r>
        <w:t>ed using the AMSTAR 2 checklist</w:t>
      </w:r>
      <w:r w:rsidR="001D34EE" w:rsidRPr="001A1C44">
        <w:rPr>
          <w:noProof/>
          <w:vertAlign w:val="superscript"/>
        </w:rPr>
        <w:t>27</w:t>
      </w:r>
      <w:r w:rsidRPr="00D53F84">
        <w:t>.</w:t>
      </w:r>
    </w:p>
    <w:p w:rsidR="001D0FDA" w:rsidRPr="00EB1471" w:rsidRDefault="001D0FDA" w:rsidP="001D0FDA">
      <w:pPr>
        <w:pStyle w:val="Caption"/>
      </w:pPr>
      <w:bookmarkStart w:id="81" w:name="_Ref505948784"/>
      <w:bookmarkStart w:id="82" w:name="_Toc381969867"/>
      <w:bookmarkStart w:id="83" w:name="_Toc477865246"/>
      <w:bookmarkStart w:id="84" w:name="_Toc512855429"/>
      <w:r>
        <w:t>Table 4.</w:t>
      </w:r>
      <w:r w:rsidR="00AA722D">
        <w:rPr>
          <w:noProof/>
        </w:rPr>
        <w:t>25</w:t>
      </w:r>
      <w:bookmarkEnd w:id="81"/>
      <w:r>
        <w:tab/>
      </w:r>
      <w:r w:rsidRPr="00EB1471">
        <w:t>Designations of levels of interventional evidence</w:t>
      </w:r>
      <w:bookmarkEnd w:id="82"/>
      <w:bookmarkEnd w:id="83"/>
      <w:bookmarkEnd w:id="84"/>
    </w:p>
    <w:tbl>
      <w:tblPr>
        <w:tblW w:w="9493" w:type="dxa"/>
        <w:tblLayout w:type="fixed"/>
        <w:tblCellMar>
          <w:left w:w="57" w:type="dxa"/>
          <w:right w:w="0" w:type="dxa"/>
        </w:tblCellMar>
        <w:tblLook w:val="0000" w:firstRow="0" w:lastRow="0" w:firstColumn="0" w:lastColumn="0" w:noHBand="0" w:noVBand="0"/>
        <w:tblCaption w:val="Designations of levels of interventional evidence"/>
      </w:tblPr>
      <w:tblGrid>
        <w:gridCol w:w="1413"/>
        <w:gridCol w:w="8080"/>
      </w:tblGrid>
      <w:tr w:rsidR="001D0FDA" w:rsidRPr="00EB1471" w:rsidTr="00FD0BAE">
        <w:trPr>
          <w:tblHeader/>
        </w:trPr>
        <w:tc>
          <w:tcPr>
            <w:tcW w:w="141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D0FDA" w:rsidRPr="00EB1471" w:rsidRDefault="001D0FDA" w:rsidP="001D0FDA">
            <w:pPr>
              <w:pStyle w:val="Tabletext"/>
              <w:rPr>
                <w:b/>
              </w:rPr>
            </w:pPr>
            <w:r w:rsidRPr="00EB1471">
              <w:rPr>
                <w:b/>
              </w:rPr>
              <w:t>Level</w:t>
            </w:r>
          </w:p>
        </w:tc>
        <w:tc>
          <w:tcPr>
            <w:tcW w:w="8080" w:type="dxa"/>
            <w:tcBorders>
              <w:top w:val="single" w:sz="4" w:space="0" w:color="auto"/>
              <w:left w:val="single" w:sz="4" w:space="0" w:color="auto"/>
              <w:bottom w:val="single" w:sz="4" w:space="0" w:color="auto"/>
              <w:right w:val="single" w:sz="4" w:space="0" w:color="000000"/>
            </w:tcBorders>
            <w:shd w:val="clear" w:color="auto" w:fill="BFBFBF" w:themeFill="background1" w:themeFillShade="BF"/>
          </w:tcPr>
          <w:p w:rsidR="001D0FDA" w:rsidRPr="00EB1471" w:rsidRDefault="001D0FDA" w:rsidP="001D0FDA">
            <w:pPr>
              <w:pStyle w:val="Tabletext"/>
              <w:rPr>
                <w:b/>
              </w:rPr>
            </w:pPr>
            <w:r w:rsidRPr="00EB1471">
              <w:rPr>
                <w:b/>
              </w:rPr>
              <w:t>Intervention</w:t>
            </w:r>
            <w:r w:rsidRPr="00EB1471">
              <w:rPr>
                <w:b/>
                <w:vertAlign w:val="superscript"/>
              </w:rPr>
              <w:t>a</w:t>
            </w:r>
          </w:p>
        </w:tc>
      </w:tr>
      <w:tr w:rsidR="001D0FDA" w:rsidRPr="00EB1471" w:rsidTr="001D0FDA">
        <w:tc>
          <w:tcPr>
            <w:tcW w:w="1413" w:type="dxa"/>
            <w:tcBorders>
              <w:top w:val="single" w:sz="4" w:space="0" w:color="auto"/>
              <w:left w:val="single" w:sz="4" w:space="0" w:color="auto"/>
              <w:bottom w:val="single" w:sz="4" w:space="0" w:color="000000"/>
              <w:right w:val="single" w:sz="4" w:space="0" w:color="auto"/>
            </w:tcBorders>
          </w:tcPr>
          <w:p w:rsidR="001D0FDA" w:rsidRPr="00EB1471" w:rsidRDefault="001D0FDA" w:rsidP="001D0FDA">
            <w:pPr>
              <w:pStyle w:val="Tabletext"/>
            </w:pPr>
            <w:r w:rsidRPr="00EB1471">
              <w:t>I</w:t>
            </w:r>
            <w:r w:rsidRPr="00EB1471">
              <w:rPr>
                <w:vertAlign w:val="superscript"/>
              </w:rPr>
              <w:t>b</w:t>
            </w:r>
          </w:p>
        </w:tc>
        <w:tc>
          <w:tcPr>
            <w:tcW w:w="8080" w:type="dxa"/>
            <w:tcBorders>
              <w:top w:val="single" w:sz="4" w:space="0" w:color="auto"/>
              <w:left w:val="single" w:sz="4" w:space="0" w:color="auto"/>
              <w:bottom w:val="single" w:sz="4" w:space="0" w:color="000000"/>
              <w:right w:val="single" w:sz="4" w:space="0" w:color="000000"/>
            </w:tcBorders>
          </w:tcPr>
          <w:p w:rsidR="001D0FDA" w:rsidRPr="00EB1471" w:rsidRDefault="001D0FDA" w:rsidP="001D0FDA">
            <w:pPr>
              <w:pStyle w:val="Tabletext"/>
            </w:pPr>
            <w:r w:rsidRPr="00EB1471">
              <w:t>A systematic review of level II studies</w:t>
            </w:r>
          </w:p>
        </w:tc>
      </w:tr>
      <w:tr w:rsidR="001D0FDA" w:rsidRPr="00EB1471" w:rsidTr="001D0FDA">
        <w:tc>
          <w:tcPr>
            <w:tcW w:w="1413" w:type="dxa"/>
            <w:tcBorders>
              <w:top w:val="single" w:sz="4" w:space="0" w:color="000000"/>
              <w:left w:val="single" w:sz="4" w:space="0" w:color="auto"/>
              <w:bottom w:val="single" w:sz="4" w:space="0" w:color="000000"/>
              <w:right w:val="single" w:sz="4" w:space="0" w:color="auto"/>
            </w:tcBorders>
          </w:tcPr>
          <w:p w:rsidR="001D0FDA" w:rsidRPr="00EB1471" w:rsidRDefault="001D0FDA" w:rsidP="001D0FDA">
            <w:pPr>
              <w:pStyle w:val="Tabletext"/>
            </w:pPr>
            <w:r w:rsidRPr="00EB1471">
              <w:t>II</w:t>
            </w:r>
          </w:p>
        </w:tc>
        <w:tc>
          <w:tcPr>
            <w:tcW w:w="8080" w:type="dxa"/>
            <w:tcBorders>
              <w:top w:val="single" w:sz="4" w:space="0" w:color="000000"/>
              <w:left w:val="single" w:sz="4" w:space="0" w:color="auto"/>
              <w:bottom w:val="single" w:sz="4" w:space="0" w:color="000000"/>
              <w:right w:val="single" w:sz="4" w:space="0" w:color="000000"/>
            </w:tcBorders>
          </w:tcPr>
          <w:p w:rsidR="001D0FDA" w:rsidRPr="00EB1471" w:rsidRDefault="001D0FDA" w:rsidP="001D0FDA">
            <w:pPr>
              <w:pStyle w:val="Tabletext"/>
            </w:pPr>
            <w:r w:rsidRPr="00EB1471">
              <w:t>A randomised controlled trial</w:t>
            </w:r>
          </w:p>
        </w:tc>
      </w:tr>
      <w:tr w:rsidR="001D0FDA" w:rsidRPr="00EB1471" w:rsidTr="001D0FDA">
        <w:tc>
          <w:tcPr>
            <w:tcW w:w="1413" w:type="dxa"/>
            <w:tcBorders>
              <w:top w:val="single" w:sz="4" w:space="0" w:color="000000"/>
              <w:left w:val="single" w:sz="4" w:space="0" w:color="auto"/>
              <w:bottom w:val="single" w:sz="4" w:space="0" w:color="000000"/>
              <w:right w:val="single" w:sz="4" w:space="0" w:color="auto"/>
            </w:tcBorders>
          </w:tcPr>
          <w:p w:rsidR="001D0FDA" w:rsidRPr="00EB1471" w:rsidRDefault="001D0FDA" w:rsidP="001D0FDA">
            <w:pPr>
              <w:pStyle w:val="Tabletext"/>
            </w:pPr>
            <w:r w:rsidRPr="00EB1471">
              <w:t>III-1</w:t>
            </w:r>
          </w:p>
        </w:tc>
        <w:tc>
          <w:tcPr>
            <w:tcW w:w="8080" w:type="dxa"/>
            <w:tcBorders>
              <w:top w:val="single" w:sz="4" w:space="0" w:color="000000"/>
              <w:left w:val="single" w:sz="4" w:space="0" w:color="auto"/>
              <w:bottom w:val="single" w:sz="4" w:space="0" w:color="000000"/>
              <w:right w:val="single" w:sz="4" w:space="0" w:color="000000"/>
            </w:tcBorders>
          </w:tcPr>
          <w:p w:rsidR="001D0FDA" w:rsidRPr="00EB1471" w:rsidRDefault="001D0FDA" w:rsidP="001D0FDA">
            <w:pPr>
              <w:pStyle w:val="Tabletext"/>
            </w:pPr>
            <w:r w:rsidRPr="00EB1471">
              <w:t>A pseudo-randomised controlled trial</w:t>
            </w:r>
          </w:p>
          <w:p w:rsidR="001D0FDA" w:rsidRPr="00EB1471" w:rsidRDefault="001D0FDA" w:rsidP="001D0FDA">
            <w:pPr>
              <w:pStyle w:val="Tabletext"/>
            </w:pPr>
            <w:r w:rsidRPr="00EB1471">
              <w:t>(</w:t>
            </w:r>
            <w:r>
              <w:t>ie</w:t>
            </w:r>
            <w:r w:rsidRPr="00EB1471">
              <w:t xml:space="preserve"> alternate allocation or some other method)</w:t>
            </w:r>
          </w:p>
        </w:tc>
      </w:tr>
      <w:tr w:rsidR="001D0FDA" w:rsidRPr="00EB1471" w:rsidTr="001D0FDA">
        <w:tc>
          <w:tcPr>
            <w:tcW w:w="1413" w:type="dxa"/>
            <w:tcBorders>
              <w:top w:val="single" w:sz="4" w:space="0" w:color="000000"/>
              <w:left w:val="single" w:sz="4" w:space="0" w:color="auto"/>
              <w:bottom w:val="single" w:sz="4" w:space="0" w:color="000000"/>
              <w:right w:val="single" w:sz="4" w:space="0" w:color="auto"/>
            </w:tcBorders>
          </w:tcPr>
          <w:p w:rsidR="001D0FDA" w:rsidRPr="00EB1471" w:rsidRDefault="001D0FDA" w:rsidP="001D0FDA">
            <w:pPr>
              <w:pStyle w:val="Tabletext"/>
            </w:pPr>
            <w:r w:rsidRPr="00EB1471">
              <w:t>III-2</w:t>
            </w:r>
          </w:p>
        </w:tc>
        <w:tc>
          <w:tcPr>
            <w:tcW w:w="8080" w:type="dxa"/>
            <w:tcBorders>
              <w:top w:val="single" w:sz="4" w:space="0" w:color="000000"/>
              <w:left w:val="single" w:sz="4" w:space="0" w:color="auto"/>
              <w:bottom w:val="single" w:sz="4" w:space="0" w:color="000000"/>
              <w:right w:val="single" w:sz="4" w:space="0" w:color="000000"/>
            </w:tcBorders>
          </w:tcPr>
          <w:p w:rsidR="001D0FDA" w:rsidRPr="00EB1471" w:rsidRDefault="001D0FDA" w:rsidP="001D0FDA">
            <w:pPr>
              <w:pStyle w:val="Tabletext"/>
            </w:pPr>
            <w:r w:rsidRPr="00EB1471">
              <w:t>A comparative study with concurrent controls:</w:t>
            </w:r>
          </w:p>
          <w:p w:rsidR="001D0FDA" w:rsidRPr="00EB1471" w:rsidRDefault="001D0FDA" w:rsidP="001D0FDA">
            <w:pPr>
              <w:pStyle w:val="Tabletext"/>
            </w:pPr>
            <w:r w:rsidRPr="00EB1471">
              <w:t>▪  Non-randomised, experimental trial</w:t>
            </w:r>
            <w:r w:rsidRPr="00EB1471">
              <w:rPr>
                <w:vertAlign w:val="superscript"/>
              </w:rPr>
              <w:t>c</w:t>
            </w:r>
          </w:p>
          <w:p w:rsidR="001D0FDA" w:rsidRPr="00EB1471" w:rsidRDefault="001D0FDA" w:rsidP="001D0FDA">
            <w:pPr>
              <w:pStyle w:val="Tabletext"/>
            </w:pPr>
            <w:r w:rsidRPr="00EB1471">
              <w:t>▪  Cohort study</w:t>
            </w:r>
          </w:p>
          <w:p w:rsidR="001D0FDA" w:rsidRPr="00EB1471" w:rsidRDefault="001D0FDA" w:rsidP="001D0FDA">
            <w:pPr>
              <w:pStyle w:val="Tabletext"/>
            </w:pPr>
            <w:r w:rsidRPr="00EB1471">
              <w:t>▪  Case-control study</w:t>
            </w:r>
          </w:p>
          <w:p w:rsidR="001D0FDA" w:rsidRPr="00EB1471" w:rsidRDefault="001D0FDA" w:rsidP="001D0FDA">
            <w:pPr>
              <w:pStyle w:val="Tabletext"/>
            </w:pPr>
            <w:r w:rsidRPr="00EB1471">
              <w:t>▪  Interrupted time series with a control group</w:t>
            </w:r>
          </w:p>
        </w:tc>
      </w:tr>
      <w:tr w:rsidR="001D0FDA" w:rsidRPr="00EB1471" w:rsidTr="001D0FDA">
        <w:tc>
          <w:tcPr>
            <w:tcW w:w="1413" w:type="dxa"/>
            <w:tcBorders>
              <w:top w:val="single" w:sz="4" w:space="0" w:color="000000"/>
              <w:left w:val="single" w:sz="4" w:space="0" w:color="auto"/>
              <w:bottom w:val="single" w:sz="4" w:space="0" w:color="000000"/>
              <w:right w:val="single" w:sz="4" w:space="0" w:color="auto"/>
            </w:tcBorders>
          </w:tcPr>
          <w:p w:rsidR="001D0FDA" w:rsidRPr="00EB1471" w:rsidRDefault="001D0FDA" w:rsidP="001D0FDA">
            <w:pPr>
              <w:pStyle w:val="Tabletext"/>
            </w:pPr>
            <w:r w:rsidRPr="00EB1471">
              <w:t>III-3</w:t>
            </w:r>
          </w:p>
        </w:tc>
        <w:tc>
          <w:tcPr>
            <w:tcW w:w="8080" w:type="dxa"/>
            <w:tcBorders>
              <w:top w:val="single" w:sz="4" w:space="0" w:color="000000"/>
              <w:left w:val="single" w:sz="4" w:space="0" w:color="auto"/>
              <w:bottom w:val="single" w:sz="4" w:space="0" w:color="000000"/>
              <w:right w:val="single" w:sz="4" w:space="0" w:color="000000"/>
            </w:tcBorders>
          </w:tcPr>
          <w:p w:rsidR="001D0FDA" w:rsidRPr="00EB1471" w:rsidRDefault="001D0FDA" w:rsidP="001D0FDA">
            <w:pPr>
              <w:pStyle w:val="Tabletext"/>
            </w:pPr>
            <w:r w:rsidRPr="00EB1471">
              <w:t>A comparative study without concurrent controls:</w:t>
            </w:r>
          </w:p>
          <w:p w:rsidR="001D0FDA" w:rsidRPr="00EB1471" w:rsidRDefault="001D0FDA" w:rsidP="001D0FDA">
            <w:pPr>
              <w:pStyle w:val="Tabletext"/>
            </w:pPr>
            <w:r w:rsidRPr="00EB1471">
              <w:t>▪  Historical control study</w:t>
            </w:r>
          </w:p>
          <w:p w:rsidR="001D0FDA" w:rsidRPr="00EB1471" w:rsidRDefault="001D0FDA" w:rsidP="001D0FDA">
            <w:pPr>
              <w:pStyle w:val="Tabletext"/>
            </w:pPr>
            <w:r w:rsidRPr="00EB1471">
              <w:t>▪  Two or more single arm study</w:t>
            </w:r>
            <w:r w:rsidRPr="00EB1471">
              <w:rPr>
                <w:vertAlign w:val="superscript"/>
              </w:rPr>
              <w:t>d</w:t>
            </w:r>
          </w:p>
          <w:p w:rsidR="001D0FDA" w:rsidRPr="00EB1471" w:rsidRDefault="001D0FDA" w:rsidP="001D0FDA">
            <w:pPr>
              <w:pStyle w:val="Tabletext"/>
            </w:pPr>
            <w:r w:rsidRPr="00EB1471">
              <w:t>▪  Interrupted time series without a parallel control group</w:t>
            </w:r>
          </w:p>
        </w:tc>
      </w:tr>
      <w:tr w:rsidR="001D0FDA" w:rsidRPr="00EB1471" w:rsidTr="001D0FDA">
        <w:tc>
          <w:tcPr>
            <w:tcW w:w="1413" w:type="dxa"/>
            <w:tcBorders>
              <w:top w:val="single" w:sz="4" w:space="0" w:color="000000"/>
              <w:left w:val="single" w:sz="4" w:space="0" w:color="auto"/>
              <w:bottom w:val="single" w:sz="4" w:space="0" w:color="auto"/>
              <w:right w:val="single" w:sz="4" w:space="0" w:color="auto"/>
            </w:tcBorders>
          </w:tcPr>
          <w:p w:rsidR="001D0FDA" w:rsidRPr="00EB1471" w:rsidRDefault="001D0FDA" w:rsidP="001D0FDA">
            <w:pPr>
              <w:pStyle w:val="Tabletext"/>
            </w:pPr>
            <w:r w:rsidRPr="00EB1471">
              <w:t>IV</w:t>
            </w:r>
          </w:p>
        </w:tc>
        <w:tc>
          <w:tcPr>
            <w:tcW w:w="8080" w:type="dxa"/>
            <w:tcBorders>
              <w:top w:val="single" w:sz="4" w:space="0" w:color="000000"/>
              <w:left w:val="single" w:sz="4" w:space="0" w:color="auto"/>
              <w:bottom w:val="single" w:sz="4" w:space="0" w:color="auto"/>
              <w:right w:val="single" w:sz="4" w:space="0" w:color="000000"/>
            </w:tcBorders>
          </w:tcPr>
          <w:p w:rsidR="001D0FDA" w:rsidRPr="00EB1471" w:rsidRDefault="001D0FDA" w:rsidP="001D0FDA">
            <w:pPr>
              <w:pStyle w:val="Tabletext"/>
            </w:pPr>
            <w:r w:rsidRPr="00EB1471">
              <w:t>Case series with either post-test or pre-test/post-test outcomes</w:t>
            </w:r>
          </w:p>
        </w:tc>
      </w:tr>
    </w:tbl>
    <w:p w:rsidR="001D0FDA" w:rsidRPr="00EB1471" w:rsidRDefault="001D0FDA" w:rsidP="001D0FDA">
      <w:pPr>
        <w:pStyle w:val="Tablenote"/>
      </w:pPr>
      <w:r w:rsidRPr="00EB1471">
        <w:rPr>
          <w:vertAlign w:val="superscript"/>
        </w:rPr>
        <w:t>a</w:t>
      </w:r>
      <w:r w:rsidRPr="00EB1471">
        <w:t xml:space="preserve"> Definitions of these study designs are provided on pages 7-8 How to use the evidence: assessment and application of scientific evidence </w:t>
      </w:r>
      <w:r w:rsidR="001D34EE" w:rsidRPr="001A1C44">
        <w:rPr>
          <w:noProof/>
          <w:vertAlign w:val="superscript"/>
        </w:rPr>
        <w:t>28</w:t>
      </w:r>
      <w:r w:rsidRPr="00EB1471">
        <w:t xml:space="preserve"> and in the accompanying Glossary.</w:t>
      </w:r>
    </w:p>
    <w:p w:rsidR="001D0FDA" w:rsidRPr="00EB1471" w:rsidRDefault="001D0FDA" w:rsidP="001D0FDA">
      <w:pPr>
        <w:pStyle w:val="Tablenote"/>
      </w:pPr>
      <w:r w:rsidRPr="00EB1471">
        <w:rPr>
          <w:vertAlign w:val="superscript"/>
        </w:rPr>
        <w:t>b</w:t>
      </w:r>
      <w:r w:rsidRPr="00EB1471">
        <w:t xml:space="preserve"> A systematic review will only be assigned a level of evidence as high as the studies it contains, excepting where those studies are of level II evidence. Systematic reviews of level II evidence provide more data than the individual studies and any meta-analyses will increase the precision of the overall results, reducing the likelihood that the results are affected by chance. Systematic reviews of lower level evidence present results of likely poor internal validity and thus are rated on the likelihood that the results have been affected by bias, rather than whether the systematic review itself is of good quality. Systematic review quality should be assessed separately. A systematic review should consist of at least two studies. In systematic reviews that include different study designs, the overall level of evidence should relate to each individual outcome/result, as different studies (and study designs) might contribute to each different outcome.</w:t>
      </w:r>
    </w:p>
    <w:p w:rsidR="001D0FDA" w:rsidRPr="00EB1471" w:rsidRDefault="001D0FDA" w:rsidP="001D0FDA">
      <w:pPr>
        <w:pStyle w:val="Tablenote"/>
      </w:pPr>
      <w:r w:rsidRPr="00EB1471">
        <w:rPr>
          <w:vertAlign w:val="superscript"/>
        </w:rPr>
        <w:t>c</w:t>
      </w:r>
      <w:r w:rsidRPr="00EB1471">
        <w:t xml:space="preserve"> This also includes controlled before-and-after (pre-test/post-test) studies, as well as adjusted indirect comparisons (</w:t>
      </w:r>
      <w:r>
        <w:t>ie</w:t>
      </w:r>
      <w:r w:rsidRPr="00EB1471">
        <w:t xml:space="preserve"> utilise A vs B and B vs C, to determine A vs C with statistical adjustment for B).</w:t>
      </w:r>
    </w:p>
    <w:p w:rsidR="001D0FDA" w:rsidRPr="00EB1471" w:rsidRDefault="001D0FDA" w:rsidP="001D0FDA">
      <w:pPr>
        <w:pStyle w:val="Tablenote"/>
      </w:pPr>
      <w:r w:rsidRPr="00EB1471">
        <w:rPr>
          <w:vertAlign w:val="superscript"/>
        </w:rPr>
        <w:t>d</w:t>
      </w:r>
      <w:r w:rsidRPr="00EB1471">
        <w:t xml:space="preserve"> Comparing single arm studies </w:t>
      </w:r>
      <w:r>
        <w:t>ie</w:t>
      </w:r>
      <w:r w:rsidRPr="00EB1471">
        <w:t xml:space="preserve"> case series from two studies. This would also include unadjusted indirect comparisons (</w:t>
      </w:r>
      <w:r>
        <w:t>ie</w:t>
      </w:r>
      <w:r w:rsidRPr="00EB1471">
        <w:t xml:space="preserve"> utilise A vs B and B vs C, to determine A vs C but where there is no statistical adjustment for B).</w:t>
      </w:r>
    </w:p>
    <w:p w:rsidR="001D0FDA" w:rsidRPr="00EB1471" w:rsidRDefault="001D0FDA" w:rsidP="001D0FDA">
      <w:pPr>
        <w:pStyle w:val="Tablenote"/>
      </w:pPr>
      <w:r w:rsidRPr="00EB1471">
        <w:rPr>
          <w:u w:val="single"/>
        </w:rPr>
        <w:t>Note A</w:t>
      </w:r>
      <w:r w:rsidRPr="00EB1471">
        <w:t>: Assessment of comparative harms/safety should occur according to the hierarchy presented for each of the research questions, with the proviso that this assessment occurs within the context of the topic being assessed. Some harms (and other outcomes) are rare and cannot feasibly be captured within randomised controlled trials, in which case lower levels of evidence may be the only type of evidence that is practically achievable; physical harms and psychological harms may need to be addressed by different study designs; harms from diagnostic testing include the likelihood of false positive and false negative results; harms from screening include the likelihood of false alarm and false reassurance results.</w:t>
      </w:r>
    </w:p>
    <w:p w:rsidR="001D0FDA" w:rsidRPr="00EB1471" w:rsidRDefault="001D0FDA" w:rsidP="001D0FDA">
      <w:pPr>
        <w:pStyle w:val="Tablenote"/>
      </w:pPr>
      <w:r w:rsidRPr="00EB1471">
        <w:rPr>
          <w:u w:val="single"/>
        </w:rPr>
        <w:t>Note B</w:t>
      </w:r>
      <w:r w:rsidRPr="00EB1471">
        <w:t>: When a level of evidence is attributed in the text of a document, it should also be framed according to its co</w:t>
      </w:r>
      <w:r>
        <w:t>rresponding research question eg</w:t>
      </w:r>
      <w:r w:rsidRPr="00EB1471">
        <w:t xml:space="preserve"> level II intervention evidence; level IV diagnostic evidence; level III-2 prognostic evidence.</w:t>
      </w:r>
    </w:p>
    <w:p w:rsidR="001D0FDA" w:rsidRPr="00EB1471" w:rsidRDefault="001D0FDA" w:rsidP="001D0FDA">
      <w:pPr>
        <w:pStyle w:val="Tablenote"/>
      </w:pPr>
      <w:r w:rsidRPr="00EB1471">
        <w:rPr>
          <w:u w:val="single"/>
        </w:rPr>
        <w:t>Note C</w:t>
      </w:r>
      <w:r w:rsidRPr="00EB1471">
        <w:t>: Each individual study that is attributed a “level of evidence” should be rigorously appraised using validated or commonly used checklists or appraisal tools to ensure that factors other than study design have not affected the validity of the results.</w:t>
      </w:r>
    </w:p>
    <w:p w:rsidR="001D0FDA" w:rsidRPr="00EB1471" w:rsidRDefault="001D0FDA" w:rsidP="001D0FDA">
      <w:pPr>
        <w:pStyle w:val="Tablenote"/>
      </w:pPr>
      <w:r w:rsidRPr="00EB1471">
        <w:t xml:space="preserve">Source: Merlin </w:t>
      </w:r>
      <w:r w:rsidRPr="003F790F">
        <w:t>et al</w:t>
      </w:r>
      <w:r w:rsidRPr="00EB1471">
        <w:rPr>
          <w:i/>
        </w:rPr>
        <w:t xml:space="preserve"> </w:t>
      </w:r>
      <w:r w:rsidRPr="00EB1471">
        <w:t>2009</w:t>
      </w:r>
      <w:r w:rsidR="001D34EE" w:rsidRPr="001A1C44">
        <w:rPr>
          <w:noProof/>
          <w:vertAlign w:val="superscript"/>
        </w:rPr>
        <w:t>29</w:t>
      </w:r>
    </w:p>
    <w:p w:rsidR="001D0FDA" w:rsidRPr="00EB1471" w:rsidRDefault="001D0FDA" w:rsidP="00480FDF">
      <w:pPr>
        <w:pStyle w:val="Heading3"/>
        <w:numPr>
          <w:ilvl w:val="2"/>
          <w:numId w:val="45"/>
        </w:numPr>
        <w:tabs>
          <w:tab w:val="clear" w:pos="2695"/>
        </w:tabs>
        <w:ind w:left="0"/>
      </w:pPr>
      <w:bookmarkStart w:id="85" w:name="_Toc506464133"/>
      <w:bookmarkStart w:id="86" w:name="_Toc512855384"/>
      <w:r w:rsidRPr="00EB1471">
        <w:lastRenderedPageBreak/>
        <w:t>Clinical evidence included in the systematic review</w:t>
      </w:r>
      <w:bookmarkEnd w:id="85"/>
      <w:bookmarkEnd w:id="86"/>
    </w:p>
    <w:p w:rsidR="001D0FDA" w:rsidRPr="00EB1471" w:rsidRDefault="001D0FDA" w:rsidP="00480FDF">
      <w:pPr>
        <w:pStyle w:val="Heading4"/>
        <w:numPr>
          <w:ilvl w:val="3"/>
          <w:numId w:val="45"/>
        </w:numPr>
      </w:pPr>
      <w:r>
        <w:t>4.3.4.1</w:t>
      </w:r>
      <w:r>
        <w:tab/>
      </w:r>
      <w:r w:rsidRPr="00EB1471">
        <w:t>Clinical evidence addressing questions 1 to 4</w:t>
      </w:r>
    </w:p>
    <w:p w:rsidR="001D0FDA" w:rsidRPr="00EB1471" w:rsidRDefault="001D0FDA" w:rsidP="001D0FDA">
      <w:r w:rsidRPr="00EB1471">
        <w:t xml:space="preserve">There were no systematic reviews identified that posed the same questions and used the same criteria for selecting trials/studies determined </w:t>
      </w:r>
      <w:r w:rsidRPr="00EB1471">
        <w:rPr>
          <w:i/>
        </w:rPr>
        <w:t>a priori</w:t>
      </w:r>
      <w:r w:rsidRPr="00EB1471">
        <w:t xml:space="preserve"> for this current review. The review was therefore reliant on primary research evidence.</w:t>
      </w:r>
    </w:p>
    <w:p w:rsidR="001D0FDA" w:rsidRPr="00EB1471" w:rsidRDefault="001D0FDA" w:rsidP="006D5751">
      <w:pPr>
        <w:spacing w:before="0" w:line="240" w:lineRule="auto"/>
      </w:pPr>
      <w:r w:rsidRPr="00EB1471">
        <w:t xml:space="preserve">A total of 30 references were included in this literature review which reported comparative effectiveness and/or safety of </w:t>
      </w:r>
      <w:r>
        <w:t>PAH medicine</w:t>
      </w:r>
      <w:r w:rsidRPr="00EB1471">
        <w:t>s versus their comparators in the appropriate populations of interest as specified in</w:t>
      </w:r>
      <w:r w:rsidR="00C8237F">
        <w:t xml:space="preserve"> Tale 4.19 to Table 4.22</w:t>
      </w:r>
      <w:r w:rsidRPr="00EB1471">
        <w:t>. They were related to a total of 19 RCTs (level II evidence) and two comparative observational studies (level III-2 evidence and level III-3 evidence). A summar</w:t>
      </w:r>
      <w:r>
        <w:t>y of the key features of these studies</w:t>
      </w:r>
      <w:r w:rsidRPr="00EB1471">
        <w:t xml:space="preserve"> is presented in </w:t>
      </w:r>
      <w:r w:rsidR="00AA722D">
        <w:t>Table 4.</w:t>
      </w:r>
      <w:r w:rsidR="00AA722D">
        <w:rPr>
          <w:noProof/>
        </w:rPr>
        <w:t>26</w:t>
      </w:r>
      <w:r w:rsidR="00B603BC">
        <w:t>.</w:t>
      </w:r>
    </w:p>
    <w:p w:rsidR="001D0FDA" w:rsidRPr="00EB1471" w:rsidRDefault="001D0FDA" w:rsidP="001D0FDA">
      <w:r w:rsidRPr="00EB1471">
        <w:t xml:space="preserve">Of the 19 included RCTs, PBAC has reviewed data from six trials (ARIES-1, ARIES-2, PATENT-1, PHIRST, SERAPHIN and SUPER-1) on the overall population and/or on the subgroup of patients in line with the PBS restrictions requested by the PAH submissions, ie WHO FC III or IV patients without background therapy with other PAH medicines (see </w:t>
      </w:r>
      <w:r w:rsidR="00AA722D">
        <w:t>Table 4.</w:t>
      </w:r>
      <w:r w:rsidR="00AA722D">
        <w:rPr>
          <w:noProof/>
        </w:rPr>
        <w:t>4</w:t>
      </w:r>
      <w:r w:rsidRPr="00EB1471">
        <w:t xml:space="preserve"> in the “4.</w:t>
      </w:r>
      <w:r>
        <w:t>1</w:t>
      </w:r>
      <w:r w:rsidRPr="00EB1471">
        <w:t xml:space="preserve"> </w:t>
      </w:r>
      <w:r>
        <w:t>Key findings for ToR 4” section</w:t>
      </w:r>
      <w:r w:rsidRPr="00EB1471">
        <w:t>). Trial results presented in this literature review were of patient populations outside the PBS target patients, namely patients receiving monotherapy with a PAH medicine for treatment of WHO FC I-II PAH (</w:t>
      </w:r>
      <w:r w:rsidR="001F432E">
        <w:t>r</w:t>
      </w:r>
      <w:r w:rsidRPr="00EB1471">
        <w:t>esearch question 1) and patients on PAH dual or triple combination therapy (</w:t>
      </w:r>
      <w:r w:rsidR="001F432E">
        <w:t>r</w:t>
      </w:r>
      <w:r w:rsidRPr="00EB1471">
        <w:t>esearch question</w:t>
      </w:r>
      <w:r w:rsidR="00B603BC">
        <w:t>s 3 and 4).</w:t>
      </w:r>
    </w:p>
    <w:p w:rsidR="001D0FDA" w:rsidRPr="00EB1471" w:rsidRDefault="001D0FDA" w:rsidP="001D0FDA">
      <w:pPr>
        <w:pStyle w:val="Caption"/>
      </w:pPr>
      <w:bookmarkStart w:id="87" w:name="_Ref505948898"/>
      <w:bookmarkStart w:id="88" w:name="_Toc512855430"/>
      <w:r>
        <w:t>Table 4.</w:t>
      </w:r>
      <w:r w:rsidR="00AA722D">
        <w:rPr>
          <w:noProof/>
        </w:rPr>
        <w:t>26</w:t>
      </w:r>
      <w:bookmarkEnd w:id="87"/>
      <w:r>
        <w:tab/>
      </w:r>
      <w:r w:rsidRPr="00EB1471">
        <w:t>Key features of the included evidence addressing research questions</w:t>
      </w:r>
      <w:bookmarkEnd w:id="88"/>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Key features of the included evidence addressing research questions"/>
      </w:tblPr>
      <w:tblGrid>
        <w:gridCol w:w="1517"/>
        <w:gridCol w:w="1373"/>
        <w:gridCol w:w="1391"/>
        <w:gridCol w:w="1815"/>
        <w:gridCol w:w="1521"/>
        <w:gridCol w:w="2389"/>
      </w:tblGrid>
      <w:tr w:rsidR="001D0FDA" w:rsidRPr="00EB1471" w:rsidTr="001D0FDA">
        <w:trPr>
          <w:tblHeader/>
        </w:trPr>
        <w:tc>
          <w:tcPr>
            <w:tcW w:w="758" w:type="pct"/>
            <w:tcBorders>
              <w:bottom w:val="single" w:sz="4" w:space="0" w:color="auto"/>
            </w:tcBorders>
            <w:shd w:val="clear" w:color="auto" w:fill="BFBFBF" w:themeFill="background1" w:themeFillShade="BF"/>
            <w:tcMar>
              <w:left w:w="108" w:type="dxa"/>
              <w:right w:w="108" w:type="dxa"/>
            </w:tcMar>
          </w:tcPr>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Study ID</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Study period</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Location</w:t>
            </w:r>
          </w:p>
        </w:tc>
        <w:tc>
          <w:tcPr>
            <w:tcW w:w="686" w:type="pct"/>
            <w:tcBorders>
              <w:bottom w:val="single" w:sz="4" w:space="0" w:color="auto"/>
            </w:tcBorders>
            <w:shd w:val="clear" w:color="auto" w:fill="BFBFBF" w:themeFill="background1" w:themeFillShade="BF"/>
          </w:tcPr>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Study design</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Duration of follow-up</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Risk of bias</w:t>
            </w:r>
          </w:p>
        </w:tc>
        <w:tc>
          <w:tcPr>
            <w:tcW w:w="695" w:type="pct"/>
            <w:tcBorders>
              <w:bottom w:val="single" w:sz="4" w:space="0" w:color="auto"/>
            </w:tcBorders>
            <w:shd w:val="clear" w:color="auto" w:fill="BFBFBF" w:themeFill="background1" w:themeFillShade="BF"/>
          </w:tcPr>
          <w:p w:rsidR="001D0FDA" w:rsidRPr="00EB1471" w:rsidRDefault="001D0FDA" w:rsidP="001D0FDA">
            <w:pPr>
              <w:pStyle w:val="Tabletext"/>
              <w:ind w:right="-28"/>
              <w:rPr>
                <w:rFonts w:eastAsia="Times New Roman"/>
                <w:b/>
                <w:snapToGrid w:val="0"/>
                <w:vertAlign w:val="superscript"/>
                <w:lang w:eastAsia="en-US"/>
              </w:rPr>
            </w:pPr>
            <w:r w:rsidRPr="00EB1471">
              <w:rPr>
                <w:rFonts w:eastAsia="Times New Roman"/>
                <w:b/>
                <w:snapToGrid w:val="0"/>
                <w:lang w:eastAsia="en-US"/>
              </w:rPr>
              <w:t>N</w:t>
            </w:r>
            <w:r w:rsidRPr="00EB1471">
              <w:rPr>
                <w:rFonts w:eastAsia="Times New Roman"/>
                <w:b/>
                <w:snapToGrid w:val="0"/>
                <w:vertAlign w:val="superscript"/>
                <w:lang w:eastAsia="en-US"/>
              </w:rPr>
              <w:t>a</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 xml:space="preserve">WHO FC </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PAH aetiology</w:t>
            </w:r>
          </w:p>
        </w:tc>
        <w:tc>
          <w:tcPr>
            <w:tcW w:w="907" w:type="pct"/>
            <w:tcBorders>
              <w:bottom w:val="single" w:sz="4" w:space="0" w:color="auto"/>
            </w:tcBorders>
            <w:shd w:val="clear" w:color="auto" w:fill="BFBFBF" w:themeFill="background1" w:themeFillShade="BF"/>
          </w:tcPr>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Intervention(s)</w:t>
            </w:r>
            <w:r w:rsidRPr="00EB1471">
              <w:rPr>
                <w:rFonts w:eastAsia="Times New Roman"/>
                <w:b/>
                <w:snapToGrid w:val="0"/>
                <w:vertAlign w:val="superscript"/>
                <w:lang w:eastAsia="en-US"/>
              </w:rPr>
              <w:t>b</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Comparator</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Background therapy</w:t>
            </w:r>
          </w:p>
        </w:tc>
        <w:tc>
          <w:tcPr>
            <w:tcW w:w="760" w:type="pct"/>
            <w:tcBorders>
              <w:bottom w:val="single" w:sz="4" w:space="0" w:color="auto"/>
            </w:tcBorders>
            <w:shd w:val="clear" w:color="auto" w:fill="BFBFBF" w:themeFill="background1" w:themeFillShade="BF"/>
            <w:tcMar>
              <w:left w:w="108" w:type="dxa"/>
              <w:right w:w="108" w:type="dxa"/>
            </w:tcMar>
          </w:tcPr>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Relevant RQ</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Overall population or subgroup</w:t>
            </w:r>
          </w:p>
        </w:tc>
        <w:tc>
          <w:tcPr>
            <w:tcW w:w="1194" w:type="pct"/>
            <w:tcBorders>
              <w:bottom w:val="single" w:sz="4" w:space="0" w:color="auto"/>
            </w:tcBorders>
            <w:shd w:val="clear" w:color="auto" w:fill="BFBFBF" w:themeFill="background1" w:themeFillShade="BF"/>
            <w:tcMar>
              <w:left w:w="108" w:type="dxa"/>
              <w:right w:w="108" w:type="dxa"/>
            </w:tcMar>
          </w:tcPr>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 xml:space="preserve">Outcomes </w:t>
            </w:r>
          </w:p>
        </w:tc>
      </w:tr>
      <w:tr w:rsidR="001D0FDA" w:rsidRPr="00F3429C" w:rsidTr="001D0FDA">
        <w:tc>
          <w:tcPr>
            <w:tcW w:w="5000" w:type="pct"/>
            <w:gridSpan w:val="6"/>
            <w:shd w:val="clear" w:color="auto" w:fill="000000" w:themeFill="text1"/>
            <w:tcMar>
              <w:left w:w="108" w:type="dxa"/>
              <w:right w:w="108" w:type="dxa"/>
            </w:tcMar>
          </w:tcPr>
          <w:p w:rsidR="001D0FDA" w:rsidRPr="00F3429C" w:rsidRDefault="001D0FDA" w:rsidP="001D0FDA">
            <w:pPr>
              <w:pStyle w:val="Tabletext"/>
              <w:ind w:right="-28"/>
              <w:rPr>
                <w:rFonts w:eastAsia="Times New Roman" w:cs="Tahoma"/>
                <w:b/>
                <w:color w:val="FFFFFF" w:themeColor="background1"/>
              </w:rPr>
            </w:pPr>
            <w:r w:rsidRPr="00F3429C">
              <w:rPr>
                <w:rFonts w:eastAsia="Times New Roman"/>
                <w:b/>
                <w:color w:val="FFFFFF" w:themeColor="background1"/>
                <w:lang w:eastAsia="en-US"/>
              </w:rPr>
              <w:t>Randomised controlled trials (RCTs)</w:t>
            </w:r>
          </w:p>
        </w:tc>
      </w:tr>
      <w:tr w:rsidR="001D0FDA" w:rsidRPr="00EB1471" w:rsidTr="001D0FDA">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AMBITION</w:t>
            </w:r>
            <w:r w:rsidR="001D34EE" w:rsidRPr="001A1C44">
              <w:rPr>
                <w:rFonts w:eastAsia="Times New Roman"/>
                <w:noProof/>
                <w:vertAlign w:val="superscript"/>
                <w:lang w:eastAsia="en-US"/>
              </w:rPr>
              <w:t>30-32</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2010-2014</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US, Canada, Europe, Australia, Japan</w:t>
            </w:r>
          </w:p>
        </w:tc>
        <w:tc>
          <w:tcPr>
            <w:tcW w:w="686"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RCT, DB</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1.7 years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Low</w:t>
            </w:r>
          </w:p>
        </w:tc>
        <w:tc>
          <w:tcPr>
            <w:tcW w:w="695"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N=500</w:t>
            </w:r>
          </w:p>
          <w:p w:rsidR="001D0FDA" w:rsidRPr="00D53F84" w:rsidRDefault="001D0FDA" w:rsidP="001D0FDA">
            <w:pPr>
              <w:pStyle w:val="Tabletext"/>
              <w:ind w:right="-28"/>
              <w:rPr>
                <w:rFonts w:cs="Tahoma"/>
              </w:rPr>
            </w:pPr>
            <w:r w:rsidRPr="00D53F84">
              <w:rPr>
                <w:rFonts w:cs="Tahoma"/>
              </w:rPr>
              <w:t>WHO FC II-III</w:t>
            </w:r>
          </w:p>
          <w:p w:rsidR="001D0FDA" w:rsidRPr="00D53F84" w:rsidRDefault="001D0FDA" w:rsidP="001D0FDA">
            <w:pPr>
              <w:pStyle w:val="Tabletext"/>
              <w:ind w:right="-28"/>
              <w:rPr>
                <w:rFonts w:eastAsia="Times New Roman"/>
                <w:snapToGrid w:val="0"/>
                <w:lang w:eastAsia="en-US"/>
              </w:rPr>
            </w:pPr>
            <w:r w:rsidRPr="00D53F84">
              <w:rPr>
                <w:rFonts w:cs="Tahoma"/>
              </w:rPr>
              <w:t>IPAH, HPAH, PAH-CTD, PAH-CHD, PAH-HIV, or PAH-DT</w:t>
            </w:r>
          </w:p>
        </w:tc>
        <w:tc>
          <w:tcPr>
            <w:tcW w:w="907" w:type="pct"/>
          </w:tcPr>
          <w:p w:rsidR="001D0FDA" w:rsidRPr="00D53F84" w:rsidRDefault="001D0FDA" w:rsidP="001D0FDA">
            <w:pPr>
              <w:pStyle w:val="Tabletext"/>
              <w:ind w:right="-28"/>
              <w:rPr>
                <w:rFonts w:eastAsia="Times New Roman"/>
                <w:snapToGrid w:val="0"/>
                <w:u w:val="single"/>
                <w:lang w:eastAsia="en-US"/>
              </w:rPr>
            </w:pPr>
            <w:r w:rsidRPr="00D53F84">
              <w:rPr>
                <w:rFonts w:eastAsia="Times New Roman"/>
                <w:snapToGrid w:val="0"/>
                <w:lang w:eastAsia="en-US"/>
              </w:rPr>
              <w:t>AMB 10mg od + TAD 40mg od</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AMB 10mg od + PBO</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 xml:space="preserve">TAD 40mg od + PBO </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No background therapy</w:t>
            </w:r>
          </w:p>
        </w:tc>
        <w:tc>
          <w:tcPr>
            <w:tcW w:w="760"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 xml:space="preserve">RQ </w:t>
            </w:r>
            <w:r w:rsidRPr="00D53F84">
              <w:rPr>
                <w:rFonts w:eastAsia="Times New Roman"/>
                <w:lang w:eastAsia="en-US"/>
              </w:rPr>
              <w:t>3</w:t>
            </w:r>
          </w:p>
          <w:p w:rsidR="001D0FDA" w:rsidRPr="00D53F84" w:rsidRDefault="001D0FDA" w:rsidP="001D0FDA">
            <w:pPr>
              <w:pStyle w:val="Tabletext"/>
              <w:ind w:right="-28"/>
              <w:rPr>
                <w:rFonts w:eastAsia="Times New Roman"/>
                <w:snapToGrid w:val="0"/>
                <w:lang w:eastAsia="en-US"/>
              </w:rPr>
            </w:pPr>
            <w:r w:rsidRPr="00D53F84">
              <w:rPr>
                <w:rFonts w:eastAsia="Times New Roman"/>
                <w:lang w:eastAsia="en-US"/>
              </w:rPr>
              <w:t>O</w:t>
            </w:r>
            <w:r w:rsidRPr="00D53F84">
              <w:rPr>
                <w:rFonts w:eastAsia="Times New Roman"/>
                <w:snapToGrid w:val="0"/>
                <w:lang w:eastAsia="en-US"/>
              </w:rPr>
              <w:t>verall population</w:t>
            </w:r>
          </w:p>
        </w:tc>
        <w:tc>
          <w:tcPr>
            <w:tcW w:w="1194"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 xml:space="preserve">Clinical worsening </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Hospitalisation</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WHO FC</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Mortality</w:t>
            </w:r>
          </w:p>
          <w:p w:rsidR="001D0FDA" w:rsidRPr="00D53F84" w:rsidRDefault="001D0FDA" w:rsidP="00480FDF">
            <w:pPr>
              <w:pStyle w:val="Tabletext"/>
              <w:numPr>
                <w:ilvl w:val="0"/>
                <w:numId w:val="55"/>
              </w:numPr>
              <w:ind w:left="101" w:right="-28" w:hanging="101"/>
              <w:rPr>
                <w:rFonts w:eastAsia="Times New Roman" w:cs="Tahoma"/>
              </w:rPr>
            </w:pPr>
            <w:r w:rsidRPr="00D53F84">
              <w:rPr>
                <w:rFonts w:eastAsia="Times New Roman"/>
                <w:lang w:eastAsia="en-US"/>
              </w:rPr>
              <w:t>Change in 6MWD</w:t>
            </w:r>
            <w:r w:rsidRPr="00D53F84">
              <w:rPr>
                <w:rFonts w:eastAsia="Times New Roman" w:cs="Tahoma"/>
              </w:rPr>
              <w:t xml:space="preserve"> </w:t>
            </w:r>
          </w:p>
        </w:tc>
      </w:tr>
      <w:tr w:rsidR="001D0FDA" w:rsidRPr="00EB1471" w:rsidTr="001D0FDA">
        <w:tc>
          <w:tcPr>
            <w:tcW w:w="758" w:type="pct"/>
            <w:tcMar>
              <w:left w:w="108" w:type="dxa"/>
              <w:right w:w="108" w:type="dxa"/>
            </w:tcMar>
          </w:tcPr>
          <w:p w:rsidR="001D0FDA" w:rsidRPr="00D53F84" w:rsidRDefault="001D0FDA" w:rsidP="001D0FDA">
            <w:pPr>
              <w:pStyle w:val="Tabletext"/>
              <w:ind w:right="-28"/>
              <w:rPr>
                <w:rFonts w:eastAsia="Times New Roman"/>
              </w:rPr>
            </w:pPr>
            <w:r w:rsidRPr="00D53F84">
              <w:rPr>
                <w:rFonts w:eastAsia="Times New Roman"/>
              </w:rPr>
              <w:t>ARIES-1</w:t>
            </w:r>
            <w:r w:rsidR="001D34EE" w:rsidRPr="001D34EE">
              <w:rPr>
                <w:rFonts w:eastAsia="Times New Roman"/>
                <w:noProof/>
                <w:vertAlign w:val="superscript"/>
              </w:rPr>
              <w:t>6, 33, 34</w:t>
            </w:r>
          </w:p>
          <w:p w:rsidR="001D0FDA" w:rsidRPr="00D53F84" w:rsidRDefault="001D0FDA" w:rsidP="001D0FDA">
            <w:pPr>
              <w:pStyle w:val="Tabletext"/>
              <w:ind w:right="-28"/>
              <w:rPr>
                <w:rFonts w:eastAsia="Times New Roman"/>
                <w:lang w:eastAsia="en-US"/>
              </w:rPr>
            </w:pPr>
            <w:r w:rsidRPr="00D53F84">
              <w:rPr>
                <w:rFonts w:eastAsia="Times New Roman"/>
                <w:lang w:eastAsia="en-US"/>
              </w:rPr>
              <w:t xml:space="preserve">2003-2006 </w:t>
            </w:r>
          </w:p>
          <w:p w:rsidR="001D0FDA" w:rsidRPr="00D53F84" w:rsidRDefault="001D0FDA" w:rsidP="001D0FDA">
            <w:pPr>
              <w:pStyle w:val="Tabletext"/>
              <w:ind w:right="-28"/>
              <w:rPr>
                <w:rFonts w:eastAsia="Times New Roman"/>
              </w:rPr>
            </w:pPr>
            <w:r w:rsidRPr="00D53F84">
              <w:rPr>
                <w:rFonts w:eastAsia="Times New Roman"/>
                <w:lang w:eastAsia="en-US"/>
              </w:rPr>
              <w:t>US, Mexico, South America, Australia, Europe</w:t>
            </w:r>
          </w:p>
        </w:tc>
        <w:tc>
          <w:tcPr>
            <w:tcW w:w="68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w:t>
            </w:r>
          </w:p>
          <w:p w:rsidR="001D0FDA" w:rsidRPr="00D53F84" w:rsidRDefault="001D0FDA" w:rsidP="001D0FDA">
            <w:pPr>
              <w:pStyle w:val="Tabletext"/>
              <w:ind w:right="-28"/>
              <w:rPr>
                <w:rFonts w:eastAsia="Times New Roman"/>
                <w:lang w:eastAsia="en-US"/>
              </w:rPr>
            </w:pPr>
            <w:r w:rsidRPr="00D53F84">
              <w:rPr>
                <w:rFonts w:eastAsia="Times New Roman"/>
                <w:lang w:eastAsia="en-US"/>
              </w:rPr>
              <w:t>12 weeks</w:t>
            </w:r>
          </w:p>
          <w:p w:rsidR="001D0FDA" w:rsidRPr="00D53F84" w:rsidRDefault="001D0FDA" w:rsidP="001D0FDA">
            <w:pPr>
              <w:pStyle w:val="Tabletext"/>
              <w:ind w:right="-28"/>
              <w:rPr>
                <w:rFonts w:eastAsia="Times New Roman"/>
                <w:lang w:eastAsia="en-US"/>
              </w:rPr>
            </w:pPr>
            <w:r w:rsidRPr="00D53F84">
              <w:rPr>
                <w:rFonts w:eastAsia="Times New Roman"/>
                <w:lang w:eastAsia="en-US"/>
              </w:rPr>
              <w:t>Low-to-moderate</w:t>
            </w:r>
          </w:p>
        </w:tc>
        <w:tc>
          <w:tcPr>
            <w:tcW w:w="695"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N=134</w:t>
            </w:r>
          </w:p>
          <w:p w:rsidR="001D0FDA" w:rsidRPr="00D53F84" w:rsidRDefault="001D0FDA" w:rsidP="001D0FDA">
            <w:pPr>
              <w:pStyle w:val="Tabletext"/>
              <w:ind w:right="-28"/>
              <w:rPr>
                <w:rFonts w:eastAsia="Times New Roman"/>
                <w:lang w:eastAsia="en-US"/>
              </w:rPr>
            </w:pPr>
            <w:r w:rsidRPr="00D53F84">
              <w:rPr>
                <w:rFonts w:eastAsia="Times New Roman"/>
                <w:lang w:eastAsia="en-US"/>
              </w:rPr>
              <w:t>WHO FC I-IV</w:t>
            </w:r>
          </w:p>
          <w:p w:rsidR="001D0FDA" w:rsidRPr="00D53F84" w:rsidRDefault="001D0FDA" w:rsidP="001D0FDA">
            <w:pPr>
              <w:pStyle w:val="Tabletext"/>
              <w:ind w:right="-28"/>
              <w:rPr>
                <w:rFonts w:eastAsia="Times New Roman"/>
                <w:lang w:eastAsia="en-US"/>
              </w:rPr>
            </w:pPr>
            <w:r w:rsidRPr="00D53F84">
              <w:rPr>
                <w:rFonts w:eastAsia="Times New Roman"/>
                <w:lang w:eastAsia="en-US"/>
              </w:rPr>
              <w:t>IPAH, PAH-CTD, PAH-HIV, or PAH-DT</w:t>
            </w:r>
          </w:p>
        </w:tc>
        <w:tc>
          <w:tcPr>
            <w:tcW w:w="907" w:type="pct"/>
          </w:tcPr>
          <w:p w:rsidR="001D0FDA" w:rsidRPr="00D53F84" w:rsidRDefault="001D0FDA" w:rsidP="001D0FDA">
            <w:pPr>
              <w:spacing w:before="60" w:after="60"/>
              <w:ind w:right="-28"/>
              <w:rPr>
                <w:rFonts w:ascii="Arial Narrow" w:eastAsia="Times New Roman" w:hAnsi="Arial Narrow" w:cs="Calibri"/>
                <w:snapToGrid w:val="0"/>
                <w:sz w:val="18"/>
                <w:szCs w:val="20"/>
              </w:rPr>
            </w:pPr>
            <w:r w:rsidRPr="00D53F84">
              <w:rPr>
                <w:rFonts w:ascii="Arial Narrow" w:eastAsia="Times New Roman" w:hAnsi="Arial Narrow" w:cs="Calibri"/>
                <w:snapToGrid w:val="0"/>
                <w:sz w:val="18"/>
                <w:szCs w:val="20"/>
              </w:rPr>
              <w:t xml:space="preserve">AMB 5mg od </w:t>
            </w:r>
          </w:p>
          <w:p w:rsidR="001D0FDA" w:rsidRPr="00D53F84" w:rsidRDefault="001D0FDA" w:rsidP="001D0FDA">
            <w:pPr>
              <w:pStyle w:val="Tabletext"/>
              <w:ind w:right="-28"/>
              <w:rPr>
                <w:rFonts w:eastAsia="Times New Roman"/>
                <w:snapToGrid w:val="0"/>
                <w:lang w:eastAsia="en-US"/>
              </w:rPr>
            </w:pPr>
            <w:r w:rsidRPr="00D53F84">
              <w:rPr>
                <w:rFonts w:cs="Tahoma"/>
              </w:rPr>
              <w:t xml:space="preserve">PBO </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No background therapy</w:t>
            </w:r>
          </w:p>
        </w:tc>
        <w:tc>
          <w:tcPr>
            <w:tcW w:w="760" w:type="pct"/>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1</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WHO FC I-II PAH (n=46)</w:t>
            </w:r>
          </w:p>
        </w:tc>
        <w:tc>
          <w:tcPr>
            <w:tcW w:w="1194"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Clinical worsening</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WHO FC</w:t>
            </w:r>
          </w:p>
        </w:tc>
      </w:tr>
      <w:tr w:rsidR="001D0FDA" w:rsidRPr="00EB1471" w:rsidTr="001D0FDA">
        <w:tc>
          <w:tcPr>
            <w:tcW w:w="758" w:type="pct"/>
            <w:tcMar>
              <w:left w:w="108" w:type="dxa"/>
              <w:right w:w="108" w:type="dxa"/>
            </w:tcMar>
          </w:tcPr>
          <w:p w:rsidR="001D0FDA" w:rsidRPr="00D53F84" w:rsidRDefault="001D0FDA" w:rsidP="001D0FDA">
            <w:pPr>
              <w:pStyle w:val="Tabletext"/>
              <w:ind w:right="-28"/>
              <w:rPr>
                <w:rFonts w:eastAsia="Times New Roman"/>
              </w:rPr>
            </w:pPr>
            <w:r w:rsidRPr="00D53F84">
              <w:rPr>
                <w:rFonts w:eastAsia="Times New Roman"/>
              </w:rPr>
              <w:t>ARIES-2</w:t>
            </w:r>
            <w:r w:rsidR="001D34EE" w:rsidRPr="001D34EE">
              <w:rPr>
                <w:rFonts w:eastAsia="Times New Roman"/>
                <w:noProof/>
                <w:vertAlign w:val="superscript"/>
              </w:rPr>
              <w:t>6, 33, 34</w:t>
            </w:r>
          </w:p>
          <w:p w:rsidR="001D0FDA" w:rsidRPr="00D53F84" w:rsidRDefault="001D0FDA" w:rsidP="001D0FDA">
            <w:pPr>
              <w:pStyle w:val="Tabletext"/>
              <w:ind w:right="-28"/>
              <w:rPr>
                <w:rFonts w:eastAsia="Times New Roman"/>
              </w:rPr>
            </w:pPr>
            <w:r w:rsidRPr="00D53F84">
              <w:rPr>
                <w:rFonts w:eastAsia="Times New Roman"/>
                <w:lang w:eastAsia="en-US"/>
              </w:rPr>
              <w:t>2003-2006</w:t>
            </w:r>
          </w:p>
          <w:p w:rsidR="001D0FDA" w:rsidRPr="00D53F84" w:rsidRDefault="001D0FDA" w:rsidP="001D0FDA">
            <w:pPr>
              <w:pStyle w:val="Tabletext"/>
              <w:ind w:right="-28"/>
              <w:rPr>
                <w:rFonts w:eastAsia="Times New Roman"/>
              </w:rPr>
            </w:pPr>
            <w:r w:rsidRPr="00D53F84">
              <w:rPr>
                <w:rFonts w:eastAsia="Times New Roman"/>
                <w:lang w:eastAsia="en-US"/>
              </w:rPr>
              <w:t>Europe, Israel, South America</w:t>
            </w:r>
          </w:p>
        </w:tc>
        <w:tc>
          <w:tcPr>
            <w:tcW w:w="68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 xml:space="preserve">RCT, DB </w:t>
            </w:r>
          </w:p>
          <w:p w:rsidR="001D0FDA" w:rsidRPr="00D53F84" w:rsidRDefault="001D0FDA" w:rsidP="001D0FDA">
            <w:pPr>
              <w:pStyle w:val="Tabletext"/>
              <w:ind w:right="-28"/>
              <w:rPr>
                <w:rFonts w:eastAsia="Times New Roman"/>
                <w:lang w:eastAsia="en-US"/>
              </w:rPr>
            </w:pPr>
            <w:r w:rsidRPr="00D53F84">
              <w:rPr>
                <w:rFonts w:eastAsia="Times New Roman"/>
                <w:lang w:eastAsia="en-US"/>
              </w:rPr>
              <w:t>12 weeks</w:t>
            </w:r>
          </w:p>
          <w:p w:rsidR="001D0FDA" w:rsidRPr="00D53F84" w:rsidRDefault="001D0FDA" w:rsidP="001D0FDA">
            <w:pPr>
              <w:pStyle w:val="Tabletext"/>
              <w:ind w:right="-28"/>
              <w:rPr>
                <w:rFonts w:eastAsia="Times New Roman"/>
                <w:lang w:eastAsia="en-US"/>
              </w:rPr>
            </w:pPr>
            <w:r w:rsidRPr="00D53F84">
              <w:rPr>
                <w:rFonts w:eastAsia="Times New Roman"/>
                <w:lang w:eastAsia="en-US"/>
              </w:rPr>
              <w:t>Low-to-moderate</w:t>
            </w:r>
          </w:p>
        </w:tc>
        <w:tc>
          <w:tcPr>
            <w:tcW w:w="695"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N=128</w:t>
            </w:r>
          </w:p>
          <w:p w:rsidR="001D0FDA" w:rsidRPr="00D53F84" w:rsidRDefault="001D0FDA" w:rsidP="001D0FDA">
            <w:pPr>
              <w:pStyle w:val="Tabletext"/>
              <w:ind w:right="-28"/>
              <w:rPr>
                <w:rFonts w:eastAsia="Times New Roman"/>
                <w:lang w:eastAsia="en-US"/>
              </w:rPr>
            </w:pPr>
            <w:r w:rsidRPr="00D53F84">
              <w:rPr>
                <w:rFonts w:eastAsia="Times New Roman"/>
                <w:lang w:eastAsia="en-US"/>
              </w:rPr>
              <w:t>WHO FC I-IV</w:t>
            </w:r>
          </w:p>
          <w:p w:rsidR="001D0FDA" w:rsidRPr="00D53F84" w:rsidRDefault="001D0FDA" w:rsidP="001D0FDA">
            <w:pPr>
              <w:pStyle w:val="Tabletext"/>
              <w:ind w:right="-28"/>
              <w:rPr>
                <w:rFonts w:eastAsia="Times New Roman"/>
                <w:lang w:eastAsia="en-US"/>
              </w:rPr>
            </w:pPr>
            <w:r w:rsidRPr="00D53F84">
              <w:rPr>
                <w:rFonts w:eastAsia="Times New Roman"/>
                <w:lang w:eastAsia="en-US"/>
              </w:rPr>
              <w:t>IPAH, PAH-CTD, PAH-HIV, or PAH-DT</w:t>
            </w:r>
          </w:p>
        </w:tc>
        <w:tc>
          <w:tcPr>
            <w:tcW w:w="907"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 xml:space="preserve">AMB 5mg od </w:t>
            </w:r>
          </w:p>
          <w:p w:rsidR="001D0FDA" w:rsidRPr="00D53F84" w:rsidRDefault="001D0FDA" w:rsidP="001D0FDA">
            <w:pPr>
              <w:pStyle w:val="Tabletext"/>
              <w:ind w:right="-28"/>
              <w:rPr>
                <w:rFonts w:eastAsia="Times New Roman"/>
                <w:snapToGrid w:val="0"/>
                <w:lang w:eastAsia="en-US"/>
              </w:rPr>
            </w:pPr>
            <w:r w:rsidRPr="00D53F84">
              <w:rPr>
                <w:rFonts w:cs="Tahoma"/>
              </w:rPr>
              <w:t xml:space="preserve">PBO </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No background therapy</w:t>
            </w:r>
          </w:p>
        </w:tc>
        <w:tc>
          <w:tcPr>
            <w:tcW w:w="760" w:type="pct"/>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1</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WHO FC I-II PAH (n=55)</w:t>
            </w:r>
          </w:p>
        </w:tc>
        <w:tc>
          <w:tcPr>
            <w:tcW w:w="1194"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 xml:space="preserve">Clinical worsening </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WHO FC</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tc>
      </w:tr>
      <w:tr w:rsidR="001D0FDA" w:rsidRPr="00EB1471" w:rsidTr="001D0FDA">
        <w:tc>
          <w:tcPr>
            <w:tcW w:w="758" w:type="pct"/>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BREATHE-2</w:t>
            </w:r>
            <w:r w:rsidR="001D34EE" w:rsidRPr="001A1C44">
              <w:rPr>
                <w:rFonts w:cs="Tahoma"/>
                <w:noProof/>
                <w:vertAlign w:val="superscript"/>
              </w:rPr>
              <w:t>35</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 xml:space="preserve">No later than </w:t>
            </w:r>
            <w:r w:rsidRPr="00D53F84">
              <w:rPr>
                <w:rFonts w:eastAsia="Times New Roman"/>
                <w:snapToGrid w:val="0"/>
                <w:lang w:eastAsia="en-US"/>
              </w:rPr>
              <w:lastRenderedPageBreak/>
              <w:t>2004</w:t>
            </w:r>
            <w:r w:rsidRPr="00D53F84">
              <w:rPr>
                <w:rFonts w:eastAsia="Times New Roman"/>
                <w:snapToGrid w:val="0"/>
                <w:vertAlign w:val="superscript"/>
                <w:lang w:eastAsia="en-US"/>
              </w:rPr>
              <w:t>c</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US, Europe</w:t>
            </w:r>
          </w:p>
        </w:tc>
        <w:tc>
          <w:tcPr>
            <w:tcW w:w="686"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lastRenderedPageBreak/>
              <w:t>RCT, DB</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16 weeks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lastRenderedPageBreak/>
              <w:t>Low-to-moderate</w:t>
            </w:r>
          </w:p>
        </w:tc>
        <w:tc>
          <w:tcPr>
            <w:tcW w:w="695" w:type="pct"/>
          </w:tcPr>
          <w:p w:rsidR="001D0FDA" w:rsidRPr="00D53F84" w:rsidRDefault="001D0FDA" w:rsidP="001D0FDA">
            <w:pPr>
              <w:pStyle w:val="Tabletext"/>
              <w:ind w:right="-28"/>
              <w:rPr>
                <w:rFonts w:cs="Tahoma"/>
              </w:rPr>
            </w:pPr>
            <w:r w:rsidRPr="00D53F84">
              <w:rPr>
                <w:rFonts w:eastAsia="Times New Roman"/>
                <w:snapToGrid w:val="0"/>
                <w:lang w:eastAsia="en-US"/>
              </w:rPr>
              <w:lastRenderedPageBreak/>
              <w:t>N=33</w:t>
            </w:r>
            <w:r w:rsidRPr="00D53F84">
              <w:rPr>
                <w:rFonts w:cs="Tahoma"/>
              </w:rPr>
              <w:t xml:space="preserve"> </w:t>
            </w:r>
          </w:p>
          <w:p w:rsidR="001D0FDA" w:rsidRPr="00D53F84" w:rsidRDefault="001D0FDA" w:rsidP="001D0FDA">
            <w:pPr>
              <w:pStyle w:val="Tabletext"/>
              <w:ind w:right="-28"/>
              <w:rPr>
                <w:rFonts w:cs="Tahoma"/>
              </w:rPr>
            </w:pPr>
            <w:r w:rsidRPr="00D53F84">
              <w:rPr>
                <w:rFonts w:cs="Tahoma"/>
              </w:rPr>
              <w:t>WHO FC III-IV</w:t>
            </w:r>
            <w:r w:rsidR="00246F7A" w:rsidRPr="00246F7A">
              <w:rPr>
                <w:rFonts w:cs="Tahoma"/>
                <w:vertAlign w:val="superscript"/>
              </w:rPr>
              <w:t>d</w:t>
            </w:r>
            <w:r w:rsidRPr="00D53F84">
              <w:rPr>
                <w:rFonts w:cs="Tahoma"/>
              </w:rPr>
              <w:t xml:space="preserve"> </w:t>
            </w:r>
          </w:p>
          <w:p w:rsidR="001D0FDA" w:rsidRPr="00D53F84" w:rsidRDefault="001D0FDA" w:rsidP="001D0FDA">
            <w:pPr>
              <w:pStyle w:val="Tabletext"/>
              <w:ind w:right="-28"/>
              <w:rPr>
                <w:rFonts w:eastAsia="Times New Roman"/>
                <w:snapToGrid w:val="0"/>
                <w:lang w:eastAsia="en-US"/>
              </w:rPr>
            </w:pPr>
            <w:r w:rsidRPr="00D53F84">
              <w:rPr>
                <w:rFonts w:cs="Tahoma"/>
              </w:rPr>
              <w:lastRenderedPageBreak/>
              <w:t>IPAH or PAH-CTD</w:t>
            </w:r>
          </w:p>
        </w:tc>
        <w:tc>
          <w:tcPr>
            <w:tcW w:w="907" w:type="pct"/>
          </w:tcPr>
          <w:p w:rsidR="001D0FDA" w:rsidRPr="00D53F84" w:rsidRDefault="001D0FDA" w:rsidP="001D0FDA">
            <w:pPr>
              <w:pStyle w:val="Tabletext"/>
              <w:ind w:right="-28"/>
              <w:rPr>
                <w:rFonts w:cs="Tahoma"/>
              </w:rPr>
            </w:pPr>
            <w:r w:rsidRPr="00D53F84">
              <w:rPr>
                <w:rFonts w:cs="Tahoma"/>
              </w:rPr>
              <w:lastRenderedPageBreak/>
              <w:t>BOS 125mg bid + EPO 12-</w:t>
            </w:r>
            <w:r w:rsidRPr="00D53F84">
              <w:rPr>
                <w:rFonts w:cs="Tahoma"/>
              </w:rPr>
              <w:lastRenderedPageBreak/>
              <w:t>16ng/kg/min</w:t>
            </w:r>
          </w:p>
          <w:p w:rsidR="001D0FDA" w:rsidRPr="00D53F84" w:rsidRDefault="001D0FDA" w:rsidP="001D0FDA">
            <w:pPr>
              <w:pStyle w:val="Tabletext"/>
              <w:ind w:right="-28"/>
              <w:rPr>
                <w:rFonts w:cs="Tahoma"/>
              </w:rPr>
            </w:pPr>
            <w:r w:rsidRPr="00D53F84">
              <w:rPr>
                <w:rFonts w:cs="Tahoma"/>
              </w:rPr>
              <w:t>PBO + EPO 12-16ng/kg/min</w:t>
            </w:r>
          </w:p>
        </w:tc>
        <w:tc>
          <w:tcPr>
            <w:tcW w:w="760" w:type="pct"/>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lastRenderedPageBreak/>
              <w:t>RQ 3</w:t>
            </w:r>
          </w:p>
          <w:p w:rsidR="001D0FDA" w:rsidRPr="00D53F84" w:rsidRDefault="001D0FDA" w:rsidP="001D0FDA">
            <w:pPr>
              <w:pStyle w:val="Tabletext"/>
              <w:ind w:right="-28"/>
              <w:rPr>
                <w:rFonts w:eastAsia="Times New Roman"/>
                <w:lang w:eastAsia="en-US"/>
              </w:rPr>
            </w:pPr>
            <w:r w:rsidRPr="00D53F84">
              <w:rPr>
                <w:rFonts w:eastAsia="Times New Roman"/>
                <w:lang w:eastAsia="en-US"/>
              </w:rPr>
              <w:t xml:space="preserve">Overall </w:t>
            </w:r>
            <w:r w:rsidRPr="00D53F84">
              <w:rPr>
                <w:rFonts w:eastAsia="Times New Roman"/>
                <w:lang w:eastAsia="en-US"/>
              </w:rPr>
              <w:lastRenderedPageBreak/>
              <w:t>population</w:t>
            </w:r>
          </w:p>
        </w:tc>
        <w:tc>
          <w:tcPr>
            <w:tcW w:w="1194"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lastRenderedPageBreak/>
              <w:t xml:space="preserve">Mortality </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WHO FC</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lastRenderedPageBreak/>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Haemodynamic parameters</w:t>
            </w:r>
            <w:r w:rsidR="00246F7A">
              <w:rPr>
                <w:rFonts w:eastAsia="Times New Roman"/>
                <w:vertAlign w:val="superscript"/>
                <w:lang w:eastAsia="en-US"/>
              </w:rPr>
              <w:t>e</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Adverse events</w:t>
            </w:r>
          </w:p>
        </w:tc>
      </w:tr>
      <w:tr w:rsidR="001D0FDA" w:rsidRPr="00EB1471" w:rsidTr="001D0FDA">
        <w:tc>
          <w:tcPr>
            <w:tcW w:w="758"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lastRenderedPageBreak/>
              <w:t>COMBI</w:t>
            </w:r>
            <w:r w:rsidR="001D34EE" w:rsidRPr="001A1C44">
              <w:rPr>
                <w:rFonts w:eastAsia="Times New Roman"/>
                <w:noProof/>
                <w:vertAlign w:val="superscript"/>
                <w:lang w:eastAsia="en-US"/>
              </w:rPr>
              <w:t>36</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2004</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Germany</w:t>
            </w:r>
          </w:p>
        </w:tc>
        <w:tc>
          <w:tcPr>
            <w:tcW w:w="686"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RCT, OL</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12 weeks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High</w:t>
            </w:r>
          </w:p>
        </w:tc>
        <w:tc>
          <w:tcPr>
            <w:tcW w:w="695"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N=40</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WHO FC III</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IPAH</w:t>
            </w:r>
          </w:p>
        </w:tc>
        <w:tc>
          <w:tcPr>
            <w:tcW w:w="907"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ILO 5µg 6 times daily</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No treatment</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Background therapy with BOS 125mg bid (100%)</w:t>
            </w:r>
          </w:p>
        </w:tc>
        <w:tc>
          <w:tcPr>
            <w:tcW w:w="760"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3</w:t>
            </w:r>
          </w:p>
          <w:p w:rsidR="001D0FDA" w:rsidRPr="00D53F84" w:rsidRDefault="001D0FDA" w:rsidP="001D0FDA">
            <w:pPr>
              <w:pStyle w:val="Tabletext"/>
              <w:ind w:right="-28"/>
              <w:rPr>
                <w:rFonts w:eastAsia="Times New Roman"/>
                <w:lang w:eastAsia="en-US"/>
              </w:rPr>
            </w:pPr>
            <w:r w:rsidRPr="00D53F84">
              <w:rPr>
                <w:rFonts w:eastAsia="Times New Roman"/>
                <w:lang w:eastAsia="en-US"/>
              </w:rPr>
              <w:t>Overall population</w:t>
            </w:r>
          </w:p>
        </w:tc>
        <w:tc>
          <w:tcPr>
            <w:tcW w:w="1194"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Clinical worsening</w:t>
            </w:r>
          </w:p>
          <w:p w:rsidR="001D0FDA" w:rsidRPr="00D53F84" w:rsidRDefault="001D0FDA" w:rsidP="00480FDF">
            <w:pPr>
              <w:pStyle w:val="Tabletext"/>
              <w:numPr>
                <w:ilvl w:val="0"/>
                <w:numId w:val="55"/>
              </w:numPr>
              <w:ind w:left="101" w:right="-28" w:hanging="101"/>
              <w:rPr>
                <w:rFonts w:eastAsia="Times New Roman"/>
                <w:lang w:eastAsia="en-US"/>
              </w:rPr>
            </w:pPr>
            <w:r>
              <w:rPr>
                <w:rFonts w:eastAsia="Times New Roman"/>
                <w:lang w:eastAsia="en-US"/>
              </w:rPr>
              <w:t>Mortality</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QoL (EQ-</w:t>
            </w:r>
            <w:r w:rsidR="00107963">
              <w:rPr>
                <w:rFonts w:eastAsia="Times New Roman"/>
                <w:lang w:eastAsia="en-US"/>
              </w:rPr>
              <w:t>VAS</w:t>
            </w:r>
            <w:r w:rsidRPr="00D53F84">
              <w:rPr>
                <w:rFonts w:eastAsia="Times New Roman"/>
                <w:lang w:eastAsia="en-US"/>
              </w:rPr>
              <w:t>)</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Adverse events</w:t>
            </w:r>
          </w:p>
        </w:tc>
      </w:tr>
      <w:tr w:rsidR="001D0FDA" w:rsidRPr="00EB1471" w:rsidTr="001D0FDA">
        <w:tc>
          <w:tcPr>
            <w:tcW w:w="758" w:type="pct"/>
            <w:tcMar>
              <w:left w:w="108" w:type="dxa"/>
              <w:right w:w="108" w:type="dxa"/>
            </w:tcMar>
          </w:tcPr>
          <w:p w:rsidR="001D0FDA" w:rsidRPr="00D53F84" w:rsidRDefault="001D0FDA" w:rsidP="001D0FDA">
            <w:pPr>
              <w:pStyle w:val="Tabletext"/>
              <w:ind w:right="-28"/>
              <w:rPr>
                <w:rFonts w:eastAsia="Times New Roman"/>
              </w:rPr>
            </w:pPr>
            <w:r w:rsidRPr="00D53F84">
              <w:rPr>
                <w:rFonts w:eastAsia="Times New Roman"/>
              </w:rPr>
              <w:t>COMPASS-2</w:t>
            </w:r>
            <w:r w:rsidR="001D34EE" w:rsidRPr="001A1C44">
              <w:rPr>
                <w:rFonts w:eastAsia="Times New Roman"/>
                <w:noProof/>
                <w:vertAlign w:val="superscript"/>
              </w:rPr>
              <w:t>37</w:t>
            </w:r>
          </w:p>
          <w:p w:rsidR="001D0FDA" w:rsidRPr="00D53F84" w:rsidRDefault="001D0FDA" w:rsidP="001D0FDA">
            <w:pPr>
              <w:pStyle w:val="Tabletext"/>
              <w:ind w:right="-28"/>
              <w:rPr>
                <w:rFonts w:eastAsia="Times New Roman"/>
              </w:rPr>
            </w:pPr>
            <w:r w:rsidRPr="00D53F84">
              <w:rPr>
                <w:rFonts w:eastAsia="Times New Roman"/>
                <w:lang w:eastAsia="en-US"/>
              </w:rPr>
              <w:t>2006-2012</w:t>
            </w:r>
          </w:p>
          <w:p w:rsidR="001D0FDA" w:rsidRPr="00D53F84" w:rsidRDefault="001D0FDA" w:rsidP="001D0FDA">
            <w:pPr>
              <w:pStyle w:val="Tabletext"/>
              <w:ind w:right="-28"/>
              <w:rPr>
                <w:rFonts w:eastAsia="Times New Roman"/>
              </w:rPr>
            </w:pPr>
            <w:r w:rsidRPr="00D53F84">
              <w:rPr>
                <w:rFonts w:eastAsia="Times New Roman"/>
                <w:lang w:eastAsia="en-US"/>
              </w:rPr>
              <w:t>US, Europe, Brazil, Saudi Arabia</w:t>
            </w:r>
          </w:p>
        </w:tc>
        <w:tc>
          <w:tcPr>
            <w:tcW w:w="68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w:t>
            </w:r>
          </w:p>
          <w:p w:rsidR="001D0FDA" w:rsidRPr="00D53F84" w:rsidRDefault="00300E1B" w:rsidP="001D0FDA">
            <w:pPr>
              <w:pStyle w:val="Tabletext"/>
              <w:ind w:right="-28"/>
              <w:rPr>
                <w:rFonts w:eastAsia="Times New Roman"/>
                <w:lang w:eastAsia="en-US"/>
              </w:rPr>
            </w:pPr>
            <w:r>
              <w:rPr>
                <w:rFonts w:eastAsia="Times New Roman"/>
                <w:lang w:eastAsia="en-US"/>
              </w:rPr>
              <w:t>3.2</w:t>
            </w:r>
            <w:r w:rsidR="001D0FDA" w:rsidRPr="00D53F84">
              <w:rPr>
                <w:rFonts w:eastAsia="Times New Roman"/>
                <w:lang w:eastAsia="en-US"/>
              </w:rPr>
              <w:t xml:space="preserve"> years</w:t>
            </w:r>
          </w:p>
          <w:p w:rsidR="001D0FDA" w:rsidRPr="00D53F84" w:rsidRDefault="001D0FDA" w:rsidP="001D0FDA">
            <w:pPr>
              <w:pStyle w:val="Tabletext"/>
              <w:ind w:right="-28"/>
              <w:rPr>
                <w:rFonts w:eastAsia="Times New Roman"/>
                <w:lang w:eastAsia="en-US"/>
              </w:rPr>
            </w:pPr>
            <w:r w:rsidRPr="00D53F84">
              <w:rPr>
                <w:rFonts w:eastAsia="Times New Roman"/>
                <w:lang w:eastAsia="en-US"/>
              </w:rPr>
              <w:t>Low-to-moderate</w:t>
            </w:r>
          </w:p>
        </w:tc>
        <w:tc>
          <w:tcPr>
            <w:tcW w:w="695"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N=334</w:t>
            </w:r>
          </w:p>
          <w:p w:rsidR="001D0FDA" w:rsidRPr="00D53F84" w:rsidRDefault="001D0FDA" w:rsidP="001D0FDA">
            <w:pPr>
              <w:pStyle w:val="Tabletext"/>
              <w:ind w:right="-28"/>
              <w:rPr>
                <w:rFonts w:eastAsia="Times New Roman"/>
                <w:lang w:eastAsia="en-US"/>
              </w:rPr>
            </w:pPr>
            <w:r w:rsidRPr="00D53F84">
              <w:rPr>
                <w:rFonts w:eastAsia="Times New Roman"/>
                <w:lang w:eastAsia="en-US"/>
              </w:rPr>
              <w:t>WHO FC II-IV</w:t>
            </w:r>
          </w:p>
          <w:p w:rsidR="001D0FDA" w:rsidRPr="00D53F84" w:rsidRDefault="001D0FDA" w:rsidP="001D0FDA">
            <w:pPr>
              <w:pStyle w:val="Tabletext"/>
              <w:ind w:right="-28"/>
              <w:rPr>
                <w:rFonts w:eastAsia="Times New Roman"/>
                <w:lang w:eastAsia="en-US"/>
              </w:rPr>
            </w:pPr>
            <w:r w:rsidRPr="00D53F84">
              <w:rPr>
                <w:rFonts w:eastAsia="Times New Roman"/>
                <w:lang w:eastAsia="en-US"/>
              </w:rPr>
              <w:t>IPAH, PAH-CTD, PAH-CHD, HPAH, or PAH-DT</w:t>
            </w:r>
          </w:p>
        </w:tc>
        <w:tc>
          <w:tcPr>
            <w:tcW w:w="907"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BOS 125mg bid</w:t>
            </w:r>
          </w:p>
          <w:p w:rsidR="001D0FDA" w:rsidRPr="00D53F84" w:rsidRDefault="001D0FDA" w:rsidP="001D0FDA">
            <w:pPr>
              <w:pStyle w:val="Tabletext"/>
              <w:ind w:right="-28"/>
              <w:rPr>
                <w:rFonts w:eastAsia="Times New Roman"/>
                <w:lang w:eastAsia="en-US"/>
              </w:rPr>
            </w:pPr>
            <w:r w:rsidRPr="00D53F84">
              <w:rPr>
                <w:rFonts w:eastAsia="Times New Roman"/>
                <w:lang w:eastAsia="en-US"/>
              </w:rPr>
              <w:t xml:space="preserve">PBO </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lang w:eastAsia="en-US"/>
              </w:rPr>
            </w:pPr>
            <w:r w:rsidRPr="00D53F84">
              <w:rPr>
                <w:rFonts w:eastAsia="Times New Roman"/>
                <w:lang w:eastAsia="en-US"/>
              </w:rPr>
              <w:t>Background therapy with SIL ≥20mg tid (100%)</w:t>
            </w:r>
          </w:p>
        </w:tc>
        <w:tc>
          <w:tcPr>
            <w:tcW w:w="760" w:type="pct"/>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3</w:t>
            </w:r>
          </w:p>
          <w:p w:rsidR="001D0FDA" w:rsidRPr="00D53F84" w:rsidRDefault="001D0FDA" w:rsidP="001D0FDA">
            <w:pPr>
              <w:pStyle w:val="Tabletext"/>
              <w:ind w:right="-28"/>
              <w:rPr>
                <w:rFonts w:eastAsia="Times New Roman"/>
                <w:lang w:eastAsia="en-US"/>
              </w:rPr>
            </w:pPr>
            <w:r w:rsidRPr="00D53F84">
              <w:rPr>
                <w:rFonts w:eastAsia="Times New Roman"/>
                <w:lang w:eastAsia="en-US"/>
              </w:rPr>
              <w:t>Overall population</w:t>
            </w:r>
          </w:p>
        </w:tc>
        <w:tc>
          <w:tcPr>
            <w:tcW w:w="1194"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Clinical worsening</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Mortality</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WHO FC</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Adverse events</w:t>
            </w:r>
          </w:p>
        </w:tc>
      </w:tr>
      <w:tr w:rsidR="001D0FDA" w:rsidRPr="00EB1471" w:rsidTr="001D0FDA">
        <w:tc>
          <w:tcPr>
            <w:tcW w:w="758" w:type="pct"/>
            <w:tcMar>
              <w:left w:w="108" w:type="dxa"/>
              <w:right w:w="108" w:type="dxa"/>
            </w:tcMar>
          </w:tcPr>
          <w:p w:rsidR="001D0FDA" w:rsidRPr="00D53F84" w:rsidRDefault="001D0FDA" w:rsidP="001D0FDA">
            <w:pPr>
              <w:pStyle w:val="Tabletext"/>
              <w:ind w:right="-28"/>
              <w:rPr>
                <w:rFonts w:eastAsia="Times New Roman"/>
              </w:rPr>
            </w:pPr>
            <w:r w:rsidRPr="00D53F84">
              <w:rPr>
                <w:rFonts w:eastAsia="Times New Roman"/>
              </w:rPr>
              <w:t>EARLY</w:t>
            </w:r>
            <w:r w:rsidR="001D34EE" w:rsidRPr="001D34EE">
              <w:rPr>
                <w:rFonts w:eastAsia="Times New Roman"/>
                <w:noProof/>
                <w:vertAlign w:val="superscript"/>
              </w:rPr>
              <w:t>9</w:t>
            </w:r>
          </w:p>
          <w:p w:rsidR="001D0FDA" w:rsidRPr="00D53F84" w:rsidRDefault="001D0FDA" w:rsidP="001D0FDA">
            <w:pPr>
              <w:pStyle w:val="Tabletext"/>
              <w:ind w:right="-28"/>
              <w:rPr>
                <w:rFonts w:eastAsia="Times New Roman"/>
              </w:rPr>
            </w:pPr>
            <w:r w:rsidRPr="00D53F84">
              <w:rPr>
                <w:rFonts w:eastAsia="Times New Roman"/>
                <w:lang w:eastAsia="en-US"/>
              </w:rPr>
              <w:t>2004-2006</w:t>
            </w:r>
          </w:p>
          <w:p w:rsidR="001D0FDA" w:rsidRPr="00D53F84" w:rsidRDefault="001D0FDA" w:rsidP="001D0FDA">
            <w:pPr>
              <w:pStyle w:val="Tabletext"/>
              <w:ind w:right="-28"/>
              <w:rPr>
                <w:rFonts w:eastAsia="Times New Roman"/>
              </w:rPr>
            </w:pPr>
            <w:r w:rsidRPr="00D53F84">
              <w:rPr>
                <w:rFonts w:eastAsia="Times New Roman"/>
                <w:lang w:eastAsia="en-US"/>
              </w:rPr>
              <w:t>US, Europe, Brazil</w:t>
            </w:r>
          </w:p>
        </w:tc>
        <w:tc>
          <w:tcPr>
            <w:tcW w:w="68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w:t>
            </w:r>
          </w:p>
          <w:p w:rsidR="001D0FDA" w:rsidRPr="00D53F84" w:rsidRDefault="001D0FDA" w:rsidP="001D0FDA">
            <w:pPr>
              <w:pStyle w:val="Tabletext"/>
              <w:ind w:right="-28"/>
              <w:rPr>
                <w:rFonts w:eastAsia="Times New Roman"/>
                <w:lang w:eastAsia="en-US"/>
              </w:rPr>
            </w:pPr>
            <w:r w:rsidRPr="00D53F84">
              <w:rPr>
                <w:rFonts w:eastAsia="Times New Roman"/>
                <w:lang w:eastAsia="en-US"/>
              </w:rPr>
              <w:t>26 weeks</w:t>
            </w:r>
          </w:p>
          <w:p w:rsidR="001D0FDA" w:rsidRPr="00D53F84" w:rsidRDefault="001D0FDA" w:rsidP="001D0FDA">
            <w:pPr>
              <w:pStyle w:val="Tabletext"/>
              <w:ind w:right="-28"/>
              <w:rPr>
                <w:rFonts w:eastAsia="Times New Roman"/>
                <w:lang w:eastAsia="en-US"/>
              </w:rPr>
            </w:pPr>
            <w:r w:rsidRPr="00D53F84">
              <w:rPr>
                <w:rFonts w:eastAsia="Times New Roman"/>
                <w:lang w:eastAsia="en-US"/>
              </w:rPr>
              <w:t>Low</w:t>
            </w:r>
          </w:p>
        </w:tc>
        <w:tc>
          <w:tcPr>
            <w:tcW w:w="695"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N=185</w:t>
            </w:r>
          </w:p>
          <w:p w:rsidR="001D0FDA" w:rsidRPr="00D53F84" w:rsidRDefault="001D0FDA" w:rsidP="001D0FDA">
            <w:pPr>
              <w:pStyle w:val="Tabletext"/>
              <w:ind w:right="-28"/>
              <w:rPr>
                <w:rFonts w:eastAsia="Times New Roman"/>
                <w:lang w:eastAsia="en-US"/>
              </w:rPr>
            </w:pPr>
            <w:r w:rsidRPr="00D53F84">
              <w:rPr>
                <w:rFonts w:eastAsia="Times New Roman"/>
                <w:lang w:eastAsia="en-US"/>
              </w:rPr>
              <w:t>WHO FC II</w:t>
            </w:r>
          </w:p>
          <w:p w:rsidR="001D0FDA" w:rsidRPr="00D53F84" w:rsidRDefault="001D0FDA" w:rsidP="001D0FDA">
            <w:pPr>
              <w:pStyle w:val="Tabletext"/>
              <w:ind w:right="-28"/>
              <w:rPr>
                <w:rFonts w:eastAsia="Times New Roman"/>
                <w:lang w:eastAsia="en-US"/>
              </w:rPr>
            </w:pPr>
            <w:r w:rsidRPr="00D53F84">
              <w:rPr>
                <w:rFonts w:eastAsia="Times New Roman"/>
                <w:lang w:eastAsia="en-US"/>
              </w:rPr>
              <w:t>IPAH, HPAH, PAH-CTD, PAH-CHD, PAH-HIV, or PAH-DT</w:t>
            </w:r>
          </w:p>
        </w:tc>
        <w:tc>
          <w:tcPr>
            <w:tcW w:w="907"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 xml:space="preserve">BOS 125mg bid </w:t>
            </w:r>
          </w:p>
          <w:p w:rsidR="001D0FDA" w:rsidRPr="00D53F84" w:rsidRDefault="001D0FDA" w:rsidP="001D0FDA">
            <w:pPr>
              <w:pStyle w:val="Tabletext"/>
              <w:ind w:right="-28"/>
              <w:rPr>
                <w:rFonts w:eastAsia="Times New Roman"/>
                <w:lang w:eastAsia="en-US"/>
              </w:rPr>
            </w:pPr>
            <w:r w:rsidRPr="00D53F84">
              <w:rPr>
                <w:rFonts w:eastAsia="Times New Roman"/>
                <w:lang w:eastAsia="en-US"/>
              </w:rPr>
              <w:t>PBO</w:t>
            </w:r>
          </w:p>
          <w:p w:rsidR="001D0FDA" w:rsidRPr="00D53F84" w:rsidRDefault="001D0FDA" w:rsidP="001D0FDA">
            <w:pPr>
              <w:spacing w:before="60" w:after="60"/>
              <w:rPr>
                <w:rFonts w:cs="Tahoma"/>
                <w:sz w:val="20"/>
              </w:rPr>
            </w:pPr>
          </w:p>
          <w:p w:rsidR="001D0FDA" w:rsidRPr="00D53F84" w:rsidRDefault="001D0FDA" w:rsidP="001D0FDA">
            <w:pPr>
              <w:pStyle w:val="Tabletext"/>
              <w:ind w:right="-28"/>
              <w:rPr>
                <w:rFonts w:eastAsia="Times New Roman"/>
                <w:lang w:eastAsia="en-US"/>
              </w:rPr>
            </w:pPr>
            <w:r w:rsidRPr="00D53F84">
              <w:rPr>
                <w:rFonts w:cs="Tahoma"/>
              </w:rPr>
              <w:t>Background therapy with SIL (16%)</w:t>
            </w:r>
          </w:p>
        </w:tc>
        <w:tc>
          <w:tcPr>
            <w:tcW w:w="760" w:type="pct"/>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1</w:t>
            </w:r>
          </w:p>
          <w:p w:rsidR="001D0FDA" w:rsidRPr="00D53F84" w:rsidRDefault="001D0FDA" w:rsidP="001D0FDA">
            <w:pPr>
              <w:pStyle w:val="Tabletext"/>
              <w:ind w:right="-28"/>
              <w:rPr>
                <w:rFonts w:eastAsia="Times New Roman"/>
                <w:lang w:eastAsia="en-US"/>
              </w:rPr>
            </w:pPr>
            <w:r w:rsidRPr="00D53F84">
              <w:rPr>
                <w:rFonts w:eastAsia="Times New Roman"/>
                <w:lang w:eastAsia="en-US"/>
              </w:rPr>
              <w:t xml:space="preserve">Subgroup of patients without background therapy (n=156) </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lang w:eastAsia="en-US"/>
              </w:rPr>
            </w:pPr>
            <w:r w:rsidRPr="00D53F84">
              <w:rPr>
                <w:rFonts w:eastAsia="Times New Roman"/>
                <w:lang w:eastAsia="en-US"/>
              </w:rPr>
              <w:t>Q3</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background therapy (n=29)</w:t>
            </w:r>
          </w:p>
        </w:tc>
        <w:tc>
          <w:tcPr>
            <w:tcW w:w="1194"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Clinical worsening</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Mortality</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Haemodynamic parameters</w:t>
            </w:r>
            <w:r w:rsidR="00246F7A">
              <w:rPr>
                <w:rFonts w:eastAsia="Times New Roman"/>
                <w:vertAlign w:val="superscript"/>
                <w:lang w:eastAsia="en-US"/>
              </w:rPr>
              <w:t>e</w:t>
            </w:r>
          </w:p>
        </w:tc>
      </w:tr>
      <w:tr w:rsidR="001D0FDA" w:rsidRPr="00EB1471" w:rsidTr="001D0FDA">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Han 2017</w:t>
            </w:r>
            <w:r w:rsidR="001D34EE" w:rsidRPr="001A1C44">
              <w:rPr>
                <w:rFonts w:eastAsia="Times New Roman"/>
                <w:noProof/>
                <w:vertAlign w:val="superscript"/>
                <w:lang w:eastAsia="en-US"/>
              </w:rPr>
              <w:t>38</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2012-2015</w:t>
            </w:r>
          </w:p>
          <w:p w:rsidR="001D0FDA" w:rsidRPr="00D53F84" w:rsidRDefault="001D0FDA" w:rsidP="001D0FDA">
            <w:pPr>
              <w:pStyle w:val="Tabletext"/>
              <w:ind w:right="-28"/>
              <w:rPr>
                <w:rFonts w:eastAsia="Times New Roman"/>
              </w:rPr>
            </w:pPr>
            <w:r w:rsidRPr="00D53F84">
              <w:rPr>
                <w:rFonts w:eastAsia="Times New Roman"/>
                <w:snapToGrid w:val="0"/>
                <w:lang w:eastAsia="en-US"/>
              </w:rPr>
              <w:t>China</w:t>
            </w:r>
          </w:p>
        </w:tc>
        <w:tc>
          <w:tcPr>
            <w:tcW w:w="686"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RCT, OL</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13 weeks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High</w:t>
            </w:r>
          </w:p>
        </w:tc>
        <w:tc>
          <w:tcPr>
            <w:tcW w:w="695"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N=14</w:t>
            </w:r>
          </w:p>
          <w:p w:rsidR="001D0FDA" w:rsidRPr="00D53F84" w:rsidRDefault="001D0FDA" w:rsidP="001D0FDA">
            <w:pPr>
              <w:pStyle w:val="Tabletext"/>
              <w:ind w:right="-28"/>
              <w:rPr>
                <w:rFonts w:cs="Tahoma"/>
              </w:rPr>
            </w:pPr>
            <w:r w:rsidRPr="00D53F84">
              <w:rPr>
                <w:rFonts w:cs="Tahoma"/>
              </w:rPr>
              <w:t xml:space="preserve">WHO FC III-IV </w:t>
            </w:r>
          </w:p>
          <w:p w:rsidR="001D0FDA" w:rsidRPr="00D53F84" w:rsidRDefault="001D0FDA" w:rsidP="001D0FDA">
            <w:pPr>
              <w:pStyle w:val="Tabletext"/>
              <w:ind w:right="-28"/>
              <w:rPr>
                <w:rFonts w:eastAsia="Times New Roman"/>
                <w:snapToGrid w:val="0"/>
                <w:lang w:eastAsia="en-US"/>
              </w:rPr>
            </w:pPr>
            <w:r w:rsidRPr="00D53F84">
              <w:rPr>
                <w:rFonts w:cs="Tahoma"/>
              </w:rPr>
              <w:t>IPAH or CTEPH</w:t>
            </w:r>
            <w:r w:rsidR="00246F7A">
              <w:rPr>
                <w:rFonts w:cs="Tahoma"/>
                <w:vertAlign w:val="superscript"/>
              </w:rPr>
              <w:t>f</w:t>
            </w:r>
          </w:p>
        </w:tc>
        <w:tc>
          <w:tcPr>
            <w:tcW w:w="907"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BOS 125mg bid + ILO 10µg 4-6 times daily</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 xml:space="preserve">ILO 10µg 4-6 times daily </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No background therapy</w:t>
            </w:r>
          </w:p>
        </w:tc>
        <w:tc>
          <w:tcPr>
            <w:tcW w:w="760" w:type="pct"/>
            <w:shd w:val="clear" w:color="auto" w:fill="auto"/>
            <w:tcMar>
              <w:left w:w="108" w:type="dxa"/>
              <w:right w:w="108" w:type="dxa"/>
            </w:tcMar>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RQ 3</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Overall population</w:t>
            </w:r>
          </w:p>
        </w:tc>
        <w:tc>
          <w:tcPr>
            <w:tcW w:w="1194"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DF4187" w:rsidP="00480FDF">
            <w:pPr>
              <w:pStyle w:val="Tabletext"/>
              <w:numPr>
                <w:ilvl w:val="0"/>
                <w:numId w:val="55"/>
              </w:numPr>
              <w:ind w:left="101" w:right="-28" w:hanging="101"/>
              <w:rPr>
                <w:rFonts w:eastAsia="Times New Roman"/>
                <w:lang w:eastAsia="en-US"/>
              </w:rPr>
            </w:pPr>
            <w:r>
              <w:rPr>
                <w:rFonts w:eastAsia="Times New Roman"/>
                <w:lang w:eastAsia="en-US"/>
              </w:rPr>
              <w:t>QoL (ML</w:t>
            </w:r>
            <w:r w:rsidR="001D0FDA" w:rsidRPr="00D53F84">
              <w:rPr>
                <w:rFonts w:eastAsia="Times New Roman"/>
                <w:lang w:eastAsia="en-US"/>
              </w:rPr>
              <w:t>HF)</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Haemodynamic parameters</w:t>
            </w:r>
            <w:r w:rsidR="00246F7A">
              <w:rPr>
                <w:rFonts w:eastAsia="Times New Roman"/>
                <w:vertAlign w:val="superscript"/>
                <w:lang w:eastAsia="en-US"/>
              </w:rPr>
              <w:t>e</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Adverse events</w:t>
            </w:r>
          </w:p>
        </w:tc>
      </w:tr>
      <w:tr w:rsidR="001D0FDA" w:rsidRPr="00EB1471" w:rsidTr="001D0FDA">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Mainguy 2013</w:t>
            </w:r>
            <w:r w:rsidR="001D34EE" w:rsidRPr="001A1C44">
              <w:rPr>
                <w:rFonts w:eastAsia="Times New Roman"/>
                <w:noProof/>
                <w:vertAlign w:val="superscript"/>
                <w:lang w:eastAsia="en-US"/>
              </w:rPr>
              <w:t>39</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2009-2011</w:t>
            </w:r>
          </w:p>
          <w:p w:rsidR="001D0FDA" w:rsidRPr="00D53F84" w:rsidRDefault="001D0FDA" w:rsidP="001D0FDA">
            <w:pPr>
              <w:pStyle w:val="Tabletext"/>
              <w:ind w:right="-28"/>
              <w:rPr>
                <w:rFonts w:eastAsia="Times New Roman"/>
              </w:rPr>
            </w:pPr>
            <w:r w:rsidRPr="00D53F84">
              <w:rPr>
                <w:rFonts w:eastAsia="Times New Roman"/>
                <w:snapToGrid w:val="0"/>
                <w:lang w:eastAsia="en-US"/>
              </w:rPr>
              <w:t>Canada</w:t>
            </w:r>
          </w:p>
        </w:tc>
        <w:tc>
          <w:tcPr>
            <w:tcW w:w="686"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RCT, DB, cross-over</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4 weeks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Low-to-moderate</w:t>
            </w:r>
          </w:p>
        </w:tc>
        <w:tc>
          <w:tcPr>
            <w:tcW w:w="695"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N=20</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WHO FC II-III</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IPAH, HPAH, PAH-CTD, PAH-CHD</w:t>
            </w:r>
          </w:p>
        </w:tc>
        <w:tc>
          <w:tcPr>
            <w:tcW w:w="907"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SIL 20mg tid</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PBO</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Background therapy with ERA (90%)</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Background therapy with EPO (10%)</w:t>
            </w:r>
          </w:p>
        </w:tc>
        <w:tc>
          <w:tcPr>
            <w:tcW w:w="760" w:type="pct"/>
            <w:shd w:val="clear" w:color="auto" w:fill="auto"/>
            <w:tcMar>
              <w:left w:w="108" w:type="dxa"/>
              <w:right w:w="108" w:type="dxa"/>
            </w:tcMar>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RQ 3</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Overall population</w:t>
            </w:r>
          </w:p>
        </w:tc>
        <w:tc>
          <w:tcPr>
            <w:tcW w:w="1194"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tc>
      </w:tr>
      <w:tr w:rsidR="001D0FDA" w:rsidRPr="00EB1471" w:rsidTr="001D0FDA">
        <w:tc>
          <w:tcPr>
            <w:tcW w:w="758" w:type="pct"/>
            <w:shd w:val="clear" w:color="auto" w:fill="auto"/>
            <w:tcMar>
              <w:left w:w="108" w:type="dxa"/>
              <w:right w:w="108" w:type="dxa"/>
            </w:tcMar>
          </w:tcPr>
          <w:p w:rsidR="001D0FDA" w:rsidRPr="00D53F84" w:rsidRDefault="001D0FDA" w:rsidP="001D0FDA">
            <w:pPr>
              <w:pStyle w:val="Tabletext"/>
              <w:ind w:right="-111"/>
              <w:rPr>
                <w:rFonts w:eastAsia="Times New Roman"/>
              </w:rPr>
            </w:pPr>
            <w:r w:rsidRPr="00D53F84">
              <w:rPr>
                <w:rFonts w:eastAsia="Times New Roman"/>
              </w:rPr>
              <w:t>Mukhopadhyay 2011</w:t>
            </w:r>
            <w:r w:rsidR="001D34EE" w:rsidRPr="001A1C44">
              <w:rPr>
                <w:rFonts w:eastAsia="Times New Roman"/>
                <w:noProof/>
                <w:vertAlign w:val="superscript"/>
              </w:rPr>
              <w:t>40</w:t>
            </w:r>
          </w:p>
          <w:p w:rsidR="001D0FDA" w:rsidRPr="00D53F84" w:rsidRDefault="001D0FDA" w:rsidP="001D0FDA">
            <w:pPr>
              <w:pStyle w:val="Tabletext"/>
              <w:ind w:right="-28"/>
              <w:rPr>
                <w:rFonts w:eastAsia="Times New Roman"/>
              </w:rPr>
            </w:pPr>
            <w:r w:rsidRPr="00D53F84">
              <w:rPr>
                <w:rFonts w:eastAsia="Times New Roman"/>
                <w:lang w:eastAsia="en-US"/>
              </w:rPr>
              <w:t>No later than 2011</w:t>
            </w:r>
            <w:r w:rsidRPr="00D53F84">
              <w:rPr>
                <w:rFonts w:eastAsia="Times New Roman"/>
                <w:vertAlign w:val="superscript"/>
                <w:lang w:eastAsia="en-US"/>
              </w:rPr>
              <w:t>c</w:t>
            </w:r>
          </w:p>
          <w:p w:rsidR="001D0FDA" w:rsidRPr="00D53F84" w:rsidRDefault="001D0FDA" w:rsidP="001D0FDA">
            <w:pPr>
              <w:pStyle w:val="Tabletext"/>
              <w:ind w:right="-28"/>
              <w:rPr>
                <w:rFonts w:eastAsia="Times New Roman"/>
              </w:rPr>
            </w:pPr>
            <w:r w:rsidRPr="00D53F84">
              <w:rPr>
                <w:rFonts w:eastAsia="Times New Roman"/>
                <w:lang w:eastAsia="en-US"/>
              </w:rPr>
              <w:t>India</w:t>
            </w:r>
          </w:p>
        </w:tc>
        <w:tc>
          <w:tcPr>
            <w:tcW w:w="68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 cross-over</w:t>
            </w:r>
          </w:p>
          <w:p w:rsidR="001D0FDA" w:rsidRPr="00D53F84" w:rsidRDefault="001D0FDA" w:rsidP="001D0FDA">
            <w:pPr>
              <w:pStyle w:val="Tabletext"/>
              <w:ind w:right="-28"/>
              <w:rPr>
                <w:rFonts w:eastAsia="Times New Roman"/>
                <w:lang w:eastAsia="en-US"/>
              </w:rPr>
            </w:pPr>
            <w:r w:rsidRPr="00D53F84">
              <w:rPr>
                <w:rFonts w:eastAsia="Times New Roman"/>
                <w:lang w:eastAsia="en-US"/>
              </w:rPr>
              <w:t>6 weeks</w:t>
            </w:r>
          </w:p>
          <w:p w:rsidR="001D0FDA" w:rsidRPr="00D53F84" w:rsidRDefault="001D0FDA" w:rsidP="001D0FDA">
            <w:pPr>
              <w:pStyle w:val="Tabletext"/>
              <w:ind w:right="-28"/>
              <w:rPr>
                <w:rFonts w:eastAsia="Times New Roman"/>
                <w:lang w:eastAsia="en-US"/>
              </w:rPr>
            </w:pPr>
            <w:r w:rsidRPr="00D53F84">
              <w:rPr>
                <w:rFonts w:eastAsia="Times New Roman"/>
                <w:lang w:eastAsia="en-US"/>
              </w:rPr>
              <w:t>Low-to-moderate</w:t>
            </w:r>
          </w:p>
        </w:tc>
        <w:tc>
          <w:tcPr>
            <w:tcW w:w="695"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N=28</w:t>
            </w:r>
          </w:p>
          <w:p w:rsidR="001D0FDA" w:rsidRPr="00D53F84" w:rsidRDefault="001D0FDA" w:rsidP="001D0FDA">
            <w:pPr>
              <w:pStyle w:val="Tabletext"/>
              <w:ind w:right="-28"/>
              <w:rPr>
                <w:rFonts w:eastAsia="Times New Roman"/>
                <w:lang w:eastAsia="en-US"/>
              </w:rPr>
            </w:pPr>
            <w:r w:rsidRPr="00D53F84">
              <w:rPr>
                <w:rFonts w:eastAsia="Times New Roman"/>
                <w:lang w:eastAsia="en-US"/>
              </w:rPr>
              <w:t>WHO II-III</w:t>
            </w:r>
          </w:p>
          <w:p w:rsidR="001D0FDA" w:rsidRPr="00D53F84" w:rsidRDefault="001D0FDA" w:rsidP="001D0FDA">
            <w:pPr>
              <w:pStyle w:val="Tabletext"/>
              <w:ind w:right="-28"/>
              <w:rPr>
                <w:rFonts w:eastAsia="Times New Roman"/>
                <w:lang w:eastAsia="en-US"/>
              </w:rPr>
            </w:pPr>
            <w:r w:rsidRPr="00D53F84">
              <w:rPr>
                <w:rFonts w:eastAsia="Times New Roman"/>
                <w:lang w:eastAsia="en-US"/>
              </w:rPr>
              <w:t>PAH-CHD</w:t>
            </w:r>
          </w:p>
        </w:tc>
        <w:tc>
          <w:tcPr>
            <w:tcW w:w="907"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TAD 40mg od</w:t>
            </w:r>
          </w:p>
          <w:p w:rsidR="001D0FDA" w:rsidRPr="00D53F84" w:rsidRDefault="001D0FDA" w:rsidP="001D0FDA">
            <w:pPr>
              <w:pStyle w:val="Tabletext"/>
              <w:ind w:right="-28"/>
              <w:rPr>
                <w:rFonts w:eastAsia="Times New Roman"/>
                <w:lang w:eastAsia="en-US"/>
              </w:rPr>
            </w:pPr>
            <w:r w:rsidRPr="00D53F84">
              <w:rPr>
                <w:rFonts w:eastAsia="Times New Roman"/>
                <w:lang w:eastAsia="en-US"/>
              </w:rPr>
              <w:t>PBO</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lang w:eastAsia="en-US"/>
              </w:rPr>
            </w:pPr>
            <w:r w:rsidRPr="00D53F84">
              <w:rPr>
                <w:rFonts w:eastAsia="Times New Roman"/>
                <w:lang w:eastAsia="en-US"/>
              </w:rPr>
              <w:t>No background therapy</w:t>
            </w:r>
          </w:p>
        </w:tc>
        <w:tc>
          <w:tcPr>
            <w:tcW w:w="760"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1</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WHO FC I-II PAH (n=22)</w:t>
            </w:r>
          </w:p>
        </w:tc>
        <w:tc>
          <w:tcPr>
            <w:tcW w:w="1194"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 xml:space="preserve">Change in WHO FC </w:t>
            </w:r>
          </w:p>
        </w:tc>
      </w:tr>
      <w:tr w:rsidR="001D0FDA" w:rsidRPr="00EB1471" w:rsidTr="001D0FDA">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PACES-1</w:t>
            </w:r>
            <w:r w:rsidR="001D34EE" w:rsidRPr="001A1C44">
              <w:rPr>
                <w:rFonts w:eastAsia="Times New Roman"/>
                <w:noProof/>
                <w:vertAlign w:val="superscript"/>
                <w:lang w:eastAsia="en-US"/>
              </w:rPr>
              <w:t>41</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2003-2006</w:t>
            </w:r>
          </w:p>
          <w:p w:rsidR="001D0FDA" w:rsidRPr="00D53F84" w:rsidRDefault="001D0FDA" w:rsidP="001D0FDA">
            <w:pPr>
              <w:pStyle w:val="Tabletext"/>
              <w:ind w:right="-28"/>
              <w:rPr>
                <w:rFonts w:eastAsia="Times New Roman"/>
              </w:rPr>
            </w:pPr>
            <w:r w:rsidRPr="00D53F84">
              <w:rPr>
                <w:rFonts w:eastAsia="Times New Roman"/>
                <w:snapToGrid w:val="0"/>
                <w:lang w:eastAsia="en-US"/>
              </w:rPr>
              <w:lastRenderedPageBreak/>
              <w:t>US, Canada, Europe, Israel</w:t>
            </w:r>
          </w:p>
        </w:tc>
        <w:tc>
          <w:tcPr>
            <w:tcW w:w="686"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lastRenderedPageBreak/>
              <w:t>RCT, DB</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16 weeks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lastRenderedPageBreak/>
              <w:t>Low</w:t>
            </w:r>
          </w:p>
        </w:tc>
        <w:tc>
          <w:tcPr>
            <w:tcW w:w="695"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lastRenderedPageBreak/>
              <w:t>N=267</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WHO FC I-IV</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lastRenderedPageBreak/>
              <w:t>IPAH or PAH-CTD</w:t>
            </w:r>
          </w:p>
        </w:tc>
        <w:tc>
          <w:tcPr>
            <w:tcW w:w="907"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lastRenderedPageBreak/>
              <w:t>SIL 20-80mg tid</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PBO</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Background therapy with EPO 3-181/kg/min (100%)</w:t>
            </w:r>
          </w:p>
        </w:tc>
        <w:tc>
          <w:tcPr>
            <w:tcW w:w="760" w:type="pct"/>
            <w:shd w:val="clear" w:color="auto" w:fill="auto"/>
            <w:tcMar>
              <w:left w:w="108" w:type="dxa"/>
              <w:right w:w="108" w:type="dxa"/>
            </w:tcMar>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lastRenderedPageBreak/>
              <w:t>RQ 3</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 xml:space="preserve">Overall </w:t>
            </w:r>
            <w:r w:rsidRPr="00D53F84">
              <w:rPr>
                <w:rFonts w:eastAsia="Times New Roman"/>
                <w:snapToGrid w:val="0"/>
                <w:lang w:eastAsia="en-US"/>
              </w:rPr>
              <w:lastRenderedPageBreak/>
              <w:t>population</w:t>
            </w:r>
          </w:p>
        </w:tc>
        <w:tc>
          <w:tcPr>
            <w:tcW w:w="1194"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lastRenderedPageBreak/>
              <w:t>Clinical worsening</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Mortality</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lastRenderedPageBreak/>
              <w:t>Hospitalisation</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Haemodynamic parameters</w:t>
            </w:r>
            <w:r w:rsidR="00246F7A">
              <w:rPr>
                <w:rFonts w:eastAsia="Times New Roman"/>
                <w:vertAlign w:val="superscript"/>
                <w:lang w:eastAsia="en-US"/>
              </w:rPr>
              <w:t>e</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Adverse events</w:t>
            </w:r>
          </w:p>
        </w:tc>
      </w:tr>
      <w:tr w:rsidR="001D0FDA" w:rsidRPr="00EB1471" w:rsidTr="001D0FDA">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rPr>
            </w:pPr>
            <w:r w:rsidRPr="00D53F84">
              <w:rPr>
                <w:rFonts w:eastAsia="Times New Roman"/>
              </w:rPr>
              <w:lastRenderedPageBreak/>
              <w:t>PATENT-1</w:t>
            </w:r>
            <w:r w:rsidR="001D34EE" w:rsidRPr="001D34EE">
              <w:rPr>
                <w:rFonts w:eastAsia="Times New Roman"/>
                <w:noProof/>
                <w:vertAlign w:val="superscript"/>
              </w:rPr>
              <w:t>23, 42, 43</w:t>
            </w:r>
          </w:p>
          <w:p w:rsidR="001D0FDA" w:rsidRPr="00D53F84" w:rsidRDefault="001D0FDA" w:rsidP="001D0FDA">
            <w:pPr>
              <w:pStyle w:val="Tabletext"/>
              <w:ind w:right="-28"/>
              <w:rPr>
                <w:rFonts w:eastAsia="Times New Roman"/>
              </w:rPr>
            </w:pPr>
            <w:r w:rsidRPr="00D53F84">
              <w:rPr>
                <w:rFonts w:eastAsia="Times New Roman"/>
                <w:lang w:eastAsia="en-US"/>
              </w:rPr>
              <w:t>2008-2012</w:t>
            </w:r>
          </w:p>
          <w:p w:rsidR="001D0FDA" w:rsidRPr="00D53F84" w:rsidRDefault="001D0FDA" w:rsidP="001D0FDA">
            <w:pPr>
              <w:pStyle w:val="Tabletext"/>
              <w:ind w:right="-28"/>
              <w:rPr>
                <w:rFonts w:eastAsia="Times New Roman"/>
              </w:rPr>
            </w:pPr>
            <w:r w:rsidRPr="00D53F84">
              <w:rPr>
                <w:rFonts w:eastAsia="Times New Roman"/>
                <w:lang w:eastAsia="en-US"/>
              </w:rPr>
              <w:t>US, Canada, Mexico, Asia, Europe, South America, Australia</w:t>
            </w:r>
          </w:p>
        </w:tc>
        <w:tc>
          <w:tcPr>
            <w:tcW w:w="68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w:t>
            </w:r>
          </w:p>
          <w:p w:rsidR="001D0FDA" w:rsidRPr="00D53F84" w:rsidRDefault="001D0FDA" w:rsidP="001D0FDA">
            <w:pPr>
              <w:pStyle w:val="Tabletext"/>
              <w:ind w:right="-28"/>
              <w:rPr>
                <w:rFonts w:eastAsia="Times New Roman"/>
                <w:lang w:eastAsia="en-US"/>
              </w:rPr>
            </w:pPr>
            <w:r w:rsidRPr="00D53F84">
              <w:rPr>
                <w:rFonts w:eastAsia="Times New Roman"/>
                <w:lang w:eastAsia="en-US"/>
              </w:rPr>
              <w:t>12 weeks</w:t>
            </w:r>
          </w:p>
          <w:p w:rsidR="001D0FDA" w:rsidRPr="00D53F84" w:rsidRDefault="001D0FDA" w:rsidP="001D0FDA">
            <w:pPr>
              <w:pStyle w:val="Tabletext"/>
              <w:ind w:right="-28"/>
              <w:rPr>
                <w:rFonts w:eastAsia="Times New Roman"/>
                <w:lang w:eastAsia="en-US"/>
              </w:rPr>
            </w:pPr>
            <w:r w:rsidRPr="00D53F84">
              <w:rPr>
                <w:rFonts w:eastAsia="Times New Roman"/>
                <w:lang w:eastAsia="en-US"/>
              </w:rPr>
              <w:t>Low-to-moderate</w:t>
            </w:r>
          </w:p>
        </w:tc>
        <w:tc>
          <w:tcPr>
            <w:tcW w:w="695"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N=380</w:t>
            </w:r>
          </w:p>
          <w:p w:rsidR="001D0FDA" w:rsidRPr="00D53F84" w:rsidRDefault="001D0FDA" w:rsidP="001D0FDA">
            <w:pPr>
              <w:pStyle w:val="Tabletext"/>
              <w:ind w:right="-28"/>
              <w:rPr>
                <w:rFonts w:eastAsia="Times New Roman"/>
                <w:lang w:eastAsia="en-US"/>
              </w:rPr>
            </w:pPr>
            <w:r w:rsidRPr="00D53F84">
              <w:rPr>
                <w:rFonts w:eastAsia="Times New Roman"/>
                <w:lang w:eastAsia="en-US"/>
              </w:rPr>
              <w:t>WHO FC I-IV</w:t>
            </w:r>
          </w:p>
          <w:p w:rsidR="001D0FDA" w:rsidRPr="00D53F84" w:rsidRDefault="001D0FDA" w:rsidP="001D0FDA">
            <w:pPr>
              <w:pStyle w:val="Tabletext"/>
              <w:rPr>
                <w:rFonts w:eastAsia="Times New Roman"/>
                <w:lang w:eastAsia="en-US"/>
              </w:rPr>
            </w:pPr>
            <w:r w:rsidRPr="00D53F84">
              <w:rPr>
                <w:rFonts w:eastAsia="Times New Roman"/>
                <w:lang w:eastAsia="en-US"/>
              </w:rPr>
              <w:t>IPAH, PAH-CTD, PAH-CHD, PAH-PH, or PAH-DT</w:t>
            </w:r>
          </w:p>
        </w:tc>
        <w:tc>
          <w:tcPr>
            <w:tcW w:w="907"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RIO up to 2.5mg tid</w:t>
            </w:r>
          </w:p>
          <w:p w:rsidR="001D0FDA" w:rsidRPr="00D53F84" w:rsidRDefault="001D0FDA" w:rsidP="001D0FDA">
            <w:pPr>
              <w:pStyle w:val="Tabletext"/>
              <w:ind w:right="-28"/>
              <w:rPr>
                <w:rFonts w:eastAsia="Times New Roman"/>
                <w:lang w:eastAsia="en-US"/>
              </w:rPr>
            </w:pPr>
            <w:r w:rsidRPr="00D53F84">
              <w:rPr>
                <w:rFonts w:eastAsia="Times New Roman"/>
                <w:lang w:eastAsia="en-US"/>
              </w:rPr>
              <w:t>PBO</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lang w:eastAsia="en-US"/>
              </w:rPr>
            </w:pPr>
            <w:r w:rsidRPr="00D53F84">
              <w:rPr>
                <w:rFonts w:eastAsia="Times New Roman"/>
                <w:lang w:eastAsia="en-US"/>
              </w:rPr>
              <w:t>Background therapy with ERA (44%)</w:t>
            </w:r>
          </w:p>
          <w:p w:rsidR="001D0FDA" w:rsidRPr="00D53F84" w:rsidRDefault="001D0FDA" w:rsidP="001D0FDA">
            <w:pPr>
              <w:pStyle w:val="Tabletext"/>
              <w:ind w:right="-28"/>
              <w:rPr>
                <w:rFonts w:eastAsia="Times New Roman"/>
                <w:lang w:eastAsia="en-US"/>
              </w:rPr>
            </w:pPr>
            <w:r w:rsidRPr="00D53F84">
              <w:rPr>
                <w:rFonts w:eastAsia="Times New Roman"/>
                <w:lang w:eastAsia="en-US"/>
              </w:rPr>
              <w:t>Background therapy with PRO (6%)</w:t>
            </w:r>
          </w:p>
        </w:tc>
        <w:tc>
          <w:tcPr>
            <w:tcW w:w="760"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1</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WHO FC I-II PAH, without background therapy (n=107)</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lang w:eastAsia="en-US"/>
              </w:rPr>
            </w:pPr>
            <w:r w:rsidRPr="00D53F84">
              <w:rPr>
                <w:rFonts w:eastAsia="Times New Roman"/>
                <w:lang w:eastAsia="en-US"/>
              </w:rPr>
              <w:t>RQ3</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background therapy (n=194)</w:t>
            </w:r>
          </w:p>
        </w:tc>
        <w:tc>
          <w:tcPr>
            <w:tcW w:w="1194"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Clinical worsening</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Mortality</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Hospitalisation</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WHO FC</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QoL (</w:t>
            </w:r>
            <w:r w:rsidR="00DF4187">
              <w:rPr>
                <w:rFonts w:eastAsia="Times New Roman"/>
                <w:lang w:eastAsia="en-US"/>
              </w:rPr>
              <w:t>LPH</w:t>
            </w:r>
            <w:r w:rsidRPr="00D53F84">
              <w:rPr>
                <w:rFonts w:eastAsia="Times New Roman"/>
                <w:lang w:eastAsia="en-US"/>
              </w:rPr>
              <w:t>, EQ-5D)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Haemodynamic parameters</w:t>
            </w:r>
            <w:r w:rsidR="00246F7A">
              <w:rPr>
                <w:rFonts w:eastAsia="Times New Roman"/>
                <w:vertAlign w:val="superscript"/>
                <w:lang w:eastAsia="en-US"/>
              </w:rPr>
              <w:t>e</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Adverse events</w:t>
            </w:r>
          </w:p>
        </w:tc>
      </w:tr>
      <w:tr w:rsidR="001D0FDA" w:rsidRPr="00EB1471" w:rsidTr="001D0FDA">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PATENT-PLUS</w:t>
            </w:r>
            <w:r w:rsidR="001D34EE" w:rsidRPr="001A1C44">
              <w:rPr>
                <w:rFonts w:eastAsia="Times New Roman"/>
                <w:noProof/>
                <w:vertAlign w:val="superscript"/>
                <w:lang w:eastAsia="en-US"/>
              </w:rPr>
              <w:t>44</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2010-2013</w:t>
            </w:r>
          </w:p>
          <w:p w:rsidR="001D0FDA" w:rsidRPr="00D53F84" w:rsidRDefault="001D0FDA" w:rsidP="001D0FDA">
            <w:pPr>
              <w:pStyle w:val="Tabletext"/>
              <w:ind w:right="-28"/>
              <w:rPr>
                <w:rFonts w:eastAsia="Times New Roman"/>
              </w:rPr>
            </w:pPr>
            <w:r w:rsidRPr="00D53F84">
              <w:rPr>
                <w:rFonts w:eastAsia="Times New Roman"/>
                <w:snapToGrid w:val="0"/>
                <w:lang w:eastAsia="en-US"/>
              </w:rPr>
              <w:t>Europe</w:t>
            </w:r>
          </w:p>
        </w:tc>
        <w:tc>
          <w:tcPr>
            <w:tcW w:w="686"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RCT, DB</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12 weeks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Low</w:t>
            </w:r>
          </w:p>
        </w:tc>
        <w:tc>
          <w:tcPr>
            <w:tcW w:w="695"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 xml:space="preserve">N=18 </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WHO FC I-IV</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IPAH, PAH-CTD, PAH-CHD or PAH-PH</w:t>
            </w:r>
          </w:p>
        </w:tc>
        <w:tc>
          <w:tcPr>
            <w:tcW w:w="907"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RIO up to 2.5mg tid</w:t>
            </w:r>
          </w:p>
          <w:p w:rsidR="001D0FDA" w:rsidRPr="00D53F84" w:rsidRDefault="001D0FDA" w:rsidP="001D0FDA">
            <w:pPr>
              <w:pStyle w:val="Tabletext"/>
              <w:ind w:right="-28"/>
              <w:rPr>
                <w:rFonts w:eastAsia="Times New Roman"/>
                <w:lang w:eastAsia="en-US"/>
              </w:rPr>
            </w:pPr>
            <w:r w:rsidRPr="00D53F84">
              <w:rPr>
                <w:rFonts w:eastAsia="Times New Roman"/>
                <w:lang w:eastAsia="en-US"/>
              </w:rPr>
              <w:t>PBO</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Background therapy with SIL 20mg tid (100%)</w:t>
            </w:r>
          </w:p>
        </w:tc>
        <w:tc>
          <w:tcPr>
            <w:tcW w:w="760" w:type="pct"/>
            <w:shd w:val="clear" w:color="auto" w:fill="auto"/>
            <w:tcMar>
              <w:left w:w="108" w:type="dxa"/>
              <w:right w:w="108" w:type="dxa"/>
            </w:tcMar>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RQ 3</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Overall population</w:t>
            </w:r>
          </w:p>
        </w:tc>
        <w:tc>
          <w:tcPr>
            <w:tcW w:w="1194"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WHO FC</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Adverse events</w:t>
            </w:r>
          </w:p>
        </w:tc>
      </w:tr>
      <w:tr w:rsidR="001D0FDA" w:rsidRPr="00EB1471" w:rsidTr="001D0FDA">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rPr>
            </w:pPr>
            <w:r w:rsidRPr="00D53F84">
              <w:rPr>
                <w:rFonts w:eastAsia="Times New Roman"/>
              </w:rPr>
              <w:t>PHIRST</w:t>
            </w:r>
            <w:r w:rsidR="001D34EE" w:rsidRPr="001D34EE">
              <w:rPr>
                <w:rFonts w:eastAsia="Times New Roman"/>
                <w:noProof/>
                <w:vertAlign w:val="superscript"/>
              </w:rPr>
              <w:t>12, 13, 45</w:t>
            </w:r>
          </w:p>
          <w:p w:rsidR="001D0FDA" w:rsidRPr="00D53F84" w:rsidRDefault="001D0FDA" w:rsidP="001D0FDA">
            <w:pPr>
              <w:pStyle w:val="Tabletext"/>
              <w:ind w:right="-28"/>
              <w:rPr>
                <w:rFonts w:eastAsia="Times New Roman"/>
              </w:rPr>
            </w:pPr>
            <w:r w:rsidRPr="00D53F84">
              <w:rPr>
                <w:rFonts w:eastAsia="Times New Roman"/>
                <w:lang w:eastAsia="en-US"/>
              </w:rPr>
              <w:t>2005-2007</w:t>
            </w:r>
          </w:p>
          <w:p w:rsidR="001D0FDA" w:rsidRPr="00D53F84" w:rsidRDefault="001D0FDA" w:rsidP="001D0FDA">
            <w:pPr>
              <w:pStyle w:val="Tabletext"/>
              <w:ind w:right="-28"/>
              <w:rPr>
                <w:rFonts w:eastAsia="Times New Roman"/>
              </w:rPr>
            </w:pPr>
            <w:r w:rsidRPr="00D53F84">
              <w:rPr>
                <w:rFonts w:eastAsia="Times New Roman"/>
                <w:lang w:eastAsia="en-US"/>
              </w:rPr>
              <w:t>US, Canada, Europe, Japan</w:t>
            </w:r>
          </w:p>
        </w:tc>
        <w:tc>
          <w:tcPr>
            <w:tcW w:w="68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w:t>
            </w:r>
          </w:p>
          <w:p w:rsidR="001D0FDA" w:rsidRPr="00D53F84" w:rsidRDefault="001D0FDA" w:rsidP="001D0FDA">
            <w:pPr>
              <w:pStyle w:val="Tabletext"/>
              <w:ind w:right="-28"/>
              <w:rPr>
                <w:rFonts w:eastAsia="Times New Roman"/>
                <w:lang w:eastAsia="en-US"/>
              </w:rPr>
            </w:pPr>
            <w:r w:rsidRPr="00D53F84">
              <w:rPr>
                <w:rFonts w:eastAsia="Times New Roman"/>
                <w:lang w:eastAsia="en-US"/>
              </w:rPr>
              <w:t>16 weeks</w:t>
            </w:r>
          </w:p>
          <w:p w:rsidR="001D0FDA" w:rsidRPr="00D53F84" w:rsidRDefault="001D0FDA" w:rsidP="001D0FDA">
            <w:pPr>
              <w:pStyle w:val="Tabletext"/>
              <w:ind w:right="-28"/>
              <w:rPr>
                <w:rFonts w:eastAsia="Times New Roman"/>
                <w:lang w:eastAsia="en-US"/>
              </w:rPr>
            </w:pPr>
            <w:r w:rsidRPr="00D53F84">
              <w:rPr>
                <w:rFonts w:eastAsia="Times New Roman"/>
                <w:lang w:eastAsia="en-US"/>
              </w:rPr>
              <w:t>Low-to-moderate</w:t>
            </w:r>
          </w:p>
        </w:tc>
        <w:tc>
          <w:tcPr>
            <w:tcW w:w="695"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N=161</w:t>
            </w:r>
          </w:p>
          <w:p w:rsidR="001D0FDA" w:rsidRPr="00D53F84" w:rsidRDefault="001D0FDA" w:rsidP="001D0FDA">
            <w:pPr>
              <w:pStyle w:val="Tabletext"/>
              <w:ind w:right="-28"/>
              <w:rPr>
                <w:rFonts w:eastAsia="Times New Roman"/>
                <w:lang w:eastAsia="en-US"/>
              </w:rPr>
            </w:pPr>
            <w:r w:rsidRPr="00D53F84">
              <w:rPr>
                <w:rFonts w:eastAsia="Times New Roman"/>
                <w:lang w:eastAsia="en-US"/>
              </w:rPr>
              <w:t>WHO FC I-IV</w:t>
            </w:r>
          </w:p>
          <w:p w:rsidR="001D0FDA" w:rsidRPr="00D53F84" w:rsidRDefault="001D0FDA" w:rsidP="001D0FDA">
            <w:pPr>
              <w:pStyle w:val="Tabletext"/>
              <w:ind w:right="-28"/>
              <w:rPr>
                <w:rFonts w:eastAsia="Times New Roman"/>
                <w:lang w:eastAsia="en-US"/>
              </w:rPr>
            </w:pPr>
            <w:r w:rsidRPr="00D53F84">
              <w:rPr>
                <w:rFonts w:eastAsia="Times New Roman"/>
                <w:lang w:eastAsia="en-US"/>
              </w:rPr>
              <w:t>IPAH, HPAH, PAH-CTD, PAH-CHD, or PAH-DT</w:t>
            </w:r>
          </w:p>
        </w:tc>
        <w:tc>
          <w:tcPr>
            <w:tcW w:w="907"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TAD 40mg od</w:t>
            </w:r>
          </w:p>
          <w:p w:rsidR="001D0FDA" w:rsidRPr="00D53F84" w:rsidRDefault="001D0FDA" w:rsidP="001D0FDA">
            <w:pPr>
              <w:pStyle w:val="Tabletext"/>
              <w:ind w:right="-28"/>
              <w:rPr>
                <w:rFonts w:eastAsia="Times New Roman"/>
                <w:lang w:eastAsia="en-US"/>
              </w:rPr>
            </w:pPr>
            <w:r w:rsidRPr="00D53F84">
              <w:rPr>
                <w:rFonts w:eastAsia="Times New Roman"/>
                <w:lang w:eastAsia="en-US"/>
              </w:rPr>
              <w:t>PBO</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lang w:eastAsia="en-US"/>
              </w:rPr>
            </w:pPr>
            <w:r w:rsidRPr="00D53F84">
              <w:rPr>
                <w:rFonts w:eastAsia="Times New Roman"/>
                <w:lang w:eastAsia="en-US"/>
              </w:rPr>
              <w:t>Background therapy with BOS up to 125 mg bid (54%)</w:t>
            </w:r>
          </w:p>
        </w:tc>
        <w:tc>
          <w:tcPr>
            <w:tcW w:w="760"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1</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WHO FC I-II PAH, without background therapy (n=21)</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lang w:eastAsia="en-US"/>
              </w:rPr>
            </w:pPr>
            <w:r w:rsidRPr="00D53F84">
              <w:rPr>
                <w:rFonts w:eastAsia="Times New Roman"/>
                <w:lang w:eastAsia="en-US"/>
              </w:rPr>
              <w:t>RQ3</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background therapy (n=87)</w:t>
            </w:r>
          </w:p>
        </w:tc>
        <w:tc>
          <w:tcPr>
            <w:tcW w:w="1194"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Clinical worsening</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 xml:space="preserve">Change in </w:t>
            </w:r>
            <w:r w:rsidR="001F432E">
              <w:rPr>
                <w:rFonts w:eastAsia="Times New Roman"/>
                <w:lang w:eastAsia="en-US"/>
              </w:rPr>
              <w:t xml:space="preserve">WHO </w:t>
            </w:r>
            <w:r w:rsidRPr="00D53F84">
              <w:rPr>
                <w:rFonts w:eastAsia="Times New Roman"/>
                <w:lang w:eastAsia="en-US"/>
              </w:rPr>
              <w:t>FC</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Adverse events</w:t>
            </w:r>
          </w:p>
        </w:tc>
      </w:tr>
      <w:tr w:rsidR="001D0FDA" w:rsidRPr="00EB1471" w:rsidTr="001D0FDA">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rPr>
            </w:pPr>
            <w:r w:rsidRPr="00D53F84">
              <w:rPr>
                <w:rFonts w:eastAsia="Times New Roman"/>
              </w:rPr>
              <w:t>SERAPHIN</w:t>
            </w:r>
            <w:r w:rsidR="001D34EE" w:rsidRPr="001D34EE">
              <w:rPr>
                <w:rFonts w:eastAsia="Times New Roman"/>
                <w:noProof/>
                <w:vertAlign w:val="superscript"/>
              </w:rPr>
              <w:t>7, 46, 47</w:t>
            </w:r>
          </w:p>
          <w:p w:rsidR="001D0FDA" w:rsidRPr="00D53F84" w:rsidRDefault="001D0FDA" w:rsidP="001D0FDA">
            <w:pPr>
              <w:pStyle w:val="Tabletext"/>
              <w:ind w:right="-28"/>
              <w:rPr>
                <w:rFonts w:eastAsia="Times New Roman"/>
              </w:rPr>
            </w:pPr>
            <w:r w:rsidRPr="00D53F84">
              <w:rPr>
                <w:rFonts w:eastAsia="Times New Roman"/>
                <w:lang w:eastAsia="en-US"/>
              </w:rPr>
              <w:t>2008-2012</w:t>
            </w:r>
          </w:p>
          <w:p w:rsidR="001D0FDA" w:rsidRPr="00D53F84" w:rsidRDefault="001D0FDA" w:rsidP="001D0FDA">
            <w:pPr>
              <w:pStyle w:val="Tabletext"/>
              <w:ind w:right="-28"/>
              <w:rPr>
                <w:rFonts w:cs="Tahoma"/>
              </w:rPr>
            </w:pPr>
            <w:r w:rsidRPr="00D53F84">
              <w:rPr>
                <w:rFonts w:eastAsia="Times New Roman"/>
                <w:lang w:eastAsia="en-US"/>
              </w:rPr>
              <w:t>US, Canada, Europe, Asia, South America, Australia</w:t>
            </w:r>
          </w:p>
        </w:tc>
        <w:tc>
          <w:tcPr>
            <w:tcW w:w="68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w:t>
            </w:r>
          </w:p>
          <w:p w:rsidR="001D0FDA" w:rsidRPr="00D53F84" w:rsidRDefault="001D0FDA" w:rsidP="001D0FDA">
            <w:pPr>
              <w:pStyle w:val="Tabletext"/>
              <w:ind w:right="-28"/>
              <w:rPr>
                <w:rFonts w:eastAsia="Times New Roman"/>
                <w:lang w:eastAsia="en-US"/>
              </w:rPr>
            </w:pPr>
            <w:r w:rsidRPr="00D53F84">
              <w:rPr>
                <w:rFonts w:eastAsia="Times New Roman"/>
                <w:lang w:eastAsia="en-US"/>
              </w:rPr>
              <w:t>2.5 years</w:t>
            </w:r>
          </w:p>
          <w:p w:rsidR="001D0FDA" w:rsidRPr="00D53F84" w:rsidRDefault="001D0FDA" w:rsidP="001D0FDA">
            <w:pPr>
              <w:pStyle w:val="Tabletext"/>
              <w:ind w:right="-28"/>
              <w:rPr>
                <w:rFonts w:eastAsia="Times New Roman"/>
                <w:lang w:eastAsia="en-US"/>
              </w:rPr>
            </w:pPr>
            <w:r w:rsidRPr="00D53F84">
              <w:rPr>
                <w:rFonts w:eastAsia="Times New Roman"/>
                <w:lang w:eastAsia="en-US"/>
              </w:rPr>
              <w:t>Low-to-moderate</w:t>
            </w:r>
          </w:p>
        </w:tc>
        <w:tc>
          <w:tcPr>
            <w:tcW w:w="695"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N=492</w:t>
            </w:r>
          </w:p>
          <w:p w:rsidR="001D0FDA" w:rsidRPr="00D53F84" w:rsidRDefault="001D0FDA" w:rsidP="001D0FDA">
            <w:pPr>
              <w:pStyle w:val="Tabletext"/>
              <w:ind w:right="-28"/>
              <w:rPr>
                <w:rFonts w:eastAsia="Times New Roman"/>
                <w:lang w:eastAsia="en-US"/>
              </w:rPr>
            </w:pPr>
            <w:r w:rsidRPr="00D53F84">
              <w:rPr>
                <w:rFonts w:eastAsia="Times New Roman"/>
                <w:lang w:eastAsia="en-US"/>
              </w:rPr>
              <w:t>WHO FC I-IV</w:t>
            </w:r>
          </w:p>
          <w:p w:rsidR="001D0FDA" w:rsidRPr="00D53F84" w:rsidRDefault="001D0FDA" w:rsidP="001D0FDA">
            <w:pPr>
              <w:pStyle w:val="Tabletext"/>
              <w:ind w:right="-28"/>
              <w:rPr>
                <w:rFonts w:eastAsia="Times New Roman"/>
                <w:lang w:eastAsia="en-US"/>
              </w:rPr>
            </w:pPr>
            <w:r w:rsidRPr="00D53F84">
              <w:rPr>
                <w:rFonts w:cs="Tahoma"/>
              </w:rPr>
              <w:t>IPAH, HPAH, PAH-CTD, PAH-CHD, PAH-HIV, or PAH-DT</w:t>
            </w:r>
          </w:p>
        </w:tc>
        <w:tc>
          <w:tcPr>
            <w:tcW w:w="907"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 xml:space="preserve">MAC 10mg od </w:t>
            </w:r>
          </w:p>
          <w:p w:rsidR="001D0FDA" w:rsidRPr="00D53F84" w:rsidRDefault="001D0FDA" w:rsidP="001D0FDA">
            <w:pPr>
              <w:pStyle w:val="Tabletext"/>
              <w:ind w:right="-28"/>
              <w:rPr>
                <w:rFonts w:eastAsia="Times New Roman"/>
                <w:lang w:eastAsia="en-US"/>
              </w:rPr>
            </w:pPr>
            <w:r w:rsidRPr="00D53F84">
              <w:rPr>
                <w:rFonts w:eastAsia="Times New Roman"/>
                <w:lang w:eastAsia="en-US"/>
              </w:rPr>
              <w:t>PBO</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lang w:eastAsia="en-US"/>
              </w:rPr>
            </w:pPr>
            <w:r w:rsidRPr="00D53F84">
              <w:rPr>
                <w:rFonts w:eastAsia="Times New Roman"/>
                <w:lang w:eastAsia="en-US"/>
              </w:rPr>
              <w:t xml:space="preserve">Background therapy with PDE-5 inhibitor (61%) </w:t>
            </w:r>
          </w:p>
          <w:p w:rsidR="001D0FDA" w:rsidRPr="00D53F84" w:rsidRDefault="001D0FDA" w:rsidP="001D0FDA">
            <w:pPr>
              <w:pStyle w:val="Tabletext"/>
              <w:ind w:right="-28"/>
              <w:rPr>
                <w:rFonts w:eastAsia="Times New Roman"/>
                <w:lang w:eastAsia="en-US"/>
              </w:rPr>
            </w:pPr>
            <w:r w:rsidRPr="00D53F84">
              <w:rPr>
                <w:rFonts w:eastAsia="Times New Roman"/>
                <w:lang w:eastAsia="en-US"/>
              </w:rPr>
              <w:t>Background therapy with PRO (4%)</w:t>
            </w:r>
          </w:p>
        </w:tc>
        <w:tc>
          <w:tcPr>
            <w:tcW w:w="760"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1</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WHO FC I-II PAH, without background therapy (n=100)</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lang w:eastAsia="en-US"/>
              </w:rPr>
            </w:pPr>
            <w:r w:rsidRPr="00D53F84">
              <w:rPr>
                <w:rFonts w:eastAsia="Times New Roman"/>
                <w:lang w:eastAsia="en-US"/>
              </w:rPr>
              <w:t>RQ 3</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background therapy (n=308)</w:t>
            </w:r>
          </w:p>
        </w:tc>
        <w:tc>
          <w:tcPr>
            <w:tcW w:w="1194"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Clinical worsening</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Mortality</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Hospitalisation</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QoL (SF-36)</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Adverse events</w:t>
            </w:r>
          </w:p>
        </w:tc>
      </w:tr>
      <w:tr w:rsidR="001D0FDA" w:rsidRPr="00EB1471" w:rsidTr="001D0FDA">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STEP</w:t>
            </w:r>
            <w:r w:rsidR="001D34EE" w:rsidRPr="001A1C44">
              <w:rPr>
                <w:rFonts w:eastAsia="Times New Roman"/>
                <w:noProof/>
                <w:vertAlign w:val="superscript"/>
                <w:lang w:eastAsia="en-US"/>
              </w:rPr>
              <w:t>48</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lastRenderedPageBreak/>
              <w:t>2004</w:t>
            </w:r>
          </w:p>
          <w:p w:rsidR="001D0FDA" w:rsidRPr="00D53F84" w:rsidRDefault="001D0FDA" w:rsidP="001D0FDA">
            <w:pPr>
              <w:pStyle w:val="Tabletext"/>
              <w:ind w:right="-28"/>
              <w:rPr>
                <w:rFonts w:eastAsia="Times New Roman"/>
              </w:rPr>
            </w:pPr>
            <w:r w:rsidRPr="00D53F84">
              <w:rPr>
                <w:rFonts w:eastAsia="Times New Roman"/>
                <w:snapToGrid w:val="0"/>
                <w:lang w:eastAsia="en-US"/>
              </w:rPr>
              <w:t>USA</w:t>
            </w:r>
          </w:p>
        </w:tc>
        <w:tc>
          <w:tcPr>
            <w:tcW w:w="686"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lastRenderedPageBreak/>
              <w:t>RCT, DB</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lastRenderedPageBreak/>
              <w:t>12 weeks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Low</w:t>
            </w:r>
          </w:p>
        </w:tc>
        <w:tc>
          <w:tcPr>
            <w:tcW w:w="695"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lastRenderedPageBreak/>
              <w:t>N=67</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lastRenderedPageBreak/>
              <w:t>WHO FC III-IV</w:t>
            </w:r>
            <w:r w:rsidR="00246F7A" w:rsidRPr="00246F7A">
              <w:rPr>
                <w:rFonts w:eastAsia="Times New Roman"/>
                <w:snapToGrid w:val="0"/>
                <w:vertAlign w:val="superscript"/>
                <w:lang w:eastAsia="en-US"/>
              </w:rPr>
              <w:t>d</w:t>
            </w:r>
            <w:r w:rsidRPr="00D53F84">
              <w:rPr>
                <w:rFonts w:eastAsia="Times New Roman"/>
                <w:snapToGrid w:val="0"/>
                <w:lang w:eastAsia="en-US"/>
              </w:rPr>
              <w:t xml:space="preserve"> </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IPAH or associated PAH</w:t>
            </w:r>
          </w:p>
        </w:tc>
        <w:tc>
          <w:tcPr>
            <w:tcW w:w="907"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lastRenderedPageBreak/>
              <w:t xml:space="preserve">ILO 5µg 6-9 times </w:t>
            </w:r>
            <w:r w:rsidRPr="00D53F84">
              <w:rPr>
                <w:rFonts w:eastAsia="Times New Roman"/>
                <w:snapToGrid w:val="0"/>
                <w:lang w:eastAsia="en-US"/>
              </w:rPr>
              <w:lastRenderedPageBreak/>
              <w:t>daily</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PBO</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 xml:space="preserve">Background </w:t>
            </w:r>
            <w:r w:rsidRPr="00D53F84">
              <w:rPr>
                <w:rFonts w:eastAsia="Times New Roman"/>
                <w:lang w:eastAsia="en-US"/>
              </w:rPr>
              <w:t>therapy</w:t>
            </w:r>
            <w:r w:rsidRPr="00D53F84">
              <w:rPr>
                <w:rFonts w:eastAsia="Times New Roman"/>
                <w:snapToGrid w:val="0"/>
                <w:lang w:eastAsia="en-US"/>
              </w:rPr>
              <w:t xml:space="preserve"> with BOS 125mg bid (100%)</w:t>
            </w:r>
          </w:p>
        </w:tc>
        <w:tc>
          <w:tcPr>
            <w:tcW w:w="760" w:type="pct"/>
            <w:shd w:val="clear" w:color="auto" w:fill="auto"/>
            <w:tcMar>
              <w:left w:w="108" w:type="dxa"/>
              <w:right w:w="108" w:type="dxa"/>
            </w:tcMar>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lastRenderedPageBreak/>
              <w:t>RQ 3</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lastRenderedPageBreak/>
              <w:t>Overall population</w:t>
            </w:r>
          </w:p>
        </w:tc>
        <w:tc>
          <w:tcPr>
            <w:tcW w:w="1194"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lastRenderedPageBreak/>
              <w:t>Clinical worsening</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lastRenderedPageBreak/>
              <w:t>Change in WHO FC</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Haemodynamic parameters</w:t>
            </w:r>
            <w:r w:rsidR="00246F7A">
              <w:rPr>
                <w:rFonts w:eastAsia="Times New Roman"/>
                <w:vertAlign w:val="superscript"/>
                <w:lang w:eastAsia="en-US"/>
              </w:rPr>
              <w:t>e</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Adverse events</w:t>
            </w:r>
          </w:p>
        </w:tc>
      </w:tr>
      <w:tr w:rsidR="001D0FDA" w:rsidRPr="00EB1471" w:rsidTr="001D0FDA">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rPr>
            </w:pPr>
            <w:r w:rsidRPr="00D53F84">
              <w:rPr>
                <w:rFonts w:eastAsia="Times New Roman"/>
              </w:rPr>
              <w:lastRenderedPageBreak/>
              <w:t>SUPER-1</w:t>
            </w:r>
            <w:r w:rsidR="001D34EE" w:rsidRPr="001D34EE">
              <w:rPr>
                <w:rFonts w:eastAsia="Times New Roman"/>
                <w:noProof/>
                <w:vertAlign w:val="superscript"/>
              </w:rPr>
              <w:t>11</w:t>
            </w:r>
          </w:p>
          <w:p w:rsidR="001D0FDA" w:rsidRPr="00D53F84" w:rsidRDefault="001D0FDA" w:rsidP="001D0FDA">
            <w:pPr>
              <w:pStyle w:val="Tabletext"/>
              <w:ind w:right="-28"/>
              <w:rPr>
                <w:rFonts w:eastAsia="Times New Roman"/>
              </w:rPr>
            </w:pPr>
            <w:r w:rsidRPr="00D53F84">
              <w:rPr>
                <w:rFonts w:eastAsia="Times New Roman"/>
                <w:lang w:eastAsia="en-US"/>
              </w:rPr>
              <w:t>2002-2003</w:t>
            </w:r>
          </w:p>
          <w:p w:rsidR="001D0FDA" w:rsidRPr="00D53F84" w:rsidRDefault="001D0FDA" w:rsidP="001D0FDA">
            <w:pPr>
              <w:pStyle w:val="Tabletext"/>
              <w:ind w:right="-28"/>
              <w:rPr>
                <w:rFonts w:eastAsia="Times New Roman"/>
              </w:rPr>
            </w:pPr>
            <w:r w:rsidRPr="00D53F84">
              <w:rPr>
                <w:rFonts w:eastAsia="Times New Roman"/>
                <w:lang w:eastAsia="en-US"/>
              </w:rPr>
              <w:t>US, Mexico, South America, Europe, Asia, South Africa, Australia</w:t>
            </w:r>
          </w:p>
        </w:tc>
        <w:tc>
          <w:tcPr>
            <w:tcW w:w="68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w:t>
            </w:r>
          </w:p>
          <w:p w:rsidR="001D0FDA" w:rsidRPr="00D53F84" w:rsidRDefault="001D0FDA" w:rsidP="001D0FDA">
            <w:pPr>
              <w:pStyle w:val="Tabletext"/>
              <w:ind w:right="-28"/>
              <w:rPr>
                <w:rFonts w:eastAsia="Times New Roman"/>
                <w:lang w:eastAsia="en-US"/>
              </w:rPr>
            </w:pPr>
            <w:r w:rsidRPr="00D53F84">
              <w:rPr>
                <w:rFonts w:eastAsia="Times New Roman"/>
                <w:lang w:eastAsia="en-US"/>
              </w:rPr>
              <w:t>12 weeks</w:t>
            </w:r>
          </w:p>
          <w:p w:rsidR="001D0FDA" w:rsidRPr="00D53F84" w:rsidRDefault="001D0FDA" w:rsidP="001D0FDA">
            <w:pPr>
              <w:pStyle w:val="Tabletext"/>
              <w:ind w:right="-28"/>
              <w:rPr>
                <w:rFonts w:eastAsia="Times New Roman"/>
                <w:lang w:eastAsia="en-US"/>
              </w:rPr>
            </w:pPr>
            <w:r w:rsidRPr="00D53F84">
              <w:rPr>
                <w:rFonts w:eastAsia="Times New Roman"/>
                <w:lang w:eastAsia="en-US"/>
              </w:rPr>
              <w:t>Low-to-moderate</w:t>
            </w:r>
          </w:p>
        </w:tc>
        <w:tc>
          <w:tcPr>
            <w:tcW w:w="695"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N=139</w:t>
            </w:r>
          </w:p>
          <w:p w:rsidR="001D0FDA" w:rsidRPr="00D53F84" w:rsidRDefault="001D0FDA" w:rsidP="001D0FDA">
            <w:pPr>
              <w:pStyle w:val="Tabletext"/>
              <w:ind w:right="-28"/>
              <w:rPr>
                <w:rFonts w:cs="Tahoma"/>
              </w:rPr>
            </w:pPr>
            <w:r w:rsidRPr="00D53F84">
              <w:rPr>
                <w:rFonts w:cs="Tahoma"/>
              </w:rPr>
              <w:t xml:space="preserve">WHO FC I-IV </w:t>
            </w:r>
          </w:p>
          <w:p w:rsidR="001D0FDA" w:rsidRPr="00D53F84" w:rsidRDefault="001D0FDA" w:rsidP="001D0FDA">
            <w:pPr>
              <w:pStyle w:val="Tabletext"/>
              <w:ind w:right="-28"/>
              <w:rPr>
                <w:rFonts w:eastAsia="Times New Roman"/>
                <w:lang w:eastAsia="en-US"/>
              </w:rPr>
            </w:pPr>
            <w:r w:rsidRPr="00D53F84">
              <w:rPr>
                <w:rFonts w:cs="Tahoma"/>
              </w:rPr>
              <w:t>IPAH, PAH-CTD or PAH-CHD</w:t>
            </w:r>
          </w:p>
        </w:tc>
        <w:tc>
          <w:tcPr>
            <w:tcW w:w="907"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SIL 20mg tid</w:t>
            </w:r>
          </w:p>
          <w:p w:rsidR="001D0FDA" w:rsidRPr="00D53F84" w:rsidRDefault="001D0FDA" w:rsidP="001D0FDA">
            <w:pPr>
              <w:pStyle w:val="Tabletext"/>
              <w:ind w:right="-28"/>
              <w:rPr>
                <w:rFonts w:eastAsia="Times New Roman"/>
                <w:lang w:eastAsia="en-US"/>
              </w:rPr>
            </w:pPr>
            <w:r w:rsidRPr="00D53F84">
              <w:rPr>
                <w:rFonts w:eastAsia="Times New Roman"/>
                <w:lang w:eastAsia="en-US"/>
              </w:rPr>
              <w:t>PBO</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lang w:eastAsia="en-US"/>
              </w:rPr>
            </w:pPr>
            <w:r w:rsidRPr="00D53F84">
              <w:rPr>
                <w:rFonts w:eastAsia="Times New Roman"/>
                <w:lang w:eastAsia="en-US"/>
              </w:rPr>
              <w:t>No background therapy</w:t>
            </w:r>
          </w:p>
        </w:tc>
        <w:tc>
          <w:tcPr>
            <w:tcW w:w="760"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1</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WHO FC I-II PAH (n=56)</w:t>
            </w:r>
          </w:p>
        </w:tc>
        <w:tc>
          <w:tcPr>
            <w:tcW w:w="1194"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tc>
      </w:tr>
      <w:tr w:rsidR="001D0FDA" w:rsidRPr="00EB1471" w:rsidTr="001D0FDA">
        <w:tc>
          <w:tcPr>
            <w:tcW w:w="758"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Vizza 2017</w:t>
            </w:r>
            <w:r w:rsidR="001D34EE" w:rsidRPr="001A1C44">
              <w:rPr>
                <w:rFonts w:eastAsia="Times New Roman"/>
                <w:noProof/>
                <w:vertAlign w:val="superscript"/>
                <w:lang w:eastAsia="en-US"/>
              </w:rPr>
              <w:t>49</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2006-2012</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US, Europe, Australia, Israel, China</w:t>
            </w:r>
          </w:p>
        </w:tc>
        <w:tc>
          <w:tcPr>
            <w:tcW w:w="686"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RCT, DB</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12 weeks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Low-to-moderate</w:t>
            </w:r>
          </w:p>
        </w:tc>
        <w:tc>
          <w:tcPr>
            <w:tcW w:w="695"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N=10</w:t>
            </w:r>
            <w:r>
              <w:rPr>
                <w:rFonts w:eastAsia="Times New Roman"/>
                <w:snapToGrid w:val="0"/>
                <w:lang w:eastAsia="en-US"/>
              </w:rPr>
              <w:t>3</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WHO FC II-IV</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IPAH, HPAH or PAH-CTD</w:t>
            </w:r>
          </w:p>
        </w:tc>
        <w:tc>
          <w:tcPr>
            <w:tcW w:w="907"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SIL 20mg tid</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PBO</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Background therapy with BOS 62.5-125mg bid (100%)</w:t>
            </w:r>
          </w:p>
        </w:tc>
        <w:tc>
          <w:tcPr>
            <w:tcW w:w="760"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RQ 3</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Overall population</w:t>
            </w:r>
          </w:p>
        </w:tc>
        <w:tc>
          <w:tcPr>
            <w:tcW w:w="1194"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Clinical worsening</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Mortality</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Hospitalisation</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Change in WHO FC</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Change in 6MWD</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Adverse events</w:t>
            </w:r>
          </w:p>
        </w:tc>
      </w:tr>
      <w:tr w:rsidR="001D0FDA" w:rsidRPr="00EB1471" w:rsidTr="001D0FDA">
        <w:tc>
          <w:tcPr>
            <w:tcW w:w="758"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Zhuang 2014</w:t>
            </w:r>
            <w:r w:rsidR="001D34EE" w:rsidRPr="001A1C44">
              <w:rPr>
                <w:rFonts w:eastAsia="Times New Roman"/>
                <w:noProof/>
                <w:vertAlign w:val="superscript"/>
                <w:lang w:eastAsia="en-US"/>
              </w:rPr>
              <w:t>50</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2011-2013</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China</w:t>
            </w:r>
          </w:p>
        </w:tc>
        <w:tc>
          <w:tcPr>
            <w:tcW w:w="686"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 xml:space="preserve">RCT, DB </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16 weeks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Low-to-moderate</w:t>
            </w:r>
          </w:p>
        </w:tc>
        <w:tc>
          <w:tcPr>
            <w:tcW w:w="695"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N=124</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WHO FC II-IV</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IPAH, HPAH, PAH-CTD, PAH-CHD, or  PAH-DT</w:t>
            </w:r>
          </w:p>
        </w:tc>
        <w:tc>
          <w:tcPr>
            <w:tcW w:w="907"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TAD 40mg od</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PBO</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Background therapy with AMB 10mg od (100%)</w:t>
            </w:r>
          </w:p>
        </w:tc>
        <w:tc>
          <w:tcPr>
            <w:tcW w:w="760"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RQ 3</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Overall population</w:t>
            </w:r>
          </w:p>
        </w:tc>
        <w:tc>
          <w:tcPr>
            <w:tcW w:w="1194"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Clinical worsening</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Mortality</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Hospitalisation</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Change in WHO FC</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Change in 6MWD</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Haemodynamic parameters</w:t>
            </w:r>
            <w:r w:rsidR="00246F7A">
              <w:rPr>
                <w:rFonts w:eastAsia="Times New Roman"/>
                <w:vertAlign w:val="superscript"/>
                <w:lang w:eastAsia="en-US"/>
              </w:rPr>
              <w:t>e</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Adverse events</w:t>
            </w:r>
          </w:p>
        </w:tc>
      </w:tr>
      <w:tr w:rsidR="001D0FDA" w:rsidRPr="00F3429C" w:rsidTr="001D0FDA">
        <w:tc>
          <w:tcPr>
            <w:tcW w:w="5000" w:type="pct"/>
            <w:gridSpan w:val="6"/>
            <w:tcBorders>
              <w:top w:val="single" w:sz="4" w:space="0" w:color="auto"/>
              <w:left w:val="single" w:sz="4" w:space="0" w:color="auto"/>
              <w:bottom w:val="single" w:sz="4" w:space="0" w:color="auto"/>
              <w:right w:val="single" w:sz="4" w:space="0" w:color="auto"/>
            </w:tcBorders>
            <w:shd w:val="clear" w:color="auto" w:fill="000000" w:themeFill="text1"/>
            <w:tcMar>
              <w:left w:w="108" w:type="dxa"/>
              <w:right w:w="108" w:type="dxa"/>
            </w:tcMar>
          </w:tcPr>
          <w:p w:rsidR="001D0FDA" w:rsidRPr="00F3429C" w:rsidRDefault="001D0FDA" w:rsidP="001D0FDA">
            <w:pPr>
              <w:pStyle w:val="Tabletext"/>
              <w:ind w:right="-28"/>
              <w:rPr>
                <w:rFonts w:eastAsia="Times New Roman"/>
                <w:b/>
                <w:color w:val="FFFFFF" w:themeColor="background1"/>
                <w:lang w:eastAsia="en-US"/>
              </w:rPr>
            </w:pPr>
            <w:r>
              <w:rPr>
                <w:rFonts w:eastAsia="Times New Roman"/>
                <w:b/>
                <w:color w:val="FFFFFF" w:themeColor="background1"/>
                <w:lang w:eastAsia="en-US"/>
              </w:rPr>
              <w:t>Observational studies</w:t>
            </w:r>
          </w:p>
        </w:tc>
      </w:tr>
      <w:tr w:rsidR="001D0FDA" w:rsidRPr="00EB1471" w:rsidTr="001D0FDA">
        <w:tc>
          <w:tcPr>
            <w:tcW w:w="758"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Sun 2013</w:t>
            </w:r>
            <w:r w:rsidR="001D34EE" w:rsidRPr="001A1C44">
              <w:rPr>
                <w:rFonts w:eastAsia="Times New Roman"/>
                <w:noProof/>
                <w:vertAlign w:val="superscript"/>
                <w:lang w:eastAsia="en-US"/>
              </w:rPr>
              <w:t>51</w:t>
            </w:r>
          </w:p>
          <w:p w:rsidR="001D0FDA" w:rsidRPr="00D53F84" w:rsidRDefault="001D0FDA" w:rsidP="001D0FDA">
            <w:pPr>
              <w:pStyle w:val="Tabletext"/>
              <w:ind w:right="-28"/>
              <w:rPr>
                <w:rFonts w:eastAsia="Times New Roman"/>
                <w:lang w:eastAsia="en-US"/>
              </w:rPr>
            </w:pPr>
            <w:r w:rsidRPr="00D53F84">
              <w:rPr>
                <w:rFonts w:eastAsia="Times New Roman"/>
                <w:lang w:eastAsia="en-US"/>
              </w:rPr>
              <w:t>2005-2011</w:t>
            </w:r>
          </w:p>
          <w:p w:rsidR="001D0FDA" w:rsidRPr="00D53F84" w:rsidRDefault="001D0FDA" w:rsidP="001D0FDA">
            <w:pPr>
              <w:pStyle w:val="Tabletext"/>
              <w:ind w:right="-28"/>
              <w:rPr>
                <w:rFonts w:eastAsia="Times New Roman"/>
                <w:lang w:eastAsia="en-US"/>
              </w:rPr>
            </w:pPr>
            <w:r w:rsidRPr="00D53F84">
              <w:rPr>
                <w:rFonts w:eastAsia="Times New Roman"/>
                <w:lang w:eastAsia="en-US"/>
              </w:rPr>
              <w:t>China</w:t>
            </w:r>
          </w:p>
        </w:tc>
        <w:tc>
          <w:tcPr>
            <w:tcW w:w="686"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Retrospective and prospective cohort</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3.0 years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 xml:space="preserve">Moderate </w:t>
            </w:r>
          </w:p>
        </w:tc>
        <w:tc>
          <w:tcPr>
            <w:tcW w:w="695"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N=121</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WHO FC I-IV</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PAH-CHD</w:t>
            </w:r>
          </w:p>
        </w:tc>
        <w:tc>
          <w:tcPr>
            <w:tcW w:w="907"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SIL daily dose of 60-100mg</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Conventional therapy</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No background therapy</w:t>
            </w:r>
          </w:p>
        </w:tc>
        <w:tc>
          <w:tcPr>
            <w:tcW w:w="760"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RQ 1</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Subgroup of patients with WHO FC I-II PAH (n=76)</w:t>
            </w:r>
          </w:p>
        </w:tc>
        <w:tc>
          <w:tcPr>
            <w:tcW w:w="1194"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Mortality</w:t>
            </w:r>
          </w:p>
        </w:tc>
      </w:tr>
      <w:tr w:rsidR="001D0FDA" w:rsidRPr="00EB1471" w:rsidTr="001D0FDA">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Sastry 2007</w:t>
            </w:r>
            <w:r w:rsidR="001D34EE" w:rsidRPr="001A1C44">
              <w:rPr>
                <w:rFonts w:eastAsia="Times New Roman"/>
                <w:noProof/>
                <w:vertAlign w:val="superscript"/>
                <w:lang w:eastAsia="en-US"/>
              </w:rPr>
              <w:t>52</w:t>
            </w:r>
          </w:p>
          <w:p w:rsidR="001D0FDA" w:rsidRPr="00D53F84" w:rsidRDefault="001D0FDA" w:rsidP="001D0FDA">
            <w:pPr>
              <w:pStyle w:val="Tabletext"/>
              <w:ind w:right="-28"/>
              <w:rPr>
                <w:rFonts w:eastAsia="Times New Roman"/>
                <w:lang w:eastAsia="en-US"/>
              </w:rPr>
            </w:pPr>
            <w:r w:rsidRPr="00D53F84">
              <w:rPr>
                <w:rFonts w:eastAsia="Times New Roman"/>
                <w:lang w:eastAsia="en-US"/>
              </w:rPr>
              <w:t>1999-2006</w:t>
            </w:r>
          </w:p>
          <w:p w:rsidR="001D0FDA" w:rsidRPr="00D53F84" w:rsidRDefault="001D0FDA" w:rsidP="001D0FDA">
            <w:pPr>
              <w:pStyle w:val="Tabletext"/>
              <w:ind w:right="-28"/>
              <w:rPr>
                <w:rFonts w:eastAsia="Times New Roman"/>
                <w:lang w:eastAsia="en-US"/>
              </w:rPr>
            </w:pPr>
            <w:r w:rsidRPr="00D53F84">
              <w:rPr>
                <w:rFonts w:eastAsia="Times New Roman"/>
                <w:lang w:eastAsia="en-US"/>
              </w:rPr>
              <w:t>India</w:t>
            </w:r>
          </w:p>
        </w:tc>
        <w:tc>
          <w:tcPr>
            <w:tcW w:w="68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Historical control study</w:t>
            </w:r>
          </w:p>
          <w:p w:rsidR="001D0FDA" w:rsidRDefault="001D0FDA" w:rsidP="001D0FDA">
            <w:pPr>
              <w:pStyle w:val="Tabletext"/>
              <w:ind w:right="-28"/>
              <w:rPr>
                <w:rFonts w:eastAsia="Times New Roman"/>
                <w:lang w:eastAsia="en-US"/>
              </w:rPr>
            </w:pPr>
            <w:r w:rsidRPr="00D53F84">
              <w:rPr>
                <w:rFonts w:eastAsia="Times New Roman"/>
                <w:lang w:eastAsia="en-US"/>
              </w:rPr>
              <w:t>Up to 5 years</w:t>
            </w:r>
          </w:p>
          <w:p w:rsidR="001D0FDA" w:rsidRPr="00D53F84" w:rsidRDefault="001D0FDA" w:rsidP="001D0FDA">
            <w:pPr>
              <w:pStyle w:val="Tabletext"/>
              <w:ind w:right="-28"/>
              <w:rPr>
                <w:rFonts w:eastAsia="Times New Roman"/>
                <w:snapToGrid w:val="0"/>
                <w:lang w:eastAsia="en-US"/>
              </w:rPr>
            </w:pPr>
            <w:r>
              <w:rPr>
                <w:rFonts w:eastAsia="Times New Roman"/>
                <w:lang w:eastAsia="en-US"/>
              </w:rPr>
              <w:t>Moderate-to-high</w:t>
            </w:r>
          </w:p>
        </w:tc>
        <w:tc>
          <w:tcPr>
            <w:tcW w:w="695"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N=178</w:t>
            </w:r>
          </w:p>
          <w:p w:rsidR="001D0FDA" w:rsidRPr="00D53F84" w:rsidRDefault="001D0FDA" w:rsidP="001D0FDA">
            <w:pPr>
              <w:pStyle w:val="Tabletext"/>
              <w:ind w:right="-28"/>
              <w:rPr>
                <w:rFonts w:eastAsia="Times New Roman"/>
                <w:lang w:eastAsia="en-US"/>
              </w:rPr>
            </w:pPr>
            <w:r w:rsidRPr="00D53F84">
              <w:rPr>
                <w:rFonts w:eastAsia="Times New Roman"/>
                <w:lang w:eastAsia="en-US"/>
              </w:rPr>
              <w:t>WHO II-IV</w:t>
            </w:r>
          </w:p>
          <w:p w:rsidR="001D0FDA" w:rsidRPr="00D53F84" w:rsidRDefault="001D0FDA" w:rsidP="001D0FDA">
            <w:pPr>
              <w:pStyle w:val="Tabletext"/>
              <w:ind w:right="-28"/>
              <w:rPr>
                <w:rFonts w:eastAsia="Times New Roman"/>
                <w:snapToGrid w:val="0"/>
                <w:lang w:eastAsia="en-US"/>
              </w:rPr>
            </w:pPr>
            <w:r w:rsidRPr="00D53F84">
              <w:rPr>
                <w:rFonts w:eastAsia="Times New Roman"/>
                <w:lang w:eastAsia="en-US"/>
              </w:rPr>
              <w:t>IPAH</w:t>
            </w:r>
          </w:p>
        </w:tc>
        <w:tc>
          <w:tcPr>
            <w:tcW w:w="907"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SIL 25-50mg</w:t>
            </w:r>
            <w:r>
              <w:rPr>
                <w:rFonts w:eastAsia="Times New Roman"/>
                <w:lang w:eastAsia="en-US"/>
              </w:rPr>
              <w:t xml:space="preserve"> tid</w:t>
            </w:r>
          </w:p>
          <w:p w:rsidR="001D0FDA" w:rsidRPr="00D53F84" w:rsidRDefault="001D0FDA" w:rsidP="001D0FDA">
            <w:pPr>
              <w:pStyle w:val="Tabletext"/>
              <w:ind w:right="-28"/>
              <w:rPr>
                <w:rFonts w:eastAsia="Times New Roman"/>
                <w:lang w:eastAsia="en-US"/>
              </w:rPr>
            </w:pPr>
            <w:r w:rsidRPr="00D53F84">
              <w:rPr>
                <w:rFonts w:eastAsia="Times New Roman"/>
                <w:lang w:eastAsia="en-US"/>
              </w:rPr>
              <w:t>Conventional therapy</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lang w:eastAsia="en-US"/>
              </w:rPr>
              <w:t>No background therapy</w:t>
            </w:r>
          </w:p>
        </w:tc>
        <w:tc>
          <w:tcPr>
            <w:tcW w:w="760"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1</w:t>
            </w:r>
          </w:p>
          <w:p w:rsidR="001D0FDA" w:rsidRPr="00D53F84" w:rsidRDefault="001D0FDA" w:rsidP="001D0FDA">
            <w:pPr>
              <w:pStyle w:val="Tabletext"/>
              <w:ind w:right="-28"/>
              <w:rPr>
                <w:rFonts w:eastAsia="Times New Roman"/>
                <w:snapToGrid w:val="0"/>
                <w:lang w:eastAsia="en-US"/>
              </w:rPr>
            </w:pPr>
            <w:r w:rsidRPr="00D53F84">
              <w:rPr>
                <w:rFonts w:eastAsia="Times New Roman"/>
                <w:lang w:eastAsia="en-US"/>
              </w:rPr>
              <w:t>Subgroup of patients with WHO FC I-II PAH (n=79)</w:t>
            </w:r>
          </w:p>
        </w:tc>
        <w:tc>
          <w:tcPr>
            <w:tcW w:w="1194"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Mortality</w:t>
            </w:r>
          </w:p>
        </w:tc>
      </w:tr>
    </w:tbl>
    <w:p w:rsidR="006D01E8" w:rsidRPr="00EB1471" w:rsidRDefault="006D01E8" w:rsidP="006D01E8">
      <w:pPr>
        <w:pStyle w:val="Tablenote"/>
      </w:pPr>
      <w:r w:rsidRPr="00EB1471">
        <w:rPr>
          <w:vertAlign w:val="superscript"/>
        </w:rPr>
        <w:t>a</w:t>
      </w:r>
      <w:r w:rsidRPr="00EB1471">
        <w:t xml:space="preserve"> Number of patients in the control arm and those in the active treatment arm where a </w:t>
      </w:r>
      <w:r>
        <w:t>PAH medicine</w:t>
      </w:r>
      <w:r w:rsidRPr="00EB1471">
        <w:t xml:space="preserve"> was given at the recommended dose regimen. </w:t>
      </w:r>
    </w:p>
    <w:p w:rsidR="006D01E8" w:rsidRPr="00EB1471" w:rsidRDefault="006D01E8" w:rsidP="006D01E8">
      <w:pPr>
        <w:pStyle w:val="Tablenote"/>
      </w:pPr>
      <w:r>
        <w:rPr>
          <w:vertAlign w:val="superscript"/>
        </w:rPr>
        <w:t>b</w:t>
      </w:r>
      <w:r w:rsidRPr="00EB1471">
        <w:t xml:space="preserve"> Only including the active treatment arm where a </w:t>
      </w:r>
      <w:r>
        <w:t>PAH medicine</w:t>
      </w:r>
      <w:r w:rsidRPr="00EB1471">
        <w:t xml:space="preserve"> was given at the recommended dose regimen. The dose presented was the target dose. Patients could have received a </w:t>
      </w:r>
      <w:r>
        <w:t>PAH medicine</w:t>
      </w:r>
      <w:r w:rsidRPr="00EB1471">
        <w:t xml:space="preserve"> at a lower initial dose. </w:t>
      </w:r>
    </w:p>
    <w:p w:rsidR="006D01E8" w:rsidRPr="00EB1471" w:rsidRDefault="006D01E8" w:rsidP="006D01E8">
      <w:pPr>
        <w:pStyle w:val="Tablenote"/>
      </w:pPr>
      <w:r w:rsidRPr="00EB1471">
        <w:rPr>
          <w:vertAlign w:val="superscript"/>
        </w:rPr>
        <w:t>c</w:t>
      </w:r>
      <w:r w:rsidRPr="00EB1471">
        <w:t xml:space="preserve"> Publication year. Information on the study period was not available.</w:t>
      </w:r>
    </w:p>
    <w:p w:rsidR="006D01E8" w:rsidRPr="00EB1471" w:rsidRDefault="006D01E8" w:rsidP="006D01E8">
      <w:pPr>
        <w:pStyle w:val="Tablenote"/>
      </w:pPr>
      <w:r w:rsidRPr="00EB1471">
        <w:rPr>
          <w:vertAlign w:val="superscript"/>
        </w:rPr>
        <w:t>d</w:t>
      </w:r>
      <w:r w:rsidRPr="00EB1471">
        <w:t xml:space="preserve"> </w:t>
      </w:r>
      <w:r w:rsidR="00246F7A">
        <w:t xml:space="preserve">The name </w:t>
      </w:r>
      <w:r w:rsidR="00246F7A" w:rsidRPr="00246F7A">
        <w:t xml:space="preserve">New York Heart Association </w:t>
      </w:r>
      <w:r w:rsidR="00246F7A">
        <w:t xml:space="preserve">FC, instead of WHO FC, was used in the study. However, the description for each class in these two FC classifications is generally similar. </w:t>
      </w:r>
    </w:p>
    <w:p w:rsidR="00246F7A" w:rsidRDefault="006D01E8" w:rsidP="006D01E8">
      <w:pPr>
        <w:pStyle w:val="Tablenote"/>
      </w:pPr>
      <w:r w:rsidRPr="00EB1471">
        <w:rPr>
          <w:vertAlign w:val="superscript"/>
        </w:rPr>
        <w:t>e</w:t>
      </w:r>
      <w:r w:rsidRPr="00EB1471">
        <w:t xml:space="preserve"> </w:t>
      </w:r>
      <w:r w:rsidR="00246F7A" w:rsidRPr="00EB1471">
        <w:t>Haemodynamic parameters include cardiac index, pulmonary arterial pressure, pulmonary vascular resistance, pulmonary capillary wedge pressure and right atrial pressure.</w:t>
      </w:r>
    </w:p>
    <w:p w:rsidR="006D01E8" w:rsidRPr="00EB1471" w:rsidRDefault="00246F7A" w:rsidP="006D01E8">
      <w:pPr>
        <w:pStyle w:val="Tablenote"/>
      </w:pPr>
      <w:r>
        <w:rPr>
          <w:vertAlign w:val="superscript"/>
        </w:rPr>
        <w:t>f</w:t>
      </w:r>
      <w:r>
        <w:t xml:space="preserve"> </w:t>
      </w:r>
      <w:r w:rsidR="006D01E8" w:rsidRPr="00EB1471">
        <w:t xml:space="preserve">The bosentan monotherapy arm was excluded from the review, given that a non-trivial proportion of patients (28.6% (2 out of 7)) in this treatment group had CTEPH, not PAH. </w:t>
      </w:r>
    </w:p>
    <w:p w:rsidR="001D0FDA" w:rsidRPr="00EB1471" w:rsidRDefault="001D0FDA" w:rsidP="001D0FDA">
      <w:pPr>
        <w:pStyle w:val="Tablenote"/>
      </w:pPr>
      <w:r w:rsidRPr="00EB1471">
        <w:t>6MWD = 6-minute walk distance; AMB = ambrisentan; bid</w:t>
      </w:r>
      <w:r w:rsidRPr="00EB1471">
        <w:rPr>
          <w:i/>
        </w:rPr>
        <w:t xml:space="preserve"> </w:t>
      </w:r>
      <w:r w:rsidRPr="00EB1471">
        <w:t xml:space="preserve">= twice daily; BOS = bosentan; CTEPH = chronic thromboembolic pulmonary hypertension; DB = double-blinded; EPO = epoprostenol; EQ-5D = EuroQoL 5 dimensions; </w:t>
      </w:r>
      <w:r w:rsidR="00107963" w:rsidRPr="00107963">
        <w:lastRenderedPageBreak/>
        <w:t>EQ-VAS = EuroQoL visual analogue scale</w:t>
      </w:r>
      <w:r w:rsidR="00107963">
        <w:t xml:space="preserve">; </w:t>
      </w:r>
      <w:r w:rsidRPr="00EB1471">
        <w:t>ERA = endothelin receptor antagonist; FC = functional class; HPAH = heritable pulmonary arterial hypertension; IPAH = idiopathic pulmonary arterial hypertension; ILO = iloprost</w:t>
      </w:r>
      <w:r w:rsidR="001C295E">
        <w:t>;</w:t>
      </w:r>
      <w:r w:rsidR="001C295E" w:rsidRPr="001C295E">
        <w:t xml:space="preserve"> </w:t>
      </w:r>
      <w:r w:rsidR="001C295E">
        <w:t xml:space="preserve">LPH = Living with pulmonary hypertension; MLHF = Minnesota living with heart failure; </w:t>
      </w:r>
      <w:r w:rsidRPr="00EB1471">
        <w:t>od</w:t>
      </w:r>
      <w:r w:rsidRPr="00EB1471">
        <w:rPr>
          <w:i/>
        </w:rPr>
        <w:t xml:space="preserve"> </w:t>
      </w:r>
      <w:r w:rsidRPr="00EB1471">
        <w:t>= once daily; PDE-5 = phosphodiesterase type 5; OL = open-label; PAH = pulmonary arterial hypertension; PAH-CHD = pulmonary arterial hypertension associated with congenital heart disease; PAH-CTD = pulmonary arterial hypertension associated with connective tissue disease; PAH-DT = drug/toxin-induced pulmonary arterial hypertension; PAH-HIV = pulmonary arterial hypertension associated with human immunodeficiency virus infection; PAH-PH = pulmonary arterial hypertension associated with portal hypertension; PBO = placebo; PRO = prostanoid; QoL = quality of life; RCT = randomised controlled trial; RQ = research question; SF-36 = 36-Item Short Form Survey; SIL = sildenafil;</w:t>
      </w:r>
      <w:r w:rsidRPr="00EB1471">
        <w:rPr>
          <w:i/>
        </w:rPr>
        <w:t xml:space="preserve"> </w:t>
      </w:r>
      <w:r w:rsidRPr="00EB1471">
        <w:t>TAD = tadalafil; tid</w:t>
      </w:r>
      <w:r w:rsidRPr="00EB1471">
        <w:rPr>
          <w:i/>
        </w:rPr>
        <w:t xml:space="preserve"> </w:t>
      </w:r>
      <w:r w:rsidRPr="00EB1471">
        <w:t>= three times a day; WHO = World Health Organization</w:t>
      </w:r>
    </w:p>
    <w:p w:rsidR="001D0FDA" w:rsidRPr="00EB1471" w:rsidRDefault="001D0FDA" w:rsidP="001D0FDA">
      <w:r w:rsidRPr="00EB1471">
        <w:t>Patients in three of the 19 trials (AMBITION, COMPASS-2 and SERAPHIN) were followed up for &gt;1.5 years; whilst the other 16 RCTs had a short follow-up period of ≤6 months. More than half of the RCTs commenced &gt;10 years ago</w:t>
      </w:r>
      <w:r>
        <w:t>;</w:t>
      </w:r>
      <w:r w:rsidRPr="00EB1471">
        <w:t xml:space="preserve"> since then the management of PAH has changed with the development of targeted medical therapies and overall improvements in surgical treatment optio</w:t>
      </w:r>
      <w:r w:rsidR="00B603BC">
        <w:t>ns and general supportive care.</w:t>
      </w:r>
    </w:p>
    <w:p w:rsidR="001D0FDA" w:rsidRPr="00EB1471" w:rsidRDefault="001D0FDA" w:rsidP="001D0FDA">
      <w:r w:rsidRPr="00EB1471">
        <w:t>The two open-label trials (COMBI and Han 2017) had a high risk of bias. The remaining 17 RCTs were double-blinded</w:t>
      </w:r>
      <w:r>
        <w:t>. Five of these</w:t>
      </w:r>
      <w:r w:rsidRPr="00EB1471">
        <w:t xml:space="preserve"> had a low risk of bias (AMBITION, EARLY, PACES-1, PATENT-PLUS, and STEP) and 12 </w:t>
      </w:r>
      <w:r>
        <w:t>had</w:t>
      </w:r>
      <w:r w:rsidRPr="00EB1471">
        <w:t xml:space="preserve"> a low-to-moderate risk of bias (ARIES-1, ARIES-2, BREATHE-2, COMPASS-2, Mainguy 2013, Mukhopadhyay 2011, PATENT-1, PHIRST, SERAPHIN, SUPER-</w:t>
      </w:r>
      <w:r w:rsidR="00B603BC">
        <w:t>1, Vizza 2017 and Zhuang 2014).</w:t>
      </w:r>
    </w:p>
    <w:p w:rsidR="001D0FDA" w:rsidRPr="00EB1471" w:rsidRDefault="001D0FDA" w:rsidP="001D0FDA">
      <w:r w:rsidRPr="00EB1471">
        <w:t xml:space="preserve">None of the trials </w:t>
      </w:r>
      <w:r>
        <w:t xml:space="preserve">solely </w:t>
      </w:r>
      <w:r w:rsidRPr="00EB1471">
        <w:t xml:space="preserve">compared PAH monotherapy with placebo/no treatment or another </w:t>
      </w:r>
      <w:r>
        <w:t>PAH medicine</w:t>
      </w:r>
      <w:r w:rsidRPr="00EB1471">
        <w:t xml:space="preserve"> in a population of patients with </w:t>
      </w:r>
      <w:r>
        <w:t>WHO FC I/II PAH</w:t>
      </w:r>
      <w:r w:rsidRPr="00EB1471">
        <w:t xml:space="preserve">. Data from relevant subgroups from eight RCTs (ARIES-1, ARIES-2, EARLY, Mukhopadhyay 2011, PATENT-1, PHIRST, SERAPHIN and SUPER-1) were therefore analysed to address </w:t>
      </w:r>
      <w:r w:rsidR="001F432E">
        <w:t>r</w:t>
      </w:r>
      <w:r w:rsidRPr="00EB1471">
        <w:t xml:space="preserve">esearch question 1. Of these trials, EARLY was the only study that solely included patients with WHO FC I/II PAH and randomisation was stratified according to background sildenafil use. This trial had low risk of bias and confounding. </w:t>
      </w:r>
      <w:r>
        <w:t>I</w:t>
      </w:r>
      <w:r w:rsidRPr="00EB1471">
        <w:t xml:space="preserve">n the other seven </w:t>
      </w:r>
      <w:r>
        <w:t>RCTs which involved a mixed population of WHO FC I/II and III/IV, b</w:t>
      </w:r>
      <w:r w:rsidRPr="00EB1471">
        <w:t>aseline WHO FC was not a stratification factor. Therefore, the patient characteristics at baseline might not be comparable between intervention and control arms in the WHO FC I/II, no background therapy subgroup, thereby introducing the risk of biased findings.</w:t>
      </w:r>
    </w:p>
    <w:p w:rsidR="001D0FDA" w:rsidRPr="00EB1471" w:rsidRDefault="001D0FDA" w:rsidP="001D0FDA">
      <w:r w:rsidRPr="00EB1471">
        <w:t xml:space="preserve">Eleven trials compared PAH dual therapy with monotherapy (AMBITION, BREATHE-2, COMBI, COMPASS, Han 2017, Mainguy 2013, PACES-1, PATENT-PLUS, STEP, Vizza 2017 and Zhuang 2014). Results of these trials, in addition to the subgroups of patients with background therapy from four RCTs (EARLY, PATENT-1, PHIRST and SERAPHIN), addressed </w:t>
      </w:r>
      <w:r w:rsidR="001F432E">
        <w:t>r</w:t>
      </w:r>
      <w:r w:rsidRPr="00EB1471">
        <w:t xml:space="preserve">esearch question 3. SERAPHIN was the only RCT that included a mixture of subjects with and without background therapy, with randomisation that was not stratified by this factor. As data on baseline characteristics were not provided in the subgroup of patients with background therapy across the treatment arms, results of the subgroup analyses from SERAPHIN are subject to bias and confounding. The majority of the included trials examined sequential combination therapy in PAH patients who had already been stabilised on background monotherapy, with only three RCTs (AMBITION, BREATHE-2 and Han 2017) comparing upfront combination therapy </w:t>
      </w:r>
      <w:r w:rsidRPr="00EB1471">
        <w:rPr>
          <w:i/>
        </w:rPr>
        <w:t xml:space="preserve">versus </w:t>
      </w:r>
      <w:r w:rsidRPr="00EB1471">
        <w:t xml:space="preserve">monotherapy in treatment-naïve patients. </w:t>
      </w:r>
    </w:p>
    <w:p w:rsidR="001D0FDA" w:rsidRPr="00EB1471" w:rsidRDefault="001D0FDA" w:rsidP="001D0FDA">
      <w:r w:rsidRPr="00EB1471">
        <w:t xml:space="preserve">There were no RCTs identified that fitted the selection criteria determined </w:t>
      </w:r>
      <w:r w:rsidRPr="00EB1471">
        <w:rPr>
          <w:i/>
        </w:rPr>
        <w:t>a priori</w:t>
      </w:r>
      <w:r w:rsidRPr="00EB1471">
        <w:t xml:space="preserve"> for </w:t>
      </w:r>
      <w:r w:rsidR="001F432E">
        <w:t>r</w:t>
      </w:r>
      <w:r w:rsidRPr="00EB1471">
        <w:t xml:space="preserve">esearch question 2 (new evidence comparing PAH monotherapy </w:t>
      </w:r>
      <w:r w:rsidRPr="00EB1471">
        <w:rPr>
          <w:i/>
        </w:rPr>
        <w:t xml:space="preserve">versus </w:t>
      </w:r>
      <w:r w:rsidRPr="00EB1471">
        <w:t xml:space="preserve">the PBAC-accepted main </w:t>
      </w:r>
      <w:r w:rsidRPr="00EB1471">
        <w:lastRenderedPageBreak/>
        <w:t xml:space="preserve">comparator for treatment of WHO FC III/IV) and </w:t>
      </w:r>
      <w:r w:rsidR="001F432E">
        <w:t>r</w:t>
      </w:r>
      <w:r w:rsidRPr="00EB1471">
        <w:t xml:space="preserve">esearch question 4 (triple therapy </w:t>
      </w:r>
      <w:r w:rsidRPr="00EB1471">
        <w:rPr>
          <w:i/>
        </w:rPr>
        <w:t xml:space="preserve">versus </w:t>
      </w:r>
      <w:r w:rsidRPr="00EB1471">
        <w:t>dual therapy).</w:t>
      </w:r>
    </w:p>
    <w:p w:rsidR="001D0FDA" w:rsidRPr="00EB1471" w:rsidRDefault="001D0FDA" w:rsidP="001D0FDA">
      <w:r w:rsidRPr="00EB1471">
        <w:t>Two observational studies</w:t>
      </w:r>
      <w:r w:rsidRPr="00EB1471">
        <w:rPr>
          <w:i/>
        </w:rPr>
        <w:t xml:space="preserve"> </w:t>
      </w:r>
      <w:r w:rsidRPr="00EB1471">
        <w:t>were identified by the systematic review which reported long-term survival data in PAH patients receiving sildenafil in addition to conventional therapy and in those treated with conventional therapy only</w:t>
      </w:r>
      <w:r>
        <w:t xml:space="preserve">. One of these had </w:t>
      </w:r>
      <w:r w:rsidRPr="00EB1471">
        <w:t xml:space="preserve">concurrent controls (Sun 2013) and the other </w:t>
      </w:r>
      <w:r>
        <w:t>had</w:t>
      </w:r>
      <w:r w:rsidRPr="00EB1471">
        <w:t xml:space="preserve"> a historical control group (Sastry 2007). Mortality results of the WHO FC I/II subgroup from these two studies were presented to address </w:t>
      </w:r>
      <w:r w:rsidR="001F432E">
        <w:t>r</w:t>
      </w:r>
      <w:r w:rsidRPr="00EB1471">
        <w:t xml:space="preserve">esearch question 1 as none of the identified RCTs (higher level of evidence) provided survival data associated with a PDE-5 inhibitor as monotherapy relative to no treatment/placebo in patients with WHO FC I/II PAH. However, the WHO FC I/II subgroup results should be interpreted with caution due to the potential for confounding, as no information on the patient characteristics of this subgroup was provided in the study report. Although mortality </w:t>
      </w:r>
      <w:r>
        <w:t xml:space="preserve">data </w:t>
      </w:r>
      <w:r w:rsidRPr="00EB1471">
        <w:t xml:space="preserve">for </w:t>
      </w:r>
      <w:r>
        <w:t xml:space="preserve">the </w:t>
      </w:r>
      <w:r w:rsidRPr="00EB1471">
        <w:t>WHO FC III/IV PAH subgroup were also reported by Sun 2013 and Sastry 2007, the studies did not fulfil the selection criteria for Research question 2, given that ‘conventional therapy’ was not the main comparator accepted by the PBAC when it recommended the listing of sildenafil. An indirect comparison of sildenafil with</w:t>
      </w:r>
      <w:r w:rsidRPr="00EB1471">
        <w:rPr>
          <w:i/>
        </w:rPr>
        <w:t xml:space="preserve"> </w:t>
      </w:r>
      <w:r w:rsidRPr="00EB1471">
        <w:t xml:space="preserve">the main comparator bosentan, </w:t>
      </w:r>
      <w:r w:rsidRPr="00EB1471">
        <w:rPr>
          <w:i/>
        </w:rPr>
        <w:t xml:space="preserve">via </w:t>
      </w:r>
      <w:r w:rsidRPr="00EB1471">
        <w:t>no treatment/placebo as the reference group, could not be performed in the review due to the absence of corresponding long-term survival data for bosentan.</w:t>
      </w:r>
    </w:p>
    <w:p w:rsidR="001D0FDA" w:rsidRPr="00EB1471" w:rsidRDefault="001D0FDA" w:rsidP="00480FDF">
      <w:pPr>
        <w:pStyle w:val="Heading4"/>
        <w:numPr>
          <w:ilvl w:val="3"/>
          <w:numId w:val="45"/>
        </w:numPr>
      </w:pPr>
      <w:r>
        <w:t>4.3.4.2</w:t>
      </w:r>
      <w:r>
        <w:tab/>
      </w:r>
      <w:r w:rsidRPr="00EB1471">
        <w:t>Other clinical evidence included for the extended assessment of safety</w:t>
      </w:r>
    </w:p>
    <w:p w:rsidR="001D0FDA" w:rsidRPr="00EB1471" w:rsidRDefault="00AA722D" w:rsidP="001D0FDA">
      <w:r>
        <w:t>Table 4.</w:t>
      </w:r>
      <w:r>
        <w:rPr>
          <w:noProof/>
        </w:rPr>
        <w:t>27</w:t>
      </w:r>
      <w:r w:rsidR="001D0FDA">
        <w:t xml:space="preserve"> </w:t>
      </w:r>
      <w:r w:rsidR="001D0FDA" w:rsidRPr="00EB1471">
        <w:t xml:space="preserve">summarises the key features of clinical evidence included for extended assessment of safety of </w:t>
      </w:r>
      <w:r w:rsidR="001D0FDA">
        <w:t>PAH medicine</w:t>
      </w:r>
      <w:r w:rsidR="00B603BC">
        <w:t>s.</w:t>
      </w:r>
    </w:p>
    <w:p w:rsidR="001D0FDA" w:rsidRPr="00EB1471" w:rsidRDefault="001D0FDA" w:rsidP="001D0FDA">
      <w:r w:rsidRPr="00EB1471">
        <w:t>Three RCTs recruiting a mixed population - Mukhopadhyay 2011</w:t>
      </w:r>
      <w:r w:rsidR="001D34EE" w:rsidRPr="001A1C44">
        <w:rPr>
          <w:noProof/>
          <w:vertAlign w:val="superscript"/>
        </w:rPr>
        <w:t>40</w:t>
      </w:r>
      <w:r w:rsidRPr="00EB1471">
        <w:t>, PHIRST</w:t>
      </w:r>
      <w:r w:rsidR="001D34EE" w:rsidRPr="001A1C44">
        <w:rPr>
          <w:noProof/>
          <w:vertAlign w:val="superscript"/>
        </w:rPr>
        <w:t>45</w:t>
      </w:r>
      <w:r w:rsidRPr="00EB1471">
        <w:t xml:space="preserve"> and SUPER-1</w:t>
      </w:r>
      <w:r w:rsidR="001D34EE" w:rsidRPr="001A1C44">
        <w:rPr>
          <w:noProof/>
          <w:vertAlign w:val="superscript"/>
        </w:rPr>
        <w:t>53</w:t>
      </w:r>
      <w:r w:rsidRPr="00EB1471">
        <w:t xml:space="preserve"> - had their clinical effectiveness results reported for the appropriate subgroups of interest, but had their safety results reported as a mixed population</w:t>
      </w:r>
      <w:r>
        <w:t xml:space="preserve">. These </w:t>
      </w:r>
      <w:r w:rsidRPr="00EB1471">
        <w:t>data were not previously reviewed by the PBAC</w:t>
      </w:r>
      <w:r w:rsidR="00B603BC">
        <w:t>.</w:t>
      </w:r>
    </w:p>
    <w:p w:rsidR="001D0FDA" w:rsidRPr="00EB1471" w:rsidRDefault="001D0FDA" w:rsidP="001D0FDA">
      <w:r w:rsidRPr="00EB1471">
        <w:t>There was one RCT involving paediatric patients with WHO FC I-IV PAH which did not provide results of the clinical effectiveness analysis stratified by baseline FC: STARTS-1</w:t>
      </w:r>
      <w:r w:rsidR="001D34EE" w:rsidRPr="001A1C44">
        <w:rPr>
          <w:noProof/>
          <w:vertAlign w:val="superscript"/>
        </w:rPr>
        <w:t>54</w:t>
      </w:r>
      <w:r w:rsidRPr="00EB1471">
        <w:t xml:space="preserve">. This trial was included in the systematic review as supplementary evidence for the extended assessment of the safety of </w:t>
      </w:r>
      <w:r>
        <w:t>PAH medicine</w:t>
      </w:r>
      <w:r w:rsidRPr="00EB1471">
        <w:t>s</w:t>
      </w:r>
      <w:r w:rsidR="00B603BC">
        <w:t xml:space="preserve"> in the overall PAH population.</w:t>
      </w:r>
    </w:p>
    <w:p w:rsidR="001D0FDA" w:rsidRPr="00EB1471" w:rsidRDefault="001D0FDA" w:rsidP="001D0FDA">
      <w:r w:rsidRPr="008D73C9">
        <w:t xml:space="preserve">No short-term observational studies identified by the literature review detected important safety signals which had not </w:t>
      </w:r>
      <w:r>
        <w:t xml:space="preserve">already </w:t>
      </w:r>
      <w:r w:rsidRPr="008D73C9">
        <w:t xml:space="preserve">been noted by the PBAC/TGA. Safety results of PAH medicines were reported by 43 long-term observational studies, of which 24 were small studies (&lt;50 patients receiving PAH medicines) without new safety signals reported. Thus, a total of 19 observational studies were included for </w:t>
      </w:r>
      <w:r>
        <w:t xml:space="preserve">an </w:t>
      </w:r>
      <w:r w:rsidRPr="008D73C9">
        <w:t xml:space="preserve">extended assessment of </w:t>
      </w:r>
      <w:r>
        <w:t xml:space="preserve">the </w:t>
      </w:r>
      <w:r w:rsidRPr="008D73C9">
        <w:t xml:space="preserve">safety of PAH medicines. Although the study by Sastry et al (2007) included a cohort of patients treated with sildenafil in addition to conventional therapy and </w:t>
      </w:r>
      <w:r>
        <w:t>a historical control group</w:t>
      </w:r>
      <w:r w:rsidRPr="008D73C9">
        <w:t xml:space="preserve"> receiving conventional therapy only, the results of </w:t>
      </w:r>
      <w:r w:rsidR="006B2A7D">
        <w:t>AE</w:t>
      </w:r>
      <w:r w:rsidRPr="008D73C9">
        <w:t xml:space="preserve">s were not reported for the control group. This study, therefore, is a non-comparative study for evaluation of safety. The remaining 18 studies were uncontrolled case series in study design. The safety of PAH </w:t>
      </w:r>
      <w:r>
        <w:t>medicines</w:t>
      </w:r>
      <w:r w:rsidRPr="008D73C9">
        <w:t xml:space="preserve"> in paediatric patients was investigated in two observational </w:t>
      </w:r>
      <w:r w:rsidRPr="008D73C9">
        <w:lastRenderedPageBreak/>
        <w:t>studies (STARTS extension study and Hislop 2011). The other 17 studies recruited adults only or predominantly.</w:t>
      </w:r>
    </w:p>
    <w:p w:rsidR="001D0FDA" w:rsidRPr="00EB1471" w:rsidRDefault="001D0FDA" w:rsidP="001D0FDA">
      <w:pPr>
        <w:pStyle w:val="Caption"/>
      </w:pPr>
      <w:bookmarkStart w:id="89" w:name="_Ref505948926"/>
      <w:bookmarkStart w:id="90" w:name="_Toc512855431"/>
      <w:r>
        <w:t>Table 4.</w:t>
      </w:r>
      <w:r w:rsidR="00AA722D">
        <w:rPr>
          <w:noProof/>
        </w:rPr>
        <w:t>27</w:t>
      </w:r>
      <w:bookmarkEnd w:id="89"/>
      <w:r>
        <w:tab/>
      </w:r>
      <w:r w:rsidRPr="00EB1471">
        <w:t>Key features of the included evidence for assessment of extended safety</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Key features of the included evidence for assessment of extended safety"/>
      </w:tblPr>
      <w:tblGrid>
        <w:gridCol w:w="2518"/>
        <w:gridCol w:w="70"/>
        <w:gridCol w:w="1996"/>
        <w:gridCol w:w="2465"/>
        <w:gridCol w:w="2725"/>
      </w:tblGrid>
      <w:tr w:rsidR="001D0FDA" w:rsidRPr="00EB1471" w:rsidTr="00FD0BAE">
        <w:trPr>
          <w:tblHeader/>
        </w:trPr>
        <w:tc>
          <w:tcPr>
            <w:tcW w:w="1324" w:type="pct"/>
            <w:gridSpan w:val="2"/>
            <w:tcBorders>
              <w:bottom w:val="single" w:sz="4" w:space="0" w:color="auto"/>
            </w:tcBorders>
            <w:shd w:val="clear" w:color="auto" w:fill="BFBFBF" w:themeFill="background1" w:themeFillShade="BF"/>
            <w:tcMar>
              <w:left w:w="108" w:type="dxa"/>
              <w:right w:w="108" w:type="dxa"/>
            </w:tcMar>
          </w:tcPr>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Study ID</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Study period</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Location</w:t>
            </w:r>
          </w:p>
        </w:tc>
        <w:tc>
          <w:tcPr>
            <w:tcW w:w="1021" w:type="pct"/>
            <w:tcBorders>
              <w:bottom w:val="single" w:sz="4" w:space="0" w:color="auto"/>
            </w:tcBorders>
            <w:shd w:val="clear" w:color="auto" w:fill="BFBFBF" w:themeFill="background1" w:themeFillShade="BF"/>
          </w:tcPr>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Study design</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Duration of follow-up</w:t>
            </w:r>
          </w:p>
        </w:tc>
        <w:tc>
          <w:tcPr>
            <w:tcW w:w="1261" w:type="pct"/>
            <w:tcBorders>
              <w:bottom w:val="single" w:sz="4" w:space="0" w:color="auto"/>
            </w:tcBorders>
            <w:shd w:val="clear" w:color="auto" w:fill="BFBFBF" w:themeFill="background1" w:themeFillShade="BF"/>
          </w:tcPr>
          <w:p w:rsidR="001D0FDA" w:rsidRPr="00EB1471" w:rsidRDefault="001D0FDA" w:rsidP="001D0FDA">
            <w:pPr>
              <w:pStyle w:val="Tabletext"/>
              <w:ind w:right="-28"/>
              <w:rPr>
                <w:rFonts w:eastAsia="Times New Roman"/>
                <w:b/>
                <w:snapToGrid w:val="0"/>
                <w:vertAlign w:val="superscript"/>
                <w:lang w:eastAsia="en-US"/>
              </w:rPr>
            </w:pPr>
            <w:r w:rsidRPr="00EB1471">
              <w:rPr>
                <w:rFonts w:eastAsia="Times New Roman"/>
                <w:b/>
                <w:snapToGrid w:val="0"/>
                <w:lang w:eastAsia="en-US"/>
              </w:rPr>
              <w:t>N</w:t>
            </w:r>
            <w:r w:rsidRPr="00EB1471">
              <w:rPr>
                <w:rFonts w:eastAsia="Times New Roman"/>
                <w:b/>
                <w:snapToGrid w:val="0"/>
                <w:vertAlign w:val="superscript"/>
                <w:lang w:eastAsia="en-US"/>
              </w:rPr>
              <w:t>a</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 xml:space="preserve">WHO FC </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PAH aetiology</w:t>
            </w:r>
          </w:p>
        </w:tc>
        <w:tc>
          <w:tcPr>
            <w:tcW w:w="1394" w:type="pct"/>
            <w:tcBorders>
              <w:bottom w:val="single" w:sz="4" w:space="0" w:color="auto"/>
            </w:tcBorders>
            <w:shd w:val="clear" w:color="auto" w:fill="BFBFBF" w:themeFill="background1" w:themeFillShade="BF"/>
          </w:tcPr>
          <w:p w:rsidR="001D0FDA" w:rsidRPr="00EB1471" w:rsidRDefault="001D0FDA" w:rsidP="001D0FDA">
            <w:pPr>
              <w:pStyle w:val="Tabletext"/>
              <w:rPr>
                <w:rFonts w:eastAsia="Times New Roman"/>
                <w:b/>
                <w:snapToGrid w:val="0"/>
                <w:lang w:eastAsia="en-US"/>
              </w:rPr>
            </w:pPr>
            <w:r w:rsidRPr="00EB1471">
              <w:rPr>
                <w:rFonts w:eastAsia="Times New Roman"/>
                <w:b/>
                <w:snapToGrid w:val="0"/>
                <w:lang w:eastAsia="en-US"/>
              </w:rPr>
              <w:t>Intervention</w:t>
            </w:r>
            <w:r w:rsidRPr="00EB1471">
              <w:rPr>
                <w:rFonts w:eastAsia="Times New Roman"/>
                <w:b/>
                <w:snapToGrid w:val="0"/>
                <w:vertAlign w:val="superscript"/>
                <w:lang w:eastAsia="en-US"/>
              </w:rPr>
              <w:t>b</w:t>
            </w:r>
          </w:p>
          <w:p w:rsidR="001D0FDA" w:rsidRPr="00EB1471" w:rsidRDefault="001D0FDA" w:rsidP="001D0FDA">
            <w:pPr>
              <w:pStyle w:val="Tabletext"/>
              <w:rPr>
                <w:rFonts w:eastAsia="Times New Roman"/>
                <w:b/>
                <w:snapToGrid w:val="0"/>
                <w:lang w:eastAsia="en-US"/>
              </w:rPr>
            </w:pPr>
            <w:r w:rsidRPr="00EB1471">
              <w:rPr>
                <w:rFonts w:eastAsia="Times New Roman"/>
                <w:b/>
                <w:snapToGrid w:val="0"/>
                <w:lang w:eastAsia="en-US"/>
              </w:rPr>
              <w:t>Comparator</w:t>
            </w:r>
          </w:p>
          <w:p w:rsidR="001D0FDA" w:rsidRPr="00EB1471" w:rsidRDefault="001D0FDA" w:rsidP="001D0FDA">
            <w:pPr>
              <w:pStyle w:val="Tabletext"/>
              <w:rPr>
                <w:rFonts w:eastAsia="Times New Roman"/>
                <w:b/>
                <w:snapToGrid w:val="0"/>
                <w:lang w:eastAsia="en-US"/>
              </w:rPr>
            </w:pPr>
            <w:r w:rsidRPr="00EB1471">
              <w:rPr>
                <w:rFonts w:eastAsia="Times New Roman"/>
                <w:b/>
                <w:snapToGrid w:val="0"/>
                <w:lang w:eastAsia="en-US"/>
              </w:rPr>
              <w:t>Background therapy</w:t>
            </w:r>
          </w:p>
        </w:tc>
      </w:tr>
      <w:tr w:rsidR="001D0FDA" w:rsidRPr="006A1709" w:rsidTr="001D0FDA">
        <w:tc>
          <w:tcPr>
            <w:tcW w:w="5000" w:type="pct"/>
            <w:gridSpan w:val="5"/>
            <w:shd w:val="clear" w:color="auto" w:fill="000000" w:themeFill="text1"/>
            <w:tcMar>
              <w:left w:w="108" w:type="dxa"/>
              <w:right w:w="108" w:type="dxa"/>
            </w:tcMar>
          </w:tcPr>
          <w:p w:rsidR="001D0FDA" w:rsidRPr="006A1709" w:rsidRDefault="001D0FDA" w:rsidP="001D0FDA">
            <w:pPr>
              <w:pStyle w:val="Tabletext"/>
              <w:rPr>
                <w:rFonts w:eastAsia="Times New Roman" w:cs="Tahoma"/>
                <w:b/>
                <w:color w:val="FFFFFF" w:themeColor="background1"/>
              </w:rPr>
            </w:pPr>
            <w:r w:rsidRPr="006A1709">
              <w:rPr>
                <w:rFonts w:eastAsia="Times New Roman"/>
                <w:b/>
                <w:color w:val="FFFFFF" w:themeColor="background1"/>
                <w:lang w:eastAsia="en-US"/>
              </w:rPr>
              <w:t>Randomised controlled trials (RCTs)</w:t>
            </w:r>
          </w:p>
        </w:tc>
      </w:tr>
      <w:tr w:rsidR="001D0FDA" w:rsidRPr="00EB1471" w:rsidTr="001D0FDA">
        <w:tc>
          <w:tcPr>
            <w:tcW w:w="1324" w:type="pct"/>
            <w:gridSpan w:val="2"/>
            <w:shd w:val="clear" w:color="auto" w:fill="auto"/>
            <w:tcMar>
              <w:left w:w="108" w:type="dxa"/>
              <w:right w:w="108" w:type="dxa"/>
            </w:tcMar>
          </w:tcPr>
          <w:p w:rsidR="001D0FDA" w:rsidRPr="00EB1471" w:rsidRDefault="001D0FDA" w:rsidP="001D0FDA">
            <w:pPr>
              <w:pStyle w:val="Tabletext"/>
              <w:ind w:right="-28"/>
              <w:rPr>
                <w:rFonts w:eastAsia="Times New Roman"/>
                <w:lang w:eastAsia="en-US"/>
              </w:rPr>
            </w:pPr>
            <w:r w:rsidRPr="00EB1471">
              <w:rPr>
                <w:rFonts w:eastAsia="Times New Roman"/>
                <w:lang w:eastAsia="en-US"/>
              </w:rPr>
              <w:t>Mukhopadhyay 2011</w:t>
            </w:r>
            <w:r w:rsidR="001D34EE" w:rsidRPr="001A1C44">
              <w:rPr>
                <w:rFonts w:eastAsia="Times New Roman"/>
                <w:noProof/>
                <w:vertAlign w:val="superscript"/>
                <w:lang w:eastAsia="en-US"/>
              </w:rPr>
              <w:t>40</w:t>
            </w:r>
            <w:r w:rsidRPr="00EB1471">
              <w:rPr>
                <w:rFonts w:eastAsia="Times New Roman"/>
                <w:lang w:eastAsia="en-US"/>
              </w:rPr>
              <w:t xml:space="preserve"> </w:t>
            </w:r>
          </w:p>
          <w:p w:rsidR="001D0FDA" w:rsidRPr="00EB1471" w:rsidRDefault="001D0FDA" w:rsidP="001D0FDA">
            <w:pPr>
              <w:pStyle w:val="Tabletext"/>
              <w:ind w:right="-28"/>
              <w:rPr>
                <w:rFonts w:eastAsia="Times New Roman"/>
              </w:rPr>
            </w:pPr>
            <w:r w:rsidRPr="00EB1471">
              <w:rPr>
                <w:rFonts w:eastAsia="Times New Roman"/>
                <w:lang w:eastAsia="en-US"/>
              </w:rPr>
              <w:t>No later than 2011</w:t>
            </w:r>
            <w:r w:rsidRPr="00EB1471">
              <w:rPr>
                <w:rFonts w:eastAsia="Times New Roman"/>
                <w:vertAlign w:val="superscript"/>
                <w:lang w:eastAsia="en-US"/>
              </w:rPr>
              <w:t>c</w:t>
            </w:r>
          </w:p>
          <w:p w:rsidR="001D0FDA" w:rsidRPr="00EB1471" w:rsidRDefault="001D0FDA" w:rsidP="001D0FDA">
            <w:pPr>
              <w:pStyle w:val="Tabletext"/>
              <w:ind w:right="-28"/>
              <w:rPr>
                <w:rFonts w:eastAsia="Times New Roman"/>
                <w:lang w:eastAsia="en-US"/>
              </w:rPr>
            </w:pPr>
            <w:r w:rsidRPr="00EB1471">
              <w:rPr>
                <w:rFonts w:eastAsia="Times New Roman"/>
                <w:lang w:eastAsia="en-US"/>
              </w:rPr>
              <w:t>India</w:t>
            </w:r>
          </w:p>
        </w:tc>
        <w:tc>
          <w:tcPr>
            <w:tcW w:w="1021" w:type="pct"/>
          </w:tcPr>
          <w:p w:rsidR="001D0FDA" w:rsidRPr="00EB1471" w:rsidRDefault="001D0FDA" w:rsidP="001D0FDA">
            <w:pPr>
              <w:pStyle w:val="Tabletext"/>
              <w:ind w:right="-28"/>
              <w:rPr>
                <w:rFonts w:eastAsia="Times New Roman"/>
                <w:lang w:eastAsia="en-US"/>
              </w:rPr>
            </w:pPr>
            <w:r w:rsidRPr="00EB1471">
              <w:rPr>
                <w:rFonts w:eastAsia="Times New Roman"/>
                <w:lang w:eastAsia="en-US"/>
              </w:rPr>
              <w:t>RCT, DB, cross-over</w:t>
            </w:r>
          </w:p>
          <w:p w:rsidR="001D0FDA" w:rsidRPr="00EB1471" w:rsidRDefault="001D0FDA" w:rsidP="001D0FDA">
            <w:pPr>
              <w:pStyle w:val="Tabletext"/>
              <w:ind w:right="-28"/>
              <w:rPr>
                <w:rFonts w:eastAsia="Times New Roman"/>
                <w:lang w:eastAsia="en-US"/>
              </w:rPr>
            </w:pPr>
            <w:r w:rsidRPr="00EB1471">
              <w:rPr>
                <w:rFonts w:eastAsia="Times New Roman"/>
                <w:lang w:eastAsia="en-US"/>
              </w:rPr>
              <w:t>6 weeks</w:t>
            </w:r>
          </w:p>
          <w:p w:rsidR="001D0FDA" w:rsidRPr="00EB1471" w:rsidRDefault="001D0FDA" w:rsidP="001D0FDA">
            <w:pPr>
              <w:pStyle w:val="Tabletext"/>
              <w:ind w:right="-28"/>
              <w:rPr>
                <w:rFonts w:eastAsia="Times New Roman"/>
                <w:lang w:eastAsia="en-US"/>
              </w:rPr>
            </w:pPr>
            <w:r w:rsidRPr="00EB1471">
              <w:rPr>
                <w:rFonts w:eastAsia="Times New Roman"/>
                <w:lang w:eastAsia="en-US"/>
              </w:rPr>
              <w:t>Low-to-moderate</w:t>
            </w:r>
          </w:p>
        </w:tc>
        <w:tc>
          <w:tcPr>
            <w:tcW w:w="1261" w:type="pct"/>
          </w:tcPr>
          <w:p w:rsidR="001D0FDA" w:rsidRPr="00EB1471" w:rsidRDefault="001D0FDA" w:rsidP="001D0FDA">
            <w:pPr>
              <w:pStyle w:val="Tabletext"/>
              <w:ind w:right="-28"/>
              <w:rPr>
                <w:rFonts w:eastAsia="Times New Roman"/>
                <w:lang w:eastAsia="en-US"/>
              </w:rPr>
            </w:pPr>
            <w:r w:rsidRPr="00EB1471">
              <w:rPr>
                <w:rFonts w:eastAsia="Times New Roman"/>
                <w:lang w:eastAsia="en-US"/>
              </w:rPr>
              <w:t>N=28</w:t>
            </w:r>
          </w:p>
          <w:p w:rsidR="001D0FDA" w:rsidRPr="00EB1471" w:rsidRDefault="001D0FDA" w:rsidP="001D0FDA">
            <w:pPr>
              <w:pStyle w:val="Tabletext"/>
              <w:ind w:right="-28"/>
              <w:rPr>
                <w:rFonts w:eastAsia="Times New Roman"/>
                <w:lang w:eastAsia="en-US"/>
              </w:rPr>
            </w:pPr>
            <w:r w:rsidRPr="00EB1471">
              <w:rPr>
                <w:rFonts w:eastAsia="Times New Roman"/>
                <w:lang w:eastAsia="en-US"/>
              </w:rPr>
              <w:t>WHO II-III</w:t>
            </w:r>
          </w:p>
          <w:p w:rsidR="001D0FDA" w:rsidRPr="00EB1471" w:rsidRDefault="001D0FDA" w:rsidP="001D0FDA">
            <w:pPr>
              <w:pStyle w:val="Tabletext"/>
              <w:ind w:right="-28"/>
              <w:rPr>
                <w:rFonts w:eastAsia="Times New Roman"/>
                <w:lang w:eastAsia="en-US"/>
              </w:rPr>
            </w:pPr>
            <w:r w:rsidRPr="00EB1471">
              <w:rPr>
                <w:rFonts w:eastAsia="Times New Roman"/>
                <w:lang w:eastAsia="en-US"/>
              </w:rPr>
              <w:t>PAH-CHD</w:t>
            </w:r>
          </w:p>
        </w:tc>
        <w:tc>
          <w:tcPr>
            <w:tcW w:w="1394" w:type="pct"/>
          </w:tcPr>
          <w:p w:rsidR="001D0FDA" w:rsidRPr="00EB1471" w:rsidRDefault="001D0FDA" w:rsidP="001D0FDA">
            <w:pPr>
              <w:pStyle w:val="Tabletext"/>
              <w:rPr>
                <w:rFonts w:eastAsia="Times New Roman"/>
                <w:lang w:eastAsia="en-US"/>
              </w:rPr>
            </w:pPr>
            <w:r w:rsidRPr="00EB1471">
              <w:rPr>
                <w:rFonts w:eastAsia="Times New Roman"/>
                <w:lang w:eastAsia="en-US"/>
              </w:rPr>
              <w:t>TAD 40mg od</w:t>
            </w:r>
          </w:p>
          <w:p w:rsidR="001D0FDA" w:rsidRPr="00EB1471" w:rsidRDefault="001D0FDA" w:rsidP="001D0FDA">
            <w:pPr>
              <w:pStyle w:val="Tabletext"/>
              <w:rPr>
                <w:rFonts w:eastAsia="Times New Roman"/>
                <w:lang w:eastAsia="en-US"/>
              </w:rPr>
            </w:pPr>
            <w:r w:rsidRPr="00EB1471">
              <w:rPr>
                <w:rFonts w:eastAsia="Times New Roman"/>
                <w:lang w:eastAsia="en-US"/>
              </w:rPr>
              <w:t>PBO</w:t>
            </w:r>
          </w:p>
        </w:tc>
      </w:tr>
      <w:tr w:rsidR="001D0FDA" w:rsidRPr="00EB1471" w:rsidTr="001D0FDA">
        <w:tc>
          <w:tcPr>
            <w:tcW w:w="1324" w:type="pct"/>
            <w:gridSpan w:val="2"/>
            <w:shd w:val="clear" w:color="auto" w:fill="auto"/>
            <w:tcMar>
              <w:left w:w="108" w:type="dxa"/>
              <w:right w:w="108" w:type="dxa"/>
            </w:tcMar>
          </w:tcPr>
          <w:p w:rsidR="001D0FDA" w:rsidRPr="00EB1471" w:rsidRDefault="001D0FDA" w:rsidP="001D0FDA">
            <w:pPr>
              <w:pStyle w:val="Tabletext"/>
              <w:ind w:right="-28"/>
              <w:rPr>
                <w:rFonts w:eastAsia="Times New Roman"/>
                <w:lang w:eastAsia="en-US"/>
              </w:rPr>
            </w:pPr>
            <w:r w:rsidRPr="00EB1471">
              <w:rPr>
                <w:rFonts w:eastAsia="Times New Roman"/>
                <w:lang w:eastAsia="en-US"/>
              </w:rPr>
              <w:t>PHIRST</w:t>
            </w:r>
            <w:r w:rsidR="001D34EE" w:rsidRPr="001A1C44">
              <w:rPr>
                <w:rFonts w:eastAsia="Times New Roman"/>
                <w:noProof/>
                <w:vertAlign w:val="superscript"/>
                <w:lang w:eastAsia="en-US"/>
              </w:rPr>
              <w:t>45</w:t>
            </w:r>
          </w:p>
          <w:p w:rsidR="001D0FDA" w:rsidRPr="00EB1471" w:rsidRDefault="001D0FDA" w:rsidP="001D0FDA">
            <w:pPr>
              <w:pStyle w:val="Tabletext"/>
              <w:ind w:right="-28"/>
              <w:rPr>
                <w:rFonts w:eastAsia="Times New Roman"/>
              </w:rPr>
            </w:pPr>
            <w:r w:rsidRPr="00EB1471">
              <w:rPr>
                <w:rFonts w:eastAsia="Times New Roman"/>
                <w:lang w:eastAsia="en-US"/>
              </w:rPr>
              <w:t>2005-2007</w:t>
            </w:r>
          </w:p>
          <w:p w:rsidR="001D0FDA" w:rsidRPr="00EB1471" w:rsidRDefault="001D0FDA" w:rsidP="001D0FDA">
            <w:pPr>
              <w:pStyle w:val="Tabletext"/>
              <w:ind w:right="-28"/>
              <w:rPr>
                <w:rFonts w:eastAsia="Times New Roman"/>
                <w:lang w:eastAsia="en-US"/>
              </w:rPr>
            </w:pPr>
            <w:r w:rsidRPr="00EB1471">
              <w:rPr>
                <w:rFonts w:eastAsia="Times New Roman"/>
                <w:lang w:eastAsia="en-US"/>
              </w:rPr>
              <w:t>US, Canada, Europe, Japan</w:t>
            </w:r>
          </w:p>
        </w:tc>
        <w:tc>
          <w:tcPr>
            <w:tcW w:w="1021" w:type="pct"/>
          </w:tcPr>
          <w:p w:rsidR="001D0FDA" w:rsidRPr="00EB1471" w:rsidRDefault="001D0FDA" w:rsidP="001D0FDA">
            <w:pPr>
              <w:pStyle w:val="Tabletext"/>
              <w:ind w:right="-28"/>
              <w:rPr>
                <w:rFonts w:eastAsia="Times New Roman"/>
                <w:lang w:eastAsia="en-US"/>
              </w:rPr>
            </w:pPr>
            <w:r w:rsidRPr="00EB1471">
              <w:rPr>
                <w:rFonts w:eastAsia="Times New Roman"/>
                <w:lang w:eastAsia="en-US"/>
              </w:rPr>
              <w:t>RCT, DB</w:t>
            </w:r>
          </w:p>
          <w:p w:rsidR="001D0FDA" w:rsidRPr="00EB1471" w:rsidRDefault="001D0FDA" w:rsidP="001D0FDA">
            <w:pPr>
              <w:pStyle w:val="Tabletext"/>
              <w:ind w:right="-28"/>
              <w:rPr>
                <w:rFonts w:eastAsia="Times New Roman"/>
                <w:snapToGrid w:val="0"/>
                <w:lang w:eastAsia="en-US"/>
              </w:rPr>
            </w:pPr>
            <w:r w:rsidRPr="00EB1471">
              <w:rPr>
                <w:rFonts w:eastAsia="Times New Roman"/>
                <w:lang w:eastAsia="en-US"/>
              </w:rPr>
              <w:t>16 weeks</w:t>
            </w:r>
          </w:p>
        </w:tc>
        <w:tc>
          <w:tcPr>
            <w:tcW w:w="1261" w:type="pct"/>
          </w:tcPr>
          <w:p w:rsidR="001D0FDA" w:rsidRPr="00EB1471" w:rsidRDefault="001D0FDA" w:rsidP="001D0FDA">
            <w:pPr>
              <w:pStyle w:val="Tabletext"/>
              <w:ind w:right="-28"/>
              <w:rPr>
                <w:rFonts w:eastAsia="Times New Roman"/>
                <w:lang w:eastAsia="en-US"/>
              </w:rPr>
            </w:pPr>
            <w:r w:rsidRPr="00EB1471">
              <w:rPr>
                <w:rFonts w:eastAsia="Times New Roman"/>
                <w:lang w:eastAsia="en-US"/>
              </w:rPr>
              <w:t>N=74</w:t>
            </w:r>
            <w:r w:rsidRPr="00EB1471">
              <w:rPr>
                <w:rFonts w:eastAsia="Times New Roman"/>
                <w:vertAlign w:val="superscript"/>
                <w:lang w:eastAsia="en-US"/>
              </w:rPr>
              <w:t>c</w:t>
            </w:r>
            <w:r w:rsidRPr="00EB1471">
              <w:rPr>
                <w:rFonts w:eastAsia="Times New Roman"/>
                <w:lang w:eastAsia="en-US"/>
              </w:rPr>
              <w:t>/161</w:t>
            </w:r>
          </w:p>
          <w:p w:rsidR="001D0FDA" w:rsidRPr="00EB1471" w:rsidRDefault="001D0FDA" w:rsidP="001D0FDA">
            <w:pPr>
              <w:pStyle w:val="Tabletext"/>
              <w:ind w:right="-28"/>
              <w:rPr>
                <w:rFonts w:eastAsia="Times New Roman"/>
                <w:lang w:eastAsia="en-US"/>
              </w:rPr>
            </w:pPr>
            <w:r w:rsidRPr="00EB1471">
              <w:rPr>
                <w:rFonts w:eastAsia="Times New Roman"/>
                <w:lang w:eastAsia="en-US"/>
              </w:rPr>
              <w:t>WHO FC I-IV</w:t>
            </w:r>
          </w:p>
          <w:p w:rsidR="001D0FDA" w:rsidRPr="00EB1471" w:rsidRDefault="001D0FDA" w:rsidP="001D0FDA">
            <w:pPr>
              <w:pStyle w:val="Tabletext"/>
              <w:ind w:right="-28"/>
              <w:rPr>
                <w:rFonts w:eastAsia="Times New Roman"/>
                <w:snapToGrid w:val="0"/>
                <w:lang w:eastAsia="en-US"/>
              </w:rPr>
            </w:pPr>
            <w:r w:rsidRPr="00EB1471">
              <w:rPr>
                <w:rFonts w:eastAsia="Times New Roman"/>
                <w:lang w:eastAsia="en-US"/>
              </w:rPr>
              <w:t>IPAH, HPAH, PAH-CTD, PAH-CHD, or PAH-DT</w:t>
            </w:r>
          </w:p>
        </w:tc>
        <w:tc>
          <w:tcPr>
            <w:tcW w:w="1394" w:type="pct"/>
          </w:tcPr>
          <w:p w:rsidR="001D0FDA" w:rsidRPr="00EB1471" w:rsidRDefault="001D0FDA" w:rsidP="001D0FDA">
            <w:pPr>
              <w:pStyle w:val="Tabletext"/>
              <w:rPr>
                <w:rFonts w:eastAsia="Times New Roman"/>
                <w:lang w:eastAsia="en-US"/>
              </w:rPr>
            </w:pPr>
            <w:r w:rsidRPr="00EB1471">
              <w:rPr>
                <w:rFonts w:eastAsia="Times New Roman"/>
                <w:lang w:eastAsia="en-US"/>
              </w:rPr>
              <w:t>TAD 40mg od</w:t>
            </w:r>
          </w:p>
          <w:p w:rsidR="001D0FDA" w:rsidRPr="00EB1471" w:rsidRDefault="001D0FDA" w:rsidP="001D0FDA">
            <w:pPr>
              <w:pStyle w:val="Tabletext"/>
              <w:rPr>
                <w:rFonts w:eastAsia="Times New Roman"/>
                <w:lang w:eastAsia="en-US"/>
              </w:rPr>
            </w:pPr>
            <w:r w:rsidRPr="00EB1471">
              <w:rPr>
                <w:rFonts w:eastAsia="Times New Roman"/>
                <w:lang w:eastAsia="en-US"/>
              </w:rPr>
              <w:t>PBO</w:t>
            </w:r>
          </w:p>
          <w:p w:rsidR="001D0FDA" w:rsidRPr="00EB1471" w:rsidRDefault="001D0FDA" w:rsidP="001D0FDA">
            <w:pPr>
              <w:pStyle w:val="Tabletext"/>
              <w:rPr>
                <w:rFonts w:eastAsia="Times New Roman"/>
                <w:lang w:eastAsia="en-US"/>
              </w:rPr>
            </w:pPr>
          </w:p>
          <w:p w:rsidR="001D0FDA" w:rsidRPr="00EB1471" w:rsidRDefault="001D0FDA" w:rsidP="001D0FDA">
            <w:pPr>
              <w:pStyle w:val="Tabletext"/>
              <w:rPr>
                <w:rFonts w:eastAsia="Times New Roman"/>
                <w:lang w:eastAsia="en-US"/>
              </w:rPr>
            </w:pPr>
            <w:r w:rsidRPr="00EB1471">
              <w:rPr>
                <w:rFonts w:eastAsia="Times New Roman"/>
                <w:lang w:eastAsia="en-US"/>
              </w:rPr>
              <w:t>Background therapy with BOS up to 125mg bid (54%)</w:t>
            </w:r>
          </w:p>
        </w:tc>
      </w:tr>
      <w:tr w:rsidR="001D0FDA" w:rsidRPr="00EB1471" w:rsidTr="001D0FDA">
        <w:tc>
          <w:tcPr>
            <w:tcW w:w="1324" w:type="pct"/>
            <w:gridSpan w:val="2"/>
            <w:shd w:val="clear" w:color="auto" w:fill="auto"/>
            <w:tcMar>
              <w:left w:w="108" w:type="dxa"/>
              <w:right w:w="108" w:type="dxa"/>
            </w:tcMar>
          </w:tcPr>
          <w:p w:rsidR="001D0FDA" w:rsidRPr="00EB1471" w:rsidRDefault="001D0FDA" w:rsidP="001D0FDA">
            <w:pPr>
              <w:pStyle w:val="Tabletext"/>
              <w:ind w:right="-28"/>
              <w:rPr>
                <w:rFonts w:eastAsia="Times New Roman"/>
                <w:lang w:eastAsia="en-US"/>
              </w:rPr>
            </w:pPr>
            <w:r w:rsidRPr="00EB1471">
              <w:rPr>
                <w:rFonts w:eastAsia="Times New Roman"/>
                <w:lang w:eastAsia="en-US"/>
              </w:rPr>
              <w:t>STARTS-1</w:t>
            </w:r>
            <w:r w:rsidR="001D34EE" w:rsidRPr="001A1C44">
              <w:rPr>
                <w:rFonts w:eastAsia="Times New Roman"/>
                <w:noProof/>
                <w:vertAlign w:val="superscript"/>
                <w:lang w:eastAsia="en-US"/>
              </w:rPr>
              <w:t>54</w:t>
            </w:r>
          </w:p>
          <w:p w:rsidR="001D0FDA" w:rsidRPr="00EB1471" w:rsidRDefault="001D0FDA" w:rsidP="001D0FDA">
            <w:pPr>
              <w:pStyle w:val="Tabletext"/>
              <w:ind w:right="-28"/>
              <w:rPr>
                <w:rFonts w:eastAsia="Times New Roman"/>
                <w:lang w:eastAsia="en-US"/>
              </w:rPr>
            </w:pPr>
            <w:r w:rsidRPr="00EB1471">
              <w:rPr>
                <w:rFonts w:eastAsia="Times New Roman"/>
                <w:lang w:eastAsia="en-US"/>
              </w:rPr>
              <w:t>2003-2008</w:t>
            </w:r>
          </w:p>
          <w:p w:rsidR="001D0FDA" w:rsidRPr="00EB1471" w:rsidRDefault="001D0FDA" w:rsidP="001D0FDA">
            <w:pPr>
              <w:pStyle w:val="Tabletext"/>
              <w:ind w:right="-28"/>
              <w:rPr>
                <w:rFonts w:eastAsia="Times New Roman"/>
                <w:lang w:eastAsia="en-US"/>
              </w:rPr>
            </w:pPr>
            <w:r w:rsidRPr="00EB1471">
              <w:rPr>
                <w:rFonts w:eastAsia="Times New Roman"/>
                <w:lang w:eastAsia="en-US"/>
              </w:rPr>
              <w:t xml:space="preserve">North, South, and Central America, Asia, Europe </w:t>
            </w:r>
          </w:p>
        </w:tc>
        <w:tc>
          <w:tcPr>
            <w:tcW w:w="1021" w:type="pct"/>
          </w:tcPr>
          <w:p w:rsidR="001D0FDA" w:rsidRPr="00EB1471" w:rsidRDefault="001D0FDA" w:rsidP="001D0FDA">
            <w:pPr>
              <w:pStyle w:val="Tabletext"/>
              <w:ind w:right="-28"/>
              <w:rPr>
                <w:rFonts w:eastAsia="Times New Roman"/>
                <w:snapToGrid w:val="0"/>
                <w:lang w:eastAsia="en-US"/>
              </w:rPr>
            </w:pPr>
            <w:r w:rsidRPr="00EB1471">
              <w:rPr>
                <w:rFonts w:eastAsia="Times New Roman"/>
                <w:snapToGrid w:val="0"/>
                <w:lang w:eastAsia="en-US"/>
              </w:rPr>
              <w:t>RCT, DB</w:t>
            </w:r>
          </w:p>
          <w:p w:rsidR="001D0FDA" w:rsidRPr="00EB1471" w:rsidRDefault="001D0FDA" w:rsidP="001D0FDA">
            <w:pPr>
              <w:pStyle w:val="Tabletext"/>
              <w:ind w:right="-28"/>
              <w:rPr>
                <w:rFonts w:eastAsia="Times New Roman"/>
                <w:snapToGrid w:val="0"/>
                <w:lang w:eastAsia="en-US"/>
              </w:rPr>
            </w:pPr>
            <w:r w:rsidRPr="00EB1471">
              <w:rPr>
                <w:rFonts w:eastAsia="Times New Roman"/>
                <w:snapToGrid w:val="0"/>
                <w:lang w:eastAsia="en-US"/>
              </w:rPr>
              <w:t>16 weeks</w:t>
            </w:r>
          </w:p>
        </w:tc>
        <w:tc>
          <w:tcPr>
            <w:tcW w:w="1261" w:type="pct"/>
          </w:tcPr>
          <w:p w:rsidR="001D0FDA" w:rsidRPr="00EB1471" w:rsidRDefault="001D0FDA" w:rsidP="001D0FDA">
            <w:pPr>
              <w:pStyle w:val="Tabletext"/>
              <w:ind w:right="-28"/>
              <w:rPr>
                <w:rFonts w:eastAsia="Times New Roman"/>
                <w:snapToGrid w:val="0"/>
                <w:lang w:eastAsia="en-US"/>
              </w:rPr>
            </w:pPr>
            <w:r>
              <w:rPr>
                <w:rFonts w:eastAsia="Times New Roman"/>
                <w:snapToGrid w:val="0"/>
                <w:lang w:eastAsia="en-US"/>
              </w:rPr>
              <w:t>N=234</w:t>
            </w:r>
          </w:p>
          <w:p w:rsidR="001D0FDA" w:rsidRPr="00EB1471" w:rsidRDefault="001D0FDA" w:rsidP="001D0FDA">
            <w:pPr>
              <w:pStyle w:val="Tabletext"/>
              <w:ind w:right="-28"/>
              <w:rPr>
                <w:rFonts w:eastAsia="Times New Roman"/>
                <w:snapToGrid w:val="0"/>
                <w:lang w:eastAsia="en-US"/>
              </w:rPr>
            </w:pPr>
            <w:r w:rsidRPr="00EB1471">
              <w:rPr>
                <w:rFonts w:eastAsia="Times New Roman"/>
                <w:snapToGrid w:val="0"/>
                <w:lang w:eastAsia="en-US"/>
              </w:rPr>
              <w:t>WHO FC I-IV</w:t>
            </w:r>
          </w:p>
          <w:p w:rsidR="001D0FDA" w:rsidRPr="00EB1471" w:rsidRDefault="001D0FDA" w:rsidP="001D0FDA">
            <w:pPr>
              <w:pStyle w:val="Tabletext"/>
              <w:ind w:right="-28"/>
              <w:rPr>
                <w:rFonts w:eastAsia="Times New Roman"/>
                <w:snapToGrid w:val="0"/>
                <w:lang w:eastAsia="en-US"/>
              </w:rPr>
            </w:pPr>
            <w:r w:rsidRPr="00EB1471">
              <w:rPr>
                <w:rFonts w:eastAsia="Times New Roman"/>
                <w:snapToGrid w:val="0"/>
                <w:lang w:eastAsia="en-US"/>
              </w:rPr>
              <w:t>IPAH, HPAH or PAH-CHD</w:t>
            </w:r>
          </w:p>
        </w:tc>
        <w:tc>
          <w:tcPr>
            <w:tcW w:w="1394" w:type="pct"/>
          </w:tcPr>
          <w:p w:rsidR="001D0FDA" w:rsidRPr="00EB1471" w:rsidRDefault="001D0FDA" w:rsidP="001D0FDA">
            <w:pPr>
              <w:pStyle w:val="Tabletext"/>
              <w:rPr>
                <w:rFonts w:eastAsia="Times New Roman"/>
                <w:snapToGrid w:val="0"/>
                <w:vertAlign w:val="superscript"/>
                <w:lang w:eastAsia="en-US"/>
              </w:rPr>
            </w:pPr>
            <w:r w:rsidRPr="00EB1471">
              <w:rPr>
                <w:rFonts w:eastAsia="Times New Roman"/>
                <w:snapToGrid w:val="0"/>
                <w:lang w:eastAsia="en-US"/>
              </w:rPr>
              <w:t>SIL at weight-based low, median or higher doses</w:t>
            </w:r>
            <w:r w:rsidRPr="00EB1471">
              <w:rPr>
                <w:rFonts w:eastAsia="Times New Roman"/>
                <w:snapToGrid w:val="0"/>
                <w:vertAlign w:val="superscript"/>
                <w:lang w:eastAsia="en-US"/>
              </w:rPr>
              <w:t>d</w:t>
            </w:r>
          </w:p>
          <w:p w:rsidR="001D0FDA" w:rsidRPr="00EB1471" w:rsidRDefault="001D0FDA" w:rsidP="001D0FDA">
            <w:pPr>
              <w:pStyle w:val="Tabletext"/>
              <w:rPr>
                <w:rFonts w:eastAsia="Times New Roman"/>
                <w:lang w:eastAsia="en-US"/>
              </w:rPr>
            </w:pPr>
            <w:r w:rsidRPr="00EB1471">
              <w:rPr>
                <w:rFonts w:eastAsia="Times New Roman"/>
                <w:snapToGrid w:val="0"/>
                <w:lang w:eastAsia="en-US"/>
              </w:rPr>
              <w:t>PBO</w:t>
            </w:r>
          </w:p>
        </w:tc>
      </w:tr>
      <w:tr w:rsidR="001D0FDA" w:rsidRPr="00EB1471" w:rsidTr="001D0FDA">
        <w:tc>
          <w:tcPr>
            <w:tcW w:w="1324" w:type="pct"/>
            <w:gridSpan w:val="2"/>
            <w:tcBorders>
              <w:bottom w:val="single" w:sz="4" w:space="0" w:color="auto"/>
            </w:tcBorders>
            <w:shd w:val="clear" w:color="auto" w:fill="auto"/>
            <w:tcMar>
              <w:left w:w="108" w:type="dxa"/>
              <w:right w:w="108" w:type="dxa"/>
            </w:tcMar>
          </w:tcPr>
          <w:p w:rsidR="001D0FDA" w:rsidRPr="00EB1471" w:rsidRDefault="001D0FDA" w:rsidP="001D0FDA">
            <w:pPr>
              <w:pStyle w:val="Tabletext"/>
              <w:ind w:right="-28"/>
              <w:rPr>
                <w:rFonts w:eastAsia="Times New Roman"/>
                <w:lang w:eastAsia="en-US"/>
              </w:rPr>
            </w:pPr>
            <w:r w:rsidRPr="00EB1471">
              <w:rPr>
                <w:rFonts w:eastAsia="Times New Roman"/>
                <w:lang w:eastAsia="en-US"/>
              </w:rPr>
              <w:t>SUPER-1</w:t>
            </w:r>
            <w:r w:rsidR="001D34EE" w:rsidRPr="001A1C44">
              <w:rPr>
                <w:rFonts w:eastAsia="Times New Roman"/>
                <w:noProof/>
                <w:vertAlign w:val="superscript"/>
                <w:lang w:eastAsia="en-US"/>
              </w:rPr>
              <w:t>53</w:t>
            </w:r>
          </w:p>
          <w:p w:rsidR="001D0FDA" w:rsidRPr="00EB1471" w:rsidRDefault="001D0FDA" w:rsidP="001D0FDA">
            <w:pPr>
              <w:pStyle w:val="Tabletext"/>
              <w:ind w:right="-28"/>
              <w:rPr>
                <w:rFonts w:eastAsia="Times New Roman"/>
              </w:rPr>
            </w:pPr>
            <w:r w:rsidRPr="00EB1471">
              <w:rPr>
                <w:rFonts w:eastAsia="Times New Roman"/>
                <w:lang w:eastAsia="en-US"/>
              </w:rPr>
              <w:t>2002-2003</w:t>
            </w:r>
          </w:p>
          <w:p w:rsidR="001D0FDA" w:rsidRPr="00EB1471" w:rsidRDefault="001D0FDA" w:rsidP="001D0FDA">
            <w:pPr>
              <w:pStyle w:val="Tabletext"/>
              <w:ind w:right="-28"/>
              <w:rPr>
                <w:rFonts w:eastAsia="Times New Roman"/>
                <w:lang w:eastAsia="en-US"/>
              </w:rPr>
            </w:pPr>
            <w:r w:rsidRPr="00EB1471">
              <w:rPr>
                <w:rFonts w:eastAsia="Times New Roman"/>
                <w:lang w:eastAsia="en-US"/>
              </w:rPr>
              <w:t>US, Mexico, South America, Europe, Asia, South Africa, Australia</w:t>
            </w:r>
          </w:p>
        </w:tc>
        <w:tc>
          <w:tcPr>
            <w:tcW w:w="1021" w:type="pct"/>
            <w:tcBorders>
              <w:bottom w:val="single" w:sz="4" w:space="0" w:color="auto"/>
            </w:tcBorders>
          </w:tcPr>
          <w:p w:rsidR="001D0FDA" w:rsidRPr="00EB1471" w:rsidRDefault="001D0FDA" w:rsidP="001D0FDA">
            <w:pPr>
              <w:pStyle w:val="Tabletext"/>
              <w:ind w:right="-28"/>
              <w:rPr>
                <w:rFonts w:eastAsia="Times New Roman"/>
                <w:lang w:eastAsia="en-US"/>
              </w:rPr>
            </w:pPr>
            <w:r w:rsidRPr="00EB1471">
              <w:rPr>
                <w:rFonts w:eastAsia="Times New Roman"/>
                <w:lang w:eastAsia="en-US"/>
              </w:rPr>
              <w:t>RCT, DB</w:t>
            </w:r>
          </w:p>
          <w:p w:rsidR="001D0FDA" w:rsidRPr="00EB1471" w:rsidRDefault="001D0FDA" w:rsidP="001D0FDA">
            <w:pPr>
              <w:pStyle w:val="Tabletext"/>
              <w:ind w:right="-28"/>
              <w:rPr>
                <w:rFonts w:eastAsia="Times New Roman"/>
                <w:snapToGrid w:val="0"/>
                <w:lang w:eastAsia="en-US"/>
              </w:rPr>
            </w:pPr>
            <w:r w:rsidRPr="00EB1471">
              <w:rPr>
                <w:rFonts w:eastAsia="Times New Roman"/>
                <w:lang w:eastAsia="en-US"/>
              </w:rPr>
              <w:t>12 weeks</w:t>
            </w:r>
          </w:p>
        </w:tc>
        <w:tc>
          <w:tcPr>
            <w:tcW w:w="1261" w:type="pct"/>
            <w:tcBorders>
              <w:bottom w:val="single" w:sz="4" w:space="0" w:color="auto"/>
            </w:tcBorders>
          </w:tcPr>
          <w:p w:rsidR="001D0FDA" w:rsidRPr="00EB1471" w:rsidRDefault="001D0FDA" w:rsidP="001D0FDA">
            <w:pPr>
              <w:pStyle w:val="Tabletext"/>
              <w:ind w:right="-28"/>
              <w:rPr>
                <w:rFonts w:eastAsia="Times New Roman"/>
                <w:lang w:eastAsia="en-US"/>
              </w:rPr>
            </w:pPr>
            <w:r w:rsidRPr="00EB1471">
              <w:rPr>
                <w:rFonts w:eastAsia="Times New Roman"/>
                <w:lang w:eastAsia="en-US"/>
              </w:rPr>
              <w:t>N=139</w:t>
            </w:r>
          </w:p>
          <w:p w:rsidR="001D0FDA" w:rsidRPr="00EB1471" w:rsidRDefault="001D0FDA" w:rsidP="001D0FDA">
            <w:pPr>
              <w:pStyle w:val="Tabletext"/>
              <w:ind w:right="-28"/>
              <w:rPr>
                <w:rFonts w:cs="Tahoma"/>
              </w:rPr>
            </w:pPr>
            <w:r w:rsidRPr="00EB1471">
              <w:rPr>
                <w:rFonts w:cs="Tahoma"/>
              </w:rPr>
              <w:t xml:space="preserve">WHO FC I-IV </w:t>
            </w:r>
          </w:p>
          <w:p w:rsidR="001D0FDA" w:rsidRPr="00EB1471" w:rsidRDefault="001D0FDA" w:rsidP="001D0FDA">
            <w:pPr>
              <w:pStyle w:val="Tabletext"/>
              <w:ind w:right="-28"/>
              <w:rPr>
                <w:rFonts w:eastAsia="Times New Roman"/>
                <w:snapToGrid w:val="0"/>
                <w:lang w:eastAsia="en-US"/>
              </w:rPr>
            </w:pPr>
            <w:r w:rsidRPr="00EB1471">
              <w:rPr>
                <w:rFonts w:cs="Tahoma"/>
              </w:rPr>
              <w:t>IPAH, PAH-CTD or PAH-CHD</w:t>
            </w:r>
          </w:p>
        </w:tc>
        <w:tc>
          <w:tcPr>
            <w:tcW w:w="1394" w:type="pct"/>
            <w:tcBorders>
              <w:bottom w:val="single" w:sz="4" w:space="0" w:color="auto"/>
            </w:tcBorders>
          </w:tcPr>
          <w:p w:rsidR="001D0FDA" w:rsidRPr="00EB1471" w:rsidRDefault="001D0FDA" w:rsidP="001D0FDA">
            <w:pPr>
              <w:pStyle w:val="Tabletext"/>
              <w:rPr>
                <w:rFonts w:eastAsia="Times New Roman"/>
                <w:lang w:eastAsia="en-US"/>
              </w:rPr>
            </w:pPr>
            <w:r w:rsidRPr="00EB1471">
              <w:rPr>
                <w:rFonts w:eastAsia="Times New Roman"/>
                <w:lang w:eastAsia="en-US"/>
              </w:rPr>
              <w:t>SIL 20mg tid</w:t>
            </w:r>
          </w:p>
          <w:p w:rsidR="001D0FDA" w:rsidRPr="00EB1471" w:rsidRDefault="001D0FDA" w:rsidP="001D0FDA">
            <w:pPr>
              <w:pStyle w:val="Tabletext"/>
              <w:rPr>
                <w:rFonts w:eastAsia="Times New Roman"/>
                <w:lang w:eastAsia="en-US"/>
              </w:rPr>
            </w:pPr>
            <w:r w:rsidRPr="00EB1471">
              <w:rPr>
                <w:rFonts w:eastAsia="Times New Roman"/>
                <w:lang w:eastAsia="en-US"/>
              </w:rPr>
              <w:t>PBO</w:t>
            </w:r>
          </w:p>
        </w:tc>
      </w:tr>
      <w:tr w:rsidR="001D0FDA" w:rsidRPr="006A1709" w:rsidTr="001D0FDA">
        <w:tc>
          <w:tcPr>
            <w:tcW w:w="2345" w:type="pct"/>
            <w:gridSpan w:val="3"/>
            <w:tcBorders>
              <w:right w:val="nil"/>
            </w:tcBorders>
            <w:shd w:val="clear" w:color="auto" w:fill="000000" w:themeFill="text1"/>
            <w:tcMar>
              <w:left w:w="108" w:type="dxa"/>
              <w:right w:w="108" w:type="dxa"/>
            </w:tcMar>
          </w:tcPr>
          <w:p w:rsidR="001D0FDA" w:rsidRPr="006A1709" w:rsidRDefault="001D0FDA" w:rsidP="001D0FDA">
            <w:pPr>
              <w:pStyle w:val="Tabletext"/>
              <w:ind w:right="-28"/>
              <w:rPr>
                <w:rFonts w:eastAsia="Times New Roman"/>
                <w:color w:val="FFFFFF" w:themeColor="background1"/>
                <w:lang w:eastAsia="en-US"/>
              </w:rPr>
            </w:pPr>
            <w:r w:rsidRPr="006A1709">
              <w:rPr>
                <w:rFonts w:eastAsia="Times New Roman"/>
                <w:b/>
                <w:color w:val="FFFFFF" w:themeColor="background1"/>
                <w:lang w:eastAsia="en-US"/>
              </w:rPr>
              <w:t>Observational studies</w:t>
            </w:r>
          </w:p>
        </w:tc>
        <w:tc>
          <w:tcPr>
            <w:tcW w:w="1261" w:type="pct"/>
            <w:tcBorders>
              <w:left w:val="nil"/>
              <w:right w:val="nil"/>
            </w:tcBorders>
            <w:shd w:val="clear" w:color="auto" w:fill="000000" w:themeFill="text1"/>
          </w:tcPr>
          <w:p w:rsidR="001D0FDA" w:rsidRPr="006A1709" w:rsidRDefault="001D0FDA" w:rsidP="001D0FDA">
            <w:pPr>
              <w:pStyle w:val="Tabletext"/>
              <w:ind w:right="-28"/>
              <w:rPr>
                <w:rFonts w:eastAsia="Times New Roman"/>
                <w:color w:val="FFFFFF" w:themeColor="background1"/>
                <w:lang w:eastAsia="en-US"/>
              </w:rPr>
            </w:pPr>
          </w:p>
        </w:tc>
        <w:tc>
          <w:tcPr>
            <w:tcW w:w="1394" w:type="pct"/>
            <w:tcBorders>
              <w:left w:val="nil"/>
            </w:tcBorders>
            <w:shd w:val="clear" w:color="auto" w:fill="000000" w:themeFill="text1"/>
          </w:tcPr>
          <w:p w:rsidR="001D0FDA" w:rsidRPr="006A1709" w:rsidRDefault="001D0FDA" w:rsidP="001D0FDA">
            <w:pPr>
              <w:pStyle w:val="Tabletext"/>
              <w:rPr>
                <w:rFonts w:eastAsia="Times New Roman"/>
                <w:color w:val="FFFFFF" w:themeColor="background1"/>
                <w:lang w:eastAsia="en-US"/>
              </w:rPr>
            </w:pP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ARIES extension study</w:t>
            </w:r>
            <w:r w:rsidR="001D34EE" w:rsidRPr="001A1C44">
              <w:rPr>
                <w:rFonts w:eastAsia="Times New Roman"/>
                <w:noProof/>
                <w:vertAlign w:val="superscript"/>
                <w:lang w:eastAsia="en-US"/>
              </w:rPr>
              <w:t>55</w:t>
            </w:r>
          </w:p>
          <w:p w:rsidR="001D0FDA" w:rsidRPr="008D73C9" w:rsidRDefault="001D0FDA" w:rsidP="001D0FDA">
            <w:pPr>
              <w:pStyle w:val="Tabletext"/>
              <w:ind w:right="-28"/>
              <w:rPr>
                <w:rFonts w:eastAsia="Times New Roman"/>
                <w:lang w:eastAsia="en-US"/>
              </w:rPr>
            </w:pPr>
            <w:r w:rsidRPr="008D73C9">
              <w:rPr>
                <w:rFonts w:eastAsia="Times New Roman"/>
                <w:lang w:eastAsia="en-US"/>
              </w:rPr>
              <w:t>No later than 2009</w:t>
            </w:r>
            <w:r w:rsidRPr="008D73C9">
              <w:rPr>
                <w:rFonts w:eastAsia="Times New Roman"/>
                <w:vertAlign w:val="superscript"/>
                <w:lang w:eastAsia="en-US"/>
              </w:rPr>
              <w:t>c</w:t>
            </w:r>
          </w:p>
          <w:p w:rsidR="001D0FDA" w:rsidRPr="008D73C9" w:rsidRDefault="001D0FDA" w:rsidP="001D0FDA">
            <w:pPr>
              <w:pStyle w:val="Tabletext"/>
              <w:ind w:right="-28"/>
              <w:rPr>
                <w:rFonts w:eastAsia="Times New Roman"/>
                <w:lang w:eastAsia="en-US"/>
              </w:rPr>
            </w:pPr>
            <w:r w:rsidRPr="008D73C9">
              <w:rPr>
                <w:rFonts w:eastAsia="Times New Roman"/>
                <w:lang w:eastAsia="en-US"/>
              </w:rPr>
              <w:t>US, Mexico, South America, Australia, Europe, Israel</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Prospective case series </w:t>
            </w:r>
          </w:p>
          <w:p w:rsidR="001D0FDA" w:rsidRPr="008D73C9" w:rsidRDefault="001D0FDA" w:rsidP="001D0FDA">
            <w:pPr>
              <w:pStyle w:val="Tabletext"/>
              <w:ind w:right="-28"/>
              <w:rPr>
                <w:rFonts w:eastAsia="Times New Roman"/>
                <w:lang w:eastAsia="en-US"/>
              </w:rPr>
            </w:pPr>
            <w:r w:rsidRPr="008D73C9">
              <w:rPr>
                <w:rFonts w:eastAsia="Times New Roman"/>
                <w:lang w:eastAsia="en-US"/>
              </w:rPr>
              <w:t>2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N=383</w:t>
            </w:r>
          </w:p>
          <w:p w:rsidR="001D0FDA" w:rsidRPr="008D73C9" w:rsidRDefault="001D0FDA" w:rsidP="001D0FDA">
            <w:pPr>
              <w:pStyle w:val="Tabletext"/>
              <w:ind w:right="-28"/>
              <w:rPr>
                <w:rFonts w:eastAsia="Times New Roman"/>
                <w:lang w:eastAsia="en-US"/>
              </w:rPr>
            </w:pPr>
            <w:r w:rsidRPr="008D73C9">
              <w:rPr>
                <w:rFonts w:eastAsia="Times New Roman"/>
                <w:lang w:eastAsia="en-US"/>
              </w:rPr>
              <w:t>WHO 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PAH-CTD, PAH-HIV or PAH-DT</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AMB 2.5mg, 5mg or 10mg od</w:t>
            </w:r>
          </w:p>
          <w:p w:rsidR="001D0FDA" w:rsidRPr="008D73C9" w:rsidRDefault="001D0FDA" w:rsidP="001D0FDA">
            <w:pPr>
              <w:pStyle w:val="Tabletext"/>
              <w:rPr>
                <w:rFonts w:eastAsia="Times New Roman"/>
                <w:lang w:eastAsia="en-US"/>
              </w:rPr>
            </w:pPr>
          </w:p>
          <w:p w:rsidR="001D0FDA" w:rsidRPr="008D73C9" w:rsidRDefault="001D0FDA" w:rsidP="001D0FDA">
            <w:pPr>
              <w:pStyle w:val="Tabletext"/>
              <w:rPr>
                <w:rFonts w:eastAsia="Times New Roman"/>
                <w:lang w:eastAsia="en-US"/>
              </w:rPr>
            </w:pPr>
            <w:r w:rsidRPr="008D73C9">
              <w:rPr>
                <w:rFonts w:eastAsia="Times New Roman"/>
                <w:lang w:eastAsia="en-US"/>
              </w:rPr>
              <w:t>Combination with SIL and/or PRO (18%)</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Dickinson 2009</w:t>
            </w:r>
            <w:r w:rsidR="001D34EE" w:rsidRPr="001A1C44">
              <w:rPr>
                <w:rFonts w:eastAsia="Times New Roman"/>
                <w:noProof/>
                <w:vertAlign w:val="superscript"/>
                <w:lang w:eastAsia="en-US"/>
              </w:rPr>
              <w:t>56</w:t>
            </w:r>
          </w:p>
          <w:p w:rsidR="001D0FDA" w:rsidRPr="008D73C9" w:rsidRDefault="001D0FDA" w:rsidP="001D0FDA">
            <w:pPr>
              <w:pStyle w:val="Tabletext"/>
              <w:ind w:right="-28"/>
              <w:rPr>
                <w:rFonts w:eastAsia="Times New Roman"/>
                <w:lang w:eastAsia="en-US"/>
              </w:rPr>
            </w:pPr>
            <w:r w:rsidRPr="008D73C9">
              <w:rPr>
                <w:rFonts w:eastAsia="Times New Roman"/>
                <w:lang w:eastAsia="en-US"/>
              </w:rPr>
              <w:t>1998-2006</w:t>
            </w:r>
          </w:p>
          <w:p w:rsidR="001D0FDA" w:rsidRPr="008D73C9" w:rsidRDefault="001D0FDA" w:rsidP="001D0FDA">
            <w:pPr>
              <w:pStyle w:val="Tabletext"/>
              <w:ind w:right="-28"/>
              <w:rPr>
                <w:rFonts w:eastAsia="Times New Roman"/>
                <w:lang w:eastAsia="en-US"/>
              </w:rPr>
            </w:pPr>
            <w:r w:rsidRPr="008D73C9">
              <w:rPr>
                <w:rFonts w:eastAsia="Times New Roman"/>
                <w:lang w:eastAsia="en-US"/>
              </w:rPr>
              <w:t>Netherlands</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2.6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N=111</w:t>
            </w:r>
          </w:p>
          <w:p w:rsidR="001D0FDA" w:rsidRPr="008D73C9" w:rsidRDefault="001D0FDA" w:rsidP="001D0FDA">
            <w:pPr>
              <w:pStyle w:val="Tabletext"/>
              <w:ind w:right="-28"/>
              <w:rPr>
                <w:rFonts w:eastAsia="Times New Roman"/>
                <w:lang w:eastAsia="en-US"/>
              </w:rPr>
            </w:pPr>
            <w:r w:rsidRPr="008D73C9">
              <w:rPr>
                <w:rFonts w:eastAsia="Times New Roman"/>
                <w:lang w:eastAsia="en-US"/>
              </w:rPr>
              <w:t>WHO II-IV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HPAH, PAH-CTD, PAH-CHD, PAH-PH, PAH-HIV, PAH-DT or PAH associated with Gaucher disease Type 1</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EPO</w:t>
            </w:r>
            <w:r>
              <w:rPr>
                <w:rFonts w:eastAsia="Times New Roman"/>
                <w:lang w:eastAsia="en-US"/>
              </w:rPr>
              <w:t xml:space="preserve"> (dose not stated)</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EARLY extension study</w:t>
            </w:r>
            <w:r w:rsidR="001D34EE" w:rsidRPr="001A1C44">
              <w:rPr>
                <w:rFonts w:eastAsia="Times New Roman"/>
                <w:noProof/>
                <w:vertAlign w:val="superscript"/>
                <w:lang w:eastAsia="en-US"/>
              </w:rPr>
              <w:t>57</w:t>
            </w:r>
          </w:p>
          <w:p w:rsidR="001D0FDA" w:rsidRPr="008D73C9" w:rsidRDefault="001D0FDA" w:rsidP="001D0FDA">
            <w:pPr>
              <w:pStyle w:val="Tabletext"/>
              <w:ind w:right="-28"/>
              <w:rPr>
                <w:rFonts w:eastAsia="Times New Roman"/>
                <w:lang w:eastAsia="en-US"/>
              </w:rPr>
            </w:pPr>
            <w:r w:rsidRPr="008D73C9">
              <w:rPr>
                <w:rFonts w:eastAsia="Times New Roman"/>
                <w:lang w:eastAsia="en-US"/>
              </w:rPr>
              <w:t>2004-2011</w:t>
            </w:r>
          </w:p>
          <w:p w:rsidR="001D0FDA" w:rsidRPr="008D73C9" w:rsidRDefault="001D0FDA" w:rsidP="001D0FDA">
            <w:pPr>
              <w:pStyle w:val="Tabletext"/>
              <w:ind w:right="-28"/>
              <w:rPr>
                <w:rFonts w:eastAsia="Times New Roman"/>
                <w:lang w:eastAsia="en-US"/>
              </w:rPr>
            </w:pPr>
            <w:r w:rsidRPr="008D73C9">
              <w:rPr>
                <w:rFonts w:eastAsia="Times New Roman"/>
                <w:lang w:eastAsia="en-US"/>
              </w:rPr>
              <w:t>US, Europe, Brazil</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4.3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N=173</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I-III</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PAH-CTD, PAH-CHD or PAH-HIV</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BOS 125mg bid</w:t>
            </w:r>
          </w:p>
          <w:p w:rsidR="001D0FDA" w:rsidRPr="008D73C9" w:rsidRDefault="001D0FDA" w:rsidP="001D0FDA">
            <w:pPr>
              <w:pStyle w:val="Tabletext"/>
              <w:rPr>
                <w:rFonts w:eastAsia="Times New Roman"/>
                <w:lang w:eastAsia="en-US"/>
              </w:rPr>
            </w:pPr>
          </w:p>
          <w:p w:rsidR="001D0FDA" w:rsidRPr="008D73C9" w:rsidRDefault="001D0FDA" w:rsidP="001D0FDA">
            <w:pPr>
              <w:pStyle w:val="Tabletext"/>
              <w:rPr>
                <w:rFonts w:eastAsia="Times New Roman"/>
                <w:lang w:eastAsia="en-US"/>
              </w:rPr>
            </w:pPr>
            <w:r w:rsidRPr="008D73C9">
              <w:rPr>
                <w:rFonts w:eastAsia="Times New Roman"/>
                <w:lang w:eastAsia="en-US"/>
              </w:rPr>
              <w:t>Combination with SIL and/or PRO (17%-46%)</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Hislop 2011</w:t>
            </w:r>
            <w:r w:rsidR="001D34EE" w:rsidRPr="001A1C44">
              <w:rPr>
                <w:rFonts w:eastAsia="Times New Roman"/>
                <w:noProof/>
                <w:vertAlign w:val="superscript"/>
                <w:lang w:eastAsia="en-US"/>
              </w:rPr>
              <w:t>58</w:t>
            </w:r>
          </w:p>
          <w:p w:rsidR="001D0FDA" w:rsidRPr="008D73C9" w:rsidRDefault="001D0FDA" w:rsidP="001D0FDA">
            <w:pPr>
              <w:pStyle w:val="Tabletext"/>
              <w:ind w:right="-28"/>
              <w:rPr>
                <w:rFonts w:eastAsia="Times New Roman"/>
                <w:lang w:eastAsia="en-US"/>
              </w:rPr>
            </w:pPr>
            <w:r w:rsidRPr="008D73C9">
              <w:rPr>
                <w:rFonts w:eastAsia="Times New Roman"/>
                <w:lang w:eastAsia="en-US"/>
              </w:rPr>
              <w:t>2002-2008</w:t>
            </w:r>
          </w:p>
          <w:p w:rsidR="001D0FDA" w:rsidRPr="008D73C9" w:rsidRDefault="001D0FDA" w:rsidP="001D0FDA">
            <w:pPr>
              <w:pStyle w:val="Tabletext"/>
              <w:ind w:right="-28"/>
              <w:rPr>
                <w:rFonts w:eastAsia="Times New Roman"/>
                <w:lang w:eastAsia="en-US"/>
              </w:rPr>
            </w:pPr>
            <w:r w:rsidRPr="008D73C9">
              <w:rPr>
                <w:rFonts w:eastAsia="Times New Roman"/>
                <w:lang w:eastAsia="en-US"/>
              </w:rPr>
              <w:t>UK</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2.6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N=101</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unknown</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or PAH-CHD</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BOS 15-125mg bid, according to body weight</w:t>
            </w:r>
            <w:r w:rsidRPr="008D73C9">
              <w:rPr>
                <w:rFonts w:eastAsia="Times New Roman"/>
                <w:vertAlign w:val="superscript"/>
                <w:lang w:eastAsia="en-US"/>
              </w:rPr>
              <w:t>e</w:t>
            </w:r>
          </w:p>
          <w:p w:rsidR="001D0FDA" w:rsidRPr="008D73C9" w:rsidRDefault="001D0FDA" w:rsidP="001D0FDA">
            <w:pPr>
              <w:pStyle w:val="Tabletext"/>
              <w:rPr>
                <w:rFonts w:eastAsia="Times New Roman"/>
                <w:lang w:eastAsia="en-US"/>
              </w:rPr>
            </w:pPr>
          </w:p>
          <w:p w:rsidR="001D0FDA" w:rsidRPr="008D73C9" w:rsidRDefault="001D0FDA" w:rsidP="001D0FDA">
            <w:pPr>
              <w:pStyle w:val="Tabletext"/>
              <w:rPr>
                <w:rFonts w:eastAsia="Times New Roman"/>
                <w:lang w:eastAsia="en-US"/>
              </w:rPr>
            </w:pPr>
            <w:r w:rsidRPr="008D73C9">
              <w:rPr>
                <w:rFonts w:eastAsia="Times New Roman"/>
                <w:lang w:eastAsia="en-US"/>
              </w:rPr>
              <w:t>Combination with SIL and/or EPO (34%-63%)</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Kallen 2008</w:t>
            </w:r>
            <w:r w:rsidR="001D34EE" w:rsidRPr="001A1C44">
              <w:rPr>
                <w:rFonts w:eastAsia="Times New Roman"/>
                <w:noProof/>
                <w:vertAlign w:val="superscript"/>
                <w:lang w:eastAsia="en-US"/>
              </w:rPr>
              <w:t>59</w:t>
            </w:r>
          </w:p>
          <w:p w:rsidR="001D0FDA" w:rsidRPr="008D73C9" w:rsidRDefault="001D0FDA" w:rsidP="001D0FDA">
            <w:pPr>
              <w:pStyle w:val="Tabletext"/>
              <w:ind w:right="-28"/>
              <w:rPr>
                <w:rFonts w:eastAsia="Times New Roman"/>
                <w:lang w:eastAsia="en-US"/>
              </w:rPr>
            </w:pPr>
            <w:r w:rsidRPr="008D73C9">
              <w:rPr>
                <w:rFonts w:eastAsia="Times New Roman"/>
                <w:lang w:eastAsia="en-US"/>
              </w:rPr>
              <w:t>2004-2006</w:t>
            </w:r>
          </w:p>
          <w:p w:rsidR="001D0FDA" w:rsidRPr="008D73C9" w:rsidRDefault="001D0FDA" w:rsidP="001D0FDA">
            <w:pPr>
              <w:pStyle w:val="Tabletext"/>
              <w:ind w:right="-28"/>
              <w:rPr>
                <w:rFonts w:eastAsia="Times New Roman"/>
                <w:lang w:eastAsia="en-US"/>
              </w:rPr>
            </w:pPr>
            <w:r w:rsidRPr="008D73C9">
              <w:rPr>
                <w:rFonts w:eastAsia="Times New Roman"/>
                <w:lang w:eastAsia="en-US"/>
              </w:rPr>
              <w:t>US</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4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N=195</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unknown</w:t>
            </w:r>
          </w:p>
          <w:p w:rsidR="001D0FDA" w:rsidRPr="008D73C9" w:rsidRDefault="001D0FDA" w:rsidP="001D0FDA">
            <w:pPr>
              <w:pStyle w:val="Tabletext"/>
              <w:ind w:right="-28"/>
              <w:rPr>
                <w:rFonts w:eastAsia="Times New Roman"/>
                <w:lang w:eastAsia="en-US"/>
              </w:rPr>
            </w:pPr>
            <w:r w:rsidRPr="008D73C9">
              <w:rPr>
                <w:rFonts w:eastAsia="Times New Roman"/>
                <w:lang w:eastAsia="en-US"/>
              </w:rPr>
              <w:t>PAH aetiology not specified</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EPO</w:t>
            </w:r>
            <w:r>
              <w:rPr>
                <w:rFonts w:eastAsia="Times New Roman"/>
                <w:lang w:eastAsia="en-US"/>
              </w:rPr>
              <w:t xml:space="preserve"> (dose not stated)</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Keogh 2011</w:t>
            </w:r>
            <w:r w:rsidR="001D34EE" w:rsidRPr="001A1C44">
              <w:rPr>
                <w:rFonts w:eastAsia="Times New Roman"/>
                <w:noProof/>
                <w:vertAlign w:val="superscript"/>
                <w:lang w:eastAsia="en-US"/>
              </w:rPr>
              <w:t>60</w:t>
            </w:r>
          </w:p>
          <w:p w:rsidR="001D0FDA" w:rsidRPr="008D73C9" w:rsidRDefault="001D0FDA" w:rsidP="001D0FDA">
            <w:pPr>
              <w:pStyle w:val="Tabletext"/>
              <w:ind w:right="-28"/>
              <w:rPr>
                <w:rFonts w:eastAsia="Times New Roman"/>
                <w:lang w:eastAsia="en-US"/>
              </w:rPr>
            </w:pPr>
            <w:r w:rsidRPr="008D73C9">
              <w:rPr>
                <w:rFonts w:eastAsia="Times New Roman"/>
                <w:lang w:eastAsia="en-US"/>
              </w:rPr>
              <w:t>2004-2007</w:t>
            </w:r>
          </w:p>
          <w:p w:rsidR="001D0FDA" w:rsidRPr="008D73C9" w:rsidRDefault="001D0FDA" w:rsidP="001D0FDA">
            <w:pPr>
              <w:pStyle w:val="Tabletext"/>
              <w:ind w:right="-28"/>
              <w:rPr>
                <w:rFonts w:eastAsia="Times New Roman"/>
                <w:lang w:eastAsia="en-US"/>
              </w:rPr>
            </w:pPr>
            <w:r w:rsidRPr="008D73C9">
              <w:rPr>
                <w:rFonts w:eastAsia="Times New Roman"/>
                <w:lang w:eastAsia="en-US"/>
              </w:rPr>
              <w:t>Australia</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Prospective case series </w:t>
            </w:r>
          </w:p>
          <w:p w:rsidR="001D0FDA" w:rsidRPr="008D73C9" w:rsidRDefault="001D0FDA" w:rsidP="001D0FDA">
            <w:pPr>
              <w:pStyle w:val="Tabletext"/>
              <w:ind w:right="-28"/>
              <w:rPr>
                <w:rFonts w:eastAsia="Times New Roman"/>
                <w:lang w:eastAsia="en-US"/>
              </w:rPr>
            </w:pPr>
            <w:r w:rsidRPr="008D73C9">
              <w:rPr>
                <w:rFonts w:eastAsia="Times New Roman"/>
                <w:lang w:eastAsia="en-US"/>
              </w:rPr>
              <w:t>2.1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N=528</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or PAH-CTD</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BOS</w:t>
            </w:r>
            <w:r>
              <w:rPr>
                <w:rFonts w:eastAsia="Times New Roman"/>
                <w:lang w:eastAsia="en-US"/>
              </w:rPr>
              <w:t xml:space="preserve"> (dose not stated)</w:t>
            </w:r>
          </w:p>
          <w:p w:rsidR="001D0FDA" w:rsidRPr="008D73C9" w:rsidRDefault="001D0FDA" w:rsidP="001D0FDA">
            <w:pPr>
              <w:pStyle w:val="Tabletext"/>
              <w:rPr>
                <w:rFonts w:eastAsia="Times New Roman"/>
                <w:lang w:eastAsia="en-US"/>
              </w:rPr>
            </w:pPr>
          </w:p>
          <w:p w:rsidR="001D0FDA" w:rsidRPr="008D73C9" w:rsidRDefault="001D0FDA" w:rsidP="001D0FDA">
            <w:pPr>
              <w:pStyle w:val="Tabletext"/>
              <w:rPr>
                <w:rFonts w:eastAsia="Times New Roman"/>
                <w:lang w:eastAsia="en-US"/>
              </w:rPr>
            </w:pPr>
            <w:r w:rsidRPr="008D73C9">
              <w:rPr>
                <w:rFonts w:eastAsia="Times New Roman"/>
                <w:lang w:eastAsia="en-US"/>
              </w:rPr>
              <w:t>Combination with SIL or PRO (11%)</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Kitterman 2012</w:t>
            </w:r>
            <w:r w:rsidR="001D34EE" w:rsidRPr="001A1C44">
              <w:rPr>
                <w:rFonts w:eastAsia="Times New Roman"/>
                <w:noProof/>
                <w:vertAlign w:val="superscript"/>
                <w:lang w:eastAsia="en-US"/>
              </w:rPr>
              <w:t>61</w:t>
            </w:r>
          </w:p>
          <w:p w:rsidR="001D0FDA" w:rsidRPr="008D73C9" w:rsidRDefault="001D0FDA" w:rsidP="001D0FDA">
            <w:pPr>
              <w:pStyle w:val="Tabletext"/>
              <w:ind w:right="-28"/>
              <w:rPr>
                <w:rFonts w:eastAsia="Times New Roman"/>
                <w:lang w:eastAsia="en-US"/>
              </w:rPr>
            </w:pPr>
            <w:r w:rsidRPr="008D73C9">
              <w:rPr>
                <w:rFonts w:eastAsia="Times New Roman"/>
                <w:lang w:eastAsia="en-US"/>
              </w:rPr>
              <w:lastRenderedPageBreak/>
              <w:t>2006-2010</w:t>
            </w:r>
          </w:p>
          <w:p w:rsidR="001D0FDA" w:rsidRPr="008D73C9" w:rsidRDefault="001D0FDA" w:rsidP="001D0FDA">
            <w:pPr>
              <w:pStyle w:val="Tabletext"/>
              <w:ind w:right="-28"/>
              <w:rPr>
                <w:rFonts w:eastAsia="Times New Roman"/>
                <w:lang w:eastAsia="en-US"/>
              </w:rPr>
            </w:pPr>
            <w:r w:rsidRPr="008D73C9">
              <w:rPr>
                <w:rFonts w:eastAsia="Times New Roman"/>
                <w:lang w:eastAsia="en-US"/>
              </w:rPr>
              <w:t>US</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lastRenderedPageBreak/>
              <w:t xml:space="preserve">Prospective case </w:t>
            </w:r>
            <w:r w:rsidRPr="008D73C9">
              <w:rPr>
                <w:rFonts w:eastAsia="Times New Roman"/>
                <w:lang w:eastAsia="en-US"/>
              </w:rPr>
              <w:lastRenderedPageBreak/>
              <w:t>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2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lastRenderedPageBreak/>
              <w:t>N=1,146</w:t>
            </w:r>
          </w:p>
          <w:p w:rsidR="001D0FDA" w:rsidRPr="008D73C9" w:rsidRDefault="001D0FDA" w:rsidP="001D0FDA">
            <w:pPr>
              <w:pStyle w:val="Tabletext"/>
              <w:ind w:right="-28"/>
              <w:rPr>
                <w:rFonts w:eastAsia="Times New Roman"/>
                <w:lang w:eastAsia="en-US"/>
              </w:rPr>
            </w:pPr>
            <w:r w:rsidRPr="008D73C9">
              <w:rPr>
                <w:rFonts w:eastAsia="Times New Roman"/>
                <w:lang w:eastAsia="en-US"/>
              </w:rPr>
              <w:lastRenderedPageBreak/>
              <w:t>WHO FC 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HPAH, PAH-CTD, PAH-CHD, PAH-PH, PAH-DT, PAH-HIV, other associated PAH or PVOD</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lastRenderedPageBreak/>
              <w:t>EPO or TRE</w:t>
            </w:r>
            <w:r>
              <w:rPr>
                <w:rFonts w:eastAsia="Times New Roman"/>
                <w:lang w:eastAsia="en-US"/>
              </w:rPr>
              <w:t xml:space="preserve"> (dose not stated)</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lastRenderedPageBreak/>
              <w:t>McLaughlin 2002</w:t>
            </w:r>
            <w:r w:rsidR="001D34EE" w:rsidRPr="001A1C44">
              <w:rPr>
                <w:rFonts w:eastAsia="Times New Roman"/>
                <w:noProof/>
                <w:vertAlign w:val="superscript"/>
                <w:lang w:eastAsia="en-US"/>
              </w:rPr>
              <w:t>62</w:t>
            </w:r>
          </w:p>
          <w:p w:rsidR="001D0FDA" w:rsidRPr="008D73C9" w:rsidRDefault="001D0FDA" w:rsidP="001D0FDA">
            <w:pPr>
              <w:pStyle w:val="Tabletext"/>
              <w:ind w:right="-28"/>
              <w:rPr>
                <w:rFonts w:eastAsia="Times New Roman"/>
                <w:lang w:eastAsia="en-US"/>
              </w:rPr>
            </w:pPr>
            <w:r w:rsidRPr="008D73C9">
              <w:rPr>
                <w:rFonts w:eastAsia="Times New Roman"/>
                <w:lang w:eastAsia="en-US"/>
              </w:rPr>
              <w:t>1991-2001</w:t>
            </w:r>
          </w:p>
          <w:p w:rsidR="001D0FDA" w:rsidRPr="008D73C9" w:rsidRDefault="001D0FDA" w:rsidP="001D0FDA">
            <w:pPr>
              <w:pStyle w:val="Tabletext"/>
              <w:ind w:right="-28"/>
              <w:rPr>
                <w:rFonts w:eastAsia="Times New Roman"/>
                <w:lang w:eastAsia="en-US"/>
              </w:rPr>
            </w:pPr>
            <w:r w:rsidRPr="008D73C9">
              <w:rPr>
                <w:rFonts w:eastAsia="Times New Roman"/>
                <w:lang w:eastAsia="en-US"/>
              </w:rPr>
              <w:t>US</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Case series (unclear if retrospective or prospective)</w:t>
            </w:r>
          </w:p>
          <w:p w:rsidR="001D0FDA" w:rsidRPr="008D73C9" w:rsidRDefault="001D0FDA" w:rsidP="001D0FDA">
            <w:pPr>
              <w:pStyle w:val="Tabletext"/>
              <w:ind w:right="-28"/>
              <w:rPr>
                <w:rFonts w:eastAsia="Times New Roman"/>
                <w:lang w:eastAsia="en-US"/>
              </w:rPr>
            </w:pPr>
            <w:r w:rsidRPr="008D73C9">
              <w:rPr>
                <w:rFonts w:eastAsia="Times New Roman"/>
                <w:lang w:eastAsia="en-US"/>
              </w:rPr>
              <w:t>2.6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N=162</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HPAH or PAH-DT</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EPO</w:t>
            </w:r>
            <w:r>
              <w:rPr>
                <w:rFonts w:eastAsia="Times New Roman"/>
                <w:lang w:eastAsia="en-US"/>
              </w:rPr>
              <w:t xml:space="preserve"> dose titrated to </w:t>
            </w:r>
            <w:r w:rsidRPr="00E9288F">
              <w:rPr>
                <w:rFonts w:eastAsia="Times New Roman"/>
                <w:lang w:eastAsia="en-US"/>
              </w:rPr>
              <w:t>a maximum tolerated dose</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Oudiz 2004</w:t>
            </w:r>
            <w:r w:rsidR="001D34EE" w:rsidRPr="001A1C44">
              <w:rPr>
                <w:rFonts w:eastAsia="Times New Roman"/>
                <w:noProof/>
                <w:vertAlign w:val="superscript"/>
                <w:lang w:eastAsia="en-US"/>
              </w:rPr>
              <w:t>63</w:t>
            </w:r>
          </w:p>
          <w:p w:rsidR="001D0FDA" w:rsidRPr="008D73C9" w:rsidRDefault="001D0FDA" w:rsidP="001D0FDA">
            <w:pPr>
              <w:pStyle w:val="Tabletext"/>
              <w:ind w:right="-28"/>
              <w:rPr>
                <w:rFonts w:eastAsia="Times New Roman"/>
                <w:lang w:eastAsia="en-US"/>
              </w:rPr>
            </w:pPr>
            <w:r w:rsidRPr="008D73C9">
              <w:rPr>
                <w:rFonts w:eastAsia="Times New Roman"/>
                <w:lang w:eastAsia="en-US"/>
              </w:rPr>
              <w:t>1987-2000</w:t>
            </w:r>
          </w:p>
          <w:p w:rsidR="001D0FDA" w:rsidRPr="008D73C9" w:rsidRDefault="001D0FDA" w:rsidP="001D0FDA">
            <w:pPr>
              <w:pStyle w:val="Tabletext"/>
              <w:ind w:right="-28"/>
              <w:rPr>
                <w:rFonts w:eastAsia="Times New Roman"/>
                <w:lang w:eastAsia="en-US"/>
              </w:rPr>
            </w:pPr>
            <w:r w:rsidRPr="008D73C9">
              <w:rPr>
                <w:rFonts w:eastAsia="Times New Roman"/>
                <w:lang w:eastAsia="en-US"/>
              </w:rPr>
              <w:t>US</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Retrospective and prospective case series </w:t>
            </w:r>
          </w:p>
          <w:p w:rsidR="001D0FDA" w:rsidRPr="008D73C9" w:rsidRDefault="001D0FDA" w:rsidP="001D0FDA">
            <w:pPr>
              <w:pStyle w:val="Tabletext"/>
              <w:ind w:right="-28"/>
              <w:rPr>
                <w:rFonts w:eastAsia="Times New Roman"/>
                <w:lang w:eastAsia="en-US"/>
              </w:rPr>
            </w:pPr>
            <w:r w:rsidRPr="008D73C9">
              <w:rPr>
                <w:rFonts w:eastAsia="Times New Roman"/>
                <w:lang w:eastAsia="en-US"/>
              </w:rPr>
              <w:t>3.6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N=192</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unknown</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PAH-CTD, PAH-CHD, PAH-PH or PAH-HIV</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EPO</w:t>
            </w:r>
            <w:r>
              <w:rPr>
                <w:rFonts w:eastAsia="Times New Roman"/>
                <w:lang w:eastAsia="en-US"/>
              </w:rPr>
              <w:t xml:space="preserve"> (dose not stated)</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PACES extension study</w:t>
            </w:r>
            <w:r w:rsidR="001D34EE" w:rsidRPr="001A1C44">
              <w:rPr>
                <w:rFonts w:eastAsia="Times New Roman"/>
                <w:noProof/>
                <w:vertAlign w:val="superscript"/>
                <w:lang w:eastAsia="en-US"/>
              </w:rPr>
              <w:t>64</w:t>
            </w:r>
          </w:p>
          <w:p w:rsidR="001D0FDA" w:rsidRPr="008D73C9" w:rsidRDefault="001D0FDA" w:rsidP="001D0FDA">
            <w:pPr>
              <w:pStyle w:val="Tabletext"/>
              <w:ind w:right="-28"/>
              <w:rPr>
                <w:rFonts w:eastAsia="Times New Roman"/>
                <w:lang w:eastAsia="en-US"/>
              </w:rPr>
            </w:pPr>
            <w:r w:rsidRPr="008D73C9">
              <w:rPr>
                <w:rFonts w:eastAsia="Times New Roman"/>
                <w:lang w:eastAsia="en-US"/>
              </w:rPr>
              <w:t>2003-2009</w:t>
            </w:r>
          </w:p>
          <w:p w:rsidR="001D0FDA" w:rsidRPr="008D73C9" w:rsidRDefault="001D0FDA" w:rsidP="001D0FDA">
            <w:pPr>
              <w:pStyle w:val="Tabletext"/>
              <w:ind w:right="-28"/>
              <w:rPr>
                <w:rFonts w:eastAsia="Times New Roman"/>
                <w:lang w:eastAsia="en-US"/>
              </w:rPr>
            </w:pPr>
            <w:r w:rsidRPr="008D73C9">
              <w:rPr>
                <w:rFonts w:eastAsia="Times New Roman"/>
                <w:lang w:eastAsia="en-US"/>
              </w:rPr>
              <w:t>US, Canada, Europe, Israel</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3.2 years </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N=265</w:t>
            </w:r>
          </w:p>
          <w:p w:rsidR="001D0FDA" w:rsidRPr="008D73C9" w:rsidRDefault="001D0FDA" w:rsidP="001D0FDA">
            <w:pPr>
              <w:pStyle w:val="Tabletext"/>
              <w:ind w:right="-28"/>
              <w:rPr>
                <w:rFonts w:eastAsia="Times New Roman"/>
                <w:lang w:eastAsia="en-US"/>
              </w:rPr>
            </w:pPr>
            <w:r w:rsidRPr="008D73C9">
              <w:rPr>
                <w:rFonts w:eastAsia="Times New Roman"/>
                <w:lang w:eastAsia="en-US"/>
              </w:rPr>
              <w:t>WHO 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or PAH-CTD</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SIL</w:t>
            </w:r>
            <w:r>
              <w:rPr>
                <w:rFonts w:eastAsia="Times New Roman"/>
                <w:lang w:eastAsia="en-US"/>
              </w:rPr>
              <w:t xml:space="preserve"> </w:t>
            </w:r>
            <w:r w:rsidRPr="008D73C9">
              <w:rPr>
                <w:rFonts w:eastAsia="Times New Roman"/>
                <w:lang w:eastAsia="en-US"/>
              </w:rPr>
              <w:t>20-80mg tid +EPO</w:t>
            </w:r>
            <w:r>
              <w:rPr>
                <w:rFonts w:eastAsia="Times New Roman"/>
                <w:lang w:eastAsia="en-US"/>
              </w:rPr>
              <w:t xml:space="preserve"> (dose not stated)</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PATENT extension study</w:t>
            </w:r>
            <w:r w:rsidR="001D34EE" w:rsidRPr="001A1C44">
              <w:rPr>
                <w:rFonts w:eastAsia="Times New Roman"/>
                <w:noProof/>
                <w:vertAlign w:val="superscript"/>
                <w:lang w:eastAsia="en-US"/>
              </w:rPr>
              <w:t>65</w:t>
            </w:r>
          </w:p>
          <w:p w:rsidR="001D0FDA" w:rsidRPr="008D73C9" w:rsidRDefault="001D0FDA" w:rsidP="001D0FDA">
            <w:pPr>
              <w:pStyle w:val="Tabletext"/>
              <w:ind w:right="-28"/>
              <w:rPr>
                <w:rFonts w:eastAsia="Times New Roman"/>
                <w:lang w:eastAsia="en-US"/>
              </w:rPr>
            </w:pPr>
            <w:r w:rsidRPr="008D73C9">
              <w:rPr>
                <w:rFonts w:eastAsia="Times New Roman"/>
                <w:lang w:eastAsia="en-US"/>
              </w:rPr>
              <w:t>2009-2014</w:t>
            </w:r>
          </w:p>
          <w:p w:rsidR="001D0FDA" w:rsidRPr="008D73C9" w:rsidRDefault="001D0FDA" w:rsidP="001D0FDA">
            <w:pPr>
              <w:pStyle w:val="Tabletext"/>
              <w:ind w:right="-28"/>
              <w:rPr>
                <w:rFonts w:eastAsia="Times New Roman"/>
                <w:lang w:eastAsia="en-US"/>
              </w:rPr>
            </w:pPr>
            <w:r w:rsidRPr="008D73C9">
              <w:rPr>
                <w:rFonts w:eastAsia="Times New Roman"/>
                <w:lang w:eastAsia="en-US"/>
              </w:rPr>
              <w:t>North America,  South America, Asia, Europe, Australia</w:t>
            </w:r>
            <w:r w:rsidRPr="008D73C9">
              <w:rPr>
                <w:rFonts w:eastAsia="Times New Roman"/>
                <w:lang w:eastAsia="en-US"/>
              </w:rPr>
              <w:tab/>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2.7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N=396</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HPAH, PAH-CTD, PAH-CHD, PAH-PH, PAH-DT</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RIO up to 2.5mg tid</w:t>
            </w:r>
          </w:p>
          <w:p w:rsidR="001D0FDA" w:rsidRPr="008D73C9" w:rsidRDefault="001D0FDA" w:rsidP="001D0FDA">
            <w:pPr>
              <w:pStyle w:val="Tabletext"/>
              <w:rPr>
                <w:rFonts w:eastAsia="Times New Roman"/>
                <w:lang w:eastAsia="en-US"/>
              </w:rPr>
            </w:pPr>
          </w:p>
          <w:p w:rsidR="001D0FDA" w:rsidRPr="008D73C9" w:rsidRDefault="001D0FDA" w:rsidP="001D0FDA">
            <w:pPr>
              <w:pStyle w:val="Tabletext"/>
              <w:rPr>
                <w:rFonts w:eastAsia="Times New Roman"/>
                <w:lang w:eastAsia="en-US"/>
              </w:rPr>
            </w:pPr>
            <w:r w:rsidRPr="008D73C9">
              <w:rPr>
                <w:rFonts w:eastAsia="Times New Roman"/>
                <w:lang w:eastAsia="en-US"/>
              </w:rPr>
              <w:t>Combination with ERA and/or PRO (50%-55%)</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Provencher 2006</w:t>
            </w:r>
            <w:r w:rsidR="001D34EE" w:rsidRPr="001A1C44">
              <w:rPr>
                <w:rFonts w:eastAsia="Times New Roman"/>
                <w:noProof/>
                <w:vertAlign w:val="superscript"/>
                <w:lang w:eastAsia="en-US"/>
              </w:rPr>
              <w:t>66</w:t>
            </w:r>
          </w:p>
          <w:p w:rsidR="001D0FDA" w:rsidRPr="008D73C9" w:rsidRDefault="001D0FDA" w:rsidP="001D0FDA">
            <w:pPr>
              <w:pStyle w:val="Tabletext"/>
              <w:ind w:right="-28"/>
              <w:rPr>
                <w:rFonts w:eastAsia="Times New Roman"/>
                <w:lang w:eastAsia="en-US"/>
              </w:rPr>
            </w:pPr>
            <w:r w:rsidRPr="008D73C9">
              <w:rPr>
                <w:rFonts w:eastAsia="Times New Roman"/>
                <w:lang w:eastAsia="en-US"/>
              </w:rPr>
              <w:t>1999-2004</w:t>
            </w:r>
          </w:p>
          <w:p w:rsidR="001D0FDA" w:rsidRPr="008D73C9" w:rsidRDefault="001D0FDA" w:rsidP="001D0FDA">
            <w:pPr>
              <w:pStyle w:val="Tabletext"/>
              <w:ind w:right="-28"/>
              <w:rPr>
                <w:rFonts w:eastAsia="Times New Roman"/>
                <w:lang w:eastAsia="en-US"/>
              </w:rPr>
            </w:pPr>
            <w:r w:rsidRPr="008D73C9">
              <w:rPr>
                <w:rFonts w:eastAsia="Times New Roman"/>
                <w:lang w:eastAsia="en-US"/>
              </w:rPr>
              <w:t>France</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2.0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N=103</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 xml:space="preserve">BOS 125mg bid </w:t>
            </w:r>
          </w:p>
          <w:p w:rsidR="001D0FDA" w:rsidRPr="008D73C9" w:rsidRDefault="001D0FDA" w:rsidP="001D0FDA">
            <w:pPr>
              <w:pStyle w:val="Tabletext"/>
              <w:rPr>
                <w:rFonts w:eastAsia="Times New Roman"/>
                <w:lang w:eastAsia="en-US"/>
              </w:rPr>
            </w:pPr>
          </w:p>
          <w:p w:rsidR="001D0FDA" w:rsidRPr="008D73C9" w:rsidRDefault="001D0FDA" w:rsidP="001D0FDA">
            <w:pPr>
              <w:pStyle w:val="Tabletext"/>
              <w:rPr>
                <w:rFonts w:eastAsia="Times New Roman"/>
                <w:lang w:eastAsia="en-US"/>
              </w:rPr>
            </w:pPr>
            <w:r w:rsidRPr="008D73C9">
              <w:rPr>
                <w:rFonts w:eastAsia="Times New Roman"/>
                <w:lang w:eastAsia="en-US"/>
              </w:rPr>
              <w:t>Combination with PRO (44%)</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Sastry 2007</w:t>
            </w:r>
            <w:r w:rsidR="001D34EE" w:rsidRPr="001A1C44">
              <w:rPr>
                <w:rFonts w:eastAsia="Times New Roman"/>
                <w:noProof/>
                <w:vertAlign w:val="superscript"/>
                <w:lang w:eastAsia="en-US"/>
              </w:rPr>
              <w:t>52</w:t>
            </w:r>
          </w:p>
          <w:p w:rsidR="001D0FDA" w:rsidRPr="008D73C9" w:rsidRDefault="001D0FDA" w:rsidP="001D0FDA">
            <w:pPr>
              <w:pStyle w:val="Tabletext"/>
              <w:ind w:right="-28"/>
              <w:rPr>
                <w:rFonts w:eastAsia="Times New Roman"/>
                <w:lang w:eastAsia="en-US"/>
              </w:rPr>
            </w:pPr>
            <w:r w:rsidRPr="008D73C9">
              <w:rPr>
                <w:rFonts w:eastAsia="Times New Roman"/>
                <w:lang w:eastAsia="en-US"/>
              </w:rPr>
              <w:t>1999-2006</w:t>
            </w:r>
          </w:p>
          <w:p w:rsidR="001D0FDA" w:rsidRPr="008D73C9" w:rsidRDefault="001D0FDA" w:rsidP="001D0FDA">
            <w:pPr>
              <w:pStyle w:val="Tabletext"/>
              <w:ind w:right="-28"/>
              <w:rPr>
                <w:rFonts w:eastAsia="Times New Roman"/>
                <w:lang w:eastAsia="en-US"/>
              </w:rPr>
            </w:pPr>
            <w:r w:rsidRPr="008D73C9">
              <w:rPr>
                <w:rFonts w:eastAsia="Times New Roman"/>
                <w:lang w:eastAsia="en-US"/>
              </w:rPr>
              <w:t>India</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Historical control study</w:t>
            </w:r>
          </w:p>
          <w:p w:rsidR="001D0FDA" w:rsidRPr="008D73C9" w:rsidRDefault="001D0FDA" w:rsidP="001D0FDA">
            <w:pPr>
              <w:pStyle w:val="Tabletext"/>
              <w:ind w:right="-28"/>
              <w:rPr>
                <w:rFonts w:eastAsia="Times New Roman"/>
                <w:lang w:eastAsia="en-US"/>
              </w:rPr>
            </w:pPr>
            <w:r w:rsidRPr="008D73C9">
              <w:rPr>
                <w:rFonts w:eastAsia="Times New Roman"/>
                <w:lang w:eastAsia="en-US"/>
              </w:rPr>
              <w:t>Up to 5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N=178</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SIL 25-50mg</w:t>
            </w:r>
            <w:r>
              <w:rPr>
                <w:rFonts w:eastAsia="Times New Roman"/>
                <w:lang w:eastAsia="en-US"/>
              </w:rPr>
              <w:t xml:space="preserve"> tid</w:t>
            </w:r>
          </w:p>
          <w:p w:rsidR="001D0FDA" w:rsidRPr="008D73C9" w:rsidRDefault="001D0FDA" w:rsidP="001D0FDA">
            <w:pPr>
              <w:pStyle w:val="Tabletext"/>
              <w:rPr>
                <w:rFonts w:eastAsia="Times New Roman"/>
                <w:lang w:eastAsia="en-US"/>
              </w:rPr>
            </w:pPr>
            <w:r w:rsidRPr="008D73C9">
              <w:rPr>
                <w:rFonts w:eastAsia="Times New Roman"/>
                <w:lang w:eastAsia="en-US"/>
              </w:rPr>
              <w:t>Conventional therapy</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Sitbon 2002</w:t>
            </w:r>
            <w:r w:rsidR="001D34EE" w:rsidRPr="001A1C44">
              <w:rPr>
                <w:rFonts w:eastAsia="Times New Roman"/>
                <w:noProof/>
                <w:vertAlign w:val="superscript"/>
                <w:lang w:eastAsia="en-US"/>
              </w:rPr>
              <w:t>67</w:t>
            </w:r>
          </w:p>
          <w:p w:rsidR="001D0FDA" w:rsidRPr="008D73C9" w:rsidRDefault="001D0FDA" w:rsidP="001D0FDA">
            <w:pPr>
              <w:pStyle w:val="Tabletext"/>
              <w:ind w:right="-28"/>
              <w:rPr>
                <w:rFonts w:eastAsia="Times New Roman"/>
                <w:lang w:eastAsia="en-US"/>
              </w:rPr>
            </w:pPr>
            <w:r w:rsidRPr="008D73C9">
              <w:rPr>
                <w:rFonts w:eastAsia="Times New Roman"/>
                <w:lang w:eastAsia="en-US"/>
              </w:rPr>
              <w:t>1992-2001</w:t>
            </w:r>
          </w:p>
          <w:p w:rsidR="001D0FDA" w:rsidRPr="008D73C9" w:rsidRDefault="001D0FDA" w:rsidP="001D0FDA">
            <w:pPr>
              <w:pStyle w:val="Tabletext"/>
              <w:ind w:right="-28"/>
              <w:rPr>
                <w:rFonts w:eastAsia="Times New Roman"/>
                <w:lang w:eastAsia="en-US"/>
              </w:rPr>
            </w:pPr>
            <w:r w:rsidRPr="008D73C9">
              <w:rPr>
                <w:rFonts w:eastAsia="Times New Roman"/>
                <w:lang w:eastAsia="en-US"/>
              </w:rPr>
              <w:t>France</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2.2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N=178</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HPAH or PPAH-DT</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EPO</w:t>
            </w:r>
            <w:r>
              <w:rPr>
                <w:rFonts w:eastAsia="Times New Roman"/>
                <w:lang w:eastAsia="en-US"/>
              </w:rPr>
              <w:t xml:space="preserve"> dose adjusted </w:t>
            </w:r>
            <w:r w:rsidRPr="00E9288F">
              <w:rPr>
                <w:rFonts w:eastAsia="Times New Roman"/>
                <w:lang w:eastAsia="en-US"/>
              </w:rPr>
              <w:t xml:space="preserve">based on clinical symptoms, </w:t>
            </w:r>
            <w:r>
              <w:rPr>
                <w:rFonts w:eastAsia="Times New Roman"/>
                <w:lang w:eastAsia="en-US"/>
              </w:rPr>
              <w:t>exercise capability, and hae</w:t>
            </w:r>
            <w:r w:rsidRPr="00E9288F">
              <w:rPr>
                <w:rFonts w:eastAsia="Times New Roman"/>
                <w:lang w:eastAsia="en-US"/>
              </w:rPr>
              <w:t>modynamic measurements</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Sitbon 2016</w:t>
            </w:r>
            <w:r w:rsidR="001D34EE" w:rsidRPr="001A1C44">
              <w:rPr>
                <w:rFonts w:eastAsia="Times New Roman"/>
                <w:noProof/>
                <w:vertAlign w:val="superscript"/>
                <w:lang w:eastAsia="en-US"/>
              </w:rPr>
              <w:t>68</w:t>
            </w:r>
          </w:p>
          <w:p w:rsidR="001D0FDA" w:rsidRPr="008D73C9" w:rsidRDefault="001D0FDA" w:rsidP="001D0FDA">
            <w:pPr>
              <w:pStyle w:val="Tabletext"/>
              <w:ind w:right="-28"/>
              <w:rPr>
                <w:rFonts w:eastAsia="Times New Roman"/>
                <w:lang w:eastAsia="en-US"/>
              </w:rPr>
            </w:pPr>
            <w:r w:rsidRPr="008D73C9">
              <w:rPr>
                <w:rFonts w:eastAsia="Times New Roman"/>
                <w:lang w:eastAsia="en-US"/>
              </w:rPr>
              <w:t>2007-2013</w:t>
            </w:r>
          </w:p>
          <w:p w:rsidR="001D0FDA" w:rsidRPr="008D73C9" w:rsidRDefault="001D0FDA" w:rsidP="001D0FDA">
            <w:pPr>
              <w:pStyle w:val="Tabletext"/>
              <w:ind w:right="-28"/>
              <w:rPr>
                <w:rFonts w:eastAsia="Times New Roman"/>
                <w:lang w:eastAsia="en-US"/>
              </w:rPr>
            </w:pPr>
            <w:r w:rsidRPr="008D73C9">
              <w:rPr>
                <w:rFonts w:eastAsia="Times New Roman"/>
                <w:lang w:eastAsia="en-US"/>
              </w:rPr>
              <w:t>France</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2.5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N=97</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HPAH, PAH-CTD, PAH-CHD, PAH-DT, PAH-PH or PAH-HIV</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BOS/AMB+SIL/TAD</w:t>
            </w:r>
          </w:p>
          <w:p w:rsidR="001D0FDA" w:rsidRPr="008D73C9" w:rsidRDefault="001D0FDA" w:rsidP="001D0FDA">
            <w:pPr>
              <w:pStyle w:val="Tabletext"/>
              <w:rPr>
                <w:rFonts w:eastAsia="Times New Roman"/>
                <w:lang w:eastAsia="en-US"/>
              </w:rPr>
            </w:pPr>
            <w:r w:rsidRPr="008D73C9">
              <w:rPr>
                <w:rFonts w:eastAsia="Times New Roman"/>
                <w:lang w:eastAsia="en-US"/>
              </w:rPr>
              <w:t>BOS 125mg bid</w:t>
            </w:r>
          </w:p>
          <w:p w:rsidR="001D0FDA" w:rsidRPr="008D73C9" w:rsidRDefault="001D0FDA" w:rsidP="001D0FDA">
            <w:pPr>
              <w:pStyle w:val="Tabletext"/>
              <w:rPr>
                <w:rFonts w:eastAsia="Times New Roman"/>
                <w:lang w:eastAsia="en-US"/>
              </w:rPr>
            </w:pPr>
            <w:r w:rsidRPr="008D73C9">
              <w:rPr>
                <w:rFonts w:eastAsia="Times New Roman"/>
                <w:lang w:eastAsia="en-US"/>
              </w:rPr>
              <w:t>AMB 5mg or 10mg od</w:t>
            </w:r>
          </w:p>
          <w:p w:rsidR="001D0FDA" w:rsidRPr="008D73C9" w:rsidRDefault="001D0FDA" w:rsidP="001D0FDA">
            <w:pPr>
              <w:pStyle w:val="Tabletext"/>
              <w:rPr>
                <w:rFonts w:eastAsia="Times New Roman"/>
                <w:lang w:eastAsia="en-US"/>
              </w:rPr>
            </w:pPr>
            <w:r w:rsidRPr="008D73C9">
              <w:rPr>
                <w:rFonts w:eastAsia="Times New Roman"/>
                <w:lang w:eastAsia="en-US"/>
              </w:rPr>
              <w:t>SIL 20 or 40mg tid</w:t>
            </w:r>
          </w:p>
          <w:p w:rsidR="001D0FDA" w:rsidRPr="008D73C9" w:rsidRDefault="001D0FDA" w:rsidP="001D0FDA">
            <w:pPr>
              <w:pStyle w:val="Tabletext"/>
              <w:rPr>
                <w:rFonts w:eastAsia="Times New Roman"/>
                <w:lang w:eastAsia="en-US"/>
              </w:rPr>
            </w:pPr>
            <w:r w:rsidRPr="008D73C9">
              <w:rPr>
                <w:rFonts w:eastAsia="Times New Roman"/>
                <w:lang w:eastAsia="en-US"/>
              </w:rPr>
              <w:t>TAD 20 or 40mg od</w:t>
            </w:r>
          </w:p>
          <w:p w:rsidR="001D0FDA" w:rsidRPr="008D73C9" w:rsidRDefault="001D0FDA" w:rsidP="001D0FDA">
            <w:pPr>
              <w:pStyle w:val="Tabletext"/>
              <w:rPr>
                <w:rFonts w:eastAsia="Times New Roman"/>
                <w:lang w:eastAsia="en-US"/>
              </w:rPr>
            </w:pPr>
          </w:p>
          <w:p w:rsidR="001D0FDA" w:rsidRPr="008D73C9" w:rsidRDefault="001D0FDA" w:rsidP="001D0FDA">
            <w:pPr>
              <w:pStyle w:val="Tabletext"/>
              <w:rPr>
                <w:rFonts w:eastAsia="Times New Roman"/>
                <w:lang w:eastAsia="en-US"/>
              </w:rPr>
            </w:pPr>
            <w:r w:rsidRPr="008D73C9">
              <w:rPr>
                <w:rFonts w:eastAsia="Times New Roman"/>
                <w:lang w:eastAsia="en-US"/>
              </w:rPr>
              <w:t>Combination with PRO or SEL (29%)</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STARTS extension study </w:t>
            </w:r>
            <w:r w:rsidR="001D34EE" w:rsidRPr="001A1C44">
              <w:rPr>
                <w:rFonts w:eastAsia="Times New Roman"/>
                <w:noProof/>
                <w:vertAlign w:val="superscript"/>
                <w:lang w:eastAsia="en-US"/>
              </w:rPr>
              <w:t>69</w:t>
            </w:r>
          </w:p>
          <w:p w:rsidR="001D0FDA" w:rsidRPr="008D73C9" w:rsidRDefault="001D0FDA" w:rsidP="001D0FDA">
            <w:pPr>
              <w:pStyle w:val="Tabletext"/>
              <w:ind w:right="-28"/>
              <w:rPr>
                <w:rFonts w:eastAsia="Times New Roman"/>
                <w:lang w:eastAsia="en-US"/>
              </w:rPr>
            </w:pPr>
            <w:r w:rsidRPr="008D73C9">
              <w:rPr>
                <w:rFonts w:eastAsia="Times New Roman"/>
                <w:lang w:eastAsia="en-US"/>
              </w:rPr>
              <w:t>2004-2011</w:t>
            </w:r>
          </w:p>
          <w:p w:rsidR="001D0FDA" w:rsidRPr="008D73C9" w:rsidRDefault="001D0FDA" w:rsidP="001D0FDA">
            <w:pPr>
              <w:pStyle w:val="Tabletext"/>
              <w:ind w:right="-28"/>
              <w:rPr>
                <w:rFonts w:eastAsia="Times New Roman"/>
                <w:lang w:eastAsia="en-US"/>
              </w:rPr>
            </w:pPr>
            <w:r w:rsidRPr="008D73C9">
              <w:rPr>
                <w:rFonts w:eastAsia="Times New Roman"/>
                <w:lang w:eastAsia="en-US"/>
              </w:rPr>
              <w:t>North, South, and Central America, Asia and Europe</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4.1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N=329</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HPAH or PAH-CHD</w:t>
            </w:r>
          </w:p>
        </w:tc>
        <w:tc>
          <w:tcPr>
            <w:tcW w:w="1394" w:type="pct"/>
          </w:tcPr>
          <w:p w:rsidR="001D0FDA" w:rsidRPr="008D73C9" w:rsidRDefault="001D0FDA" w:rsidP="001D0FDA">
            <w:pPr>
              <w:pStyle w:val="Tabletext"/>
              <w:rPr>
                <w:rFonts w:eastAsia="Times New Roman"/>
                <w:lang w:eastAsia="en-US"/>
              </w:rPr>
            </w:pPr>
            <w:r w:rsidRPr="008D73C9">
              <w:rPr>
                <w:rFonts w:eastAsia="Times New Roman"/>
                <w:snapToGrid w:val="0"/>
                <w:lang w:eastAsia="en-US"/>
              </w:rPr>
              <w:t xml:space="preserve">SIL </w:t>
            </w:r>
            <w:r>
              <w:rPr>
                <w:rFonts w:eastAsia="Times New Roman"/>
                <w:snapToGrid w:val="0"/>
                <w:lang w:eastAsia="en-US"/>
              </w:rPr>
              <w:t>dose adjusted according to clinical response and tolerability</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Vachiéry 2017 </w:t>
            </w:r>
            <w:r w:rsidR="001D34EE" w:rsidRPr="001A1C44">
              <w:rPr>
                <w:rFonts w:eastAsia="Times New Roman"/>
                <w:noProof/>
                <w:vertAlign w:val="superscript"/>
                <w:lang w:eastAsia="en-US"/>
              </w:rPr>
              <w:t>70</w:t>
            </w:r>
          </w:p>
          <w:p w:rsidR="001D0FDA" w:rsidRPr="008D73C9" w:rsidRDefault="001D0FDA" w:rsidP="001D0FDA">
            <w:pPr>
              <w:pStyle w:val="Tabletext"/>
              <w:ind w:right="-28"/>
              <w:rPr>
                <w:rFonts w:eastAsia="Times New Roman"/>
                <w:lang w:eastAsia="en-US"/>
              </w:rPr>
            </w:pPr>
            <w:r w:rsidRPr="008D73C9">
              <w:rPr>
                <w:rFonts w:eastAsia="Times New Roman"/>
                <w:lang w:eastAsia="en-US"/>
              </w:rPr>
              <w:t>2008-2013</w:t>
            </w:r>
          </w:p>
          <w:p w:rsidR="001D0FDA" w:rsidRPr="008D73C9" w:rsidRDefault="001D0FDA" w:rsidP="001D0FDA">
            <w:pPr>
              <w:pStyle w:val="Tabletext"/>
              <w:ind w:right="-28"/>
              <w:rPr>
                <w:rFonts w:eastAsia="Times New Roman"/>
                <w:lang w:eastAsia="en-US"/>
              </w:rPr>
            </w:pPr>
            <w:r w:rsidRPr="008D73C9">
              <w:rPr>
                <w:rFonts w:eastAsia="Times New Roman"/>
                <w:lang w:eastAsia="en-US"/>
              </w:rPr>
              <w:t>Europe, Canada, Australia</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2.2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N=998 </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HPAH or associated PAH</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AMB 5mg or 10mg od</w:t>
            </w:r>
          </w:p>
          <w:p w:rsidR="001D0FDA" w:rsidRPr="008D73C9" w:rsidRDefault="001D0FDA" w:rsidP="001D0FDA">
            <w:pPr>
              <w:pStyle w:val="Tabletext"/>
              <w:rPr>
                <w:rFonts w:eastAsia="Times New Roman"/>
                <w:lang w:eastAsia="en-US"/>
              </w:rPr>
            </w:pPr>
          </w:p>
          <w:p w:rsidR="001D0FDA" w:rsidRPr="008D73C9" w:rsidRDefault="001D0FDA" w:rsidP="001D0FDA">
            <w:pPr>
              <w:pStyle w:val="Tabletext"/>
              <w:rPr>
                <w:rFonts w:eastAsia="Times New Roman"/>
                <w:lang w:eastAsia="en-US"/>
              </w:rPr>
            </w:pPr>
            <w:r w:rsidRPr="008D73C9">
              <w:rPr>
                <w:rFonts w:eastAsia="Times New Roman"/>
                <w:lang w:eastAsia="en-US"/>
              </w:rPr>
              <w:t xml:space="preserve">Combination with </w:t>
            </w:r>
            <w:r>
              <w:rPr>
                <w:rFonts w:eastAsia="Times New Roman"/>
                <w:lang w:eastAsia="en-US"/>
              </w:rPr>
              <w:t>other PAH medicine</w:t>
            </w:r>
            <w:r w:rsidRPr="008D73C9">
              <w:rPr>
                <w:rFonts w:eastAsia="Times New Roman"/>
                <w:lang w:eastAsia="en-US"/>
              </w:rPr>
              <w:t xml:space="preserve">s (32% at baseline) </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VA1A4001 extension study</w:t>
            </w:r>
            <w:r w:rsidR="001D34EE" w:rsidRPr="001A1C44">
              <w:rPr>
                <w:rFonts w:eastAsia="Times New Roman"/>
                <w:noProof/>
                <w:vertAlign w:val="superscript"/>
                <w:lang w:eastAsia="en-US"/>
              </w:rPr>
              <w:t>71</w:t>
            </w:r>
          </w:p>
          <w:p w:rsidR="001D0FDA" w:rsidRPr="008D73C9" w:rsidRDefault="001D0FDA" w:rsidP="001D0FDA">
            <w:pPr>
              <w:pStyle w:val="Tabletext"/>
              <w:ind w:right="-28"/>
              <w:rPr>
                <w:rFonts w:eastAsia="Times New Roman"/>
                <w:lang w:eastAsia="en-US"/>
              </w:rPr>
            </w:pPr>
            <w:r w:rsidRPr="008D73C9">
              <w:rPr>
                <w:rFonts w:eastAsia="Times New Roman"/>
                <w:lang w:eastAsia="en-US"/>
              </w:rPr>
              <w:t>No later than 2009</w:t>
            </w:r>
            <w:r w:rsidRPr="008D73C9">
              <w:rPr>
                <w:rFonts w:eastAsia="Times New Roman"/>
                <w:vertAlign w:val="superscript"/>
                <w:lang w:eastAsia="en-US"/>
              </w:rPr>
              <w:t>c</w:t>
            </w:r>
          </w:p>
          <w:p w:rsidR="001D0FDA" w:rsidRPr="008D73C9" w:rsidRDefault="001D0FDA" w:rsidP="001D0FDA">
            <w:pPr>
              <w:pStyle w:val="Tabletext"/>
              <w:ind w:right="-28"/>
              <w:rPr>
                <w:rFonts w:eastAsia="Times New Roman"/>
                <w:lang w:eastAsia="en-US"/>
              </w:rPr>
            </w:pPr>
            <w:r w:rsidRPr="008D73C9">
              <w:rPr>
                <w:rFonts w:eastAsia="Times New Roman"/>
                <w:lang w:eastAsia="en-US"/>
              </w:rPr>
              <w:lastRenderedPageBreak/>
              <w:t>North America</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lastRenderedPageBreak/>
              <w:t>Prospective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Up to 3 year </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N=97</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II-IV</w:t>
            </w:r>
          </w:p>
          <w:p w:rsidR="001D0FDA" w:rsidRPr="008D73C9" w:rsidRDefault="001D0FDA" w:rsidP="001D0FDA">
            <w:pPr>
              <w:pStyle w:val="Tabletext"/>
              <w:ind w:right="-28"/>
              <w:rPr>
                <w:rFonts w:eastAsia="Times New Roman"/>
                <w:lang w:eastAsia="en-US"/>
              </w:rPr>
            </w:pPr>
            <w:r w:rsidRPr="008D73C9">
              <w:rPr>
                <w:rFonts w:eastAsia="Times New Roman"/>
                <w:lang w:eastAsia="en-US"/>
              </w:rPr>
              <w:t>PAH-CTD</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EPO</w:t>
            </w:r>
            <w:r>
              <w:rPr>
                <w:rFonts w:eastAsia="Times New Roman"/>
                <w:lang w:eastAsia="en-US"/>
              </w:rPr>
              <w:t xml:space="preserve"> dose up-titrated from 2mg/kg/min based on tolerability</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lastRenderedPageBreak/>
              <w:t>Vis 2013</w:t>
            </w:r>
            <w:r w:rsidR="001D34EE" w:rsidRPr="001A1C44">
              <w:rPr>
                <w:rFonts w:eastAsia="Times New Roman"/>
                <w:noProof/>
                <w:vertAlign w:val="superscript"/>
                <w:lang w:eastAsia="en-US"/>
              </w:rPr>
              <w:t>72</w:t>
            </w:r>
          </w:p>
          <w:p w:rsidR="001D0FDA" w:rsidRPr="008D73C9" w:rsidRDefault="001D0FDA" w:rsidP="001D0FDA">
            <w:pPr>
              <w:pStyle w:val="Tabletext"/>
              <w:ind w:right="-28"/>
              <w:rPr>
                <w:rFonts w:eastAsia="Times New Roman"/>
                <w:lang w:eastAsia="en-US"/>
              </w:rPr>
            </w:pPr>
            <w:r w:rsidRPr="008D73C9">
              <w:rPr>
                <w:rFonts w:eastAsia="Times New Roman"/>
                <w:lang w:eastAsia="en-US"/>
              </w:rPr>
              <w:t>2005-2010</w:t>
            </w:r>
          </w:p>
          <w:p w:rsidR="001D0FDA" w:rsidRPr="008D73C9" w:rsidRDefault="001D0FDA" w:rsidP="001D0FDA">
            <w:pPr>
              <w:pStyle w:val="Tabletext"/>
              <w:ind w:right="-28"/>
              <w:rPr>
                <w:rFonts w:eastAsia="Times New Roman"/>
                <w:lang w:eastAsia="en-US"/>
              </w:rPr>
            </w:pPr>
            <w:r w:rsidRPr="008D73C9">
              <w:rPr>
                <w:rFonts w:eastAsia="Times New Roman"/>
                <w:lang w:eastAsia="en-US"/>
              </w:rPr>
              <w:t>Netherlands</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Case series (unclear if retrospective or prospective)</w:t>
            </w:r>
          </w:p>
          <w:p w:rsidR="001D0FDA" w:rsidRPr="008D73C9" w:rsidRDefault="001D0FDA" w:rsidP="001D0FDA">
            <w:pPr>
              <w:pStyle w:val="Tabletext"/>
              <w:ind w:right="-28"/>
              <w:rPr>
                <w:rFonts w:eastAsia="Times New Roman"/>
                <w:lang w:eastAsia="en-US"/>
              </w:rPr>
            </w:pPr>
            <w:r w:rsidRPr="008D73C9">
              <w:rPr>
                <w:rFonts w:eastAsia="Times New Roman"/>
                <w:lang w:eastAsia="en-US"/>
              </w:rPr>
              <w:t>3.9-4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N=64</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II-IV</w:t>
            </w:r>
          </w:p>
          <w:p w:rsidR="001D0FDA" w:rsidRPr="008D73C9" w:rsidRDefault="001D0FDA" w:rsidP="001D0FDA">
            <w:pPr>
              <w:pStyle w:val="Tabletext"/>
              <w:ind w:right="-28"/>
              <w:rPr>
                <w:rFonts w:eastAsia="Times New Roman"/>
                <w:lang w:eastAsia="en-US"/>
              </w:rPr>
            </w:pPr>
            <w:r w:rsidRPr="008D73C9">
              <w:rPr>
                <w:rFonts w:eastAsia="Times New Roman"/>
                <w:lang w:eastAsia="en-US"/>
              </w:rPr>
              <w:t>PAH-CHD</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BOS 125mg bid</w:t>
            </w:r>
          </w:p>
          <w:p w:rsidR="001D0FDA" w:rsidRPr="008D73C9" w:rsidRDefault="001D0FDA" w:rsidP="001D0FDA">
            <w:pPr>
              <w:pStyle w:val="Tabletext"/>
              <w:rPr>
                <w:rFonts w:eastAsia="Times New Roman"/>
                <w:lang w:eastAsia="en-US"/>
              </w:rPr>
            </w:pPr>
          </w:p>
          <w:p w:rsidR="001D0FDA" w:rsidRPr="008D73C9" w:rsidRDefault="001D0FDA" w:rsidP="001D0FDA">
            <w:pPr>
              <w:pStyle w:val="Tabletext"/>
              <w:rPr>
                <w:rFonts w:eastAsia="Times New Roman"/>
                <w:lang w:eastAsia="en-US"/>
              </w:rPr>
            </w:pPr>
            <w:r w:rsidRPr="008D73C9">
              <w:rPr>
                <w:rFonts w:eastAsia="Times New Roman"/>
                <w:lang w:eastAsia="en-US"/>
              </w:rPr>
              <w:t>Combination with sildenafil (2%)</w:t>
            </w:r>
          </w:p>
        </w:tc>
      </w:tr>
    </w:tbl>
    <w:p w:rsidR="006D01E8" w:rsidRPr="008D73C9" w:rsidRDefault="006D01E8" w:rsidP="006D01E8">
      <w:pPr>
        <w:pStyle w:val="Tablenote"/>
      </w:pPr>
      <w:r w:rsidRPr="008D73C9">
        <w:rPr>
          <w:vertAlign w:val="superscript"/>
        </w:rPr>
        <w:t>a</w:t>
      </w:r>
      <w:r w:rsidRPr="008D73C9">
        <w:t xml:space="preserve"> Number of patients in the control arm and those in the active treatment arm where a </w:t>
      </w:r>
      <w:r>
        <w:t>PAH medicine</w:t>
      </w:r>
      <w:r w:rsidRPr="008D73C9">
        <w:t xml:space="preserve"> was given at the recommended dose regimen. </w:t>
      </w:r>
    </w:p>
    <w:p w:rsidR="006D01E8" w:rsidRPr="008D73C9" w:rsidRDefault="006D01E8" w:rsidP="006D01E8">
      <w:pPr>
        <w:pStyle w:val="Tablenote"/>
      </w:pPr>
      <w:r w:rsidRPr="008D73C9">
        <w:rPr>
          <w:vertAlign w:val="superscript"/>
        </w:rPr>
        <w:t>a</w:t>
      </w:r>
      <w:r w:rsidRPr="008D73C9">
        <w:t xml:space="preserve"> Only including the active treatment arm where a </w:t>
      </w:r>
      <w:r>
        <w:t>PAH medicine</w:t>
      </w:r>
      <w:r w:rsidRPr="008D73C9">
        <w:t xml:space="preserve"> was given at the recommended dose regimen. The dose presented was the target dose. Patients could have received a </w:t>
      </w:r>
      <w:r>
        <w:t>PAH medicine</w:t>
      </w:r>
      <w:r w:rsidRPr="008D73C9">
        <w:t xml:space="preserve"> at a lower initial dose. </w:t>
      </w:r>
    </w:p>
    <w:p w:rsidR="006D01E8" w:rsidRPr="008D73C9" w:rsidRDefault="006D01E8" w:rsidP="006D01E8">
      <w:pPr>
        <w:pStyle w:val="Tablenote"/>
      </w:pPr>
      <w:r w:rsidRPr="008D73C9">
        <w:rPr>
          <w:vertAlign w:val="superscript"/>
        </w:rPr>
        <w:t>c</w:t>
      </w:r>
      <w:r w:rsidRPr="008D73C9">
        <w:t xml:space="preserve"> Subgroup of patients with no background therapy</w:t>
      </w:r>
    </w:p>
    <w:p w:rsidR="006D01E8" w:rsidRPr="008D73C9" w:rsidRDefault="006D01E8" w:rsidP="006D01E8">
      <w:pPr>
        <w:pStyle w:val="Tablenote"/>
      </w:pPr>
      <w:r w:rsidRPr="008D73C9">
        <w:rPr>
          <w:vertAlign w:val="superscript"/>
        </w:rPr>
        <w:t>d</w:t>
      </w:r>
      <w:r w:rsidRPr="008D73C9">
        <w:t xml:space="preserve"> Low dose: 10mg in patients &gt;20kg (no patients ≤ 20 kg received the low dose). Median dose: 10mg in patients 8-20kg; 20mg in patients 20-45kg; 40mg in patients &gt;45kg. High dose: 20mg in patients 8-20kg; 40mg in patients 20-45kg; 80mg in patients &gt;45kg</w:t>
      </w:r>
    </w:p>
    <w:p w:rsidR="006D01E8" w:rsidRDefault="006D01E8" w:rsidP="006D01E8">
      <w:pPr>
        <w:pStyle w:val="Tablenote"/>
      </w:pPr>
      <w:r w:rsidRPr="008D73C9">
        <w:rPr>
          <w:vertAlign w:val="superscript"/>
        </w:rPr>
        <w:t>e</w:t>
      </w:r>
      <w:r w:rsidRPr="008D73C9">
        <w:t xml:space="preserve"> 15mg bid for a body weight of &lt;10kg; 31.5mg bid for weight of 10-20kg; 62.5mg bid for weight of 20-40kg; 125mg bid for weight of &gt;40kg</w:t>
      </w:r>
    </w:p>
    <w:p w:rsidR="001D0FDA" w:rsidRPr="008D73C9" w:rsidRDefault="001D0FDA" w:rsidP="001D0FDA">
      <w:pPr>
        <w:pStyle w:val="Tablenote"/>
      </w:pPr>
      <w:r w:rsidRPr="008D73C9">
        <w:t>AMB = ambrisentan; bid = twice daily; BOS = bosentan; DB = double-blinded; EPO = epoprostenol; FC = functional class; HPAH = heritable pulmonary arterial hypertension; IPAH = idiopathic pulmonary arterial hypertension; od = once daily; PAH = pulmonary arterial hypertension; PAH-CHD = pulmonary arterial hypertension associated with congenital heart disease; PAH-CTD = pulmonary arterial hypertension associated with connective tissue disease; PAH-DT = drug/toxin-induced pulmonary arterial hypertension; PAH-HIV = pulmonary arterial hypertension associated with human immunodeficiency virus infection; PAH-PH = pulmonary arterial hypertension associated with portal hypertension; PBO = placebo; PRO = prostanoid; PVOD = pulmonary veno-occlusive disease; RCT = randomised controlled trial; SEL = selexipag; SIL = sildenafil; TAD = tadalafil; tid = three times a day; TRE = treprostinil; WHO = World Health Organization</w:t>
      </w:r>
    </w:p>
    <w:p w:rsidR="001D0FDA" w:rsidRPr="00EB1471" w:rsidRDefault="001D0FDA" w:rsidP="00480FDF">
      <w:pPr>
        <w:pStyle w:val="Heading4"/>
        <w:numPr>
          <w:ilvl w:val="3"/>
          <w:numId w:val="45"/>
        </w:numPr>
      </w:pPr>
      <w:r>
        <w:t>4.2.4.3</w:t>
      </w:r>
      <w:r>
        <w:tab/>
        <w:t>Information from regulatory agencies</w:t>
      </w:r>
      <w:r w:rsidRPr="00EB1471">
        <w:t xml:space="preserve"> </w:t>
      </w:r>
      <w:r w:rsidRPr="00EF46AC">
        <w:t>included</w:t>
      </w:r>
      <w:r w:rsidRPr="00EB1471">
        <w:t xml:space="preserve"> for the extended assessment of safety</w:t>
      </w:r>
    </w:p>
    <w:p w:rsidR="001D0FDA" w:rsidRPr="00771186" w:rsidRDefault="001D0FDA" w:rsidP="00771186">
      <w:r>
        <w:t xml:space="preserve">The TGA’s Database of Adverse Event Notifications includes details of reports for each </w:t>
      </w:r>
      <w:r w:rsidRPr="00771186">
        <w:t>medicine, but not of any reviews or revisions to the PI or CMI that may have arisen out of such reports. The TGA’s Medicines Safety Update announcements (also published in Australian Prescriber) do not cover minor changes to product safety warnings and other information. Other than information in the current PI and CMI, no information pertaining to updated safety of PAH medicines has been published by the TGA that could be reviewed for this extended assessment.</w:t>
      </w:r>
    </w:p>
    <w:p w:rsidR="001D0FDA" w:rsidRPr="00771186" w:rsidRDefault="001D0FDA" w:rsidP="00771186">
      <w:r w:rsidRPr="00771186">
        <w:t xml:space="preserve">A new FDA database of Drug Safety Labeling Changes is available and searchable information starts from January 2016. This database replaces the Medwatch system of alerts. A search for sildenafil (as Revatio) returned results relating to the FDA’s warnings in 2012 and 2014 about paediatric use. No other results were returned for PAH medicines within the scope of this post-market review. A search of the FDA’s Medwatch drug safety alerts indicates that information prior to 2016 is no longer searchable - an archived version of the site exists, but the search function did not return the pages containing changes to safety information that were found through a manual search of the archived Medwatch drug safety monthly reports. Time did not permit comprehensive handsearching of these reports. In the absence of systematic information for changes to FDA-approved information, current PI was checked for statements concerning the </w:t>
      </w:r>
      <w:r w:rsidR="006B2A7D" w:rsidRPr="00771186">
        <w:t>AE</w:t>
      </w:r>
      <w:r w:rsidRPr="00771186">
        <w:t>s.</w:t>
      </w:r>
    </w:p>
    <w:p w:rsidR="001D0FDA" w:rsidRPr="00771186" w:rsidRDefault="001D0FDA" w:rsidP="00771186">
      <w:r w:rsidRPr="00771186">
        <w:t>The European Medicines Agency (EMA) publishes variations and updates to PI on its website, for products that are centrally authorised. The EMA website includes a history of all changes (‘variations’) made since authorisation for each product. The variation history was reviewed for each listed PAH medicine (except epoprostenol which is not centrally authorised) to determine what amendments have been made to safety information, focusing on</w:t>
      </w:r>
      <w:r w:rsidR="00B603BC">
        <w:t xml:space="preserve"> the last 10 years (2008-2018).</w:t>
      </w:r>
    </w:p>
    <w:p w:rsidR="001D0FDA" w:rsidRPr="00EB1471" w:rsidRDefault="001D0FDA" w:rsidP="00480FDF">
      <w:pPr>
        <w:pStyle w:val="Heading3"/>
        <w:numPr>
          <w:ilvl w:val="2"/>
          <w:numId w:val="45"/>
        </w:numPr>
        <w:tabs>
          <w:tab w:val="clear" w:pos="2695"/>
        </w:tabs>
        <w:ind w:left="0"/>
      </w:pPr>
      <w:bookmarkStart w:id="91" w:name="_Toc506464134"/>
      <w:bookmarkStart w:id="92" w:name="_Toc512855385"/>
      <w:r>
        <w:lastRenderedPageBreak/>
        <w:t>Outcome measures</w:t>
      </w:r>
      <w:bookmarkEnd w:id="91"/>
      <w:bookmarkEnd w:id="92"/>
      <w:r w:rsidRPr="00EB1471">
        <w:t xml:space="preserve"> </w:t>
      </w:r>
    </w:p>
    <w:p w:rsidR="001D0FDA" w:rsidRPr="00EB1471" w:rsidRDefault="001D0FDA" w:rsidP="001D0FDA">
      <w:r w:rsidRPr="00EB1471">
        <w:t xml:space="preserve">Clinical worsening events and mortality were two important patient-relevant outcomes for the assessment of PAH medicines. </w:t>
      </w:r>
      <w:r w:rsidRPr="00F4042C">
        <w:t>They were both rated as critical outcomes according to the GRADE Working Group grades of evidence</w:t>
      </w:r>
      <w:r w:rsidR="001D34EE" w:rsidRPr="001D34EE">
        <w:rPr>
          <w:noProof/>
          <w:vertAlign w:val="superscript"/>
        </w:rPr>
        <w:t>1</w:t>
      </w:r>
      <w:r>
        <w:t>.</w:t>
      </w:r>
    </w:p>
    <w:p w:rsidR="001D0FDA" w:rsidRPr="00EB1471" w:rsidRDefault="001D0FDA" w:rsidP="00607CD3">
      <w:r w:rsidRPr="00EB1471">
        <w:t>A total of 13 RCTs reported results of clinical worsening in the relevant population of interest. The inclusion of clinical worsening as an outcome in these RCTs followed the Dana Point 2008 Task Force guidelines</w:t>
      </w:r>
      <w:r w:rsidR="001D34EE" w:rsidRPr="00607CD3">
        <w:t>73</w:t>
      </w:r>
      <w:r w:rsidRPr="00EB1471">
        <w:t xml:space="preserve"> which recommend a composite primary endpoint is used for future RCTs in PAH, including mortality as well as measurable “hard” morbidity events related to PAH progression. The </w:t>
      </w:r>
      <w:r>
        <w:t>EMA</w:t>
      </w:r>
      <w:r w:rsidR="001D34EE" w:rsidRPr="00607CD3">
        <w:t>74</w:t>
      </w:r>
      <w:r w:rsidRPr="00EB1471">
        <w:t xml:space="preserve"> also suggested the use of all-cause mortality and time to PAH-related morbidity “provided that clear, non-equivocal and prospective definitions are provided”. The definitions of clinical worsening across the trials included in this review are summarised in </w:t>
      </w:r>
      <w:r w:rsidR="006D5751">
        <w:t>Table 4.28</w:t>
      </w:r>
      <w:r>
        <w:t>. Although</w:t>
      </w:r>
      <w:r w:rsidRPr="00EB1471">
        <w:t xml:space="preserve"> in most of the included RCTs clinical worsening usually represented a combination of death, PAH-related hospitalisation, lung transplant, atrial septostomy</w:t>
      </w:r>
      <w:r>
        <w:t xml:space="preserve">, initiation of new PAH medicine(s), </w:t>
      </w:r>
      <w:r w:rsidRPr="00EB1471">
        <w:t xml:space="preserve">deterioration of WHO CF or worsening of </w:t>
      </w:r>
      <w:r w:rsidRPr="00A26FBC">
        <w:t xml:space="preserve">6-minute </w:t>
      </w:r>
      <w:r w:rsidR="0082368E">
        <w:t>walk distance</w:t>
      </w:r>
      <w:r w:rsidRPr="00A26FBC">
        <w:t xml:space="preserve"> </w:t>
      </w:r>
      <w:r>
        <w:t>(</w:t>
      </w:r>
      <w:r w:rsidRPr="00EB1471">
        <w:t>6MWD</w:t>
      </w:r>
      <w:r>
        <w:t>)</w:t>
      </w:r>
      <w:r w:rsidRPr="00EB1471">
        <w:t xml:space="preserve">, this composite outcome was heterogeneously defined across the trials. The inconsistent definition of clinical worsening, as well as the varying trial duration, hinders a meaningful comparison of the efficacy of </w:t>
      </w:r>
      <w:r>
        <w:t>PAH medicine</w:t>
      </w:r>
      <w:r w:rsidRPr="00EB1471">
        <w:t>s in terms of preventing combined mortality/morbidity</w:t>
      </w:r>
      <w:r w:rsidR="00B603BC">
        <w:t xml:space="preserve"> events across clinical trials.</w:t>
      </w:r>
    </w:p>
    <w:p w:rsidR="005035F1" w:rsidRDefault="005035F1">
      <w:pPr>
        <w:spacing w:before="0" w:line="240" w:lineRule="auto"/>
        <w:rPr>
          <w:b/>
          <w:iCs/>
          <w:szCs w:val="18"/>
        </w:rPr>
      </w:pPr>
      <w:bookmarkStart w:id="93" w:name="_Ref505948950"/>
      <w:r>
        <w:br w:type="page"/>
      </w:r>
    </w:p>
    <w:p w:rsidR="001D0FDA" w:rsidRPr="00EB1471" w:rsidRDefault="001D0FDA" w:rsidP="001D0FDA">
      <w:pPr>
        <w:pStyle w:val="Caption"/>
      </w:pPr>
      <w:bookmarkStart w:id="94" w:name="_Toc512855432"/>
      <w:r>
        <w:lastRenderedPageBreak/>
        <w:t>Table 4.</w:t>
      </w:r>
      <w:r w:rsidR="00AA722D">
        <w:rPr>
          <w:noProof/>
        </w:rPr>
        <w:t>28</w:t>
      </w:r>
      <w:bookmarkEnd w:id="93"/>
      <w:r>
        <w:tab/>
      </w:r>
      <w:r w:rsidRPr="00EB1471">
        <w:t>Definition of clinical worsening</w:t>
      </w:r>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Definition of clinical worsening"/>
      </w:tblPr>
      <w:tblGrid>
        <w:gridCol w:w="1226"/>
        <w:gridCol w:w="641"/>
        <w:gridCol w:w="715"/>
        <w:gridCol w:w="717"/>
        <w:gridCol w:w="923"/>
        <w:gridCol w:w="989"/>
        <w:gridCol w:w="4563"/>
      </w:tblGrid>
      <w:tr w:rsidR="001D0FDA" w:rsidRPr="00EB1471" w:rsidTr="005A0C83">
        <w:trPr>
          <w:tblHeader/>
        </w:trPr>
        <w:tc>
          <w:tcPr>
            <w:tcW w:w="627" w:type="pct"/>
            <w:vMerge w:val="restart"/>
            <w:shd w:val="clear" w:color="auto" w:fill="BFBFBF" w:themeFill="background1" w:themeFillShade="BF"/>
            <w:tcMar>
              <w:left w:w="108" w:type="dxa"/>
              <w:right w:w="108" w:type="dxa"/>
            </w:tcMar>
          </w:tcPr>
          <w:p w:rsidR="001D0FDA" w:rsidRPr="00EB1471" w:rsidRDefault="001D0FDA" w:rsidP="001D0FDA">
            <w:pPr>
              <w:pStyle w:val="Tabletext"/>
              <w:ind w:left="-28" w:right="-28"/>
              <w:rPr>
                <w:rFonts w:eastAsia="Times New Roman"/>
                <w:b/>
                <w:snapToGrid w:val="0"/>
                <w:lang w:eastAsia="en-US"/>
              </w:rPr>
            </w:pPr>
            <w:r w:rsidRPr="00EB1471">
              <w:rPr>
                <w:rFonts w:eastAsia="Times New Roman"/>
                <w:b/>
                <w:snapToGrid w:val="0"/>
                <w:lang w:eastAsia="en-US"/>
              </w:rPr>
              <w:t>Study ID</w:t>
            </w:r>
          </w:p>
        </w:tc>
        <w:tc>
          <w:tcPr>
            <w:tcW w:w="328" w:type="pct"/>
            <w:vMerge w:val="restart"/>
            <w:shd w:val="clear" w:color="auto" w:fill="BFBFBF" w:themeFill="background1" w:themeFillShade="BF"/>
          </w:tcPr>
          <w:p w:rsidR="001D0FDA" w:rsidRPr="00EB1471" w:rsidRDefault="001D0FDA" w:rsidP="001D0FDA">
            <w:pPr>
              <w:pStyle w:val="Tabletext"/>
              <w:rPr>
                <w:rFonts w:eastAsia="Times New Roman"/>
                <w:b/>
                <w:snapToGrid w:val="0"/>
                <w:lang w:eastAsia="en-US"/>
              </w:rPr>
            </w:pPr>
            <w:r w:rsidRPr="00EB1471">
              <w:rPr>
                <w:rFonts w:eastAsia="Times New Roman"/>
                <w:b/>
                <w:snapToGrid w:val="0"/>
                <w:lang w:eastAsia="en-US"/>
              </w:rPr>
              <w:t>Any death</w:t>
            </w:r>
          </w:p>
        </w:tc>
        <w:tc>
          <w:tcPr>
            <w:tcW w:w="4045" w:type="pct"/>
            <w:gridSpan w:val="5"/>
            <w:shd w:val="clear" w:color="auto" w:fill="BFBFBF" w:themeFill="background1" w:themeFillShade="BF"/>
          </w:tcPr>
          <w:p w:rsidR="001D0FDA" w:rsidRPr="00EB1471" w:rsidRDefault="001D0FDA" w:rsidP="001D0FDA">
            <w:pPr>
              <w:pStyle w:val="Tabletext"/>
              <w:tabs>
                <w:tab w:val="left" w:pos="2076"/>
              </w:tabs>
              <w:jc w:val="center"/>
              <w:rPr>
                <w:rFonts w:eastAsia="Times New Roman"/>
                <w:b/>
                <w:snapToGrid w:val="0"/>
                <w:lang w:eastAsia="en-US"/>
              </w:rPr>
            </w:pPr>
            <w:r w:rsidRPr="00EB1471">
              <w:rPr>
                <w:rFonts w:eastAsia="Times New Roman"/>
                <w:b/>
                <w:snapToGrid w:val="0"/>
                <w:lang w:eastAsia="en-US"/>
              </w:rPr>
              <w:t>Disease progress</w:t>
            </w:r>
          </w:p>
        </w:tc>
      </w:tr>
      <w:tr w:rsidR="001D0FDA" w:rsidRPr="00EB1471" w:rsidTr="005A0C83">
        <w:trPr>
          <w:tblHeader/>
        </w:trPr>
        <w:tc>
          <w:tcPr>
            <w:tcW w:w="627" w:type="pct"/>
            <w:vMerge/>
            <w:shd w:val="clear" w:color="auto" w:fill="BFBFBF" w:themeFill="background1" w:themeFillShade="BF"/>
            <w:tcMar>
              <w:left w:w="108" w:type="dxa"/>
              <w:right w:w="108" w:type="dxa"/>
            </w:tcMar>
          </w:tcPr>
          <w:p w:rsidR="001D0FDA" w:rsidRPr="00EB1471" w:rsidRDefault="001D0FDA" w:rsidP="001D0FDA">
            <w:pPr>
              <w:pStyle w:val="Tabletext"/>
              <w:ind w:left="-28" w:right="-28"/>
              <w:rPr>
                <w:rFonts w:eastAsia="Times New Roman"/>
                <w:b/>
                <w:snapToGrid w:val="0"/>
                <w:lang w:eastAsia="en-US"/>
              </w:rPr>
            </w:pPr>
          </w:p>
        </w:tc>
        <w:tc>
          <w:tcPr>
            <w:tcW w:w="328" w:type="pct"/>
            <w:vMerge/>
            <w:shd w:val="clear" w:color="auto" w:fill="BFBFBF" w:themeFill="background1" w:themeFillShade="BF"/>
          </w:tcPr>
          <w:p w:rsidR="001D0FDA" w:rsidRPr="00EB1471" w:rsidRDefault="001D0FDA" w:rsidP="001D0FDA">
            <w:pPr>
              <w:pStyle w:val="Tabletext"/>
              <w:rPr>
                <w:rFonts w:eastAsia="Times New Roman"/>
                <w:b/>
                <w:snapToGrid w:val="0"/>
                <w:lang w:eastAsia="en-US"/>
              </w:rPr>
            </w:pPr>
          </w:p>
        </w:tc>
        <w:tc>
          <w:tcPr>
            <w:tcW w:w="366" w:type="pct"/>
            <w:shd w:val="clear" w:color="auto" w:fill="BFBFBF" w:themeFill="background1" w:themeFillShade="BF"/>
          </w:tcPr>
          <w:p w:rsidR="001D0FDA" w:rsidRPr="00EB1471" w:rsidRDefault="001D0FDA" w:rsidP="001D0FDA">
            <w:pPr>
              <w:pStyle w:val="Tabletext"/>
              <w:rPr>
                <w:rFonts w:eastAsia="Times New Roman"/>
                <w:b/>
                <w:snapToGrid w:val="0"/>
                <w:lang w:eastAsia="en-US"/>
              </w:rPr>
            </w:pPr>
            <w:r w:rsidRPr="00EB1471">
              <w:rPr>
                <w:rFonts w:eastAsia="Times New Roman"/>
                <w:b/>
                <w:snapToGrid w:val="0"/>
                <w:lang w:eastAsia="en-US"/>
              </w:rPr>
              <w:t>LT</w:t>
            </w:r>
          </w:p>
        </w:tc>
        <w:tc>
          <w:tcPr>
            <w:tcW w:w="367" w:type="pct"/>
            <w:shd w:val="clear" w:color="auto" w:fill="BFBFBF" w:themeFill="background1" w:themeFillShade="BF"/>
          </w:tcPr>
          <w:p w:rsidR="001D0FDA" w:rsidRPr="00EB1471" w:rsidRDefault="001D0FDA" w:rsidP="001D0FDA">
            <w:pPr>
              <w:pStyle w:val="Tabletext"/>
              <w:rPr>
                <w:rFonts w:eastAsia="Times New Roman"/>
                <w:b/>
                <w:snapToGrid w:val="0"/>
                <w:lang w:eastAsia="en-US"/>
              </w:rPr>
            </w:pPr>
            <w:r w:rsidRPr="00EB1471">
              <w:rPr>
                <w:rFonts w:eastAsia="Times New Roman"/>
                <w:b/>
                <w:snapToGrid w:val="0"/>
                <w:lang w:eastAsia="en-US"/>
              </w:rPr>
              <w:t>AS</w:t>
            </w:r>
          </w:p>
        </w:tc>
        <w:tc>
          <w:tcPr>
            <w:tcW w:w="472" w:type="pct"/>
            <w:shd w:val="clear" w:color="auto" w:fill="BFBFBF" w:themeFill="background1" w:themeFillShade="BF"/>
          </w:tcPr>
          <w:p w:rsidR="001D0FDA" w:rsidRPr="00EB1471" w:rsidRDefault="001D0FDA" w:rsidP="001D0FDA">
            <w:pPr>
              <w:pStyle w:val="Tabletext"/>
              <w:rPr>
                <w:rFonts w:eastAsia="Times New Roman"/>
                <w:b/>
                <w:snapToGrid w:val="0"/>
                <w:lang w:eastAsia="en-US"/>
              </w:rPr>
            </w:pPr>
            <w:r w:rsidRPr="00EB1471">
              <w:rPr>
                <w:rFonts w:eastAsia="Times New Roman"/>
                <w:b/>
                <w:snapToGrid w:val="0"/>
                <w:lang w:eastAsia="en-US"/>
              </w:rPr>
              <w:t>PAH-hospital-isation</w:t>
            </w:r>
          </w:p>
        </w:tc>
        <w:tc>
          <w:tcPr>
            <w:tcW w:w="506" w:type="pct"/>
            <w:shd w:val="clear" w:color="auto" w:fill="BFBFBF" w:themeFill="background1" w:themeFillShade="BF"/>
          </w:tcPr>
          <w:p w:rsidR="001D0FDA" w:rsidRPr="00EB1471" w:rsidRDefault="001D0FDA" w:rsidP="001D0FDA">
            <w:pPr>
              <w:pStyle w:val="Tabletext"/>
              <w:rPr>
                <w:rFonts w:eastAsia="Times New Roman"/>
                <w:b/>
                <w:snapToGrid w:val="0"/>
                <w:lang w:eastAsia="en-US"/>
              </w:rPr>
            </w:pPr>
            <w:r w:rsidRPr="00EB1471">
              <w:rPr>
                <w:rFonts w:eastAsia="Times New Roman"/>
                <w:b/>
                <w:snapToGrid w:val="0"/>
                <w:lang w:eastAsia="en-US"/>
              </w:rPr>
              <w:t>Start of new therapy</w:t>
            </w:r>
          </w:p>
        </w:tc>
        <w:tc>
          <w:tcPr>
            <w:tcW w:w="2334" w:type="pct"/>
            <w:shd w:val="clear" w:color="auto" w:fill="BFBFBF" w:themeFill="background1" w:themeFillShade="BF"/>
          </w:tcPr>
          <w:p w:rsidR="001D0FDA" w:rsidRPr="00EB1471" w:rsidRDefault="001D0FDA" w:rsidP="001D0FDA">
            <w:pPr>
              <w:pStyle w:val="Tabletext"/>
              <w:tabs>
                <w:tab w:val="left" w:pos="2076"/>
              </w:tabs>
              <w:rPr>
                <w:rFonts w:eastAsia="Times New Roman"/>
                <w:b/>
                <w:snapToGrid w:val="0"/>
                <w:lang w:eastAsia="en-US"/>
              </w:rPr>
            </w:pPr>
            <w:r w:rsidRPr="00EB1471">
              <w:rPr>
                <w:rFonts w:eastAsia="Times New Roman"/>
                <w:b/>
                <w:snapToGrid w:val="0"/>
                <w:lang w:eastAsia="en-US"/>
              </w:rPr>
              <w:t>Others</w:t>
            </w:r>
          </w:p>
        </w:tc>
      </w:tr>
      <w:tr w:rsidR="001D0FDA" w:rsidRPr="00EB1471" w:rsidTr="005A0C83">
        <w:tc>
          <w:tcPr>
            <w:tcW w:w="627" w:type="pct"/>
            <w:shd w:val="clear" w:color="auto" w:fill="auto"/>
            <w:tcMar>
              <w:left w:w="108" w:type="dxa"/>
              <w:right w:w="108" w:type="dxa"/>
            </w:tcMar>
            <w:vAlign w:val="center"/>
          </w:tcPr>
          <w:p w:rsidR="001D0FDA" w:rsidRPr="00EB1471" w:rsidRDefault="001D0FDA" w:rsidP="001D0FDA">
            <w:pPr>
              <w:pStyle w:val="Tabletext"/>
              <w:ind w:left="-28" w:right="-57"/>
              <w:rPr>
                <w:rFonts w:eastAsia="Times New Roman"/>
                <w:lang w:eastAsia="en-US"/>
              </w:rPr>
            </w:pPr>
            <w:r w:rsidRPr="00EB1471">
              <w:rPr>
                <w:rFonts w:eastAsia="Times New Roman"/>
                <w:lang w:eastAsia="en-US"/>
              </w:rPr>
              <w:t>AMBITION</w:t>
            </w:r>
          </w:p>
        </w:tc>
        <w:tc>
          <w:tcPr>
            <w:tcW w:w="328"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6"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7"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472"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506" w:type="pct"/>
            <w:vAlign w:val="center"/>
          </w:tcPr>
          <w:p w:rsidR="001D0FDA" w:rsidRPr="00EB1471" w:rsidRDefault="001D0FDA" w:rsidP="001D0FDA">
            <w:pPr>
              <w:pStyle w:val="Tabletext"/>
              <w:ind w:left="-57" w:right="-57"/>
              <w:jc w:val="center"/>
              <w:rPr>
                <w:rFonts w:eastAsia="Times New Roman"/>
                <w:snapToGrid w:val="0"/>
                <w:lang w:eastAsia="en-US"/>
              </w:rPr>
            </w:pPr>
            <w:r w:rsidRPr="00EB1471">
              <w:rPr>
                <w:rFonts w:eastAsia="Times New Roman"/>
                <w:snapToGrid w:val="0"/>
                <w:lang w:eastAsia="en-US"/>
              </w:rPr>
              <w:t>Parenteral prostanoid</w:t>
            </w:r>
          </w:p>
        </w:tc>
        <w:tc>
          <w:tcPr>
            <w:tcW w:w="2334" w:type="pct"/>
          </w:tcPr>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&gt;15% decrease in 6MWD from baseline and WHO FC III or IV symptoms at 2 consecutive visits; or</w:t>
            </w:r>
          </w:p>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 xml:space="preserve">Any decrease in 6MWD from baseline and WHO FC III symptoms assessed at 2 clinic visits </w:t>
            </w:r>
          </w:p>
        </w:tc>
      </w:tr>
      <w:tr w:rsidR="001D0FDA" w:rsidRPr="00EB1471" w:rsidTr="005A0C83">
        <w:trPr>
          <w:trHeight w:val="1157"/>
        </w:trPr>
        <w:tc>
          <w:tcPr>
            <w:tcW w:w="627" w:type="pct"/>
            <w:tcMar>
              <w:left w:w="108" w:type="dxa"/>
              <w:right w:w="108" w:type="dxa"/>
            </w:tcMar>
            <w:vAlign w:val="center"/>
          </w:tcPr>
          <w:p w:rsidR="001D0FDA" w:rsidRPr="00EB1471" w:rsidRDefault="001D0FDA" w:rsidP="001D0FDA">
            <w:pPr>
              <w:pStyle w:val="Tabletext"/>
              <w:ind w:left="-28" w:right="-28"/>
              <w:rPr>
                <w:rFonts w:eastAsia="Times New Roman"/>
              </w:rPr>
            </w:pPr>
            <w:r w:rsidRPr="00EB1471">
              <w:rPr>
                <w:rFonts w:eastAsia="Times New Roman"/>
              </w:rPr>
              <w:t>ARIES-1</w:t>
            </w:r>
          </w:p>
        </w:tc>
        <w:tc>
          <w:tcPr>
            <w:tcW w:w="328"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6"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7"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472"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506"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2334" w:type="pct"/>
            <w:vMerge w:val="restart"/>
          </w:tcPr>
          <w:p w:rsidR="001D0FDA" w:rsidRPr="00EB1471" w:rsidRDefault="001D0FDA" w:rsidP="001D0FDA">
            <w:pPr>
              <w:pStyle w:val="Tabletext"/>
              <w:rPr>
                <w:rFonts w:eastAsia="Times New Roman"/>
                <w:lang w:eastAsia="en-US"/>
              </w:rPr>
            </w:pPr>
            <w:r w:rsidRPr="00EB1471">
              <w:rPr>
                <w:rFonts w:eastAsia="Times New Roman"/>
                <w:lang w:eastAsia="en-US"/>
              </w:rPr>
              <w:t xml:space="preserve">Study discontinuation due to ≥ 2 early escape criteria: </w:t>
            </w:r>
          </w:p>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≥20% decrease in 6MWD;</w:t>
            </w:r>
          </w:p>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 xml:space="preserve">increase in WHO FC; </w:t>
            </w:r>
          </w:p>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worsening right ventricular failure;</w:t>
            </w:r>
          </w:p>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 xml:space="preserve">progressing hepatic or renal failure; </w:t>
            </w:r>
          </w:p>
          <w:p w:rsidR="001D0FDA" w:rsidRPr="00EB1471" w:rsidRDefault="001D0FDA" w:rsidP="00480FDF">
            <w:pPr>
              <w:pStyle w:val="Tabletext"/>
              <w:numPr>
                <w:ilvl w:val="0"/>
                <w:numId w:val="47"/>
              </w:numPr>
              <w:ind w:left="141" w:hanging="142"/>
              <w:rPr>
                <w:rFonts w:eastAsia="Times New Roman"/>
                <w:lang w:eastAsia="en-US"/>
              </w:rPr>
            </w:pPr>
            <w:r w:rsidRPr="00EB1471">
              <w:rPr>
                <w:rFonts w:eastAsia="Times New Roman"/>
                <w:snapToGrid w:val="0"/>
                <w:lang w:eastAsia="en-US"/>
              </w:rPr>
              <w:t>systolic blood pressure &lt;85 mmHg</w:t>
            </w:r>
          </w:p>
        </w:tc>
      </w:tr>
      <w:tr w:rsidR="001D0FDA" w:rsidRPr="00EB1471" w:rsidTr="005A0C83">
        <w:tc>
          <w:tcPr>
            <w:tcW w:w="627" w:type="pct"/>
            <w:tcMar>
              <w:left w:w="108" w:type="dxa"/>
              <w:right w:w="108" w:type="dxa"/>
            </w:tcMar>
            <w:vAlign w:val="center"/>
          </w:tcPr>
          <w:p w:rsidR="001D0FDA" w:rsidRPr="00EB1471" w:rsidRDefault="001D0FDA" w:rsidP="001D0FDA">
            <w:pPr>
              <w:pStyle w:val="Tabletext"/>
              <w:ind w:left="-28" w:right="-28"/>
              <w:rPr>
                <w:rFonts w:eastAsia="Times New Roman"/>
              </w:rPr>
            </w:pPr>
            <w:r w:rsidRPr="00EB1471">
              <w:rPr>
                <w:rFonts w:eastAsia="Times New Roman"/>
              </w:rPr>
              <w:t>ARIES-2</w:t>
            </w:r>
          </w:p>
        </w:tc>
        <w:tc>
          <w:tcPr>
            <w:tcW w:w="328"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6"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7"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472"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506"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2334" w:type="pct"/>
            <w:vMerge/>
          </w:tcPr>
          <w:p w:rsidR="001D0FDA" w:rsidRPr="00EB1471" w:rsidRDefault="001D0FDA" w:rsidP="001D0FDA">
            <w:pPr>
              <w:pStyle w:val="Tabletext"/>
              <w:rPr>
                <w:rFonts w:eastAsia="Times New Roman"/>
                <w:lang w:eastAsia="en-US"/>
              </w:rPr>
            </w:pPr>
          </w:p>
        </w:tc>
      </w:tr>
      <w:tr w:rsidR="001D0FDA" w:rsidRPr="00EB1471" w:rsidTr="005A0C83">
        <w:tc>
          <w:tcPr>
            <w:tcW w:w="627"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1D0FDA" w:rsidRPr="00EB1471" w:rsidRDefault="001D0FDA" w:rsidP="001D0FDA">
            <w:pPr>
              <w:pStyle w:val="Tabletext"/>
              <w:ind w:left="-28" w:right="-28"/>
              <w:rPr>
                <w:rFonts w:eastAsia="Times New Roman"/>
                <w:lang w:eastAsia="en-US"/>
              </w:rPr>
            </w:pPr>
            <w:r w:rsidRPr="00EB1471">
              <w:rPr>
                <w:rFonts w:eastAsia="Times New Roman"/>
                <w:lang w:eastAsia="en-US"/>
              </w:rPr>
              <w:t>COMBI</w:t>
            </w:r>
          </w:p>
        </w:tc>
        <w:tc>
          <w:tcPr>
            <w:tcW w:w="328"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6"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t>–</w:t>
            </w:r>
          </w:p>
        </w:tc>
        <w:tc>
          <w:tcPr>
            <w:tcW w:w="367"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t>–</w:t>
            </w:r>
          </w:p>
        </w:tc>
        <w:tc>
          <w:tcPr>
            <w:tcW w:w="472"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t>Right-heart failure</w:t>
            </w:r>
          </w:p>
        </w:tc>
        <w:tc>
          <w:tcPr>
            <w:tcW w:w="506"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t>–</w:t>
            </w:r>
          </w:p>
        </w:tc>
        <w:tc>
          <w:tcPr>
            <w:tcW w:w="2334" w:type="pct"/>
            <w:tcBorders>
              <w:top w:val="single" w:sz="4" w:space="0" w:color="auto"/>
              <w:left w:val="single" w:sz="4" w:space="0" w:color="auto"/>
              <w:bottom w:val="single" w:sz="4" w:space="0" w:color="auto"/>
              <w:right w:val="single" w:sz="4" w:space="0" w:color="auto"/>
            </w:tcBorders>
          </w:tcPr>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Deterioration in WHO FC; or</w:t>
            </w:r>
          </w:p>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Decrease in 6MWD by ≥20% or &lt;150 metres</w:t>
            </w:r>
          </w:p>
        </w:tc>
      </w:tr>
      <w:tr w:rsidR="001D0FDA" w:rsidRPr="00EB1471" w:rsidTr="005A0C83">
        <w:tc>
          <w:tcPr>
            <w:tcW w:w="627" w:type="pct"/>
            <w:tcMar>
              <w:left w:w="108" w:type="dxa"/>
              <w:right w:w="108" w:type="dxa"/>
            </w:tcMar>
            <w:vAlign w:val="center"/>
          </w:tcPr>
          <w:p w:rsidR="001D0FDA" w:rsidRPr="00EB1471" w:rsidRDefault="001D0FDA" w:rsidP="001D0FDA">
            <w:pPr>
              <w:pStyle w:val="Tabletext"/>
              <w:ind w:left="-28" w:right="-28"/>
              <w:rPr>
                <w:rFonts w:eastAsia="Times New Roman"/>
              </w:rPr>
            </w:pPr>
            <w:r w:rsidRPr="00EB1471">
              <w:rPr>
                <w:rFonts w:eastAsia="Times New Roman"/>
              </w:rPr>
              <w:t>COMPASS-2</w:t>
            </w:r>
          </w:p>
        </w:tc>
        <w:tc>
          <w:tcPr>
            <w:tcW w:w="328"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6"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7"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472"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506" w:type="pct"/>
            <w:vAlign w:val="center"/>
          </w:tcPr>
          <w:p w:rsidR="001D0FDA" w:rsidRPr="00EB1471" w:rsidRDefault="001D0FDA" w:rsidP="001D0FDA">
            <w:pPr>
              <w:pStyle w:val="Tabletext"/>
              <w:ind w:left="-57" w:right="-57"/>
              <w:jc w:val="center"/>
              <w:rPr>
                <w:rFonts w:eastAsia="Times New Roman"/>
                <w:lang w:eastAsia="en-US"/>
              </w:rPr>
            </w:pPr>
            <w:r w:rsidRPr="00EB1471">
              <w:rPr>
                <w:rFonts w:eastAsia="Times New Roman"/>
                <w:lang w:eastAsia="en-US"/>
              </w:rPr>
              <w:t>IV prostanoid</w:t>
            </w:r>
          </w:p>
        </w:tc>
        <w:tc>
          <w:tcPr>
            <w:tcW w:w="2334" w:type="pct"/>
          </w:tcPr>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Moderate or marked worsening of PAH symptoms and the initiation of SC or inhaled prostanoid or use of bosentan; or</w:t>
            </w:r>
          </w:p>
          <w:p w:rsidR="001D0FDA" w:rsidRPr="00EB1471" w:rsidRDefault="001D0FDA" w:rsidP="00480FDF">
            <w:pPr>
              <w:pStyle w:val="Tabletext"/>
              <w:numPr>
                <w:ilvl w:val="0"/>
                <w:numId w:val="47"/>
              </w:numPr>
              <w:ind w:left="141" w:hanging="142"/>
              <w:rPr>
                <w:rFonts w:eastAsia="Times New Roman"/>
                <w:lang w:eastAsia="en-US"/>
              </w:rPr>
            </w:pPr>
            <w:r w:rsidRPr="00EB1471">
              <w:rPr>
                <w:rFonts w:eastAsia="Times New Roman"/>
                <w:snapToGrid w:val="0"/>
                <w:lang w:eastAsia="en-US"/>
              </w:rPr>
              <w:t>No change or mild worsening of PAH symptoms, accompanied by decrease in 6MWD of &gt; 20% from the previous visit or &gt;30% from baseline and by the initiation of SC or inhaled prostanoid or use of bosentan</w:t>
            </w:r>
          </w:p>
        </w:tc>
      </w:tr>
      <w:tr w:rsidR="001D0FDA" w:rsidRPr="00EB1471" w:rsidTr="005A0C83">
        <w:tc>
          <w:tcPr>
            <w:tcW w:w="627" w:type="pct"/>
            <w:tcMar>
              <w:left w:w="108" w:type="dxa"/>
              <w:right w:w="108" w:type="dxa"/>
            </w:tcMar>
            <w:vAlign w:val="center"/>
          </w:tcPr>
          <w:p w:rsidR="001D0FDA" w:rsidRPr="00EB1471" w:rsidRDefault="001D0FDA" w:rsidP="001D0FDA">
            <w:pPr>
              <w:pStyle w:val="Tabletext"/>
              <w:ind w:left="-28" w:right="-28"/>
              <w:rPr>
                <w:rFonts w:eastAsia="Times New Roman"/>
              </w:rPr>
            </w:pPr>
            <w:r w:rsidRPr="00EB1471">
              <w:rPr>
                <w:rFonts w:eastAsia="Times New Roman"/>
              </w:rPr>
              <w:t>EARLY</w:t>
            </w:r>
          </w:p>
        </w:tc>
        <w:tc>
          <w:tcPr>
            <w:tcW w:w="328"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6"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t>–</w:t>
            </w:r>
          </w:p>
        </w:tc>
        <w:tc>
          <w:tcPr>
            <w:tcW w:w="367"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t>–</w:t>
            </w:r>
          </w:p>
        </w:tc>
        <w:tc>
          <w:tcPr>
            <w:tcW w:w="472"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506" w:type="pct"/>
            <w:vAlign w:val="center"/>
          </w:tcPr>
          <w:p w:rsidR="001D0FDA" w:rsidRPr="00EB1471" w:rsidRDefault="001D0FDA" w:rsidP="001D0FDA">
            <w:pPr>
              <w:pStyle w:val="Tabletext"/>
              <w:ind w:left="-57" w:right="-57"/>
              <w:jc w:val="center"/>
              <w:rPr>
                <w:rFonts w:eastAsia="Times New Roman"/>
                <w:lang w:eastAsia="en-US"/>
              </w:rPr>
            </w:pPr>
            <w:r w:rsidRPr="00EB1471">
              <w:rPr>
                <w:rFonts w:eastAsia="Times New Roman"/>
                <w:snapToGrid w:val="0"/>
                <w:lang w:eastAsia="en-US"/>
              </w:rPr>
              <w:t>–</w:t>
            </w:r>
          </w:p>
        </w:tc>
        <w:tc>
          <w:tcPr>
            <w:tcW w:w="2334" w:type="pct"/>
          </w:tcPr>
          <w:p w:rsidR="001D0FDA" w:rsidRPr="00EB1471" w:rsidRDefault="001D0FDA" w:rsidP="001D0FDA">
            <w:pPr>
              <w:pStyle w:val="Tabletext"/>
              <w:rPr>
                <w:rFonts w:eastAsia="Times New Roman"/>
                <w:lang w:eastAsia="en-US"/>
              </w:rPr>
            </w:pPr>
            <w:r w:rsidRPr="00EB1471">
              <w:rPr>
                <w:rFonts w:eastAsia="Times New Roman"/>
                <w:lang w:eastAsia="en-US"/>
              </w:rPr>
              <w:t>One of the following:</w:t>
            </w:r>
          </w:p>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 xml:space="preserve">Appearance or worsening of right-heart failure; </w:t>
            </w:r>
          </w:p>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Decrease of ≥10% from baseline in 6MWD</w:t>
            </w:r>
            <w:r w:rsidR="001F432E">
              <w:rPr>
                <w:rFonts w:eastAsia="Times New Roman"/>
                <w:snapToGrid w:val="0"/>
                <w:lang w:eastAsia="en-US"/>
              </w:rPr>
              <w:t>; or</w:t>
            </w:r>
            <w:r w:rsidRPr="00EB1471">
              <w:rPr>
                <w:rFonts w:eastAsia="Times New Roman"/>
                <w:snapToGrid w:val="0"/>
                <w:lang w:eastAsia="en-US"/>
              </w:rPr>
              <w:t xml:space="preserve"> </w:t>
            </w:r>
          </w:p>
          <w:p w:rsidR="001D0FDA" w:rsidRPr="00EB1471" w:rsidRDefault="001D0FDA" w:rsidP="00480FDF">
            <w:pPr>
              <w:pStyle w:val="Tabletext"/>
              <w:numPr>
                <w:ilvl w:val="0"/>
                <w:numId w:val="47"/>
              </w:numPr>
              <w:ind w:left="141" w:hanging="142"/>
              <w:rPr>
                <w:rFonts w:eastAsia="Times New Roman"/>
                <w:lang w:eastAsia="en-US"/>
              </w:rPr>
            </w:pPr>
            <w:r w:rsidRPr="00EB1471">
              <w:rPr>
                <w:rFonts w:eastAsia="Times New Roman"/>
                <w:snapToGrid w:val="0"/>
                <w:lang w:eastAsia="en-US"/>
              </w:rPr>
              <w:t>Decrease of ≥5% from baseline in 6MWD and ≥ 2 points increase in Borg dyspnoea index</w:t>
            </w:r>
          </w:p>
        </w:tc>
      </w:tr>
      <w:tr w:rsidR="001D0FDA" w:rsidRPr="00EB1471" w:rsidTr="005A0C83">
        <w:tc>
          <w:tcPr>
            <w:tcW w:w="627" w:type="pct"/>
            <w:shd w:val="clear" w:color="auto" w:fill="auto"/>
            <w:tcMar>
              <w:left w:w="108" w:type="dxa"/>
              <w:right w:w="108" w:type="dxa"/>
            </w:tcMar>
            <w:vAlign w:val="center"/>
          </w:tcPr>
          <w:p w:rsidR="001D0FDA" w:rsidRPr="00EB1471" w:rsidRDefault="001D0FDA" w:rsidP="001D0FDA">
            <w:pPr>
              <w:pStyle w:val="Tabletext"/>
              <w:ind w:left="-28" w:right="-28"/>
              <w:rPr>
                <w:rFonts w:eastAsia="Times New Roman"/>
                <w:lang w:eastAsia="en-US"/>
              </w:rPr>
            </w:pPr>
            <w:r w:rsidRPr="00EB1471">
              <w:rPr>
                <w:rFonts w:eastAsia="Times New Roman"/>
                <w:lang w:eastAsia="en-US"/>
              </w:rPr>
              <w:t>PACES-1</w:t>
            </w:r>
          </w:p>
        </w:tc>
        <w:tc>
          <w:tcPr>
            <w:tcW w:w="328"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6"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7"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t>–</w:t>
            </w:r>
          </w:p>
        </w:tc>
        <w:tc>
          <w:tcPr>
            <w:tcW w:w="472"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506" w:type="pct"/>
            <w:vAlign w:val="center"/>
          </w:tcPr>
          <w:p w:rsidR="001D0FDA" w:rsidRPr="00EB1471" w:rsidRDefault="001D0FDA" w:rsidP="001D0FDA">
            <w:pPr>
              <w:pStyle w:val="Tabletext"/>
              <w:ind w:left="-57" w:right="-57"/>
              <w:jc w:val="center"/>
              <w:rPr>
                <w:rFonts w:eastAsia="Times New Roman"/>
                <w:snapToGrid w:val="0"/>
                <w:lang w:eastAsia="en-US"/>
              </w:rPr>
            </w:pPr>
            <w:r w:rsidRPr="00EB1471">
              <w:rPr>
                <w:rFonts w:eastAsia="Times New Roman"/>
                <w:snapToGrid w:val="0"/>
                <w:lang w:eastAsia="en-US"/>
              </w:rPr>
              <w:t>Bosentan</w:t>
            </w:r>
          </w:p>
        </w:tc>
        <w:tc>
          <w:tcPr>
            <w:tcW w:w="2334" w:type="pct"/>
          </w:tcPr>
          <w:p w:rsidR="001D0FDA" w:rsidRPr="00EB1471" w:rsidRDefault="001D0FDA" w:rsidP="001D0FDA">
            <w:pPr>
              <w:pStyle w:val="Tabletext"/>
              <w:rPr>
                <w:rFonts w:eastAsia="Times New Roman"/>
                <w:snapToGrid w:val="0"/>
                <w:lang w:eastAsia="en-US"/>
              </w:rPr>
            </w:pPr>
            <w:r w:rsidRPr="00EB1471">
              <w:rPr>
                <w:rFonts w:eastAsia="Times New Roman"/>
                <w:snapToGrid w:val="0"/>
                <w:lang w:eastAsia="en-US"/>
              </w:rPr>
              <w:t>Change in epoprostenol dose of ≥10% due to clinical deterioration</w:t>
            </w:r>
          </w:p>
        </w:tc>
      </w:tr>
      <w:tr w:rsidR="001D0FDA" w:rsidRPr="00EB1471" w:rsidTr="005A0C83">
        <w:tc>
          <w:tcPr>
            <w:tcW w:w="627" w:type="pct"/>
            <w:shd w:val="clear" w:color="auto" w:fill="auto"/>
            <w:tcMar>
              <w:left w:w="108" w:type="dxa"/>
              <w:right w:w="108" w:type="dxa"/>
            </w:tcMar>
            <w:vAlign w:val="center"/>
          </w:tcPr>
          <w:p w:rsidR="001D0FDA" w:rsidRPr="00EB1471" w:rsidRDefault="001D0FDA" w:rsidP="001D0FDA">
            <w:pPr>
              <w:pStyle w:val="Tabletext"/>
              <w:ind w:left="-28" w:right="-28"/>
              <w:rPr>
                <w:rFonts w:eastAsia="Times New Roman"/>
              </w:rPr>
            </w:pPr>
            <w:r w:rsidRPr="00EB1471">
              <w:rPr>
                <w:rFonts w:eastAsia="Times New Roman"/>
              </w:rPr>
              <w:t>PATENT-1</w:t>
            </w:r>
          </w:p>
        </w:tc>
        <w:tc>
          <w:tcPr>
            <w:tcW w:w="328"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6"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7"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472"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506" w:type="pct"/>
            <w:vAlign w:val="center"/>
          </w:tcPr>
          <w:p w:rsidR="001D0FDA" w:rsidRPr="00EB1471" w:rsidRDefault="001D0FDA" w:rsidP="001D0FDA">
            <w:pPr>
              <w:pStyle w:val="Tabletext"/>
              <w:ind w:left="-57" w:right="-57"/>
              <w:jc w:val="center"/>
              <w:rPr>
                <w:rFonts w:eastAsia="Times New Roman"/>
                <w:snapToGrid w:val="0"/>
                <w:lang w:eastAsia="en-US"/>
              </w:rPr>
            </w:pPr>
            <w:r w:rsidRPr="00EB1471">
              <w:rPr>
                <w:rFonts w:eastAsia="Times New Roman"/>
                <w:snapToGrid w:val="0"/>
                <w:lang w:eastAsia="en-US"/>
              </w:rPr>
              <w:sym w:font="Wingdings" w:char="F0FC"/>
            </w:r>
          </w:p>
        </w:tc>
        <w:tc>
          <w:tcPr>
            <w:tcW w:w="2334" w:type="pct"/>
          </w:tcPr>
          <w:p w:rsidR="001F432E"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Decrease in 6MWD of &gt;15% from baseline or &gt;30% from the last measurement</w:t>
            </w:r>
          </w:p>
          <w:p w:rsidR="001D0FDA" w:rsidRPr="00EB1471" w:rsidRDefault="001F432E" w:rsidP="00480FDF">
            <w:pPr>
              <w:pStyle w:val="Tabletext"/>
              <w:numPr>
                <w:ilvl w:val="0"/>
                <w:numId w:val="47"/>
              </w:numPr>
              <w:ind w:left="141" w:hanging="142"/>
              <w:rPr>
                <w:rFonts w:eastAsia="Times New Roman"/>
                <w:snapToGrid w:val="0"/>
                <w:lang w:eastAsia="en-US"/>
              </w:rPr>
            </w:pPr>
            <w:r>
              <w:rPr>
                <w:rFonts w:eastAsia="Times New Roman"/>
                <w:snapToGrid w:val="0"/>
                <w:lang w:eastAsia="en-US"/>
              </w:rPr>
              <w:t>Persistent worsening of WHO FC</w:t>
            </w:r>
            <w:r w:rsidR="001D0FDA" w:rsidRPr="00EB1471">
              <w:rPr>
                <w:rFonts w:eastAsia="Times New Roman"/>
                <w:snapToGrid w:val="0"/>
                <w:lang w:eastAsia="en-US"/>
              </w:rPr>
              <w:t>; or</w:t>
            </w:r>
          </w:p>
          <w:p w:rsidR="001D0FDA" w:rsidRPr="00EB1471" w:rsidRDefault="001D0FDA" w:rsidP="00480FDF">
            <w:pPr>
              <w:pStyle w:val="Tabletext"/>
              <w:numPr>
                <w:ilvl w:val="0"/>
                <w:numId w:val="47"/>
              </w:numPr>
              <w:ind w:left="141" w:hanging="142"/>
              <w:rPr>
                <w:rFonts w:eastAsia="Times New Roman"/>
                <w:lang w:eastAsia="en-US"/>
              </w:rPr>
            </w:pPr>
            <w:r w:rsidRPr="00EB1471">
              <w:rPr>
                <w:rFonts w:eastAsia="Times New Roman"/>
                <w:snapToGrid w:val="0"/>
                <w:lang w:eastAsia="en-US"/>
              </w:rPr>
              <w:t>Modification of a pre-existing prostanoid treatment due to worsening PAH</w:t>
            </w:r>
          </w:p>
        </w:tc>
      </w:tr>
      <w:tr w:rsidR="001D0FDA" w:rsidRPr="00EB1471" w:rsidTr="005A0C83">
        <w:tc>
          <w:tcPr>
            <w:tcW w:w="627" w:type="pct"/>
            <w:shd w:val="clear" w:color="auto" w:fill="auto"/>
            <w:tcMar>
              <w:left w:w="108" w:type="dxa"/>
              <w:right w:w="108" w:type="dxa"/>
            </w:tcMar>
            <w:vAlign w:val="center"/>
          </w:tcPr>
          <w:p w:rsidR="001D0FDA" w:rsidRPr="00EB1471" w:rsidRDefault="001D0FDA" w:rsidP="001D0FDA">
            <w:pPr>
              <w:pStyle w:val="Tabletext"/>
              <w:ind w:left="-28" w:right="-28"/>
              <w:rPr>
                <w:rFonts w:eastAsia="Times New Roman"/>
              </w:rPr>
            </w:pPr>
            <w:r w:rsidRPr="00EB1471">
              <w:rPr>
                <w:rFonts w:eastAsia="Times New Roman"/>
              </w:rPr>
              <w:t>PHIRST</w:t>
            </w:r>
          </w:p>
        </w:tc>
        <w:tc>
          <w:tcPr>
            <w:tcW w:w="328"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6"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7"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472"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506" w:type="pct"/>
            <w:vAlign w:val="center"/>
          </w:tcPr>
          <w:p w:rsidR="001D0FDA" w:rsidRPr="00EB1471" w:rsidRDefault="001D0FDA" w:rsidP="001D0FDA">
            <w:pPr>
              <w:pStyle w:val="Tabletext"/>
              <w:ind w:left="-57" w:right="-57"/>
              <w:jc w:val="center"/>
              <w:rPr>
                <w:rFonts w:eastAsia="Times New Roman"/>
                <w:lang w:eastAsia="en-US"/>
              </w:rPr>
            </w:pPr>
            <w:r w:rsidRPr="00EB1471">
              <w:rPr>
                <w:rFonts w:eastAsia="Times New Roman"/>
                <w:snapToGrid w:val="0"/>
                <w:lang w:eastAsia="en-US"/>
              </w:rPr>
              <w:sym w:font="Wingdings" w:char="F0FC"/>
            </w:r>
          </w:p>
        </w:tc>
        <w:tc>
          <w:tcPr>
            <w:tcW w:w="2334" w:type="pct"/>
          </w:tcPr>
          <w:p w:rsidR="001D0FDA" w:rsidRPr="00EB1471" w:rsidRDefault="001D0FDA" w:rsidP="001D0FDA">
            <w:pPr>
              <w:pStyle w:val="Tabletext"/>
              <w:rPr>
                <w:rFonts w:eastAsia="Times New Roman"/>
                <w:lang w:eastAsia="en-US"/>
              </w:rPr>
            </w:pPr>
            <w:r w:rsidRPr="00EB1471">
              <w:rPr>
                <w:rFonts w:eastAsia="Times New Roman"/>
                <w:lang w:eastAsia="en-US"/>
              </w:rPr>
              <w:t>Worsening of WHO FC</w:t>
            </w:r>
          </w:p>
        </w:tc>
      </w:tr>
      <w:tr w:rsidR="001D0FDA" w:rsidRPr="00EB1471" w:rsidTr="005A0C83">
        <w:tc>
          <w:tcPr>
            <w:tcW w:w="627" w:type="pct"/>
            <w:shd w:val="clear" w:color="auto" w:fill="auto"/>
            <w:tcMar>
              <w:left w:w="108" w:type="dxa"/>
              <w:right w:w="108" w:type="dxa"/>
            </w:tcMar>
            <w:vAlign w:val="center"/>
          </w:tcPr>
          <w:p w:rsidR="001D0FDA" w:rsidRPr="00EB1471" w:rsidRDefault="001D0FDA" w:rsidP="001D0FDA">
            <w:pPr>
              <w:pStyle w:val="Tabletext"/>
              <w:ind w:left="-28" w:right="-28"/>
              <w:rPr>
                <w:rFonts w:eastAsia="Times New Roman"/>
              </w:rPr>
            </w:pPr>
            <w:r w:rsidRPr="00EB1471">
              <w:rPr>
                <w:rFonts w:eastAsia="Times New Roman"/>
              </w:rPr>
              <w:t>SERAPHIN</w:t>
            </w:r>
          </w:p>
        </w:tc>
        <w:tc>
          <w:tcPr>
            <w:tcW w:w="328"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6"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7"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472"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t>–</w:t>
            </w:r>
          </w:p>
        </w:tc>
        <w:tc>
          <w:tcPr>
            <w:tcW w:w="506" w:type="pct"/>
            <w:vAlign w:val="center"/>
          </w:tcPr>
          <w:p w:rsidR="001D0FDA" w:rsidRPr="00EB1471" w:rsidRDefault="001D0FDA" w:rsidP="001D0FDA">
            <w:pPr>
              <w:pStyle w:val="Tabletext"/>
              <w:ind w:left="-57" w:right="-57"/>
              <w:jc w:val="center"/>
              <w:rPr>
                <w:rFonts w:eastAsia="Times New Roman"/>
                <w:snapToGrid w:val="0"/>
                <w:lang w:eastAsia="en-US"/>
              </w:rPr>
            </w:pPr>
            <w:r w:rsidRPr="00EB1471">
              <w:rPr>
                <w:rFonts w:eastAsia="Times New Roman"/>
                <w:snapToGrid w:val="0"/>
                <w:lang w:eastAsia="en-US"/>
              </w:rPr>
              <w:t>SC or IV prostanoid</w:t>
            </w:r>
          </w:p>
        </w:tc>
        <w:tc>
          <w:tcPr>
            <w:tcW w:w="2334" w:type="pct"/>
          </w:tcPr>
          <w:p w:rsidR="001D0FDA" w:rsidRPr="00EB1471" w:rsidRDefault="001D0FDA" w:rsidP="001D0FDA">
            <w:pPr>
              <w:pStyle w:val="Tabletext"/>
              <w:rPr>
                <w:rFonts w:eastAsia="Times New Roman"/>
                <w:lang w:eastAsia="en-US"/>
              </w:rPr>
            </w:pPr>
            <w:r w:rsidRPr="00EB1471">
              <w:rPr>
                <w:rFonts w:eastAsia="Times New Roman"/>
                <w:lang w:eastAsia="en-US"/>
              </w:rPr>
              <w:t>All of the following:</w:t>
            </w:r>
          </w:p>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≥15% decrease in 6MWD from baseline</w:t>
            </w:r>
            <w:r w:rsidR="001F432E">
              <w:rPr>
                <w:rFonts w:eastAsia="Times New Roman"/>
                <w:snapToGrid w:val="0"/>
                <w:lang w:eastAsia="en-US"/>
              </w:rPr>
              <w:t>;</w:t>
            </w:r>
          </w:p>
          <w:p w:rsidR="001D0FDA" w:rsidRPr="00EB1471" w:rsidRDefault="001F432E" w:rsidP="00480FDF">
            <w:pPr>
              <w:pStyle w:val="Tabletext"/>
              <w:numPr>
                <w:ilvl w:val="0"/>
                <w:numId w:val="47"/>
              </w:numPr>
              <w:ind w:left="141" w:hanging="142"/>
              <w:rPr>
                <w:rFonts w:eastAsia="Times New Roman"/>
                <w:snapToGrid w:val="0"/>
                <w:lang w:eastAsia="en-US"/>
              </w:rPr>
            </w:pPr>
            <w:r>
              <w:rPr>
                <w:rFonts w:eastAsia="Times New Roman"/>
                <w:snapToGrid w:val="0"/>
                <w:lang w:eastAsia="en-US"/>
              </w:rPr>
              <w:t>N</w:t>
            </w:r>
            <w:r w:rsidR="001D0FDA" w:rsidRPr="00EB1471">
              <w:rPr>
                <w:rFonts w:eastAsia="Times New Roman"/>
                <w:snapToGrid w:val="0"/>
                <w:lang w:eastAsia="en-US"/>
              </w:rPr>
              <w:t>eed for additional treatment for PAH; and</w:t>
            </w:r>
          </w:p>
          <w:p w:rsidR="001D0FDA" w:rsidRPr="00EB1471" w:rsidRDefault="001F432E" w:rsidP="00480FDF">
            <w:pPr>
              <w:pStyle w:val="Tabletext"/>
              <w:numPr>
                <w:ilvl w:val="0"/>
                <w:numId w:val="47"/>
              </w:numPr>
              <w:ind w:left="141" w:hanging="142"/>
              <w:rPr>
                <w:rFonts w:eastAsia="Times New Roman"/>
                <w:lang w:eastAsia="en-US"/>
              </w:rPr>
            </w:pPr>
            <w:r>
              <w:rPr>
                <w:rFonts w:eastAsia="Times New Roman"/>
                <w:snapToGrid w:val="0"/>
                <w:lang w:eastAsia="en-US"/>
              </w:rPr>
              <w:t>W</w:t>
            </w:r>
            <w:r w:rsidR="001D0FDA" w:rsidRPr="00EB1471">
              <w:rPr>
                <w:rFonts w:eastAsia="Times New Roman"/>
                <w:snapToGrid w:val="0"/>
                <w:lang w:eastAsia="en-US"/>
              </w:rPr>
              <w:t>orsening of symptoms of PAH</w:t>
            </w:r>
            <w:r>
              <w:rPr>
                <w:rFonts w:eastAsia="Times New Roman"/>
                <w:snapToGrid w:val="0"/>
                <w:lang w:eastAsia="en-US"/>
              </w:rPr>
              <w:t>.</w:t>
            </w:r>
          </w:p>
        </w:tc>
      </w:tr>
      <w:tr w:rsidR="001D0FDA" w:rsidRPr="00EB1471" w:rsidTr="005A0C83">
        <w:tc>
          <w:tcPr>
            <w:tcW w:w="627" w:type="pct"/>
            <w:shd w:val="clear" w:color="auto" w:fill="auto"/>
            <w:tcMar>
              <w:left w:w="108" w:type="dxa"/>
              <w:right w:w="108" w:type="dxa"/>
            </w:tcMar>
            <w:vAlign w:val="center"/>
          </w:tcPr>
          <w:p w:rsidR="001D0FDA" w:rsidRPr="00EB1471" w:rsidRDefault="001D0FDA" w:rsidP="001D0FDA">
            <w:pPr>
              <w:pStyle w:val="Tabletext"/>
              <w:ind w:left="-28" w:right="-28"/>
              <w:rPr>
                <w:rFonts w:eastAsia="Times New Roman"/>
              </w:rPr>
            </w:pPr>
            <w:r w:rsidRPr="00EB1471">
              <w:rPr>
                <w:rFonts w:eastAsia="Times New Roman"/>
                <w:lang w:eastAsia="en-US"/>
              </w:rPr>
              <w:t>STEP</w:t>
            </w:r>
          </w:p>
        </w:tc>
        <w:tc>
          <w:tcPr>
            <w:tcW w:w="328" w:type="pct"/>
            <w:vAlign w:val="center"/>
          </w:tcPr>
          <w:p w:rsidR="001D0FDA" w:rsidRPr="00EB1471" w:rsidRDefault="001D0FDA" w:rsidP="001D0FDA">
            <w:pPr>
              <w:pStyle w:val="Tabletext"/>
              <w:ind w:left="-57" w:right="-57"/>
              <w:jc w:val="center"/>
              <w:rPr>
                <w:rFonts w:eastAsia="Times New Roman"/>
                <w:snapToGrid w:val="0"/>
                <w:lang w:eastAsia="en-US"/>
              </w:rPr>
            </w:pPr>
            <w:r w:rsidRPr="00EB1471">
              <w:rPr>
                <w:rFonts w:eastAsia="Times New Roman"/>
                <w:snapToGrid w:val="0"/>
                <w:lang w:eastAsia="en-US"/>
              </w:rPr>
              <w:t>PAH-related</w:t>
            </w:r>
          </w:p>
        </w:tc>
        <w:tc>
          <w:tcPr>
            <w:tcW w:w="366"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7"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472"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t>Any</w:t>
            </w:r>
          </w:p>
        </w:tc>
        <w:tc>
          <w:tcPr>
            <w:tcW w:w="506"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2334" w:type="pct"/>
          </w:tcPr>
          <w:p w:rsidR="001D0FDA" w:rsidRPr="00EB1471" w:rsidRDefault="001D0FDA" w:rsidP="001D0FDA">
            <w:pPr>
              <w:pStyle w:val="Tabletext"/>
              <w:rPr>
                <w:rFonts w:eastAsia="Times New Roman"/>
                <w:snapToGrid w:val="0"/>
                <w:lang w:eastAsia="en-US"/>
              </w:rPr>
            </w:pPr>
            <w:r w:rsidRPr="00EB1471">
              <w:rPr>
                <w:rFonts w:eastAsia="Times New Roman"/>
                <w:snapToGrid w:val="0"/>
                <w:lang w:eastAsia="en-US"/>
              </w:rPr>
              <w:t>Early study discontinuation due to worsening PAH</w:t>
            </w:r>
          </w:p>
        </w:tc>
      </w:tr>
      <w:tr w:rsidR="001D0FDA" w:rsidRPr="00EB1471" w:rsidTr="005A0C83">
        <w:tc>
          <w:tcPr>
            <w:tcW w:w="627"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1D0FDA" w:rsidRPr="00EB1471" w:rsidRDefault="001D0FDA" w:rsidP="001D0FDA">
            <w:pPr>
              <w:pStyle w:val="Tabletext"/>
              <w:ind w:left="-28" w:right="-28"/>
              <w:rPr>
                <w:rFonts w:eastAsia="Times New Roman"/>
                <w:lang w:eastAsia="en-US"/>
              </w:rPr>
            </w:pPr>
            <w:r w:rsidRPr="00EB1471">
              <w:rPr>
                <w:rFonts w:eastAsia="Times New Roman"/>
                <w:lang w:eastAsia="en-US"/>
              </w:rPr>
              <w:t>Vizza 2017</w:t>
            </w:r>
          </w:p>
        </w:tc>
        <w:tc>
          <w:tcPr>
            <w:tcW w:w="328"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6"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7"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t>–</w:t>
            </w:r>
          </w:p>
        </w:tc>
        <w:tc>
          <w:tcPr>
            <w:tcW w:w="472"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506"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2334" w:type="pct"/>
            <w:tcBorders>
              <w:top w:val="single" w:sz="4" w:space="0" w:color="auto"/>
              <w:left w:val="single" w:sz="4" w:space="0" w:color="auto"/>
              <w:bottom w:val="single" w:sz="4" w:space="0" w:color="auto"/>
              <w:right w:val="single" w:sz="4" w:space="0" w:color="auto"/>
            </w:tcBorders>
          </w:tcPr>
          <w:p w:rsidR="001D0FDA" w:rsidRPr="00EB1471" w:rsidRDefault="001D0FDA" w:rsidP="001D0FDA">
            <w:pPr>
              <w:pStyle w:val="Tabletext"/>
              <w:rPr>
                <w:rFonts w:eastAsia="Times New Roman"/>
                <w:snapToGrid w:val="0"/>
                <w:lang w:eastAsia="en-US"/>
              </w:rPr>
            </w:pPr>
            <w:r w:rsidRPr="00EB1471">
              <w:rPr>
                <w:rFonts w:eastAsia="Times New Roman"/>
                <w:snapToGrid w:val="0"/>
                <w:lang w:eastAsia="en-US"/>
              </w:rPr>
              <w:t>–</w:t>
            </w:r>
          </w:p>
        </w:tc>
      </w:tr>
      <w:tr w:rsidR="001D0FDA" w:rsidRPr="00EB1471" w:rsidTr="005A0C83">
        <w:tc>
          <w:tcPr>
            <w:tcW w:w="627"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1D0FDA" w:rsidRPr="00EB1471" w:rsidRDefault="001D0FDA" w:rsidP="001D0FDA">
            <w:pPr>
              <w:pStyle w:val="Tabletext"/>
              <w:ind w:left="-28" w:right="-28"/>
              <w:rPr>
                <w:rFonts w:eastAsia="Times New Roman"/>
                <w:lang w:eastAsia="en-US"/>
              </w:rPr>
            </w:pPr>
            <w:r w:rsidRPr="00EB1471">
              <w:rPr>
                <w:rFonts w:eastAsia="Times New Roman"/>
                <w:lang w:eastAsia="en-US"/>
              </w:rPr>
              <w:t>Zhuang 2014</w:t>
            </w:r>
          </w:p>
        </w:tc>
        <w:tc>
          <w:tcPr>
            <w:tcW w:w="328"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6"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7"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472"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506"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2334" w:type="pct"/>
            <w:tcBorders>
              <w:top w:val="single" w:sz="4" w:space="0" w:color="auto"/>
              <w:left w:val="single" w:sz="4" w:space="0" w:color="auto"/>
              <w:bottom w:val="single" w:sz="4" w:space="0" w:color="auto"/>
              <w:right w:val="single" w:sz="4" w:space="0" w:color="auto"/>
            </w:tcBorders>
          </w:tcPr>
          <w:p w:rsidR="001D0FDA" w:rsidRPr="00EB1471" w:rsidRDefault="001F432E" w:rsidP="001D0FDA">
            <w:pPr>
              <w:pStyle w:val="Tabletext"/>
              <w:rPr>
                <w:rFonts w:eastAsia="Times New Roman"/>
                <w:snapToGrid w:val="0"/>
                <w:lang w:eastAsia="en-US"/>
              </w:rPr>
            </w:pPr>
            <w:r>
              <w:rPr>
                <w:rFonts w:eastAsia="Times New Roman"/>
                <w:snapToGrid w:val="0"/>
                <w:lang w:eastAsia="en-US"/>
              </w:rPr>
              <w:t>Worsening of WHO FC</w:t>
            </w:r>
          </w:p>
        </w:tc>
      </w:tr>
    </w:tbl>
    <w:p w:rsidR="001D0FDA" w:rsidRPr="00EB1471" w:rsidRDefault="001D0FDA" w:rsidP="001D0FDA">
      <w:pPr>
        <w:pStyle w:val="Tablenote"/>
      </w:pPr>
      <w:r w:rsidRPr="00EB1471">
        <w:t xml:space="preserve">6-MWD = 6-minute </w:t>
      </w:r>
      <w:r w:rsidR="0082368E">
        <w:t>walk distance</w:t>
      </w:r>
      <w:r w:rsidRPr="00EB1471">
        <w:t>; AS = atrial septostomy; FC = functional class; IV = intravenous; LT = lung transplant; PAH = pulmonary arterial hypertension; SC = subcutaneous; WHO = World Health Organization</w:t>
      </w:r>
    </w:p>
    <w:p w:rsidR="001D0FDA" w:rsidRPr="00EB1471" w:rsidRDefault="001D0FDA" w:rsidP="001D0FDA">
      <w:r w:rsidRPr="00EB1471">
        <w:t xml:space="preserve">Mortality is the other clinically important endpoint. However the generally short duration of study follow-up of the included RCTs was insufficient for a reliable assessment of </w:t>
      </w:r>
      <w:r w:rsidR="00B603BC">
        <w:t>this endpoint in PAH patients.</w:t>
      </w:r>
    </w:p>
    <w:p w:rsidR="001D0FDA" w:rsidRPr="00EB1471" w:rsidRDefault="001D0FDA" w:rsidP="005A0C83">
      <w:r>
        <w:lastRenderedPageBreak/>
        <w:t xml:space="preserve">The </w:t>
      </w:r>
      <w:r w:rsidRPr="00EB1471">
        <w:t xml:space="preserve">6MWD, which assesses the treatment effect of </w:t>
      </w:r>
      <w:r>
        <w:t>PAH medicine</w:t>
      </w:r>
      <w:r w:rsidRPr="00EB1471">
        <w:t>s on exercise capacity, is measured in almost all PAH studies. Change in 6MWD has been previously accepted by the PBAC as an appropriate surrogate outcome. Nevertheless, the validity of the 6MWD, as a surrogate for survival, remains a subject of debate in the literature</w:t>
      </w:r>
      <w:r w:rsidR="001D34EE" w:rsidRPr="001A1C44">
        <w:rPr>
          <w:noProof/>
          <w:vertAlign w:val="superscript"/>
        </w:rPr>
        <w:t>75</w:t>
      </w:r>
      <w:r w:rsidRPr="00EB1471">
        <w:t>. The EMA guidelines on PAH</w:t>
      </w:r>
      <w:r w:rsidR="001D34EE" w:rsidRPr="001A1C44">
        <w:rPr>
          <w:noProof/>
          <w:vertAlign w:val="superscript"/>
        </w:rPr>
        <w:t>74</w:t>
      </w:r>
      <w:r w:rsidRPr="00EB1471">
        <w:t xml:space="preserve"> point out that there is uncertainty regarding the suitability of 6MWD as a primary endpoint given that </w:t>
      </w:r>
      <w:r>
        <w:t>it</w:t>
      </w:r>
      <w:r w:rsidRPr="00EB1471">
        <w:t xml:space="preserve"> is influenced by age, gender, height, weight and degree of motivation and that improvement in performance has been shown not to correlate with survival. The EMA accepts </w:t>
      </w:r>
      <w:r>
        <w:t xml:space="preserve">the </w:t>
      </w:r>
      <w:r w:rsidRPr="00EB1471">
        <w:t xml:space="preserve">6MWD as a primary endpoint for PAH trials </w:t>
      </w:r>
      <w:r w:rsidRPr="00A26FBC">
        <w:rPr>
          <w:i/>
        </w:rPr>
        <w:t>only</w:t>
      </w:r>
      <w:r w:rsidRPr="00EB1471">
        <w:t xml:space="preserve"> if the proposed indication is restricted to improvement in exercise capacity and states that </w:t>
      </w:r>
      <w:r>
        <w:t xml:space="preserve">the </w:t>
      </w:r>
      <w:r w:rsidRPr="00EB1471">
        <w:t>6MWD should be used in conjunction with other efficacy endpoints when the indication claims an effect on clinical worsening. There are numerous references that propose a minimum clinical</w:t>
      </w:r>
      <w:r>
        <w:t>ly</w:t>
      </w:r>
      <w:r w:rsidRPr="00EB1471">
        <w:t xml:space="preserve"> important difference in 6MWD of between 35 m and 50 m</w:t>
      </w:r>
      <w:r w:rsidR="001D34EE" w:rsidRPr="001A1C44">
        <w:rPr>
          <w:noProof/>
          <w:vertAlign w:val="superscript"/>
        </w:rPr>
        <w:t>76-80</w:t>
      </w:r>
      <w:r w:rsidRPr="00EB1471">
        <w:t xml:space="preserve">. Non-inferiority thresholds of -35m and -50m in 6MWD were used previously in the context of PBS reimbursement applications and have been accepted by the PBAC (ambrisentan PSD, July 2009 PBAC meeting; epoprostenol PSD, November 2011 PBAC meeting). </w:t>
      </w:r>
      <w:r w:rsidRPr="00F4042C">
        <w:t>The 6MWT was rated as a</w:t>
      </w:r>
      <w:r>
        <w:t>n</w:t>
      </w:r>
      <w:r w:rsidRPr="00F4042C">
        <w:t xml:space="preserve"> important outcome according to the GRADE Working Group grades of evidence</w:t>
      </w:r>
      <w:r w:rsidR="001D34EE" w:rsidRPr="001D34EE">
        <w:rPr>
          <w:noProof/>
          <w:vertAlign w:val="superscript"/>
        </w:rPr>
        <w:t>1</w:t>
      </w:r>
      <w:r>
        <w:t>.</w:t>
      </w:r>
      <w:r w:rsidRPr="00EB1471">
        <w:t xml:space="preserve"> </w:t>
      </w:r>
    </w:p>
    <w:p w:rsidR="001D0FDA" w:rsidRPr="00EB1471" w:rsidRDefault="001D0FDA" w:rsidP="005A0C83">
      <w:r w:rsidRPr="008D73C9">
        <w:t xml:space="preserve">The diagnosis of PAH needs to be confirmed by right cardiac catheterisation with appropriate haemodynamic measurements. Haemodynamic measures, including </w:t>
      </w:r>
      <w:r>
        <w:t>p</w:t>
      </w:r>
      <w:r w:rsidRPr="00992103">
        <w:t xml:space="preserve">ulmonary </w:t>
      </w:r>
      <w:r>
        <w:t>a</w:t>
      </w:r>
      <w:r w:rsidRPr="00992103">
        <w:t xml:space="preserve">rtery </w:t>
      </w:r>
      <w:r>
        <w:t>p</w:t>
      </w:r>
      <w:r w:rsidRPr="00992103">
        <w:t xml:space="preserve">ressure </w:t>
      </w:r>
      <w:r>
        <w:t>(</w:t>
      </w:r>
      <w:r w:rsidRPr="008D73C9">
        <w:t>PAP</w:t>
      </w:r>
      <w:r>
        <w:t>)</w:t>
      </w:r>
      <w:r w:rsidRPr="008D73C9">
        <w:t xml:space="preserve">, </w:t>
      </w:r>
      <w:r>
        <w:t>pulmonary vascular resistance (</w:t>
      </w:r>
      <w:r w:rsidRPr="008D73C9">
        <w:t>PVR</w:t>
      </w:r>
      <w:r>
        <w:t>)</w:t>
      </w:r>
      <w:r w:rsidRPr="008D73C9">
        <w:t xml:space="preserve">, cardiac index, </w:t>
      </w:r>
      <w:r>
        <w:t xml:space="preserve">pulmonary </w:t>
      </w:r>
      <w:r w:rsidRPr="00992103">
        <w:t>capillary wedge pressure</w:t>
      </w:r>
      <w:r>
        <w:t xml:space="preserve"> (</w:t>
      </w:r>
      <w:r w:rsidRPr="008D73C9">
        <w:t>PCWP</w:t>
      </w:r>
      <w:r>
        <w:t>)</w:t>
      </w:r>
      <w:r w:rsidRPr="008D73C9">
        <w:t xml:space="preserve">, </w:t>
      </w:r>
      <w:r>
        <w:t>right atrial pressure (</w:t>
      </w:r>
      <w:r w:rsidRPr="008D73C9">
        <w:t>RAP</w:t>
      </w:r>
      <w:r>
        <w:t>)</w:t>
      </w:r>
      <w:r w:rsidRPr="008D73C9">
        <w:t xml:space="preserve"> etc, may play an important role during the early development of the drug to elucidate the mechanism of action or to define the dose-response relationship</w:t>
      </w:r>
      <w:r w:rsidR="001D34EE" w:rsidRPr="001A1C44">
        <w:rPr>
          <w:noProof/>
          <w:vertAlign w:val="superscript"/>
        </w:rPr>
        <w:t>74</w:t>
      </w:r>
      <w:r w:rsidRPr="008D73C9">
        <w:t xml:space="preserve">. These parameters have been included in some clinical trials, usually as secondary or tertiary outcomes, for assessment of the treatment effect of </w:t>
      </w:r>
      <w:r>
        <w:t>PAH medicine</w:t>
      </w:r>
      <w:r w:rsidRPr="008D73C9">
        <w:t>s.</w:t>
      </w:r>
      <w:r w:rsidRPr="00EB1471">
        <w:t xml:space="preserve"> </w:t>
      </w:r>
      <w:r w:rsidRPr="00D600B3">
        <w:t xml:space="preserve">The </w:t>
      </w:r>
      <w:r>
        <w:t xml:space="preserve">haemodynamic parameters are less patient-relevant, and, therefore, were </w:t>
      </w:r>
      <w:r w:rsidRPr="00D600B3">
        <w:t>rated as not important outcomes according to the GRADE Working Group grades of evidence</w:t>
      </w:r>
      <w:r w:rsidR="001D34EE" w:rsidRPr="001D34EE">
        <w:rPr>
          <w:noProof/>
          <w:vertAlign w:val="superscript"/>
        </w:rPr>
        <w:t>1</w:t>
      </w:r>
      <w:r w:rsidRPr="00D600B3">
        <w:t>.</w:t>
      </w:r>
    </w:p>
    <w:p w:rsidR="001D0FDA" w:rsidRPr="00EB1471" w:rsidRDefault="001D0FDA" w:rsidP="005A0C83">
      <w:r w:rsidRPr="00EB1471">
        <w:t xml:space="preserve">Other effectiveness outcomes of interest included hospitalisation, </w:t>
      </w:r>
      <w:r>
        <w:t xml:space="preserve">change in </w:t>
      </w:r>
      <w:r w:rsidRPr="00EB1471">
        <w:t xml:space="preserve">WHO FC, </w:t>
      </w:r>
      <w:r>
        <w:t>quality of life (</w:t>
      </w:r>
      <w:r w:rsidRPr="00EB1471">
        <w:t>QoL</w:t>
      </w:r>
      <w:r>
        <w:t>), lung transplant, atrial septostomy and initiation of other PAH medicine(s). Sa</w:t>
      </w:r>
      <w:r w:rsidRPr="00EB1471">
        <w:t xml:space="preserve">fety was assessed by the reporting of </w:t>
      </w:r>
      <w:r w:rsidR="006B2A7D">
        <w:t>AE</w:t>
      </w:r>
      <w:r w:rsidRPr="00EB1471">
        <w:t>s</w:t>
      </w:r>
      <w:r>
        <w:t xml:space="preserve">. All the above outcomes were </w:t>
      </w:r>
      <w:r w:rsidRPr="00F4042C">
        <w:t>rated as important outcome</w:t>
      </w:r>
      <w:r>
        <w:t>s</w:t>
      </w:r>
      <w:r w:rsidRPr="00F4042C">
        <w:t xml:space="preserve"> according to the GRADE Working Group grades of evidence</w:t>
      </w:r>
      <w:r w:rsidR="001D34EE" w:rsidRPr="001D34EE">
        <w:rPr>
          <w:noProof/>
          <w:vertAlign w:val="superscript"/>
        </w:rPr>
        <w:t>1</w:t>
      </w:r>
      <w:r w:rsidRPr="00EB1471">
        <w:t>.</w:t>
      </w:r>
    </w:p>
    <w:p w:rsidR="001D0FDA" w:rsidRPr="00EB1471" w:rsidRDefault="001D0FDA" w:rsidP="005A0C83">
      <w:pPr>
        <w:pStyle w:val="Heading3"/>
        <w:numPr>
          <w:ilvl w:val="2"/>
          <w:numId w:val="45"/>
        </w:numPr>
        <w:tabs>
          <w:tab w:val="clear" w:pos="2695"/>
        </w:tabs>
        <w:ind w:left="0"/>
        <w:jc w:val="left"/>
      </w:pPr>
      <w:bookmarkStart w:id="95" w:name="_Toc506464135"/>
      <w:bookmarkStart w:id="96" w:name="_Toc512855386"/>
      <w:r>
        <w:t>Synthesis of evidence</w:t>
      </w:r>
      <w:bookmarkEnd w:id="95"/>
      <w:bookmarkEnd w:id="96"/>
    </w:p>
    <w:p w:rsidR="001D0FDA" w:rsidRPr="00EB1471" w:rsidRDefault="001D0FDA" w:rsidP="005A0C83">
      <w:r w:rsidRPr="00EB1471">
        <w:t xml:space="preserve">Effectiveness and safety results were extracted for </w:t>
      </w:r>
      <w:r>
        <w:t xml:space="preserve">the </w:t>
      </w:r>
      <w:r w:rsidRPr="00EB1471">
        <w:t>appropriate population</w:t>
      </w:r>
      <w:r>
        <w:t>s</w:t>
      </w:r>
      <w:r w:rsidRPr="00EB1471">
        <w:t>, intervention</w:t>
      </w:r>
      <w:r>
        <w:t>s</w:t>
      </w:r>
      <w:r w:rsidRPr="00EB1471">
        <w:t xml:space="preserve"> and comparator</w:t>
      </w:r>
      <w:r>
        <w:t>s</w:t>
      </w:r>
      <w:r w:rsidRPr="00EB1471">
        <w:t xml:space="preserve"> as specified for each research question (</w:t>
      </w:r>
      <w:r w:rsidR="006D5751">
        <w:t>Table 4.19 to Table 4.22</w:t>
      </w:r>
      <w:r w:rsidRPr="00EB1471">
        <w:t>). Where the studies included a mixed population and the published papers did not provide data for the subgroup of interest, the PBAC dossier was searched for relevant previous submissions, commentaries and/or PBAC minutes. Data sourced from confidential PBAC documents were highlighted throughout the literature review in different colours according to distinct sponsors for redaction when the report is sent to pharmace</w:t>
      </w:r>
      <w:r w:rsidR="00B603BC">
        <w:t>utical companies for feedback.</w:t>
      </w:r>
    </w:p>
    <w:p w:rsidR="001D0FDA" w:rsidRPr="00EB1471" w:rsidRDefault="001D0FDA" w:rsidP="005A0C83">
      <w:r w:rsidRPr="00EB1471">
        <w:t>Descriptive statistics were extracted or calculated for all relevant outcomes in the individual studies – including numerator and denominator information, means and standard deviations, med</w:t>
      </w:r>
      <w:r w:rsidR="00B603BC">
        <w:t>ians and inter-quartile ranges.</w:t>
      </w:r>
    </w:p>
    <w:p w:rsidR="001D0FDA" w:rsidRPr="00EB1471" w:rsidRDefault="001D0FDA" w:rsidP="005A0C83">
      <w:r w:rsidRPr="00EB1471">
        <w:lastRenderedPageBreak/>
        <w:t xml:space="preserve">Relative effect measures (relative risks (RRs) or hazard ratios (HRs)), absolute risk </w:t>
      </w:r>
      <w:r w:rsidR="00E00863">
        <w:t>difference</w:t>
      </w:r>
      <w:r w:rsidRPr="00EB1471">
        <w:t>s</w:t>
      </w:r>
      <w:r w:rsidR="00E00863">
        <w:t xml:space="preserve"> (AR</w:t>
      </w:r>
      <w:r w:rsidR="00B21201">
        <w:t>D</w:t>
      </w:r>
      <w:r w:rsidR="00E00863">
        <w:t>s)</w:t>
      </w:r>
      <w:r w:rsidRPr="00EB1471">
        <w:t>, and associated 95% confidence intervals (CIs) were calculated from individual comparative studies containing count data. Mean differences and 95% CIs were extracted or calculated for normally distributed continuous outcomes in individual studies.</w:t>
      </w:r>
    </w:p>
    <w:p w:rsidR="001D0FDA" w:rsidRPr="00EB1471" w:rsidRDefault="001D0FDA" w:rsidP="005A0C83">
      <w:r w:rsidRPr="00EB1471">
        <w:t>Meta-analyses were conducted, where appropriate, and tested for heterogeneity. The DerSimonian and Laird random-effects model was used to estimate pooled risk ratios (RRs) with their 95% confidence intervals (CIs) for event data. Forest plots were created. When there were no events in one treatment group, we used a 0.5 continuity correction. Trials with no events in either arm were excluded. Pooled effects on continuous variables were presented as weighted mean differe</w:t>
      </w:r>
      <w:r w:rsidR="00B603BC">
        <w:t>nces with corresponding 95% CI.</w:t>
      </w:r>
    </w:p>
    <w:p w:rsidR="001F432E" w:rsidRPr="00EB1471" w:rsidRDefault="001F432E" w:rsidP="005A0C83">
      <w:r w:rsidRPr="00EB1471">
        <w:t xml:space="preserve">For research question 1, only direct evidence was presented. </w:t>
      </w:r>
      <w:r>
        <w:t>N</w:t>
      </w:r>
      <w:r w:rsidRPr="00FD4542">
        <w:t xml:space="preserve">o RCTs </w:t>
      </w:r>
      <w:r>
        <w:t xml:space="preserve">were </w:t>
      </w:r>
      <w:r w:rsidRPr="00FD4542">
        <w:t xml:space="preserve">identified </w:t>
      </w:r>
      <w:r>
        <w:t>to address r</w:t>
      </w:r>
      <w:r w:rsidRPr="00FD4542">
        <w:t>esearch question</w:t>
      </w:r>
      <w:r>
        <w:t>s</w:t>
      </w:r>
      <w:r w:rsidRPr="00FD4542">
        <w:t xml:space="preserve"> 2 </w:t>
      </w:r>
      <w:r>
        <w:t xml:space="preserve">and 4. </w:t>
      </w:r>
      <w:r w:rsidRPr="00EB1471">
        <w:t>For research question</w:t>
      </w:r>
      <w:r>
        <w:t xml:space="preserve"> 3</w:t>
      </w:r>
      <w:r w:rsidRPr="00EB1471">
        <w:t xml:space="preserve">, if direct studies which compare combination therapy with PBS-listed PAH medicines against </w:t>
      </w:r>
      <w:r>
        <w:t xml:space="preserve">PAH monotherapy </w:t>
      </w:r>
      <w:r w:rsidRPr="00EB1471">
        <w:t xml:space="preserve">as specified in </w:t>
      </w:r>
      <w:r w:rsidR="00AA722D">
        <w:t>Table 4.21</w:t>
      </w:r>
      <w:r w:rsidRPr="00EB1471">
        <w:t xml:space="preserve"> were not available, pairwise indirect comparisons </w:t>
      </w:r>
      <w:r>
        <w:t>using Bucher method</w:t>
      </w:r>
      <w:r w:rsidR="001D34EE" w:rsidRPr="001D34EE">
        <w:rPr>
          <w:noProof/>
          <w:vertAlign w:val="superscript"/>
        </w:rPr>
        <w:t>81</w:t>
      </w:r>
      <w:r>
        <w:t xml:space="preserve"> </w:t>
      </w:r>
      <w:r w:rsidR="00A03E34">
        <w:t>had been</w:t>
      </w:r>
      <w:r w:rsidRPr="00EB1471">
        <w:t xml:space="preserve"> considered</w:t>
      </w:r>
      <w:r>
        <w:t xml:space="preserve">. However, no meaningful indirect comparison could be performed, given the lack of transitivity across included trials </w:t>
      </w:r>
      <w:r w:rsidRPr="00EB1471">
        <w:t xml:space="preserve">according to the guidance given in version 5 of the </w:t>
      </w:r>
      <w:r w:rsidRPr="00EB1471">
        <w:rPr>
          <w:i/>
        </w:rPr>
        <w:t>PBAC Guidelines</w:t>
      </w:r>
      <w:r w:rsidRPr="00EB1471">
        <w:rPr>
          <w:rStyle w:val="FootnoteReference"/>
          <w:i/>
        </w:rPr>
        <w:footnoteReference w:id="3"/>
      </w:r>
      <w:r w:rsidRPr="00560B15">
        <w:t xml:space="preserve"> </w:t>
      </w:r>
      <w:r>
        <w:t>(eg heterogeneities in WHO FC, PAH aetiology, history of previous PAH therapy, outcome measure, length of follow-up and study period) and the limited direct evidence on the comparative treatment effect of two PAH medicines</w:t>
      </w:r>
      <w:r w:rsidRPr="00EB1471">
        <w:t xml:space="preserve">. </w:t>
      </w:r>
    </w:p>
    <w:p w:rsidR="001D0FDA" w:rsidRPr="00EB1471" w:rsidRDefault="001D0FDA" w:rsidP="005A0C83">
      <w:r w:rsidRPr="00EB1471">
        <w:t>Statistical analysis were undertaken using the biostatistical computer package, Stata version 14.</w:t>
      </w:r>
    </w:p>
    <w:p w:rsidR="001D0FDA" w:rsidRPr="00EB1471" w:rsidRDefault="001D0FDA" w:rsidP="005A0C83">
      <w:r w:rsidRPr="00EB1471">
        <w:t xml:space="preserve">When a quantitative synthesis was not possible, </w:t>
      </w:r>
      <w:r>
        <w:t>eg</w:t>
      </w:r>
      <w:r w:rsidRPr="00EB1471">
        <w:rPr>
          <w:i/>
        </w:rPr>
        <w:t xml:space="preserve"> </w:t>
      </w:r>
      <w:r w:rsidRPr="00EB1471">
        <w:t>summarised using inconsistent statistics (</w:t>
      </w:r>
      <w:r>
        <w:t>eg</w:t>
      </w:r>
      <w:r w:rsidRPr="00EB1471">
        <w:rPr>
          <w:i/>
        </w:rPr>
        <w:t xml:space="preserve"> </w:t>
      </w:r>
      <w:r w:rsidRPr="00EB1471">
        <w:t>mean and median), the review findings were synthesised into an overall narrative that addresse</w:t>
      </w:r>
      <w:r w:rsidR="00B603BC">
        <w:t>s each of the review questions.</w:t>
      </w:r>
    </w:p>
    <w:p w:rsidR="000D6945" w:rsidRDefault="001D0FDA" w:rsidP="005A0C83">
      <w:r w:rsidRPr="00EB1471">
        <w:t>For comparative studies, the overall quality of the evidence per individual health outcome was rated, across the studies, based on the study limitations (risk of bias), imprecision, inconsistency of results, indirectness of evidence, and the likelihood of publication bias using Grading of Recommendations Assessment, Development, and Evaluation (GRADE)</w:t>
      </w:r>
      <w:r w:rsidR="001D34EE" w:rsidRPr="001D34EE">
        <w:rPr>
          <w:noProof/>
          <w:vertAlign w:val="superscript"/>
        </w:rPr>
        <w:t>1</w:t>
      </w:r>
      <w:r w:rsidRPr="00EB1471">
        <w:t>. This was done to provide an indication of the confidence in the estimate of the effect in the context of Australian clinical practice (see Section 4.</w:t>
      </w:r>
      <w:r>
        <w:t>5</w:t>
      </w:r>
      <w:r w:rsidRPr="00EB1471">
        <w:t>).</w:t>
      </w:r>
    </w:p>
    <w:p w:rsidR="000D6945" w:rsidRDefault="000D6945">
      <w:pPr>
        <w:spacing w:before="0" w:line="240" w:lineRule="auto"/>
      </w:pPr>
      <w:r>
        <w:br w:type="page"/>
      </w:r>
    </w:p>
    <w:p w:rsidR="00ED0695" w:rsidRPr="00EB1471" w:rsidRDefault="00FD7448" w:rsidP="005A0C83">
      <w:pPr>
        <w:pStyle w:val="Heading2"/>
        <w:jc w:val="left"/>
      </w:pPr>
      <w:bookmarkStart w:id="97" w:name="_Toc512855387"/>
      <w:r>
        <w:lastRenderedPageBreak/>
        <w:t>Results of the literature review</w:t>
      </w:r>
      <w:bookmarkEnd w:id="97"/>
    </w:p>
    <w:p w:rsidR="00675E77" w:rsidRDefault="008060FB" w:rsidP="005A0C83">
      <w:pPr>
        <w:pStyle w:val="Heading3"/>
        <w:jc w:val="left"/>
      </w:pPr>
      <w:bookmarkStart w:id="98" w:name="_Toc512855388"/>
      <w:r w:rsidRPr="00EB1471">
        <w:t>Research question 1</w:t>
      </w:r>
      <w:bookmarkEnd w:id="98"/>
    </w:p>
    <w:p w:rsidR="00FB5052" w:rsidRPr="007A2266" w:rsidRDefault="00FB5052" w:rsidP="005A0C83">
      <w:pPr>
        <w:rPr>
          <w:i/>
        </w:rPr>
      </w:pPr>
      <w:r w:rsidRPr="007A2266">
        <w:rPr>
          <w:i/>
        </w:rPr>
        <w:t>What is the effectiveness and safety of monotherapy with a PAH medicine, compared to placebo/no treatment or another PAH medicine listed on the PBS, in patients with WHO FC I or II PAH?</w:t>
      </w:r>
    </w:p>
    <w:p w:rsidR="00FB5052" w:rsidRDefault="00E45512" w:rsidP="005A0C83">
      <w:pPr>
        <w:pStyle w:val="Heading4"/>
        <w:tabs>
          <w:tab w:val="left" w:pos="1134"/>
        </w:tabs>
        <w:jc w:val="left"/>
      </w:pPr>
      <w:r>
        <w:t>4.4.1.1</w:t>
      </w:r>
      <w:r>
        <w:tab/>
      </w:r>
      <w:r w:rsidR="00FB5052" w:rsidRPr="00150BDE">
        <w:t>ERA versus placebo</w:t>
      </w:r>
    </w:p>
    <w:p w:rsidR="00FB5052" w:rsidRDefault="00FB5052" w:rsidP="005A0C83">
      <w:r w:rsidRPr="006316DF">
        <w:t xml:space="preserve">Four RCTs reported on the effectiveness of an ERA in treating PAH compared with placebo in </w:t>
      </w:r>
      <w:r w:rsidR="007836C5">
        <w:t>patients with WHO FC I/II PAH: t</w:t>
      </w:r>
      <w:r w:rsidRPr="006316DF">
        <w:t>wo trials for ambrisentan and one each for bosentan and macitentan.</w:t>
      </w:r>
      <w:r>
        <w:t xml:space="preserve"> There were no significant differences in </w:t>
      </w:r>
      <w:r w:rsidR="00DD704F">
        <w:t xml:space="preserve">the </w:t>
      </w:r>
      <w:r>
        <w:t xml:space="preserve">effectiveness of the different ERA </w:t>
      </w:r>
      <w:r w:rsidR="00E45512">
        <w:t>medicines</w:t>
      </w:r>
      <w:r>
        <w:t xml:space="preserve"> for any outcome.</w:t>
      </w:r>
    </w:p>
    <w:p w:rsidR="00FB5052" w:rsidRPr="006316DF" w:rsidRDefault="00FB5052" w:rsidP="005A0C83">
      <w:r w:rsidRPr="006316DF">
        <w:t>The EARLY</w:t>
      </w:r>
      <w:r w:rsidR="001D34EE" w:rsidRPr="001D34EE">
        <w:rPr>
          <w:noProof/>
          <w:vertAlign w:val="superscript"/>
        </w:rPr>
        <w:t>9</w:t>
      </w:r>
      <w:r w:rsidRPr="006316DF">
        <w:t xml:space="preserve"> double-blind trial randomised WHO FC II PAH patients with and without background sildenafil therapy to receive bosentan or placebo for 6 months. The PAH aetiology and haemodynamic factors were evenly distributed between the two randomised groups. As randomisation was stratified according to background therapy, and only a small proportion of patients received sildenafil as background therapy (15% in the bosentan group and 16% in the placebo group), the risk of incomparable baseline parameters for the treatment-naïve subgroup is low. </w:t>
      </w:r>
      <w:r w:rsidR="00E45512">
        <w:t>A p</w:t>
      </w:r>
      <w:r w:rsidRPr="006316DF">
        <w:t xml:space="preserve">re-specified subgroup analysis of </w:t>
      </w:r>
      <w:r>
        <w:t xml:space="preserve">treatment-naïve </w:t>
      </w:r>
      <w:r w:rsidRPr="006316DF">
        <w:t>patients was available from the</w:t>
      </w:r>
      <w:r>
        <w:t xml:space="preserve"> clinical study report (</w:t>
      </w:r>
      <w:r w:rsidRPr="006316DF">
        <w:t>CSR</w:t>
      </w:r>
      <w:r>
        <w:t>)</w:t>
      </w:r>
      <w:r w:rsidRPr="006316DF">
        <w:t xml:space="preserve"> (highlighted</w:t>
      </w:r>
      <w:r>
        <w:t xml:space="preserve"> in blue below</w:t>
      </w:r>
      <w:r w:rsidRPr="006316DF">
        <w:t>).</w:t>
      </w:r>
    </w:p>
    <w:p w:rsidR="00FB5052" w:rsidRPr="006316DF" w:rsidRDefault="00FB5052" w:rsidP="005A0C83">
      <w:r w:rsidRPr="006316DF">
        <w:t>Two double-blind trials (ARIES-1 and ARIES-2</w:t>
      </w:r>
      <w:r w:rsidR="001D34EE" w:rsidRPr="001D34EE">
        <w:rPr>
          <w:noProof/>
          <w:vertAlign w:val="superscript"/>
        </w:rPr>
        <w:t>6</w:t>
      </w:r>
      <w:r w:rsidRPr="006316DF">
        <w:t xml:space="preserve">) randomised PAH patients of </w:t>
      </w:r>
      <w:r w:rsidRPr="007A2266">
        <w:rPr>
          <w:u w:val="single"/>
        </w:rPr>
        <w:t>any</w:t>
      </w:r>
      <w:r w:rsidRPr="006316DF">
        <w:t xml:space="preserve"> WHO FC to receive ambrisentan or placebo for 12 weeks. The baseline characteristics of the randomised groups were similar. However, as randomisation was not stratified by WHO FC, patients with WHO FC I/II PAH may have </w:t>
      </w:r>
      <w:r>
        <w:t xml:space="preserve">a </w:t>
      </w:r>
      <w:r w:rsidRPr="006316DF">
        <w:t xml:space="preserve">different distribution of baseline characteristics </w:t>
      </w:r>
      <w:r>
        <w:t xml:space="preserve">between trial arms, </w:t>
      </w:r>
      <w:r w:rsidRPr="006316DF">
        <w:t xml:space="preserve">resulting in imbalances in disease severity markers between the two treatment arms. A </w:t>
      </w:r>
      <w:r>
        <w:t xml:space="preserve">post </w:t>
      </w:r>
      <w:r w:rsidRPr="00FD18C8">
        <w:t>hoc</w:t>
      </w:r>
      <w:r w:rsidRPr="006316DF">
        <w:t xml:space="preserve"> subgroup analysis for patients with WHO FC I/II PAH was conducted by Chin et al (2014)</w:t>
      </w:r>
      <w:r w:rsidR="001D34EE" w:rsidRPr="001A1C44">
        <w:rPr>
          <w:noProof/>
          <w:vertAlign w:val="superscript"/>
        </w:rPr>
        <w:t>33</w:t>
      </w:r>
      <w:r w:rsidRPr="006316DF">
        <w:t>.</w:t>
      </w:r>
    </w:p>
    <w:p w:rsidR="00FB5052" w:rsidRPr="006316DF" w:rsidRDefault="00FB5052" w:rsidP="005A0C83">
      <w:r w:rsidRPr="006316DF">
        <w:t>The SERAPHIN</w:t>
      </w:r>
      <w:r w:rsidR="001D34EE" w:rsidRPr="001D34EE">
        <w:rPr>
          <w:noProof/>
          <w:vertAlign w:val="superscript"/>
        </w:rPr>
        <w:t>7</w:t>
      </w:r>
      <w:r w:rsidRPr="006316DF">
        <w:t xml:space="preserve"> double-blind long-term trial randomised PAH patients of </w:t>
      </w:r>
      <w:r w:rsidRPr="007A2266">
        <w:rPr>
          <w:u w:val="single"/>
        </w:rPr>
        <w:t>any</w:t>
      </w:r>
      <w:r w:rsidRPr="006316DF">
        <w:t xml:space="preserve"> WHO FC to receive macitentan or placebo for up to 54 months. Patients were also permitted to have background therapy with a </w:t>
      </w:r>
      <w:r>
        <w:t>PDE-5 inhibitor</w:t>
      </w:r>
      <w:r w:rsidRPr="006316DF">
        <w:t xml:space="preserve"> (61% of patients) or a prostanoid (4% of patients). Although the baseline characteristics of the randomised groups were similar, the lack of stratification based on WHO FC, may have resulted in imbalances in disease severity in the WHO FC I/II subgroup. The mean duration of study treatment was 85.3 weeks and 103.9 weeks for the patients receiving placebo and macitentan, respectively. </w:t>
      </w:r>
      <w:r w:rsidRPr="00FD18C8">
        <w:t>Post hoc</w:t>
      </w:r>
      <w:r w:rsidRPr="006316DF">
        <w:t xml:space="preserve"> subgroup analyses of patients with WHO FC I/II PAH for several relevant outcomes were reported in the CSR (highlighted</w:t>
      </w:r>
      <w:r>
        <w:t xml:space="preserve"> in blue below</w:t>
      </w:r>
      <w:r w:rsidRPr="006316DF">
        <w:t>).</w:t>
      </w:r>
    </w:p>
    <w:p w:rsidR="00FB5052" w:rsidRPr="006316DF" w:rsidRDefault="00FB5052" w:rsidP="005A0C83">
      <w:r w:rsidRPr="006316DF">
        <w:t xml:space="preserve">The EARLY trial had a low risk of bias, whereas the ARIES and SERAPHIN trials had a low-to-moderate risk of bias. The increased </w:t>
      </w:r>
      <w:r>
        <w:t xml:space="preserve">bias </w:t>
      </w:r>
      <w:r w:rsidRPr="006316DF">
        <w:t>risk was mainly due to the lack of stratification for WHO FC. There was also a large variation in the duration of the trials; varying from 12 weeks to 115 weeks, as described above.</w:t>
      </w:r>
    </w:p>
    <w:p w:rsidR="00FB5052" w:rsidRPr="00150BDE" w:rsidRDefault="00A920AB" w:rsidP="005A0C83">
      <w:pPr>
        <w:pStyle w:val="Heading5"/>
        <w:jc w:val="left"/>
      </w:pPr>
      <w:r>
        <w:lastRenderedPageBreak/>
        <w:t>a.</w:t>
      </w:r>
      <w:r>
        <w:tab/>
      </w:r>
      <w:r w:rsidR="00FB5052" w:rsidRPr="00150BDE">
        <w:t>Study-defined clinical worsening</w:t>
      </w:r>
    </w:p>
    <w:p w:rsidR="00FB5052" w:rsidRPr="006316DF" w:rsidRDefault="00FB5052" w:rsidP="005A0C83">
      <w:r>
        <w:t>EARLY, SERAPHIN and the post hoc subgroup analysis of the ARIES1/ARIES2 trials</w:t>
      </w:r>
      <w:r w:rsidRPr="006316DF">
        <w:t xml:space="preserve"> reported on the proportion of patients who had clinical worsening during the study period. The definition</w:t>
      </w:r>
      <w:r w:rsidR="00293822">
        <w:t>s</w:t>
      </w:r>
      <w:r w:rsidRPr="006316DF">
        <w:t xml:space="preserve"> of clinical worsening </w:t>
      </w:r>
      <w:r w:rsidR="00293822">
        <w:t xml:space="preserve">in the three trials varied but all included </w:t>
      </w:r>
      <w:r w:rsidRPr="006316DF">
        <w:t>death</w:t>
      </w:r>
      <w:r w:rsidR="00293822">
        <w:t xml:space="preserve"> and</w:t>
      </w:r>
      <w:r w:rsidRPr="006316DF">
        <w:t xml:space="preserve"> progression of PAH (see Section 4.</w:t>
      </w:r>
      <w:r w:rsidR="00857DBE">
        <w:t>3.5</w:t>
      </w:r>
      <w:r w:rsidRPr="006316DF">
        <w:t xml:space="preserve"> for further details).</w:t>
      </w:r>
    </w:p>
    <w:p w:rsidR="00FB5052" w:rsidRPr="006316DF" w:rsidRDefault="00FB5052" w:rsidP="005A0C83">
      <w:r w:rsidRPr="006316DF">
        <w:t xml:space="preserve">Two </w:t>
      </w:r>
      <w:r>
        <w:t>of the trials</w:t>
      </w:r>
      <w:r w:rsidRPr="006316DF">
        <w:t xml:space="preserve"> reported the HR for patients with WHO FC I/II experiencing clinical worsening while taking an ERA drug compared with placebo (</w:t>
      </w:r>
      <w:r w:rsidR="00AA722D">
        <w:t>Table 4.29</w:t>
      </w:r>
      <w:r w:rsidRPr="006316DF">
        <w:t xml:space="preserve">). In the EARLY trial, patients receiving bosentan were </w:t>
      </w:r>
      <w:r w:rsidR="00A17B9D">
        <w:rPr>
          <w:noProof/>
          <w:color w:val="000000"/>
          <w:highlight w:val="black"/>
        </w:rPr>
        <w:t>''''''''''''''' '''''''' '''''''''</w:t>
      </w:r>
      <w:r w:rsidRPr="006316DF">
        <w:t xml:space="preserve"> to have clinical worsening than patients who received a placebo over the 26-week study period. Over a longer time-period (median 115 weeks), patients treated with macitentan in the SERAPHIN trial were </w:t>
      </w:r>
      <w:r w:rsidR="00A17B9D">
        <w:rPr>
          <w:noProof/>
          <w:color w:val="000000"/>
          <w:highlight w:val="black"/>
        </w:rPr>
        <w:t>''''''''''''' ''''''' ''''''''''</w:t>
      </w:r>
      <w:r w:rsidRPr="006316DF">
        <w:t xml:space="preserve"> to have clinical worsening tha</w:t>
      </w:r>
      <w:r w:rsidR="00C02361">
        <w:t>n patients receiving a placebo.</w:t>
      </w:r>
    </w:p>
    <w:p w:rsidR="00FB5052" w:rsidRPr="006316DF" w:rsidRDefault="00B40240" w:rsidP="00BC5A2B">
      <w:pPr>
        <w:pStyle w:val="Caption"/>
      </w:pPr>
      <w:bookmarkStart w:id="99" w:name="_Ref505960995"/>
      <w:bookmarkStart w:id="100" w:name="_Toc512855433"/>
      <w:r>
        <w:t>Table 4.</w:t>
      </w:r>
      <w:r w:rsidR="00AA722D">
        <w:rPr>
          <w:noProof/>
        </w:rPr>
        <w:t>29</w:t>
      </w:r>
      <w:bookmarkEnd w:id="99"/>
      <w:r>
        <w:tab/>
      </w:r>
      <w:r w:rsidR="00FB5052" w:rsidRPr="006316DF">
        <w:t xml:space="preserve">The effectiveness of </w:t>
      </w:r>
      <w:r w:rsidR="00FB5052">
        <w:t xml:space="preserve">an </w:t>
      </w:r>
      <w:r w:rsidR="00FB5052" w:rsidRPr="006316DF">
        <w:t>ERA compared with placebo in preventing clinical worsening</w:t>
      </w:r>
      <w:r w:rsidR="00FB5052" w:rsidRPr="00C64992">
        <w:t xml:space="preserve"> </w:t>
      </w:r>
      <w:r w:rsidR="00FB5052">
        <w:t xml:space="preserve">in patients </w:t>
      </w:r>
      <w:r w:rsidR="00FB5052" w:rsidRPr="00C64992">
        <w:t>with WHO FC I</w:t>
      </w:r>
      <w:r w:rsidR="00FB5052">
        <w:t>/</w:t>
      </w:r>
      <w:r w:rsidR="00FB5052" w:rsidRPr="00C64992">
        <w:t>II PAH</w:t>
      </w:r>
      <w:bookmarkEnd w:id="100"/>
    </w:p>
    <w:tbl>
      <w:tblPr>
        <w:tblStyle w:val="TableGrid7"/>
        <w:tblW w:w="9634" w:type="dxa"/>
        <w:tblLayout w:type="fixed"/>
        <w:tblLook w:val="04A0" w:firstRow="1" w:lastRow="0" w:firstColumn="1" w:lastColumn="0" w:noHBand="0" w:noVBand="1"/>
        <w:tblCaption w:val="The effectiveness of an ERA compared with placebo in preventing clinical worsening in patients with WHO FC I/II PAH"/>
      </w:tblPr>
      <w:tblGrid>
        <w:gridCol w:w="1980"/>
        <w:gridCol w:w="2268"/>
        <w:gridCol w:w="1701"/>
        <w:gridCol w:w="1701"/>
        <w:gridCol w:w="1984"/>
      </w:tblGrid>
      <w:tr w:rsidR="00FB5052" w:rsidRPr="00B40240" w:rsidTr="00B40240">
        <w:trPr>
          <w:trHeight w:val="149"/>
          <w:tblHeader/>
        </w:trPr>
        <w:tc>
          <w:tcPr>
            <w:tcW w:w="1980" w:type="dxa"/>
            <w:vMerge w:val="restart"/>
            <w:shd w:val="clear" w:color="auto" w:fill="BFBFBF" w:themeFill="background1" w:themeFillShade="BF"/>
          </w:tcPr>
          <w:p w:rsidR="00FB5052" w:rsidRPr="00B40240" w:rsidRDefault="00FB5052" w:rsidP="00B40240">
            <w:pPr>
              <w:pStyle w:val="Tabletext"/>
              <w:rPr>
                <w:b/>
              </w:rPr>
            </w:pPr>
            <w:r w:rsidRPr="00B40240">
              <w:rPr>
                <w:b/>
              </w:rPr>
              <w:t>Study ID</w:t>
            </w:r>
          </w:p>
        </w:tc>
        <w:tc>
          <w:tcPr>
            <w:tcW w:w="2268" w:type="dxa"/>
            <w:vMerge w:val="restart"/>
            <w:shd w:val="clear" w:color="auto" w:fill="BFBFBF" w:themeFill="background1" w:themeFillShade="BF"/>
          </w:tcPr>
          <w:p w:rsidR="00FB5052" w:rsidRPr="00B40240" w:rsidRDefault="00FB5052" w:rsidP="00B40240">
            <w:pPr>
              <w:pStyle w:val="Tabletext"/>
              <w:rPr>
                <w:b/>
              </w:rPr>
            </w:pPr>
            <w:r w:rsidRPr="00B40240">
              <w:rPr>
                <w:b/>
              </w:rPr>
              <w:t>ERA</w:t>
            </w:r>
          </w:p>
          <w:p w:rsidR="00FB5052" w:rsidRPr="00B40240" w:rsidRDefault="00FB5052" w:rsidP="00B40240">
            <w:pPr>
              <w:pStyle w:val="Tabletext"/>
              <w:rPr>
                <w:b/>
              </w:rPr>
            </w:pPr>
            <w:r w:rsidRPr="00B40240">
              <w:rPr>
                <w:b/>
              </w:rPr>
              <w:t>Follow-up period</w:t>
            </w:r>
          </w:p>
        </w:tc>
        <w:tc>
          <w:tcPr>
            <w:tcW w:w="3402" w:type="dxa"/>
            <w:gridSpan w:val="2"/>
            <w:shd w:val="clear" w:color="auto" w:fill="BFBFBF" w:themeFill="background1" w:themeFillShade="BF"/>
          </w:tcPr>
          <w:p w:rsidR="00FB5052" w:rsidRPr="00B40240" w:rsidRDefault="00FB5052" w:rsidP="00B40240">
            <w:pPr>
              <w:pStyle w:val="Tabletext"/>
              <w:jc w:val="center"/>
              <w:rPr>
                <w:b/>
              </w:rPr>
            </w:pPr>
            <w:r w:rsidRPr="00B40240">
              <w:rPr>
                <w:b/>
              </w:rPr>
              <w:t>n/N (%)</w:t>
            </w:r>
          </w:p>
        </w:tc>
        <w:tc>
          <w:tcPr>
            <w:tcW w:w="1984" w:type="dxa"/>
            <w:vMerge w:val="restart"/>
            <w:shd w:val="clear" w:color="auto" w:fill="BFBFBF" w:themeFill="background1" w:themeFillShade="BF"/>
          </w:tcPr>
          <w:p w:rsidR="00FB5052" w:rsidRPr="00B40240" w:rsidRDefault="00FB5052" w:rsidP="00B40240">
            <w:pPr>
              <w:pStyle w:val="Tabletext"/>
              <w:jc w:val="center"/>
              <w:rPr>
                <w:b/>
              </w:rPr>
            </w:pPr>
            <w:r w:rsidRPr="00B40240">
              <w:rPr>
                <w:b/>
              </w:rPr>
              <w:t>HR (95%CI)</w:t>
            </w:r>
          </w:p>
        </w:tc>
      </w:tr>
      <w:tr w:rsidR="00FB5052" w:rsidRPr="00B40240" w:rsidTr="00B40240">
        <w:trPr>
          <w:trHeight w:val="202"/>
          <w:tblHeader/>
        </w:trPr>
        <w:tc>
          <w:tcPr>
            <w:tcW w:w="1980" w:type="dxa"/>
            <w:vMerge/>
            <w:shd w:val="clear" w:color="auto" w:fill="BFBFBF" w:themeFill="background1" w:themeFillShade="BF"/>
          </w:tcPr>
          <w:p w:rsidR="00FB5052" w:rsidRPr="00B40240" w:rsidRDefault="00FB5052" w:rsidP="00B40240">
            <w:pPr>
              <w:pStyle w:val="Tabletext"/>
            </w:pPr>
          </w:p>
        </w:tc>
        <w:tc>
          <w:tcPr>
            <w:tcW w:w="2268" w:type="dxa"/>
            <w:vMerge/>
            <w:shd w:val="clear" w:color="auto" w:fill="BFBFBF" w:themeFill="background1" w:themeFillShade="BF"/>
          </w:tcPr>
          <w:p w:rsidR="00FB5052" w:rsidRPr="00B40240" w:rsidRDefault="00FB5052" w:rsidP="00B40240">
            <w:pPr>
              <w:pStyle w:val="Tabletext"/>
            </w:pPr>
          </w:p>
        </w:tc>
        <w:tc>
          <w:tcPr>
            <w:tcW w:w="1701" w:type="dxa"/>
            <w:shd w:val="clear" w:color="auto" w:fill="BFBFBF" w:themeFill="background1" w:themeFillShade="BF"/>
          </w:tcPr>
          <w:p w:rsidR="00FB5052" w:rsidRPr="00B40240" w:rsidRDefault="00FB5052" w:rsidP="00B40240">
            <w:pPr>
              <w:pStyle w:val="Tabletext"/>
              <w:jc w:val="center"/>
              <w:rPr>
                <w:b/>
              </w:rPr>
            </w:pPr>
            <w:r w:rsidRPr="00B40240">
              <w:rPr>
                <w:b/>
              </w:rPr>
              <w:t>ERA</w:t>
            </w:r>
          </w:p>
        </w:tc>
        <w:tc>
          <w:tcPr>
            <w:tcW w:w="1701" w:type="dxa"/>
            <w:shd w:val="clear" w:color="auto" w:fill="BFBFBF" w:themeFill="background1" w:themeFillShade="BF"/>
          </w:tcPr>
          <w:p w:rsidR="00FB5052" w:rsidRPr="00B40240" w:rsidRDefault="00FB5052" w:rsidP="00B40240">
            <w:pPr>
              <w:pStyle w:val="Tabletext"/>
              <w:jc w:val="center"/>
              <w:rPr>
                <w:b/>
              </w:rPr>
            </w:pPr>
            <w:r w:rsidRPr="00B40240">
              <w:rPr>
                <w:b/>
              </w:rPr>
              <w:t>Placebo</w:t>
            </w:r>
          </w:p>
        </w:tc>
        <w:tc>
          <w:tcPr>
            <w:tcW w:w="1984" w:type="dxa"/>
            <w:vMerge/>
            <w:shd w:val="clear" w:color="auto" w:fill="BFBFBF" w:themeFill="background1" w:themeFillShade="BF"/>
          </w:tcPr>
          <w:p w:rsidR="00FB5052" w:rsidRPr="00B40240" w:rsidRDefault="00FB5052" w:rsidP="00B40240">
            <w:pPr>
              <w:pStyle w:val="Tabletext"/>
            </w:pPr>
          </w:p>
        </w:tc>
      </w:tr>
      <w:tr w:rsidR="00FB5052" w:rsidRPr="00B40240" w:rsidTr="00B40240">
        <w:trPr>
          <w:trHeight w:val="70"/>
        </w:trPr>
        <w:tc>
          <w:tcPr>
            <w:tcW w:w="1980" w:type="dxa"/>
          </w:tcPr>
          <w:p w:rsidR="00FB5052" w:rsidRPr="00B40240" w:rsidRDefault="00FB5052" w:rsidP="00B40240">
            <w:pPr>
              <w:pStyle w:val="Tabletext"/>
            </w:pPr>
            <w:r w:rsidRPr="00B40240">
              <w:t>EARLY, CSR</w:t>
            </w:r>
          </w:p>
        </w:tc>
        <w:tc>
          <w:tcPr>
            <w:tcW w:w="2268" w:type="dxa"/>
          </w:tcPr>
          <w:p w:rsidR="00FB5052" w:rsidRPr="00B40240" w:rsidRDefault="00FB5052" w:rsidP="00B40240">
            <w:pPr>
              <w:pStyle w:val="Tabletext"/>
            </w:pPr>
            <w:r w:rsidRPr="00B40240">
              <w:t>Bosentan</w:t>
            </w:r>
          </w:p>
          <w:p w:rsidR="00FB5052" w:rsidRPr="00B40240" w:rsidRDefault="00FB5052" w:rsidP="00B40240">
            <w:pPr>
              <w:pStyle w:val="Tabletext"/>
              <w:rPr>
                <w:highlight w:val="cyan"/>
              </w:rPr>
            </w:pPr>
            <w:r w:rsidRPr="00B40240">
              <w:t>26 weeks</w:t>
            </w:r>
          </w:p>
        </w:tc>
        <w:tc>
          <w:tcPr>
            <w:tcW w:w="1701" w:type="dxa"/>
          </w:tcPr>
          <w:p w:rsidR="00FB5052" w:rsidRPr="00A17B9D" w:rsidRDefault="00A17B9D" w:rsidP="00B40240">
            <w:pPr>
              <w:pStyle w:val="Tabletext"/>
              <w:jc w:val="center"/>
              <w:rPr>
                <w:highlight w:val="black"/>
              </w:rPr>
            </w:pPr>
            <w:r>
              <w:rPr>
                <w:noProof/>
                <w:color w:val="000000"/>
                <w:highlight w:val="black"/>
              </w:rPr>
              <w:t>'''''''''' '''''''''''</w:t>
            </w:r>
          </w:p>
        </w:tc>
        <w:tc>
          <w:tcPr>
            <w:tcW w:w="1701" w:type="dxa"/>
          </w:tcPr>
          <w:p w:rsidR="00FB5052" w:rsidRPr="00A17B9D" w:rsidRDefault="00A17B9D" w:rsidP="00B40240">
            <w:pPr>
              <w:pStyle w:val="Tabletext"/>
              <w:jc w:val="center"/>
              <w:rPr>
                <w:highlight w:val="black"/>
              </w:rPr>
            </w:pPr>
            <w:r>
              <w:rPr>
                <w:noProof/>
                <w:color w:val="000000"/>
                <w:highlight w:val="black"/>
              </w:rPr>
              <w:t>''''''''''''' ''''''''''''''</w:t>
            </w:r>
          </w:p>
        </w:tc>
        <w:tc>
          <w:tcPr>
            <w:tcW w:w="1984" w:type="dxa"/>
          </w:tcPr>
          <w:p w:rsidR="00FB5052" w:rsidRPr="00A17B9D" w:rsidRDefault="00A17B9D" w:rsidP="00B40240">
            <w:pPr>
              <w:pStyle w:val="Tabletext"/>
              <w:jc w:val="center"/>
              <w:rPr>
                <w:highlight w:val="black"/>
              </w:rPr>
            </w:pPr>
            <w:r>
              <w:rPr>
                <w:noProof/>
                <w:color w:val="000000"/>
                <w:highlight w:val="black"/>
              </w:rPr>
              <w:t>''''''''''' '''''''''''''' '''''''''''''</w:t>
            </w:r>
          </w:p>
        </w:tc>
      </w:tr>
      <w:tr w:rsidR="00FB5052" w:rsidRPr="00B40240" w:rsidTr="00B40240">
        <w:trPr>
          <w:trHeight w:val="70"/>
        </w:trPr>
        <w:tc>
          <w:tcPr>
            <w:tcW w:w="1980" w:type="dxa"/>
          </w:tcPr>
          <w:p w:rsidR="00FB5052" w:rsidRPr="00B40240" w:rsidRDefault="00FB5052" w:rsidP="001D34EE">
            <w:pPr>
              <w:pStyle w:val="Tabletext"/>
            </w:pPr>
            <w:r w:rsidRPr="00B40240">
              <w:t>ARIES-1&amp;2</w:t>
            </w:r>
            <w:r w:rsidR="001D34EE" w:rsidRPr="001A1C44">
              <w:rPr>
                <w:noProof/>
                <w:vertAlign w:val="superscript"/>
              </w:rPr>
              <w:t>33</w:t>
            </w:r>
          </w:p>
        </w:tc>
        <w:tc>
          <w:tcPr>
            <w:tcW w:w="2268" w:type="dxa"/>
          </w:tcPr>
          <w:p w:rsidR="00FB5052" w:rsidRPr="00B40240" w:rsidRDefault="00FB5052" w:rsidP="00B40240">
            <w:pPr>
              <w:pStyle w:val="Tabletext"/>
            </w:pPr>
            <w:r w:rsidRPr="00B40240">
              <w:t>Ambrisentan (10 mg)</w:t>
            </w:r>
          </w:p>
          <w:p w:rsidR="00FB5052" w:rsidRPr="00B40240" w:rsidRDefault="00FB5052" w:rsidP="00B40240">
            <w:pPr>
              <w:pStyle w:val="Tabletext"/>
            </w:pPr>
            <w:r w:rsidRPr="00B40240">
              <w:t>12 weeks</w:t>
            </w:r>
          </w:p>
        </w:tc>
        <w:tc>
          <w:tcPr>
            <w:tcW w:w="1701" w:type="dxa"/>
          </w:tcPr>
          <w:p w:rsidR="00FB5052" w:rsidRPr="00B40240" w:rsidRDefault="00FB5052" w:rsidP="00B40240">
            <w:pPr>
              <w:pStyle w:val="Tabletext"/>
              <w:jc w:val="center"/>
            </w:pPr>
            <w:r w:rsidRPr="00B40240">
              <w:t>0/50 (0%)</w:t>
            </w:r>
          </w:p>
        </w:tc>
        <w:tc>
          <w:tcPr>
            <w:tcW w:w="1701" w:type="dxa"/>
          </w:tcPr>
          <w:p w:rsidR="00FB5052" w:rsidRPr="00B40240" w:rsidRDefault="00FB5052" w:rsidP="00B40240">
            <w:pPr>
              <w:pStyle w:val="Tabletext"/>
              <w:jc w:val="center"/>
            </w:pPr>
            <w:r w:rsidRPr="00B40240">
              <w:t>3/51 (6%)</w:t>
            </w:r>
          </w:p>
        </w:tc>
        <w:tc>
          <w:tcPr>
            <w:tcW w:w="1984" w:type="dxa"/>
          </w:tcPr>
          <w:p w:rsidR="00FB5052" w:rsidRPr="00B40240" w:rsidRDefault="00FB5052" w:rsidP="00B40240">
            <w:pPr>
              <w:pStyle w:val="Tabletext"/>
              <w:jc w:val="center"/>
            </w:pPr>
            <w:r w:rsidRPr="00B40240">
              <w:t>Not reported</w:t>
            </w:r>
          </w:p>
        </w:tc>
      </w:tr>
      <w:tr w:rsidR="00FB5052" w:rsidRPr="00B40240" w:rsidTr="00B40240">
        <w:trPr>
          <w:trHeight w:val="70"/>
        </w:trPr>
        <w:tc>
          <w:tcPr>
            <w:tcW w:w="1980" w:type="dxa"/>
          </w:tcPr>
          <w:p w:rsidR="00FB5052" w:rsidRPr="00B40240" w:rsidRDefault="00FB5052" w:rsidP="00B40240">
            <w:pPr>
              <w:pStyle w:val="Tabletext"/>
            </w:pPr>
            <w:r w:rsidRPr="00B40240">
              <w:t>SERAPHIN, March 2014 submission</w:t>
            </w:r>
          </w:p>
        </w:tc>
        <w:tc>
          <w:tcPr>
            <w:tcW w:w="2268" w:type="dxa"/>
          </w:tcPr>
          <w:p w:rsidR="00FB5052" w:rsidRPr="00B40240" w:rsidRDefault="00FB5052" w:rsidP="00B40240">
            <w:pPr>
              <w:pStyle w:val="Tabletext"/>
            </w:pPr>
            <w:r w:rsidRPr="00B40240">
              <w:t>Macitentan (10 mg)</w:t>
            </w:r>
          </w:p>
          <w:p w:rsidR="00FB5052" w:rsidRPr="00B40240" w:rsidRDefault="00FB5052" w:rsidP="00B40240">
            <w:pPr>
              <w:pStyle w:val="Tabletext"/>
            </w:pPr>
            <w:r w:rsidRPr="00B40240">
              <w:t>Median 115 weeks</w:t>
            </w:r>
          </w:p>
        </w:tc>
        <w:tc>
          <w:tcPr>
            <w:tcW w:w="1701" w:type="dxa"/>
          </w:tcPr>
          <w:p w:rsidR="00FB5052" w:rsidRPr="00A17B9D" w:rsidRDefault="00A17B9D" w:rsidP="00B40240">
            <w:pPr>
              <w:pStyle w:val="Tabletext"/>
              <w:jc w:val="center"/>
              <w:rPr>
                <w:highlight w:val="black"/>
              </w:rPr>
            </w:pPr>
            <w:r>
              <w:rPr>
                <w:noProof/>
                <w:color w:val="000000"/>
                <w:highlight w:val="black"/>
              </w:rPr>
              <w:t>''''''''''' '''''''''''''''</w:t>
            </w:r>
          </w:p>
        </w:tc>
        <w:tc>
          <w:tcPr>
            <w:tcW w:w="1701" w:type="dxa"/>
          </w:tcPr>
          <w:p w:rsidR="00FB5052" w:rsidRPr="00A17B9D" w:rsidRDefault="00A17B9D" w:rsidP="00B40240">
            <w:pPr>
              <w:pStyle w:val="Tabletext"/>
              <w:jc w:val="center"/>
              <w:rPr>
                <w:highlight w:val="black"/>
              </w:rPr>
            </w:pPr>
            <w:r>
              <w:rPr>
                <w:noProof/>
                <w:color w:val="000000"/>
                <w:highlight w:val="black"/>
              </w:rPr>
              <w:t>''''''''''''' '''''''''''''''</w:t>
            </w:r>
          </w:p>
        </w:tc>
        <w:tc>
          <w:tcPr>
            <w:tcW w:w="1984" w:type="dxa"/>
          </w:tcPr>
          <w:p w:rsidR="00FB5052" w:rsidRPr="00A17B9D" w:rsidRDefault="00A17B9D" w:rsidP="00B40240">
            <w:pPr>
              <w:pStyle w:val="Tabletext"/>
              <w:jc w:val="center"/>
              <w:rPr>
                <w:highlight w:val="black"/>
              </w:rPr>
            </w:pPr>
            <w:r>
              <w:rPr>
                <w:noProof/>
                <w:color w:val="000000"/>
                <w:highlight w:val="black"/>
              </w:rPr>
              <w:t>''''''''''' '''''''''''''' ''''''''''''''</w:t>
            </w:r>
          </w:p>
        </w:tc>
      </w:tr>
    </w:tbl>
    <w:p w:rsidR="00BE3517" w:rsidRPr="006316DF" w:rsidRDefault="00BE3517" w:rsidP="00B40240">
      <w:pPr>
        <w:pStyle w:val="Tablenote"/>
      </w:pPr>
      <w:r w:rsidRPr="009E3B52">
        <w:t xml:space="preserve">CI = confidence interval; </w:t>
      </w:r>
      <w:r w:rsidR="00FB5052" w:rsidRPr="006316DF">
        <w:t>CSR = clinical study report; ERA =</w:t>
      </w:r>
      <w:r w:rsidR="00FB5052">
        <w:t xml:space="preserve"> endothelin-receptor antagonist</w:t>
      </w:r>
      <w:r w:rsidR="00FB5052" w:rsidRPr="006316DF">
        <w:t xml:space="preserve">; </w:t>
      </w:r>
      <w:r w:rsidRPr="009E3B52">
        <w:t xml:space="preserve">FC = functional class; </w:t>
      </w:r>
      <w:r w:rsidR="00FB5052" w:rsidRPr="006316DF">
        <w:t xml:space="preserve">HR = hazard ratio; n = number of </w:t>
      </w:r>
      <w:r w:rsidR="006F774E">
        <w:t xml:space="preserve">patients with </w:t>
      </w:r>
      <w:r w:rsidR="00FB5052" w:rsidRPr="006316DF">
        <w:t>events; N = number of patients</w:t>
      </w:r>
      <w:r w:rsidR="006F774E">
        <w:t>;</w:t>
      </w:r>
      <w:r w:rsidR="006F774E" w:rsidRPr="006F774E">
        <w:t xml:space="preserve"> </w:t>
      </w:r>
      <w:r w:rsidR="006F774E" w:rsidRPr="009E3B52">
        <w:t>PAH = pulmonary arterial hypertension; WHO = World Health Organization</w:t>
      </w:r>
    </w:p>
    <w:p w:rsidR="00FB5052" w:rsidRPr="006316DF" w:rsidRDefault="00FB5052" w:rsidP="005A0C83">
      <w:pPr>
        <w:rPr>
          <w:highlight w:val="cyan"/>
        </w:rPr>
      </w:pPr>
      <w:r w:rsidRPr="006316DF">
        <w:t xml:space="preserve">A meta-analysis of the </w:t>
      </w:r>
      <w:r w:rsidR="009F2B23">
        <w:t>RR</w:t>
      </w:r>
      <w:r w:rsidRPr="006316DF">
        <w:t xml:space="preserve"> of having clinical worsening when being treated with an ERA compared with placebo was performed (</w:t>
      </w:r>
      <w:r w:rsidR="00AA722D">
        <w:t>Figure 4.2</w:t>
      </w:r>
      <w:r w:rsidRPr="006316DF">
        <w:t xml:space="preserve">). </w:t>
      </w:r>
      <w:r>
        <w:t>D</w:t>
      </w:r>
      <w:r w:rsidRPr="006316DF">
        <w:t>espite the disparity in the duration of treatment and follow-up between the four studies</w:t>
      </w:r>
      <w:r>
        <w:t>,</w:t>
      </w:r>
      <w:r w:rsidRPr="006316DF">
        <w:t xml:space="preserve"> </w:t>
      </w:r>
      <w:r>
        <w:t>t</w:t>
      </w:r>
      <w:r w:rsidRPr="006316DF">
        <w:t>here was no heterogeneity between studies</w:t>
      </w:r>
      <w:r>
        <w:t>.</w:t>
      </w:r>
      <w:r w:rsidR="00A17B9D">
        <w:rPr>
          <w:noProof/>
          <w:color w:val="000000"/>
          <w:highlight w:val="black"/>
        </w:rPr>
        <w:t xml:space="preserve"> ''''' ''''''''''''''' '''''''' ''' '''''''''''''''' '''''''''''''''''''' ''''''''' '''''''''''''''' ''''''''''''''''''' ''''''''''''''''''' '''''''' ''''' '''''''' ''''''''' '''''''''''''''' ''''''' ''''''''' '''''' ''''''''''''''''' ''''''' ''''''''''''''''''' '''''''''''' '''''''''''''' ''''''''''''''''''' ''''''''''''''''''''''' '''''''' '''''''''''' ''''''''''' '''' ''''''' '''''''' '''' ''''''' '''''''''''' ''''' </w:t>
      </w:r>
      <w:r w:rsidRPr="006316DF">
        <w:t xml:space="preserve">Overall, patients treated with an ERA had </w:t>
      </w:r>
      <w:r w:rsidR="00A17B9D">
        <w:rPr>
          <w:noProof/>
          <w:color w:val="000000"/>
          <w:highlight w:val="black"/>
        </w:rPr>
        <w:t>''' '''''''''' '''''''''' '''''''</w:t>
      </w:r>
      <w:r w:rsidRPr="006316DF">
        <w:t xml:space="preserve"> of having a clinical worsening event compared with those taking a placebo.</w:t>
      </w:r>
    </w:p>
    <w:p w:rsidR="00FB5052" w:rsidRPr="006316DF" w:rsidRDefault="00FB5052" w:rsidP="00FB5052">
      <w:pPr>
        <w:tabs>
          <w:tab w:val="left" w:pos="1649"/>
          <w:tab w:val="left" w:pos="3066"/>
          <w:tab w:val="left" w:pos="4341"/>
        </w:tabs>
        <w:spacing w:after="40"/>
        <w:jc w:val="center"/>
        <w:rPr>
          <w:rFonts w:ascii="Arial Narrow" w:hAnsi="Arial Narrow" w:cs="Tahoma"/>
          <w:sz w:val="20"/>
          <w:highlight w:val="cyan"/>
        </w:rPr>
      </w:pPr>
      <w:r w:rsidRPr="006316DF">
        <w:rPr>
          <w:rFonts w:ascii="Arial Narrow" w:hAnsi="Arial Narrow" w:cs="Tahoma"/>
          <w:noProof/>
          <w:sz w:val="20"/>
          <w:highlight w:val="cyan"/>
          <w:lang w:eastAsia="en-AU"/>
        </w:rPr>
        <w:lastRenderedPageBreak/>
        <w:drawing>
          <wp:inline distT="0" distB="0" distL="0" distR="0" wp14:anchorId="7A0E755F" wp14:editId="17B9B121">
            <wp:extent cx="6146056" cy="2429302"/>
            <wp:effectExtent l="0" t="0" r="7620" b="9525"/>
            <wp:docPr id="26" name="Picture 26" descr="The estimated RR from the meta-analysis was 0.32 (95% CI 0.16, 0.61)" title="Forest plot showing the RR of having a clinical worsening event while being treated with an ERA compared with placebo in patients with WHO FC I/II 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221219" cy="2459011"/>
                    </a:xfrm>
                    <a:prstGeom prst="rect">
                      <a:avLst/>
                    </a:prstGeom>
                    <a:noFill/>
                    <a:ln>
                      <a:noFill/>
                    </a:ln>
                    <a:extLst>
                      <a:ext uri="{53640926-AAD7-44D8-BBD7-CCE9431645EC}">
                        <a14:shadowObscured xmlns:a14="http://schemas.microsoft.com/office/drawing/2010/main"/>
                      </a:ext>
                    </a:extLst>
                  </pic:spPr>
                </pic:pic>
              </a:graphicData>
            </a:graphic>
          </wp:inline>
        </w:drawing>
      </w:r>
    </w:p>
    <w:p w:rsidR="00FB5052" w:rsidRPr="00795577" w:rsidRDefault="00B40240" w:rsidP="00BC5A2B">
      <w:pPr>
        <w:pStyle w:val="Caption"/>
        <w:rPr>
          <w:rFonts w:ascii="Arial Narrow" w:hAnsi="Arial Narrow" w:cs="Tahoma"/>
          <w:u w:val="single"/>
        </w:rPr>
      </w:pPr>
      <w:bookmarkStart w:id="101" w:name="_Ref505960752"/>
      <w:bookmarkStart w:id="102" w:name="_Toc512855575"/>
      <w:r>
        <w:t>Figure 4.</w:t>
      </w:r>
      <w:r w:rsidR="00AA722D">
        <w:rPr>
          <w:noProof/>
        </w:rPr>
        <w:t>2</w:t>
      </w:r>
      <w:bookmarkEnd w:id="101"/>
      <w:r>
        <w:tab/>
      </w:r>
      <w:r w:rsidR="00FB5052" w:rsidRPr="00795577">
        <w:t>Forest plot showing the RR of having a clinical worsening event while being treated with an ERA compared with placebo in patients with WHO FC I/II PAH</w:t>
      </w:r>
      <w:bookmarkEnd w:id="102"/>
    </w:p>
    <w:p w:rsidR="006F774E" w:rsidRPr="006316DF" w:rsidRDefault="00FB5052" w:rsidP="00B40240">
      <w:pPr>
        <w:pStyle w:val="Tablenote"/>
      </w:pPr>
      <w:r w:rsidRPr="00795577">
        <w:t>CI = confidence interval; ERA =</w:t>
      </w:r>
      <w:r>
        <w:t xml:space="preserve"> </w:t>
      </w:r>
      <w:r w:rsidR="0006512A">
        <w:t>endothelin receptor</w:t>
      </w:r>
      <w:r>
        <w:t xml:space="preserve"> antagonist</w:t>
      </w:r>
      <w:r w:rsidRPr="00795577">
        <w:t xml:space="preserve">; </w:t>
      </w:r>
      <w:r w:rsidR="006F774E" w:rsidRPr="006F774E">
        <w:t xml:space="preserve">FC = functional class; </w:t>
      </w:r>
      <w:r w:rsidRPr="00795577">
        <w:t xml:space="preserve">N = number of patients; </w:t>
      </w:r>
      <w:r w:rsidR="006F774E" w:rsidRPr="009E3B52">
        <w:t xml:space="preserve">PAH = pulmonary arterial hypertension; </w:t>
      </w:r>
      <w:r w:rsidRPr="00795577">
        <w:t>RR = relative risk</w:t>
      </w:r>
      <w:r w:rsidR="006F774E" w:rsidRPr="00F20C66">
        <w:t xml:space="preserve">; </w:t>
      </w:r>
      <w:r w:rsidR="006F774E" w:rsidRPr="009E3B52">
        <w:t>WHO = World Health Organization</w:t>
      </w:r>
    </w:p>
    <w:p w:rsidR="00FB5052" w:rsidRPr="006316DF" w:rsidRDefault="0077344D" w:rsidP="00FB5052">
      <w:pPr>
        <w:pStyle w:val="Heading5"/>
      </w:pPr>
      <w:r>
        <w:t>b.</w:t>
      </w:r>
      <w:r w:rsidR="00EE09B2">
        <w:tab/>
      </w:r>
      <w:r w:rsidR="00C828F9">
        <w:t>All-cause m</w:t>
      </w:r>
      <w:r w:rsidR="00C828F9" w:rsidRPr="006316DF">
        <w:t>ortality</w:t>
      </w:r>
    </w:p>
    <w:p w:rsidR="00FB5052" w:rsidRDefault="00FB5052" w:rsidP="00FB5052">
      <w:r w:rsidRPr="006316DF">
        <w:t>Two RCTs reported on the proportion of patients who died from any cause during the study period</w:t>
      </w:r>
      <w:r>
        <w:t xml:space="preserve"> </w:t>
      </w:r>
      <w:r w:rsidRPr="006316DF">
        <w:t>(</w:t>
      </w:r>
      <w:r w:rsidR="00AA722D">
        <w:t xml:space="preserve">Table </w:t>
      </w:r>
      <w:r w:rsidR="00AA722D">
        <w:rPr>
          <w:noProof/>
        </w:rPr>
        <w:t>4.30</w:t>
      </w:r>
      <w:r w:rsidRPr="006316DF">
        <w:t>)</w:t>
      </w:r>
      <w:r>
        <w:t>.</w:t>
      </w:r>
      <w:r w:rsidRPr="006316DF">
        <w:t xml:space="preserve"> </w:t>
      </w:r>
      <w:r>
        <w:t>The EARLY trial did not report the HR (</w:t>
      </w:r>
      <w:r w:rsidR="00B21201">
        <w:t>ARD</w:t>
      </w:r>
      <w:r w:rsidR="00973227">
        <w:t> </w:t>
      </w:r>
      <w:r>
        <w:t>=</w:t>
      </w:r>
      <w:r w:rsidR="00973227">
        <w:t> </w:t>
      </w:r>
      <w:r w:rsidR="00A17B9D">
        <w:rPr>
          <w:noProof/>
          <w:color w:val="000000"/>
          <w:highlight w:val="black"/>
        </w:rPr>
        <w:t>'''''''''''' ''''''''''' ''''''''' '''''''' ''''''''''''''''</w:t>
      </w:r>
      <w:r>
        <w:t>).</w:t>
      </w:r>
      <w:r w:rsidRPr="006316DF">
        <w:t xml:space="preserve"> </w:t>
      </w:r>
      <w:r>
        <w:t>In</w:t>
      </w:r>
      <w:r w:rsidRPr="006316DF">
        <w:t xml:space="preserve"> the SERAPHIN trial</w:t>
      </w:r>
      <w:r>
        <w:t>, o</w:t>
      </w:r>
      <w:r w:rsidRPr="006316DF">
        <w:t xml:space="preserve">ver a median of 129 weeks of treatment, patients receiving macitentan were </w:t>
      </w:r>
      <w:r w:rsidR="00A17B9D">
        <w:rPr>
          <w:noProof/>
          <w:color w:val="000000"/>
          <w:highlight w:val="black"/>
        </w:rPr>
        <w:t>'''''''''''''' '''''''' '''''''''''</w:t>
      </w:r>
      <w:r w:rsidRPr="006316DF">
        <w:t xml:space="preserve"> to die from any cause compared with patients in the placebo group</w:t>
      </w:r>
      <w:r>
        <w:t xml:space="preserve"> (</w:t>
      </w:r>
      <w:r w:rsidR="00B21201">
        <w:t>ARD</w:t>
      </w:r>
      <w:r w:rsidR="00973227">
        <w:t> </w:t>
      </w:r>
      <w:r>
        <w:t>=</w:t>
      </w:r>
      <w:r w:rsidR="00973227">
        <w:t> </w:t>
      </w:r>
      <w:r w:rsidR="00A17B9D">
        <w:rPr>
          <w:noProof/>
          <w:color w:val="000000"/>
          <w:highlight w:val="black"/>
        </w:rPr>
        <w:t>''''''''''''''''' '''''''' '''' '''''''''''' '''''''' ''''''''''''''''</w:t>
      </w:r>
      <w:r>
        <w:t>)</w:t>
      </w:r>
      <w:r w:rsidRPr="006316DF">
        <w:t xml:space="preserve">. </w:t>
      </w:r>
      <w:r>
        <w:t xml:space="preserve">The number needed to treat (NNT) is equivalent to the inverse of the </w:t>
      </w:r>
      <w:r w:rsidR="00B21201">
        <w:t>ARD</w:t>
      </w:r>
      <w:r>
        <w:t xml:space="preserve"> (1/</w:t>
      </w:r>
      <w:r w:rsidR="00B21201">
        <w:t>ARD</w:t>
      </w:r>
      <w:r>
        <w:t xml:space="preserve">). Thus, </w:t>
      </w:r>
      <w:r w:rsidR="00A17B9D">
        <w:rPr>
          <w:noProof/>
          <w:color w:val="000000"/>
          <w:highlight w:val="black"/>
        </w:rPr>
        <w:t>'''''</w:t>
      </w:r>
      <w:r>
        <w:t xml:space="preserve"> people in the EARLY trial and </w:t>
      </w:r>
      <w:r w:rsidR="00A17B9D">
        <w:rPr>
          <w:noProof/>
          <w:color w:val="000000"/>
          <w:highlight w:val="black"/>
        </w:rPr>
        <w:t>''''''''</w:t>
      </w:r>
      <w:r w:rsidR="00AD3645">
        <w:t xml:space="preserve"> </w:t>
      </w:r>
      <w:r>
        <w:t xml:space="preserve">people in the SERAPHIN trial needed to be treated by </w:t>
      </w:r>
      <w:r w:rsidR="00A17B9D">
        <w:rPr>
          <w:noProof/>
          <w:color w:val="000000"/>
          <w:highlight w:val="black"/>
        </w:rPr>
        <w:t>''''' '''''''</w:t>
      </w:r>
      <w:r>
        <w:t xml:space="preserve"> to prevent one additional death compared with </w:t>
      </w:r>
      <w:r w:rsidR="00A17B9D">
        <w:rPr>
          <w:noProof/>
          <w:color w:val="000000"/>
          <w:highlight w:val="black"/>
        </w:rPr>
        <w:t>''''''''''''''</w:t>
      </w:r>
      <w:r>
        <w:t>.</w:t>
      </w:r>
    </w:p>
    <w:p w:rsidR="00FB5052" w:rsidRPr="006316DF" w:rsidRDefault="00FB5052" w:rsidP="00FB5052">
      <w:r w:rsidRPr="006316DF">
        <w:t>Of the patients who died</w:t>
      </w:r>
      <w:r>
        <w:t xml:space="preserve"> in the SERAPHIN trial</w:t>
      </w:r>
      <w:r w:rsidR="00A17B9D">
        <w:rPr>
          <w:noProof/>
          <w:color w:val="000000"/>
          <w:highlight w:val="black"/>
        </w:rPr>
        <w:t>'' '''''''' ''''''''</w:t>
      </w:r>
      <w:r w:rsidRPr="006316DF">
        <w:t xml:space="preserve"> died due to PAH, with patients receiving the placebo </w:t>
      </w:r>
      <w:r w:rsidR="00A17B9D">
        <w:rPr>
          <w:noProof/>
          <w:color w:val="000000"/>
          <w:highlight w:val="black"/>
        </w:rPr>
        <w:t>'''''''''''''' '''''''''' '''''''''''</w:t>
      </w:r>
      <w:r w:rsidRPr="006316DF">
        <w:t xml:space="preserve"> to die </w:t>
      </w:r>
      <w:r>
        <w:t xml:space="preserve">from PAH </w:t>
      </w:r>
      <w:r w:rsidRPr="006316DF">
        <w:t>than those receiving macitentan</w:t>
      </w:r>
      <w:r>
        <w:t xml:space="preserve"> during the study period (</w:t>
      </w:r>
      <w:r w:rsidR="00B21201">
        <w:t>ARD</w:t>
      </w:r>
      <w:r w:rsidR="00973227">
        <w:t> </w:t>
      </w:r>
      <w:r>
        <w:t>=</w:t>
      </w:r>
      <w:r w:rsidR="00973227">
        <w:t> </w:t>
      </w:r>
      <w:r w:rsidR="00A17B9D">
        <w:rPr>
          <w:noProof/>
          <w:color w:val="000000"/>
          <w:highlight w:val="black"/>
        </w:rPr>
        <w:t>'''''''''''' '''''''' '''' ''''''''' '''''''' '''''''''''''''</w:t>
      </w:r>
      <w:r>
        <w:t>)</w:t>
      </w:r>
      <w:r w:rsidRPr="006316DF">
        <w:t>.</w:t>
      </w:r>
    </w:p>
    <w:p w:rsidR="00FB5052" w:rsidRPr="006316DF" w:rsidRDefault="00B40240" w:rsidP="00BC5A2B">
      <w:pPr>
        <w:pStyle w:val="Caption"/>
      </w:pPr>
      <w:bookmarkStart w:id="103" w:name="_Ref500845037"/>
      <w:bookmarkStart w:id="104" w:name="_Toc512855434"/>
      <w:r>
        <w:t>Table 4.</w:t>
      </w:r>
      <w:r w:rsidR="00AA722D">
        <w:rPr>
          <w:noProof/>
        </w:rPr>
        <w:t>30</w:t>
      </w:r>
      <w:bookmarkEnd w:id="103"/>
      <w:r>
        <w:tab/>
      </w:r>
      <w:r w:rsidR="00FB5052" w:rsidRPr="006316DF">
        <w:t xml:space="preserve">Mortality rates for </w:t>
      </w:r>
      <w:r w:rsidR="00FB5052">
        <w:t xml:space="preserve">an </w:t>
      </w:r>
      <w:r w:rsidR="00FB5052" w:rsidRPr="006316DF">
        <w:t>ERA compared with placebo</w:t>
      </w:r>
      <w:r w:rsidR="00FB5052" w:rsidRPr="00B642BB">
        <w:t xml:space="preserve"> in patients with WHO FC I/II PAH</w:t>
      </w:r>
      <w:bookmarkEnd w:id="104"/>
    </w:p>
    <w:tbl>
      <w:tblPr>
        <w:tblStyle w:val="TableGrid7"/>
        <w:tblW w:w="9634" w:type="dxa"/>
        <w:tblLayout w:type="fixed"/>
        <w:tblLook w:val="04A0" w:firstRow="1" w:lastRow="0" w:firstColumn="1" w:lastColumn="0" w:noHBand="0" w:noVBand="1"/>
        <w:tblCaption w:val="Mortality rates for an ERA compared with placebo in patients with WHO FC I/II PAH"/>
      </w:tblPr>
      <w:tblGrid>
        <w:gridCol w:w="2263"/>
        <w:gridCol w:w="2127"/>
        <w:gridCol w:w="1842"/>
        <w:gridCol w:w="1702"/>
        <w:gridCol w:w="1700"/>
      </w:tblGrid>
      <w:tr w:rsidR="00FB5052" w:rsidRPr="006316DF" w:rsidTr="00E1509D">
        <w:trPr>
          <w:trHeight w:val="178"/>
          <w:tblHeader/>
        </w:trPr>
        <w:tc>
          <w:tcPr>
            <w:tcW w:w="2263" w:type="dxa"/>
            <w:vMerge w:val="restart"/>
            <w:shd w:val="clear" w:color="auto" w:fill="BFBFBF" w:themeFill="background1" w:themeFillShade="BF"/>
          </w:tcPr>
          <w:p w:rsidR="00FB5052" w:rsidRPr="00B40240" w:rsidRDefault="00FB5052" w:rsidP="00B40240">
            <w:pPr>
              <w:pStyle w:val="Tabletext"/>
              <w:rPr>
                <w:b/>
              </w:rPr>
            </w:pPr>
            <w:r w:rsidRPr="00B40240">
              <w:rPr>
                <w:b/>
              </w:rPr>
              <w:t>Study ID</w:t>
            </w:r>
          </w:p>
        </w:tc>
        <w:tc>
          <w:tcPr>
            <w:tcW w:w="2127" w:type="dxa"/>
            <w:vMerge w:val="restart"/>
            <w:shd w:val="clear" w:color="auto" w:fill="BFBFBF" w:themeFill="background1" w:themeFillShade="BF"/>
          </w:tcPr>
          <w:p w:rsidR="00FB5052" w:rsidRPr="00B40240" w:rsidRDefault="00FB5052" w:rsidP="00B40240">
            <w:pPr>
              <w:pStyle w:val="Tabletext"/>
              <w:rPr>
                <w:b/>
              </w:rPr>
            </w:pPr>
            <w:r w:rsidRPr="00B40240">
              <w:rPr>
                <w:b/>
              </w:rPr>
              <w:t>ERA</w:t>
            </w:r>
          </w:p>
          <w:p w:rsidR="00FB5052" w:rsidRPr="00B40240" w:rsidRDefault="00FB5052" w:rsidP="00B40240">
            <w:pPr>
              <w:pStyle w:val="Tabletext"/>
              <w:rPr>
                <w:b/>
              </w:rPr>
            </w:pPr>
            <w:r w:rsidRPr="00B40240">
              <w:rPr>
                <w:b/>
              </w:rPr>
              <w:t>Study period</w:t>
            </w:r>
          </w:p>
        </w:tc>
        <w:tc>
          <w:tcPr>
            <w:tcW w:w="3544" w:type="dxa"/>
            <w:gridSpan w:val="2"/>
            <w:shd w:val="clear" w:color="auto" w:fill="BFBFBF" w:themeFill="background1" w:themeFillShade="BF"/>
          </w:tcPr>
          <w:p w:rsidR="00FB5052" w:rsidRPr="00B40240" w:rsidRDefault="00FB5052" w:rsidP="00B40240">
            <w:pPr>
              <w:pStyle w:val="Tabletext"/>
              <w:jc w:val="center"/>
              <w:rPr>
                <w:b/>
              </w:rPr>
            </w:pPr>
            <w:r w:rsidRPr="00B40240">
              <w:rPr>
                <w:b/>
              </w:rPr>
              <w:t>n/N (%)</w:t>
            </w:r>
          </w:p>
        </w:tc>
        <w:tc>
          <w:tcPr>
            <w:tcW w:w="1700" w:type="dxa"/>
            <w:vMerge w:val="restart"/>
            <w:shd w:val="clear" w:color="auto" w:fill="BFBFBF" w:themeFill="background1" w:themeFillShade="BF"/>
          </w:tcPr>
          <w:p w:rsidR="00FB5052" w:rsidRPr="00B40240" w:rsidRDefault="00FB5052" w:rsidP="00B40240">
            <w:pPr>
              <w:pStyle w:val="Tabletext"/>
              <w:jc w:val="center"/>
              <w:rPr>
                <w:b/>
              </w:rPr>
            </w:pPr>
            <w:r w:rsidRPr="00B40240">
              <w:rPr>
                <w:b/>
              </w:rPr>
              <w:t>HR (95% CI)</w:t>
            </w:r>
          </w:p>
        </w:tc>
      </w:tr>
      <w:tr w:rsidR="00FB5052" w:rsidRPr="006316DF" w:rsidTr="00E1509D">
        <w:trPr>
          <w:trHeight w:val="202"/>
          <w:tblHeader/>
        </w:trPr>
        <w:tc>
          <w:tcPr>
            <w:tcW w:w="2263" w:type="dxa"/>
            <w:vMerge/>
            <w:shd w:val="clear" w:color="auto" w:fill="BFBFBF" w:themeFill="background1" w:themeFillShade="BF"/>
          </w:tcPr>
          <w:p w:rsidR="00FB5052" w:rsidRPr="00B40240" w:rsidRDefault="00FB5052" w:rsidP="00B40240">
            <w:pPr>
              <w:pStyle w:val="Tabletext"/>
            </w:pPr>
          </w:p>
        </w:tc>
        <w:tc>
          <w:tcPr>
            <w:tcW w:w="2127" w:type="dxa"/>
            <w:vMerge/>
            <w:shd w:val="clear" w:color="auto" w:fill="BFBFBF" w:themeFill="background1" w:themeFillShade="BF"/>
          </w:tcPr>
          <w:p w:rsidR="00FB5052" w:rsidRPr="00B40240" w:rsidRDefault="00FB5052" w:rsidP="00B40240">
            <w:pPr>
              <w:pStyle w:val="Tabletext"/>
            </w:pPr>
          </w:p>
        </w:tc>
        <w:tc>
          <w:tcPr>
            <w:tcW w:w="1842" w:type="dxa"/>
            <w:shd w:val="clear" w:color="auto" w:fill="BFBFBF" w:themeFill="background1" w:themeFillShade="BF"/>
          </w:tcPr>
          <w:p w:rsidR="00FB5052" w:rsidRPr="00B40240" w:rsidRDefault="00FB5052" w:rsidP="00B40240">
            <w:pPr>
              <w:pStyle w:val="Tabletext"/>
              <w:jc w:val="center"/>
              <w:rPr>
                <w:b/>
              </w:rPr>
            </w:pPr>
            <w:r w:rsidRPr="00B40240">
              <w:rPr>
                <w:b/>
              </w:rPr>
              <w:t>ERA</w:t>
            </w:r>
          </w:p>
        </w:tc>
        <w:tc>
          <w:tcPr>
            <w:tcW w:w="1702" w:type="dxa"/>
            <w:shd w:val="clear" w:color="auto" w:fill="BFBFBF" w:themeFill="background1" w:themeFillShade="BF"/>
          </w:tcPr>
          <w:p w:rsidR="00FB5052" w:rsidRPr="00B40240" w:rsidRDefault="00FB5052" w:rsidP="00B40240">
            <w:pPr>
              <w:pStyle w:val="Tabletext"/>
              <w:jc w:val="center"/>
              <w:rPr>
                <w:b/>
              </w:rPr>
            </w:pPr>
            <w:r w:rsidRPr="00B40240">
              <w:rPr>
                <w:b/>
              </w:rPr>
              <w:t>Placebo</w:t>
            </w:r>
          </w:p>
        </w:tc>
        <w:tc>
          <w:tcPr>
            <w:tcW w:w="1700" w:type="dxa"/>
            <w:vMerge/>
            <w:shd w:val="clear" w:color="auto" w:fill="BFBFBF" w:themeFill="background1" w:themeFillShade="BF"/>
          </w:tcPr>
          <w:p w:rsidR="00FB5052" w:rsidRPr="00B40240" w:rsidRDefault="00FB5052" w:rsidP="00B40240">
            <w:pPr>
              <w:pStyle w:val="Tabletext"/>
            </w:pPr>
          </w:p>
        </w:tc>
      </w:tr>
      <w:tr w:rsidR="00FB5052" w:rsidRPr="006316DF" w:rsidTr="00E1509D">
        <w:trPr>
          <w:trHeight w:val="70"/>
        </w:trPr>
        <w:tc>
          <w:tcPr>
            <w:tcW w:w="2263" w:type="dxa"/>
          </w:tcPr>
          <w:p w:rsidR="00FB5052" w:rsidRPr="00B40240" w:rsidRDefault="00FB5052" w:rsidP="00B40240">
            <w:pPr>
              <w:pStyle w:val="Tabletext"/>
            </w:pPr>
            <w:r w:rsidRPr="00B40240">
              <w:t>EARLY CSR</w:t>
            </w:r>
          </w:p>
        </w:tc>
        <w:tc>
          <w:tcPr>
            <w:tcW w:w="2127" w:type="dxa"/>
          </w:tcPr>
          <w:p w:rsidR="00FB5052" w:rsidRPr="00B40240" w:rsidRDefault="00FB5052" w:rsidP="00B40240">
            <w:pPr>
              <w:pStyle w:val="Tabletext"/>
            </w:pPr>
            <w:r w:rsidRPr="00B40240">
              <w:t>Bosentan</w:t>
            </w:r>
          </w:p>
          <w:p w:rsidR="00FB5052" w:rsidRPr="00B40240" w:rsidRDefault="00FB5052" w:rsidP="00B40240">
            <w:pPr>
              <w:pStyle w:val="Tabletext"/>
            </w:pPr>
            <w:r w:rsidRPr="00B40240">
              <w:t>6 months (all-cause)</w:t>
            </w:r>
          </w:p>
        </w:tc>
        <w:tc>
          <w:tcPr>
            <w:tcW w:w="1842" w:type="dxa"/>
          </w:tcPr>
          <w:p w:rsidR="00FB5052" w:rsidRPr="00B40240" w:rsidRDefault="00FB5052" w:rsidP="00B40240">
            <w:pPr>
              <w:pStyle w:val="Tabletext"/>
              <w:jc w:val="center"/>
              <w:rPr>
                <w:highlight w:val="cyan"/>
              </w:rPr>
            </w:pPr>
          </w:p>
          <w:p w:rsidR="00FB5052" w:rsidRPr="00A17B9D" w:rsidRDefault="00A17B9D" w:rsidP="00B40240">
            <w:pPr>
              <w:pStyle w:val="Tabletext"/>
              <w:jc w:val="center"/>
              <w:rPr>
                <w:highlight w:val="black"/>
              </w:rPr>
            </w:pPr>
            <w:r>
              <w:rPr>
                <w:noProof/>
                <w:color w:val="000000"/>
                <w:highlight w:val="black"/>
              </w:rPr>
              <w:t>'''''''''' '''''''''''''</w:t>
            </w:r>
          </w:p>
        </w:tc>
        <w:tc>
          <w:tcPr>
            <w:tcW w:w="1702" w:type="dxa"/>
          </w:tcPr>
          <w:p w:rsidR="00FB5052" w:rsidRPr="00B40240" w:rsidRDefault="00FB5052" w:rsidP="00B40240">
            <w:pPr>
              <w:pStyle w:val="Tabletext"/>
              <w:jc w:val="center"/>
              <w:rPr>
                <w:highlight w:val="cyan"/>
              </w:rPr>
            </w:pPr>
          </w:p>
          <w:p w:rsidR="00FB5052" w:rsidRPr="00A17B9D" w:rsidRDefault="00A17B9D" w:rsidP="00B40240">
            <w:pPr>
              <w:pStyle w:val="Tabletext"/>
              <w:jc w:val="center"/>
              <w:rPr>
                <w:highlight w:val="black"/>
              </w:rPr>
            </w:pPr>
            <w:r>
              <w:rPr>
                <w:noProof/>
                <w:color w:val="000000"/>
                <w:highlight w:val="black"/>
              </w:rPr>
              <w:t>''''''''''' '''''''''''''</w:t>
            </w:r>
          </w:p>
        </w:tc>
        <w:tc>
          <w:tcPr>
            <w:tcW w:w="1700" w:type="dxa"/>
          </w:tcPr>
          <w:p w:rsidR="00FB5052" w:rsidRPr="00B40240" w:rsidRDefault="00FB5052" w:rsidP="00B40240">
            <w:pPr>
              <w:pStyle w:val="Tabletext"/>
              <w:jc w:val="center"/>
            </w:pPr>
          </w:p>
          <w:p w:rsidR="00FB5052" w:rsidRPr="00B40240" w:rsidRDefault="00FB5052" w:rsidP="00B40240">
            <w:pPr>
              <w:pStyle w:val="Tabletext"/>
              <w:jc w:val="center"/>
            </w:pPr>
            <w:r w:rsidRPr="00B40240">
              <w:t>NR</w:t>
            </w:r>
          </w:p>
        </w:tc>
      </w:tr>
      <w:tr w:rsidR="00FB5052" w:rsidRPr="006316DF" w:rsidTr="00E1509D">
        <w:trPr>
          <w:trHeight w:val="70"/>
        </w:trPr>
        <w:tc>
          <w:tcPr>
            <w:tcW w:w="2263" w:type="dxa"/>
          </w:tcPr>
          <w:p w:rsidR="00FB5052" w:rsidRPr="00B40240" w:rsidRDefault="00FB5052" w:rsidP="00B40240">
            <w:pPr>
              <w:pStyle w:val="Tabletext"/>
            </w:pPr>
            <w:r w:rsidRPr="00B40240">
              <w:t>SERAPHIN, March 2014 submission</w:t>
            </w:r>
          </w:p>
        </w:tc>
        <w:tc>
          <w:tcPr>
            <w:tcW w:w="2127" w:type="dxa"/>
          </w:tcPr>
          <w:p w:rsidR="00FB5052" w:rsidRPr="00B40240" w:rsidRDefault="00FB5052" w:rsidP="00B40240">
            <w:pPr>
              <w:pStyle w:val="Tabletext"/>
            </w:pPr>
            <w:r w:rsidRPr="00B40240">
              <w:t>Macitentan (10 mg)</w:t>
            </w:r>
          </w:p>
          <w:p w:rsidR="00FB5052" w:rsidRPr="00B40240" w:rsidRDefault="00FB5052" w:rsidP="00B40240">
            <w:pPr>
              <w:pStyle w:val="Tabletext"/>
            </w:pPr>
            <w:r w:rsidRPr="00B40240">
              <w:t>Median 129 weeks</w:t>
            </w:r>
          </w:p>
          <w:p w:rsidR="00FB5052" w:rsidRPr="00B40240" w:rsidRDefault="00FB5052" w:rsidP="00B40240">
            <w:pPr>
              <w:pStyle w:val="Tabletext"/>
            </w:pPr>
            <w:r w:rsidRPr="00B40240">
              <w:t>all-cause</w:t>
            </w:r>
          </w:p>
          <w:p w:rsidR="00FB5052" w:rsidRPr="00B40240" w:rsidRDefault="00FB5052" w:rsidP="00B40240">
            <w:pPr>
              <w:pStyle w:val="Tabletext"/>
            </w:pPr>
            <w:r w:rsidRPr="00B40240">
              <w:t>due to PAH</w:t>
            </w:r>
          </w:p>
        </w:tc>
        <w:tc>
          <w:tcPr>
            <w:tcW w:w="1842" w:type="dxa"/>
          </w:tcPr>
          <w:p w:rsidR="00FB5052" w:rsidRPr="00B40240" w:rsidRDefault="00FB5052" w:rsidP="00B40240">
            <w:pPr>
              <w:pStyle w:val="Tabletext"/>
              <w:jc w:val="center"/>
              <w:rPr>
                <w:highlight w:val="cyan"/>
              </w:rPr>
            </w:pPr>
          </w:p>
          <w:p w:rsidR="00FB5052" w:rsidRPr="00B40240" w:rsidRDefault="00FB5052" w:rsidP="00B40240">
            <w:pPr>
              <w:pStyle w:val="Tabletext"/>
              <w:jc w:val="center"/>
              <w:rPr>
                <w:highlight w:val="cyan"/>
              </w:rPr>
            </w:pPr>
          </w:p>
          <w:p w:rsidR="00FB5052" w:rsidRPr="00A17B9D" w:rsidRDefault="00A17B9D" w:rsidP="00B40240">
            <w:pPr>
              <w:pStyle w:val="Tabletext"/>
              <w:jc w:val="center"/>
              <w:rPr>
                <w:highlight w:val="black"/>
              </w:rPr>
            </w:pPr>
            <w:r>
              <w:rPr>
                <w:noProof/>
                <w:color w:val="000000"/>
                <w:highlight w:val="black"/>
              </w:rPr>
              <w:t>''''''''''' '''''''''''</w:t>
            </w:r>
          </w:p>
          <w:p w:rsidR="00FB5052" w:rsidRPr="00A17B9D" w:rsidRDefault="00A17B9D" w:rsidP="00B40240">
            <w:pPr>
              <w:pStyle w:val="Tabletext"/>
              <w:jc w:val="center"/>
              <w:rPr>
                <w:highlight w:val="black"/>
              </w:rPr>
            </w:pPr>
            <w:r>
              <w:rPr>
                <w:noProof/>
                <w:color w:val="000000"/>
                <w:highlight w:val="black"/>
              </w:rPr>
              <w:t>''''''''''' '''''''''''''</w:t>
            </w:r>
          </w:p>
        </w:tc>
        <w:tc>
          <w:tcPr>
            <w:tcW w:w="1702" w:type="dxa"/>
          </w:tcPr>
          <w:p w:rsidR="00FB5052" w:rsidRPr="00B40240" w:rsidRDefault="00FB5052" w:rsidP="00B40240">
            <w:pPr>
              <w:pStyle w:val="Tabletext"/>
              <w:jc w:val="center"/>
              <w:rPr>
                <w:highlight w:val="cyan"/>
              </w:rPr>
            </w:pPr>
          </w:p>
          <w:p w:rsidR="00FB5052" w:rsidRPr="00B40240" w:rsidRDefault="00FB5052" w:rsidP="00B40240">
            <w:pPr>
              <w:pStyle w:val="Tabletext"/>
              <w:jc w:val="center"/>
              <w:rPr>
                <w:highlight w:val="cyan"/>
              </w:rPr>
            </w:pPr>
          </w:p>
          <w:p w:rsidR="00FB5052" w:rsidRPr="00A17B9D" w:rsidRDefault="00A17B9D" w:rsidP="00B40240">
            <w:pPr>
              <w:pStyle w:val="Tabletext"/>
              <w:jc w:val="center"/>
              <w:rPr>
                <w:highlight w:val="black"/>
              </w:rPr>
            </w:pPr>
            <w:r>
              <w:rPr>
                <w:noProof/>
                <w:color w:val="000000"/>
                <w:highlight w:val="black"/>
              </w:rPr>
              <w:t>''''''''''' ''''''''''''''''</w:t>
            </w:r>
          </w:p>
          <w:p w:rsidR="00FB5052" w:rsidRPr="00A17B9D" w:rsidRDefault="00A17B9D" w:rsidP="00B40240">
            <w:pPr>
              <w:pStyle w:val="Tabletext"/>
              <w:jc w:val="center"/>
              <w:rPr>
                <w:highlight w:val="black"/>
              </w:rPr>
            </w:pPr>
            <w:r>
              <w:rPr>
                <w:noProof/>
                <w:color w:val="000000"/>
                <w:highlight w:val="black"/>
              </w:rPr>
              <w:t>''''''''''' '''''''''''</w:t>
            </w:r>
          </w:p>
        </w:tc>
        <w:tc>
          <w:tcPr>
            <w:tcW w:w="1700" w:type="dxa"/>
          </w:tcPr>
          <w:p w:rsidR="00FB5052" w:rsidRPr="00B40240" w:rsidRDefault="00FB5052" w:rsidP="00B40240">
            <w:pPr>
              <w:pStyle w:val="Tabletext"/>
              <w:jc w:val="center"/>
              <w:rPr>
                <w:highlight w:val="cyan"/>
              </w:rPr>
            </w:pPr>
          </w:p>
          <w:p w:rsidR="00FB5052" w:rsidRPr="00B40240" w:rsidRDefault="00FB5052" w:rsidP="00B40240">
            <w:pPr>
              <w:pStyle w:val="Tabletext"/>
              <w:jc w:val="center"/>
              <w:rPr>
                <w:highlight w:val="cyan"/>
              </w:rPr>
            </w:pPr>
          </w:p>
          <w:p w:rsidR="00FB5052" w:rsidRPr="00A17B9D" w:rsidRDefault="00A17B9D" w:rsidP="00B40240">
            <w:pPr>
              <w:pStyle w:val="Tabletext"/>
              <w:jc w:val="center"/>
              <w:rPr>
                <w:highlight w:val="black"/>
              </w:rPr>
            </w:pPr>
            <w:r>
              <w:rPr>
                <w:noProof/>
                <w:color w:val="000000"/>
                <w:highlight w:val="black"/>
              </w:rPr>
              <w:t>'''''''''''' '''''''''''''' '''''''''''</w:t>
            </w:r>
          </w:p>
          <w:p w:rsidR="00FB5052" w:rsidRPr="00A17B9D" w:rsidRDefault="00A17B9D" w:rsidP="00B40240">
            <w:pPr>
              <w:pStyle w:val="Tabletext"/>
              <w:jc w:val="center"/>
              <w:rPr>
                <w:highlight w:val="black"/>
              </w:rPr>
            </w:pPr>
            <w:r>
              <w:rPr>
                <w:noProof/>
                <w:color w:val="000000"/>
                <w:highlight w:val="black"/>
              </w:rPr>
              <w:t>'''''''''' '''''''''''''' '''''''''''''</w:t>
            </w:r>
          </w:p>
        </w:tc>
      </w:tr>
    </w:tbl>
    <w:p w:rsidR="008A5D9B" w:rsidRPr="006316DF" w:rsidRDefault="0006512A" w:rsidP="00B40240">
      <w:pPr>
        <w:pStyle w:val="Tablenote"/>
      </w:pPr>
      <w:r>
        <w:t xml:space="preserve">CI = confidence interval; </w:t>
      </w:r>
      <w:r w:rsidR="00FB5052" w:rsidRPr="006316DF">
        <w:t>CSR = clinical study report; ERA =</w:t>
      </w:r>
      <w:r w:rsidR="00FB5052">
        <w:t xml:space="preserve"> </w:t>
      </w:r>
      <w:r>
        <w:t>endothelin receptor</w:t>
      </w:r>
      <w:r w:rsidR="00FB5052">
        <w:t xml:space="preserve"> antagonist</w:t>
      </w:r>
      <w:r w:rsidR="00FB5052" w:rsidRPr="006316DF">
        <w:t xml:space="preserve">; </w:t>
      </w:r>
      <w:r w:rsidR="008A5D9B" w:rsidRPr="006F774E">
        <w:t xml:space="preserve">FC = functional class; </w:t>
      </w:r>
      <w:r w:rsidR="00FB5052" w:rsidRPr="006316DF">
        <w:t xml:space="preserve">HR = hazard ratio; n = number of </w:t>
      </w:r>
      <w:r w:rsidR="008A5D9B">
        <w:t xml:space="preserve">patients with </w:t>
      </w:r>
      <w:r w:rsidR="00FB5052" w:rsidRPr="006316DF">
        <w:t xml:space="preserve">events; N = number of patients; </w:t>
      </w:r>
      <w:r w:rsidR="008A5D9B">
        <w:t xml:space="preserve">NR = not reported; </w:t>
      </w:r>
      <w:r w:rsidR="00FB5052" w:rsidRPr="006316DF">
        <w:t>PAH = pulmonary arterial hypertension</w:t>
      </w:r>
      <w:r w:rsidR="008A5D9B" w:rsidRPr="00F20C66">
        <w:t xml:space="preserve">; </w:t>
      </w:r>
      <w:r w:rsidR="008A5D9B" w:rsidRPr="009E3B52">
        <w:t>WHO = World Health Organization</w:t>
      </w:r>
    </w:p>
    <w:p w:rsidR="005035F1" w:rsidRDefault="005035F1">
      <w:pPr>
        <w:spacing w:before="0" w:line="240" w:lineRule="auto"/>
        <w:rPr>
          <w:highlight w:val="cyan"/>
        </w:rPr>
      </w:pPr>
      <w:r>
        <w:rPr>
          <w:highlight w:val="cyan"/>
        </w:rPr>
        <w:br w:type="page"/>
      </w:r>
    </w:p>
    <w:p w:rsidR="00FB5052" w:rsidRPr="00116B52" w:rsidRDefault="00116B52" w:rsidP="00FB5052">
      <w:pPr>
        <w:rPr>
          <w:highlight w:val="black"/>
        </w:rPr>
      </w:pPr>
      <w:r>
        <w:rPr>
          <w:noProof/>
          <w:color w:val="000000"/>
          <w:highlight w:val="black"/>
        </w:rPr>
        <w:lastRenderedPageBreak/>
        <w:t>'''''''' ''''''''''''' ''''''''' '''''''''''''''' '''''' ''''''' ''''' ''''' ''''''''''''''''' '''''''''' '''''' ''''''''''' ''''''''''' '''''''''''' ''''''''''''''' ''''''''' ''''' '''''''' ''''''''''''''''''' '''''''' '''''''''''''' '''''''' ''''''''''''''''' ''''''''''''''''''' '''''''''''''''''' ''''''''''''''''''''' ''''''''' ''''' '''''''' '''''''' '''''''''''''' ''''''''''''' ''''''''' '''''' ''''''' '''''''''''''''''''''''''''' ''''' ''''''''''' '''''''''''''''''' '''''''''''''''''''''' ''''''' ''''''''''' '''''''' '''' '''''''' '''''''' ''''''''''' ''''''</w:t>
      </w:r>
    </w:p>
    <w:p w:rsidR="00FB5052" w:rsidRPr="006316DF" w:rsidRDefault="00FB5052" w:rsidP="008F58B5">
      <w:pPr>
        <w:spacing w:after="40"/>
        <w:jc w:val="center"/>
        <w:rPr>
          <w:highlight w:val="cyan"/>
        </w:rPr>
      </w:pPr>
      <w:r w:rsidRPr="006316DF">
        <w:rPr>
          <w:noProof/>
          <w:highlight w:val="cyan"/>
          <w:lang w:eastAsia="en-AU"/>
        </w:rPr>
        <w:drawing>
          <wp:inline distT="0" distB="0" distL="0" distR="0" wp14:anchorId="49CCFCF4" wp14:editId="5810FECC">
            <wp:extent cx="6127845" cy="2252708"/>
            <wp:effectExtent l="0" t="0" r="6350" b="0"/>
            <wp:docPr id="27" name="Picture 27" descr="The estimated RR from the meta-analysis was 0.28 (95% CI 0.01, 1.09)" title="Forest plot showing the RR of all-cause mortality for ERA compared with placebo in patients with WHO FC I/II 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191799" cy="2276219"/>
                    </a:xfrm>
                    <a:prstGeom prst="rect">
                      <a:avLst/>
                    </a:prstGeom>
                    <a:noFill/>
                    <a:ln>
                      <a:noFill/>
                    </a:ln>
                    <a:extLst>
                      <a:ext uri="{53640926-AAD7-44D8-BBD7-CCE9431645EC}">
                        <a14:shadowObscured xmlns:a14="http://schemas.microsoft.com/office/drawing/2010/main"/>
                      </a:ext>
                    </a:extLst>
                  </pic:spPr>
                </pic:pic>
              </a:graphicData>
            </a:graphic>
          </wp:inline>
        </w:drawing>
      </w:r>
    </w:p>
    <w:p w:rsidR="00FB5052" w:rsidRPr="00795577" w:rsidRDefault="00B40240" w:rsidP="00BC5A2B">
      <w:pPr>
        <w:pStyle w:val="Caption"/>
        <w:rPr>
          <w:rFonts w:ascii="Arial Narrow" w:hAnsi="Arial Narrow" w:cs="Tahoma"/>
          <w:u w:val="single"/>
        </w:rPr>
      </w:pPr>
      <w:bookmarkStart w:id="105" w:name="_Ref505960901"/>
      <w:bookmarkStart w:id="106" w:name="_Toc512855576"/>
      <w:r>
        <w:t>Figure 4.</w:t>
      </w:r>
      <w:r w:rsidR="00AA722D">
        <w:rPr>
          <w:noProof/>
        </w:rPr>
        <w:t>3</w:t>
      </w:r>
      <w:bookmarkEnd w:id="105"/>
      <w:r>
        <w:tab/>
      </w:r>
      <w:r w:rsidR="00FB5052" w:rsidRPr="00795577">
        <w:t>Forest plot showing the RR of all-cause mortality for ERA compared with placebo in patients with WHO FC I/II PAH</w:t>
      </w:r>
      <w:bookmarkEnd w:id="106"/>
    </w:p>
    <w:p w:rsidR="008A5D9B" w:rsidRPr="006316DF" w:rsidRDefault="00FB5052" w:rsidP="00B40240">
      <w:pPr>
        <w:pStyle w:val="Tablenote"/>
      </w:pPr>
      <w:r w:rsidRPr="00795577">
        <w:t xml:space="preserve">CI = confidence interval; ERA = </w:t>
      </w:r>
      <w:r w:rsidR="0006512A">
        <w:t>endothelin receptor</w:t>
      </w:r>
      <w:r w:rsidRPr="00795577">
        <w:t xml:space="preserve"> antagonist; </w:t>
      </w:r>
      <w:r w:rsidR="008A5D9B" w:rsidRPr="006F774E">
        <w:t xml:space="preserve">FC = functional class; </w:t>
      </w:r>
      <w:r w:rsidRPr="00795577">
        <w:t xml:space="preserve">N = number of patients; </w:t>
      </w:r>
      <w:r w:rsidR="008A5D9B" w:rsidRPr="009E3B52">
        <w:t xml:space="preserve">PAH = pulmonary arterial hypertension; </w:t>
      </w:r>
      <w:r w:rsidRPr="00795577">
        <w:t>RR = relative risk</w:t>
      </w:r>
      <w:r w:rsidR="008A5D9B" w:rsidRPr="00F20C66">
        <w:t xml:space="preserve">; </w:t>
      </w:r>
      <w:r w:rsidR="008A5D9B" w:rsidRPr="009E3B52">
        <w:t>WHO = World Health Organization</w:t>
      </w:r>
    </w:p>
    <w:p w:rsidR="00FB5052" w:rsidRPr="006316DF" w:rsidRDefault="0077344D" w:rsidP="00FB5052">
      <w:pPr>
        <w:pStyle w:val="Heading5"/>
      </w:pPr>
      <w:r>
        <w:t>c.</w:t>
      </w:r>
      <w:r w:rsidR="00EE09B2">
        <w:tab/>
      </w:r>
      <w:r w:rsidR="00C828F9" w:rsidRPr="006316DF">
        <w:t>Hospitalisation</w:t>
      </w:r>
      <w:r w:rsidR="00C828F9" w:rsidRPr="0046652B">
        <w:t xml:space="preserve"> due to worsening PAH</w:t>
      </w:r>
    </w:p>
    <w:p w:rsidR="00FB5052" w:rsidRPr="006316DF" w:rsidRDefault="00FB5052" w:rsidP="00FB5052">
      <w:r w:rsidRPr="006316DF">
        <w:t>None of the three RCTs reported on the number of patients with WHO FC I/II PAH who were hospitalised.</w:t>
      </w:r>
    </w:p>
    <w:p w:rsidR="00FB5052" w:rsidRPr="006316DF" w:rsidRDefault="0077344D" w:rsidP="00FB5052">
      <w:pPr>
        <w:pStyle w:val="Heading5"/>
      </w:pPr>
      <w:r>
        <w:t>d.</w:t>
      </w:r>
      <w:r w:rsidR="00EE09B2">
        <w:tab/>
      </w:r>
      <w:r w:rsidR="00FB5052" w:rsidRPr="006316DF">
        <w:t xml:space="preserve">Change in WHO </w:t>
      </w:r>
      <w:r w:rsidR="00FB5052">
        <w:t>FC</w:t>
      </w:r>
      <w:r w:rsidR="007B6C7C">
        <w:t xml:space="preserve"> from baseline</w:t>
      </w:r>
    </w:p>
    <w:p w:rsidR="00FB5052" w:rsidRPr="006316DF" w:rsidRDefault="00FB5052" w:rsidP="00EB768B">
      <w:pPr>
        <w:tabs>
          <w:tab w:val="left" w:pos="7513"/>
        </w:tabs>
      </w:pPr>
      <w:r w:rsidRPr="006316DF">
        <w:t>The ARIES-1&amp;2 trials reported the number of patients with WHO FC I/II PAH who changed FC during treatment (</w:t>
      </w:r>
      <w:r w:rsidR="00AA722D">
        <w:t xml:space="preserve">Table </w:t>
      </w:r>
      <w:r w:rsidR="00AA722D">
        <w:rPr>
          <w:noProof/>
        </w:rPr>
        <w:t>4.31</w:t>
      </w:r>
      <w:r w:rsidRPr="006316DF">
        <w:t xml:space="preserve">). The </w:t>
      </w:r>
      <w:r>
        <w:t xml:space="preserve">patients treated with ambrisentan were more likely to improve their </w:t>
      </w:r>
      <w:r w:rsidRPr="006316DF">
        <w:t xml:space="preserve">WHO FC </w:t>
      </w:r>
      <w:r>
        <w:t>than those receiving a placebo (</w:t>
      </w:r>
      <w:r w:rsidR="00B21201">
        <w:t>ARD</w:t>
      </w:r>
      <w:r w:rsidR="00973227">
        <w:t> </w:t>
      </w:r>
      <w:r>
        <w:t>=</w:t>
      </w:r>
      <w:r w:rsidR="00973227">
        <w:t> </w:t>
      </w:r>
      <w:r>
        <w:t>14.0%; 95% CI 4.4, 23.6</w:t>
      </w:r>
      <w:r w:rsidR="008F58B5">
        <w:t>; p</w:t>
      </w:r>
      <w:r w:rsidR="00973227">
        <w:t> </w:t>
      </w:r>
      <w:r w:rsidR="008F58B5">
        <w:t>=</w:t>
      </w:r>
      <w:r w:rsidR="00973227">
        <w:t> </w:t>
      </w:r>
      <w:r w:rsidR="008F58B5">
        <w:t>0.0056</w:t>
      </w:r>
      <w:r>
        <w:t xml:space="preserve">) but the </w:t>
      </w:r>
      <w:r w:rsidRPr="006316DF">
        <w:t xml:space="preserve">RR </w:t>
      </w:r>
      <w:r>
        <w:t>was not calculable. Patients receiving ambrisentan were</w:t>
      </w:r>
      <w:r w:rsidRPr="006316DF">
        <w:t xml:space="preserve"> </w:t>
      </w:r>
      <w:r>
        <w:t xml:space="preserve">also </w:t>
      </w:r>
      <w:r w:rsidRPr="006316DF">
        <w:t xml:space="preserve">4-times less likely to </w:t>
      </w:r>
      <w:r w:rsidR="00EB768B">
        <w:t>experience a decrease</w:t>
      </w:r>
      <w:r w:rsidRPr="006316DF">
        <w:t xml:space="preserve"> in </w:t>
      </w:r>
      <w:r>
        <w:t xml:space="preserve">WHO </w:t>
      </w:r>
      <w:r w:rsidRPr="006316DF">
        <w:t>FC</w:t>
      </w:r>
      <w:r>
        <w:t xml:space="preserve"> than those receiving a placebo (</w:t>
      </w:r>
      <w:r w:rsidR="00B21201">
        <w:t>ARD</w:t>
      </w:r>
      <w:r w:rsidR="00973227">
        <w:t> </w:t>
      </w:r>
      <w:r>
        <w:t>=</w:t>
      </w:r>
      <w:r w:rsidR="00973227">
        <w:t> </w:t>
      </w:r>
      <w:r>
        <w:t>−5.8%; 95% CI −14.2, 2.5</w:t>
      </w:r>
      <w:r w:rsidR="008F58B5">
        <w:t>; p</w:t>
      </w:r>
      <w:r w:rsidR="00973227">
        <w:t> </w:t>
      </w:r>
      <w:r w:rsidR="008F58B5">
        <w:t>=</w:t>
      </w:r>
      <w:r w:rsidR="00973227">
        <w:t> </w:t>
      </w:r>
      <w:r w:rsidR="00DE31E4">
        <w:t>0.</w:t>
      </w:r>
      <w:r w:rsidR="008F58B5">
        <w:t>1</w:t>
      </w:r>
      <w:r w:rsidR="00DE31E4">
        <w:t>69</w:t>
      </w:r>
      <w:r>
        <w:t>)</w:t>
      </w:r>
      <w:r w:rsidRPr="006316DF">
        <w:t xml:space="preserve">. </w:t>
      </w:r>
      <w:r>
        <w:t xml:space="preserve">Thus, </w:t>
      </w:r>
      <w:r w:rsidR="00866876">
        <w:t>eight</w:t>
      </w:r>
      <w:r>
        <w:t xml:space="preserve"> patients need to be treated with ambrisentan for one additional patient to improve in WHO FC, and 1</w:t>
      </w:r>
      <w:r w:rsidR="00E70D1D">
        <w:t>8</w:t>
      </w:r>
      <w:r>
        <w:t xml:space="preserve"> to prevent harm (worsening WHO FC) to one additional patient</w:t>
      </w:r>
      <w:r w:rsidRPr="009F2C6C">
        <w:t xml:space="preserve"> </w:t>
      </w:r>
      <w:r>
        <w:t xml:space="preserve">compared with placebo. </w:t>
      </w:r>
      <w:r w:rsidRPr="006316DF">
        <w:t>However, the</w:t>
      </w:r>
      <w:r>
        <w:t>se</w:t>
      </w:r>
      <w:r w:rsidRPr="006316DF">
        <w:t xml:space="preserve"> differences did not reach statistical significance.</w:t>
      </w:r>
    </w:p>
    <w:p w:rsidR="00FB5052" w:rsidRPr="006316DF" w:rsidRDefault="00B40240" w:rsidP="00BC5A2B">
      <w:pPr>
        <w:pStyle w:val="Caption"/>
      </w:pPr>
      <w:bookmarkStart w:id="107" w:name="_Ref501442336"/>
      <w:bookmarkStart w:id="108" w:name="_Toc512855435"/>
      <w:r>
        <w:t>Table 4.</w:t>
      </w:r>
      <w:r w:rsidR="00AA722D">
        <w:rPr>
          <w:noProof/>
        </w:rPr>
        <w:t>31</w:t>
      </w:r>
      <w:bookmarkEnd w:id="107"/>
      <w:r w:rsidR="00ED0695">
        <w:rPr>
          <w:noProof/>
        </w:rPr>
        <w:tab/>
      </w:r>
      <w:r w:rsidR="00FB5052" w:rsidRPr="006316DF">
        <w:t xml:space="preserve">The effectiveness of </w:t>
      </w:r>
      <w:r w:rsidR="00FB5052">
        <w:t>an ERA</w:t>
      </w:r>
      <w:r w:rsidR="00FB5052" w:rsidRPr="006316DF">
        <w:t xml:space="preserve"> compared with placebo in improving WHO FC</w:t>
      </w:r>
      <w:r w:rsidR="00FB5052" w:rsidRPr="00B642BB">
        <w:t xml:space="preserve"> in patients with WHO FC I/II PAH</w:t>
      </w:r>
      <w:bookmarkEnd w:id="108"/>
    </w:p>
    <w:tbl>
      <w:tblPr>
        <w:tblStyle w:val="TableGrid7"/>
        <w:tblW w:w="9634" w:type="dxa"/>
        <w:tblLayout w:type="fixed"/>
        <w:tblLook w:val="04A0" w:firstRow="1" w:lastRow="0" w:firstColumn="1" w:lastColumn="0" w:noHBand="0" w:noVBand="1"/>
        <w:tblCaption w:val="The effectiveness of an ERA compared with placebo in improving WHO FC in patients with WHO FC I/II PAH"/>
      </w:tblPr>
      <w:tblGrid>
        <w:gridCol w:w="1838"/>
        <w:gridCol w:w="1843"/>
        <w:gridCol w:w="1984"/>
        <w:gridCol w:w="1843"/>
        <w:gridCol w:w="2126"/>
      </w:tblGrid>
      <w:tr w:rsidR="00FB5052" w:rsidRPr="006316DF" w:rsidTr="008F58B5">
        <w:trPr>
          <w:trHeight w:val="53"/>
          <w:tblHeader/>
        </w:trPr>
        <w:tc>
          <w:tcPr>
            <w:tcW w:w="1838" w:type="dxa"/>
            <w:vMerge w:val="restart"/>
            <w:shd w:val="clear" w:color="auto" w:fill="BFBFBF" w:themeFill="background1" w:themeFillShade="BF"/>
          </w:tcPr>
          <w:p w:rsidR="00FB5052" w:rsidRPr="00ED0695" w:rsidRDefault="00FB5052" w:rsidP="00ED0695">
            <w:pPr>
              <w:pStyle w:val="Tabletext"/>
              <w:rPr>
                <w:b/>
              </w:rPr>
            </w:pPr>
            <w:r w:rsidRPr="00ED0695">
              <w:rPr>
                <w:b/>
              </w:rPr>
              <w:t>Study ID</w:t>
            </w:r>
          </w:p>
          <w:p w:rsidR="00FB5052" w:rsidRPr="00ED0695" w:rsidRDefault="00FB5052" w:rsidP="00ED0695">
            <w:pPr>
              <w:pStyle w:val="Tabletext"/>
              <w:rPr>
                <w:b/>
              </w:rPr>
            </w:pPr>
            <w:r w:rsidRPr="00ED0695">
              <w:rPr>
                <w:b/>
              </w:rPr>
              <w:t>ERA</w:t>
            </w:r>
          </w:p>
        </w:tc>
        <w:tc>
          <w:tcPr>
            <w:tcW w:w="1843" w:type="dxa"/>
            <w:vMerge w:val="restart"/>
            <w:shd w:val="clear" w:color="auto" w:fill="BFBFBF" w:themeFill="background1" w:themeFillShade="BF"/>
          </w:tcPr>
          <w:p w:rsidR="00FB5052" w:rsidRPr="00ED0695" w:rsidRDefault="00FB5052" w:rsidP="00ED0695">
            <w:pPr>
              <w:pStyle w:val="Tabletext"/>
              <w:rPr>
                <w:b/>
              </w:rPr>
            </w:pPr>
            <w:r w:rsidRPr="00ED0695">
              <w:rPr>
                <w:b/>
              </w:rPr>
              <w:t>Change in WHO FC</w:t>
            </w:r>
          </w:p>
        </w:tc>
        <w:tc>
          <w:tcPr>
            <w:tcW w:w="3827" w:type="dxa"/>
            <w:gridSpan w:val="2"/>
            <w:shd w:val="clear" w:color="auto" w:fill="BFBFBF" w:themeFill="background1" w:themeFillShade="BF"/>
          </w:tcPr>
          <w:p w:rsidR="00FB5052" w:rsidRPr="00ED0695" w:rsidRDefault="00FB5052" w:rsidP="00ED0695">
            <w:pPr>
              <w:pStyle w:val="Tabletext"/>
              <w:jc w:val="center"/>
              <w:rPr>
                <w:b/>
              </w:rPr>
            </w:pPr>
            <w:r w:rsidRPr="00ED0695">
              <w:rPr>
                <w:b/>
              </w:rPr>
              <w:t>n/N (%)</w:t>
            </w:r>
          </w:p>
        </w:tc>
        <w:tc>
          <w:tcPr>
            <w:tcW w:w="2126" w:type="dxa"/>
            <w:vMerge w:val="restart"/>
            <w:shd w:val="clear" w:color="auto" w:fill="BFBFBF" w:themeFill="background1" w:themeFillShade="BF"/>
          </w:tcPr>
          <w:p w:rsidR="00FB5052" w:rsidRPr="00ED0695" w:rsidRDefault="00FB5052" w:rsidP="00ED0695">
            <w:pPr>
              <w:pStyle w:val="Tabletext"/>
              <w:jc w:val="center"/>
              <w:rPr>
                <w:b/>
              </w:rPr>
            </w:pPr>
            <w:r w:rsidRPr="00ED0695">
              <w:rPr>
                <w:b/>
              </w:rPr>
              <w:t>RR (95% CI)</w:t>
            </w:r>
          </w:p>
        </w:tc>
      </w:tr>
      <w:tr w:rsidR="00FB5052" w:rsidRPr="006316DF" w:rsidTr="00ED0695">
        <w:trPr>
          <w:trHeight w:val="202"/>
          <w:tblHeader/>
        </w:trPr>
        <w:tc>
          <w:tcPr>
            <w:tcW w:w="1838" w:type="dxa"/>
            <w:vMerge/>
            <w:shd w:val="clear" w:color="auto" w:fill="BFBFBF" w:themeFill="background1" w:themeFillShade="BF"/>
          </w:tcPr>
          <w:p w:rsidR="00FB5052" w:rsidRPr="00ED0695" w:rsidRDefault="00FB5052" w:rsidP="00ED0695">
            <w:pPr>
              <w:pStyle w:val="Tabletext"/>
            </w:pPr>
          </w:p>
        </w:tc>
        <w:tc>
          <w:tcPr>
            <w:tcW w:w="1843" w:type="dxa"/>
            <w:vMerge/>
            <w:shd w:val="clear" w:color="auto" w:fill="BFBFBF" w:themeFill="background1" w:themeFillShade="BF"/>
          </w:tcPr>
          <w:p w:rsidR="00FB5052" w:rsidRPr="00ED0695" w:rsidRDefault="00FB5052" w:rsidP="00ED0695">
            <w:pPr>
              <w:pStyle w:val="Tabletext"/>
            </w:pPr>
          </w:p>
        </w:tc>
        <w:tc>
          <w:tcPr>
            <w:tcW w:w="1984" w:type="dxa"/>
            <w:shd w:val="clear" w:color="auto" w:fill="BFBFBF" w:themeFill="background1" w:themeFillShade="BF"/>
          </w:tcPr>
          <w:p w:rsidR="00FB5052" w:rsidRPr="00ED0695" w:rsidRDefault="00237FAE" w:rsidP="00ED0695">
            <w:pPr>
              <w:pStyle w:val="Tabletext"/>
              <w:jc w:val="center"/>
              <w:rPr>
                <w:b/>
              </w:rPr>
            </w:pPr>
            <w:r>
              <w:rPr>
                <w:b/>
              </w:rPr>
              <w:t>ERA</w:t>
            </w:r>
          </w:p>
        </w:tc>
        <w:tc>
          <w:tcPr>
            <w:tcW w:w="1843" w:type="dxa"/>
            <w:shd w:val="clear" w:color="auto" w:fill="BFBFBF" w:themeFill="background1" w:themeFillShade="BF"/>
          </w:tcPr>
          <w:p w:rsidR="00FB5052" w:rsidRPr="00ED0695" w:rsidRDefault="00FB5052" w:rsidP="00ED0695">
            <w:pPr>
              <w:pStyle w:val="Tabletext"/>
              <w:jc w:val="center"/>
              <w:rPr>
                <w:b/>
              </w:rPr>
            </w:pPr>
            <w:r w:rsidRPr="00ED0695">
              <w:rPr>
                <w:b/>
              </w:rPr>
              <w:t>Placebo</w:t>
            </w:r>
          </w:p>
        </w:tc>
        <w:tc>
          <w:tcPr>
            <w:tcW w:w="2126" w:type="dxa"/>
            <w:vMerge/>
            <w:shd w:val="clear" w:color="auto" w:fill="BFBFBF" w:themeFill="background1" w:themeFillShade="BF"/>
          </w:tcPr>
          <w:p w:rsidR="00FB5052" w:rsidRPr="00ED0695" w:rsidRDefault="00FB5052" w:rsidP="00ED0695">
            <w:pPr>
              <w:pStyle w:val="Tabletext"/>
            </w:pPr>
          </w:p>
        </w:tc>
      </w:tr>
      <w:tr w:rsidR="00FB5052" w:rsidRPr="006316DF" w:rsidTr="00ED0695">
        <w:trPr>
          <w:trHeight w:val="70"/>
        </w:trPr>
        <w:tc>
          <w:tcPr>
            <w:tcW w:w="1838" w:type="dxa"/>
            <w:vMerge w:val="restart"/>
          </w:tcPr>
          <w:p w:rsidR="00FB5052" w:rsidRPr="00ED0695" w:rsidRDefault="00FB5052" w:rsidP="00ED0695">
            <w:pPr>
              <w:pStyle w:val="Tabletext"/>
            </w:pPr>
            <w:r w:rsidRPr="00ED0695">
              <w:t>ARIES-1&amp;2</w:t>
            </w:r>
            <w:r w:rsidR="001D34EE" w:rsidRPr="001A1C44">
              <w:rPr>
                <w:noProof/>
                <w:vertAlign w:val="superscript"/>
              </w:rPr>
              <w:t>33</w:t>
            </w:r>
          </w:p>
          <w:p w:rsidR="00FB5052" w:rsidRPr="00ED0695" w:rsidRDefault="00FB5052" w:rsidP="00ED0695">
            <w:pPr>
              <w:pStyle w:val="Tabletext"/>
            </w:pPr>
            <w:r w:rsidRPr="00ED0695">
              <w:t>Ambrisentan</w:t>
            </w:r>
          </w:p>
        </w:tc>
        <w:tc>
          <w:tcPr>
            <w:tcW w:w="1843" w:type="dxa"/>
          </w:tcPr>
          <w:p w:rsidR="00FB5052" w:rsidRPr="00ED0695" w:rsidRDefault="00FB5052" w:rsidP="00ED0695">
            <w:pPr>
              <w:pStyle w:val="Tabletext"/>
            </w:pPr>
            <w:r w:rsidRPr="00ED0695">
              <w:t>Improved</w:t>
            </w:r>
          </w:p>
        </w:tc>
        <w:tc>
          <w:tcPr>
            <w:tcW w:w="1984" w:type="dxa"/>
          </w:tcPr>
          <w:p w:rsidR="00FB5052" w:rsidRPr="00ED0695" w:rsidRDefault="00FB5052" w:rsidP="00ED0695">
            <w:pPr>
              <w:pStyle w:val="Tabletext"/>
              <w:jc w:val="center"/>
            </w:pPr>
            <w:r w:rsidRPr="00ED0695">
              <w:t>7/50 (14%)</w:t>
            </w:r>
          </w:p>
        </w:tc>
        <w:tc>
          <w:tcPr>
            <w:tcW w:w="1843" w:type="dxa"/>
          </w:tcPr>
          <w:p w:rsidR="00FB5052" w:rsidRPr="00ED0695" w:rsidRDefault="00FB5052" w:rsidP="00ED0695">
            <w:pPr>
              <w:pStyle w:val="Tabletext"/>
              <w:jc w:val="center"/>
            </w:pPr>
            <w:r w:rsidRPr="00ED0695">
              <w:t>0/51 (0%)</w:t>
            </w:r>
          </w:p>
        </w:tc>
        <w:tc>
          <w:tcPr>
            <w:tcW w:w="2126" w:type="dxa"/>
          </w:tcPr>
          <w:p w:rsidR="00FB5052" w:rsidRPr="00ED0695" w:rsidRDefault="00FB5052" w:rsidP="00ED0695">
            <w:pPr>
              <w:pStyle w:val="Tabletext"/>
              <w:jc w:val="center"/>
            </w:pPr>
            <w:r w:rsidRPr="00ED0695">
              <w:t>Not calculable</w:t>
            </w:r>
          </w:p>
        </w:tc>
      </w:tr>
      <w:tr w:rsidR="00FB5052" w:rsidRPr="006316DF" w:rsidTr="00ED0695">
        <w:trPr>
          <w:trHeight w:val="70"/>
        </w:trPr>
        <w:tc>
          <w:tcPr>
            <w:tcW w:w="1838" w:type="dxa"/>
            <w:vMerge/>
          </w:tcPr>
          <w:p w:rsidR="00FB5052" w:rsidRPr="00ED0695" w:rsidRDefault="00FB5052" w:rsidP="00ED0695">
            <w:pPr>
              <w:pStyle w:val="Tabletext"/>
            </w:pPr>
          </w:p>
        </w:tc>
        <w:tc>
          <w:tcPr>
            <w:tcW w:w="1843" w:type="dxa"/>
          </w:tcPr>
          <w:p w:rsidR="00FB5052" w:rsidRPr="00ED0695" w:rsidRDefault="00FB5052" w:rsidP="00ED0695">
            <w:pPr>
              <w:pStyle w:val="Tabletext"/>
            </w:pPr>
            <w:r w:rsidRPr="00ED0695">
              <w:t>Worsened</w:t>
            </w:r>
          </w:p>
        </w:tc>
        <w:tc>
          <w:tcPr>
            <w:tcW w:w="1984" w:type="dxa"/>
          </w:tcPr>
          <w:p w:rsidR="00FB5052" w:rsidRPr="00ED0695" w:rsidRDefault="00FB5052" w:rsidP="00ED0695">
            <w:pPr>
              <w:pStyle w:val="Tabletext"/>
              <w:jc w:val="center"/>
            </w:pPr>
            <w:r w:rsidRPr="00ED0695">
              <w:t>1/50 (2%)</w:t>
            </w:r>
          </w:p>
        </w:tc>
        <w:tc>
          <w:tcPr>
            <w:tcW w:w="1843" w:type="dxa"/>
          </w:tcPr>
          <w:p w:rsidR="00FB5052" w:rsidRPr="00ED0695" w:rsidRDefault="00FB5052" w:rsidP="00ED0695">
            <w:pPr>
              <w:pStyle w:val="Tabletext"/>
              <w:jc w:val="center"/>
            </w:pPr>
            <w:r w:rsidRPr="00ED0695">
              <w:t>4/51 (8%)</w:t>
            </w:r>
          </w:p>
        </w:tc>
        <w:tc>
          <w:tcPr>
            <w:tcW w:w="2126" w:type="dxa"/>
          </w:tcPr>
          <w:p w:rsidR="00FB5052" w:rsidRPr="00ED0695" w:rsidRDefault="00FB5052" w:rsidP="00ED0695">
            <w:pPr>
              <w:pStyle w:val="Tabletext"/>
              <w:jc w:val="center"/>
            </w:pPr>
            <w:r w:rsidRPr="00ED0695">
              <w:t>0.25 (0.03, 2.20)</w:t>
            </w:r>
          </w:p>
        </w:tc>
      </w:tr>
    </w:tbl>
    <w:p w:rsidR="008A5D9B" w:rsidRPr="006316DF" w:rsidRDefault="00FB5052" w:rsidP="00ED0695">
      <w:pPr>
        <w:pStyle w:val="Tablenote"/>
      </w:pPr>
      <w:r w:rsidRPr="006316DF">
        <w:t xml:space="preserve">CI = confidence interval; </w:t>
      </w:r>
      <w:r w:rsidR="008A5D9B" w:rsidRPr="009E3B52">
        <w:t xml:space="preserve">ERA = endothelin receptor antagonist; </w:t>
      </w:r>
      <w:r w:rsidRPr="006316DF">
        <w:t xml:space="preserve">FC = functional class; n = number of events; N = number of patients; </w:t>
      </w:r>
      <w:r w:rsidR="008A5D9B" w:rsidRPr="009E3B52">
        <w:t xml:space="preserve">PAH = pulmonary arterial hypertension; </w:t>
      </w:r>
      <w:r w:rsidRPr="006316DF">
        <w:t xml:space="preserve">RR = relative risk; WHO = World Health </w:t>
      </w:r>
      <w:r>
        <w:t>Organization</w:t>
      </w:r>
    </w:p>
    <w:p w:rsidR="00FB5052" w:rsidRPr="006316DF" w:rsidRDefault="00EE09B2" w:rsidP="00FB5052">
      <w:pPr>
        <w:pStyle w:val="Heading5"/>
      </w:pPr>
      <w:r>
        <w:lastRenderedPageBreak/>
        <w:t>e</w:t>
      </w:r>
      <w:r w:rsidR="0077344D">
        <w:t>.</w:t>
      </w:r>
      <w:r>
        <w:tab/>
      </w:r>
      <w:r w:rsidR="00FB5052" w:rsidRPr="006316DF">
        <w:t>Change in 6MWD from baseline</w:t>
      </w:r>
    </w:p>
    <w:p w:rsidR="00FB5052" w:rsidRPr="006316DF" w:rsidRDefault="00FB5052" w:rsidP="00FB5052">
      <w:r w:rsidRPr="006316DF">
        <w:t xml:space="preserve">The SERAPHIN trial did not report on the mean difference in 6MWD for the </w:t>
      </w:r>
      <w:r>
        <w:t xml:space="preserve">treatment-naïve </w:t>
      </w:r>
      <w:r w:rsidRPr="006316DF">
        <w:t>WHO FC I/II PAH subgroup. After 6 months of bosentan treatment, treatment-naïve patients in the EARLY study had a mean increase in 6MWD of 25.7 m (</w:t>
      </w:r>
      <w:r w:rsidR="00AA722D">
        <w:t xml:space="preserve">Table </w:t>
      </w:r>
      <w:r w:rsidR="00AA722D">
        <w:rPr>
          <w:noProof/>
        </w:rPr>
        <w:t>4.32</w:t>
      </w:r>
      <w:r w:rsidRPr="006316DF">
        <w:t>)</w:t>
      </w:r>
      <w:r>
        <w:t>, which is unlikely to be clinically meaningful (see Section 4.</w:t>
      </w:r>
      <w:r w:rsidR="00857DBE">
        <w:t>3.5</w:t>
      </w:r>
      <w:r>
        <w:t>)</w:t>
      </w:r>
      <w:r w:rsidRPr="006316DF">
        <w:t>. The ARIES trials depicted the data for this patient subgroup in a graph (</w:t>
      </w:r>
      <w:r w:rsidR="00AA722D">
        <w:t>Figure 4.</w:t>
      </w:r>
      <w:r w:rsidR="00AA722D">
        <w:rPr>
          <w:noProof/>
        </w:rPr>
        <w:t>4</w:t>
      </w:r>
      <w:r w:rsidRPr="006316DF">
        <w:t xml:space="preserve">), which shows that the 6MWD significantly improved in both ambrisentan-treated groups by more than 40 m </w:t>
      </w:r>
      <w:r>
        <w:t xml:space="preserve">(a clinically important distance) </w:t>
      </w:r>
      <w:r w:rsidRPr="006316DF">
        <w:t>compared with the placebo group over the 12-week treatment period.</w:t>
      </w:r>
    </w:p>
    <w:p w:rsidR="00FB5052" w:rsidRDefault="00B40240" w:rsidP="00BC5A2B">
      <w:pPr>
        <w:pStyle w:val="Caption"/>
      </w:pPr>
      <w:bookmarkStart w:id="109" w:name="_Ref500852108"/>
      <w:bookmarkStart w:id="110" w:name="_Toc512855436"/>
      <w:r>
        <w:t>Table 4.</w:t>
      </w:r>
      <w:r w:rsidR="00AA722D">
        <w:rPr>
          <w:noProof/>
        </w:rPr>
        <w:t>32</w:t>
      </w:r>
      <w:bookmarkEnd w:id="109"/>
      <w:r w:rsidR="00ED0695">
        <w:tab/>
      </w:r>
      <w:r w:rsidR="00FB5052" w:rsidRPr="006316DF">
        <w:t xml:space="preserve">The effectiveness of </w:t>
      </w:r>
      <w:r w:rsidR="00FB5052">
        <w:t>an ERA</w:t>
      </w:r>
      <w:r w:rsidR="00FB5052" w:rsidRPr="006316DF">
        <w:t xml:space="preserve"> compared with placebo in improving 6MWD</w:t>
      </w:r>
      <w:r w:rsidR="00FB5052" w:rsidRPr="00B642BB">
        <w:t xml:space="preserve"> in patients with WHO FC I/II PAH</w:t>
      </w:r>
      <w:bookmarkEnd w:id="110"/>
    </w:p>
    <w:tbl>
      <w:tblPr>
        <w:tblStyle w:val="TableGrid"/>
        <w:tblW w:w="9654" w:type="dxa"/>
        <w:tblLayout w:type="fixed"/>
        <w:tblLook w:val="04A0" w:firstRow="1" w:lastRow="0" w:firstColumn="1" w:lastColumn="0" w:noHBand="0" w:noVBand="1"/>
        <w:tblCaption w:val="The effectiveness of an ERA compared with placebo in improving 6MWD in patients with WHO FC I/II PAH"/>
      </w:tblPr>
      <w:tblGrid>
        <w:gridCol w:w="1271"/>
        <w:gridCol w:w="1134"/>
        <w:gridCol w:w="1559"/>
        <w:gridCol w:w="1560"/>
        <w:gridCol w:w="1417"/>
        <w:gridCol w:w="1347"/>
        <w:gridCol w:w="1366"/>
      </w:tblGrid>
      <w:tr w:rsidR="00FB5052" w:rsidTr="00ED0695">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FB5052" w:rsidRPr="00ED0695" w:rsidRDefault="00FB5052" w:rsidP="00ED0695">
            <w:pPr>
              <w:pStyle w:val="Tabletext"/>
              <w:rPr>
                <w:b/>
              </w:rPr>
            </w:pPr>
            <w:r w:rsidRPr="00ED0695">
              <w:rPr>
                <w:b/>
              </w:rPr>
              <w:t>Study ID</w:t>
            </w:r>
          </w:p>
          <w:p w:rsidR="00FB5052" w:rsidRPr="00ED0695" w:rsidRDefault="00FB5052" w:rsidP="00ED0695">
            <w:pPr>
              <w:pStyle w:val="Tabletext"/>
              <w:rPr>
                <w:b/>
              </w:rPr>
            </w:pPr>
            <w:r w:rsidRPr="00ED0695">
              <w:rPr>
                <w:b/>
              </w:rPr>
              <w:t>ERA</w:t>
            </w:r>
          </w:p>
        </w:tc>
        <w:tc>
          <w:tcPr>
            <w:tcW w:w="1134" w:type="dxa"/>
            <w:vMerge w:val="restart"/>
            <w:shd w:val="clear" w:color="auto" w:fill="BFBFBF" w:themeFill="background1" w:themeFillShade="BF"/>
          </w:tcPr>
          <w:p w:rsidR="00FB5052" w:rsidRPr="00ED0695" w:rsidRDefault="00FB5052" w:rsidP="00ED0695">
            <w:pPr>
              <w:pStyle w:val="Tabletext"/>
              <w:rPr>
                <w:b/>
              </w:rPr>
            </w:pPr>
            <w:r w:rsidRPr="00ED0695">
              <w:rPr>
                <w:b/>
              </w:rPr>
              <w:t>N</w:t>
            </w:r>
          </w:p>
          <w:p w:rsidR="00FB5052" w:rsidRPr="00ED0695" w:rsidRDefault="00FB5052" w:rsidP="00ED0695">
            <w:pPr>
              <w:pStyle w:val="Tabletext"/>
              <w:rPr>
                <w:b/>
              </w:rPr>
            </w:pPr>
            <w:r w:rsidRPr="00ED0695">
              <w:rPr>
                <w:b/>
              </w:rPr>
              <w:t>Follow-up period</w:t>
            </w:r>
          </w:p>
        </w:tc>
        <w:tc>
          <w:tcPr>
            <w:tcW w:w="3119" w:type="dxa"/>
            <w:gridSpan w:val="2"/>
            <w:shd w:val="clear" w:color="auto" w:fill="BFBFBF" w:themeFill="background1" w:themeFillShade="BF"/>
          </w:tcPr>
          <w:p w:rsidR="00FB5052" w:rsidRPr="00ED0695" w:rsidRDefault="00FB5052" w:rsidP="00ED0695">
            <w:pPr>
              <w:pStyle w:val="Tabletext"/>
              <w:jc w:val="center"/>
              <w:rPr>
                <w:b/>
              </w:rPr>
            </w:pPr>
            <w:r w:rsidRPr="00ED0695">
              <w:rPr>
                <w:b/>
              </w:rPr>
              <w:t xml:space="preserve">Mean baseline 6MWD (95% CI), </w:t>
            </w:r>
            <w:r w:rsidR="00AE77DC" w:rsidRPr="00AE77DC">
              <w:rPr>
                <w:b/>
              </w:rPr>
              <w:t>meters</w:t>
            </w:r>
          </w:p>
        </w:tc>
        <w:tc>
          <w:tcPr>
            <w:tcW w:w="2764" w:type="dxa"/>
            <w:gridSpan w:val="2"/>
            <w:shd w:val="clear" w:color="auto" w:fill="BFBFBF" w:themeFill="background1" w:themeFillShade="BF"/>
          </w:tcPr>
          <w:p w:rsidR="00FB5052" w:rsidRPr="00ED0695" w:rsidRDefault="00FB5052" w:rsidP="00ED0695">
            <w:pPr>
              <w:pStyle w:val="Tabletext"/>
              <w:jc w:val="center"/>
              <w:rPr>
                <w:b/>
              </w:rPr>
            </w:pPr>
            <w:r w:rsidRPr="00ED0695">
              <w:rPr>
                <w:b/>
              </w:rPr>
              <w:t>Mean c</w:t>
            </w:r>
            <w:r w:rsidRPr="00ED0695">
              <w:rPr>
                <w:rFonts w:asciiTheme="minorHAnsi" w:hAnsiTheme="minorHAnsi"/>
                <w:b/>
              </w:rPr>
              <w:t xml:space="preserve">hange from baseline </w:t>
            </w:r>
            <w:r w:rsidR="00AD3645">
              <w:rPr>
                <w:rFonts w:asciiTheme="minorHAnsi" w:hAnsiTheme="minorHAnsi"/>
                <w:b/>
              </w:rPr>
              <w:br/>
            </w:r>
            <w:r w:rsidRPr="00ED0695">
              <w:rPr>
                <w:b/>
              </w:rPr>
              <w:t xml:space="preserve">(95% CI), </w:t>
            </w:r>
            <w:r w:rsidR="00AE77DC" w:rsidRPr="00AE77DC">
              <w:rPr>
                <w:b/>
              </w:rPr>
              <w:t>meters</w:t>
            </w:r>
          </w:p>
        </w:tc>
        <w:tc>
          <w:tcPr>
            <w:tcW w:w="1366" w:type="dxa"/>
            <w:vMerge w:val="restart"/>
            <w:shd w:val="clear" w:color="auto" w:fill="BFBFBF" w:themeFill="background1" w:themeFillShade="BF"/>
          </w:tcPr>
          <w:p w:rsidR="00FB5052" w:rsidRPr="00ED0695" w:rsidRDefault="00FB5052" w:rsidP="00ED0695">
            <w:pPr>
              <w:pStyle w:val="Tabletext"/>
              <w:jc w:val="center"/>
              <w:rPr>
                <w:b/>
              </w:rPr>
            </w:pPr>
            <w:r w:rsidRPr="00ED0695">
              <w:rPr>
                <w:b/>
              </w:rPr>
              <w:t>Mean d</w:t>
            </w:r>
            <w:r w:rsidRPr="00ED0695">
              <w:rPr>
                <w:rFonts w:asciiTheme="minorHAnsi" w:hAnsiTheme="minorHAnsi"/>
                <w:b/>
              </w:rPr>
              <w:t xml:space="preserve">ifference </w:t>
            </w:r>
            <w:r w:rsidRPr="00ED0695">
              <w:rPr>
                <w:b/>
              </w:rPr>
              <w:t xml:space="preserve">(95% CI), </w:t>
            </w:r>
            <w:r w:rsidR="00AE77DC" w:rsidRPr="00AE77DC">
              <w:rPr>
                <w:b/>
              </w:rPr>
              <w:t>meters</w:t>
            </w:r>
          </w:p>
        </w:tc>
      </w:tr>
      <w:tr w:rsidR="00FB5052" w:rsidTr="00ED0695">
        <w:tc>
          <w:tcPr>
            <w:tcW w:w="1271" w:type="dxa"/>
            <w:vMerge/>
          </w:tcPr>
          <w:p w:rsidR="00FB5052" w:rsidRDefault="00FB5052" w:rsidP="00ED0695">
            <w:pPr>
              <w:pStyle w:val="Tabletext"/>
            </w:pPr>
          </w:p>
        </w:tc>
        <w:tc>
          <w:tcPr>
            <w:tcW w:w="1134" w:type="dxa"/>
            <w:vMerge/>
          </w:tcPr>
          <w:p w:rsidR="00FB5052" w:rsidRDefault="00FB5052" w:rsidP="00ED0695">
            <w:pPr>
              <w:pStyle w:val="Tabletext"/>
            </w:pPr>
          </w:p>
        </w:tc>
        <w:tc>
          <w:tcPr>
            <w:tcW w:w="1559" w:type="dxa"/>
            <w:shd w:val="clear" w:color="auto" w:fill="BFBFBF" w:themeFill="background1" w:themeFillShade="BF"/>
          </w:tcPr>
          <w:p w:rsidR="00FB5052" w:rsidRPr="00ED0695" w:rsidRDefault="00237FAE" w:rsidP="00ED0695">
            <w:pPr>
              <w:pStyle w:val="Tabletext"/>
              <w:jc w:val="center"/>
              <w:rPr>
                <w:b/>
              </w:rPr>
            </w:pPr>
            <w:r>
              <w:rPr>
                <w:b/>
              </w:rPr>
              <w:t>ERA</w:t>
            </w:r>
          </w:p>
        </w:tc>
        <w:tc>
          <w:tcPr>
            <w:tcW w:w="1560" w:type="dxa"/>
            <w:shd w:val="clear" w:color="auto" w:fill="BFBFBF" w:themeFill="background1" w:themeFillShade="BF"/>
          </w:tcPr>
          <w:p w:rsidR="00FB5052" w:rsidRPr="00ED0695" w:rsidRDefault="00FB5052" w:rsidP="00ED0695">
            <w:pPr>
              <w:pStyle w:val="Tabletext"/>
              <w:jc w:val="center"/>
              <w:rPr>
                <w:b/>
              </w:rPr>
            </w:pPr>
            <w:r w:rsidRPr="00ED0695">
              <w:rPr>
                <w:rFonts w:asciiTheme="minorHAnsi" w:hAnsiTheme="minorHAnsi"/>
                <w:b/>
              </w:rPr>
              <w:t>Placebo</w:t>
            </w:r>
          </w:p>
        </w:tc>
        <w:tc>
          <w:tcPr>
            <w:tcW w:w="1417" w:type="dxa"/>
            <w:shd w:val="clear" w:color="auto" w:fill="BFBFBF" w:themeFill="background1" w:themeFillShade="BF"/>
          </w:tcPr>
          <w:p w:rsidR="00FB5052" w:rsidRPr="00ED0695" w:rsidRDefault="00237FAE" w:rsidP="00ED0695">
            <w:pPr>
              <w:pStyle w:val="Tabletext"/>
              <w:jc w:val="center"/>
              <w:rPr>
                <w:b/>
              </w:rPr>
            </w:pPr>
            <w:r>
              <w:rPr>
                <w:b/>
              </w:rPr>
              <w:t>ERA</w:t>
            </w:r>
          </w:p>
        </w:tc>
        <w:tc>
          <w:tcPr>
            <w:tcW w:w="1347" w:type="dxa"/>
            <w:shd w:val="clear" w:color="auto" w:fill="BFBFBF" w:themeFill="background1" w:themeFillShade="BF"/>
          </w:tcPr>
          <w:p w:rsidR="00FB5052" w:rsidRPr="00ED0695" w:rsidRDefault="00FB5052" w:rsidP="00ED0695">
            <w:pPr>
              <w:pStyle w:val="Tabletext"/>
              <w:jc w:val="center"/>
              <w:rPr>
                <w:b/>
              </w:rPr>
            </w:pPr>
            <w:r w:rsidRPr="00ED0695">
              <w:rPr>
                <w:rFonts w:asciiTheme="minorHAnsi" w:hAnsiTheme="minorHAnsi"/>
                <w:b/>
              </w:rPr>
              <w:t>Placebo</w:t>
            </w:r>
          </w:p>
        </w:tc>
        <w:tc>
          <w:tcPr>
            <w:tcW w:w="1366" w:type="dxa"/>
            <w:vMerge/>
          </w:tcPr>
          <w:p w:rsidR="00FB5052" w:rsidRDefault="00FB5052" w:rsidP="00ED0695">
            <w:pPr>
              <w:pStyle w:val="Tabletext"/>
            </w:pPr>
          </w:p>
        </w:tc>
      </w:tr>
      <w:tr w:rsidR="00FB5052" w:rsidTr="00ED0695">
        <w:tc>
          <w:tcPr>
            <w:tcW w:w="1271" w:type="dxa"/>
          </w:tcPr>
          <w:p w:rsidR="00FB5052" w:rsidRDefault="00FB5052" w:rsidP="00ED0695">
            <w:pPr>
              <w:pStyle w:val="Tabletext"/>
              <w:rPr>
                <w:rFonts w:cs="Tahoma"/>
              </w:rPr>
            </w:pPr>
            <w:r w:rsidRPr="006316DF">
              <w:rPr>
                <w:rFonts w:cs="Tahoma"/>
              </w:rPr>
              <w:t>EARLY</w:t>
            </w:r>
            <w:r>
              <w:rPr>
                <w:rFonts w:cs="Tahoma"/>
              </w:rPr>
              <w:t xml:space="preserve"> CSR and</w:t>
            </w:r>
            <w:r>
              <w:t xml:space="preserve"> </w:t>
            </w:r>
            <w:r w:rsidRPr="00F61F37">
              <w:rPr>
                <w:rFonts w:cs="Tahoma"/>
              </w:rPr>
              <w:t>Galiè</w:t>
            </w:r>
            <w:r>
              <w:rPr>
                <w:rFonts w:cs="Tahoma"/>
              </w:rPr>
              <w:t xml:space="preserve"> et al.</w:t>
            </w:r>
            <w:r w:rsidRPr="00F61F37">
              <w:rPr>
                <w:rFonts w:cs="Tahoma"/>
              </w:rPr>
              <w:t xml:space="preserve"> 2008</w:t>
            </w:r>
            <w:r w:rsidR="001D34EE" w:rsidRPr="001D34EE">
              <w:rPr>
                <w:rFonts w:cs="Tahoma"/>
                <w:noProof/>
                <w:vertAlign w:val="superscript"/>
              </w:rPr>
              <w:t>9</w:t>
            </w:r>
          </w:p>
          <w:p w:rsidR="00FB5052" w:rsidRDefault="00FB5052" w:rsidP="00ED0695">
            <w:pPr>
              <w:pStyle w:val="Tabletext"/>
            </w:pPr>
            <w:r>
              <w:rPr>
                <w:rFonts w:cs="Tahoma"/>
              </w:rPr>
              <w:t>Bosentan</w:t>
            </w:r>
          </w:p>
        </w:tc>
        <w:tc>
          <w:tcPr>
            <w:tcW w:w="1134" w:type="dxa"/>
          </w:tcPr>
          <w:p w:rsidR="00FB5052" w:rsidRPr="006316DF" w:rsidRDefault="00FB5052" w:rsidP="00ED0695">
            <w:pPr>
              <w:pStyle w:val="Tabletext"/>
              <w:rPr>
                <w:rFonts w:cs="Tahoma"/>
              </w:rPr>
            </w:pPr>
            <w:r w:rsidRPr="006316DF">
              <w:rPr>
                <w:rFonts w:cs="Tahoma"/>
              </w:rPr>
              <w:t>N=149</w:t>
            </w:r>
          </w:p>
          <w:p w:rsidR="00FB5052" w:rsidRDefault="00FB5052" w:rsidP="00ED0695">
            <w:pPr>
              <w:pStyle w:val="Tabletext"/>
            </w:pPr>
            <w:r w:rsidRPr="006316DF">
              <w:rPr>
                <w:rFonts w:cs="Tahoma"/>
              </w:rPr>
              <w:t>6 months</w:t>
            </w:r>
          </w:p>
        </w:tc>
        <w:tc>
          <w:tcPr>
            <w:tcW w:w="1559" w:type="dxa"/>
          </w:tcPr>
          <w:p w:rsidR="00FB5052" w:rsidRPr="00A17B9D" w:rsidRDefault="00A17B9D" w:rsidP="00ED0695">
            <w:pPr>
              <w:pStyle w:val="Tabletext"/>
              <w:jc w:val="center"/>
              <w:rPr>
                <w:highlight w:val="black"/>
              </w:rPr>
            </w:pPr>
            <w:r>
              <w:rPr>
                <w:rFonts w:cs="Tahoma"/>
                <w:noProof/>
                <w:color w:val="000000"/>
                <w:highlight w:val="black"/>
              </w:rPr>
              <w:t>'''''''''''''' '''''''''''''''' ''''''''''''''''</w:t>
            </w:r>
          </w:p>
        </w:tc>
        <w:tc>
          <w:tcPr>
            <w:tcW w:w="1560" w:type="dxa"/>
          </w:tcPr>
          <w:p w:rsidR="00FB5052" w:rsidRPr="00A17B9D" w:rsidRDefault="00A17B9D" w:rsidP="00ED0695">
            <w:pPr>
              <w:pStyle w:val="Tabletext"/>
              <w:jc w:val="center"/>
              <w:rPr>
                <w:highlight w:val="black"/>
              </w:rPr>
            </w:pPr>
            <w:r>
              <w:rPr>
                <w:rFonts w:cs="Tahoma"/>
                <w:noProof/>
                <w:color w:val="000000"/>
                <w:highlight w:val="black"/>
              </w:rPr>
              <w:t>''''''''''''' '''''''''''''''' '''''''''''''''</w:t>
            </w:r>
          </w:p>
        </w:tc>
        <w:tc>
          <w:tcPr>
            <w:tcW w:w="1417" w:type="dxa"/>
          </w:tcPr>
          <w:p w:rsidR="00FB5052" w:rsidRPr="00A17B9D" w:rsidRDefault="00A17B9D" w:rsidP="00ED0695">
            <w:pPr>
              <w:pStyle w:val="Tabletext"/>
              <w:jc w:val="center"/>
              <w:rPr>
                <w:highlight w:val="black"/>
              </w:rPr>
            </w:pPr>
            <w:r>
              <w:rPr>
                <w:rFonts w:cs="Tahoma"/>
                <w:noProof/>
                <w:color w:val="000000"/>
                <w:highlight w:val="black"/>
              </w:rPr>
              <w:t>''''''''''' ''''''''''' ''''''''''''</w:t>
            </w:r>
          </w:p>
        </w:tc>
        <w:tc>
          <w:tcPr>
            <w:tcW w:w="1347" w:type="dxa"/>
          </w:tcPr>
          <w:p w:rsidR="00FB5052" w:rsidRPr="00A17B9D" w:rsidRDefault="00A17B9D" w:rsidP="00ED0695">
            <w:pPr>
              <w:pStyle w:val="Tabletext"/>
              <w:jc w:val="center"/>
              <w:rPr>
                <w:highlight w:val="black"/>
              </w:rPr>
            </w:pPr>
            <w:r>
              <w:rPr>
                <w:rFonts w:cs="Tahoma"/>
                <w:noProof/>
                <w:color w:val="000000"/>
                <w:highlight w:val="black"/>
              </w:rPr>
              <w:t>'''''''''' ''''''''''''''''' '''''''''''''</w:t>
            </w:r>
          </w:p>
        </w:tc>
        <w:tc>
          <w:tcPr>
            <w:tcW w:w="1366" w:type="dxa"/>
          </w:tcPr>
          <w:p w:rsidR="00FB5052" w:rsidRDefault="00FB5052" w:rsidP="00ED0695">
            <w:pPr>
              <w:pStyle w:val="Tabletext"/>
              <w:jc w:val="center"/>
            </w:pPr>
            <w:r w:rsidRPr="006316DF">
              <w:rPr>
                <w:rFonts w:cs="Tahoma"/>
              </w:rPr>
              <w:t>25.7 (3.8, 47.6)</w:t>
            </w:r>
          </w:p>
        </w:tc>
      </w:tr>
    </w:tbl>
    <w:p w:rsidR="008A5D9B" w:rsidRPr="006316DF" w:rsidRDefault="00FB5052" w:rsidP="00ED0695">
      <w:pPr>
        <w:pStyle w:val="Tablenote"/>
      </w:pPr>
      <w:r w:rsidRPr="006316DF">
        <w:t xml:space="preserve">6MWD = 6-minute </w:t>
      </w:r>
      <w:r w:rsidR="0082368E">
        <w:t>walk distance</w:t>
      </w:r>
      <w:r w:rsidRPr="006316DF">
        <w:t xml:space="preserve">; CI = confidence interval; CSR = clinical study report; </w:t>
      </w:r>
      <w:r w:rsidR="008A5D9B" w:rsidRPr="009E3B52">
        <w:t xml:space="preserve">ERA = endothelin receptor antagonist; </w:t>
      </w:r>
      <w:r w:rsidR="008A5D9B" w:rsidRPr="006F774E">
        <w:t xml:space="preserve">FC = functional class; </w:t>
      </w:r>
      <w:r w:rsidRPr="006316DF">
        <w:t>n = number of events; N = number of patients</w:t>
      </w:r>
      <w:r w:rsidR="008A5D9B" w:rsidRPr="00F20C66">
        <w:t xml:space="preserve">; </w:t>
      </w:r>
      <w:r w:rsidR="008A5D9B" w:rsidRPr="009E3B52">
        <w:t>WHO = World Health Organization</w:t>
      </w:r>
    </w:p>
    <w:p w:rsidR="00FB5052" w:rsidRPr="006316DF" w:rsidRDefault="00FB5052" w:rsidP="008F58B5">
      <w:pPr>
        <w:spacing w:after="40"/>
        <w:jc w:val="center"/>
      </w:pPr>
      <w:r>
        <w:rPr>
          <w:noProof/>
          <w:lang w:eastAsia="en-AU"/>
        </w:rPr>
        <w:drawing>
          <wp:inline distT="0" distB="0" distL="0" distR="0" wp14:anchorId="1F0BB001" wp14:editId="1E6BCC50">
            <wp:extent cx="2825086" cy="2017386"/>
            <wp:effectExtent l="0" t="0" r="0" b="2540"/>
            <wp:docPr id="41" name="Picture 41" descr="The result showed that the 6MWD significantly improved in both ambrisentan-treated groups by more than 40 m" title="The change in 6MWD from baseline to 12 weeks in patients with WHO FC I/II PAH by ambrisentan dose or placebo (ARIES-1&a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5518" cy="2031977"/>
                    </a:xfrm>
                    <a:prstGeom prst="rect">
                      <a:avLst/>
                    </a:prstGeom>
                    <a:noFill/>
                  </pic:spPr>
                </pic:pic>
              </a:graphicData>
            </a:graphic>
          </wp:inline>
        </w:drawing>
      </w:r>
    </w:p>
    <w:p w:rsidR="00FB5052" w:rsidRPr="006316DF" w:rsidRDefault="00ED0695" w:rsidP="00BC5A2B">
      <w:pPr>
        <w:pStyle w:val="Caption"/>
      </w:pPr>
      <w:bookmarkStart w:id="111" w:name="_Ref505961471"/>
      <w:bookmarkStart w:id="112" w:name="_Toc512855577"/>
      <w:r>
        <w:t>Figure 4.</w:t>
      </w:r>
      <w:r w:rsidR="00AA722D">
        <w:rPr>
          <w:noProof/>
        </w:rPr>
        <w:t>4</w:t>
      </w:r>
      <w:bookmarkEnd w:id="111"/>
      <w:r>
        <w:tab/>
      </w:r>
      <w:r w:rsidR="00FB5052" w:rsidRPr="006316DF">
        <w:t xml:space="preserve">The change in 6MWD from baseline to 12 weeks </w:t>
      </w:r>
      <w:r w:rsidR="00FB5052">
        <w:t xml:space="preserve">in </w:t>
      </w:r>
      <w:r w:rsidR="00FB5052" w:rsidRPr="006316DF">
        <w:t>patients with WHO FC I/II PAH by ambrisentan dose or placebo (ARIES-1&amp;2)</w:t>
      </w:r>
      <w:bookmarkEnd w:id="112"/>
    </w:p>
    <w:p w:rsidR="00FB5052" w:rsidRDefault="00FB5052" w:rsidP="00ED0695">
      <w:pPr>
        <w:pStyle w:val="Tablenote"/>
      </w:pPr>
      <w:r w:rsidRPr="00CA61D0">
        <w:t>*</w:t>
      </w:r>
      <w:r>
        <w:t xml:space="preserve"> p &lt; 0.05; </w:t>
      </w:r>
      <w:r w:rsidRPr="008A5D9B">
        <w:rPr>
          <w:vertAlign w:val="superscript"/>
        </w:rPr>
        <w:t>§</w:t>
      </w:r>
      <w:r>
        <w:t xml:space="preserve"> </w:t>
      </w:r>
      <w:r w:rsidRPr="006316DF">
        <w:t>p &lt; 0.001</w:t>
      </w:r>
    </w:p>
    <w:p w:rsidR="00FB5052" w:rsidRPr="006316DF" w:rsidRDefault="00FB5052" w:rsidP="00ED0695">
      <w:pPr>
        <w:pStyle w:val="Tablenote"/>
      </w:pPr>
      <w:r>
        <w:t>Note: The 10 mg ambrisentan dose versus placebo is the relevant comparison for this review</w:t>
      </w:r>
    </w:p>
    <w:p w:rsidR="00AD3645" w:rsidRDefault="00AD3645" w:rsidP="00AD3645">
      <w:pPr>
        <w:pStyle w:val="Tablenote"/>
      </w:pPr>
      <w:r w:rsidRPr="009E3B52">
        <w:t xml:space="preserve">6MWD = 6-minute </w:t>
      </w:r>
      <w:r>
        <w:t>walk distance</w:t>
      </w:r>
      <w:r w:rsidRPr="009E3B52">
        <w:t>;</w:t>
      </w:r>
      <w:r w:rsidRPr="008A5D9B">
        <w:t xml:space="preserve"> </w:t>
      </w:r>
      <w:r w:rsidRPr="006F774E">
        <w:t>FC = functional class;</w:t>
      </w:r>
      <w:r w:rsidRPr="008A5D9B">
        <w:t xml:space="preserve"> </w:t>
      </w:r>
      <w:r w:rsidRPr="009E3B52">
        <w:t>PAH = pulmonary arterial hypertension</w:t>
      </w:r>
      <w:r w:rsidRPr="00F20C66">
        <w:t xml:space="preserve">; </w:t>
      </w:r>
      <w:r w:rsidRPr="009E3B52">
        <w:t>WHO = World Health Organization</w:t>
      </w:r>
    </w:p>
    <w:p w:rsidR="00FB5052" w:rsidRDefault="00FB5052" w:rsidP="00ED0695">
      <w:pPr>
        <w:pStyle w:val="Tablenote"/>
      </w:pPr>
      <w:r w:rsidRPr="006316DF">
        <w:t xml:space="preserve">Source: Chin </w:t>
      </w:r>
      <w:r>
        <w:t>et al. (2014)</w:t>
      </w:r>
      <w:r w:rsidR="001D34EE" w:rsidRPr="001A1C44">
        <w:rPr>
          <w:noProof/>
          <w:vertAlign w:val="superscript"/>
        </w:rPr>
        <w:t>33</w:t>
      </w:r>
    </w:p>
    <w:p w:rsidR="00FB5052" w:rsidRPr="006316DF" w:rsidRDefault="00EE09B2" w:rsidP="00FB5052">
      <w:pPr>
        <w:pStyle w:val="Heading5"/>
      </w:pPr>
      <w:r>
        <w:t>f</w:t>
      </w:r>
      <w:r w:rsidR="0077344D">
        <w:t>.</w:t>
      </w:r>
      <w:r>
        <w:tab/>
      </w:r>
      <w:r w:rsidR="00FB5052">
        <w:t>Change in QoL</w:t>
      </w:r>
      <w:r w:rsidR="007B6C7C">
        <w:t xml:space="preserve"> from baseline</w:t>
      </w:r>
    </w:p>
    <w:p w:rsidR="00FB5052" w:rsidRPr="006316DF" w:rsidRDefault="00FB5052" w:rsidP="00FB5052">
      <w:pPr>
        <w:spacing w:before="60" w:after="60"/>
      </w:pPr>
      <w:r w:rsidRPr="006316DF">
        <w:t xml:space="preserve">No </w:t>
      </w:r>
      <w:r>
        <w:t>QoL</w:t>
      </w:r>
      <w:r w:rsidRPr="006316DF">
        <w:t xml:space="preserve"> outcomes were reported for WHO FC I/II PAH patients.</w:t>
      </w:r>
    </w:p>
    <w:p w:rsidR="00EE09B2" w:rsidRPr="006316DF" w:rsidRDefault="00EE09B2" w:rsidP="00EE09B2">
      <w:pPr>
        <w:pStyle w:val="Heading5"/>
      </w:pPr>
      <w:r>
        <w:t>g.</w:t>
      </w:r>
      <w:r>
        <w:tab/>
      </w:r>
      <w:r w:rsidRPr="006316DF">
        <w:t xml:space="preserve">Change in </w:t>
      </w:r>
      <w:r>
        <w:t>haemodynamic parameters</w:t>
      </w:r>
      <w:r w:rsidRPr="006316DF">
        <w:t xml:space="preserve"> from baseline</w:t>
      </w:r>
    </w:p>
    <w:p w:rsidR="00EE09B2" w:rsidRDefault="00EE09B2" w:rsidP="00EE09B2">
      <w:r w:rsidRPr="00417074">
        <w:t xml:space="preserve">The ARIES-1&amp;2 </w:t>
      </w:r>
      <w:r w:rsidRPr="00DE3558">
        <w:t xml:space="preserve">and SERAPHIN </w:t>
      </w:r>
      <w:r w:rsidRPr="00417074">
        <w:t>trial</w:t>
      </w:r>
      <w:r>
        <w:t>s</w:t>
      </w:r>
      <w:r w:rsidRPr="00417074">
        <w:t xml:space="preserve"> did not report on the mean difference in haemodynamic parameters for treatment-naïve patients with WHO FC I/II PAH</w:t>
      </w:r>
      <w:r w:rsidRPr="006316DF">
        <w:t>. After 6 months of bosentan treatment</w:t>
      </w:r>
      <w:r w:rsidRPr="00544FB4">
        <w:t xml:space="preserve"> </w:t>
      </w:r>
      <w:r w:rsidRPr="006316DF">
        <w:t>in the EARLY study, treatment-naïve patients</w:t>
      </w:r>
      <w:r>
        <w:t xml:space="preserve"> with WHO FC I/II PAH</w:t>
      </w:r>
      <w:r w:rsidRPr="006316DF">
        <w:t xml:space="preserve"> had a </w:t>
      </w:r>
      <w:r w:rsidRPr="007E658F">
        <w:t xml:space="preserve">statistically </w:t>
      </w:r>
      <w:r w:rsidRPr="007E658F">
        <w:lastRenderedPageBreak/>
        <w:t>significant mean placebo-adjusted decrease in PVR of 23.1%</w:t>
      </w:r>
      <w:r w:rsidRPr="006316DF">
        <w:t xml:space="preserve"> (</w:t>
      </w:r>
      <w:r w:rsidR="00AA722D">
        <w:t>Table 4.</w:t>
      </w:r>
      <w:r w:rsidR="00AA722D">
        <w:rPr>
          <w:noProof/>
        </w:rPr>
        <w:t>33</w:t>
      </w:r>
      <w:r w:rsidRPr="006316DF">
        <w:t>).</w:t>
      </w:r>
      <w:r>
        <w:t xml:space="preserve"> As the normal</w:t>
      </w:r>
      <w:r w:rsidRPr="00DE3558">
        <w:t xml:space="preserve"> </w:t>
      </w:r>
      <w:r>
        <w:t xml:space="preserve">laboratory </w:t>
      </w:r>
      <w:r w:rsidRPr="00DE3558">
        <w:t>PVR</w:t>
      </w:r>
      <w:r>
        <w:t xml:space="preserve"> in adults is</w:t>
      </w:r>
      <w:r w:rsidRPr="00DE3558">
        <w:t xml:space="preserve"> &lt;250 dyn</w:t>
      </w:r>
      <w:r w:rsidR="004776AC">
        <w:t>*</w:t>
      </w:r>
      <w:r w:rsidRPr="00DE3558">
        <w:t>sec</w:t>
      </w:r>
      <w:r w:rsidR="004776AC">
        <w:t>*</w:t>
      </w:r>
      <w:r w:rsidRPr="00DE3558">
        <w:t>cm</w:t>
      </w:r>
      <w:r w:rsidR="004776AC" w:rsidRPr="004776AC">
        <w:rPr>
          <w:vertAlign w:val="superscript"/>
        </w:rPr>
        <w:t>-</w:t>
      </w:r>
      <w:r w:rsidRPr="00DE3558">
        <w:rPr>
          <w:vertAlign w:val="superscript"/>
        </w:rPr>
        <w:t>5</w:t>
      </w:r>
      <w:r>
        <w:t xml:space="preserve">, </w:t>
      </w:r>
      <w:r w:rsidR="00A17B9D">
        <w:rPr>
          <w:noProof/>
          <w:color w:val="000000"/>
          <w:highlight w:val="black"/>
        </w:rPr>
        <w:t>'''''' ''''''''''''''''' ''''' ''''' '''''''''''''''''''''''''''</w:t>
      </w:r>
      <w:r w:rsidR="008D640A">
        <w:t xml:space="preserve"> </w:t>
      </w:r>
      <w:r w:rsidR="007E658F" w:rsidRPr="007E658F">
        <w:t xml:space="preserve">seen in the ERA group </w:t>
      </w:r>
      <w:r w:rsidR="00A17B9D">
        <w:rPr>
          <w:noProof/>
          <w:color w:val="000000"/>
          <w:highlight w:val="black"/>
        </w:rPr>
        <w:t>'''''''' '''''' ''''' ''''''''''''''' ''''''''''''''''''''</w:t>
      </w:r>
      <w:r w:rsidR="007E658F" w:rsidRPr="007E658F">
        <w:t xml:space="preserve">, but due to the </w:t>
      </w:r>
      <w:r w:rsidR="00A17B9D">
        <w:rPr>
          <w:noProof/>
          <w:color w:val="000000"/>
          <w:highlight w:val="black"/>
        </w:rPr>
        <w:t>''''''''''' ''''''''''''''' ''''''''' ''' ''''''' ''''''''''''''''</w:t>
      </w:r>
      <w:r w:rsidR="007E658F" w:rsidRPr="007E658F">
        <w:t xml:space="preserve"> group</w:t>
      </w:r>
      <w:r w:rsidR="007E658F">
        <w:t>,</w:t>
      </w:r>
      <w:r w:rsidRPr="003B3E2B">
        <w:t xml:space="preserve"> the overall placebo-adjusted mean difference </w:t>
      </w:r>
      <w:r>
        <w:t xml:space="preserve">of 23.1% </w:t>
      </w:r>
      <w:r w:rsidRPr="003B3E2B">
        <w:t>may be clinically important.</w:t>
      </w:r>
    </w:p>
    <w:p w:rsidR="00EE09B2" w:rsidRDefault="00EE09B2" w:rsidP="00BC5A2B">
      <w:pPr>
        <w:pStyle w:val="Caption"/>
      </w:pPr>
      <w:bookmarkStart w:id="113" w:name="_Ref505961144"/>
      <w:bookmarkStart w:id="114" w:name="_Toc512855437"/>
      <w:r>
        <w:t>Table 4.</w:t>
      </w:r>
      <w:r w:rsidR="00AA722D">
        <w:rPr>
          <w:noProof/>
        </w:rPr>
        <w:t>33</w:t>
      </w:r>
      <w:bookmarkEnd w:id="113"/>
      <w:r>
        <w:tab/>
      </w:r>
      <w:r w:rsidRPr="006316DF">
        <w:t xml:space="preserve">The effectiveness of </w:t>
      </w:r>
      <w:r>
        <w:t>an ERA</w:t>
      </w:r>
      <w:r w:rsidRPr="006316DF">
        <w:t xml:space="preserve"> compared with placebo in improving </w:t>
      </w:r>
      <w:r>
        <w:t>PVR</w:t>
      </w:r>
      <w:r w:rsidRPr="00B642BB">
        <w:t xml:space="preserve"> in patients with WHO FC I/II PAH</w:t>
      </w:r>
      <w:bookmarkEnd w:id="114"/>
    </w:p>
    <w:tbl>
      <w:tblPr>
        <w:tblStyle w:val="TableGrid"/>
        <w:tblW w:w="0" w:type="auto"/>
        <w:tblLayout w:type="fixed"/>
        <w:tblLook w:val="04A0" w:firstRow="1" w:lastRow="0" w:firstColumn="1" w:lastColumn="0" w:noHBand="0" w:noVBand="1"/>
        <w:tblCaption w:val="The effectiveness of an ERA compared with placebo in improving PVR in patients with WHO FC I/II PAH"/>
      </w:tblPr>
      <w:tblGrid>
        <w:gridCol w:w="1271"/>
        <w:gridCol w:w="1134"/>
        <w:gridCol w:w="1346"/>
        <w:gridCol w:w="1347"/>
        <w:gridCol w:w="1560"/>
        <w:gridCol w:w="1559"/>
        <w:gridCol w:w="1366"/>
      </w:tblGrid>
      <w:tr w:rsidR="00EE09B2" w:rsidTr="00BC5A2B">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EE09B2" w:rsidRPr="00ED0695" w:rsidRDefault="00EE09B2" w:rsidP="00BC5A2B">
            <w:pPr>
              <w:pStyle w:val="Tabletext"/>
              <w:rPr>
                <w:b/>
              </w:rPr>
            </w:pPr>
            <w:r w:rsidRPr="00ED0695">
              <w:rPr>
                <w:b/>
              </w:rPr>
              <w:t>Study ID</w:t>
            </w:r>
          </w:p>
          <w:p w:rsidR="00EE09B2" w:rsidRPr="00ED0695" w:rsidRDefault="00EE09B2" w:rsidP="00BC5A2B">
            <w:pPr>
              <w:pStyle w:val="Tabletext"/>
              <w:rPr>
                <w:b/>
              </w:rPr>
            </w:pPr>
            <w:r w:rsidRPr="00ED0695">
              <w:rPr>
                <w:b/>
              </w:rPr>
              <w:t>ERA</w:t>
            </w:r>
          </w:p>
        </w:tc>
        <w:tc>
          <w:tcPr>
            <w:tcW w:w="1134" w:type="dxa"/>
            <w:vMerge w:val="restart"/>
            <w:shd w:val="clear" w:color="auto" w:fill="BFBFBF" w:themeFill="background1" w:themeFillShade="BF"/>
          </w:tcPr>
          <w:p w:rsidR="00EE09B2" w:rsidRPr="00ED0695" w:rsidRDefault="00EE09B2" w:rsidP="00BC5A2B">
            <w:pPr>
              <w:pStyle w:val="Tabletext"/>
              <w:rPr>
                <w:b/>
              </w:rPr>
            </w:pPr>
            <w:r w:rsidRPr="00ED0695">
              <w:rPr>
                <w:b/>
              </w:rPr>
              <w:t>N</w:t>
            </w:r>
          </w:p>
          <w:p w:rsidR="00EE09B2" w:rsidRPr="00ED0695" w:rsidRDefault="00EE09B2" w:rsidP="00BC5A2B">
            <w:pPr>
              <w:pStyle w:val="Tabletext"/>
              <w:rPr>
                <w:b/>
              </w:rPr>
            </w:pPr>
            <w:r w:rsidRPr="00ED0695">
              <w:rPr>
                <w:b/>
              </w:rPr>
              <w:t>Follow-up period</w:t>
            </w:r>
          </w:p>
        </w:tc>
        <w:tc>
          <w:tcPr>
            <w:tcW w:w="2693" w:type="dxa"/>
            <w:gridSpan w:val="2"/>
            <w:shd w:val="clear" w:color="auto" w:fill="BFBFBF" w:themeFill="background1" w:themeFillShade="BF"/>
          </w:tcPr>
          <w:p w:rsidR="00EE09B2" w:rsidRPr="00ED0695" w:rsidRDefault="00EE09B2" w:rsidP="001424AA">
            <w:pPr>
              <w:pStyle w:val="Tabletext"/>
              <w:jc w:val="center"/>
              <w:rPr>
                <w:b/>
              </w:rPr>
            </w:pPr>
            <w:r w:rsidRPr="00ED0695">
              <w:rPr>
                <w:b/>
              </w:rPr>
              <w:t>Mean baseline PVR</w:t>
            </w:r>
            <w:r w:rsidR="002B11BF" w:rsidRPr="002B11BF">
              <w:rPr>
                <w:b/>
                <w:vertAlign w:val="superscript"/>
              </w:rPr>
              <w:t>a</w:t>
            </w:r>
            <w:r w:rsidRPr="00ED0695">
              <w:rPr>
                <w:b/>
              </w:rPr>
              <w:t xml:space="preserve"> (95% CI), dyn</w:t>
            </w:r>
            <w:r w:rsidR="001424AA">
              <w:rPr>
                <w:b/>
              </w:rPr>
              <w:t>*</w:t>
            </w:r>
            <w:r w:rsidRPr="00ED0695">
              <w:rPr>
                <w:b/>
              </w:rPr>
              <w:t>sec</w:t>
            </w:r>
            <w:r w:rsidR="001424AA">
              <w:rPr>
                <w:b/>
              </w:rPr>
              <w:t>*</w:t>
            </w:r>
            <w:r w:rsidRPr="001424AA">
              <w:rPr>
                <w:b/>
              </w:rPr>
              <w:t>cm</w:t>
            </w:r>
            <w:r w:rsidR="001424AA">
              <w:rPr>
                <w:b/>
                <w:vertAlign w:val="superscript"/>
              </w:rPr>
              <w:t>-</w:t>
            </w:r>
            <w:r w:rsidRPr="001424AA">
              <w:rPr>
                <w:b/>
                <w:vertAlign w:val="superscript"/>
              </w:rPr>
              <w:t>5</w:t>
            </w:r>
          </w:p>
        </w:tc>
        <w:tc>
          <w:tcPr>
            <w:tcW w:w="3119" w:type="dxa"/>
            <w:gridSpan w:val="2"/>
            <w:shd w:val="clear" w:color="auto" w:fill="BFBFBF" w:themeFill="background1" w:themeFillShade="BF"/>
          </w:tcPr>
          <w:p w:rsidR="00EE09B2" w:rsidRPr="00237FAE" w:rsidRDefault="00EE09B2" w:rsidP="002B11BF">
            <w:pPr>
              <w:pStyle w:val="Tabletext"/>
              <w:jc w:val="center"/>
              <w:rPr>
                <w:b/>
              </w:rPr>
            </w:pPr>
            <w:r w:rsidRPr="00ED0695">
              <w:rPr>
                <w:b/>
              </w:rPr>
              <w:t>Mean c</w:t>
            </w:r>
            <w:r w:rsidRPr="00ED0695">
              <w:rPr>
                <w:rFonts w:asciiTheme="minorHAnsi" w:hAnsiTheme="minorHAnsi"/>
                <w:b/>
              </w:rPr>
              <w:t xml:space="preserve">hange from baseline </w:t>
            </w:r>
            <w:r w:rsidRPr="00ED0695">
              <w:rPr>
                <w:b/>
              </w:rPr>
              <w:t xml:space="preserve">(95% CI), </w:t>
            </w:r>
            <w:r w:rsidR="00747709" w:rsidRPr="00ED0695">
              <w:rPr>
                <w:b/>
              </w:rPr>
              <w:t>dyn</w:t>
            </w:r>
            <w:r w:rsidR="00747709">
              <w:rPr>
                <w:b/>
              </w:rPr>
              <w:t>*</w:t>
            </w:r>
            <w:r w:rsidR="00747709" w:rsidRPr="00ED0695">
              <w:rPr>
                <w:b/>
              </w:rPr>
              <w:t>sec</w:t>
            </w:r>
            <w:r w:rsidR="00747709">
              <w:rPr>
                <w:b/>
              </w:rPr>
              <w:t>*</w:t>
            </w:r>
            <w:r w:rsidR="00747709" w:rsidRPr="001424AA">
              <w:rPr>
                <w:b/>
              </w:rPr>
              <w:t>cm</w:t>
            </w:r>
            <w:r w:rsidR="00747709">
              <w:rPr>
                <w:b/>
                <w:vertAlign w:val="superscript"/>
              </w:rPr>
              <w:t>-</w:t>
            </w:r>
            <w:r w:rsidR="00747709" w:rsidRPr="001424AA">
              <w:rPr>
                <w:b/>
                <w:vertAlign w:val="superscript"/>
              </w:rPr>
              <w:t>5</w:t>
            </w:r>
            <w:r w:rsidR="00747709">
              <w:rPr>
                <w:b/>
              </w:rPr>
              <w:t xml:space="preserve"> </w:t>
            </w:r>
            <w:r w:rsidR="00E6350D">
              <w:rPr>
                <w:b/>
              </w:rPr>
              <w:t>[</w:t>
            </w:r>
            <w:r w:rsidR="00237FAE">
              <w:rPr>
                <w:b/>
              </w:rPr>
              <w:t>%</w:t>
            </w:r>
            <w:r w:rsidR="00E6350D">
              <w:rPr>
                <w:b/>
              </w:rPr>
              <w:t xml:space="preserve"> change from baseline]</w:t>
            </w:r>
          </w:p>
        </w:tc>
        <w:tc>
          <w:tcPr>
            <w:tcW w:w="1366" w:type="dxa"/>
            <w:vMerge w:val="restart"/>
            <w:shd w:val="clear" w:color="auto" w:fill="BFBFBF" w:themeFill="background1" w:themeFillShade="BF"/>
          </w:tcPr>
          <w:p w:rsidR="00EE09B2" w:rsidRPr="00ED0695" w:rsidRDefault="00EE09B2" w:rsidP="00BC5A2B">
            <w:pPr>
              <w:pStyle w:val="Tabletext"/>
              <w:jc w:val="center"/>
              <w:rPr>
                <w:b/>
              </w:rPr>
            </w:pPr>
            <w:r w:rsidRPr="00ED0695">
              <w:rPr>
                <w:b/>
              </w:rPr>
              <w:t>Mean % d</w:t>
            </w:r>
            <w:r w:rsidRPr="00ED0695">
              <w:rPr>
                <w:rFonts w:asciiTheme="minorHAnsi" w:hAnsiTheme="minorHAnsi"/>
                <w:b/>
              </w:rPr>
              <w:t xml:space="preserve">ifference </w:t>
            </w:r>
            <w:r w:rsidRPr="00ED0695">
              <w:rPr>
                <w:b/>
              </w:rPr>
              <w:t>(95% CI)</w:t>
            </w:r>
          </w:p>
        </w:tc>
      </w:tr>
      <w:tr w:rsidR="00EE09B2" w:rsidTr="00BC5A2B">
        <w:tc>
          <w:tcPr>
            <w:tcW w:w="1271" w:type="dxa"/>
            <w:vMerge/>
          </w:tcPr>
          <w:p w:rsidR="00EE09B2" w:rsidRDefault="00EE09B2" w:rsidP="00BC5A2B">
            <w:pPr>
              <w:pStyle w:val="Tabletext"/>
            </w:pPr>
          </w:p>
        </w:tc>
        <w:tc>
          <w:tcPr>
            <w:tcW w:w="1134" w:type="dxa"/>
            <w:vMerge/>
          </w:tcPr>
          <w:p w:rsidR="00EE09B2" w:rsidRDefault="00EE09B2" w:rsidP="00BC5A2B">
            <w:pPr>
              <w:pStyle w:val="Tabletext"/>
            </w:pPr>
          </w:p>
        </w:tc>
        <w:tc>
          <w:tcPr>
            <w:tcW w:w="1346" w:type="dxa"/>
            <w:shd w:val="clear" w:color="auto" w:fill="BFBFBF" w:themeFill="background1" w:themeFillShade="BF"/>
          </w:tcPr>
          <w:p w:rsidR="00EE09B2" w:rsidRPr="00ED0695" w:rsidRDefault="00237FAE" w:rsidP="00BC5A2B">
            <w:pPr>
              <w:pStyle w:val="Tabletext"/>
              <w:jc w:val="center"/>
              <w:rPr>
                <w:b/>
              </w:rPr>
            </w:pPr>
            <w:r>
              <w:rPr>
                <w:b/>
              </w:rPr>
              <w:t>ERA</w:t>
            </w:r>
          </w:p>
        </w:tc>
        <w:tc>
          <w:tcPr>
            <w:tcW w:w="1347" w:type="dxa"/>
            <w:shd w:val="clear" w:color="auto" w:fill="BFBFBF" w:themeFill="background1" w:themeFillShade="BF"/>
          </w:tcPr>
          <w:p w:rsidR="00EE09B2" w:rsidRPr="00ED0695" w:rsidRDefault="00EE09B2" w:rsidP="00BC5A2B">
            <w:pPr>
              <w:pStyle w:val="Tabletext"/>
              <w:jc w:val="center"/>
              <w:rPr>
                <w:b/>
              </w:rPr>
            </w:pPr>
            <w:r w:rsidRPr="00ED0695">
              <w:rPr>
                <w:rFonts w:asciiTheme="minorHAnsi" w:hAnsiTheme="minorHAnsi"/>
                <w:b/>
              </w:rPr>
              <w:t>Placebo</w:t>
            </w:r>
          </w:p>
        </w:tc>
        <w:tc>
          <w:tcPr>
            <w:tcW w:w="1560" w:type="dxa"/>
            <w:shd w:val="clear" w:color="auto" w:fill="BFBFBF" w:themeFill="background1" w:themeFillShade="BF"/>
          </w:tcPr>
          <w:p w:rsidR="00EE09B2" w:rsidRPr="00ED0695" w:rsidRDefault="00237FAE" w:rsidP="00BC5A2B">
            <w:pPr>
              <w:pStyle w:val="Tabletext"/>
              <w:jc w:val="center"/>
              <w:rPr>
                <w:b/>
              </w:rPr>
            </w:pPr>
            <w:r>
              <w:rPr>
                <w:b/>
              </w:rPr>
              <w:t>ERA</w:t>
            </w:r>
          </w:p>
        </w:tc>
        <w:tc>
          <w:tcPr>
            <w:tcW w:w="1559" w:type="dxa"/>
            <w:shd w:val="clear" w:color="auto" w:fill="BFBFBF" w:themeFill="background1" w:themeFillShade="BF"/>
          </w:tcPr>
          <w:p w:rsidR="00EE09B2" w:rsidRPr="00ED0695" w:rsidRDefault="00EE09B2" w:rsidP="00BC5A2B">
            <w:pPr>
              <w:pStyle w:val="Tabletext"/>
              <w:jc w:val="center"/>
              <w:rPr>
                <w:b/>
              </w:rPr>
            </w:pPr>
            <w:r w:rsidRPr="00ED0695">
              <w:rPr>
                <w:rFonts w:asciiTheme="minorHAnsi" w:hAnsiTheme="minorHAnsi"/>
                <w:b/>
              </w:rPr>
              <w:t>Placebo</w:t>
            </w:r>
          </w:p>
        </w:tc>
        <w:tc>
          <w:tcPr>
            <w:tcW w:w="1366" w:type="dxa"/>
            <w:vMerge/>
          </w:tcPr>
          <w:p w:rsidR="00EE09B2" w:rsidRDefault="00EE09B2" w:rsidP="00BC5A2B">
            <w:pPr>
              <w:pStyle w:val="Tabletext"/>
            </w:pPr>
          </w:p>
        </w:tc>
      </w:tr>
      <w:tr w:rsidR="00EE09B2" w:rsidTr="00BC5A2B">
        <w:tc>
          <w:tcPr>
            <w:tcW w:w="1271" w:type="dxa"/>
          </w:tcPr>
          <w:p w:rsidR="00EE09B2" w:rsidRDefault="00EE09B2" w:rsidP="00BC5A2B">
            <w:pPr>
              <w:pStyle w:val="Tabletext"/>
              <w:rPr>
                <w:rFonts w:cs="Tahoma"/>
              </w:rPr>
            </w:pPr>
            <w:r w:rsidRPr="006316DF">
              <w:rPr>
                <w:rFonts w:cs="Tahoma"/>
              </w:rPr>
              <w:t>EARLY</w:t>
            </w:r>
            <w:r>
              <w:rPr>
                <w:rFonts w:cs="Tahoma"/>
              </w:rPr>
              <w:t xml:space="preserve"> CSR and</w:t>
            </w:r>
            <w:r>
              <w:t xml:space="preserve"> </w:t>
            </w:r>
            <w:r w:rsidRPr="00F61F37">
              <w:rPr>
                <w:rFonts w:cs="Tahoma"/>
              </w:rPr>
              <w:t>Galiè</w:t>
            </w:r>
            <w:r>
              <w:rPr>
                <w:rFonts w:cs="Tahoma"/>
              </w:rPr>
              <w:t xml:space="preserve"> et al.</w:t>
            </w:r>
            <w:r w:rsidRPr="00F61F37">
              <w:rPr>
                <w:rFonts w:cs="Tahoma"/>
              </w:rPr>
              <w:t xml:space="preserve"> 2008</w:t>
            </w:r>
            <w:r w:rsidR="001D34EE" w:rsidRPr="001D34EE">
              <w:rPr>
                <w:rFonts w:cs="Tahoma"/>
                <w:noProof/>
                <w:vertAlign w:val="superscript"/>
              </w:rPr>
              <w:t>9</w:t>
            </w:r>
          </w:p>
          <w:p w:rsidR="00EE09B2" w:rsidRDefault="00EE09B2" w:rsidP="00BC5A2B">
            <w:pPr>
              <w:pStyle w:val="Tabletext"/>
            </w:pPr>
            <w:r>
              <w:rPr>
                <w:rFonts w:cs="Tahoma"/>
              </w:rPr>
              <w:t>Bosentan</w:t>
            </w:r>
          </w:p>
        </w:tc>
        <w:tc>
          <w:tcPr>
            <w:tcW w:w="1134" w:type="dxa"/>
          </w:tcPr>
          <w:p w:rsidR="00EE09B2" w:rsidRPr="006316DF" w:rsidRDefault="00EE09B2" w:rsidP="00BC5A2B">
            <w:pPr>
              <w:pStyle w:val="Tabletext"/>
              <w:rPr>
                <w:rFonts w:cs="Tahoma"/>
              </w:rPr>
            </w:pPr>
            <w:r w:rsidRPr="006316DF">
              <w:rPr>
                <w:rFonts w:cs="Tahoma"/>
              </w:rPr>
              <w:t>N=1</w:t>
            </w:r>
            <w:r>
              <w:rPr>
                <w:rFonts w:cs="Tahoma"/>
              </w:rPr>
              <w:t>56</w:t>
            </w:r>
          </w:p>
          <w:p w:rsidR="00EE09B2" w:rsidRDefault="00EE09B2" w:rsidP="00BC5A2B">
            <w:pPr>
              <w:pStyle w:val="Tabletext"/>
            </w:pPr>
            <w:r w:rsidRPr="006316DF">
              <w:rPr>
                <w:rFonts w:cs="Tahoma"/>
              </w:rPr>
              <w:t>6 months</w:t>
            </w:r>
          </w:p>
        </w:tc>
        <w:tc>
          <w:tcPr>
            <w:tcW w:w="1346" w:type="dxa"/>
          </w:tcPr>
          <w:p w:rsidR="00EE09B2" w:rsidRPr="00A17B9D" w:rsidRDefault="00A17B9D" w:rsidP="00BC5A2B">
            <w:pPr>
              <w:pStyle w:val="Tabletext"/>
              <w:jc w:val="center"/>
              <w:rPr>
                <w:highlight w:val="black"/>
              </w:rPr>
            </w:pPr>
            <w:r>
              <w:rPr>
                <w:rFonts w:cs="Tahoma"/>
                <w:noProof/>
                <w:color w:val="000000"/>
                <w:highlight w:val="black"/>
              </w:rPr>
              <w:t>'''''''''' '''''''''''' ''''''''''</w:t>
            </w:r>
          </w:p>
        </w:tc>
        <w:tc>
          <w:tcPr>
            <w:tcW w:w="1347" w:type="dxa"/>
          </w:tcPr>
          <w:p w:rsidR="00EE09B2" w:rsidRPr="00A17B9D" w:rsidRDefault="00A17B9D" w:rsidP="00BC5A2B">
            <w:pPr>
              <w:pStyle w:val="Tabletext"/>
              <w:jc w:val="center"/>
              <w:rPr>
                <w:highlight w:val="black"/>
              </w:rPr>
            </w:pPr>
            <w:r>
              <w:rPr>
                <w:rFonts w:cs="Tahoma"/>
                <w:noProof/>
                <w:color w:val="000000"/>
                <w:highlight w:val="black"/>
              </w:rPr>
              <w:t>'''''''''' ''''''''''''' '''''''''''</w:t>
            </w:r>
          </w:p>
        </w:tc>
        <w:tc>
          <w:tcPr>
            <w:tcW w:w="1560" w:type="dxa"/>
          </w:tcPr>
          <w:p w:rsidR="00EE09B2" w:rsidRPr="00A17B9D" w:rsidRDefault="00A17B9D" w:rsidP="00BC5A2B">
            <w:pPr>
              <w:pStyle w:val="Tabletext"/>
              <w:jc w:val="center"/>
              <w:rPr>
                <w:rFonts w:cs="Tahoma"/>
                <w:highlight w:val="black"/>
              </w:rPr>
            </w:pPr>
            <w:r>
              <w:rPr>
                <w:rFonts w:cs="Tahoma"/>
                <w:noProof/>
                <w:color w:val="000000"/>
                <w:highlight w:val="black"/>
              </w:rPr>
              <w:t>'''''''' ''''''''''''''''' '''''''</w:t>
            </w:r>
          </w:p>
          <w:p w:rsidR="00EE09B2" w:rsidRPr="00A17B9D" w:rsidRDefault="00A17B9D" w:rsidP="00BC5A2B">
            <w:pPr>
              <w:pStyle w:val="Tabletext"/>
              <w:jc w:val="center"/>
              <w:rPr>
                <w:highlight w:val="black"/>
              </w:rPr>
            </w:pPr>
            <w:r>
              <w:rPr>
                <w:rFonts w:cs="Tahoma"/>
                <w:noProof/>
                <w:color w:val="000000"/>
                <w:highlight w:val="black"/>
              </w:rPr>
              <w:t>''''''''''''''''''</w:t>
            </w:r>
          </w:p>
        </w:tc>
        <w:tc>
          <w:tcPr>
            <w:tcW w:w="1559" w:type="dxa"/>
          </w:tcPr>
          <w:p w:rsidR="00EE09B2" w:rsidRPr="00A17B9D" w:rsidRDefault="00A17B9D" w:rsidP="00BC5A2B">
            <w:pPr>
              <w:pStyle w:val="Tabletext"/>
              <w:jc w:val="center"/>
              <w:rPr>
                <w:rFonts w:cs="Tahoma"/>
                <w:highlight w:val="black"/>
              </w:rPr>
            </w:pPr>
            <w:r>
              <w:rPr>
                <w:rFonts w:cs="Tahoma"/>
                <w:noProof/>
                <w:color w:val="000000"/>
                <w:highlight w:val="black"/>
              </w:rPr>
              <w:t>''''''''' ''''''''' '''''''''''</w:t>
            </w:r>
          </w:p>
          <w:p w:rsidR="00EE09B2" w:rsidRPr="00A17B9D" w:rsidRDefault="00A17B9D" w:rsidP="00BC5A2B">
            <w:pPr>
              <w:pStyle w:val="Tabletext"/>
              <w:jc w:val="center"/>
              <w:rPr>
                <w:highlight w:val="black"/>
              </w:rPr>
            </w:pPr>
            <w:r>
              <w:rPr>
                <w:rFonts w:cs="Tahoma"/>
                <w:noProof/>
                <w:color w:val="000000"/>
                <w:highlight w:val="black"/>
              </w:rPr>
              <w:t>'''''''''''''''''''</w:t>
            </w:r>
          </w:p>
        </w:tc>
        <w:tc>
          <w:tcPr>
            <w:tcW w:w="1366" w:type="dxa"/>
          </w:tcPr>
          <w:p w:rsidR="00EE09B2" w:rsidRDefault="00EE09B2" w:rsidP="00BC5A2B">
            <w:pPr>
              <w:pStyle w:val="Tabletext"/>
              <w:jc w:val="center"/>
              <w:rPr>
                <w:rFonts w:cs="Tahoma"/>
              </w:rPr>
            </w:pPr>
            <w:r>
              <w:rPr>
                <w:rFonts w:cs="Tahoma"/>
              </w:rPr>
              <w:t>−</w:t>
            </w:r>
            <w:r w:rsidRPr="006316DF">
              <w:rPr>
                <w:rFonts w:cs="Tahoma"/>
              </w:rPr>
              <w:t>2</w:t>
            </w:r>
            <w:r>
              <w:rPr>
                <w:rFonts w:cs="Tahoma"/>
              </w:rPr>
              <w:t>3</w:t>
            </w:r>
            <w:r w:rsidRPr="006316DF">
              <w:rPr>
                <w:rFonts w:cs="Tahoma"/>
              </w:rPr>
              <w:t>.</w:t>
            </w:r>
            <w:r>
              <w:rPr>
                <w:rFonts w:cs="Tahoma"/>
              </w:rPr>
              <w:t>1</w:t>
            </w:r>
            <w:r w:rsidR="00747709">
              <w:rPr>
                <w:rFonts w:cs="Tahoma"/>
              </w:rPr>
              <w:t>%</w:t>
            </w:r>
            <w:r w:rsidRPr="006316DF">
              <w:rPr>
                <w:rFonts w:cs="Tahoma"/>
              </w:rPr>
              <w:t xml:space="preserve"> </w:t>
            </w:r>
            <w:r w:rsidR="00747709">
              <w:rPr>
                <w:rFonts w:cs="Tahoma"/>
              </w:rPr>
              <w:br/>
            </w:r>
            <w:r w:rsidRPr="006316DF">
              <w:rPr>
                <w:rFonts w:cs="Tahoma"/>
              </w:rPr>
              <w:t>(</w:t>
            </w:r>
            <w:r>
              <w:rPr>
                <w:rFonts w:cs="Tahoma"/>
              </w:rPr>
              <w:t>−</w:t>
            </w:r>
            <w:r w:rsidRPr="006316DF">
              <w:rPr>
                <w:rFonts w:cs="Tahoma"/>
              </w:rPr>
              <w:t>3</w:t>
            </w:r>
            <w:r>
              <w:rPr>
                <w:rFonts w:cs="Tahoma"/>
              </w:rPr>
              <w:t>5</w:t>
            </w:r>
            <w:r w:rsidRPr="006316DF">
              <w:rPr>
                <w:rFonts w:cs="Tahoma"/>
              </w:rPr>
              <w:t>.</w:t>
            </w:r>
            <w:r>
              <w:rPr>
                <w:rFonts w:cs="Tahoma"/>
              </w:rPr>
              <w:t>1</w:t>
            </w:r>
            <w:r w:rsidRPr="006316DF">
              <w:rPr>
                <w:rFonts w:cs="Tahoma"/>
              </w:rPr>
              <w:t xml:space="preserve">, </w:t>
            </w:r>
            <w:r>
              <w:rPr>
                <w:rFonts w:cs="Tahoma"/>
              </w:rPr>
              <w:t>−8</w:t>
            </w:r>
            <w:r w:rsidRPr="006316DF">
              <w:rPr>
                <w:rFonts w:cs="Tahoma"/>
              </w:rPr>
              <w:t>.</w:t>
            </w:r>
            <w:r>
              <w:rPr>
                <w:rFonts w:cs="Tahoma"/>
              </w:rPr>
              <w:t>9</w:t>
            </w:r>
            <w:r w:rsidRPr="006316DF">
              <w:rPr>
                <w:rFonts w:cs="Tahoma"/>
              </w:rPr>
              <w:t>)</w:t>
            </w:r>
          </w:p>
          <w:p w:rsidR="00EE09B2" w:rsidRDefault="00EE09B2" w:rsidP="00BC5A2B">
            <w:pPr>
              <w:pStyle w:val="Tabletext"/>
              <w:jc w:val="center"/>
            </w:pPr>
            <w:r>
              <w:rPr>
                <w:rFonts w:cs="Tahoma"/>
              </w:rPr>
              <w:t>p&lt;0.0001</w:t>
            </w:r>
          </w:p>
        </w:tc>
      </w:tr>
    </w:tbl>
    <w:p w:rsidR="006713D3" w:rsidRPr="006316DF" w:rsidRDefault="006713D3" w:rsidP="006713D3">
      <w:pPr>
        <w:pStyle w:val="Tablenote"/>
      </w:pPr>
      <w:r w:rsidRPr="002B11BF">
        <w:rPr>
          <w:vertAlign w:val="superscript"/>
        </w:rPr>
        <w:t>a</w:t>
      </w:r>
      <w:r w:rsidR="003A513F">
        <w:t xml:space="preserve"> A decrease</w:t>
      </w:r>
      <w:r>
        <w:t xml:space="preserve"> in PVR indicates improvement in </w:t>
      </w:r>
      <w:r w:rsidR="007E658F" w:rsidRPr="007E658F">
        <w:t>haemodynamic parameters</w:t>
      </w:r>
    </w:p>
    <w:p w:rsidR="008A5D9B" w:rsidRDefault="00EE09B2" w:rsidP="00EE09B2">
      <w:pPr>
        <w:pStyle w:val="Tablenote"/>
      </w:pPr>
      <w:r w:rsidRPr="006316DF">
        <w:t xml:space="preserve">CI = confidence interval; CSR = clinical study report; </w:t>
      </w:r>
      <w:r w:rsidR="008A5D9B" w:rsidRPr="009E3B52">
        <w:t xml:space="preserve">ERA = endothelin receptor antagonist; </w:t>
      </w:r>
      <w:r w:rsidR="008A5D9B" w:rsidRPr="006F774E">
        <w:t xml:space="preserve">FC = functional class; </w:t>
      </w:r>
      <w:r w:rsidRPr="006316DF">
        <w:t>N = number of patients</w:t>
      </w:r>
      <w:r>
        <w:t xml:space="preserve">; </w:t>
      </w:r>
      <w:r w:rsidR="008A5D9B" w:rsidRPr="009E3B52">
        <w:t xml:space="preserve">PAH = pulmonary arterial hypertension; </w:t>
      </w:r>
      <w:r>
        <w:t xml:space="preserve">PVR = </w:t>
      </w:r>
      <w:r w:rsidRPr="007A4F5B">
        <w:t>pulmonary vascular resistance</w:t>
      </w:r>
      <w:r w:rsidR="008A5D9B" w:rsidRPr="00F20C66">
        <w:t xml:space="preserve">; </w:t>
      </w:r>
      <w:r w:rsidR="008A5D9B" w:rsidRPr="009E3B52">
        <w:t>WHO = World Health Organization</w:t>
      </w:r>
    </w:p>
    <w:p w:rsidR="00FB5052" w:rsidRDefault="0077344D" w:rsidP="00FB5052">
      <w:pPr>
        <w:pStyle w:val="Heading5"/>
      </w:pPr>
      <w:r>
        <w:t>h.</w:t>
      </w:r>
      <w:r w:rsidR="00EE09B2">
        <w:tab/>
      </w:r>
      <w:r w:rsidR="00FB5052" w:rsidRPr="00150BDE">
        <w:t>Comparative safety</w:t>
      </w:r>
    </w:p>
    <w:p w:rsidR="00FB5052" w:rsidRDefault="00FB5052" w:rsidP="00FB5052">
      <w:r w:rsidRPr="006316DF">
        <w:t xml:space="preserve">None of the four RCTs reported on the comparative safety of </w:t>
      </w:r>
      <w:r w:rsidR="0069215C">
        <w:t xml:space="preserve">monotherapy with </w:t>
      </w:r>
      <w:r w:rsidRPr="006316DF">
        <w:t>an ERA versus placebo in patients with WHO FC I/II PAH. Hence</w:t>
      </w:r>
      <w:r>
        <w:t>,</w:t>
      </w:r>
      <w:r w:rsidRPr="006316DF">
        <w:t xml:space="preserve"> the </w:t>
      </w:r>
      <w:r w:rsidR="006B2A7D">
        <w:t>AE</w:t>
      </w:r>
      <w:r w:rsidRPr="006316DF">
        <w:t xml:space="preserve">s that were observed in </w:t>
      </w:r>
      <w:r>
        <w:t xml:space="preserve">the </w:t>
      </w:r>
      <w:r w:rsidRPr="006316DF">
        <w:t>broader PAH populations are discussed in Section 4.</w:t>
      </w:r>
      <w:r w:rsidR="00857DBE">
        <w:t>4</w:t>
      </w:r>
      <w:r w:rsidRPr="006316DF">
        <w:t>.5.</w:t>
      </w:r>
    </w:p>
    <w:p w:rsidR="00FB5052" w:rsidRPr="006316DF" w:rsidRDefault="00EE09B2" w:rsidP="00FB5052">
      <w:pPr>
        <w:pStyle w:val="Heading4"/>
      </w:pPr>
      <w:r>
        <w:t>4.4.1.2</w:t>
      </w:r>
      <w:r>
        <w:tab/>
      </w:r>
      <w:r w:rsidR="00484F80">
        <w:tab/>
      </w:r>
      <w:r w:rsidR="00FB5052">
        <w:t>PDE-5 inhibitor</w:t>
      </w:r>
      <w:r w:rsidR="00FB5052" w:rsidRPr="006316DF">
        <w:t xml:space="preserve"> </w:t>
      </w:r>
      <w:r w:rsidR="00FB5052" w:rsidRPr="006316DF">
        <w:rPr>
          <w:i/>
        </w:rPr>
        <w:t>versus</w:t>
      </w:r>
      <w:r w:rsidR="00FB5052" w:rsidRPr="006316DF">
        <w:t xml:space="preserve"> placebo</w:t>
      </w:r>
    </w:p>
    <w:p w:rsidR="00FB5052" w:rsidRDefault="00FB5052" w:rsidP="00FB5052">
      <w:r w:rsidRPr="006316DF">
        <w:t xml:space="preserve">Three RCTs were identified that reported on the effectiveness of </w:t>
      </w:r>
      <w:r>
        <w:t>PDE-5 inhibitor</w:t>
      </w:r>
      <w:r w:rsidR="0069215C">
        <w:t>, as monotherapy,</w:t>
      </w:r>
      <w:r w:rsidRPr="006316DF">
        <w:t xml:space="preserve"> in treating PAH compared with placebo in patients with WHO FC I/II PAH. Tadalafil was used in the PHIRST</w:t>
      </w:r>
      <w:r w:rsidR="001D34EE" w:rsidRPr="001D34EE">
        <w:rPr>
          <w:noProof/>
          <w:vertAlign w:val="superscript"/>
        </w:rPr>
        <w:t>12</w:t>
      </w:r>
      <w:r w:rsidRPr="006316DF">
        <w:t xml:space="preserve"> and Mukhopadhyay 2011</w:t>
      </w:r>
      <w:r w:rsidR="001D34EE" w:rsidRPr="001A1C44">
        <w:rPr>
          <w:noProof/>
          <w:vertAlign w:val="superscript"/>
        </w:rPr>
        <w:t>40</w:t>
      </w:r>
      <w:r w:rsidRPr="006316DF">
        <w:t xml:space="preserve"> trials, and sildenafil in the SUPER-1 trial</w:t>
      </w:r>
      <w:r w:rsidR="001D34EE" w:rsidRPr="001D34EE">
        <w:rPr>
          <w:noProof/>
          <w:vertAlign w:val="superscript"/>
        </w:rPr>
        <w:t>11</w:t>
      </w:r>
      <w:r w:rsidR="00B603BC">
        <w:t>.</w:t>
      </w:r>
    </w:p>
    <w:p w:rsidR="00FB5052" w:rsidRPr="006316DF" w:rsidRDefault="00FB5052" w:rsidP="00FB5052">
      <w:r w:rsidRPr="006316DF">
        <w:t xml:space="preserve">The PHIRST double-blind trial randomised PAH patients of </w:t>
      </w:r>
      <w:r w:rsidRPr="008935E1">
        <w:rPr>
          <w:u w:val="single"/>
        </w:rPr>
        <w:t>any</w:t>
      </w:r>
      <w:r w:rsidRPr="006316DF">
        <w:t xml:space="preserve"> WHO FC to receive tadalafil or placebo for 16 weeks. Background use of bosentan was permitted for patients taking a stable dose for a minimum of 12 weeks before screening. The randomisation was stratified for baseline </w:t>
      </w:r>
      <w:r w:rsidR="0082368E">
        <w:t>walk distance</w:t>
      </w:r>
      <w:r w:rsidRPr="006316DF">
        <w:t xml:space="preserve"> (&lt;325 m or &gt;325 m), PAH aetiology (IPAH</w:t>
      </w:r>
      <w:r>
        <w:t>, HPAH</w:t>
      </w:r>
      <w:r w:rsidRPr="006316DF">
        <w:t xml:space="preserve"> and anorexigen use </w:t>
      </w:r>
      <w:r w:rsidRPr="00F61F37">
        <w:t>versus</w:t>
      </w:r>
      <w:r>
        <w:rPr>
          <w:i/>
        </w:rPr>
        <w:t xml:space="preserve"> </w:t>
      </w:r>
      <w:r w:rsidRPr="006316DF">
        <w:t>other types</w:t>
      </w:r>
      <w:r>
        <w:t xml:space="preserve"> of PAH</w:t>
      </w:r>
      <w:r w:rsidRPr="006316DF">
        <w:t>) and for bosentan use. As the baseline characteristics for the treatment-naïve WHO FC I/II tadalafil v</w:t>
      </w:r>
      <w:r w:rsidR="0095089E">
        <w:t>ersu</w:t>
      </w:r>
      <w:r w:rsidRPr="006316DF">
        <w:t xml:space="preserve">s placebo subgroups were not reported, and patients were not stratified by WHO FC, there remains the possibility that these patients may have different distributions of baseline characteristics resulting in imbalances in disease severity markers. A </w:t>
      </w:r>
      <w:r w:rsidRPr="00FD18C8">
        <w:t>post hoc</w:t>
      </w:r>
      <w:r w:rsidRPr="006316DF">
        <w:t xml:space="preserve"> subgroup analysis for treatment-naïve patients with WHO FC I/II PAH was conducted by Barst </w:t>
      </w:r>
      <w:r w:rsidRPr="00CE7FEC">
        <w:t>et al</w:t>
      </w:r>
      <w:r w:rsidRPr="006316DF">
        <w:t>. (2011)</w:t>
      </w:r>
      <w:r w:rsidR="001D34EE" w:rsidRPr="001A1C44">
        <w:rPr>
          <w:noProof/>
          <w:vertAlign w:val="superscript"/>
        </w:rPr>
        <w:t>45</w:t>
      </w:r>
      <w:r w:rsidRPr="006316DF">
        <w:t>.</w:t>
      </w:r>
    </w:p>
    <w:p w:rsidR="00FB5052" w:rsidRPr="006316DF" w:rsidRDefault="00FB5052" w:rsidP="00FB5052">
      <w:r w:rsidRPr="006316DF">
        <w:t xml:space="preserve">The Mukhopadhyay 2011 </w:t>
      </w:r>
      <w:r>
        <w:t xml:space="preserve">trial </w:t>
      </w:r>
      <w:r w:rsidRPr="006316DF">
        <w:t>was a double-blind crossover RCT that enrolled patients with PAH-CTD and mostly WHO FC II (22/28). Patients were randomised to receive either tadalafil or a matching placebo for 6 weeks, followed by a 2-week washout period before crossing over to the other treatment for 6 weeks.</w:t>
      </w:r>
    </w:p>
    <w:p w:rsidR="00FB5052" w:rsidRPr="006316DF" w:rsidRDefault="00FB5052" w:rsidP="00FB5052">
      <w:r w:rsidRPr="006316DF">
        <w:lastRenderedPageBreak/>
        <w:t xml:space="preserve">The SUPER-1 double-blind trial randomly assigned patients with symptomatic IPAH, PAH-CTD or PAH-CHD of </w:t>
      </w:r>
      <w:r w:rsidRPr="003C2339">
        <w:rPr>
          <w:u w:val="single"/>
        </w:rPr>
        <w:t>any</w:t>
      </w:r>
      <w:r w:rsidRPr="006316DF">
        <w:t xml:space="preserve"> WHO FC to either placebo or sildenafil for 12 weeks. The randomisation was stratified with respect to the baseline </w:t>
      </w:r>
      <w:r>
        <w:t xml:space="preserve">6MWD </w:t>
      </w:r>
      <w:r w:rsidRPr="006316DF">
        <w:t xml:space="preserve">(&lt;325 m or ≥325 m) and PAH aetiology, but not by WHO FC. Thus, differences in the baseline characteristics of patients with WHO FC I/II PAH included in the </w:t>
      </w:r>
      <w:r w:rsidRPr="00FD18C8">
        <w:t>post hoc</w:t>
      </w:r>
      <w:r w:rsidRPr="006316DF">
        <w:t xml:space="preserve"> subgroup analysis cannot be excluded.</w:t>
      </w:r>
      <w:r w:rsidRPr="0085028B">
        <w:t xml:space="preserve"> </w:t>
      </w:r>
      <w:r>
        <w:t xml:space="preserve">Data for the change in 6MWD for patients with WHO FC I/II PAH was reported in the </w:t>
      </w:r>
      <w:r w:rsidRPr="0085028B">
        <w:t xml:space="preserve">November 2016 </w:t>
      </w:r>
      <w:r>
        <w:t xml:space="preserve">PBAC </w:t>
      </w:r>
      <w:r w:rsidRPr="0085028B">
        <w:t>submission</w:t>
      </w:r>
      <w:r>
        <w:t xml:space="preserve"> (highlighted in purple below).</w:t>
      </w:r>
    </w:p>
    <w:p w:rsidR="00FB5052" w:rsidRDefault="00FB5052" w:rsidP="00FB5052">
      <w:r>
        <w:t xml:space="preserve">The PHIRST trial had a moderate risk of bias due to the </w:t>
      </w:r>
      <w:r w:rsidRPr="00081A87">
        <w:t xml:space="preserve">post hoc analysis </w:t>
      </w:r>
      <w:r>
        <w:t xml:space="preserve">for the WHO FC I/II subgroup. The remaining two trials </w:t>
      </w:r>
      <w:r w:rsidRPr="006316DF">
        <w:t>had a low-to-moderate risk of bias</w:t>
      </w:r>
      <w:r>
        <w:t>.</w:t>
      </w:r>
      <w:r w:rsidRPr="006316DF">
        <w:t xml:space="preserve"> </w:t>
      </w:r>
      <w:r>
        <w:t>T</w:t>
      </w:r>
      <w:r w:rsidRPr="006316DF">
        <w:t>he trials varied in duration from 6 weeks for the Mukhopadhyay 2011 crossover RCT to 12 and 16 weeks for the SUPER-1 and PHIRST trials, respectively.</w:t>
      </w:r>
    </w:p>
    <w:p w:rsidR="00FB5052" w:rsidRDefault="00FB5052" w:rsidP="00FB5052">
      <w:r>
        <w:t>N</w:t>
      </w:r>
      <w:r w:rsidRPr="006316DF">
        <w:t>one of these trials reported on all-cause mortality for the subgroup of patients with WHO FC I/II PAH</w:t>
      </w:r>
      <w:r>
        <w:t xml:space="preserve">. Two </w:t>
      </w:r>
      <w:r w:rsidRPr="006316DF">
        <w:t>cohort stud</w:t>
      </w:r>
      <w:r>
        <w:t>ies</w:t>
      </w:r>
      <w:r w:rsidRPr="006316DF">
        <w:t xml:space="preserve"> (Sun 2013</w:t>
      </w:r>
      <w:r w:rsidR="001D34EE" w:rsidRPr="001A1C44">
        <w:rPr>
          <w:noProof/>
          <w:vertAlign w:val="superscript"/>
        </w:rPr>
        <w:t>51</w:t>
      </w:r>
      <w:r>
        <w:t xml:space="preserve"> and Sastry 2007</w:t>
      </w:r>
      <w:r w:rsidR="001D34EE" w:rsidRPr="001A1C44">
        <w:rPr>
          <w:noProof/>
          <w:vertAlign w:val="superscript"/>
        </w:rPr>
        <w:t>52</w:t>
      </w:r>
      <w:r w:rsidRPr="006316DF">
        <w:t xml:space="preserve">) </w:t>
      </w:r>
      <w:r>
        <w:t xml:space="preserve">that </w:t>
      </w:r>
      <w:r w:rsidRPr="006316DF">
        <w:t xml:space="preserve">reported on the mortality </w:t>
      </w:r>
      <w:r>
        <w:t xml:space="preserve">of </w:t>
      </w:r>
      <w:r w:rsidRPr="006316DF">
        <w:t>patients with WHO FC I/II PAH who were treated with either sildenafil or conventional therapy w</w:t>
      </w:r>
      <w:r>
        <w:t>ere</w:t>
      </w:r>
      <w:r w:rsidRPr="006316DF">
        <w:t xml:space="preserve"> identified and included for </w:t>
      </w:r>
      <w:r>
        <w:t>this outcome</w:t>
      </w:r>
      <w:r w:rsidRPr="006316DF">
        <w:t>.</w:t>
      </w:r>
      <w:r>
        <w:t xml:space="preserve"> Sun 2013 enrolled </w:t>
      </w:r>
      <w:r w:rsidRPr="006316DF">
        <w:t xml:space="preserve">patients with Eisenmenger syndrome </w:t>
      </w:r>
      <w:r>
        <w:t>who</w:t>
      </w:r>
      <w:r w:rsidRPr="00564EDC">
        <w:t xml:space="preserve"> were followed for up to 2 years</w:t>
      </w:r>
      <w:r>
        <w:t>.</w:t>
      </w:r>
      <w:r w:rsidRPr="00564EDC">
        <w:t xml:space="preserve"> </w:t>
      </w:r>
      <w:r>
        <w:t>C</w:t>
      </w:r>
      <w:r w:rsidRPr="00564EDC">
        <w:t>onventional therapy mainly consisted of digoxin, oral anticoagulants and diuretics. The baseline data from enrolled patients w</w:t>
      </w:r>
      <w:r w:rsidR="00EE09B2">
        <w:t>ere</w:t>
      </w:r>
      <w:r w:rsidRPr="00564EDC">
        <w:t xml:space="preserve"> collected retrospectively from medical files. Overall, the baseline characteristics were well balanced between groups and there was a moderate risk of bias.</w:t>
      </w:r>
    </w:p>
    <w:p w:rsidR="00FB5052" w:rsidRPr="006316DF" w:rsidRDefault="00FB5052" w:rsidP="00FB5052">
      <w:r>
        <w:t>Sastry 2007 collected survival data from patients with IPAH</w:t>
      </w:r>
      <w:r w:rsidRPr="00427BBC">
        <w:t xml:space="preserve"> </w:t>
      </w:r>
      <w:r>
        <w:t>of WHO FC II-IV being treated with sildenafil prospectively from a hospital registry for five years. Patients treated with c</w:t>
      </w:r>
      <w:r w:rsidRPr="00427BBC">
        <w:t xml:space="preserve">onventional therapy </w:t>
      </w:r>
      <w:r>
        <w:t>(including</w:t>
      </w:r>
      <w:r w:rsidRPr="00427BBC">
        <w:t xml:space="preserve"> digoxin, oral anticoagulants</w:t>
      </w:r>
      <w:r>
        <w:t>,</w:t>
      </w:r>
      <w:r w:rsidRPr="00427BBC">
        <w:t xml:space="preserve"> diuretics and</w:t>
      </w:r>
      <w:r>
        <w:t xml:space="preserve"> calcium channel blockers) prior to the availability of sildenafil in India acted as an historical control</w:t>
      </w:r>
      <w:r w:rsidRPr="00427BBC">
        <w:t>.</w:t>
      </w:r>
      <w:r>
        <w:t xml:space="preserve"> The baseline characteristics of the intervention and historical control groups were similar for the whole cohort, except the duration of symptoms was much longer in the control group (median 24 months versus 12 months). No information was provided for the WHO FC II subgroup. Overall, this study has a moderate-to-high risk of bias. The authors reported the mortality rates among patients with WHO FC II IPAH.</w:t>
      </w:r>
    </w:p>
    <w:p w:rsidR="00FB5052" w:rsidRPr="006316DF" w:rsidRDefault="0077344D" w:rsidP="00FB5052">
      <w:pPr>
        <w:pStyle w:val="Heading5"/>
      </w:pPr>
      <w:r>
        <w:t>a.</w:t>
      </w:r>
      <w:r w:rsidR="00EE09B2">
        <w:tab/>
      </w:r>
      <w:r w:rsidR="00FB5052" w:rsidRPr="006316DF">
        <w:t>Study-defined clinical worsening</w:t>
      </w:r>
    </w:p>
    <w:p w:rsidR="00FB5052" w:rsidRPr="006316DF" w:rsidRDefault="00FB5052" w:rsidP="00FB5052">
      <w:r w:rsidRPr="006316DF">
        <w:t>None of the three RCTs reported on the number of patients with WHO FC I/II PAH who had clinical worsening.</w:t>
      </w:r>
    </w:p>
    <w:p w:rsidR="00FB5052" w:rsidRPr="006316DF" w:rsidRDefault="0077344D" w:rsidP="00FB5052">
      <w:pPr>
        <w:pStyle w:val="Heading5"/>
      </w:pPr>
      <w:r>
        <w:t>b.</w:t>
      </w:r>
      <w:r w:rsidR="00EE09B2">
        <w:tab/>
      </w:r>
      <w:r w:rsidR="00C828F9">
        <w:t>All-cause m</w:t>
      </w:r>
      <w:r w:rsidR="00C828F9" w:rsidRPr="006316DF">
        <w:t>ortality</w:t>
      </w:r>
    </w:p>
    <w:p w:rsidR="00FB5052" w:rsidRDefault="00FB5052" w:rsidP="00FB5052">
      <w:r w:rsidRPr="006316DF">
        <w:t>The Sun 2013 observational study reported on all-cause mortality over a 48-month follow-up period (</w:t>
      </w:r>
      <w:r w:rsidR="00AA722D">
        <w:t xml:space="preserve">Table </w:t>
      </w:r>
      <w:r w:rsidR="00AA722D">
        <w:rPr>
          <w:noProof/>
        </w:rPr>
        <w:t>4.34</w:t>
      </w:r>
      <w:r w:rsidRPr="006316DF">
        <w:t>). No patients with WHO FC I/II PAH receiving sildenafil died during this time but five patients receiving conventional therapy did</w:t>
      </w:r>
      <w:r>
        <w:t xml:space="preserve"> (</w:t>
      </w:r>
      <w:r w:rsidR="00B21201">
        <w:t>ARD</w:t>
      </w:r>
      <w:r w:rsidR="00973227">
        <w:t> </w:t>
      </w:r>
      <w:r w:rsidRPr="001011B7">
        <w:t>=</w:t>
      </w:r>
      <w:r w:rsidR="00973227">
        <w:t> </w:t>
      </w:r>
      <w:r w:rsidR="00DE31E4">
        <w:t>−</w:t>
      </w:r>
      <w:r>
        <w:t xml:space="preserve">13.9%; 95% CI </w:t>
      </w:r>
      <w:r w:rsidR="00DE31E4">
        <w:t>−</w:t>
      </w:r>
      <w:r>
        <w:t>2.6</w:t>
      </w:r>
      <w:r w:rsidR="00EE09B2">
        <w:t>,</w:t>
      </w:r>
      <w:r>
        <w:t xml:space="preserve"> </w:t>
      </w:r>
      <w:r w:rsidR="00DE31E4">
        <w:t>−</w:t>
      </w:r>
      <w:r>
        <w:t>25.2</w:t>
      </w:r>
      <w:r w:rsidR="008F58B5">
        <w:t>; p</w:t>
      </w:r>
      <w:r w:rsidR="00973227">
        <w:t> </w:t>
      </w:r>
      <w:r w:rsidR="008F58B5">
        <w:t>=</w:t>
      </w:r>
      <w:r w:rsidR="00973227">
        <w:t> </w:t>
      </w:r>
      <w:r w:rsidR="008F58B5">
        <w:t>0.015</w:t>
      </w:r>
      <w:r>
        <w:t>)</w:t>
      </w:r>
      <w:r w:rsidRPr="006316DF">
        <w:t>.</w:t>
      </w:r>
      <w:r>
        <w:t xml:space="preserve"> The Sastry 2007 study, also conducted over a 48-month period, reported that patients with WHO FC II IPAH in the historical conventional treatment group were twice as likely to die than those receiving treatment with a PDE-5 inhibitor (</w:t>
      </w:r>
      <w:r w:rsidR="00B21201">
        <w:t>ARD</w:t>
      </w:r>
      <w:r w:rsidR="00973227">
        <w:t> </w:t>
      </w:r>
      <w:r>
        <w:t>=</w:t>
      </w:r>
      <w:r w:rsidR="00973227">
        <w:t> </w:t>
      </w:r>
      <w:r w:rsidR="00DE31E4">
        <w:t>−</w:t>
      </w:r>
      <w:r>
        <w:t>14.9%</w:t>
      </w:r>
      <w:r w:rsidR="00EE09B2">
        <w:t>;</w:t>
      </w:r>
      <w:r>
        <w:t xml:space="preserve"> 95% CI −</w:t>
      </w:r>
      <w:r w:rsidR="00DE31E4">
        <w:t xml:space="preserve">37.8, </w:t>
      </w:r>
      <w:r>
        <w:t>8.0</w:t>
      </w:r>
      <w:r w:rsidR="008F58B5">
        <w:t>; p</w:t>
      </w:r>
      <w:r w:rsidR="00973227">
        <w:t> </w:t>
      </w:r>
      <w:r w:rsidR="008F58B5">
        <w:t>=</w:t>
      </w:r>
      <w:r w:rsidR="00973227">
        <w:t> </w:t>
      </w:r>
      <w:r w:rsidR="008F58B5">
        <w:t>0.159</w:t>
      </w:r>
      <w:r>
        <w:t xml:space="preserve">). Thus, </w:t>
      </w:r>
      <w:r w:rsidR="0017797D">
        <w:t xml:space="preserve">the two </w:t>
      </w:r>
      <w:r>
        <w:t xml:space="preserve">studies found that </w:t>
      </w:r>
      <w:r w:rsidR="0017797D">
        <w:t xml:space="preserve">seven to eight </w:t>
      </w:r>
      <w:r>
        <w:t xml:space="preserve">patients need to be treated with a PDE-5 inhibitor to </w:t>
      </w:r>
      <w:r>
        <w:lastRenderedPageBreak/>
        <w:t>prevent one additional death compared with the conventional therapy control groups. The pooled RR estimate showed that patients treated with conventional drugs were 3-times more likely to die than those treated with a PDE-5 inhibitor (</w:t>
      </w:r>
      <w:r w:rsidR="00AA722D">
        <w:t>Figure 4.</w:t>
      </w:r>
      <w:r w:rsidR="00AA722D">
        <w:rPr>
          <w:noProof/>
        </w:rPr>
        <w:t>5</w:t>
      </w:r>
      <w:r>
        <w:t>), but it was not statistically significant</w:t>
      </w:r>
      <w:r w:rsidRPr="006316DF">
        <w:t>.</w:t>
      </w:r>
    </w:p>
    <w:p w:rsidR="00FB5052" w:rsidRPr="006316DF" w:rsidRDefault="00B40240" w:rsidP="00BC5A2B">
      <w:pPr>
        <w:pStyle w:val="Caption"/>
      </w:pPr>
      <w:bookmarkStart w:id="115" w:name="_Ref501379521"/>
      <w:bookmarkStart w:id="116" w:name="_Toc512855438"/>
      <w:r>
        <w:t>Table 4.</w:t>
      </w:r>
      <w:r w:rsidR="00AA722D">
        <w:rPr>
          <w:noProof/>
        </w:rPr>
        <w:t>34</w:t>
      </w:r>
      <w:bookmarkEnd w:id="115"/>
      <w:r w:rsidR="00ED0695">
        <w:tab/>
      </w:r>
      <w:r w:rsidR="00FB5052" w:rsidRPr="006316DF">
        <w:t xml:space="preserve">Mortality rates for </w:t>
      </w:r>
      <w:r w:rsidR="00FB5052">
        <w:t>PDE-5 inhibitor</w:t>
      </w:r>
      <w:r w:rsidR="004B7C88">
        <w:t>s</w:t>
      </w:r>
      <w:r w:rsidR="00FB5052" w:rsidRPr="006316DF">
        <w:t xml:space="preserve"> compared with conventional therapy</w:t>
      </w:r>
      <w:r w:rsidR="00FB5052" w:rsidRPr="00B642BB">
        <w:t xml:space="preserve"> in patients with WHO FC I/II PAH</w:t>
      </w:r>
      <w:bookmarkEnd w:id="116"/>
    </w:p>
    <w:tbl>
      <w:tblPr>
        <w:tblStyle w:val="TableGrid7"/>
        <w:tblW w:w="9634" w:type="dxa"/>
        <w:tblLayout w:type="fixed"/>
        <w:tblLook w:val="04A0" w:firstRow="1" w:lastRow="0" w:firstColumn="1" w:lastColumn="0" w:noHBand="0" w:noVBand="1"/>
        <w:tblCaption w:val="Mortality rates for PDE-5 inhibitors compared with conventional therapy in patients with WHO FC I/II PAH"/>
      </w:tblPr>
      <w:tblGrid>
        <w:gridCol w:w="1980"/>
        <w:gridCol w:w="1701"/>
        <w:gridCol w:w="1984"/>
        <w:gridCol w:w="1985"/>
        <w:gridCol w:w="1984"/>
      </w:tblGrid>
      <w:tr w:rsidR="00FB5052" w:rsidRPr="006316DF" w:rsidTr="00237FAE">
        <w:trPr>
          <w:trHeight w:val="74"/>
          <w:tblHeader/>
        </w:trPr>
        <w:tc>
          <w:tcPr>
            <w:tcW w:w="1980" w:type="dxa"/>
            <w:vMerge w:val="restart"/>
            <w:shd w:val="clear" w:color="auto" w:fill="BFBFBF" w:themeFill="background1" w:themeFillShade="BF"/>
          </w:tcPr>
          <w:p w:rsidR="00FB5052" w:rsidRPr="00507955" w:rsidRDefault="00FB5052" w:rsidP="00507955">
            <w:pPr>
              <w:pStyle w:val="Tabletext"/>
              <w:rPr>
                <w:b/>
              </w:rPr>
            </w:pPr>
            <w:r w:rsidRPr="00507955">
              <w:rPr>
                <w:b/>
              </w:rPr>
              <w:t>Study ID</w:t>
            </w:r>
          </w:p>
          <w:p w:rsidR="00FB5052" w:rsidRPr="00507955" w:rsidRDefault="00FB5052" w:rsidP="00507955">
            <w:pPr>
              <w:pStyle w:val="Tabletext"/>
              <w:rPr>
                <w:b/>
              </w:rPr>
            </w:pPr>
            <w:r w:rsidRPr="00507955">
              <w:rPr>
                <w:b/>
              </w:rPr>
              <w:t>PDE-5 inhibitor</w:t>
            </w:r>
          </w:p>
        </w:tc>
        <w:tc>
          <w:tcPr>
            <w:tcW w:w="1701" w:type="dxa"/>
            <w:vMerge w:val="restart"/>
            <w:shd w:val="clear" w:color="auto" w:fill="BFBFBF" w:themeFill="background1" w:themeFillShade="BF"/>
          </w:tcPr>
          <w:p w:rsidR="00FB5052" w:rsidRPr="00507955" w:rsidRDefault="00FB5052" w:rsidP="00507955">
            <w:pPr>
              <w:pStyle w:val="Tabletext"/>
              <w:rPr>
                <w:b/>
              </w:rPr>
            </w:pPr>
            <w:r w:rsidRPr="00507955">
              <w:rPr>
                <w:b/>
              </w:rPr>
              <w:t>Study period</w:t>
            </w:r>
          </w:p>
        </w:tc>
        <w:tc>
          <w:tcPr>
            <w:tcW w:w="3969" w:type="dxa"/>
            <w:gridSpan w:val="2"/>
            <w:shd w:val="clear" w:color="auto" w:fill="BFBFBF" w:themeFill="background1" w:themeFillShade="BF"/>
          </w:tcPr>
          <w:p w:rsidR="00FB5052" w:rsidRPr="00507955" w:rsidRDefault="00FB5052" w:rsidP="00507955">
            <w:pPr>
              <w:pStyle w:val="Tabletext"/>
              <w:jc w:val="center"/>
              <w:rPr>
                <w:b/>
              </w:rPr>
            </w:pPr>
            <w:r w:rsidRPr="00507955">
              <w:rPr>
                <w:b/>
              </w:rPr>
              <w:t>n/N (%)</w:t>
            </w:r>
          </w:p>
        </w:tc>
        <w:tc>
          <w:tcPr>
            <w:tcW w:w="1984" w:type="dxa"/>
            <w:vMerge w:val="restart"/>
            <w:shd w:val="clear" w:color="auto" w:fill="BFBFBF" w:themeFill="background1" w:themeFillShade="BF"/>
          </w:tcPr>
          <w:p w:rsidR="00FB5052" w:rsidRPr="00507955" w:rsidRDefault="00FB5052" w:rsidP="00507955">
            <w:pPr>
              <w:pStyle w:val="Tabletext"/>
              <w:jc w:val="center"/>
              <w:rPr>
                <w:b/>
              </w:rPr>
            </w:pPr>
            <w:r w:rsidRPr="00507955">
              <w:rPr>
                <w:b/>
              </w:rPr>
              <w:t>RR (95% CI)</w:t>
            </w:r>
          </w:p>
        </w:tc>
      </w:tr>
      <w:tr w:rsidR="00FB5052" w:rsidRPr="006316DF" w:rsidTr="00507955">
        <w:trPr>
          <w:trHeight w:val="202"/>
          <w:tblHeader/>
        </w:trPr>
        <w:tc>
          <w:tcPr>
            <w:tcW w:w="1980" w:type="dxa"/>
            <w:vMerge/>
            <w:shd w:val="clear" w:color="auto" w:fill="BFBFBF" w:themeFill="background1" w:themeFillShade="BF"/>
          </w:tcPr>
          <w:p w:rsidR="00FB5052" w:rsidRPr="00507955" w:rsidRDefault="00FB5052" w:rsidP="00507955">
            <w:pPr>
              <w:pStyle w:val="Tabletext"/>
            </w:pPr>
          </w:p>
        </w:tc>
        <w:tc>
          <w:tcPr>
            <w:tcW w:w="1701" w:type="dxa"/>
            <w:vMerge/>
            <w:shd w:val="clear" w:color="auto" w:fill="BFBFBF" w:themeFill="background1" w:themeFillShade="BF"/>
          </w:tcPr>
          <w:p w:rsidR="00FB5052" w:rsidRPr="00507955" w:rsidRDefault="00FB5052" w:rsidP="00507955">
            <w:pPr>
              <w:pStyle w:val="Tabletext"/>
            </w:pPr>
          </w:p>
        </w:tc>
        <w:tc>
          <w:tcPr>
            <w:tcW w:w="1984" w:type="dxa"/>
            <w:shd w:val="clear" w:color="auto" w:fill="BFBFBF" w:themeFill="background1" w:themeFillShade="BF"/>
          </w:tcPr>
          <w:p w:rsidR="00FB5052" w:rsidRPr="00507955" w:rsidRDefault="00FB5052" w:rsidP="00507955">
            <w:pPr>
              <w:pStyle w:val="Tabletext"/>
              <w:jc w:val="center"/>
              <w:rPr>
                <w:b/>
              </w:rPr>
            </w:pPr>
            <w:r w:rsidRPr="00507955">
              <w:rPr>
                <w:b/>
              </w:rPr>
              <w:t>PDE-5 inhibitor</w:t>
            </w:r>
          </w:p>
        </w:tc>
        <w:tc>
          <w:tcPr>
            <w:tcW w:w="1985" w:type="dxa"/>
            <w:shd w:val="clear" w:color="auto" w:fill="BFBFBF" w:themeFill="background1" w:themeFillShade="BF"/>
          </w:tcPr>
          <w:p w:rsidR="00FB5052" w:rsidRPr="00507955" w:rsidRDefault="00FB5052" w:rsidP="000F6EFC">
            <w:pPr>
              <w:pStyle w:val="Tabletext"/>
              <w:jc w:val="center"/>
              <w:rPr>
                <w:b/>
              </w:rPr>
            </w:pPr>
            <w:r w:rsidRPr="00507955">
              <w:rPr>
                <w:b/>
              </w:rPr>
              <w:t>C</w:t>
            </w:r>
            <w:r w:rsidR="000F6EFC">
              <w:rPr>
                <w:b/>
              </w:rPr>
              <w:t>onventional therapy</w:t>
            </w:r>
          </w:p>
        </w:tc>
        <w:tc>
          <w:tcPr>
            <w:tcW w:w="1984" w:type="dxa"/>
            <w:vMerge/>
            <w:shd w:val="clear" w:color="auto" w:fill="BFBFBF" w:themeFill="background1" w:themeFillShade="BF"/>
          </w:tcPr>
          <w:p w:rsidR="00FB5052" w:rsidRPr="00507955" w:rsidRDefault="00FB5052" w:rsidP="00507955">
            <w:pPr>
              <w:pStyle w:val="Tabletext"/>
            </w:pPr>
          </w:p>
        </w:tc>
      </w:tr>
      <w:tr w:rsidR="00FB5052" w:rsidRPr="006316DF" w:rsidTr="00507955">
        <w:trPr>
          <w:trHeight w:val="70"/>
        </w:trPr>
        <w:tc>
          <w:tcPr>
            <w:tcW w:w="1980" w:type="dxa"/>
          </w:tcPr>
          <w:p w:rsidR="00FB5052" w:rsidRPr="00507955" w:rsidRDefault="00FB5052" w:rsidP="00507955">
            <w:pPr>
              <w:pStyle w:val="Tabletext"/>
            </w:pPr>
            <w:r w:rsidRPr="00507955">
              <w:t>Sun 2013</w:t>
            </w:r>
            <w:r w:rsidR="001D34EE" w:rsidRPr="001A1C44">
              <w:rPr>
                <w:noProof/>
                <w:vertAlign w:val="superscript"/>
              </w:rPr>
              <w:t>51</w:t>
            </w:r>
          </w:p>
          <w:p w:rsidR="00FB5052" w:rsidRPr="00507955" w:rsidRDefault="00FB5052" w:rsidP="00507955">
            <w:pPr>
              <w:pStyle w:val="Tabletext"/>
            </w:pPr>
            <w:r w:rsidRPr="00507955">
              <w:t>Sildenafil</w:t>
            </w:r>
          </w:p>
        </w:tc>
        <w:tc>
          <w:tcPr>
            <w:tcW w:w="1701" w:type="dxa"/>
          </w:tcPr>
          <w:p w:rsidR="00FB5052" w:rsidRPr="00507955" w:rsidRDefault="00FB5052" w:rsidP="00507955">
            <w:pPr>
              <w:pStyle w:val="Tabletext"/>
            </w:pPr>
            <w:r w:rsidRPr="00507955">
              <w:t>48 months</w:t>
            </w:r>
          </w:p>
        </w:tc>
        <w:tc>
          <w:tcPr>
            <w:tcW w:w="1984" w:type="dxa"/>
          </w:tcPr>
          <w:p w:rsidR="00FB5052" w:rsidRPr="00507955" w:rsidRDefault="00FB5052" w:rsidP="00507955">
            <w:pPr>
              <w:pStyle w:val="Tabletext"/>
              <w:jc w:val="center"/>
            </w:pPr>
            <w:r w:rsidRPr="00507955">
              <w:t>0/40 (0%)</w:t>
            </w:r>
          </w:p>
        </w:tc>
        <w:tc>
          <w:tcPr>
            <w:tcW w:w="1985" w:type="dxa"/>
          </w:tcPr>
          <w:p w:rsidR="00FB5052" w:rsidRPr="00507955" w:rsidRDefault="00FB5052" w:rsidP="00507955">
            <w:pPr>
              <w:pStyle w:val="Tabletext"/>
              <w:jc w:val="center"/>
            </w:pPr>
            <w:r w:rsidRPr="00507955">
              <w:t>5/36 (14%)</w:t>
            </w:r>
          </w:p>
        </w:tc>
        <w:tc>
          <w:tcPr>
            <w:tcW w:w="1984" w:type="dxa"/>
          </w:tcPr>
          <w:p w:rsidR="00FB5052" w:rsidRPr="00507955" w:rsidRDefault="00FB5052" w:rsidP="00507955">
            <w:pPr>
              <w:pStyle w:val="Tabletext"/>
              <w:jc w:val="center"/>
            </w:pPr>
            <w:r w:rsidRPr="00507955">
              <w:t>0 (not calculable)</w:t>
            </w:r>
          </w:p>
        </w:tc>
      </w:tr>
      <w:tr w:rsidR="00FB5052" w:rsidRPr="006316DF" w:rsidTr="00507955">
        <w:trPr>
          <w:trHeight w:val="70"/>
        </w:trPr>
        <w:tc>
          <w:tcPr>
            <w:tcW w:w="1980" w:type="dxa"/>
          </w:tcPr>
          <w:p w:rsidR="00FB5052" w:rsidRPr="00507955" w:rsidRDefault="00FB5052" w:rsidP="00507955">
            <w:pPr>
              <w:pStyle w:val="Tabletext"/>
            </w:pPr>
            <w:r w:rsidRPr="00507955">
              <w:t>Sastry 2007</w:t>
            </w:r>
            <w:r w:rsidR="001D34EE" w:rsidRPr="001A1C44">
              <w:rPr>
                <w:noProof/>
                <w:vertAlign w:val="superscript"/>
              </w:rPr>
              <w:t>52</w:t>
            </w:r>
          </w:p>
          <w:p w:rsidR="00FB5052" w:rsidRPr="00507955" w:rsidRDefault="00FB5052" w:rsidP="00507955">
            <w:pPr>
              <w:pStyle w:val="Tabletext"/>
            </w:pPr>
            <w:r w:rsidRPr="00507955">
              <w:t>Sildenafil</w:t>
            </w:r>
          </w:p>
        </w:tc>
        <w:tc>
          <w:tcPr>
            <w:tcW w:w="1701" w:type="dxa"/>
          </w:tcPr>
          <w:p w:rsidR="00FB5052" w:rsidRPr="00507955" w:rsidRDefault="00FB5052" w:rsidP="00507955">
            <w:pPr>
              <w:pStyle w:val="Tabletext"/>
            </w:pPr>
            <w:r w:rsidRPr="00507955">
              <w:t>48 months</w:t>
            </w:r>
          </w:p>
        </w:tc>
        <w:tc>
          <w:tcPr>
            <w:tcW w:w="1984" w:type="dxa"/>
          </w:tcPr>
          <w:p w:rsidR="00FB5052" w:rsidRPr="00507955" w:rsidRDefault="00FB5052" w:rsidP="00507955">
            <w:pPr>
              <w:pStyle w:val="Tabletext"/>
              <w:jc w:val="center"/>
            </w:pPr>
            <w:r w:rsidRPr="00507955">
              <w:t>10/60 (17%)</w:t>
            </w:r>
          </w:p>
        </w:tc>
        <w:tc>
          <w:tcPr>
            <w:tcW w:w="1985" w:type="dxa"/>
          </w:tcPr>
          <w:p w:rsidR="00FB5052" w:rsidRPr="00507955" w:rsidRDefault="00FB5052" w:rsidP="00507955">
            <w:pPr>
              <w:pStyle w:val="Tabletext"/>
              <w:jc w:val="center"/>
            </w:pPr>
            <w:r w:rsidRPr="00507955">
              <w:t>6/19 (32%)</w:t>
            </w:r>
          </w:p>
        </w:tc>
        <w:tc>
          <w:tcPr>
            <w:tcW w:w="1984" w:type="dxa"/>
          </w:tcPr>
          <w:p w:rsidR="00FB5052" w:rsidRPr="00507955" w:rsidRDefault="00FB5052" w:rsidP="00507955">
            <w:pPr>
              <w:pStyle w:val="Tabletext"/>
              <w:jc w:val="center"/>
            </w:pPr>
            <w:r w:rsidRPr="00507955">
              <w:t>0.53 (0.22, 1.26)</w:t>
            </w:r>
          </w:p>
        </w:tc>
      </w:tr>
    </w:tbl>
    <w:p w:rsidR="008A5D9B" w:rsidRPr="00CA61D0" w:rsidRDefault="00FB5052" w:rsidP="00507955">
      <w:pPr>
        <w:pStyle w:val="Tablenote"/>
      </w:pPr>
      <w:r w:rsidRPr="00CA61D0">
        <w:t xml:space="preserve">CI = confidence interval; </w:t>
      </w:r>
      <w:r w:rsidR="008A5D9B" w:rsidRPr="006F774E">
        <w:t xml:space="preserve">FC = functional class; </w:t>
      </w:r>
      <w:r w:rsidRPr="00CA61D0">
        <w:t xml:space="preserve">n = number of </w:t>
      </w:r>
      <w:r w:rsidR="000F6EFC">
        <w:t xml:space="preserve">patients with </w:t>
      </w:r>
      <w:r w:rsidRPr="00CA61D0">
        <w:t>events; N = number of patients; PAH = pulmonary arterial hypertension; PDE-5 = phosphodiesterase type 5</w:t>
      </w:r>
      <w:r w:rsidR="008A5D9B" w:rsidRPr="00F20C66">
        <w:t xml:space="preserve">; </w:t>
      </w:r>
      <w:r w:rsidR="000F6EFC" w:rsidRPr="009E3B52">
        <w:t xml:space="preserve">RR = relative risk; </w:t>
      </w:r>
      <w:r w:rsidR="008A5D9B" w:rsidRPr="009E3B52">
        <w:t>WHO = World Health Organization</w:t>
      </w:r>
    </w:p>
    <w:p w:rsidR="00FB5052" w:rsidRPr="006316DF" w:rsidRDefault="00FB5052" w:rsidP="008F58B5">
      <w:pPr>
        <w:spacing w:after="40"/>
        <w:jc w:val="center"/>
        <w:rPr>
          <w:sz w:val="20"/>
        </w:rPr>
      </w:pPr>
      <w:r>
        <w:rPr>
          <w:noProof/>
          <w:sz w:val="20"/>
          <w:lang w:eastAsia="en-AU"/>
        </w:rPr>
        <w:drawing>
          <wp:inline distT="0" distB="0" distL="0" distR="0" wp14:anchorId="2889EA83" wp14:editId="4DF66813">
            <wp:extent cx="5704764" cy="2446389"/>
            <wp:effectExtent l="0" t="0" r="0" b="0"/>
            <wp:docPr id="50" name="Picture 50" descr="The estimated RR from the meta-analysis was 0.32 (95% CI 0.05, 1.90)" title="Forest plot showing the RR of all-cause mortality for PDE-5 inhibitors compared with conventional therapy in patients with WHO FC I/II 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727933" cy="2456324"/>
                    </a:xfrm>
                    <a:prstGeom prst="rect">
                      <a:avLst/>
                    </a:prstGeom>
                    <a:noFill/>
                    <a:ln>
                      <a:noFill/>
                    </a:ln>
                    <a:extLst>
                      <a:ext uri="{53640926-AAD7-44D8-BBD7-CCE9431645EC}">
                        <a14:shadowObscured xmlns:a14="http://schemas.microsoft.com/office/drawing/2010/main"/>
                      </a:ext>
                    </a:extLst>
                  </pic:spPr>
                </pic:pic>
              </a:graphicData>
            </a:graphic>
          </wp:inline>
        </w:drawing>
      </w:r>
    </w:p>
    <w:p w:rsidR="00FB5052" w:rsidRDefault="00507955" w:rsidP="00BC5A2B">
      <w:pPr>
        <w:pStyle w:val="Caption"/>
      </w:pPr>
      <w:bookmarkStart w:id="117" w:name="_Ref505961670"/>
      <w:bookmarkStart w:id="118" w:name="_Toc512855578"/>
      <w:r>
        <w:t>Figure 4.</w:t>
      </w:r>
      <w:r w:rsidR="00AA722D">
        <w:rPr>
          <w:noProof/>
        </w:rPr>
        <w:t>5</w:t>
      </w:r>
      <w:bookmarkEnd w:id="117"/>
      <w:r>
        <w:tab/>
      </w:r>
      <w:r w:rsidR="00FB5052">
        <w:t>Forest plot</w:t>
      </w:r>
      <w:r w:rsidR="00FB5052" w:rsidRPr="006316DF">
        <w:t xml:space="preserve"> </w:t>
      </w:r>
      <w:r w:rsidR="00FB5052" w:rsidRPr="00795577">
        <w:t xml:space="preserve">showing the RR of all-cause mortality for </w:t>
      </w:r>
      <w:r w:rsidR="00FB5052">
        <w:t>PDE-5 inhibitors</w:t>
      </w:r>
      <w:r w:rsidR="00FB5052" w:rsidRPr="00795577">
        <w:t xml:space="preserve"> compared with </w:t>
      </w:r>
      <w:r w:rsidR="00EF4CF6">
        <w:t>conventional therapy</w:t>
      </w:r>
      <w:r w:rsidR="00FB5052" w:rsidRPr="00795577">
        <w:t xml:space="preserve"> in patients with WHO FC I/II PAH</w:t>
      </w:r>
      <w:bookmarkEnd w:id="118"/>
      <w:r w:rsidR="00FB5052" w:rsidRPr="006316DF">
        <w:t xml:space="preserve"> </w:t>
      </w:r>
    </w:p>
    <w:p w:rsidR="000F6EFC" w:rsidRDefault="00FB5052" w:rsidP="00507955">
      <w:pPr>
        <w:pStyle w:val="Tablenote"/>
      </w:pPr>
      <w:r w:rsidRPr="00E419F0">
        <w:t xml:space="preserve">CI = confidence interval; </w:t>
      </w:r>
      <w:r w:rsidR="000F6EFC" w:rsidRPr="006F774E">
        <w:t xml:space="preserve">FC = functional class; </w:t>
      </w:r>
      <w:r w:rsidRPr="00E419F0">
        <w:t>N = number of patients; PAH = pulmonary arterial hypertension; PDE-5</w:t>
      </w:r>
      <w:r w:rsidR="000F6EFC">
        <w:t>i</w:t>
      </w:r>
      <w:r w:rsidRPr="00E419F0">
        <w:t xml:space="preserve"> = phosphodiesterase type 5</w:t>
      </w:r>
      <w:r w:rsidR="000F6EFC">
        <w:t xml:space="preserve"> inhibitor</w:t>
      </w:r>
      <w:r>
        <w:t>; RR = relative risk</w:t>
      </w:r>
      <w:r w:rsidR="000F6EFC" w:rsidRPr="00F20C66">
        <w:t xml:space="preserve">; </w:t>
      </w:r>
      <w:r w:rsidR="000F6EFC" w:rsidRPr="009E3B52">
        <w:t>WHO = World Health Organization</w:t>
      </w:r>
    </w:p>
    <w:p w:rsidR="00FB5052" w:rsidRPr="006316DF" w:rsidRDefault="0077344D" w:rsidP="00FB5052">
      <w:pPr>
        <w:pStyle w:val="Heading5"/>
      </w:pPr>
      <w:r>
        <w:t>c.</w:t>
      </w:r>
      <w:r w:rsidR="00EE09B2">
        <w:tab/>
      </w:r>
      <w:r w:rsidR="00C828F9" w:rsidRPr="006316DF">
        <w:t>Hospitalisation</w:t>
      </w:r>
      <w:r w:rsidR="00C828F9" w:rsidRPr="0046652B">
        <w:t xml:space="preserve"> due to worsening PAH</w:t>
      </w:r>
    </w:p>
    <w:p w:rsidR="00FB5052" w:rsidRPr="006316DF" w:rsidRDefault="00FB5052" w:rsidP="00FB5052">
      <w:r w:rsidRPr="006316DF">
        <w:t>None of the three RCTs reported on the number of patients with WHO FC I/II PAH who were hospitalised.</w:t>
      </w:r>
    </w:p>
    <w:p w:rsidR="00FB5052" w:rsidRPr="006316DF" w:rsidRDefault="0077344D" w:rsidP="00FB5052">
      <w:pPr>
        <w:pStyle w:val="Heading5"/>
      </w:pPr>
      <w:r>
        <w:t>d.</w:t>
      </w:r>
      <w:r w:rsidR="00EE09B2">
        <w:tab/>
      </w:r>
      <w:r w:rsidR="00FB5052" w:rsidRPr="006316DF">
        <w:t xml:space="preserve">Change in WHO </w:t>
      </w:r>
      <w:r w:rsidR="00FB5052">
        <w:t>FC</w:t>
      </w:r>
      <w:r w:rsidR="007B6C7C">
        <w:t xml:space="preserve"> from baseline</w:t>
      </w:r>
    </w:p>
    <w:p w:rsidR="00FB5052" w:rsidRPr="006316DF" w:rsidRDefault="00FB5052" w:rsidP="00FB5052">
      <w:r w:rsidRPr="006316DF">
        <w:t xml:space="preserve">Only the Mukhopadhyay 2011 crossover RCT reported on a change in WHO FC. There was no difference between the two </w:t>
      </w:r>
      <w:r>
        <w:t>treatment arms</w:t>
      </w:r>
      <w:r w:rsidRPr="006316DF">
        <w:t xml:space="preserve"> (</w:t>
      </w:r>
      <w:r w:rsidR="00AA722D">
        <w:t xml:space="preserve">Table </w:t>
      </w:r>
      <w:r w:rsidR="00AA722D">
        <w:rPr>
          <w:noProof/>
        </w:rPr>
        <w:t>4.35</w:t>
      </w:r>
      <w:r w:rsidRPr="006316DF">
        <w:t>). One patient improved</w:t>
      </w:r>
      <w:r>
        <w:t xml:space="preserve"> in</w:t>
      </w:r>
      <w:r w:rsidRPr="006316DF">
        <w:t xml:space="preserve"> WHO FC during the tadalafil phase and one patient improved </w:t>
      </w:r>
      <w:r>
        <w:t xml:space="preserve">in </w:t>
      </w:r>
      <w:r w:rsidRPr="006316DF">
        <w:t>WHO FC during the placebo phase. No patient experienced a worsening of WHO FC.</w:t>
      </w:r>
    </w:p>
    <w:p w:rsidR="00FB5052" w:rsidRPr="006316DF" w:rsidRDefault="00B40240" w:rsidP="00BC5A2B">
      <w:pPr>
        <w:pStyle w:val="Caption"/>
      </w:pPr>
      <w:bookmarkStart w:id="119" w:name="_Ref501442286"/>
      <w:bookmarkStart w:id="120" w:name="_Toc512855439"/>
      <w:r>
        <w:lastRenderedPageBreak/>
        <w:t>Table 4.</w:t>
      </w:r>
      <w:r w:rsidR="00AA722D">
        <w:rPr>
          <w:noProof/>
        </w:rPr>
        <w:t>35</w:t>
      </w:r>
      <w:bookmarkEnd w:id="119"/>
      <w:r w:rsidR="00507955">
        <w:rPr>
          <w:noProof/>
        </w:rPr>
        <w:tab/>
      </w:r>
      <w:r w:rsidR="00FB5052" w:rsidRPr="006316DF">
        <w:t xml:space="preserve">The effectiveness of </w:t>
      </w:r>
      <w:r w:rsidR="00FB5052">
        <w:t>PDE-5 inhibitor</w:t>
      </w:r>
      <w:r w:rsidR="004B7C88">
        <w:t>s</w:t>
      </w:r>
      <w:r w:rsidR="00FB5052" w:rsidRPr="006316DF">
        <w:t xml:space="preserve"> compared with placebo in improving WHO FC</w:t>
      </w:r>
      <w:r w:rsidR="00FB5052" w:rsidRPr="00B642BB">
        <w:t xml:space="preserve"> in patients with WHO FC I/II PAH</w:t>
      </w:r>
      <w:bookmarkEnd w:id="120"/>
    </w:p>
    <w:tbl>
      <w:tblPr>
        <w:tblStyle w:val="TableGrid7"/>
        <w:tblW w:w="9634" w:type="dxa"/>
        <w:tblLayout w:type="fixed"/>
        <w:tblLook w:val="04A0" w:firstRow="1" w:lastRow="0" w:firstColumn="1" w:lastColumn="0" w:noHBand="0" w:noVBand="1"/>
        <w:tblCaption w:val="The effectiveness of PDE-5 inhibitors compared with placebo in improving WHO FC in patients with WHO FC I/II PAH"/>
      </w:tblPr>
      <w:tblGrid>
        <w:gridCol w:w="1838"/>
        <w:gridCol w:w="1701"/>
        <w:gridCol w:w="1985"/>
        <w:gridCol w:w="2126"/>
        <w:gridCol w:w="1984"/>
      </w:tblGrid>
      <w:tr w:rsidR="00FB5052" w:rsidRPr="006316DF" w:rsidTr="00237FAE">
        <w:trPr>
          <w:trHeight w:val="336"/>
          <w:tblHeader/>
        </w:trPr>
        <w:tc>
          <w:tcPr>
            <w:tcW w:w="1838" w:type="dxa"/>
            <w:vMerge w:val="restart"/>
            <w:shd w:val="clear" w:color="auto" w:fill="BFBFBF" w:themeFill="background1" w:themeFillShade="BF"/>
          </w:tcPr>
          <w:p w:rsidR="00FB5052" w:rsidRPr="00507955" w:rsidRDefault="00FB5052" w:rsidP="00507955">
            <w:pPr>
              <w:pStyle w:val="Tabletext"/>
              <w:rPr>
                <w:b/>
              </w:rPr>
            </w:pPr>
            <w:r w:rsidRPr="00507955">
              <w:rPr>
                <w:b/>
              </w:rPr>
              <w:t>Study ID</w:t>
            </w:r>
          </w:p>
          <w:p w:rsidR="00FB5052" w:rsidRDefault="00FB5052" w:rsidP="00507955">
            <w:pPr>
              <w:pStyle w:val="Tabletext"/>
              <w:rPr>
                <w:b/>
              </w:rPr>
            </w:pPr>
            <w:r w:rsidRPr="00507955">
              <w:rPr>
                <w:b/>
              </w:rPr>
              <w:t>Follow-up period</w:t>
            </w:r>
          </w:p>
          <w:p w:rsidR="00237FAE" w:rsidRPr="00507955" w:rsidRDefault="00237FAE" w:rsidP="00507955">
            <w:pPr>
              <w:pStyle w:val="Tabletext"/>
              <w:rPr>
                <w:b/>
              </w:rPr>
            </w:pPr>
            <w:r w:rsidRPr="00237FAE">
              <w:rPr>
                <w:b/>
              </w:rPr>
              <w:t>PDE-5 inhibitor</w:t>
            </w:r>
          </w:p>
        </w:tc>
        <w:tc>
          <w:tcPr>
            <w:tcW w:w="1701" w:type="dxa"/>
            <w:vMerge w:val="restart"/>
            <w:shd w:val="clear" w:color="auto" w:fill="BFBFBF" w:themeFill="background1" w:themeFillShade="BF"/>
          </w:tcPr>
          <w:p w:rsidR="00FB5052" w:rsidRPr="00507955" w:rsidRDefault="00FB5052" w:rsidP="00507955">
            <w:pPr>
              <w:pStyle w:val="Tabletext"/>
              <w:rPr>
                <w:b/>
              </w:rPr>
            </w:pPr>
            <w:r w:rsidRPr="00507955">
              <w:rPr>
                <w:b/>
              </w:rPr>
              <w:t>Change in WHO FC</w:t>
            </w:r>
          </w:p>
        </w:tc>
        <w:tc>
          <w:tcPr>
            <w:tcW w:w="4111" w:type="dxa"/>
            <w:gridSpan w:val="2"/>
            <w:shd w:val="clear" w:color="auto" w:fill="BFBFBF" w:themeFill="background1" w:themeFillShade="BF"/>
          </w:tcPr>
          <w:p w:rsidR="00FB5052" w:rsidRPr="00507955" w:rsidRDefault="00FB5052" w:rsidP="00507955">
            <w:pPr>
              <w:pStyle w:val="Tabletext"/>
              <w:jc w:val="center"/>
              <w:rPr>
                <w:b/>
              </w:rPr>
            </w:pPr>
            <w:r w:rsidRPr="00507955">
              <w:rPr>
                <w:b/>
              </w:rPr>
              <w:t>n/N (%)</w:t>
            </w:r>
          </w:p>
        </w:tc>
        <w:tc>
          <w:tcPr>
            <w:tcW w:w="1984" w:type="dxa"/>
            <w:vMerge w:val="restart"/>
            <w:shd w:val="clear" w:color="auto" w:fill="BFBFBF" w:themeFill="background1" w:themeFillShade="BF"/>
          </w:tcPr>
          <w:p w:rsidR="00FB5052" w:rsidRPr="00507955" w:rsidRDefault="00FB5052" w:rsidP="00507955">
            <w:pPr>
              <w:pStyle w:val="Tabletext"/>
              <w:jc w:val="center"/>
              <w:rPr>
                <w:b/>
              </w:rPr>
            </w:pPr>
            <w:r w:rsidRPr="00507955">
              <w:rPr>
                <w:b/>
              </w:rPr>
              <w:t>RR (95% CI)</w:t>
            </w:r>
          </w:p>
        </w:tc>
      </w:tr>
      <w:tr w:rsidR="00FB5052" w:rsidRPr="006316DF" w:rsidTr="00237FAE">
        <w:trPr>
          <w:trHeight w:val="227"/>
          <w:tblHeader/>
        </w:trPr>
        <w:tc>
          <w:tcPr>
            <w:tcW w:w="1838" w:type="dxa"/>
            <w:vMerge/>
            <w:shd w:val="clear" w:color="auto" w:fill="BFBFBF" w:themeFill="background1" w:themeFillShade="BF"/>
          </w:tcPr>
          <w:p w:rsidR="00FB5052" w:rsidRPr="00507955" w:rsidRDefault="00FB5052" w:rsidP="00507955">
            <w:pPr>
              <w:pStyle w:val="Tabletext"/>
            </w:pPr>
          </w:p>
        </w:tc>
        <w:tc>
          <w:tcPr>
            <w:tcW w:w="1701" w:type="dxa"/>
            <w:vMerge/>
            <w:shd w:val="clear" w:color="auto" w:fill="BFBFBF" w:themeFill="background1" w:themeFillShade="BF"/>
          </w:tcPr>
          <w:p w:rsidR="00FB5052" w:rsidRPr="00507955" w:rsidRDefault="00FB5052" w:rsidP="00507955">
            <w:pPr>
              <w:pStyle w:val="Tabletext"/>
            </w:pPr>
          </w:p>
        </w:tc>
        <w:tc>
          <w:tcPr>
            <w:tcW w:w="1985" w:type="dxa"/>
            <w:shd w:val="clear" w:color="auto" w:fill="BFBFBF" w:themeFill="background1" w:themeFillShade="BF"/>
          </w:tcPr>
          <w:p w:rsidR="00FB5052" w:rsidRPr="00507955" w:rsidRDefault="00237FAE" w:rsidP="00507955">
            <w:pPr>
              <w:pStyle w:val="Tabletext"/>
              <w:jc w:val="center"/>
              <w:rPr>
                <w:b/>
              </w:rPr>
            </w:pPr>
            <w:r w:rsidRPr="00507955">
              <w:rPr>
                <w:b/>
              </w:rPr>
              <w:t>PDE-5 inhibitor</w:t>
            </w:r>
          </w:p>
        </w:tc>
        <w:tc>
          <w:tcPr>
            <w:tcW w:w="2126" w:type="dxa"/>
            <w:shd w:val="clear" w:color="auto" w:fill="BFBFBF" w:themeFill="background1" w:themeFillShade="BF"/>
          </w:tcPr>
          <w:p w:rsidR="00FB5052" w:rsidRPr="00507955" w:rsidRDefault="00FB5052" w:rsidP="00507955">
            <w:pPr>
              <w:pStyle w:val="Tabletext"/>
              <w:jc w:val="center"/>
              <w:rPr>
                <w:b/>
              </w:rPr>
            </w:pPr>
            <w:r w:rsidRPr="00507955">
              <w:rPr>
                <w:b/>
              </w:rPr>
              <w:t>Placebo</w:t>
            </w:r>
          </w:p>
        </w:tc>
        <w:tc>
          <w:tcPr>
            <w:tcW w:w="1984" w:type="dxa"/>
            <w:vMerge/>
            <w:shd w:val="clear" w:color="auto" w:fill="BFBFBF" w:themeFill="background1" w:themeFillShade="BF"/>
          </w:tcPr>
          <w:p w:rsidR="00FB5052" w:rsidRPr="00507955" w:rsidRDefault="00FB5052" w:rsidP="00507955">
            <w:pPr>
              <w:pStyle w:val="Tabletext"/>
            </w:pPr>
          </w:p>
        </w:tc>
      </w:tr>
      <w:tr w:rsidR="00FB5052" w:rsidRPr="006316DF" w:rsidTr="00237FAE">
        <w:trPr>
          <w:cantSplit/>
          <w:trHeight w:val="70"/>
        </w:trPr>
        <w:tc>
          <w:tcPr>
            <w:tcW w:w="1838" w:type="dxa"/>
            <w:vMerge w:val="restart"/>
          </w:tcPr>
          <w:p w:rsidR="00FB5052" w:rsidRPr="00507955" w:rsidRDefault="00FB5052" w:rsidP="00237FAE">
            <w:pPr>
              <w:pStyle w:val="Tabletext"/>
              <w:keepNext/>
            </w:pPr>
            <w:r w:rsidRPr="00507955">
              <w:t>Mukhopadhyay 2011</w:t>
            </w:r>
            <w:r w:rsidR="001D34EE" w:rsidRPr="001A1C44">
              <w:rPr>
                <w:noProof/>
                <w:vertAlign w:val="superscript"/>
              </w:rPr>
              <w:t>40</w:t>
            </w:r>
          </w:p>
          <w:p w:rsidR="00FB5052" w:rsidRDefault="00FB5052" w:rsidP="00237FAE">
            <w:pPr>
              <w:pStyle w:val="Tabletext"/>
              <w:keepNext/>
            </w:pPr>
            <w:r w:rsidRPr="00507955">
              <w:t>6 weeks</w:t>
            </w:r>
          </w:p>
          <w:p w:rsidR="00237FAE" w:rsidRPr="00507955" w:rsidRDefault="00237FAE" w:rsidP="00237FAE">
            <w:pPr>
              <w:pStyle w:val="Tabletext"/>
              <w:keepNext/>
            </w:pPr>
            <w:r>
              <w:t>Tadalafil</w:t>
            </w:r>
          </w:p>
        </w:tc>
        <w:tc>
          <w:tcPr>
            <w:tcW w:w="1701" w:type="dxa"/>
          </w:tcPr>
          <w:p w:rsidR="00FB5052" w:rsidRPr="00507955" w:rsidRDefault="00FB5052" w:rsidP="00237FAE">
            <w:pPr>
              <w:pStyle w:val="Tabletext"/>
              <w:keepNext/>
            </w:pPr>
            <w:r w:rsidRPr="00507955">
              <w:t>Improved</w:t>
            </w:r>
          </w:p>
        </w:tc>
        <w:tc>
          <w:tcPr>
            <w:tcW w:w="1985" w:type="dxa"/>
          </w:tcPr>
          <w:p w:rsidR="00FB5052" w:rsidRPr="00507955" w:rsidRDefault="00FB5052" w:rsidP="00237FAE">
            <w:pPr>
              <w:pStyle w:val="Tabletext"/>
              <w:keepNext/>
              <w:jc w:val="center"/>
            </w:pPr>
            <w:r w:rsidRPr="00507955">
              <w:t>1/22 (5%)</w:t>
            </w:r>
          </w:p>
        </w:tc>
        <w:tc>
          <w:tcPr>
            <w:tcW w:w="2126" w:type="dxa"/>
          </w:tcPr>
          <w:p w:rsidR="00FB5052" w:rsidRPr="00507955" w:rsidRDefault="00FB5052" w:rsidP="00237FAE">
            <w:pPr>
              <w:pStyle w:val="Tabletext"/>
              <w:keepNext/>
              <w:jc w:val="center"/>
            </w:pPr>
            <w:r w:rsidRPr="00507955">
              <w:t>1/22 (5%)</w:t>
            </w:r>
          </w:p>
        </w:tc>
        <w:tc>
          <w:tcPr>
            <w:tcW w:w="1984" w:type="dxa"/>
          </w:tcPr>
          <w:p w:rsidR="00FB5052" w:rsidRPr="00507955" w:rsidRDefault="00FB5052" w:rsidP="00237FAE">
            <w:pPr>
              <w:pStyle w:val="Tabletext"/>
              <w:keepNext/>
              <w:jc w:val="center"/>
            </w:pPr>
            <w:r w:rsidRPr="00507955">
              <w:t>1.00 (0.07, 15.00)</w:t>
            </w:r>
          </w:p>
        </w:tc>
      </w:tr>
      <w:tr w:rsidR="00FB5052" w:rsidRPr="006316DF" w:rsidTr="00507955">
        <w:trPr>
          <w:trHeight w:val="70"/>
        </w:trPr>
        <w:tc>
          <w:tcPr>
            <w:tcW w:w="1838" w:type="dxa"/>
            <w:vMerge/>
          </w:tcPr>
          <w:p w:rsidR="00FB5052" w:rsidRPr="00507955" w:rsidRDefault="00FB5052" w:rsidP="00507955">
            <w:pPr>
              <w:pStyle w:val="Tabletext"/>
            </w:pPr>
          </w:p>
        </w:tc>
        <w:tc>
          <w:tcPr>
            <w:tcW w:w="1701" w:type="dxa"/>
          </w:tcPr>
          <w:p w:rsidR="00FB5052" w:rsidRPr="00507955" w:rsidRDefault="00FB5052" w:rsidP="00507955">
            <w:pPr>
              <w:pStyle w:val="Tabletext"/>
            </w:pPr>
            <w:r w:rsidRPr="00507955">
              <w:t>Worsened</w:t>
            </w:r>
          </w:p>
        </w:tc>
        <w:tc>
          <w:tcPr>
            <w:tcW w:w="1985" w:type="dxa"/>
          </w:tcPr>
          <w:p w:rsidR="00FB5052" w:rsidRPr="00507955" w:rsidRDefault="00FB5052" w:rsidP="00507955">
            <w:pPr>
              <w:pStyle w:val="Tabletext"/>
              <w:jc w:val="center"/>
            </w:pPr>
            <w:r w:rsidRPr="00507955">
              <w:t>0/22 (0%)</w:t>
            </w:r>
          </w:p>
        </w:tc>
        <w:tc>
          <w:tcPr>
            <w:tcW w:w="2126" w:type="dxa"/>
          </w:tcPr>
          <w:p w:rsidR="00FB5052" w:rsidRPr="00507955" w:rsidRDefault="00FB5052" w:rsidP="00507955">
            <w:pPr>
              <w:pStyle w:val="Tabletext"/>
              <w:jc w:val="center"/>
            </w:pPr>
            <w:r w:rsidRPr="00507955">
              <w:t>0/22 (0%)</w:t>
            </w:r>
          </w:p>
        </w:tc>
        <w:tc>
          <w:tcPr>
            <w:tcW w:w="1984" w:type="dxa"/>
          </w:tcPr>
          <w:p w:rsidR="00FB5052" w:rsidRPr="00507955" w:rsidRDefault="00FB5052" w:rsidP="00507955">
            <w:pPr>
              <w:pStyle w:val="Tabletext"/>
              <w:jc w:val="center"/>
            </w:pPr>
            <w:r w:rsidRPr="00507955">
              <w:t>Not calculable</w:t>
            </w:r>
          </w:p>
        </w:tc>
      </w:tr>
    </w:tbl>
    <w:p w:rsidR="000F6EFC" w:rsidRPr="006316DF" w:rsidRDefault="00FB5052" w:rsidP="00507955">
      <w:pPr>
        <w:pStyle w:val="Tablenote"/>
      </w:pPr>
      <w:r w:rsidRPr="006316DF">
        <w:t xml:space="preserve">CI = confidence interval; FC = functional class; n = number of events; N = number of patients; </w:t>
      </w:r>
      <w:r w:rsidR="000F6EFC" w:rsidRPr="009E3B52">
        <w:t xml:space="preserve">PAH = pulmonary arterial hypertension; </w:t>
      </w:r>
      <w:r>
        <w:t>PDE-5 = phosphodiesterase type 5;</w:t>
      </w:r>
      <w:r w:rsidRPr="006316DF">
        <w:t xml:space="preserve"> RR = relative risk; WHO = World Health </w:t>
      </w:r>
      <w:r>
        <w:t>Organization</w:t>
      </w:r>
    </w:p>
    <w:p w:rsidR="00FB5052" w:rsidRPr="006316DF" w:rsidRDefault="00EE09B2" w:rsidP="00FB5052">
      <w:pPr>
        <w:pStyle w:val="Heading5"/>
      </w:pPr>
      <w:r>
        <w:t>e</w:t>
      </w:r>
      <w:r w:rsidR="0077344D">
        <w:t>.</w:t>
      </w:r>
      <w:r>
        <w:tab/>
      </w:r>
      <w:r w:rsidR="00B603BC">
        <w:t>Change in 6MWD from baseline</w:t>
      </w:r>
    </w:p>
    <w:p w:rsidR="00FB5052" w:rsidRPr="006316DF" w:rsidRDefault="00FB5052" w:rsidP="00FB5052">
      <w:r w:rsidRPr="006316DF">
        <w:t>The PHIRST and SUPER-1 trials reported on the change in 6MWD for patients with WHO FC I/II PAH. The patients in the PHIRST trial being treated with tadalafil showed a placebo-adjusted improvement of 10.</w:t>
      </w:r>
      <w:r w:rsidR="00973227" w:rsidRPr="006316DF">
        <w:t>8</w:t>
      </w:r>
      <w:r w:rsidR="00973227">
        <w:t> </w:t>
      </w:r>
      <w:r w:rsidRPr="006316DF">
        <w:t>m over the 16-week trial period (</w:t>
      </w:r>
      <w:r w:rsidR="00AA722D">
        <w:t xml:space="preserve">Table </w:t>
      </w:r>
      <w:r w:rsidR="00AA722D">
        <w:rPr>
          <w:noProof/>
        </w:rPr>
        <w:t>4.36</w:t>
      </w:r>
      <w:r w:rsidRPr="006316DF">
        <w:t xml:space="preserve">). </w:t>
      </w:r>
      <w:r>
        <w:t xml:space="preserve">Although this distance is </w:t>
      </w:r>
      <w:r w:rsidR="007E658F">
        <w:t>not</w:t>
      </w:r>
      <w:r>
        <w:t xml:space="preserve"> clinically relevant, the importance of this change cannot be determined in the absence of reported baseline levels of 6MWD. </w:t>
      </w:r>
      <w:r w:rsidRPr="006316DF">
        <w:t xml:space="preserve">The placebo-adjusted improvement for WHO FC I/II PAH patients treated with sildenafil at the end of the 12-week trial period in the SUPER-1 trial was </w:t>
      </w:r>
      <w:r>
        <w:t>clinically important</w:t>
      </w:r>
      <w:r w:rsidRPr="006316DF">
        <w:t xml:space="preserve"> (about 50</w:t>
      </w:r>
      <w:r w:rsidR="00DB6ACB">
        <w:t> </w:t>
      </w:r>
      <w:r w:rsidRPr="00D224CF">
        <w:t>m</w:t>
      </w:r>
      <w:r>
        <w:t xml:space="preserve">; </w:t>
      </w:r>
      <w:r w:rsidR="00AA722D">
        <w:t xml:space="preserve">Table </w:t>
      </w:r>
      <w:r w:rsidR="00AA722D">
        <w:rPr>
          <w:noProof/>
        </w:rPr>
        <w:t>4.36</w:t>
      </w:r>
      <w:r w:rsidRPr="006316DF">
        <w:t>,</w:t>
      </w:r>
      <w:r>
        <w:t xml:space="preserve"> </w:t>
      </w:r>
      <w:r w:rsidR="00AA722D">
        <w:t xml:space="preserve">Figure </w:t>
      </w:r>
      <w:r w:rsidR="00AA722D">
        <w:rPr>
          <w:noProof/>
        </w:rPr>
        <w:t>4.6</w:t>
      </w:r>
      <w:r w:rsidRPr="006316DF">
        <w:t>).</w:t>
      </w:r>
    </w:p>
    <w:p w:rsidR="00FB5052" w:rsidRDefault="00B40240" w:rsidP="00BC5A2B">
      <w:pPr>
        <w:pStyle w:val="Caption"/>
      </w:pPr>
      <w:bookmarkStart w:id="121" w:name="_Ref500942983"/>
      <w:bookmarkStart w:id="122" w:name="_Toc512855440"/>
      <w:r>
        <w:t>Table 4.</w:t>
      </w:r>
      <w:r w:rsidR="00AA722D">
        <w:rPr>
          <w:noProof/>
        </w:rPr>
        <w:t>36</w:t>
      </w:r>
      <w:bookmarkEnd w:id="121"/>
      <w:r w:rsidR="00507955">
        <w:rPr>
          <w:noProof/>
        </w:rPr>
        <w:tab/>
      </w:r>
      <w:r w:rsidR="00FB5052" w:rsidRPr="006316DF">
        <w:t xml:space="preserve">The effectiveness of </w:t>
      </w:r>
      <w:r w:rsidR="00FB5052">
        <w:t>PDE-5 inhibitor</w:t>
      </w:r>
      <w:r w:rsidR="004B7C88">
        <w:t>s</w:t>
      </w:r>
      <w:r w:rsidR="00FB5052" w:rsidRPr="006316DF">
        <w:t xml:space="preserve"> </w:t>
      </w:r>
      <w:r w:rsidR="00FB5052">
        <w:t>compared with</w:t>
      </w:r>
      <w:r w:rsidR="00FB5052" w:rsidRPr="006316DF">
        <w:t xml:space="preserve"> placebo in improving 6MWD</w:t>
      </w:r>
      <w:r w:rsidR="00FB5052" w:rsidRPr="00B642BB">
        <w:t xml:space="preserve"> in patients with WHO FC I/II PAH</w:t>
      </w:r>
      <w:bookmarkEnd w:id="122"/>
    </w:p>
    <w:tbl>
      <w:tblPr>
        <w:tblStyle w:val="TableGrid"/>
        <w:tblW w:w="9634" w:type="dxa"/>
        <w:tblLayout w:type="fixed"/>
        <w:tblLook w:val="04A0" w:firstRow="1" w:lastRow="0" w:firstColumn="1" w:lastColumn="0" w:noHBand="0" w:noVBand="1"/>
        <w:tblCaption w:val="The effectiveness of PDE-5 inhibitors compared with placebo in improving 6MWD in patients with WHO FC I/II PAH"/>
      </w:tblPr>
      <w:tblGrid>
        <w:gridCol w:w="1271"/>
        <w:gridCol w:w="1276"/>
        <w:gridCol w:w="1205"/>
        <w:gridCol w:w="1205"/>
        <w:gridCol w:w="1701"/>
        <w:gridCol w:w="1701"/>
        <w:gridCol w:w="1275"/>
      </w:tblGrid>
      <w:tr w:rsidR="00FB5052" w:rsidTr="00237FAE">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FB5052" w:rsidRPr="00507955" w:rsidRDefault="00FB5052" w:rsidP="00507955">
            <w:pPr>
              <w:pStyle w:val="Tabletext"/>
              <w:rPr>
                <w:b/>
              </w:rPr>
            </w:pPr>
            <w:r w:rsidRPr="00507955">
              <w:rPr>
                <w:b/>
              </w:rPr>
              <w:t>Study ID</w:t>
            </w:r>
          </w:p>
        </w:tc>
        <w:tc>
          <w:tcPr>
            <w:tcW w:w="1276" w:type="dxa"/>
            <w:vMerge w:val="restart"/>
            <w:shd w:val="clear" w:color="auto" w:fill="BFBFBF" w:themeFill="background1" w:themeFillShade="BF"/>
          </w:tcPr>
          <w:p w:rsidR="00FB5052" w:rsidRPr="00507955" w:rsidRDefault="00237FAE" w:rsidP="00507955">
            <w:pPr>
              <w:pStyle w:val="Tabletext"/>
              <w:rPr>
                <w:b/>
              </w:rPr>
            </w:pPr>
            <w:r>
              <w:rPr>
                <w:b/>
              </w:rPr>
              <w:t>PDE-5 inhibitor</w:t>
            </w:r>
          </w:p>
          <w:p w:rsidR="00FB5052" w:rsidRPr="00507955" w:rsidRDefault="00FB5052" w:rsidP="00507955">
            <w:pPr>
              <w:pStyle w:val="Tabletext"/>
              <w:rPr>
                <w:b/>
              </w:rPr>
            </w:pPr>
            <w:r w:rsidRPr="00507955">
              <w:rPr>
                <w:b/>
              </w:rPr>
              <w:t>Follow-up period</w:t>
            </w:r>
          </w:p>
        </w:tc>
        <w:tc>
          <w:tcPr>
            <w:tcW w:w="2410" w:type="dxa"/>
            <w:gridSpan w:val="2"/>
            <w:shd w:val="clear" w:color="auto" w:fill="BFBFBF" w:themeFill="background1" w:themeFillShade="BF"/>
          </w:tcPr>
          <w:p w:rsidR="00FB5052" w:rsidRPr="00507955" w:rsidRDefault="00FB5052" w:rsidP="00507955">
            <w:pPr>
              <w:pStyle w:val="Tabletext"/>
              <w:jc w:val="center"/>
              <w:rPr>
                <w:b/>
              </w:rPr>
            </w:pPr>
            <w:r w:rsidRPr="00507955">
              <w:rPr>
                <w:b/>
              </w:rPr>
              <w:t xml:space="preserve">Mean ± SD baseline 6MWD, </w:t>
            </w:r>
            <w:r w:rsidR="00AE77DC" w:rsidRPr="00887161">
              <w:rPr>
                <w:b/>
              </w:rPr>
              <w:t>met</w:t>
            </w:r>
            <w:r w:rsidR="00AE77DC">
              <w:rPr>
                <w:b/>
              </w:rPr>
              <w:t>e</w:t>
            </w:r>
            <w:r w:rsidR="00AE77DC" w:rsidRPr="00887161">
              <w:rPr>
                <w:b/>
              </w:rPr>
              <w:t>rs</w:t>
            </w:r>
          </w:p>
        </w:tc>
        <w:tc>
          <w:tcPr>
            <w:tcW w:w="3402" w:type="dxa"/>
            <w:gridSpan w:val="2"/>
            <w:shd w:val="clear" w:color="auto" w:fill="BFBFBF" w:themeFill="background1" w:themeFillShade="BF"/>
          </w:tcPr>
          <w:p w:rsidR="00FB5052" w:rsidRPr="00507955" w:rsidRDefault="00FB5052" w:rsidP="00507955">
            <w:pPr>
              <w:pStyle w:val="Tabletext"/>
              <w:jc w:val="center"/>
              <w:rPr>
                <w:b/>
              </w:rPr>
            </w:pPr>
            <w:r w:rsidRPr="00507955">
              <w:rPr>
                <w:b/>
              </w:rPr>
              <w:t>Mean</w:t>
            </w:r>
            <w:r w:rsidR="00AE77DC">
              <w:rPr>
                <w:b/>
              </w:rPr>
              <w:t xml:space="preserve"> ± SD</w:t>
            </w:r>
            <w:r w:rsidRPr="00507955">
              <w:rPr>
                <w:b/>
              </w:rPr>
              <w:t xml:space="preserve"> change from baseline (95% CI), </w:t>
            </w:r>
            <w:r w:rsidR="00AE77DC" w:rsidRPr="00AE77DC">
              <w:rPr>
                <w:b/>
              </w:rPr>
              <w:t>meters</w:t>
            </w:r>
          </w:p>
        </w:tc>
        <w:tc>
          <w:tcPr>
            <w:tcW w:w="1275" w:type="dxa"/>
            <w:vMerge w:val="restart"/>
            <w:shd w:val="clear" w:color="auto" w:fill="BFBFBF" w:themeFill="background1" w:themeFillShade="BF"/>
          </w:tcPr>
          <w:p w:rsidR="00FB5052" w:rsidRPr="00507955" w:rsidRDefault="00FB5052" w:rsidP="000F6EFC">
            <w:pPr>
              <w:pStyle w:val="Tabletext"/>
              <w:jc w:val="center"/>
              <w:rPr>
                <w:b/>
              </w:rPr>
            </w:pPr>
            <w:r w:rsidRPr="00507955">
              <w:rPr>
                <w:b/>
              </w:rPr>
              <w:t>Mean d</w:t>
            </w:r>
            <w:r w:rsidRPr="00F73CBC">
              <w:rPr>
                <w:b/>
              </w:rPr>
              <w:t>ifference</w:t>
            </w:r>
            <w:r w:rsidRPr="00507955">
              <w:rPr>
                <w:b/>
              </w:rPr>
              <w:t xml:space="preserve">, </w:t>
            </w:r>
            <w:r w:rsidR="00AE77DC" w:rsidRPr="00AE77DC">
              <w:rPr>
                <w:b/>
              </w:rPr>
              <w:t>meters</w:t>
            </w:r>
          </w:p>
        </w:tc>
      </w:tr>
      <w:tr w:rsidR="00FB5052" w:rsidTr="00237FAE">
        <w:tc>
          <w:tcPr>
            <w:tcW w:w="1271" w:type="dxa"/>
            <w:vMerge/>
          </w:tcPr>
          <w:p w:rsidR="00FB5052" w:rsidRDefault="00FB5052" w:rsidP="00507955">
            <w:pPr>
              <w:pStyle w:val="Tabletext"/>
            </w:pPr>
          </w:p>
        </w:tc>
        <w:tc>
          <w:tcPr>
            <w:tcW w:w="1276" w:type="dxa"/>
            <w:vMerge/>
          </w:tcPr>
          <w:p w:rsidR="00FB5052" w:rsidRDefault="00FB5052" w:rsidP="00507955">
            <w:pPr>
              <w:pStyle w:val="Tabletext"/>
            </w:pPr>
          </w:p>
        </w:tc>
        <w:tc>
          <w:tcPr>
            <w:tcW w:w="1205" w:type="dxa"/>
            <w:shd w:val="clear" w:color="auto" w:fill="BFBFBF" w:themeFill="background1" w:themeFillShade="BF"/>
          </w:tcPr>
          <w:p w:rsidR="00FB5052" w:rsidRPr="00507955" w:rsidRDefault="00FB5052" w:rsidP="00507955">
            <w:pPr>
              <w:pStyle w:val="Tabletext"/>
              <w:jc w:val="center"/>
              <w:rPr>
                <w:b/>
              </w:rPr>
            </w:pPr>
            <w:r w:rsidRPr="00507955">
              <w:rPr>
                <w:b/>
              </w:rPr>
              <w:t>PDE-5i</w:t>
            </w:r>
          </w:p>
        </w:tc>
        <w:tc>
          <w:tcPr>
            <w:tcW w:w="1205" w:type="dxa"/>
            <w:shd w:val="clear" w:color="auto" w:fill="BFBFBF" w:themeFill="background1" w:themeFillShade="BF"/>
          </w:tcPr>
          <w:p w:rsidR="00FB5052" w:rsidRPr="00507955" w:rsidRDefault="00FB5052" w:rsidP="00507955">
            <w:pPr>
              <w:pStyle w:val="Tabletext"/>
              <w:jc w:val="center"/>
              <w:rPr>
                <w:b/>
              </w:rPr>
            </w:pPr>
            <w:r w:rsidRPr="00507955">
              <w:rPr>
                <w:b/>
              </w:rPr>
              <w:t>Placebo</w:t>
            </w:r>
          </w:p>
        </w:tc>
        <w:tc>
          <w:tcPr>
            <w:tcW w:w="1701" w:type="dxa"/>
            <w:shd w:val="clear" w:color="auto" w:fill="BFBFBF" w:themeFill="background1" w:themeFillShade="BF"/>
          </w:tcPr>
          <w:p w:rsidR="00FB5052" w:rsidRPr="00507955" w:rsidRDefault="00FB5052" w:rsidP="00507955">
            <w:pPr>
              <w:pStyle w:val="Tabletext"/>
              <w:jc w:val="center"/>
              <w:rPr>
                <w:b/>
              </w:rPr>
            </w:pPr>
            <w:r w:rsidRPr="00507955">
              <w:rPr>
                <w:b/>
              </w:rPr>
              <w:t>PDE-5i</w:t>
            </w:r>
          </w:p>
        </w:tc>
        <w:tc>
          <w:tcPr>
            <w:tcW w:w="1701" w:type="dxa"/>
            <w:shd w:val="clear" w:color="auto" w:fill="BFBFBF" w:themeFill="background1" w:themeFillShade="BF"/>
          </w:tcPr>
          <w:p w:rsidR="00FB5052" w:rsidRPr="00507955" w:rsidRDefault="00FB5052" w:rsidP="00507955">
            <w:pPr>
              <w:pStyle w:val="Tabletext"/>
              <w:jc w:val="center"/>
              <w:rPr>
                <w:b/>
              </w:rPr>
            </w:pPr>
            <w:r w:rsidRPr="00507955">
              <w:rPr>
                <w:b/>
              </w:rPr>
              <w:t>Placebo</w:t>
            </w:r>
          </w:p>
        </w:tc>
        <w:tc>
          <w:tcPr>
            <w:tcW w:w="1275" w:type="dxa"/>
            <w:vMerge/>
          </w:tcPr>
          <w:p w:rsidR="00FB5052" w:rsidRDefault="00FB5052" w:rsidP="00507955">
            <w:pPr>
              <w:pStyle w:val="Tabletext"/>
            </w:pPr>
          </w:p>
        </w:tc>
      </w:tr>
      <w:tr w:rsidR="00FB5052" w:rsidTr="00237FAE">
        <w:tc>
          <w:tcPr>
            <w:tcW w:w="1271" w:type="dxa"/>
          </w:tcPr>
          <w:p w:rsidR="00FB5052" w:rsidRPr="00507955" w:rsidRDefault="00FB5052" w:rsidP="001D34EE">
            <w:pPr>
              <w:pStyle w:val="Tabletext"/>
            </w:pPr>
            <w:r w:rsidRPr="00507955">
              <w:t>PHIRST</w:t>
            </w:r>
            <w:r w:rsidR="001D34EE" w:rsidRPr="001A1C44">
              <w:rPr>
                <w:noProof/>
                <w:vertAlign w:val="superscript"/>
              </w:rPr>
              <w:t>45</w:t>
            </w:r>
          </w:p>
        </w:tc>
        <w:tc>
          <w:tcPr>
            <w:tcW w:w="1276" w:type="dxa"/>
          </w:tcPr>
          <w:p w:rsidR="00FB5052" w:rsidRPr="00507955" w:rsidRDefault="00FB5052" w:rsidP="00507955">
            <w:pPr>
              <w:pStyle w:val="Tabletext"/>
            </w:pPr>
            <w:r w:rsidRPr="00507955">
              <w:t>Tadalafil</w:t>
            </w:r>
          </w:p>
          <w:p w:rsidR="00FB5052" w:rsidRPr="00507955" w:rsidRDefault="00FB5052" w:rsidP="00507955">
            <w:pPr>
              <w:pStyle w:val="Tabletext"/>
            </w:pPr>
            <w:r w:rsidRPr="00507955">
              <w:t>16 weeks</w:t>
            </w:r>
          </w:p>
        </w:tc>
        <w:tc>
          <w:tcPr>
            <w:tcW w:w="1205" w:type="dxa"/>
          </w:tcPr>
          <w:p w:rsidR="00FB5052" w:rsidRPr="00507955" w:rsidRDefault="00FB5052" w:rsidP="00507955">
            <w:pPr>
              <w:pStyle w:val="Tabletext"/>
              <w:jc w:val="center"/>
            </w:pPr>
            <w:r w:rsidRPr="00507955">
              <w:t>NR</w:t>
            </w:r>
          </w:p>
        </w:tc>
        <w:tc>
          <w:tcPr>
            <w:tcW w:w="1205" w:type="dxa"/>
          </w:tcPr>
          <w:p w:rsidR="00FB5052" w:rsidRPr="00507955" w:rsidRDefault="00FB5052" w:rsidP="00507955">
            <w:pPr>
              <w:pStyle w:val="Tabletext"/>
              <w:jc w:val="center"/>
            </w:pPr>
            <w:r w:rsidRPr="00507955">
              <w:t>NR</w:t>
            </w:r>
          </w:p>
        </w:tc>
        <w:tc>
          <w:tcPr>
            <w:tcW w:w="1701" w:type="dxa"/>
          </w:tcPr>
          <w:p w:rsidR="00FB5052" w:rsidRPr="00507955" w:rsidRDefault="00FB5052" w:rsidP="00507955">
            <w:pPr>
              <w:pStyle w:val="Tabletext"/>
              <w:jc w:val="center"/>
            </w:pPr>
            <w:r w:rsidRPr="00507955">
              <w:t>n=10</w:t>
            </w:r>
          </w:p>
          <w:p w:rsidR="00FB5052" w:rsidRPr="00507955" w:rsidRDefault="00FB5052" w:rsidP="00085667">
            <w:pPr>
              <w:pStyle w:val="Tabletext"/>
              <w:jc w:val="center"/>
            </w:pPr>
            <w:r w:rsidRPr="00507955">
              <w:t>23.6</w:t>
            </w:r>
            <w:r w:rsidR="00085667">
              <w:t xml:space="preserve"> </w:t>
            </w:r>
            <w:r w:rsidRPr="00507955">
              <w:t>(17.8, 49.5)</w:t>
            </w:r>
          </w:p>
        </w:tc>
        <w:tc>
          <w:tcPr>
            <w:tcW w:w="1701" w:type="dxa"/>
          </w:tcPr>
          <w:p w:rsidR="00FB5052" w:rsidRPr="00507955" w:rsidRDefault="00FB5052" w:rsidP="00507955">
            <w:pPr>
              <w:pStyle w:val="Tabletext"/>
              <w:jc w:val="center"/>
            </w:pPr>
            <w:r w:rsidRPr="00507955">
              <w:t>n=11</w:t>
            </w:r>
          </w:p>
          <w:p w:rsidR="00FB5052" w:rsidRPr="00507955" w:rsidRDefault="00FB5052" w:rsidP="00085667">
            <w:pPr>
              <w:pStyle w:val="Tabletext"/>
              <w:jc w:val="center"/>
            </w:pPr>
            <w:r w:rsidRPr="00507955">
              <w:t>12.8</w:t>
            </w:r>
            <w:r w:rsidR="00085667">
              <w:t xml:space="preserve"> </w:t>
            </w:r>
            <w:r w:rsidRPr="00507955">
              <w:t>(–34.8, 38.1)</w:t>
            </w:r>
          </w:p>
        </w:tc>
        <w:tc>
          <w:tcPr>
            <w:tcW w:w="1275" w:type="dxa"/>
          </w:tcPr>
          <w:p w:rsidR="00FB5052" w:rsidRPr="00507955" w:rsidRDefault="00FB5052" w:rsidP="00507955">
            <w:pPr>
              <w:pStyle w:val="Tabletext"/>
              <w:jc w:val="center"/>
            </w:pPr>
          </w:p>
          <w:p w:rsidR="00FB5052" w:rsidRPr="00507955" w:rsidRDefault="00FB5052" w:rsidP="00507955">
            <w:pPr>
              <w:pStyle w:val="Tabletext"/>
              <w:jc w:val="center"/>
            </w:pPr>
            <w:r w:rsidRPr="00507955">
              <w:t>10.8</w:t>
            </w:r>
          </w:p>
        </w:tc>
      </w:tr>
      <w:tr w:rsidR="00FB5052" w:rsidTr="00237FAE">
        <w:tc>
          <w:tcPr>
            <w:tcW w:w="1271" w:type="dxa"/>
          </w:tcPr>
          <w:p w:rsidR="00FB5052" w:rsidRPr="00507955" w:rsidRDefault="00FB5052" w:rsidP="00507955">
            <w:pPr>
              <w:pStyle w:val="Tabletext"/>
            </w:pPr>
            <w:r w:rsidRPr="00507955">
              <w:t>SUPER-1</w:t>
            </w:r>
            <w:r w:rsidRPr="008F58B5">
              <w:rPr>
                <w:vertAlign w:val="superscript"/>
              </w:rPr>
              <w:t>a</w:t>
            </w:r>
            <w:r w:rsidRPr="00507955">
              <w:t>, November 2006 submission</w:t>
            </w:r>
          </w:p>
        </w:tc>
        <w:tc>
          <w:tcPr>
            <w:tcW w:w="1276" w:type="dxa"/>
          </w:tcPr>
          <w:p w:rsidR="00FB5052" w:rsidRPr="00507955" w:rsidRDefault="00FB5052" w:rsidP="00507955">
            <w:pPr>
              <w:pStyle w:val="Tabletext"/>
            </w:pPr>
            <w:r w:rsidRPr="00507955">
              <w:t>Sildenafil</w:t>
            </w:r>
          </w:p>
          <w:p w:rsidR="00FB5052" w:rsidRPr="00507955" w:rsidRDefault="00FB5052" w:rsidP="00507955">
            <w:pPr>
              <w:pStyle w:val="Tabletext"/>
            </w:pPr>
            <w:r w:rsidRPr="00507955">
              <w:t>12 weeks</w:t>
            </w:r>
          </w:p>
        </w:tc>
        <w:tc>
          <w:tcPr>
            <w:tcW w:w="1205" w:type="dxa"/>
          </w:tcPr>
          <w:p w:rsidR="00FB5052" w:rsidRPr="00A17B9D" w:rsidRDefault="00A17B9D" w:rsidP="00507955">
            <w:pPr>
              <w:pStyle w:val="Tabletext"/>
              <w:jc w:val="center"/>
              <w:rPr>
                <w:highlight w:val="black"/>
              </w:rPr>
            </w:pPr>
            <w:r>
              <w:rPr>
                <w:noProof/>
                <w:color w:val="000000"/>
                <w:highlight w:val="black"/>
              </w:rPr>
              <w:t>'''''''''''''</w:t>
            </w:r>
          </w:p>
          <w:p w:rsidR="00FB5052" w:rsidRPr="00A17B9D" w:rsidRDefault="00A17B9D" w:rsidP="00507955">
            <w:pPr>
              <w:pStyle w:val="Tabletext"/>
              <w:jc w:val="center"/>
              <w:rPr>
                <w:highlight w:val="black"/>
              </w:rPr>
            </w:pPr>
            <w:r>
              <w:rPr>
                <w:noProof/>
                <w:color w:val="000000"/>
                <w:highlight w:val="black"/>
              </w:rPr>
              <w:t>''''''''''''''' ''' '''''''''''</w:t>
            </w:r>
          </w:p>
        </w:tc>
        <w:tc>
          <w:tcPr>
            <w:tcW w:w="1205" w:type="dxa"/>
          </w:tcPr>
          <w:p w:rsidR="00FB5052" w:rsidRPr="00A17B9D" w:rsidRDefault="00A17B9D" w:rsidP="00507955">
            <w:pPr>
              <w:pStyle w:val="Tabletext"/>
              <w:jc w:val="center"/>
              <w:rPr>
                <w:highlight w:val="black"/>
              </w:rPr>
            </w:pPr>
            <w:r>
              <w:rPr>
                <w:noProof/>
                <w:color w:val="000000"/>
                <w:highlight w:val="black"/>
              </w:rPr>
              <w:t>'''''''''''</w:t>
            </w:r>
          </w:p>
          <w:p w:rsidR="00FB5052" w:rsidRPr="00A17B9D" w:rsidRDefault="00A17B9D" w:rsidP="00507955">
            <w:pPr>
              <w:pStyle w:val="Tabletext"/>
              <w:jc w:val="center"/>
              <w:rPr>
                <w:highlight w:val="black"/>
              </w:rPr>
            </w:pPr>
            <w:r>
              <w:rPr>
                <w:noProof/>
                <w:color w:val="000000"/>
                <w:highlight w:val="black"/>
              </w:rPr>
              <w:t>'''''''''''''' ''' '''''''''''</w:t>
            </w:r>
          </w:p>
        </w:tc>
        <w:tc>
          <w:tcPr>
            <w:tcW w:w="1701" w:type="dxa"/>
          </w:tcPr>
          <w:p w:rsidR="00FB5052" w:rsidRPr="00A17B9D" w:rsidRDefault="00A17B9D" w:rsidP="00507955">
            <w:pPr>
              <w:pStyle w:val="Tabletext"/>
              <w:jc w:val="center"/>
              <w:rPr>
                <w:highlight w:val="black"/>
              </w:rPr>
            </w:pPr>
            <w:r>
              <w:rPr>
                <w:noProof/>
                <w:color w:val="000000"/>
                <w:highlight w:val="black"/>
              </w:rPr>
              <w:t>'''''''''''</w:t>
            </w:r>
          </w:p>
          <w:p w:rsidR="00FB5052" w:rsidRPr="00A17B9D" w:rsidRDefault="00A17B9D" w:rsidP="00085667">
            <w:pPr>
              <w:pStyle w:val="Tabletext"/>
              <w:jc w:val="center"/>
              <w:rPr>
                <w:highlight w:val="black"/>
              </w:rPr>
            </w:pPr>
            <w:r>
              <w:rPr>
                <w:noProof/>
                <w:color w:val="000000"/>
                <w:highlight w:val="black"/>
              </w:rPr>
              <w:t>''''''''''' ''' '''''''''''' '''''''''''''' ''''''''''''</w:t>
            </w:r>
          </w:p>
        </w:tc>
        <w:tc>
          <w:tcPr>
            <w:tcW w:w="1701" w:type="dxa"/>
          </w:tcPr>
          <w:p w:rsidR="00FB5052" w:rsidRPr="00A17B9D" w:rsidRDefault="00A17B9D" w:rsidP="00507955">
            <w:pPr>
              <w:pStyle w:val="Tabletext"/>
              <w:jc w:val="center"/>
              <w:rPr>
                <w:highlight w:val="black"/>
              </w:rPr>
            </w:pPr>
            <w:r>
              <w:rPr>
                <w:noProof/>
                <w:color w:val="000000"/>
                <w:highlight w:val="black"/>
              </w:rPr>
              <w:t>'''''''''''</w:t>
            </w:r>
          </w:p>
          <w:p w:rsidR="00FB5052" w:rsidRPr="00A17B9D" w:rsidRDefault="00A17B9D" w:rsidP="00085667">
            <w:pPr>
              <w:pStyle w:val="Tabletext"/>
              <w:jc w:val="center"/>
              <w:rPr>
                <w:highlight w:val="black"/>
              </w:rPr>
            </w:pPr>
            <w:r>
              <w:rPr>
                <w:noProof/>
                <w:color w:val="000000"/>
                <w:highlight w:val="black"/>
              </w:rPr>
              <w:t>'''''''' ''' ''''''''''' '''''''''''' ''''''''''''</w:t>
            </w:r>
          </w:p>
        </w:tc>
        <w:tc>
          <w:tcPr>
            <w:tcW w:w="1275" w:type="dxa"/>
          </w:tcPr>
          <w:p w:rsidR="00FB5052" w:rsidRPr="00507955" w:rsidRDefault="00FB5052" w:rsidP="00507955">
            <w:pPr>
              <w:pStyle w:val="Tabletext"/>
              <w:jc w:val="center"/>
            </w:pPr>
          </w:p>
          <w:p w:rsidR="00FB5052" w:rsidRPr="00A17B9D" w:rsidRDefault="00A17B9D" w:rsidP="00507955">
            <w:pPr>
              <w:pStyle w:val="Tabletext"/>
              <w:jc w:val="center"/>
              <w:rPr>
                <w:highlight w:val="black"/>
              </w:rPr>
            </w:pPr>
            <w:r>
              <w:rPr>
                <w:noProof/>
                <w:color w:val="000000"/>
                <w:highlight w:val="black"/>
              </w:rPr>
              <w:t>'''''''''</w:t>
            </w:r>
          </w:p>
        </w:tc>
      </w:tr>
    </w:tbl>
    <w:p w:rsidR="008F58B5" w:rsidRDefault="008F58B5" w:rsidP="008F58B5">
      <w:pPr>
        <w:pStyle w:val="Tablenote"/>
      </w:pPr>
      <w:r>
        <w:rPr>
          <w:vertAlign w:val="superscript"/>
        </w:rPr>
        <w:t>a</w:t>
      </w:r>
      <w:r>
        <w:t xml:space="preserve"> </w:t>
      </w:r>
      <w:r w:rsidRPr="006316DF">
        <w:t>One patient in the placebo group was omitted from this analysis because they were WHO FC I, all other patients were WHO FC II</w:t>
      </w:r>
    </w:p>
    <w:p w:rsidR="000F6EFC" w:rsidRPr="006316DF" w:rsidRDefault="000F6EFC" w:rsidP="00507955">
      <w:pPr>
        <w:pStyle w:val="Tablenote"/>
      </w:pPr>
      <w:r w:rsidRPr="009E3B52">
        <w:t xml:space="preserve">6MWD = 6-minute </w:t>
      </w:r>
      <w:r w:rsidR="0082368E">
        <w:t>walk distance</w:t>
      </w:r>
      <w:r w:rsidRPr="009E3B52">
        <w:t xml:space="preserve">; </w:t>
      </w:r>
      <w:r w:rsidR="00FB5052" w:rsidRPr="00D53E66">
        <w:t>CI = confidence interval; FC = functional class; N</w:t>
      </w:r>
      <w:r w:rsidR="00FB5052">
        <w:t>R</w:t>
      </w:r>
      <w:r w:rsidR="00FB5052" w:rsidRPr="00D53E66">
        <w:t xml:space="preserve"> = </w:t>
      </w:r>
      <w:r w:rsidR="00FB5052">
        <w:t>not reported</w:t>
      </w:r>
      <w:r w:rsidR="00FB5052" w:rsidRPr="00D53E66">
        <w:t xml:space="preserve">; </w:t>
      </w:r>
      <w:r w:rsidRPr="009E3B52">
        <w:t xml:space="preserve">PAH = pulmonary arterial hypertension; </w:t>
      </w:r>
      <w:r w:rsidR="00FB5052">
        <w:t>PDE-5i</w:t>
      </w:r>
      <w:r w:rsidR="00FB5052" w:rsidRPr="006A4CC2">
        <w:t xml:space="preserve"> = phosphodiesterase</w:t>
      </w:r>
      <w:r w:rsidR="00FB5052">
        <w:t xml:space="preserve"> type 5 inhibitor;</w:t>
      </w:r>
      <w:r w:rsidR="00FB5052" w:rsidRPr="006A4CC2">
        <w:t xml:space="preserve"> </w:t>
      </w:r>
      <w:r w:rsidR="00FB5052">
        <w:t>SD</w:t>
      </w:r>
      <w:r w:rsidR="00FB5052" w:rsidRPr="00D53E66">
        <w:t xml:space="preserve"> = </w:t>
      </w:r>
      <w:r w:rsidR="00FB5052">
        <w:t>standard deviation</w:t>
      </w:r>
      <w:r w:rsidR="00FB5052" w:rsidRPr="00D53E66">
        <w:t>; WHO = World Health Organization</w:t>
      </w:r>
    </w:p>
    <w:p w:rsidR="00FB5052" w:rsidRPr="006316DF" w:rsidRDefault="001602A5" w:rsidP="00FB5052">
      <w:pPr>
        <w:tabs>
          <w:tab w:val="left" w:pos="1649"/>
          <w:tab w:val="left" w:pos="3066"/>
          <w:tab w:val="left" w:pos="4341"/>
        </w:tabs>
        <w:spacing w:after="120"/>
        <w:jc w:val="center"/>
        <w:rPr>
          <w:rFonts w:ascii="Arial Narrow" w:hAnsi="Arial Narrow" w:cs="Tahoma"/>
          <w:sz w:val="20"/>
        </w:rPr>
      </w:pPr>
      <w:r>
        <w:rPr>
          <w:rFonts w:ascii="Arial Narrow" w:hAnsi="Arial Narrow" w:cs="Tahoma"/>
          <w:noProof/>
          <w:sz w:val="20"/>
          <w:lang w:eastAsia="en-AU"/>
        </w:rPr>
        <w:drawing>
          <wp:inline distT="0" distB="0" distL="0" distR="0" wp14:anchorId="01037B7F" wp14:editId="7DA55B66">
            <wp:extent cx="6260500" cy="1439839"/>
            <wp:effectExtent l="0" t="0" r="0" b="8255"/>
            <wp:docPr id="3" name="Picture 3" descr="The placebo-adjusted improvement for WHO FC I/II PAH patients treated with sildenafil at the end of the 12-week trial period in the SUPER-1 trial was about 50 m" title="Forest plot showing the change in 6MWD from baseline to 12 weeks in patients with WHO FC I/II PAH by sildenafil dose or placebo (SUP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8350" cy="1457744"/>
                    </a:xfrm>
                    <a:prstGeom prst="rect">
                      <a:avLst/>
                    </a:prstGeom>
                    <a:noFill/>
                  </pic:spPr>
                </pic:pic>
              </a:graphicData>
            </a:graphic>
          </wp:inline>
        </w:drawing>
      </w:r>
    </w:p>
    <w:p w:rsidR="00FB5052" w:rsidRPr="006316DF" w:rsidRDefault="00507955" w:rsidP="00BC5A2B">
      <w:pPr>
        <w:pStyle w:val="Caption"/>
      </w:pPr>
      <w:bookmarkStart w:id="123" w:name="_Ref503193431"/>
      <w:bookmarkStart w:id="124" w:name="_Toc512855579"/>
      <w:r>
        <w:t>Figure 4.</w:t>
      </w:r>
      <w:r w:rsidR="00AA722D">
        <w:rPr>
          <w:noProof/>
        </w:rPr>
        <w:t>6</w:t>
      </w:r>
      <w:bookmarkEnd w:id="123"/>
      <w:r>
        <w:rPr>
          <w:noProof/>
        </w:rPr>
        <w:tab/>
      </w:r>
      <w:r w:rsidR="00FB5052" w:rsidRPr="006316DF">
        <w:t>Forest plot showing the change in 6MWD from baseline to 12 weeks in patients with WHO FC I/II PAH by sildenafil dose or placebo (SUPER-1)</w:t>
      </w:r>
      <w:bookmarkEnd w:id="124"/>
    </w:p>
    <w:p w:rsidR="00FB5052" w:rsidRDefault="00FB5052" w:rsidP="00507955">
      <w:pPr>
        <w:pStyle w:val="Tablenote"/>
      </w:pPr>
      <w:r>
        <w:t xml:space="preserve">Note: </w:t>
      </w:r>
      <w:r w:rsidDel="00E14668">
        <w:t>The 2</w:t>
      </w:r>
      <w:r w:rsidRPr="00D224CF" w:rsidDel="00E14668">
        <w:t xml:space="preserve">0 mg </w:t>
      </w:r>
      <w:r w:rsidDel="00E14668">
        <w:t xml:space="preserve">sildenafil </w:t>
      </w:r>
      <w:r w:rsidRPr="00D224CF" w:rsidDel="00E14668">
        <w:t>dose versus placebo is the relevant comparison for this review</w:t>
      </w:r>
      <w:r w:rsidRPr="00CA61D0" w:rsidDel="00E14668">
        <w:t xml:space="preserve"> </w:t>
      </w:r>
    </w:p>
    <w:p w:rsidR="00AD3645" w:rsidRPr="00CA61D0" w:rsidDel="00E14668" w:rsidRDefault="00AD3645" w:rsidP="00AD3645">
      <w:pPr>
        <w:pStyle w:val="Tablenote"/>
      </w:pPr>
      <w:r w:rsidRPr="009E3B52">
        <w:lastRenderedPageBreak/>
        <w:t xml:space="preserve">6MWD = 6-minute </w:t>
      </w:r>
      <w:r>
        <w:t>walk distance</w:t>
      </w:r>
      <w:r w:rsidRPr="009E3B52">
        <w:t>;</w:t>
      </w:r>
      <w:r>
        <w:t xml:space="preserve"> </w:t>
      </w:r>
      <w:r w:rsidRPr="006F774E">
        <w:t>FC = functional class;</w:t>
      </w:r>
      <w:r w:rsidRPr="000F6EFC">
        <w:t xml:space="preserve"> </w:t>
      </w:r>
      <w:r w:rsidRPr="009E3B52">
        <w:t>PAH = pulmonary arterial hypertension;</w:t>
      </w:r>
      <w:r w:rsidRPr="000F6EFC">
        <w:t xml:space="preserve"> </w:t>
      </w:r>
      <w:r w:rsidRPr="009E3B52">
        <w:t>WHO = World Health Organization</w:t>
      </w:r>
    </w:p>
    <w:p w:rsidR="00FB5052" w:rsidRDefault="00FB5052" w:rsidP="00507955">
      <w:pPr>
        <w:pStyle w:val="Tablenote"/>
      </w:pPr>
      <w:r w:rsidRPr="006316DF" w:rsidDel="00E14668">
        <w:t>Source: Galiè et al. (2005)</w:t>
      </w:r>
      <w:r w:rsidR="001D34EE" w:rsidRPr="001D34EE">
        <w:rPr>
          <w:noProof/>
          <w:vertAlign w:val="superscript"/>
        </w:rPr>
        <w:t>11</w:t>
      </w:r>
      <w:r w:rsidRPr="006316DF" w:rsidDel="00E14668">
        <w:t xml:space="preserve"> (1 patient in the placebo group was WHO FC I all other patients were FC II)</w:t>
      </w:r>
    </w:p>
    <w:p w:rsidR="00FB5052" w:rsidRPr="006316DF" w:rsidRDefault="00EE09B2" w:rsidP="00FB5052">
      <w:pPr>
        <w:pStyle w:val="Heading5"/>
      </w:pPr>
      <w:r>
        <w:t>f</w:t>
      </w:r>
      <w:r w:rsidR="0077344D">
        <w:t>.</w:t>
      </w:r>
      <w:r w:rsidR="0066218C">
        <w:tab/>
      </w:r>
      <w:r w:rsidR="00FB5052">
        <w:t>Change in QoL</w:t>
      </w:r>
      <w:r w:rsidR="007B6C7C">
        <w:t xml:space="preserve"> from baseline</w:t>
      </w:r>
    </w:p>
    <w:p w:rsidR="00FB5052" w:rsidRPr="006316DF" w:rsidRDefault="00FB5052" w:rsidP="00FB5052">
      <w:r w:rsidRPr="006316DF">
        <w:t>No QoL outcomes were reported for patients with WHO FC I/II PAH.</w:t>
      </w:r>
    </w:p>
    <w:p w:rsidR="00EE09B2" w:rsidRPr="006316DF" w:rsidRDefault="00EE09B2" w:rsidP="00EE09B2">
      <w:pPr>
        <w:pStyle w:val="Heading5"/>
      </w:pPr>
      <w:r>
        <w:t>g.</w:t>
      </w:r>
      <w:r>
        <w:tab/>
      </w:r>
      <w:r w:rsidRPr="006316DF">
        <w:t xml:space="preserve">Change in </w:t>
      </w:r>
      <w:r>
        <w:t>haemodynamic parameters</w:t>
      </w:r>
      <w:r w:rsidRPr="006316DF">
        <w:t xml:space="preserve"> from baseline</w:t>
      </w:r>
    </w:p>
    <w:p w:rsidR="00EE09B2" w:rsidRPr="008F78A0" w:rsidRDefault="00EE09B2" w:rsidP="00EE09B2">
      <w:r>
        <w:t>T</w:t>
      </w:r>
      <w:r w:rsidRPr="00417074">
        <w:t xml:space="preserve">he </w:t>
      </w:r>
      <w:r>
        <w:t>three trials did not report haemodynamic outcomes for patients with WHO FC II PAH.</w:t>
      </w:r>
    </w:p>
    <w:p w:rsidR="00FB5052" w:rsidRPr="00822C52" w:rsidRDefault="0077344D" w:rsidP="00FB5052">
      <w:pPr>
        <w:pStyle w:val="Heading5"/>
      </w:pPr>
      <w:r>
        <w:t>h.</w:t>
      </w:r>
      <w:r w:rsidR="0066218C">
        <w:tab/>
      </w:r>
      <w:r w:rsidR="00FB5052">
        <w:t>Comparative s</w:t>
      </w:r>
      <w:r w:rsidR="00FB5052" w:rsidRPr="00822C52">
        <w:t>afety</w:t>
      </w:r>
    </w:p>
    <w:p w:rsidR="00FB5052" w:rsidRDefault="00FB5052" w:rsidP="00FB5052">
      <w:r w:rsidRPr="006F49B6">
        <w:t xml:space="preserve">No studies were identified that reported on the safety of </w:t>
      </w:r>
      <w:r w:rsidR="0069215C">
        <w:t xml:space="preserve">monotherapy with </w:t>
      </w:r>
      <w:r w:rsidRPr="006F49B6">
        <w:t xml:space="preserve">a </w:t>
      </w:r>
      <w:r>
        <w:t>PDE-5 inhibitor</w:t>
      </w:r>
      <w:r w:rsidRPr="006F49B6">
        <w:t xml:space="preserve"> compared with placebo in WHO FC I/II PAH patients.</w:t>
      </w:r>
    </w:p>
    <w:p w:rsidR="00FB5052" w:rsidRPr="006316DF" w:rsidRDefault="0066218C" w:rsidP="00FB5052">
      <w:pPr>
        <w:pStyle w:val="Heading4"/>
      </w:pPr>
      <w:r>
        <w:t>4.4.1.3</w:t>
      </w:r>
      <w:r>
        <w:tab/>
      </w:r>
      <w:r w:rsidR="00FB5052" w:rsidRPr="006316DF">
        <w:t>Prosta</w:t>
      </w:r>
      <w:r w:rsidR="0017012F">
        <w:t>noid</w:t>
      </w:r>
      <w:r w:rsidR="00FB5052" w:rsidRPr="006316DF">
        <w:t xml:space="preserve"> </w:t>
      </w:r>
      <w:r w:rsidR="00FB5052" w:rsidRPr="006316DF">
        <w:rPr>
          <w:i/>
        </w:rPr>
        <w:t>versus</w:t>
      </w:r>
      <w:r w:rsidR="00FB5052" w:rsidRPr="006316DF">
        <w:t xml:space="preserve"> placebo</w:t>
      </w:r>
    </w:p>
    <w:p w:rsidR="00FB5052" w:rsidRDefault="00FB5052" w:rsidP="00FB5052">
      <w:r w:rsidRPr="006316DF">
        <w:t xml:space="preserve">No studies were identified that reported on the effectiveness or safety of </w:t>
      </w:r>
      <w:r w:rsidR="0069215C">
        <w:t xml:space="preserve">monotherapy with </w:t>
      </w:r>
      <w:r w:rsidRPr="006316DF">
        <w:t>a prostanoid compared with placebo in WHO FC I/II PAH patients.</w:t>
      </w:r>
    </w:p>
    <w:p w:rsidR="00FB5052" w:rsidRPr="006316DF" w:rsidRDefault="0066218C" w:rsidP="00FB5052">
      <w:pPr>
        <w:pStyle w:val="Heading4"/>
      </w:pPr>
      <w:r>
        <w:t>4.4.1.4</w:t>
      </w:r>
      <w:r>
        <w:tab/>
      </w:r>
      <w:r w:rsidR="00FB5052">
        <w:t xml:space="preserve">sGC stimulator </w:t>
      </w:r>
      <w:r w:rsidR="00FB5052" w:rsidRPr="006316DF">
        <w:rPr>
          <w:i/>
        </w:rPr>
        <w:t>versus</w:t>
      </w:r>
      <w:r w:rsidR="00FB5052" w:rsidRPr="006316DF">
        <w:t xml:space="preserve"> placebo</w:t>
      </w:r>
    </w:p>
    <w:p w:rsidR="00FB5052" w:rsidRPr="006316DF" w:rsidRDefault="00FB5052" w:rsidP="00FB5052">
      <w:r w:rsidRPr="006316DF">
        <w:t xml:space="preserve">Only one RCT was identified that reported on the effectiveness of </w:t>
      </w:r>
      <w:r w:rsidR="0069215C">
        <w:t xml:space="preserve">monotherapy with </w:t>
      </w:r>
      <w:r w:rsidRPr="006316DF">
        <w:t xml:space="preserve">a </w:t>
      </w:r>
      <w:r>
        <w:t>sGC stimulator</w:t>
      </w:r>
      <w:r w:rsidRPr="006A4CC2">
        <w:t xml:space="preserve"> </w:t>
      </w:r>
      <w:r w:rsidRPr="006316DF">
        <w:t>in treating PAH compared with placebo in patients with WHO FC I/II PAH. The PATENT-1</w:t>
      </w:r>
      <w:r w:rsidR="001D34EE" w:rsidRPr="001D34EE">
        <w:rPr>
          <w:noProof/>
          <w:vertAlign w:val="superscript"/>
        </w:rPr>
        <w:t>23</w:t>
      </w:r>
      <w:r w:rsidRPr="006316DF">
        <w:t xml:space="preserve"> double-blind trial, with a low-to-moderate risk of bias, randomised PAH patients of </w:t>
      </w:r>
      <w:r w:rsidRPr="001602A5">
        <w:rPr>
          <w:i/>
        </w:rPr>
        <w:t>any</w:t>
      </w:r>
      <w:r w:rsidRPr="006316DF">
        <w:t xml:space="preserve"> WHO FC to receive riociguat or placebo for 12 weeks. Background use of an ERA or </w:t>
      </w:r>
      <w:r w:rsidR="00973227" w:rsidRPr="006316DF">
        <w:t>prostanoid</w:t>
      </w:r>
      <w:r w:rsidRPr="006316DF">
        <w:t xml:space="preserve"> was permitted. Approximately 44% of included patients were using an ERA </w:t>
      </w:r>
      <w:r w:rsidR="001602A5">
        <w:t>medicine</w:t>
      </w:r>
      <w:r w:rsidRPr="006316DF">
        <w:t xml:space="preserve"> (primarily bosentan) and 6% a prostanoid (primarily inhaled iloprost)</w:t>
      </w:r>
      <w:r>
        <w:t xml:space="preserve"> at baseline</w:t>
      </w:r>
      <w:r w:rsidRPr="006316DF">
        <w:t xml:space="preserve">. The baseline characteristics for the treatment-naïve WHO FC I/II riociguat and placebo subgroups were well balanced with respect to age, </w:t>
      </w:r>
      <w:r>
        <w:t>gender</w:t>
      </w:r>
      <w:r w:rsidRPr="006316DF">
        <w:t xml:space="preserve">, WHO FC and haemodynamic parameters, but the proportion of patients having different PAH aetiologies was not reported. </w:t>
      </w:r>
      <w:r w:rsidR="001602A5">
        <w:t>The CSR reported d</w:t>
      </w:r>
      <w:r>
        <w:t xml:space="preserve">ata for </w:t>
      </w:r>
      <w:r w:rsidR="00FF1A9C">
        <w:t xml:space="preserve">treatment-naïve </w:t>
      </w:r>
      <w:r>
        <w:t>patients with WHO FC I/II PA</w:t>
      </w:r>
      <w:r w:rsidR="00B603BC">
        <w:t>H (highlighted in green below).</w:t>
      </w:r>
    </w:p>
    <w:p w:rsidR="00FB5052" w:rsidRPr="006316DF" w:rsidRDefault="0077344D" w:rsidP="00FB5052">
      <w:pPr>
        <w:pStyle w:val="Heading5"/>
      </w:pPr>
      <w:r>
        <w:t>a.</w:t>
      </w:r>
      <w:r w:rsidR="0066218C">
        <w:tab/>
      </w:r>
      <w:r w:rsidR="00FB5052" w:rsidRPr="006316DF">
        <w:t>Study-defined clinical worsening</w:t>
      </w:r>
    </w:p>
    <w:p w:rsidR="00FB5052" w:rsidRPr="00F34C0F" w:rsidRDefault="00FB5052" w:rsidP="00FB5052">
      <w:r>
        <w:t>In the PATENT-1 study, cl</w:t>
      </w:r>
      <w:r w:rsidRPr="00F34C0F">
        <w:t xml:space="preserve">inical worsening was defined as </w:t>
      </w:r>
      <w:r>
        <w:t xml:space="preserve">all-cause mortality, heart/lung transplantation, atrial septostomy, </w:t>
      </w:r>
      <w:r w:rsidR="00954966">
        <w:t>start of new</w:t>
      </w:r>
      <w:r>
        <w:t xml:space="preserve"> PAH treatment (ERA, </w:t>
      </w:r>
      <w:r w:rsidR="00973227">
        <w:t>prostanoid</w:t>
      </w:r>
      <w:r>
        <w:t xml:space="preserve"> or PDE-5 inhibitor), </w:t>
      </w:r>
      <w:r w:rsidR="00954966">
        <w:t xml:space="preserve">modification of a pre-existing prostanoid treatment, </w:t>
      </w:r>
      <w:r>
        <w:t>hospitali</w:t>
      </w:r>
      <w:r w:rsidR="001602A5">
        <w:t>s</w:t>
      </w:r>
      <w:r>
        <w:t>ation</w:t>
      </w:r>
      <w:r w:rsidR="00954966">
        <w:t xml:space="preserve"> due to PAH</w:t>
      </w:r>
      <w:r w:rsidR="001602A5">
        <w:t>,</w:t>
      </w:r>
      <w:r>
        <w:t xml:space="preserve"> persistent decrease in 6MWD</w:t>
      </w:r>
      <w:r w:rsidR="001602A5">
        <w:t>,</w:t>
      </w:r>
      <w:r>
        <w:t xml:space="preserve"> or persistent worsening of WHO FC due to worsening of PAH.</w:t>
      </w:r>
    </w:p>
    <w:p w:rsidR="00FB5052" w:rsidRPr="006316DF" w:rsidRDefault="00A17B9D" w:rsidP="00FB5052">
      <w:r>
        <w:rPr>
          <w:noProof/>
          <w:color w:val="000000"/>
          <w:highlight w:val="black"/>
        </w:rPr>
        <w:t>'''''''' ''''''' ''''''''''''' ''''''''</w:t>
      </w:r>
      <w:r w:rsidR="00FB5052" w:rsidRPr="006316DF">
        <w:t xml:space="preserve"> with WHO FC I/II PAH who was not receiving background therapy in the riociguat group </w:t>
      </w:r>
      <w:r w:rsidR="00FB5052" w:rsidRPr="007730CF">
        <w:t xml:space="preserve">and </w:t>
      </w:r>
      <w:r>
        <w:rPr>
          <w:noProof/>
          <w:color w:val="000000"/>
          <w:highlight w:val="black"/>
        </w:rPr>
        <w:t>''''''' '''''''''</w:t>
      </w:r>
      <w:r w:rsidR="00B5196D">
        <w:t xml:space="preserve"> </w:t>
      </w:r>
      <w:bookmarkStart w:id="125" w:name="_GoBack"/>
      <w:bookmarkEnd w:id="125"/>
      <w:r w:rsidR="00FB5052" w:rsidRPr="007730CF">
        <w:t>in the</w:t>
      </w:r>
      <w:r w:rsidR="00FB5052" w:rsidRPr="006316DF">
        <w:t xml:space="preserve"> placebo group experienced clinical worsening during the trial period (</w:t>
      </w:r>
      <w:r w:rsidR="00AA722D">
        <w:t xml:space="preserve">Table </w:t>
      </w:r>
      <w:r w:rsidR="00AA722D">
        <w:rPr>
          <w:noProof/>
        </w:rPr>
        <w:t>4.37</w:t>
      </w:r>
      <w:r w:rsidR="00FB5052" w:rsidRPr="006316DF">
        <w:t xml:space="preserve">). </w:t>
      </w:r>
      <w:r w:rsidR="00FB5052" w:rsidRPr="008555DD">
        <w:t xml:space="preserve">Thus, there was </w:t>
      </w:r>
      <w:r>
        <w:rPr>
          <w:noProof/>
          <w:color w:val="000000"/>
          <w:highlight w:val="black"/>
        </w:rPr>
        <w:t>''''' '''''''''''''''''''''' '''''''''''''''''''' ''''''''''''''''''</w:t>
      </w:r>
      <w:r w:rsidR="00FB5052">
        <w:t xml:space="preserve"> between the two treatment arms</w:t>
      </w:r>
      <w:r w:rsidR="00FB5052" w:rsidRPr="006316DF">
        <w:t>.</w:t>
      </w:r>
      <w:r w:rsidR="007E658F" w:rsidRPr="007E658F">
        <w:t xml:space="preserve"> </w:t>
      </w:r>
      <w:r w:rsidR="007E658F">
        <w:t xml:space="preserve">The ARD of </w:t>
      </w:r>
      <w:r>
        <w:rPr>
          <w:noProof/>
          <w:color w:val="000000"/>
          <w:highlight w:val="black"/>
        </w:rPr>
        <w:t>'''''''''''' '''''''''' '''' '''''''''' ''''''''</w:t>
      </w:r>
      <w:r w:rsidR="007E658F">
        <w:t xml:space="preserve"> indicated that </w:t>
      </w:r>
      <w:r>
        <w:rPr>
          <w:noProof/>
          <w:color w:val="000000"/>
          <w:highlight w:val="black"/>
        </w:rPr>
        <w:t>'''''</w:t>
      </w:r>
      <w:r w:rsidR="007E658F">
        <w:t xml:space="preserve"> patients would need to be treated </w:t>
      </w:r>
      <w:r w:rsidR="007E658F" w:rsidRPr="00764AD2">
        <w:t xml:space="preserve">with </w:t>
      </w:r>
      <w:r>
        <w:rPr>
          <w:noProof/>
          <w:color w:val="000000"/>
          <w:highlight w:val="black"/>
        </w:rPr>
        <w:t>''' ''''''' '''''''''''''''''''''</w:t>
      </w:r>
      <w:r w:rsidR="007E658F" w:rsidRPr="00764AD2">
        <w:t xml:space="preserve"> to prevent one additional </w:t>
      </w:r>
      <w:r w:rsidR="007E658F">
        <w:t>patient experiencing clinical worsening</w:t>
      </w:r>
      <w:r w:rsidR="007E658F" w:rsidRPr="00764AD2">
        <w:t xml:space="preserve"> compared with </w:t>
      </w:r>
      <w:r>
        <w:rPr>
          <w:noProof/>
          <w:color w:val="000000"/>
          <w:highlight w:val="black"/>
        </w:rPr>
        <w:t>''''''''''''''</w:t>
      </w:r>
      <w:r w:rsidR="007E658F">
        <w:t>.</w:t>
      </w:r>
    </w:p>
    <w:p w:rsidR="00FB5052" w:rsidRPr="006316DF" w:rsidRDefault="00B40240" w:rsidP="00BC5A2B">
      <w:pPr>
        <w:pStyle w:val="Caption"/>
      </w:pPr>
      <w:bookmarkStart w:id="126" w:name="_Ref500947184"/>
      <w:bookmarkStart w:id="127" w:name="_Toc512855441"/>
      <w:r>
        <w:lastRenderedPageBreak/>
        <w:t>Table 4.</w:t>
      </w:r>
      <w:r w:rsidR="00AA722D">
        <w:rPr>
          <w:noProof/>
        </w:rPr>
        <w:t>37</w:t>
      </w:r>
      <w:bookmarkEnd w:id="126"/>
      <w:r w:rsidR="00507955">
        <w:rPr>
          <w:noProof/>
        </w:rPr>
        <w:tab/>
      </w:r>
      <w:r w:rsidR="00FB5052" w:rsidRPr="006316DF">
        <w:t xml:space="preserve">The effectiveness of </w:t>
      </w:r>
      <w:r w:rsidR="00EB768B">
        <w:t xml:space="preserve">a </w:t>
      </w:r>
      <w:r w:rsidR="00237FAE" w:rsidRPr="00237FAE">
        <w:t xml:space="preserve">sGC stimulator </w:t>
      </w:r>
      <w:r w:rsidR="00FB5052" w:rsidRPr="006316DF">
        <w:t>compared with placebo in preventing clinical worsening</w:t>
      </w:r>
      <w:r w:rsidR="00FB5052" w:rsidRPr="00B642BB">
        <w:t xml:space="preserve"> in patients with WHO FC I/II PAH</w:t>
      </w:r>
      <w:bookmarkEnd w:id="127"/>
    </w:p>
    <w:tbl>
      <w:tblPr>
        <w:tblStyle w:val="TableGrid7"/>
        <w:tblW w:w="9634" w:type="dxa"/>
        <w:tblLayout w:type="fixed"/>
        <w:tblLook w:val="04A0" w:firstRow="1" w:lastRow="0" w:firstColumn="1" w:lastColumn="0" w:noHBand="0" w:noVBand="1"/>
        <w:tblCaption w:val="The effectiveness of a sGC stimulator compared with placebo in preventing clinical worsening in patients with WHO FC I/II PAH"/>
      </w:tblPr>
      <w:tblGrid>
        <w:gridCol w:w="1980"/>
        <w:gridCol w:w="1701"/>
        <w:gridCol w:w="1843"/>
        <w:gridCol w:w="2126"/>
        <w:gridCol w:w="1984"/>
      </w:tblGrid>
      <w:tr w:rsidR="00FB5052" w:rsidRPr="006316DF" w:rsidTr="00507955">
        <w:trPr>
          <w:trHeight w:val="230"/>
          <w:tblHeader/>
        </w:trPr>
        <w:tc>
          <w:tcPr>
            <w:tcW w:w="1980" w:type="dxa"/>
            <w:vMerge w:val="restart"/>
            <w:shd w:val="clear" w:color="auto" w:fill="BFBFBF" w:themeFill="background1" w:themeFillShade="BF"/>
          </w:tcPr>
          <w:p w:rsidR="00FB5052" w:rsidRDefault="00FB5052" w:rsidP="00507955">
            <w:pPr>
              <w:pStyle w:val="Tabletext"/>
              <w:rPr>
                <w:b/>
              </w:rPr>
            </w:pPr>
            <w:r w:rsidRPr="00507955">
              <w:rPr>
                <w:b/>
              </w:rPr>
              <w:t>Study ID</w:t>
            </w:r>
          </w:p>
          <w:p w:rsidR="004B7C88" w:rsidRPr="00507955" w:rsidRDefault="004B7C88" w:rsidP="00507955">
            <w:pPr>
              <w:pStyle w:val="Tabletext"/>
              <w:rPr>
                <w:b/>
              </w:rPr>
            </w:pPr>
            <w:r>
              <w:rPr>
                <w:b/>
              </w:rPr>
              <w:t>sGC stimulator</w:t>
            </w:r>
          </w:p>
        </w:tc>
        <w:tc>
          <w:tcPr>
            <w:tcW w:w="1701" w:type="dxa"/>
            <w:vMerge w:val="restart"/>
            <w:shd w:val="clear" w:color="auto" w:fill="BFBFBF" w:themeFill="background1" w:themeFillShade="BF"/>
          </w:tcPr>
          <w:p w:rsidR="00FB5052" w:rsidRPr="00507955" w:rsidRDefault="00FB5052" w:rsidP="00507955">
            <w:pPr>
              <w:pStyle w:val="Tabletext"/>
              <w:rPr>
                <w:b/>
              </w:rPr>
            </w:pPr>
            <w:r w:rsidRPr="00507955">
              <w:rPr>
                <w:b/>
              </w:rPr>
              <w:t>Study period</w:t>
            </w:r>
          </w:p>
        </w:tc>
        <w:tc>
          <w:tcPr>
            <w:tcW w:w="3969" w:type="dxa"/>
            <w:gridSpan w:val="2"/>
            <w:shd w:val="clear" w:color="auto" w:fill="BFBFBF" w:themeFill="background1" w:themeFillShade="BF"/>
          </w:tcPr>
          <w:p w:rsidR="00FB5052" w:rsidRPr="00507955" w:rsidRDefault="00FB5052" w:rsidP="00507955">
            <w:pPr>
              <w:pStyle w:val="Tabletext"/>
              <w:jc w:val="center"/>
              <w:rPr>
                <w:b/>
              </w:rPr>
            </w:pPr>
            <w:r w:rsidRPr="00507955">
              <w:rPr>
                <w:b/>
              </w:rPr>
              <w:t>n/N (%)</w:t>
            </w:r>
          </w:p>
        </w:tc>
        <w:tc>
          <w:tcPr>
            <w:tcW w:w="1984" w:type="dxa"/>
            <w:vMerge w:val="restart"/>
            <w:shd w:val="clear" w:color="auto" w:fill="BFBFBF" w:themeFill="background1" w:themeFillShade="BF"/>
          </w:tcPr>
          <w:p w:rsidR="00FB5052" w:rsidRPr="00507955" w:rsidRDefault="00FB5052" w:rsidP="00507955">
            <w:pPr>
              <w:pStyle w:val="Tabletext"/>
              <w:jc w:val="center"/>
              <w:rPr>
                <w:b/>
              </w:rPr>
            </w:pPr>
            <w:r w:rsidRPr="00507955">
              <w:rPr>
                <w:b/>
              </w:rPr>
              <w:t>RR (95% CI)</w:t>
            </w:r>
          </w:p>
        </w:tc>
      </w:tr>
      <w:tr w:rsidR="00FB5052" w:rsidRPr="006316DF" w:rsidTr="00507955">
        <w:trPr>
          <w:trHeight w:val="202"/>
          <w:tblHeader/>
        </w:trPr>
        <w:tc>
          <w:tcPr>
            <w:tcW w:w="1980" w:type="dxa"/>
            <w:vMerge/>
            <w:shd w:val="clear" w:color="auto" w:fill="BFBFBF" w:themeFill="background1" w:themeFillShade="BF"/>
          </w:tcPr>
          <w:p w:rsidR="00FB5052" w:rsidRPr="00507955" w:rsidRDefault="00FB5052" w:rsidP="00507955">
            <w:pPr>
              <w:pStyle w:val="Tabletext"/>
            </w:pPr>
          </w:p>
        </w:tc>
        <w:tc>
          <w:tcPr>
            <w:tcW w:w="1701" w:type="dxa"/>
            <w:vMerge/>
            <w:shd w:val="clear" w:color="auto" w:fill="BFBFBF" w:themeFill="background1" w:themeFillShade="BF"/>
          </w:tcPr>
          <w:p w:rsidR="00FB5052" w:rsidRPr="00507955" w:rsidRDefault="00FB5052" w:rsidP="00507955">
            <w:pPr>
              <w:pStyle w:val="Tabletext"/>
            </w:pPr>
          </w:p>
        </w:tc>
        <w:tc>
          <w:tcPr>
            <w:tcW w:w="1843" w:type="dxa"/>
            <w:shd w:val="clear" w:color="auto" w:fill="BFBFBF" w:themeFill="background1" w:themeFillShade="BF"/>
          </w:tcPr>
          <w:p w:rsidR="00FB5052" w:rsidRPr="00507955" w:rsidRDefault="004B7C88" w:rsidP="00507955">
            <w:pPr>
              <w:pStyle w:val="Tabletext"/>
              <w:jc w:val="center"/>
              <w:rPr>
                <w:b/>
              </w:rPr>
            </w:pPr>
            <w:r>
              <w:rPr>
                <w:b/>
              </w:rPr>
              <w:t>sGC stimulator</w:t>
            </w:r>
          </w:p>
        </w:tc>
        <w:tc>
          <w:tcPr>
            <w:tcW w:w="2126" w:type="dxa"/>
            <w:shd w:val="clear" w:color="auto" w:fill="BFBFBF" w:themeFill="background1" w:themeFillShade="BF"/>
          </w:tcPr>
          <w:p w:rsidR="00FB5052" w:rsidRPr="00507955" w:rsidRDefault="00FB5052" w:rsidP="00507955">
            <w:pPr>
              <w:pStyle w:val="Tabletext"/>
              <w:jc w:val="center"/>
              <w:rPr>
                <w:b/>
              </w:rPr>
            </w:pPr>
            <w:r w:rsidRPr="00507955">
              <w:rPr>
                <w:b/>
              </w:rPr>
              <w:t>Placebo</w:t>
            </w:r>
          </w:p>
        </w:tc>
        <w:tc>
          <w:tcPr>
            <w:tcW w:w="1984" w:type="dxa"/>
            <w:vMerge/>
            <w:shd w:val="clear" w:color="auto" w:fill="BFBFBF" w:themeFill="background1" w:themeFillShade="BF"/>
          </w:tcPr>
          <w:p w:rsidR="00FB5052" w:rsidRPr="00507955" w:rsidRDefault="00FB5052" w:rsidP="00507955">
            <w:pPr>
              <w:pStyle w:val="Tabletext"/>
            </w:pPr>
          </w:p>
        </w:tc>
      </w:tr>
      <w:tr w:rsidR="00FB5052" w:rsidRPr="006316DF" w:rsidTr="00507955">
        <w:trPr>
          <w:trHeight w:val="70"/>
        </w:trPr>
        <w:tc>
          <w:tcPr>
            <w:tcW w:w="1980" w:type="dxa"/>
            <w:shd w:val="clear" w:color="auto" w:fill="auto"/>
          </w:tcPr>
          <w:p w:rsidR="00FB5052" w:rsidRDefault="00FB5052" w:rsidP="00507955">
            <w:pPr>
              <w:pStyle w:val="Tabletext"/>
            </w:pPr>
            <w:r w:rsidRPr="00507955">
              <w:t>PATENT-1 CSR</w:t>
            </w:r>
          </w:p>
          <w:p w:rsidR="004B7C88" w:rsidRPr="00507955" w:rsidRDefault="004B7C88" w:rsidP="00507955">
            <w:pPr>
              <w:pStyle w:val="Tabletext"/>
            </w:pPr>
            <w:r>
              <w:t>Riociguat</w:t>
            </w:r>
          </w:p>
        </w:tc>
        <w:tc>
          <w:tcPr>
            <w:tcW w:w="1701" w:type="dxa"/>
            <w:shd w:val="clear" w:color="auto" w:fill="auto"/>
          </w:tcPr>
          <w:p w:rsidR="00FB5052" w:rsidRPr="00507955" w:rsidRDefault="00FB5052" w:rsidP="00507955">
            <w:pPr>
              <w:pStyle w:val="Tabletext"/>
            </w:pPr>
            <w:r w:rsidRPr="00507955">
              <w:t>12 weeks</w:t>
            </w:r>
          </w:p>
        </w:tc>
        <w:tc>
          <w:tcPr>
            <w:tcW w:w="1843" w:type="dxa"/>
            <w:shd w:val="clear" w:color="auto" w:fill="auto"/>
          </w:tcPr>
          <w:p w:rsidR="00FB5052" w:rsidRPr="00A17B9D" w:rsidRDefault="00A17B9D" w:rsidP="00507955">
            <w:pPr>
              <w:pStyle w:val="Tabletext"/>
              <w:jc w:val="center"/>
              <w:rPr>
                <w:highlight w:val="black"/>
              </w:rPr>
            </w:pPr>
            <w:r>
              <w:rPr>
                <w:noProof/>
                <w:color w:val="000000"/>
                <w:highlight w:val="black"/>
              </w:rPr>
              <w:t>''''''''''' '''''''''''</w:t>
            </w:r>
          </w:p>
        </w:tc>
        <w:tc>
          <w:tcPr>
            <w:tcW w:w="2126" w:type="dxa"/>
            <w:shd w:val="clear" w:color="auto" w:fill="auto"/>
          </w:tcPr>
          <w:p w:rsidR="00FB5052" w:rsidRPr="00A17B9D" w:rsidRDefault="00A17B9D" w:rsidP="00507955">
            <w:pPr>
              <w:pStyle w:val="Tabletext"/>
              <w:jc w:val="center"/>
              <w:rPr>
                <w:highlight w:val="black"/>
              </w:rPr>
            </w:pPr>
            <w:r>
              <w:rPr>
                <w:noProof/>
                <w:color w:val="000000"/>
                <w:highlight w:val="black"/>
              </w:rPr>
              <w:t>'''''''''' ''''''''''''</w:t>
            </w:r>
          </w:p>
        </w:tc>
        <w:tc>
          <w:tcPr>
            <w:tcW w:w="1984" w:type="dxa"/>
          </w:tcPr>
          <w:p w:rsidR="00FB5052" w:rsidRPr="00A17B9D" w:rsidRDefault="00A17B9D" w:rsidP="00507955">
            <w:pPr>
              <w:pStyle w:val="Tabletext"/>
              <w:jc w:val="center"/>
              <w:rPr>
                <w:highlight w:val="black"/>
              </w:rPr>
            </w:pPr>
            <w:r>
              <w:rPr>
                <w:noProof/>
                <w:color w:val="000000"/>
                <w:highlight w:val="black"/>
              </w:rPr>
              <w:t>''''''''''' '''''''''''''' ''''''''''''</w:t>
            </w:r>
          </w:p>
        </w:tc>
      </w:tr>
    </w:tbl>
    <w:p w:rsidR="000F6EFC" w:rsidRPr="006316DF" w:rsidRDefault="00FB5052" w:rsidP="00507955">
      <w:pPr>
        <w:pStyle w:val="Tablenote"/>
      </w:pPr>
      <w:r w:rsidRPr="006316DF">
        <w:t xml:space="preserve">CI = confidence interval; CSR = clinical study report; </w:t>
      </w:r>
      <w:r w:rsidR="000F6EFC" w:rsidRPr="006F774E">
        <w:t xml:space="preserve">FC = functional class; </w:t>
      </w:r>
      <w:r w:rsidRPr="006316DF">
        <w:t xml:space="preserve">n = number of </w:t>
      </w:r>
      <w:r w:rsidR="000F6EFC">
        <w:t xml:space="preserve">patients with </w:t>
      </w:r>
      <w:r w:rsidRPr="006316DF">
        <w:t xml:space="preserve">events; N = number of patients; </w:t>
      </w:r>
      <w:r w:rsidR="000F6EFC" w:rsidRPr="009E3B52">
        <w:t xml:space="preserve">PAH = pulmonary arterial hypertension; </w:t>
      </w:r>
      <w:r w:rsidRPr="006316DF">
        <w:t>RR = relative risk</w:t>
      </w:r>
      <w:r w:rsidR="004B7C88" w:rsidRPr="004B7C88">
        <w:t>; sGC = solub</w:t>
      </w:r>
      <w:r w:rsidR="004B7C88">
        <w:t>le guanylate cyclase</w:t>
      </w:r>
      <w:r w:rsidR="000F6EFC" w:rsidRPr="00F20C66">
        <w:t xml:space="preserve">; </w:t>
      </w:r>
      <w:r w:rsidR="000F6EFC" w:rsidRPr="009E3B52">
        <w:t>WHO = World Health Organization</w:t>
      </w:r>
    </w:p>
    <w:p w:rsidR="00FB5052" w:rsidRPr="006316DF" w:rsidRDefault="0077344D" w:rsidP="00FB5052">
      <w:pPr>
        <w:pStyle w:val="Heading5"/>
      </w:pPr>
      <w:r>
        <w:t>b.</w:t>
      </w:r>
      <w:r w:rsidR="0066218C">
        <w:tab/>
      </w:r>
      <w:r w:rsidR="00C828F9">
        <w:t>All-cause m</w:t>
      </w:r>
      <w:r w:rsidR="00C828F9" w:rsidRPr="006316DF">
        <w:t>ortality</w:t>
      </w:r>
    </w:p>
    <w:p w:rsidR="00A839C6" w:rsidRPr="006316DF" w:rsidRDefault="00A17B9D" w:rsidP="0072793D">
      <w:r>
        <w:rPr>
          <w:noProof/>
          <w:color w:val="000000"/>
          <w:highlight w:val="black"/>
        </w:rPr>
        <w:t>'''''''' ''''''''''''</w:t>
      </w:r>
      <w:r w:rsidR="00FB5052" w:rsidRPr="006316DF">
        <w:t xml:space="preserve"> with WHO FC I/II PAH who was not receiving background therapy in the </w:t>
      </w:r>
      <w:r>
        <w:rPr>
          <w:noProof/>
          <w:color w:val="000000"/>
          <w:highlight w:val="black"/>
        </w:rPr>
        <w:t>''''''''''''''''' ''''''''''' '''''''' '''''''''''' '''''' ''''''''' '''''''''''''' ''''''' ''''' '''''''''''''''' ''''''''' '''' ''''''' '''''''''''''' ''''''''''''</w:t>
      </w:r>
      <w:r w:rsidR="00FB5052">
        <w:t xml:space="preserve"> </w:t>
      </w:r>
      <w:r w:rsidR="00FB5052" w:rsidRPr="006316DF">
        <w:t>(</w:t>
      </w:r>
      <w:r w:rsidR="00AA722D">
        <w:t xml:space="preserve">Table </w:t>
      </w:r>
      <w:r w:rsidR="00AA722D">
        <w:rPr>
          <w:noProof/>
        </w:rPr>
        <w:t>4.38</w:t>
      </w:r>
      <w:r w:rsidR="00FB5052">
        <w:t xml:space="preserve">; </w:t>
      </w:r>
      <w:r w:rsidR="00B21201">
        <w:t>ARD</w:t>
      </w:r>
      <w:r w:rsidR="00973227">
        <w:t> </w:t>
      </w:r>
      <w:r w:rsidR="00FB5052">
        <w:t>=</w:t>
      </w:r>
      <w:r w:rsidR="00973227">
        <w:t> </w:t>
      </w:r>
      <w:r>
        <w:rPr>
          <w:noProof/>
          <w:color w:val="000000"/>
          <w:highlight w:val="black"/>
        </w:rPr>
        <w:t>''''''''''' '''''''' '''' ''''''''' ''''''' '''''''''''''''''''</w:t>
      </w:r>
    </w:p>
    <w:p w:rsidR="00FB5052" w:rsidRPr="006316DF" w:rsidRDefault="00B40240" w:rsidP="0072793D">
      <w:pPr>
        <w:pStyle w:val="Caption"/>
      </w:pPr>
      <w:bookmarkStart w:id="128" w:name="_Ref500948549"/>
      <w:bookmarkStart w:id="129" w:name="_Toc512855442"/>
      <w:r>
        <w:t>Table 4.</w:t>
      </w:r>
      <w:r w:rsidR="00AA722D">
        <w:rPr>
          <w:noProof/>
        </w:rPr>
        <w:t>38</w:t>
      </w:r>
      <w:bookmarkEnd w:id="128"/>
      <w:r w:rsidR="00507955">
        <w:rPr>
          <w:noProof/>
        </w:rPr>
        <w:tab/>
      </w:r>
      <w:r w:rsidR="00FB5052" w:rsidRPr="00B642BB">
        <w:t xml:space="preserve">Mortality rates for </w:t>
      </w:r>
      <w:r w:rsidR="00EB768B">
        <w:t xml:space="preserve">a </w:t>
      </w:r>
      <w:r w:rsidR="004B7C88" w:rsidRPr="004B7C88">
        <w:t xml:space="preserve">sGC stimulator </w:t>
      </w:r>
      <w:r w:rsidR="00FB5052" w:rsidRPr="006316DF">
        <w:t xml:space="preserve">compared with placebo </w:t>
      </w:r>
      <w:r w:rsidR="00FB5052" w:rsidRPr="00B642BB">
        <w:t>in patients with WHO FC I/II PAH</w:t>
      </w:r>
      <w:bookmarkEnd w:id="129"/>
    </w:p>
    <w:tbl>
      <w:tblPr>
        <w:tblStyle w:val="TableGrid7"/>
        <w:tblW w:w="9634" w:type="dxa"/>
        <w:tblLayout w:type="fixed"/>
        <w:tblLook w:val="04A0" w:firstRow="1" w:lastRow="0" w:firstColumn="1" w:lastColumn="0" w:noHBand="0" w:noVBand="1"/>
        <w:tblCaption w:val="Mortality rates for a sGC stimulator compared with placebo in patients with WHO FC I/II PAH"/>
      </w:tblPr>
      <w:tblGrid>
        <w:gridCol w:w="1980"/>
        <w:gridCol w:w="1701"/>
        <w:gridCol w:w="1843"/>
        <w:gridCol w:w="2126"/>
        <w:gridCol w:w="1984"/>
      </w:tblGrid>
      <w:tr w:rsidR="00FB5052" w:rsidRPr="006316DF" w:rsidTr="00085667">
        <w:trPr>
          <w:trHeight w:val="207"/>
          <w:tblHeader/>
        </w:trPr>
        <w:tc>
          <w:tcPr>
            <w:tcW w:w="1980" w:type="dxa"/>
            <w:vMerge w:val="restart"/>
            <w:shd w:val="clear" w:color="auto" w:fill="BFBFBF" w:themeFill="background1" w:themeFillShade="BF"/>
          </w:tcPr>
          <w:p w:rsidR="00FB5052" w:rsidRDefault="00FB5052" w:rsidP="0072793D">
            <w:pPr>
              <w:pStyle w:val="Tabletext"/>
              <w:rPr>
                <w:b/>
              </w:rPr>
            </w:pPr>
            <w:r w:rsidRPr="00507955">
              <w:rPr>
                <w:b/>
              </w:rPr>
              <w:t>Study ID</w:t>
            </w:r>
          </w:p>
          <w:p w:rsidR="004B7C88" w:rsidRPr="00507955" w:rsidRDefault="004B7C88" w:rsidP="0072793D">
            <w:pPr>
              <w:pStyle w:val="Tabletext"/>
              <w:rPr>
                <w:b/>
              </w:rPr>
            </w:pPr>
            <w:r w:rsidRPr="004B7C88">
              <w:rPr>
                <w:b/>
              </w:rPr>
              <w:t>sGC stimulator</w:t>
            </w:r>
          </w:p>
        </w:tc>
        <w:tc>
          <w:tcPr>
            <w:tcW w:w="1701" w:type="dxa"/>
            <w:vMerge w:val="restart"/>
            <w:shd w:val="clear" w:color="auto" w:fill="BFBFBF" w:themeFill="background1" w:themeFillShade="BF"/>
          </w:tcPr>
          <w:p w:rsidR="00FB5052" w:rsidRPr="00507955" w:rsidRDefault="00FB5052" w:rsidP="0072793D">
            <w:pPr>
              <w:pStyle w:val="Tabletext"/>
              <w:rPr>
                <w:b/>
              </w:rPr>
            </w:pPr>
            <w:r w:rsidRPr="00507955">
              <w:rPr>
                <w:b/>
              </w:rPr>
              <w:t>Study period</w:t>
            </w:r>
          </w:p>
        </w:tc>
        <w:tc>
          <w:tcPr>
            <w:tcW w:w="3969" w:type="dxa"/>
            <w:gridSpan w:val="2"/>
            <w:shd w:val="clear" w:color="auto" w:fill="BFBFBF" w:themeFill="background1" w:themeFillShade="BF"/>
          </w:tcPr>
          <w:p w:rsidR="00FB5052" w:rsidRPr="00507955" w:rsidRDefault="00FB5052" w:rsidP="0072793D">
            <w:pPr>
              <w:pStyle w:val="Tabletext"/>
              <w:jc w:val="center"/>
              <w:rPr>
                <w:b/>
              </w:rPr>
            </w:pPr>
            <w:r w:rsidRPr="00507955">
              <w:rPr>
                <w:b/>
              </w:rPr>
              <w:t>n/N (%)</w:t>
            </w:r>
          </w:p>
        </w:tc>
        <w:tc>
          <w:tcPr>
            <w:tcW w:w="1984" w:type="dxa"/>
            <w:vMerge w:val="restart"/>
            <w:shd w:val="clear" w:color="auto" w:fill="BFBFBF" w:themeFill="background1" w:themeFillShade="BF"/>
          </w:tcPr>
          <w:p w:rsidR="00FB5052" w:rsidRPr="00507955" w:rsidRDefault="00FB5052" w:rsidP="0072793D">
            <w:pPr>
              <w:pStyle w:val="Tabletext"/>
              <w:jc w:val="center"/>
              <w:rPr>
                <w:b/>
              </w:rPr>
            </w:pPr>
            <w:r w:rsidRPr="00507955">
              <w:rPr>
                <w:b/>
              </w:rPr>
              <w:t>RR (95% CI)</w:t>
            </w:r>
          </w:p>
        </w:tc>
      </w:tr>
      <w:tr w:rsidR="00FB5052" w:rsidRPr="006316DF" w:rsidTr="00085667">
        <w:trPr>
          <w:trHeight w:val="202"/>
          <w:tblHeader/>
        </w:trPr>
        <w:tc>
          <w:tcPr>
            <w:tcW w:w="1980" w:type="dxa"/>
            <w:vMerge/>
            <w:shd w:val="clear" w:color="auto" w:fill="BFBFBF" w:themeFill="background1" w:themeFillShade="BF"/>
          </w:tcPr>
          <w:p w:rsidR="00FB5052" w:rsidRPr="00507955" w:rsidRDefault="00FB5052" w:rsidP="0072793D">
            <w:pPr>
              <w:pStyle w:val="Tabletext"/>
            </w:pPr>
          </w:p>
        </w:tc>
        <w:tc>
          <w:tcPr>
            <w:tcW w:w="1701" w:type="dxa"/>
            <w:vMerge/>
            <w:shd w:val="clear" w:color="auto" w:fill="BFBFBF" w:themeFill="background1" w:themeFillShade="BF"/>
          </w:tcPr>
          <w:p w:rsidR="00FB5052" w:rsidRPr="00507955" w:rsidRDefault="00FB5052" w:rsidP="0072793D">
            <w:pPr>
              <w:pStyle w:val="Tabletext"/>
            </w:pPr>
          </w:p>
        </w:tc>
        <w:tc>
          <w:tcPr>
            <w:tcW w:w="1843" w:type="dxa"/>
            <w:shd w:val="clear" w:color="auto" w:fill="BFBFBF" w:themeFill="background1" w:themeFillShade="BF"/>
          </w:tcPr>
          <w:p w:rsidR="00FB5052" w:rsidRPr="00507955" w:rsidRDefault="004B7C88" w:rsidP="0072793D">
            <w:pPr>
              <w:pStyle w:val="Tabletext"/>
              <w:jc w:val="center"/>
              <w:rPr>
                <w:rFonts w:asciiTheme="minorHAnsi" w:hAnsiTheme="minorHAnsi"/>
                <w:b/>
              </w:rPr>
            </w:pPr>
            <w:r w:rsidRPr="004B7C88">
              <w:rPr>
                <w:rFonts w:asciiTheme="minorHAnsi" w:hAnsiTheme="minorHAnsi"/>
                <w:b/>
              </w:rPr>
              <w:t>sGC stimulator</w:t>
            </w:r>
          </w:p>
        </w:tc>
        <w:tc>
          <w:tcPr>
            <w:tcW w:w="2126" w:type="dxa"/>
            <w:shd w:val="clear" w:color="auto" w:fill="BFBFBF" w:themeFill="background1" w:themeFillShade="BF"/>
          </w:tcPr>
          <w:p w:rsidR="00FB5052" w:rsidRPr="00507955" w:rsidRDefault="00FB5052" w:rsidP="0072793D">
            <w:pPr>
              <w:pStyle w:val="Tabletext"/>
              <w:jc w:val="center"/>
              <w:rPr>
                <w:b/>
              </w:rPr>
            </w:pPr>
            <w:r w:rsidRPr="00507955">
              <w:rPr>
                <w:b/>
              </w:rPr>
              <w:t>Placebo</w:t>
            </w:r>
          </w:p>
        </w:tc>
        <w:tc>
          <w:tcPr>
            <w:tcW w:w="1984" w:type="dxa"/>
            <w:vMerge/>
            <w:shd w:val="clear" w:color="auto" w:fill="BFBFBF" w:themeFill="background1" w:themeFillShade="BF"/>
          </w:tcPr>
          <w:p w:rsidR="00FB5052" w:rsidRPr="006316DF" w:rsidRDefault="00FB5052" w:rsidP="0072793D">
            <w:pPr>
              <w:pStyle w:val="Tabletext"/>
            </w:pPr>
          </w:p>
        </w:tc>
      </w:tr>
      <w:tr w:rsidR="00FB5052" w:rsidRPr="006316DF" w:rsidTr="00085667">
        <w:trPr>
          <w:trHeight w:val="70"/>
        </w:trPr>
        <w:tc>
          <w:tcPr>
            <w:tcW w:w="1980" w:type="dxa"/>
            <w:shd w:val="clear" w:color="auto" w:fill="auto"/>
          </w:tcPr>
          <w:p w:rsidR="00FB5052" w:rsidRPr="004B7C88" w:rsidRDefault="00FB5052" w:rsidP="0072793D">
            <w:pPr>
              <w:pStyle w:val="Tabletext"/>
              <w:rPr>
                <w:szCs w:val="18"/>
              </w:rPr>
            </w:pPr>
            <w:r w:rsidRPr="004B7C88">
              <w:rPr>
                <w:szCs w:val="18"/>
              </w:rPr>
              <w:t>PATENT-1 CSR</w:t>
            </w:r>
          </w:p>
          <w:p w:rsidR="004B7C88" w:rsidRPr="004B7C88" w:rsidRDefault="004B7C88" w:rsidP="0072793D">
            <w:pPr>
              <w:pStyle w:val="Tabletext"/>
              <w:rPr>
                <w:szCs w:val="18"/>
              </w:rPr>
            </w:pPr>
            <w:r w:rsidRPr="00DD28A9">
              <w:t>Riociguat</w:t>
            </w:r>
          </w:p>
        </w:tc>
        <w:tc>
          <w:tcPr>
            <w:tcW w:w="1701" w:type="dxa"/>
            <w:shd w:val="clear" w:color="auto" w:fill="auto"/>
          </w:tcPr>
          <w:p w:rsidR="00FB5052" w:rsidRPr="00507955" w:rsidRDefault="00FB5052" w:rsidP="0072793D">
            <w:pPr>
              <w:pStyle w:val="Tabletext"/>
            </w:pPr>
            <w:r w:rsidRPr="00507955">
              <w:t>12 weeks</w:t>
            </w:r>
          </w:p>
        </w:tc>
        <w:tc>
          <w:tcPr>
            <w:tcW w:w="1843" w:type="dxa"/>
            <w:shd w:val="clear" w:color="auto" w:fill="auto"/>
          </w:tcPr>
          <w:p w:rsidR="00FB5052" w:rsidRPr="00A17B9D" w:rsidRDefault="00A17B9D" w:rsidP="0072793D">
            <w:pPr>
              <w:pStyle w:val="Tabletext"/>
              <w:jc w:val="center"/>
              <w:rPr>
                <w:rFonts w:cs="Tahoma"/>
                <w:highlight w:val="black"/>
              </w:rPr>
            </w:pPr>
            <w:r>
              <w:rPr>
                <w:rFonts w:eastAsia="Times New Roman" w:cs="Tahoma"/>
                <w:noProof/>
                <w:color w:val="000000"/>
                <w:highlight w:val="black"/>
              </w:rPr>
              <w:t>''''''''''' ''''''''''''</w:t>
            </w:r>
          </w:p>
        </w:tc>
        <w:tc>
          <w:tcPr>
            <w:tcW w:w="2126" w:type="dxa"/>
            <w:shd w:val="clear" w:color="auto" w:fill="auto"/>
          </w:tcPr>
          <w:p w:rsidR="00FB5052" w:rsidRPr="00A17B9D" w:rsidRDefault="00A17B9D" w:rsidP="0072793D">
            <w:pPr>
              <w:pStyle w:val="Tabletext"/>
              <w:jc w:val="center"/>
              <w:rPr>
                <w:rFonts w:cs="Tahoma"/>
                <w:highlight w:val="black"/>
              </w:rPr>
            </w:pPr>
            <w:r>
              <w:rPr>
                <w:rFonts w:eastAsia="Times New Roman" w:cs="Tahoma"/>
                <w:noProof/>
                <w:color w:val="000000"/>
                <w:highlight w:val="black"/>
              </w:rPr>
              <w:t>'''''''''' '''''''''''</w:t>
            </w:r>
          </w:p>
        </w:tc>
        <w:tc>
          <w:tcPr>
            <w:tcW w:w="1984" w:type="dxa"/>
          </w:tcPr>
          <w:p w:rsidR="00FB5052" w:rsidRPr="00A17B9D" w:rsidRDefault="00A17B9D" w:rsidP="0072793D">
            <w:pPr>
              <w:pStyle w:val="Tabletext"/>
              <w:jc w:val="center"/>
              <w:rPr>
                <w:rFonts w:cs="Tahoma"/>
                <w:highlight w:val="black"/>
              </w:rPr>
            </w:pPr>
            <w:r>
              <w:rPr>
                <w:rFonts w:cs="Tahoma"/>
                <w:noProof/>
                <w:color w:val="000000"/>
                <w:highlight w:val="black"/>
              </w:rPr>
              <w:t>'''''''' ''''''''''''''''''''''''</w:t>
            </w:r>
          </w:p>
        </w:tc>
      </w:tr>
    </w:tbl>
    <w:p w:rsidR="000F6EFC" w:rsidRPr="006316DF" w:rsidRDefault="00FB5052" w:rsidP="00250528">
      <w:pPr>
        <w:pStyle w:val="Tablenote"/>
      </w:pPr>
      <w:r w:rsidRPr="006316DF">
        <w:t xml:space="preserve">CI = confidence interval; CSR = clinical study report; </w:t>
      </w:r>
      <w:r w:rsidR="000F6EFC" w:rsidRPr="006F774E">
        <w:t xml:space="preserve">FC = functional class; </w:t>
      </w:r>
      <w:r w:rsidRPr="006316DF">
        <w:t xml:space="preserve">n = number of </w:t>
      </w:r>
      <w:r w:rsidR="000F6EFC">
        <w:t xml:space="preserve">patients with </w:t>
      </w:r>
      <w:r w:rsidRPr="006316DF">
        <w:t xml:space="preserve">events; N = number of patients; </w:t>
      </w:r>
      <w:r w:rsidR="000F6EFC" w:rsidRPr="009E3B52">
        <w:t xml:space="preserve">PAH = pulmonary arterial hypertension; </w:t>
      </w:r>
      <w:r w:rsidRPr="006316DF">
        <w:t>RR = relative risk</w:t>
      </w:r>
      <w:r w:rsidR="004B7C88">
        <w:t>;</w:t>
      </w:r>
      <w:r w:rsidR="004B7C88" w:rsidRPr="004B7C88">
        <w:t xml:space="preserve"> sGC = solub</w:t>
      </w:r>
      <w:r w:rsidR="004B7C88">
        <w:t>le guanylate cyclase</w:t>
      </w:r>
      <w:r w:rsidR="000F6EFC" w:rsidRPr="00F20C66">
        <w:t xml:space="preserve">; </w:t>
      </w:r>
      <w:r w:rsidR="000F6EFC" w:rsidRPr="009E3B52">
        <w:t>WHO = World Health Organization</w:t>
      </w:r>
    </w:p>
    <w:p w:rsidR="00FB5052" w:rsidRPr="006316DF" w:rsidRDefault="0077344D" w:rsidP="00FB5052">
      <w:pPr>
        <w:pStyle w:val="Heading5"/>
      </w:pPr>
      <w:r>
        <w:t>c.</w:t>
      </w:r>
      <w:r w:rsidR="0066218C">
        <w:tab/>
      </w:r>
      <w:r w:rsidR="00C828F9" w:rsidRPr="006316DF">
        <w:t>Hospitalisation</w:t>
      </w:r>
      <w:r w:rsidR="00C828F9" w:rsidRPr="0046652B">
        <w:t xml:space="preserve"> due to worsening PAH</w:t>
      </w:r>
    </w:p>
    <w:p w:rsidR="00FB5052" w:rsidRPr="006316DF" w:rsidRDefault="00A17B9D" w:rsidP="00FB5052">
      <w:r>
        <w:rPr>
          <w:noProof/>
          <w:color w:val="000000"/>
          <w:highlight w:val="black"/>
        </w:rPr>
        <w:t>'''''' '''''''''''''''</w:t>
      </w:r>
      <w:r w:rsidR="00FB5052" w:rsidRPr="006316DF">
        <w:t xml:space="preserve"> with WHO FC I/II PAH receiving</w:t>
      </w:r>
      <w:r w:rsidR="00FB5052">
        <w:t xml:space="preserve"> mono</w:t>
      </w:r>
      <w:r w:rsidR="00FB5052" w:rsidRPr="006316DF">
        <w:t xml:space="preserve">therapy were hospitalised </w:t>
      </w:r>
      <w:r w:rsidR="00250528">
        <w:t xml:space="preserve">due to PAH </w:t>
      </w:r>
      <w:r w:rsidR="00FB5052" w:rsidRPr="006316DF">
        <w:t>during the trial period (</w:t>
      </w:r>
      <w:r w:rsidR="00AA722D">
        <w:t xml:space="preserve">Table </w:t>
      </w:r>
      <w:r w:rsidR="00AA722D">
        <w:rPr>
          <w:noProof/>
        </w:rPr>
        <w:t>4.39</w:t>
      </w:r>
      <w:r w:rsidR="00085667">
        <w:t>).</w:t>
      </w:r>
    </w:p>
    <w:p w:rsidR="00FB5052" w:rsidRPr="006316DF" w:rsidRDefault="00B40240" w:rsidP="00BC5A2B">
      <w:pPr>
        <w:pStyle w:val="Caption"/>
      </w:pPr>
      <w:bookmarkStart w:id="130" w:name="_Ref500949260"/>
      <w:bookmarkStart w:id="131" w:name="_Toc512855443"/>
      <w:r>
        <w:t>Table 4.</w:t>
      </w:r>
      <w:r w:rsidR="00AA722D">
        <w:rPr>
          <w:noProof/>
        </w:rPr>
        <w:t>39</w:t>
      </w:r>
      <w:bookmarkEnd w:id="130"/>
      <w:r w:rsidR="00507955">
        <w:rPr>
          <w:noProof/>
        </w:rPr>
        <w:tab/>
        <w:t>Hospitalisation</w:t>
      </w:r>
      <w:r w:rsidR="00FB5052">
        <w:t xml:space="preserve"> </w:t>
      </w:r>
      <w:r w:rsidR="00250528">
        <w:t xml:space="preserve">due to PAH </w:t>
      </w:r>
      <w:r w:rsidR="00FB5052">
        <w:t>for</w:t>
      </w:r>
      <w:r w:rsidR="00FB5052" w:rsidRPr="006316DF">
        <w:t xml:space="preserve"> </w:t>
      </w:r>
      <w:r w:rsidR="00EB768B">
        <w:t xml:space="preserve">a </w:t>
      </w:r>
      <w:r w:rsidR="004B7C88" w:rsidRPr="004B7C88">
        <w:t xml:space="preserve">sGC stimulator </w:t>
      </w:r>
      <w:r w:rsidR="00FB5052" w:rsidRPr="006316DF">
        <w:t xml:space="preserve">compared with placebo in </w:t>
      </w:r>
      <w:r w:rsidR="00FB5052" w:rsidRPr="00B642BB">
        <w:t>patients with WHO FC I/II PAH</w:t>
      </w:r>
      <w:bookmarkEnd w:id="131"/>
    </w:p>
    <w:tbl>
      <w:tblPr>
        <w:tblStyle w:val="TableGrid7"/>
        <w:tblW w:w="9634" w:type="dxa"/>
        <w:tblLayout w:type="fixed"/>
        <w:tblLook w:val="04A0" w:firstRow="1" w:lastRow="0" w:firstColumn="1" w:lastColumn="0" w:noHBand="0" w:noVBand="1"/>
        <w:tblCaption w:val="Hospitalisation due to PAH for a sGC stimulator compared with placebo in patients with WHO FC I/II PAH"/>
      </w:tblPr>
      <w:tblGrid>
        <w:gridCol w:w="1980"/>
        <w:gridCol w:w="1701"/>
        <w:gridCol w:w="1984"/>
        <w:gridCol w:w="1985"/>
        <w:gridCol w:w="1984"/>
      </w:tblGrid>
      <w:tr w:rsidR="00FB5052" w:rsidRPr="006316DF" w:rsidTr="00085667">
        <w:trPr>
          <w:trHeight w:val="276"/>
          <w:tblHeader/>
        </w:trPr>
        <w:tc>
          <w:tcPr>
            <w:tcW w:w="1980" w:type="dxa"/>
            <w:vMerge w:val="restart"/>
            <w:shd w:val="clear" w:color="auto" w:fill="BFBFBF" w:themeFill="background1" w:themeFillShade="BF"/>
          </w:tcPr>
          <w:p w:rsidR="00FB5052" w:rsidRDefault="00FB5052" w:rsidP="00507955">
            <w:pPr>
              <w:pStyle w:val="Tabletext"/>
              <w:rPr>
                <w:b/>
              </w:rPr>
            </w:pPr>
            <w:r w:rsidRPr="00507955">
              <w:rPr>
                <w:b/>
              </w:rPr>
              <w:t>Study ID</w:t>
            </w:r>
          </w:p>
          <w:p w:rsidR="004B7C88" w:rsidRPr="00507955" w:rsidRDefault="004B7C88" w:rsidP="00507955">
            <w:pPr>
              <w:pStyle w:val="Tabletext"/>
              <w:rPr>
                <w:b/>
              </w:rPr>
            </w:pPr>
            <w:r w:rsidRPr="004B7C88">
              <w:rPr>
                <w:b/>
              </w:rPr>
              <w:t>sGC stimulator</w:t>
            </w:r>
          </w:p>
        </w:tc>
        <w:tc>
          <w:tcPr>
            <w:tcW w:w="1701" w:type="dxa"/>
            <w:vMerge w:val="restart"/>
            <w:shd w:val="clear" w:color="auto" w:fill="BFBFBF" w:themeFill="background1" w:themeFillShade="BF"/>
          </w:tcPr>
          <w:p w:rsidR="00FB5052" w:rsidRPr="00507955" w:rsidRDefault="00FB5052" w:rsidP="00507955">
            <w:pPr>
              <w:pStyle w:val="Tabletext"/>
              <w:rPr>
                <w:b/>
              </w:rPr>
            </w:pPr>
            <w:r w:rsidRPr="00507955">
              <w:rPr>
                <w:b/>
              </w:rPr>
              <w:t>Study period</w:t>
            </w:r>
          </w:p>
        </w:tc>
        <w:tc>
          <w:tcPr>
            <w:tcW w:w="3969" w:type="dxa"/>
            <w:gridSpan w:val="2"/>
            <w:shd w:val="clear" w:color="auto" w:fill="BFBFBF" w:themeFill="background1" w:themeFillShade="BF"/>
          </w:tcPr>
          <w:p w:rsidR="00FB5052" w:rsidRPr="00507955" w:rsidRDefault="00FB5052" w:rsidP="00507955">
            <w:pPr>
              <w:pStyle w:val="Tabletext"/>
              <w:jc w:val="center"/>
              <w:rPr>
                <w:b/>
              </w:rPr>
            </w:pPr>
            <w:r w:rsidRPr="00507955">
              <w:rPr>
                <w:b/>
              </w:rPr>
              <w:t>n/N (%)</w:t>
            </w:r>
          </w:p>
        </w:tc>
        <w:tc>
          <w:tcPr>
            <w:tcW w:w="1984" w:type="dxa"/>
            <w:vMerge w:val="restart"/>
            <w:shd w:val="clear" w:color="auto" w:fill="BFBFBF" w:themeFill="background1" w:themeFillShade="BF"/>
          </w:tcPr>
          <w:p w:rsidR="00FB5052" w:rsidRPr="00507955" w:rsidRDefault="00FB5052" w:rsidP="00507955">
            <w:pPr>
              <w:pStyle w:val="Tabletext"/>
              <w:jc w:val="center"/>
              <w:rPr>
                <w:b/>
              </w:rPr>
            </w:pPr>
            <w:r w:rsidRPr="00507955">
              <w:rPr>
                <w:b/>
              </w:rPr>
              <w:t>RR (95% CI)</w:t>
            </w:r>
          </w:p>
        </w:tc>
      </w:tr>
      <w:tr w:rsidR="00FB5052" w:rsidRPr="006316DF" w:rsidTr="00085667">
        <w:trPr>
          <w:trHeight w:val="202"/>
          <w:tblHeader/>
        </w:trPr>
        <w:tc>
          <w:tcPr>
            <w:tcW w:w="1980" w:type="dxa"/>
            <w:vMerge/>
            <w:shd w:val="clear" w:color="auto" w:fill="BFBFBF" w:themeFill="background1" w:themeFillShade="BF"/>
          </w:tcPr>
          <w:p w:rsidR="00FB5052" w:rsidRPr="00507955" w:rsidRDefault="00FB5052" w:rsidP="00507955">
            <w:pPr>
              <w:pStyle w:val="Tabletext"/>
            </w:pPr>
          </w:p>
        </w:tc>
        <w:tc>
          <w:tcPr>
            <w:tcW w:w="1701" w:type="dxa"/>
            <w:vMerge/>
            <w:shd w:val="clear" w:color="auto" w:fill="BFBFBF" w:themeFill="background1" w:themeFillShade="BF"/>
          </w:tcPr>
          <w:p w:rsidR="00FB5052" w:rsidRPr="00507955" w:rsidRDefault="00FB5052" w:rsidP="00507955">
            <w:pPr>
              <w:pStyle w:val="Tabletext"/>
            </w:pPr>
          </w:p>
        </w:tc>
        <w:tc>
          <w:tcPr>
            <w:tcW w:w="1984" w:type="dxa"/>
            <w:shd w:val="clear" w:color="auto" w:fill="BFBFBF" w:themeFill="background1" w:themeFillShade="BF"/>
          </w:tcPr>
          <w:p w:rsidR="00FB5052" w:rsidRPr="00507955" w:rsidRDefault="004B7C88" w:rsidP="00507955">
            <w:pPr>
              <w:pStyle w:val="Tabletext"/>
              <w:jc w:val="center"/>
              <w:rPr>
                <w:b/>
              </w:rPr>
            </w:pPr>
            <w:r w:rsidRPr="004B7C88">
              <w:rPr>
                <w:b/>
              </w:rPr>
              <w:t>sGC stimulator</w:t>
            </w:r>
          </w:p>
        </w:tc>
        <w:tc>
          <w:tcPr>
            <w:tcW w:w="1985" w:type="dxa"/>
            <w:shd w:val="clear" w:color="auto" w:fill="BFBFBF" w:themeFill="background1" w:themeFillShade="BF"/>
          </w:tcPr>
          <w:p w:rsidR="00FB5052" w:rsidRPr="00507955" w:rsidRDefault="00FB5052" w:rsidP="00507955">
            <w:pPr>
              <w:pStyle w:val="Tabletext"/>
              <w:jc w:val="center"/>
              <w:rPr>
                <w:b/>
              </w:rPr>
            </w:pPr>
            <w:r w:rsidRPr="00507955">
              <w:rPr>
                <w:b/>
              </w:rPr>
              <w:t>Placebo</w:t>
            </w:r>
          </w:p>
        </w:tc>
        <w:tc>
          <w:tcPr>
            <w:tcW w:w="1984" w:type="dxa"/>
            <w:vMerge/>
            <w:shd w:val="clear" w:color="auto" w:fill="BFBFBF" w:themeFill="background1" w:themeFillShade="BF"/>
          </w:tcPr>
          <w:p w:rsidR="00FB5052" w:rsidRPr="00507955" w:rsidRDefault="00FB5052" w:rsidP="00507955">
            <w:pPr>
              <w:pStyle w:val="Tabletext"/>
            </w:pPr>
          </w:p>
        </w:tc>
      </w:tr>
      <w:tr w:rsidR="00FB5052" w:rsidRPr="006316DF" w:rsidTr="00085667">
        <w:trPr>
          <w:trHeight w:val="70"/>
        </w:trPr>
        <w:tc>
          <w:tcPr>
            <w:tcW w:w="1980" w:type="dxa"/>
            <w:shd w:val="clear" w:color="auto" w:fill="auto"/>
          </w:tcPr>
          <w:p w:rsidR="00FB5052" w:rsidRDefault="00FB5052" w:rsidP="00507955">
            <w:pPr>
              <w:pStyle w:val="Tabletext"/>
            </w:pPr>
            <w:r w:rsidRPr="00507955">
              <w:t>PATENT-1 CSR</w:t>
            </w:r>
          </w:p>
          <w:p w:rsidR="004B7C88" w:rsidRPr="004B7C88" w:rsidRDefault="004B7C88" w:rsidP="00507955">
            <w:pPr>
              <w:pStyle w:val="Tabletext"/>
            </w:pPr>
            <w:r w:rsidRPr="004B7C88">
              <w:t>Riociguat</w:t>
            </w:r>
          </w:p>
        </w:tc>
        <w:tc>
          <w:tcPr>
            <w:tcW w:w="1701" w:type="dxa"/>
          </w:tcPr>
          <w:p w:rsidR="00FB5052" w:rsidRPr="00507955" w:rsidRDefault="00FB5052" w:rsidP="00507955">
            <w:pPr>
              <w:pStyle w:val="Tabletext"/>
            </w:pPr>
            <w:r w:rsidRPr="00507955">
              <w:t>12 weeks</w:t>
            </w:r>
          </w:p>
        </w:tc>
        <w:tc>
          <w:tcPr>
            <w:tcW w:w="1984" w:type="dxa"/>
            <w:shd w:val="clear" w:color="auto" w:fill="auto"/>
          </w:tcPr>
          <w:p w:rsidR="00FB5052" w:rsidRPr="00A17B9D" w:rsidRDefault="00A17B9D" w:rsidP="00507955">
            <w:pPr>
              <w:pStyle w:val="Tabletext"/>
              <w:jc w:val="center"/>
              <w:rPr>
                <w:highlight w:val="black"/>
              </w:rPr>
            </w:pPr>
            <w:r>
              <w:rPr>
                <w:noProof/>
                <w:color w:val="000000"/>
                <w:highlight w:val="black"/>
              </w:rPr>
              <w:t>''''''''''' ''''''''''</w:t>
            </w:r>
          </w:p>
        </w:tc>
        <w:tc>
          <w:tcPr>
            <w:tcW w:w="1985" w:type="dxa"/>
            <w:shd w:val="clear" w:color="auto" w:fill="auto"/>
          </w:tcPr>
          <w:p w:rsidR="00FB5052" w:rsidRPr="00A17B9D" w:rsidRDefault="00A17B9D" w:rsidP="00507955">
            <w:pPr>
              <w:pStyle w:val="Tabletext"/>
              <w:jc w:val="center"/>
              <w:rPr>
                <w:highlight w:val="black"/>
              </w:rPr>
            </w:pPr>
            <w:r>
              <w:rPr>
                <w:noProof/>
                <w:color w:val="000000"/>
                <w:highlight w:val="black"/>
              </w:rPr>
              <w:t>'''''''''''' '''''''''''</w:t>
            </w:r>
          </w:p>
        </w:tc>
        <w:tc>
          <w:tcPr>
            <w:tcW w:w="1984" w:type="dxa"/>
          </w:tcPr>
          <w:p w:rsidR="00FB5052" w:rsidRPr="00A17B9D" w:rsidRDefault="00A17B9D" w:rsidP="00507955">
            <w:pPr>
              <w:pStyle w:val="Tabletext"/>
              <w:jc w:val="center"/>
              <w:rPr>
                <w:highlight w:val="black"/>
              </w:rPr>
            </w:pPr>
            <w:r>
              <w:rPr>
                <w:noProof/>
                <w:color w:val="000000"/>
                <w:highlight w:val="black"/>
              </w:rPr>
              <w:t>'''''''' ''''''''''''''''''''''</w:t>
            </w:r>
          </w:p>
        </w:tc>
      </w:tr>
    </w:tbl>
    <w:p w:rsidR="000F6EFC" w:rsidRPr="006316DF" w:rsidRDefault="00FB5052" w:rsidP="00507955">
      <w:pPr>
        <w:pStyle w:val="Tablenote"/>
      </w:pPr>
      <w:r w:rsidRPr="006316DF">
        <w:t xml:space="preserve">CI = confidence interval; CSR = clinical study report; </w:t>
      </w:r>
      <w:r w:rsidR="000F6EFC" w:rsidRPr="006F774E">
        <w:t xml:space="preserve">FC = functional class; </w:t>
      </w:r>
      <w:r w:rsidRPr="006316DF">
        <w:t xml:space="preserve">n = number of </w:t>
      </w:r>
      <w:r w:rsidR="007E6E6A">
        <w:t xml:space="preserve">patients with </w:t>
      </w:r>
      <w:r w:rsidRPr="006316DF">
        <w:t xml:space="preserve">events; N = number of patients; </w:t>
      </w:r>
      <w:r w:rsidR="000F6EFC" w:rsidRPr="009E3B52">
        <w:t xml:space="preserve">PAH = pulmonary arterial hypertension; </w:t>
      </w:r>
      <w:r w:rsidRPr="006316DF">
        <w:t>RR = relative risk</w:t>
      </w:r>
      <w:r w:rsidR="004B7C88" w:rsidRPr="004B7C88">
        <w:t>; sGC = soluble guanylate cyclase</w:t>
      </w:r>
      <w:r w:rsidR="000F6EFC" w:rsidRPr="00F20C66">
        <w:t xml:space="preserve">; </w:t>
      </w:r>
      <w:r w:rsidR="000F6EFC" w:rsidRPr="009E3B52">
        <w:t>WHO = World Health Organization</w:t>
      </w:r>
    </w:p>
    <w:p w:rsidR="00FB5052" w:rsidRPr="006316DF" w:rsidRDefault="0077344D" w:rsidP="00FB5052">
      <w:pPr>
        <w:pStyle w:val="Heading5"/>
      </w:pPr>
      <w:r>
        <w:t>d.</w:t>
      </w:r>
      <w:r w:rsidR="0066218C">
        <w:tab/>
      </w:r>
      <w:r w:rsidR="00FB5052" w:rsidRPr="006316DF">
        <w:t xml:space="preserve">Change in WHO </w:t>
      </w:r>
      <w:r w:rsidR="00FB5052">
        <w:t>FC</w:t>
      </w:r>
      <w:r w:rsidR="007B6C7C">
        <w:t xml:space="preserve"> from baseline</w:t>
      </w:r>
    </w:p>
    <w:p w:rsidR="00FB5052" w:rsidRPr="006316DF" w:rsidRDefault="00A17B9D" w:rsidP="00FB5052">
      <w:r>
        <w:rPr>
          <w:noProof/>
          <w:color w:val="000000"/>
          <w:highlight w:val="black"/>
        </w:rPr>
        <w:t>'''''''''''''''''''''' ''''''''''</w:t>
      </w:r>
      <w:r w:rsidR="00FB5052" w:rsidRPr="006316DF">
        <w:t xml:space="preserve"> patients in the </w:t>
      </w:r>
      <w:r>
        <w:rPr>
          <w:noProof/>
          <w:color w:val="000000"/>
          <w:highlight w:val="black"/>
        </w:rPr>
        <w:t>''''''''''''''</w:t>
      </w:r>
      <w:r w:rsidR="00FB5052" w:rsidRPr="006316DF">
        <w:t xml:space="preserve"> group experienced worsening of their WHO FC compared with the </w:t>
      </w:r>
      <w:r>
        <w:rPr>
          <w:noProof/>
          <w:color w:val="000000"/>
          <w:highlight w:val="black"/>
        </w:rPr>
        <w:t>''''''''''''''''''</w:t>
      </w:r>
      <w:r w:rsidR="00FB5052" w:rsidRPr="006316DF">
        <w:t xml:space="preserve"> group</w:t>
      </w:r>
      <w:r w:rsidR="00FB5052">
        <w:t xml:space="preserve"> (</w:t>
      </w:r>
      <w:r w:rsidR="00B21201">
        <w:t>ARD</w:t>
      </w:r>
      <w:r w:rsidR="00973227">
        <w:t> </w:t>
      </w:r>
      <w:r w:rsidR="00FB5052" w:rsidRPr="00707847">
        <w:t>=</w:t>
      </w:r>
      <w:r w:rsidR="00973227">
        <w:t> </w:t>
      </w:r>
      <w:r>
        <w:rPr>
          <w:noProof/>
          <w:color w:val="000000"/>
          <w:highlight w:val="black"/>
        </w:rPr>
        <w:t>''''''''''''''' ''''''''' '''' '''''''''''' '''''''''' ''''''''''''''''''''</w:t>
      </w:r>
      <w:r w:rsidR="00FB5052" w:rsidRPr="006316DF">
        <w:t xml:space="preserve"> </w:t>
      </w:r>
      <w:r w:rsidR="00FB5052">
        <w:t>(</w:t>
      </w:r>
      <w:r w:rsidR="00AA722D">
        <w:t xml:space="preserve">Table </w:t>
      </w:r>
      <w:r w:rsidR="00AA722D">
        <w:rPr>
          <w:noProof/>
        </w:rPr>
        <w:t>4.40</w:t>
      </w:r>
      <w:r w:rsidR="00FB5052" w:rsidRPr="006316DF">
        <w:t xml:space="preserve">). </w:t>
      </w:r>
      <w:r>
        <w:rPr>
          <w:noProof/>
          <w:color w:val="000000"/>
          <w:highlight w:val="black"/>
        </w:rPr>
        <w:t>'''''''''' '''''''''''''''' '''' ''''''' ''''''''''''''''</w:t>
      </w:r>
      <w:r w:rsidR="00FB5052" w:rsidRPr="006316DF">
        <w:t xml:space="preserve"> group also showed an improvement in WHO FC over those in the </w:t>
      </w:r>
      <w:r>
        <w:rPr>
          <w:noProof/>
          <w:color w:val="000000"/>
          <w:highlight w:val="black"/>
        </w:rPr>
        <w:t>''''''''''''''''''</w:t>
      </w:r>
      <w:r w:rsidR="00FB5052" w:rsidRPr="006316DF">
        <w:t xml:space="preserve"> group, but this did not reach statistical significance</w:t>
      </w:r>
      <w:r w:rsidR="00FB5052">
        <w:t xml:space="preserve"> (</w:t>
      </w:r>
      <w:r w:rsidR="00B21201">
        <w:t>ARD</w:t>
      </w:r>
      <w:r w:rsidR="00973227">
        <w:t> </w:t>
      </w:r>
      <w:r w:rsidR="00FB5052">
        <w:t>=</w:t>
      </w:r>
      <w:r w:rsidR="00973227">
        <w:t> </w:t>
      </w:r>
      <w:r>
        <w:rPr>
          <w:noProof/>
          <w:color w:val="000000"/>
          <w:highlight w:val="black"/>
        </w:rPr>
        <w:t>''''''''''' '''''''' ''''' '''''''''''' ''''''''</w:t>
      </w:r>
      <w:r w:rsidR="00085667" w:rsidRPr="00085667">
        <w:rPr>
          <w:highlight w:val="green"/>
        </w:rPr>
        <w:t xml:space="preserve"> </w:t>
      </w:r>
      <w:r>
        <w:rPr>
          <w:noProof/>
          <w:color w:val="000000"/>
          <w:highlight w:val="black"/>
        </w:rPr>
        <w:t>'''''''''''''''</w:t>
      </w:r>
      <w:r w:rsidR="00FB5052">
        <w:t>)</w:t>
      </w:r>
      <w:r w:rsidR="00FB5052" w:rsidRPr="006316DF">
        <w:t>.</w:t>
      </w:r>
      <w:r w:rsidR="00FB5052">
        <w:t xml:space="preserve"> Thus, </w:t>
      </w:r>
      <w:r>
        <w:rPr>
          <w:noProof/>
          <w:color w:val="000000"/>
          <w:highlight w:val="black"/>
        </w:rPr>
        <w:t>''''''''</w:t>
      </w:r>
      <w:r w:rsidR="00FB5052">
        <w:t xml:space="preserve"> patients need to be treated with </w:t>
      </w:r>
      <w:r>
        <w:rPr>
          <w:noProof/>
          <w:color w:val="000000"/>
          <w:highlight w:val="black"/>
        </w:rPr>
        <w:t>''''''''''''''''</w:t>
      </w:r>
      <w:r w:rsidR="00FB5052">
        <w:t xml:space="preserve"> to prevent harm (worsening of WHO FC) to one additional patient compared with </w:t>
      </w:r>
      <w:r>
        <w:rPr>
          <w:noProof/>
          <w:color w:val="000000"/>
          <w:highlight w:val="black"/>
        </w:rPr>
        <w:t>''''''''''''''''</w:t>
      </w:r>
      <w:r w:rsidR="00FB5052">
        <w:t>.</w:t>
      </w:r>
    </w:p>
    <w:p w:rsidR="00FB5052" w:rsidRPr="006316DF" w:rsidRDefault="00B40240" w:rsidP="00BC5A2B">
      <w:pPr>
        <w:pStyle w:val="Caption"/>
      </w:pPr>
      <w:bookmarkStart w:id="132" w:name="_Ref501442201"/>
      <w:bookmarkStart w:id="133" w:name="_Toc512855444"/>
      <w:r>
        <w:lastRenderedPageBreak/>
        <w:t>Table 4.</w:t>
      </w:r>
      <w:r w:rsidR="00AA722D">
        <w:rPr>
          <w:noProof/>
        </w:rPr>
        <w:t>40</w:t>
      </w:r>
      <w:bookmarkEnd w:id="132"/>
      <w:r w:rsidR="00507955">
        <w:rPr>
          <w:noProof/>
        </w:rPr>
        <w:tab/>
      </w:r>
      <w:r w:rsidR="00FB5052" w:rsidRPr="006316DF">
        <w:t xml:space="preserve">The effectiveness of </w:t>
      </w:r>
      <w:r w:rsidR="00EB768B">
        <w:t xml:space="preserve">a </w:t>
      </w:r>
      <w:r w:rsidR="004B7C88" w:rsidRPr="004B7C88">
        <w:t>sGC stimulator</w:t>
      </w:r>
      <w:r w:rsidR="004B7C88">
        <w:t xml:space="preserve"> </w:t>
      </w:r>
      <w:r w:rsidR="00FB5052" w:rsidRPr="006316DF">
        <w:t>compared with placebo in improving WHO FC</w:t>
      </w:r>
      <w:r w:rsidR="00FB5052" w:rsidRPr="00B642BB">
        <w:t xml:space="preserve"> in patients with WHO FC I/II PAH</w:t>
      </w:r>
      <w:bookmarkEnd w:id="133"/>
    </w:p>
    <w:tbl>
      <w:tblPr>
        <w:tblStyle w:val="TableGrid7"/>
        <w:tblW w:w="9634" w:type="dxa"/>
        <w:tblLayout w:type="fixed"/>
        <w:tblLook w:val="04A0" w:firstRow="1" w:lastRow="0" w:firstColumn="1" w:lastColumn="0" w:noHBand="0" w:noVBand="1"/>
        <w:tblCaption w:val="The effectiveness of a sGC stimulator compared with placebo in improving WHO FC in patients with WHO FC I/II PAH"/>
      </w:tblPr>
      <w:tblGrid>
        <w:gridCol w:w="1696"/>
        <w:gridCol w:w="1985"/>
        <w:gridCol w:w="1984"/>
        <w:gridCol w:w="1985"/>
        <w:gridCol w:w="1984"/>
      </w:tblGrid>
      <w:tr w:rsidR="00FB5052" w:rsidRPr="006316DF" w:rsidTr="004B7C88">
        <w:trPr>
          <w:trHeight w:val="197"/>
          <w:tblHeader/>
        </w:trPr>
        <w:tc>
          <w:tcPr>
            <w:tcW w:w="1696" w:type="dxa"/>
            <w:vMerge w:val="restart"/>
            <w:shd w:val="clear" w:color="auto" w:fill="BFBFBF" w:themeFill="background1" w:themeFillShade="BF"/>
          </w:tcPr>
          <w:p w:rsidR="00FB5052" w:rsidRDefault="00FB5052" w:rsidP="00507955">
            <w:pPr>
              <w:pStyle w:val="Tabletext"/>
              <w:rPr>
                <w:b/>
              </w:rPr>
            </w:pPr>
            <w:r w:rsidRPr="00507955">
              <w:rPr>
                <w:b/>
              </w:rPr>
              <w:t>Study ID</w:t>
            </w:r>
          </w:p>
          <w:p w:rsidR="004B7C88" w:rsidRPr="00507955" w:rsidRDefault="004B7C88" w:rsidP="00507955">
            <w:pPr>
              <w:pStyle w:val="Tabletext"/>
              <w:rPr>
                <w:b/>
              </w:rPr>
            </w:pPr>
            <w:r w:rsidRPr="004B7C88">
              <w:rPr>
                <w:b/>
              </w:rPr>
              <w:t>sGC stimulator</w:t>
            </w:r>
          </w:p>
        </w:tc>
        <w:tc>
          <w:tcPr>
            <w:tcW w:w="1985" w:type="dxa"/>
            <w:vMerge w:val="restart"/>
            <w:shd w:val="clear" w:color="auto" w:fill="BFBFBF" w:themeFill="background1" w:themeFillShade="BF"/>
          </w:tcPr>
          <w:p w:rsidR="00FB5052" w:rsidRPr="00507955" w:rsidRDefault="00FB5052" w:rsidP="00507955">
            <w:pPr>
              <w:pStyle w:val="Tabletext"/>
              <w:rPr>
                <w:b/>
              </w:rPr>
            </w:pPr>
            <w:r w:rsidRPr="00507955">
              <w:rPr>
                <w:b/>
              </w:rPr>
              <w:t>Change in WHO FC</w:t>
            </w:r>
          </w:p>
        </w:tc>
        <w:tc>
          <w:tcPr>
            <w:tcW w:w="3969" w:type="dxa"/>
            <w:gridSpan w:val="2"/>
            <w:shd w:val="clear" w:color="auto" w:fill="BFBFBF" w:themeFill="background1" w:themeFillShade="BF"/>
          </w:tcPr>
          <w:p w:rsidR="00FB5052" w:rsidRPr="00EF711D" w:rsidRDefault="00FB5052" w:rsidP="00EF711D">
            <w:pPr>
              <w:pStyle w:val="Tabletext"/>
              <w:jc w:val="center"/>
              <w:rPr>
                <w:b/>
              </w:rPr>
            </w:pPr>
            <w:r w:rsidRPr="00EF711D">
              <w:rPr>
                <w:b/>
              </w:rPr>
              <w:t>n/N (%)</w:t>
            </w:r>
          </w:p>
        </w:tc>
        <w:tc>
          <w:tcPr>
            <w:tcW w:w="1984" w:type="dxa"/>
            <w:vMerge w:val="restart"/>
            <w:shd w:val="clear" w:color="auto" w:fill="BFBFBF" w:themeFill="background1" w:themeFillShade="BF"/>
          </w:tcPr>
          <w:p w:rsidR="00FB5052" w:rsidRPr="00EF711D" w:rsidRDefault="00FB5052" w:rsidP="00EF711D">
            <w:pPr>
              <w:pStyle w:val="Tabletext"/>
              <w:jc w:val="center"/>
              <w:rPr>
                <w:b/>
              </w:rPr>
            </w:pPr>
            <w:r w:rsidRPr="00EF711D">
              <w:rPr>
                <w:b/>
              </w:rPr>
              <w:t>RR (95% CI)</w:t>
            </w:r>
          </w:p>
        </w:tc>
      </w:tr>
      <w:tr w:rsidR="00FB5052" w:rsidRPr="006316DF" w:rsidTr="00085667">
        <w:trPr>
          <w:trHeight w:val="202"/>
          <w:tblHeader/>
        </w:trPr>
        <w:tc>
          <w:tcPr>
            <w:tcW w:w="1696" w:type="dxa"/>
            <w:vMerge/>
            <w:shd w:val="clear" w:color="auto" w:fill="BFBFBF" w:themeFill="background1" w:themeFillShade="BF"/>
          </w:tcPr>
          <w:p w:rsidR="00FB5052" w:rsidRPr="00507955" w:rsidRDefault="00FB5052" w:rsidP="00507955">
            <w:pPr>
              <w:pStyle w:val="Tabletext"/>
            </w:pPr>
          </w:p>
        </w:tc>
        <w:tc>
          <w:tcPr>
            <w:tcW w:w="1985" w:type="dxa"/>
            <w:vMerge/>
            <w:shd w:val="clear" w:color="auto" w:fill="BFBFBF" w:themeFill="background1" w:themeFillShade="BF"/>
          </w:tcPr>
          <w:p w:rsidR="00FB5052" w:rsidRPr="00507955" w:rsidRDefault="00FB5052" w:rsidP="00507955">
            <w:pPr>
              <w:pStyle w:val="Tabletext"/>
            </w:pPr>
          </w:p>
        </w:tc>
        <w:tc>
          <w:tcPr>
            <w:tcW w:w="1984" w:type="dxa"/>
            <w:shd w:val="clear" w:color="auto" w:fill="BFBFBF" w:themeFill="background1" w:themeFillShade="BF"/>
          </w:tcPr>
          <w:p w:rsidR="00FB5052" w:rsidRPr="00EF711D" w:rsidRDefault="004B7C88" w:rsidP="00EF711D">
            <w:pPr>
              <w:pStyle w:val="Tabletext"/>
              <w:jc w:val="center"/>
              <w:rPr>
                <w:b/>
              </w:rPr>
            </w:pPr>
            <w:r w:rsidRPr="004B7C88">
              <w:rPr>
                <w:b/>
              </w:rPr>
              <w:t>sGC stimulator</w:t>
            </w:r>
          </w:p>
        </w:tc>
        <w:tc>
          <w:tcPr>
            <w:tcW w:w="1985" w:type="dxa"/>
            <w:shd w:val="clear" w:color="auto" w:fill="BFBFBF" w:themeFill="background1" w:themeFillShade="BF"/>
          </w:tcPr>
          <w:p w:rsidR="00FB5052" w:rsidRPr="00EF711D" w:rsidRDefault="00FB5052" w:rsidP="00EF711D">
            <w:pPr>
              <w:pStyle w:val="Tabletext"/>
              <w:jc w:val="center"/>
              <w:rPr>
                <w:b/>
              </w:rPr>
            </w:pPr>
            <w:r w:rsidRPr="00EF711D">
              <w:rPr>
                <w:b/>
              </w:rPr>
              <w:t>Placebo</w:t>
            </w:r>
          </w:p>
        </w:tc>
        <w:tc>
          <w:tcPr>
            <w:tcW w:w="1984" w:type="dxa"/>
            <w:vMerge/>
            <w:shd w:val="clear" w:color="auto" w:fill="BFBFBF" w:themeFill="background1" w:themeFillShade="BF"/>
          </w:tcPr>
          <w:p w:rsidR="00FB5052" w:rsidRPr="00507955" w:rsidRDefault="00FB5052" w:rsidP="00507955">
            <w:pPr>
              <w:pStyle w:val="Tabletext"/>
            </w:pPr>
          </w:p>
        </w:tc>
      </w:tr>
      <w:tr w:rsidR="00FB5052" w:rsidRPr="006316DF" w:rsidTr="00085667">
        <w:trPr>
          <w:trHeight w:val="70"/>
        </w:trPr>
        <w:tc>
          <w:tcPr>
            <w:tcW w:w="1696" w:type="dxa"/>
            <w:vMerge w:val="restart"/>
          </w:tcPr>
          <w:p w:rsidR="00FB5052" w:rsidRDefault="00FB5052" w:rsidP="00507955">
            <w:pPr>
              <w:pStyle w:val="Tabletext"/>
            </w:pPr>
            <w:r w:rsidRPr="00507955">
              <w:t>PATENT-1 CSR</w:t>
            </w:r>
          </w:p>
          <w:p w:rsidR="004B7C88" w:rsidRPr="004B7C88" w:rsidRDefault="004B7C88" w:rsidP="00507955">
            <w:pPr>
              <w:pStyle w:val="Tabletext"/>
            </w:pPr>
            <w:r w:rsidRPr="004B7C88">
              <w:t>Riociguat</w:t>
            </w:r>
          </w:p>
        </w:tc>
        <w:tc>
          <w:tcPr>
            <w:tcW w:w="1985" w:type="dxa"/>
          </w:tcPr>
          <w:p w:rsidR="00FB5052" w:rsidRPr="00507955" w:rsidRDefault="00FB5052" w:rsidP="00507955">
            <w:pPr>
              <w:pStyle w:val="Tabletext"/>
            </w:pPr>
            <w:r w:rsidRPr="00507955">
              <w:t>Improved</w:t>
            </w:r>
          </w:p>
        </w:tc>
        <w:tc>
          <w:tcPr>
            <w:tcW w:w="1984" w:type="dxa"/>
            <w:shd w:val="clear" w:color="auto" w:fill="auto"/>
          </w:tcPr>
          <w:p w:rsidR="00FB5052" w:rsidRPr="00A17B9D" w:rsidRDefault="00A17B9D" w:rsidP="00EF711D">
            <w:pPr>
              <w:pStyle w:val="Tabletext"/>
              <w:jc w:val="center"/>
              <w:rPr>
                <w:highlight w:val="black"/>
              </w:rPr>
            </w:pPr>
            <w:r>
              <w:rPr>
                <w:noProof/>
                <w:color w:val="000000"/>
                <w:highlight w:val="black"/>
              </w:rPr>
              <w:t>''''''''''' ''''''''''''</w:t>
            </w:r>
          </w:p>
        </w:tc>
        <w:tc>
          <w:tcPr>
            <w:tcW w:w="1985" w:type="dxa"/>
            <w:shd w:val="clear" w:color="auto" w:fill="auto"/>
          </w:tcPr>
          <w:p w:rsidR="00FB5052" w:rsidRPr="00A17B9D" w:rsidRDefault="00A17B9D" w:rsidP="00EF711D">
            <w:pPr>
              <w:pStyle w:val="Tabletext"/>
              <w:jc w:val="center"/>
              <w:rPr>
                <w:highlight w:val="black"/>
              </w:rPr>
            </w:pPr>
            <w:r>
              <w:rPr>
                <w:noProof/>
                <w:color w:val="000000"/>
                <w:highlight w:val="black"/>
              </w:rPr>
              <w:t>'''''''''' ''''''''''</w:t>
            </w:r>
          </w:p>
        </w:tc>
        <w:tc>
          <w:tcPr>
            <w:tcW w:w="1984" w:type="dxa"/>
          </w:tcPr>
          <w:p w:rsidR="00FB5052" w:rsidRPr="00A17B9D" w:rsidRDefault="00A17B9D" w:rsidP="00EF711D">
            <w:pPr>
              <w:pStyle w:val="Tabletext"/>
              <w:jc w:val="center"/>
              <w:rPr>
                <w:highlight w:val="black"/>
              </w:rPr>
            </w:pPr>
            <w:r>
              <w:rPr>
                <w:noProof/>
                <w:color w:val="000000"/>
                <w:highlight w:val="black"/>
              </w:rPr>
              <w:t>'''''''''' '''''''''''''' '''''''''''''</w:t>
            </w:r>
          </w:p>
        </w:tc>
      </w:tr>
      <w:tr w:rsidR="00FB5052" w:rsidRPr="006316DF" w:rsidTr="00085667">
        <w:trPr>
          <w:trHeight w:val="70"/>
        </w:trPr>
        <w:tc>
          <w:tcPr>
            <w:tcW w:w="1696" w:type="dxa"/>
            <w:vMerge/>
          </w:tcPr>
          <w:p w:rsidR="00FB5052" w:rsidRPr="00507955" w:rsidRDefault="00FB5052" w:rsidP="00507955">
            <w:pPr>
              <w:pStyle w:val="Tabletext"/>
            </w:pPr>
          </w:p>
        </w:tc>
        <w:tc>
          <w:tcPr>
            <w:tcW w:w="1985" w:type="dxa"/>
          </w:tcPr>
          <w:p w:rsidR="00FB5052" w:rsidRPr="00507955" w:rsidRDefault="00FB5052" w:rsidP="00507955">
            <w:pPr>
              <w:pStyle w:val="Tabletext"/>
            </w:pPr>
            <w:r w:rsidRPr="00507955">
              <w:t>Worsened</w:t>
            </w:r>
          </w:p>
        </w:tc>
        <w:tc>
          <w:tcPr>
            <w:tcW w:w="1984" w:type="dxa"/>
            <w:shd w:val="clear" w:color="auto" w:fill="auto"/>
          </w:tcPr>
          <w:p w:rsidR="00FB5052" w:rsidRPr="00A17B9D" w:rsidRDefault="00A17B9D" w:rsidP="00EF711D">
            <w:pPr>
              <w:pStyle w:val="Tabletext"/>
              <w:jc w:val="center"/>
              <w:rPr>
                <w:highlight w:val="black"/>
              </w:rPr>
            </w:pPr>
            <w:r>
              <w:rPr>
                <w:noProof/>
                <w:color w:val="000000"/>
                <w:highlight w:val="black"/>
              </w:rPr>
              <w:t>''''''''''' ''''''''''''</w:t>
            </w:r>
          </w:p>
        </w:tc>
        <w:tc>
          <w:tcPr>
            <w:tcW w:w="1985" w:type="dxa"/>
            <w:shd w:val="clear" w:color="auto" w:fill="auto"/>
          </w:tcPr>
          <w:p w:rsidR="00FB5052" w:rsidRPr="00A17B9D" w:rsidRDefault="00A17B9D" w:rsidP="00EF711D">
            <w:pPr>
              <w:pStyle w:val="Tabletext"/>
              <w:jc w:val="center"/>
              <w:rPr>
                <w:highlight w:val="black"/>
              </w:rPr>
            </w:pPr>
            <w:r>
              <w:rPr>
                <w:noProof/>
                <w:color w:val="000000"/>
                <w:highlight w:val="black"/>
              </w:rPr>
              <w:t>''''''''''''' '''''''''''''</w:t>
            </w:r>
          </w:p>
        </w:tc>
        <w:tc>
          <w:tcPr>
            <w:tcW w:w="1984" w:type="dxa"/>
          </w:tcPr>
          <w:p w:rsidR="00FB5052" w:rsidRPr="00A17B9D" w:rsidRDefault="00A17B9D" w:rsidP="00EF711D">
            <w:pPr>
              <w:pStyle w:val="Tabletext"/>
              <w:jc w:val="center"/>
              <w:rPr>
                <w:highlight w:val="black"/>
              </w:rPr>
            </w:pPr>
            <w:r>
              <w:rPr>
                <w:noProof/>
                <w:color w:val="000000"/>
                <w:highlight w:val="black"/>
              </w:rPr>
              <w:t>''''''''''' ''''''''''''' '''''''''''</w:t>
            </w:r>
          </w:p>
        </w:tc>
      </w:tr>
    </w:tbl>
    <w:p w:rsidR="007E6E6A" w:rsidRPr="006316DF" w:rsidRDefault="00FB5052" w:rsidP="00507955">
      <w:pPr>
        <w:pStyle w:val="Tablenote"/>
      </w:pPr>
      <w:r w:rsidRPr="006316DF">
        <w:t>CI = confidence interval; CSR</w:t>
      </w:r>
      <w:r>
        <w:t xml:space="preserve"> </w:t>
      </w:r>
      <w:r w:rsidRPr="006316DF">
        <w:t>=</w:t>
      </w:r>
      <w:r>
        <w:t xml:space="preserve"> </w:t>
      </w:r>
      <w:r w:rsidRPr="006316DF">
        <w:t xml:space="preserve">clinical study report; FC = functional class; n = number of </w:t>
      </w:r>
      <w:r w:rsidR="007E6E6A">
        <w:t xml:space="preserve">patients with </w:t>
      </w:r>
      <w:r w:rsidRPr="006316DF">
        <w:t xml:space="preserve">events; N = number of patients; </w:t>
      </w:r>
      <w:r w:rsidR="007E6E6A" w:rsidRPr="009E3B52">
        <w:t xml:space="preserve">PAH = pulmonary arterial hypertension; </w:t>
      </w:r>
      <w:r w:rsidRPr="006316DF">
        <w:t>RR = relative risk</w:t>
      </w:r>
      <w:r w:rsidR="004B7C88" w:rsidRPr="004B7C88">
        <w:t xml:space="preserve">; sGC = soluble guanylate cyclase; </w:t>
      </w:r>
      <w:r w:rsidRPr="006316DF">
        <w:t xml:space="preserve">WHO = World Health </w:t>
      </w:r>
      <w:r>
        <w:t>Organization</w:t>
      </w:r>
    </w:p>
    <w:p w:rsidR="00FB5052" w:rsidRPr="006316DF" w:rsidRDefault="00EE09B2" w:rsidP="00FB5052">
      <w:pPr>
        <w:pStyle w:val="Heading5"/>
      </w:pPr>
      <w:r>
        <w:t>e</w:t>
      </w:r>
      <w:r w:rsidR="0077344D">
        <w:t>.</w:t>
      </w:r>
      <w:r w:rsidR="0066218C">
        <w:tab/>
      </w:r>
      <w:r w:rsidR="003076D6">
        <w:t>Change in 6MWD from baseline</w:t>
      </w:r>
    </w:p>
    <w:p w:rsidR="00FB5052" w:rsidRPr="006316DF" w:rsidRDefault="00FB5052" w:rsidP="00FB5052">
      <w:r w:rsidRPr="006316DF">
        <w:t xml:space="preserve">The patients being treated with riociguat showed a placebo-adjusted improvement of </w:t>
      </w:r>
      <w:r w:rsidR="00A17B9D">
        <w:rPr>
          <w:noProof/>
          <w:color w:val="000000"/>
          <w:highlight w:val="black"/>
        </w:rPr>
        <w:t>''''''''</w:t>
      </w:r>
      <w:r w:rsidRPr="006316DF">
        <w:t xml:space="preserve"> m </w:t>
      </w:r>
      <w:r>
        <w:t xml:space="preserve">in 6MWD </w:t>
      </w:r>
      <w:r w:rsidRPr="006316DF">
        <w:t>over the 12-week trial period</w:t>
      </w:r>
      <w:r>
        <w:t xml:space="preserve"> but the result was not statistically significant or clinically important (given the baseline distance walked)</w:t>
      </w:r>
      <w:r w:rsidRPr="006316DF">
        <w:t xml:space="preserve"> (</w:t>
      </w:r>
      <w:r w:rsidR="00AA722D">
        <w:t xml:space="preserve">Table </w:t>
      </w:r>
      <w:r w:rsidR="00AA722D">
        <w:rPr>
          <w:noProof/>
        </w:rPr>
        <w:t>4.41</w:t>
      </w:r>
      <w:r w:rsidRPr="006316DF">
        <w:t>).</w:t>
      </w:r>
    </w:p>
    <w:p w:rsidR="00FB5052" w:rsidRDefault="00B40240" w:rsidP="00BC5A2B">
      <w:pPr>
        <w:pStyle w:val="Caption"/>
      </w:pPr>
      <w:bookmarkStart w:id="134" w:name="_Ref501442174"/>
      <w:bookmarkStart w:id="135" w:name="_Toc512855445"/>
      <w:r>
        <w:t>Table 4.</w:t>
      </w:r>
      <w:r w:rsidR="00AA722D">
        <w:rPr>
          <w:noProof/>
        </w:rPr>
        <w:t>41</w:t>
      </w:r>
      <w:bookmarkEnd w:id="134"/>
      <w:r w:rsidR="00857DBE">
        <w:rPr>
          <w:noProof/>
        </w:rPr>
        <w:tab/>
      </w:r>
      <w:r w:rsidR="00FB5052" w:rsidRPr="006316DF">
        <w:t xml:space="preserve">The effectiveness of </w:t>
      </w:r>
      <w:r w:rsidR="00EB768B">
        <w:t xml:space="preserve">a </w:t>
      </w:r>
      <w:r w:rsidR="004B7C88" w:rsidRPr="004B7C88">
        <w:t>sGC stimulator</w:t>
      </w:r>
      <w:r w:rsidR="004B7C88">
        <w:t xml:space="preserve"> </w:t>
      </w:r>
      <w:r w:rsidR="00FB5052" w:rsidRPr="00544FB4">
        <w:t xml:space="preserve">compared with </w:t>
      </w:r>
      <w:r w:rsidR="00FB5052" w:rsidRPr="006316DF">
        <w:t>placebo in improving 6MWD</w:t>
      </w:r>
      <w:r w:rsidR="00FB5052" w:rsidRPr="00B642BB">
        <w:t xml:space="preserve"> in patients with WHO FC I/II PAH</w:t>
      </w:r>
      <w:bookmarkEnd w:id="135"/>
    </w:p>
    <w:tbl>
      <w:tblPr>
        <w:tblStyle w:val="TableGrid"/>
        <w:tblW w:w="9776" w:type="dxa"/>
        <w:tblLayout w:type="fixed"/>
        <w:tblLook w:val="04A0" w:firstRow="1" w:lastRow="0" w:firstColumn="1" w:lastColumn="0" w:noHBand="0" w:noVBand="1"/>
        <w:tblCaption w:val="The effectiveness of a sGC stimulator compared with placebo in improving 6MWD in patients with WHO FC I/II PAH"/>
      </w:tblPr>
      <w:tblGrid>
        <w:gridCol w:w="1271"/>
        <w:gridCol w:w="1276"/>
        <w:gridCol w:w="1346"/>
        <w:gridCol w:w="1347"/>
        <w:gridCol w:w="1559"/>
        <w:gridCol w:w="1560"/>
        <w:gridCol w:w="1417"/>
      </w:tblGrid>
      <w:tr w:rsidR="00FB5052" w:rsidRPr="00857DBE" w:rsidTr="004B7C88">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FB5052" w:rsidRDefault="00FB5052" w:rsidP="00857DBE">
            <w:pPr>
              <w:pStyle w:val="Tabletext"/>
              <w:rPr>
                <w:b/>
              </w:rPr>
            </w:pPr>
            <w:r w:rsidRPr="00857DBE">
              <w:rPr>
                <w:b/>
              </w:rPr>
              <w:t>Study ID</w:t>
            </w:r>
          </w:p>
          <w:p w:rsidR="004B7C88" w:rsidRPr="00857DBE" w:rsidRDefault="004B7C88" w:rsidP="00857DBE">
            <w:pPr>
              <w:pStyle w:val="Tabletext"/>
              <w:rPr>
                <w:b/>
              </w:rPr>
            </w:pPr>
            <w:r w:rsidRPr="004B7C88">
              <w:rPr>
                <w:b/>
              </w:rPr>
              <w:t>sGC stimulator</w:t>
            </w:r>
          </w:p>
        </w:tc>
        <w:tc>
          <w:tcPr>
            <w:tcW w:w="1276" w:type="dxa"/>
            <w:vMerge w:val="restart"/>
            <w:shd w:val="clear" w:color="auto" w:fill="BFBFBF" w:themeFill="background1" w:themeFillShade="BF"/>
          </w:tcPr>
          <w:p w:rsidR="00FB5052" w:rsidRPr="00857DBE" w:rsidRDefault="00FB5052" w:rsidP="00857DBE">
            <w:pPr>
              <w:pStyle w:val="Tabletext"/>
              <w:rPr>
                <w:b/>
              </w:rPr>
            </w:pPr>
            <w:r w:rsidRPr="00857DBE">
              <w:rPr>
                <w:b/>
              </w:rPr>
              <w:t>N</w:t>
            </w:r>
          </w:p>
          <w:p w:rsidR="00FB5052" w:rsidRPr="00857DBE" w:rsidRDefault="00FB5052" w:rsidP="00857DBE">
            <w:pPr>
              <w:pStyle w:val="Tabletext"/>
              <w:rPr>
                <w:b/>
              </w:rPr>
            </w:pPr>
            <w:r w:rsidRPr="00857DBE">
              <w:rPr>
                <w:b/>
              </w:rPr>
              <w:t>Follow-up period</w:t>
            </w:r>
          </w:p>
        </w:tc>
        <w:tc>
          <w:tcPr>
            <w:tcW w:w="2693" w:type="dxa"/>
            <w:gridSpan w:val="2"/>
            <w:shd w:val="clear" w:color="auto" w:fill="BFBFBF" w:themeFill="background1" w:themeFillShade="BF"/>
          </w:tcPr>
          <w:p w:rsidR="00FB5052" w:rsidRPr="00857DBE" w:rsidRDefault="00FB5052" w:rsidP="00857DBE">
            <w:pPr>
              <w:pStyle w:val="Tabletext"/>
              <w:jc w:val="center"/>
              <w:rPr>
                <w:b/>
              </w:rPr>
            </w:pPr>
            <w:r w:rsidRPr="00857DBE">
              <w:rPr>
                <w:b/>
              </w:rPr>
              <w:t xml:space="preserve">Mean ± SD baseline 6MWD, </w:t>
            </w:r>
            <w:r w:rsidR="00AE77DC" w:rsidRPr="00AE77DC">
              <w:rPr>
                <w:b/>
              </w:rPr>
              <w:t>meters</w:t>
            </w:r>
          </w:p>
        </w:tc>
        <w:tc>
          <w:tcPr>
            <w:tcW w:w="3119" w:type="dxa"/>
            <w:gridSpan w:val="2"/>
            <w:shd w:val="clear" w:color="auto" w:fill="BFBFBF" w:themeFill="background1" w:themeFillShade="BF"/>
          </w:tcPr>
          <w:p w:rsidR="00FB5052" w:rsidRPr="00857DBE" w:rsidRDefault="00FB5052" w:rsidP="00AE77DC">
            <w:pPr>
              <w:pStyle w:val="Tabletext"/>
              <w:jc w:val="center"/>
              <w:rPr>
                <w:b/>
              </w:rPr>
            </w:pPr>
            <w:r w:rsidRPr="00857DBE">
              <w:rPr>
                <w:b/>
              </w:rPr>
              <w:t xml:space="preserve">Mean </w:t>
            </w:r>
            <w:r w:rsidR="00AE77DC" w:rsidRPr="00857DBE">
              <w:rPr>
                <w:b/>
              </w:rPr>
              <w:t xml:space="preserve">± SD </w:t>
            </w:r>
            <w:r w:rsidRPr="00857DBE">
              <w:rPr>
                <w:b/>
              </w:rPr>
              <w:t xml:space="preserve">change from baseline, </w:t>
            </w:r>
            <w:r w:rsidR="00AE77DC" w:rsidRPr="00AE77DC">
              <w:rPr>
                <w:b/>
              </w:rPr>
              <w:t>meters</w:t>
            </w:r>
          </w:p>
        </w:tc>
        <w:tc>
          <w:tcPr>
            <w:tcW w:w="1417" w:type="dxa"/>
            <w:vMerge w:val="restart"/>
            <w:shd w:val="clear" w:color="auto" w:fill="BFBFBF" w:themeFill="background1" w:themeFillShade="BF"/>
          </w:tcPr>
          <w:p w:rsidR="00FB5052" w:rsidRPr="00857DBE" w:rsidRDefault="00FB5052" w:rsidP="00857DBE">
            <w:pPr>
              <w:pStyle w:val="Tabletext"/>
              <w:jc w:val="center"/>
              <w:rPr>
                <w:b/>
              </w:rPr>
            </w:pPr>
            <w:r w:rsidRPr="00857DBE">
              <w:rPr>
                <w:b/>
              </w:rPr>
              <w:t xml:space="preserve">Mean difference (95% CI), </w:t>
            </w:r>
            <w:r w:rsidR="00AE77DC" w:rsidRPr="00AE77DC">
              <w:rPr>
                <w:b/>
              </w:rPr>
              <w:t>meters</w:t>
            </w:r>
          </w:p>
        </w:tc>
      </w:tr>
      <w:tr w:rsidR="00FB5052" w:rsidRPr="00857DBE" w:rsidTr="004B7C88">
        <w:trPr>
          <w:trHeight w:val="285"/>
        </w:trPr>
        <w:tc>
          <w:tcPr>
            <w:tcW w:w="1271" w:type="dxa"/>
            <w:vMerge/>
          </w:tcPr>
          <w:p w:rsidR="00FB5052" w:rsidRPr="00857DBE" w:rsidRDefault="00FB5052" w:rsidP="00857DBE">
            <w:pPr>
              <w:pStyle w:val="Tabletext"/>
            </w:pPr>
          </w:p>
        </w:tc>
        <w:tc>
          <w:tcPr>
            <w:tcW w:w="1276" w:type="dxa"/>
            <w:vMerge/>
          </w:tcPr>
          <w:p w:rsidR="00FB5052" w:rsidRPr="00857DBE" w:rsidRDefault="00FB5052" w:rsidP="00857DBE">
            <w:pPr>
              <w:pStyle w:val="Tabletext"/>
            </w:pPr>
          </w:p>
        </w:tc>
        <w:tc>
          <w:tcPr>
            <w:tcW w:w="1346" w:type="dxa"/>
            <w:shd w:val="clear" w:color="auto" w:fill="BFBFBF" w:themeFill="background1" w:themeFillShade="BF"/>
          </w:tcPr>
          <w:p w:rsidR="00FB5052" w:rsidRPr="00857DBE" w:rsidRDefault="004B7C88" w:rsidP="00857DBE">
            <w:pPr>
              <w:pStyle w:val="Tabletext"/>
              <w:jc w:val="center"/>
              <w:rPr>
                <w:b/>
              </w:rPr>
            </w:pPr>
            <w:r w:rsidRPr="004B7C88">
              <w:rPr>
                <w:b/>
              </w:rPr>
              <w:t>sGC stimulator</w:t>
            </w:r>
          </w:p>
        </w:tc>
        <w:tc>
          <w:tcPr>
            <w:tcW w:w="1347" w:type="dxa"/>
            <w:shd w:val="clear" w:color="auto" w:fill="BFBFBF" w:themeFill="background1" w:themeFillShade="BF"/>
          </w:tcPr>
          <w:p w:rsidR="00FB5052" w:rsidRPr="00857DBE" w:rsidRDefault="00FB5052" w:rsidP="00857DBE">
            <w:pPr>
              <w:pStyle w:val="Tabletext"/>
              <w:jc w:val="center"/>
              <w:rPr>
                <w:b/>
              </w:rPr>
            </w:pPr>
            <w:r w:rsidRPr="00857DBE">
              <w:rPr>
                <w:b/>
              </w:rPr>
              <w:t>Placebo</w:t>
            </w:r>
          </w:p>
        </w:tc>
        <w:tc>
          <w:tcPr>
            <w:tcW w:w="1559" w:type="dxa"/>
            <w:shd w:val="clear" w:color="auto" w:fill="BFBFBF" w:themeFill="background1" w:themeFillShade="BF"/>
          </w:tcPr>
          <w:p w:rsidR="00FB5052" w:rsidRPr="00857DBE" w:rsidRDefault="004B7C88" w:rsidP="00857DBE">
            <w:pPr>
              <w:pStyle w:val="Tabletext"/>
              <w:jc w:val="center"/>
              <w:rPr>
                <w:b/>
              </w:rPr>
            </w:pPr>
            <w:r w:rsidRPr="004B7C88">
              <w:rPr>
                <w:b/>
              </w:rPr>
              <w:t>sGC stimulator</w:t>
            </w:r>
          </w:p>
        </w:tc>
        <w:tc>
          <w:tcPr>
            <w:tcW w:w="1560" w:type="dxa"/>
            <w:shd w:val="clear" w:color="auto" w:fill="BFBFBF" w:themeFill="background1" w:themeFillShade="BF"/>
          </w:tcPr>
          <w:p w:rsidR="00FB5052" w:rsidRPr="00857DBE" w:rsidRDefault="00FB5052" w:rsidP="00857DBE">
            <w:pPr>
              <w:pStyle w:val="Tabletext"/>
              <w:jc w:val="center"/>
              <w:rPr>
                <w:b/>
              </w:rPr>
            </w:pPr>
            <w:r w:rsidRPr="00857DBE">
              <w:rPr>
                <w:b/>
              </w:rPr>
              <w:t>Placebo</w:t>
            </w:r>
          </w:p>
        </w:tc>
        <w:tc>
          <w:tcPr>
            <w:tcW w:w="1417" w:type="dxa"/>
            <w:vMerge/>
          </w:tcPr>
          <w:p w:rsidR="00FB5052" w:rsidRPr="00857DBE" w:rsidRDefault="00FB5052" w:rsidP="00857DBE">
            <w:pPr>
              <w:pStyle w:val="Tabletext"/>
            </w:pPr>
          </w:p>
        </w:tc>
      </w:tr>
      <w:tr w:rsidR="00FB5052" w:rsidRPr="00857DBE" w:rsidTr="004B7C88">
        <w:tc>
          <w:tcPr>
            <w:tcW w:w="1271" w:type="dxa"/>
          </w:tcPr>
          <w:p w:rsidR="00FB5052" w:rsidRDefault="00FB5052" w:rsidP="00857DBE">
            <w:pPr>
              <w:pStyle w:val="Tabletext"/>
            </w:pPr>
            <w:r w:rsidRPr="00857DBE">
              <w:t>PATENT-1 CSR</w:t>
            </w:r>
          </w:p>
          <w:p w:rsidR="004B7C88" w:rsidRPr="004B7C88" w:rsidRDefault="004B7C88" w:rsidP="00857DBE">
            <w:pPr>
              <w:pStyle w:val="Tabletext"/>
            </w:pPr>
            <w:r w:rsidRPr="004B7C88">
              <w:t>Riociguat</w:t>
            </w:r>
          </w:p>
        </w:tc>
        <w:tc>
          <w:tcPr>
            <w:tcW w:w="1276" w:type="dxa"/>
          </w:tcPr>
          <w:p w:rsidR="00FB5052" w:rsidRPr="00857DBE" w:rsidRDefault="00FB5052" w:rsidP="00857DBE">
            <w:pPr>
              <w:pStyle w:val="Tabletext"/>
            </w:pPr>
            <w:r w:rsidRPr="00857DBE">
              <w:t>N=107</w:t>
            </w:r>
          </w:p>
          <w:p w:rsidR="00FB5052" w:rsidRPr="00857DBE" w:rsidRDefault="00FB5052" w:rsidP="00857DBE">
            <w:pPr>
              <w:pStyle w:val="Tabletext"/>
            </w:pPr>
            <w:r w:rsidRPr="00857DBE">
              <w:t>Week 12</w:t>
            </w:r>
          </w:p>
        </w:tc>
        <w:tc>
          <w:tcPr>
            <w:tcW w:w="1346" w:type="dxa"/>
          </w:tcPr>
          <w:p w:rsidR="00FB5052" w:rsidRPr="00A17B9D" w:rsidRDefault="00A17B9D" w:rsidP="00857DBE">
            <w:pPr>
              <w:pStyle w:val="Tabletext"/>
              <w:jc w:val="center"/>
              <w:rPr>
                <w:highlight w:val="black"/>
              </w:rPr>
            </w:pPr>
            <w:r>
              <w:rPr>
                <w:noProof/>
                <w:color w:val="000000"/>
                <w:highlight w:val="black"/>
              </w:rPr>
              <w:t>''''''''''''''' ''' ''''''''''</w:t>
            </w:r>
          </w:p>
        </w:tc>
        <w:tc>
          <w:tcPr>
            <w:tcW w:w="1347" w:type="dxa"/>
          </w:tcPr>
          <w:p w:rsidR="00FB5052" w:rsidRPr="00A17B9D" w:rsidRDefault="00A17B9D" w:rsidP="00857DBE">
            <w:pPr>
              <w:pStyle w:val="Tabletext"/>
              <w:jc w:val="center"/>
              <w:rPr>
                <w:highlight w:val="black"/>
              </w:rPr>
            </w:pPr>
            <w:r>
              <w:rPr>
                <w:noProof/>
                <w:color w:val="000000"/>
                <w:highlight w:val="black"/>
              </w:rPr>
              <w:t>''''''''''''' ''' '''''''''''</w:t>
            </w:r>
          </w:p>
        </w:tc>
        <w:tc>
          <w:tcPr>
            <w:tcW w:w="1559" w:type="dxa"/>
          </w:tcPr>
          <w:p w:rsidR="00FB5052" w:rsidRPr="00A17B9D" w:rsidRDefault="00A17B9D" w:rsidP="00857DBE">
            <w:pPr>
              <w:pStyle w:val="Tabletext"/>
              <w:jc w:val="center"/>
              <w:rPr>
                <w:highlight w:val="black"/>
              </w:rPr>
            </w:pPr>
            <w:r>
              <w:rPr>
                <w:noProof/>
                <w:color w:val="000000"/>
                <w:highlight w:val="black"/>
              </w:rPr>
              <w:t>''''''''''' ''' ''''''''''</w:t>
            </w:r>
          </w:p>
        </w:tc>
        <w:tc>
          <w:tcPr>
            <w:tcW w:w="1560" w:type="dxa"/>
          </w:tcPr>
          <w:p w:rsidR="00FB5052" w:rsidRPr="00A17B9D" w:rsidRDefault="00A17B9D" w:rsidP="00857DBE">
            <w:pPr>
              <w:pStyle w:val="Tabletext"/>
              <w:jc w:val="center"/>
              <w:rPr>
                <w:highlight w:val="black"/>
              </w:rPr>
            </w:pPr>
            <w:r>
              <w:rPr>
                <w:noProof/>
                <w:color w:val="000000"/>
                <w:highlight w:val="black"/>
              </w:rPr>
              <w:t>''''''''''' ''' ''''''''''</w:t>
            </w:r>
          </w:p>
        </w:tc>
        <w:tc>
          <w:tcPr>
            <w:tcW w:w="1417" w:type="dxa"/>
          </w:tcPr>
          <w:p w:rsidR="00FB5052" w:rsidRPr="00A17B9D" w:rsidRDefault="00A17B9D" w:rsidP="00DE31E4">
            <w:pPr>
              <w:pStyle w:val="Tabletext"/>
              <w:jc w:val="center"/>
              <w:rPr>
                <w:highlight w:val="black"/>
              </w:rPr>
            </w:pPr>
            <w:r>
              <w:rPr>
                <w:noProof/>
                <w:color w:val="000000"/>
                <w:highlight w:val="black"/>
              </w:rPr>
              <w:t>''''''''''' ''''''''''''''''' '''''''''''''</w:t>
            </w:r>
          </w:p>
        </w:tc>
      </w:tr>
    </w:tbl>
    <w:p w:rsidR="007E6E6A" w:rsidRPr="006316DF" w:rsidRDefault="00FB5052" w:rsidP="00857DBE">
      <w:pPr>
        <w:pStyle w:val="Tablenote"/>
      </w:pPr>
      <w:r w:rsidRPr="006316DF">
        <w:t xml:space="preserve">6MWD = 6 minute </w:t>
      </w:r>
      <w:r w:rsidR="0082368E">
        <w:t>walk distance</w:t>
      </w:r>
      <w:r w:rsidRPr="006316DF">
        <w:t>; CI = confidence interval; CSR</w:t>
      </w:r>
      <w:r>
        <w:t xml:space="preserve"> </w:t>
      </w:r>
      <w:r w:rsidRPr="006316DF">
        <w:t>=</w:t>
      </w:r>
      <w:r>
        <w:t xml:space="preserve"> </w:t>
      </w:r>
      <w:r w:rsidRPr="006316DF">
        <w:t xml:space="preserve">clinical study report; </w:t>
      </w:r>
      <w:r w:rsidR="007E6E6A" w:rsidRPr="006F774E">
        <w:t xml:space="preserve">FC = functional class; </w:t>
      </w:r>
      <w:r w:rsidRPr="006316DF">
        <w:t xml:space="preserve">N = number of patients; </w:t>
      </w:r>
      <w:r w:rsidR="007E6E6A" w:rsidRPr="009E3B52">
        <w:t xml:space="preserve">PAH = pulmonary arterial hypertension; </w:t>
      </w:r>
      <w:r w:rsidRPr="006316DF">
        <w:t>SD = standard deviation</w:t>
      </w:r>
      <w:r w:rsidR="004B7C88" w:rsidRPr="004B7C88">
        <w:t>; sGC = solub</w:t>
      </w:r>
      <w:r w:rsidR="004B7C88">
        <w:t>le guanylate cyclase</w:t>
      </w:r>
      <w:r w:rsidR="007E6E6A" w:rsidRPr="00F20C66">
        <w:t xml:space="preserve">; </w:t>
      </w:r>
      <w:r w:rsidR="007E6E6A" w:rsidRPr="009E3B52">
        <w:t>WHO = World Health Organization</w:t>
      </w:r>
    </w:p>
    <w:p w:rsidR="00FB5052" w:rsidRPr="006316DF" w:rsidRDefault="00EE09B2" w:rsidP="00FB5052">
      <w:pPr>
        <w:pStyle w:val="Heading5"/>
      </w:pPr>
      <w:r>
        <w:t>f</w:t>
      </w:r>
      <w:r w:rsidR="0077344D">
        <w:t>.</w:t>
      </w:r>
      <w:r w:rsidR="0066218C">
        <w:tab/>
      </w:r>
      <w:r w:rsidR="00FB5052">
        <w:t>Change in QoL</w:t>
      </w:r>
      <w:r w:rsidR="007B6C7C">
        <w:t xml:space="preserve"> from baseline</w:t>
      </w:r>
    </w:p>
    <w:p w:rsidR="00026931" w:rsidRDefault="00FB5052" w:rsidP="003903A0">
      <w:r w:rsidRPr="006316DF">
        <w:t>The self-reported health-related QoL of patients receiving riociguat compared with placebo w</w:t>
      </w:r>
      <w:r>
        <w:t>as</w:t>
      </w:r>
      <w:r w:rsidR="00572AE9">
        <w:t xml:space="preserve"> measured using the EuroQol 5 </w:t>
      </w:r>
      <w:r w:rsidRPr="006316DF">
        <w:t xml:space="preserve">dimension (EQ-5D) questionnaire </w:t>
      </w:r>
      <w:r w:rsidR="009B49D9">
        <w:t>and the L</w:t>
      </w:r>
      <w:r w:rsidRPr="006316DF">
        <w:t>iving with pulmonary hypertension (LPH) questionnaire</w:t>
      </w:r>
      <w:r w:rsidR="003903A0">
        <w:t>.</w:t>
      </w:r>
    </w:p>
    <w:p w:rsidR="00C37A79" w:rsidRDefault="00026931" w:rsidP="003903A0">
      <w:r>
        <w:t xml:space="preserve">The </w:t>
      </w:r>
      <w:r w:rsidRPr="009713F3">
        <w:t xml:space="preserve">EQ-5D </w:t>
      </w:r>
      <w:r>
        <w:t>questionnaire contains</w:t>
      </w:r>
      <w:r w:rsidRPr="009713F3">
        <w:t xml:space="preserve"> five domains: mobility, self-care, pain/discomfort, usual activities and anxiety/depression. In PATENT-1, the EQ-5D utility scores were generated </w:t>
      </w:r>
      <w:r>
        <w:t xml:space="preserve">on the basis of the </w:t>
      </w:r>
      <w:r w:rsidRPr="009713F3">
        <w:t xml:space="preserve">answers to the five questions (each with </w:t>
      </w:r>
      <w:r>
        <w:t>3</w:t>
      </w:r>
      <w:r w:rsidRPr="009713F3">
        <w:t xml:space="preserve"> categories), by applying </w:t>
      </w:r>
      <w:r>
        <w:t>a multi-</w:t>
      </w:r>
      <w:r w:rsidRPr="00026931">
        <w:t>attribute utility functi</w:t>
      </w:r>
      <w:r>
        <w:t xml:space="preserve">on. The EQ-5D utility score had </w:t>
      </w:r>
      <w:r w:rsidRPr="009713F3">
        <w:t xml:space="preserve">a range of possible values from –0.59 (worst outcome) to 1.00 (best outcome). </w:t>
      </w:r>
      <w:r w:rsidR="00C37A79">
        <w:t xml:space="preserve">Results of change in </w:t>
      </w:r>
      <w:r w:rsidR="00FB5052" w:rsidRPr="006316DF">
        <w:t xml:space="preserve">EQ-5D </w:t>
      </w:r>
      <w:r w:rsidR="00C37A79">
        <w:t>utility scores from Trial PATENT-1 i</w:t>
      </w:r>
      <w:r w:rsidR="00FB5052" w:rsidRPr="006316DF">
        <w:t xml:space="preserve">ndicated that there was </w:t>
      </w:r>
      <w:r w:rsidR="00A17B9D">
        <w:rPr>
          <w:noProof/>
          <w:color w:val="000000"/>
          <w:highlight w:val="black"/>
        </w:rPr>
        <w:t>''''' ''''''''''''''</w:t>
      </w:r>
      <w:r w:rsidR="00FB5052" w:rsidRPr="006316DF">
        <w:t xml:space="preserve"> in QoL in the </w:t>
      </w:r>
      <w:r w:rsidR="00C37A79" w:rsidRPr="006316DF">
        <w:t>riociguat</w:t>
      </w:r>
      <w:r w:rsidR="00FB5052" w:rsidRPr="006316DF">
        <w:t xml:space="preserve"> group and </w:t>
      </w:r>
      <w:r w:rsidR="00FB5052">
        <w:t>the</w:t>
      </w:r>
      <w:r w:rsidR="00FB5052" w:rsidRPr="006316DF">
        <w:t xml:space="preserve"> </w:t>
      </w:r>
      <w:r w:rsidR="00A17B9D">
        <w:rPr>
          <w:noProof/>
          <w:color w:val="000000"/>
          <w:highlight w:val="black"/>
        </w:rPr>
        <w:t>'''''''''''''''''' '''' '''''''''''</w:t>
      </w:r>
      <w:r w:rsidR="00FB5052">
        <w:t xml:space="preserve"> </w:t>
      </w:r>
      <w:r w:rsidR="00FB5052" w:rsidRPr="006316DF">
        <w:t>in the placebo group</w:t>
      </w:r>
      <w:r w:rsidR="00FB5052" w:rsidRPr="00EF1105">
        <w:t xml:space="preserve"> </w:t>
      </w:r>
      <w:r w:rsidR="00FB5052" w:rsidRPr="006316DF">
        <w:t>(</w:t>
      </w:r>
      <w:r w:rsidR="00AA722D">
        <w:t xml:space="preserve">Table </w:t>
      </w:r>
      <w:r w:rsidR="00AA722D">
        <w:rPr>
          <w:noProof/>
        </w:rPr>
        <w:t>4.42</w:t>
      </w:r>
      <w:r w:rsidR="00FB5052" w:rsidRPr="006316DF">
        <w:t xml:space="preserve">). </w:t>
      </w:r>
      <w:r w:rsidR="00FB5052">
        <w:t>This difference may</w:t>
      </w:r>
      <w:r w:rsidR="00FB5052" w:rsidRPr="007C1C7F">
        <w:t xml:space="preserve"> </w:t>
      </w:r>
      <w:r w:rsidR="00A17B9D">
        <w:rPr>
          <w:noProof/>
          <w:color w:val="000000"/>
          <w:highlight w:val="black"/>
        </w:rPr>
        <w:t>''''''''''''''' '''''' '''''''''''''''' ''''''''''''''''''</w:t>
      </w:r>
      <w:r w:rsidR="00FB5052" w:rsidRPr="006316DF">
        <w:t xml:space="preserve">. </w:t>
      </w:r>
      <w:r w:rsidR="00C37A79">
        <w:t xml:space="preserve">The </w:t>
      </w:r>
      <w:r w:rsidR="00C37A79" w:rsidRPr="00FC6A5C">
        <w:t xml:space="preserve">minimal clinically important </w:t>
      </w:r>
      <w:r w:rsidR="00C37A79">
        <w:t xml:space="preserve">difference in EQ-5D utility score ranged from 0.033 to 0.074 in the literature </w:t>
      </w:r>
      <w:r w:rsidR="001D34EE" w:rsidRPr="001D34EE">
        <w:rPr>
          <w:noProof/>
          <w:vertAlign w:val="superscript"/>
        </w:rPr>
        <w:t>82</w:t>
      </w:r>
      <w:r w:rsidR="00C37A79">
        <w:t>.</w:t>
      </w:r>
    </w:p>
    <w:p w:rsidR="00FB5052" w:rsidRPr="006316DF" w:rsidRDefault="00C37A79" w:rsidP="003903A0">
      <w:r>
        <w:t xml:space="preserve">The LPH questionnaire </w:t>
      </w:r>
      <w:r w:rsidRPr="00FE3D12">
        <w:t xml:space="preserve">was adapted from the Minnesota </w:t>
      </w:r>
      <w:r>
        <w:t>l</w:t>
      </w:r>
      <w:r w:rsidRPr="00FE3D12">
        <w:t xml:space="preserve">iving with </w:t>
      </w:r>
      <w:r>
        <w:t>h</w:t>
      </w:r>
      <w:r w:rsidRPr="00FE3D12">
        <w:t xml:space="preserve">eart </w:t>
      </w:r>
      <w:r>
        <w:t>f</w:t>
      </w:r>
      <w:r w:rsidRPr="00FE3D12">
        <w:t xml:space="preserve">ailure </w:t>
      </w:r>
      <w:r>
        <w:t>(MLHF) q</w:t>
      </w:r>
      <w:r w:rsidRPr="00FE3D12">
        <w:t xml:space="preserve">uestionnaire for use in patients with </w:t>
      </w:r>
      <w:r>
        <w:t>PAH</w:t>
      </w:r>
      <w:r w:rsidRPr="00FE3D12">
        <w:t xml:space="preserve">. </w:t>
      </w:r>
      <w:r>
        <w:t>The LPH questionnaire</w:t>
      </w:r>
      <w:r w:rsidRPr="00FE3D12">
        <w:t xml:space="preserve"> comprises 21 items, responded to on a 6-point Likert scale ranging from 0 'No’ to 5 ’Very much’. A total score ranging from 0 to 105 is calculated by summing th</w:t>
      </w:r>
      <w:r>
        <w:t xml:space="preserve">e responses to all 21 questions. A higher LPH score represents that </w:t>
      </w:r>
      <w:r w:rsidRPr="00FC6A5C">
        <w:t>patients are more affected by their medical condition</w:t>
      </w:r>
      <w:r>
        <w:t xml:space="preserve"> (poorer QoL)</w:t>
      </w:r>
      <w:r w:rsidRPr="00FC6A5C">
        <w:t>.</w:t>
      </w:r>
      <w:r>
        <w:t xml:space="preserve"> </w:t>
      </w:r>
      <w:r w:rsidR="00C924C6">
        <w:t>In PATENT-1, t</w:t>
      </w:r>
      <w:r w:rsidR="00FB5052" w:rsidRPr="006316DF">
        <w:t xml:space="preserve">he scores for </w:t>
      </w:r>
      <w:r w:rsidR="00FB5052" w:rsidRPr="006316DF">
        <w:lastRenderedPageBreak/>
        <w:t>the LPH questionnaire showed a</w:t>
      </w:r>
      <w:r w:rsidR="00FB5052">
        <w:t>n approximate</w:t>
      </w:r>
      <w:r w:rsidR="00FB5052" w:rsidRPr="006316DF">
        <w:t xml:space="preserve"> </w:t>
      </w:r>
      <w:r w:rsidR="00A17B9D">
        <w:rPr>
          <w:noProof/>
          <w:color w:val="000000"/>
          <w:highlight w:val="black"/>
        </w:rPr>
        <w:t>'''''''''''''' ''''''''''''''''''''''''''''</w:t>
      </w:r>
      <w:r w:rsidR="00FB5052" w:rsidRPr="006316DF">
        <w:t xml:space="preserve"> in QoL in the </w:t>
      </w:r>
      <w:r w:rsidR="0010546C" w:rsidRPr="006316DF">
        <w:t>riociguat</w:t>
      </w:r>
      <w:r w:rsidR="00FB5052" w:rsidRPr="006316DF">
        <w:t xml:space="preserve"> group and a </w:t>
      </w:r>
      <w:r w:rsidR="00A17B9D">
        <w:rPr>
          <w:noProof/>
          <w:color w:val="000000"/>
          <w:highlight w:val="black"/>
        </w:rPr>
        <w:t>''''''''''''''' '''''''''''''''''''''''</w:t>
      </w:r>
      <w:r w:rsidR="00FB5052" w:rsidRPr="006316DF">
        <w:t xml:space="preserve"> in the placebo group (</w:t>
      </w:r>
      <w:r w:rsidR="00AA722D">
        <w:t>Table 4.</w:t>
      </w:r>
      <w:r w:rsidR="00AA722D">
        <w:rPr>
          <w:noProof/>
        </w:rPr>
        <w:t>42</w:t>
      </w:r>
      <w:r w:rsidR="00FB5052" w:rsidRPr="006316DF">
        <w:t>).</w:t>
      </w:r>
      <w:r w:rsidR="00FB5052" w:rsidRPr="00AE5117">
        <w:t xml:space="preserve"> </w:t>
      </w:r>
      <w:r w:rsidR="00FB5052">
        <w:t xml:space="preserve">The </w:t>
      </w:r>
      <w:r w:rsidR="00FB5052" w:rsidRPr="00AE5117">
        <w:t>minimally important difference</w:t>
      </w:r>
      <w:r w:rsidR="00FB5052">
        <w:t xml:space="preserve"> for the LPH scale has been previously determined to be </w:t>
      </w:r>
      <w:r w:rsidR="00FB5052" w:rsidRPr="00AE5117">
        <w:t xml:space="preserve">7 points for </w:t>
      </w:r>
      <w:r w:rsidR="00FB5052">
        <w:t xml:space="preserve">the </w:t>
      </w:r>
      <w:r w:rsidR="00FB5052" w:rsidRPr="00AE5117">
        <w:t>total score</w:t>
      </w:r>
      <w:r w:rsidR="001D34EE" w:rsidRPr="001A1C44">
        <w:rPr>
          <w:noProof/>
          <w:vertAlign w:val="superscript"/>
        </w:rPr>
        <w:t>83</w:t>
      </w:r>
      <w:r w:rsidR="00FB5052">
        <w:t xml:space="preserve">. Thus, although there was </w:t>
      </w:r>
      <w:r w:rsidR="00A17B9D">
        <w:rPr>
          <w:noProof/>
          <w:color w:val="000000"/>
          <w:highlight w:val="black"/>
        </w:rPr>
        <w:t>''' '''''''''' '''''''''''''''''''</w:t>
      </w:r>
      <w:r w:rsidR="00FB5052">
        <w:t xml:space="preserve"> in the QoL for patients taking a placebo compared with those on active treatment, the changes in QoL observed in this study mostly </w:t>
      </w:r>
      <w:r w:rsidR="00A17B9D">
        <w:rPr>
          <w:noProof/>
          <w:color w:val="000000"/>
          <w:highlight w:val="black"/>
        </w:rPr>
        <w:t>'''''''''' '''' '''''''''''' ''''''''''''' ''''''''''''''''''''</w:t>
      </w:r>
      <w:r w:rsidR="00FB5052" w:rsidRPr="006316DF">
        <w:t>.</w:t>
      </w:r>
    </w:p>
    <w:p w:rsidR="00FB5052" w:rsidRDefault="00B40240" w:rsidP="00BC5A2B">
      <w:pPr>
        <w:pStyle w:val="Caption"/>
      </w:pPr>
      <w:bookmarkStart w:id="136" w:name="_Ref501013537"/>
      <w:bookmarkStart w:id="137" w:name="_Toc512855446"/>
      <w:r>
        <w:t>Table 4.</w:t>
      </w:r>
      <w:r w:rsidR="00AA722D">
        <w:rPr>
          <w:noProof/>
        </w:rPr>
        <w:t>42</w:t>
      </w:r>
      <w:bookmarkEnd w:id="136"/>
      <w:r w:rsidR="00857DBE">
        <w:rPr>
          <w:noProof/>
        </w:rPr>
        <w:tab/>
      </w:r>
      <w:r w:rsidR="00FB5052" w:rsidRPr="006316DF">
        <w:t xml:space="preserve">The effectiveness of </w:t>
      </w:r>
      <w:r w:rsidR="00EB768B">
        <w:t xml:space="preserve">a </w:t>
      </w:r>
      <w:r w:rsidR="004B7C88" w:rsidRPr="004B7C88">
        <w:t>sGC stimulator</w:t>
      </w:r>
      <w:r w:rsidR="004B7C88">
        <w:t xml:space="preserve"> </w:t>
      </w:r>
      <w:r w:rsidR="00FB5052" w:rsidRPr="00544FB4">
        <w:t xml:space="preserve">compared with </w:t>
      </w:r>
      <w:r w:rsidR="00FB5052" w:rsidRPr="006316DF">
        <w:t>placebo in improving QoL</w:t>
      </w:r>
      <w:r w:rsidR="00FB5052" w:rsidRPr="00B642BB">
        <w:t xml:space="preserve"> in patients with WHO FC I/II PAH</w:t>
      </w:r>
      <w:bookmarkEnd w:id="137"/>
    </w:p>
    <w:tbl>
      <w:tblPr>
        <w:tblStyle w:val="TableGrid"/>
        <w:tblW w:w="9634" w:type="dxa"/>
        <w:tblLayout w:type="fixed"/>
        <w:tblLook w:val="04A0" w:firstRow="1" w:lastRow="0" w:firstColumn="1" w:lastColumn="0" w:noHBand="0" w:noVBand="1"/>
        <w:tblCaption w:val="The effectiveness of a sGC stimulator compared with placebo in improving QoL in patients with WHO FC I/II PAH"/>
      </w:tblPr>
      <w:tblGrid>
        <w:gridCol w:w="1271"/>
        <w:gridCol w:w="1418"/>
        <w:gridCol w:w="1701"/>
        <w:gridCol w:w="1134"/>
        <w:gridCol w:w="1701"/>
        <w:gridCol w:w="1134"/>
        <w:gridCol w:w="1275"/>
      </w:tblGrid>
      <w:tr w:rsidR="00FB5052" w:rsidRPr="00857DBE" w:rsidTr="00EC2524">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FB5052" w:rsidRDefault="00FB5052" w:rsidP="00857DBE">
            <w:pPr>
              <w:pStyle w:val="Tabletext"/>
              <w:rPr>
                <w:b/>
              </w:rPr>
            </w:pPr>
            <w:r w:rsidRPr="00857DBE">
              <w:rPr>
                <w:b/>
              </w:rPr>
              <w:t>Study ID</w:t>
            </w:r>
          </w:p>
          <w:p w:rsidR="004B7C88" w:rsidRPr="004B7C88" w:rsidRDefault="004B7C88" w:rsidP="00857DBE">
            <w:pPr>
              <w:pStyle w:val="Tabletext"/>
              <w:rPr>
                <w:b/>
              </w:rPr>
            </w:pPr>
            <w:r w:rsidRPr="004B7C88">
              <w:rPr>
                <w:b/>
              </w:rPr>
              <w:t>sGC stimulator</w:t>
            </w:r>
          </w:p>
        </w:tc>
        <w:tc>
          <w:tcPr>
            <w:tcW w:w="1418" w:type="dxa"/>
            <w:vMerge w:val="restart"/>
            <w:shd w:val="clear" w:color="auto" w:fill="BFBFBF" w:themeFill="background1" w:themeFillShade="BF"/>
          </w:tcPr>
          <w:p w:rsidR="00FB5052" w:rsidRPr="00857DBE" w:rsidRDefault="00FB5052" w:rsidP="00857DBE">
            <w:pPr>
              <w:pStyle w:val="Tabletext"/>
              <w:rPr>
                <w:b/>
              </w:rPr>
            </w:pPr>
            <w:r w:rsidRPr="00857DBE">
              <w:rPr>
                <w:b/>
              </w:rPr>
              <w:t>N</w:t>
            </w:r>
          </w:p>
          <w:p w:rsidR="00FB5052" w:rsidRPr="00857DBE" w:rsidRDefault="00FB5052" w:rsidP="00857DBE">
            <w:pPr>
              <w:pStyle w:val="Tabletext"/>
              <w:rPr>
                <w:b/>
              </w:rPr>
            </w:pPr>
            <w:r w:rsidRPr="00857DBE">
              <w:rPr>
                <w:b/>
              </w:rPr>
              <w:t>Follow-up period</w:t>
            </w:r>
          </w:p>
        </w:tc>
        <w:tc>
          <w:tcPr>
            <w:tcW w:w="2835" w:type="dxa"/>
            <w:gridSpan w:val="2"/>
            <w:shd w:val="clear" w:color="auto" w:fill="BFBFBF" w:themeFill="background1" w:themeFillShade="BF"/>
          </w:tcPr>
          <w:p w:rsidR="00FB5052" w:rsidRPr="00857DBE" w:rsidRDefault="00FB5052" w:rsidP="00857DBE">
            <w:pPr>
              <w:pStyle w:val="Tabletext"/>
              <w:jc w:val="center"/>
              <w:rPr>
                <w:b/>
              </w:rPr>
            </w:pPr>
            <w:r w:rsidRPr="00857DBE">
              <w:rPr>
                <w:b/>
              </w:rPr>
              <w:t>Mean ± SD baseline QoL</w:t>
            </w:r>
          </w:p>
        </w:tc>
        <w:tc>
          <w:tcPr>
            <w:tcW w:w="2835" w:type="dxa"/>
            <w:gridSpan w:val="2"/>
            <w:shd w:val="clear" w:color="auto" w:fill="BFBFBF" w:themeFill="background1" w:themeFillShade="BF"/>
          </w:tcPr>
          <w:p w:rsidR="00FB5052" w:rsidRPr="00857DBE" w:rsidRDefault="00FB5052" w:rsidP="00857DBE">
            <w:pPr>
              <w:pStyle w:val="Tabletext"/>
              <w:jc w:val="center"/>
              <w:rPr>
                <w:b/>
              </w:rPr>
            </w:pPr>
            <w:r w:rsidRPr="00857DBE">
              <w:rPr>
                <w:b/>
              </w:rPr>
              <w:t>Mean change from baseline ± SD</w:t>
            </w:r>
          </w:p>
        </w:tc>
        <w:tc>
          <w:tcPr>
            <w:tcW w:w="1275" w:type="dxa"/>
            <w:vMerge w:val="restart"/>
            <w:shd w:val="clear" w:color="auto" w:fill="BFBFBF" w:themeFill="background1" w:themeFillShade="BF"/>
          </w:tcPr>
          <w:p w:rsidR="00FB5052" w:rsidRPr="00857DBE" w:rsidRDefault="00FB5052" w:rsidP="00F141A8">
            <w:pPr>
              <w:pStyle w:val="Tabletext"/>
              <w:jc w:val="center"/>
              <w:rPr>
                <w:b/>
              </w:rPr>
            </w:pPr>
            <w:r w:rsidRPr="00857DBE">
              <w:rPr>
                <w:b/>
              </w:rPr>
              <w:t>Mean difference</w:t>
            </w:r>
            <w:r w:rsidR="00AE77DC">
              <w:rPr>
                <w:b/>
              </w:rPr>
              <w:t>, points</w:t>
            </w:r>
          </w:p>
        </w:tc>
      </w:tr>
      <w:tr w:rsidR="00FB5052" w:rsidRPr="00857DBE" w:rsidTr="00EC2524">
        <w:tc>
          <w:tcPr>
            <w:tcW w:w="1271" w:type="dxa"/>
            <w:vMerge/>
          </w:tcPr>
          <w:p w:rsidR="00FB5052" w:rsidRPr="00857DBE" w:rsidRDefault="00FB5052" w:rsidP="00857DBE">
            <w:pPr>
              <w:pStyle w:val="Tabletext"/>
            </w:pPr>
          </w:p>
        </w:tc>
        <w:tc>
          <w:tcPr>
            <w:tcW w:w="1418" w:type="dxa"/>
            <w:vMerge/>
          </w:tcPr>
          <w:p w:rsidR="00FB5052" w:rsidRPr="00857DBE" w:rsidRDefault="00FB5052" w:rsidP="00857DBE">
            <w:pPr>
              <w:pStyle w:val="Tabletext"/>
            </w:pPr>
          </w:p>
        </w:tc>
        <w:tc>
          <w:tcPr>
            <w:tcW w:w="1701" w:type="dxa"/>
            <w:shd w:val="clear" w:color="auto" w:fill="BFBFBF" w:themeFill="background1" w:themeFillShade="BF"/>
          </w:tcPr>
          <w:p w:rsidR="00FB5052" w:rsidRPr="004B7C88" w:rsidRDefault="004B7C88" w:rsidP="00857DBE">
            <w:pPr>
              <w:pStyle w:val="Tabletext"/>
              <w:jc w:val="center"/>
              <w:rPr>
                <w:b/>
              </w:rPr>
            </w:pPr>
            <w:r w:rsidRPr="004B7C88">
              <w:rPr>
                <w:b/>
              </w:rPr>
              <w:t>sGC stimulator</w:t>
            </w:r>
          </w:p>
        </w:tc>
        <w:tc>
          <w:tcPr>
            <w:tcW w:w="1134" w:type="dxa"/>
            <w:shd w:val="clear" w:color="auto" w:fill="BFBFBF" w:themeFill="background1" w:themeFillShade="BF"/>
          </w:tcPr>
          <w:p w:rsidR="00FB5052" w:rsidRPr="00857DBE" w:rsidRDefault="00FB5052" w:rsidP="00857DBE">
            <w:pPr>
              <w:pStyle w:val="Tabletext"/>
              <w:jc w:val="center"/>
              <w:rPr>
                <w:b/>
              </w:rPr>
            </w:pPr>
            <w:r w:rsidRPr="00857DBE">
              <w:rPr>
                <w:b/>
              </w:rPr>
              <w:t>Placebo</w:t>
            </w:r>
          </w:p>
        </w:tc>
        <w:tc>
          <w:tcPr>
            <w:tcW w:w="1701" w:type="dxa"/>
            <w:shd w:val="clear" w:color="auto" w:fill="BFBFBF" w:themeFill="background1" w:themeFillShade="BF"/>
          </w:tcPr>
          <w:p w:rsidR="00FB5052" w:rsidRPr="00857DBE" w:rsidRDefault="004B7C88" w:rsidP="00857DBE">
            <w:pPr>
              <w:pStyle w:val="Tabletext"/>
              <w:jc w:val="center"/>
              <w:rPr>
                <w:b/>
              </w:rPr>
            </w:pPr>
            <w:r w:rsidRPr="004B7C88">
              <w:rPr>
                <w:b/>
              </w:rPr>
              <w:t>sGC stimulator</w:t>
            </w:r>
          </w:p>
        </w:tc>
        <w:tc>
          <w:tcPr>
            <w:tcW w:w="1134" w:type="dxa"/>
            <w:shd w:val="clear" w:color="auto" w:fill="BFBFBF" w:themeFill="background1" w:themeFillShade="BF"/>
          </w:tcPr>
          <w:p w:rsidR="00FB5052" w:rsidRPr="00857DBE" w:rsidRDefault="00FB5052" w:rsidP="00857DBE">
            <w:pPr>
              <w:pStyle w:val="Tabletext"/>
              <w:jc w:val="center"/>
              <w:rPr>
                <w:b/>
              </w:rPr>
            </w:pPr>
            <w:r w:rsidRPr="00857DBE">
              <w:rPr>
                <w:b/>
              </w:rPr>
              <w:t>Placebo</w:t>
            </w:r>
          </w:p>
        </w:tc>
        <w:tc>
          <w:tcPr>
            <w:tcW w:w="1275" w:type="dxa"/>
            <w:vMerge/>
          </w:tcPr>
          <w:p w:rsidR="00FB5052" w:rsidRPr="00857DBE" w:rsidRDefault="00FB5052" w:rsidP="00857DBE">
            <w:pPr>
              <w:pStyle w:val="Tabletext"/>
            </w:pPr>
          </w:p>
        </w:tc>
      </w:tr>
      <w:tr w:rsidR="00FB5052" w:rsidRPr="00857DBE" w:rsidTr="00EC2524">
        <w:tc>
          <w:tcPr>
            <w:tcW w:w="1271" w:type="dxa"/>
            <w:vMerge w:val="restart"/>
          </w:tcPr>
          <w:p w:rsidR="00FB5052" w:rsidRDefault="00FB5052" w:rsidP="00857DBE">
            <w:pPr>
              <w:pStyle w:val="Tabletext"/>
            </w:pPr>
            <w:r w:rsidRPr="00857DBE">
              <w:t>PATENT-1 CSR</w:t>
            </w:r>
          </w:p>
          <w:p w:rsidR="004B7C88" w:rsidRPr="004B7C88" w:rsidRDefault="004B7C88" w:rsidP="00857DBE">
            <w:pPr>
              <w:pStyle w:val="Tabletext"/>
            </w:pPr>
            <w:r w:rsidRPr="004B7C88">
              <w:t>Riociguat</w:t>
            </w:r>
          </w:p>
        </w:tc>
        <w:tc>
          <w:tcPr>
            <w:tcW w:w="1418" w:type="dxa"/>
            <w:vMerge w:val="restart"/>
          </w:tcPr>
          <w:p w:rsidR="00FB5052" w:rsidRPr="00857DBE" w:rsidRDefault="00FB5052" w:rsidP="00857DBE">
            <w:pPr>
              <w:pStyle w:val="Tabletext"/>
            </w:pPr>
            <w:r w:rsidRPr="00857DBE">
              <w:t>N=107</w:t>
            </w:r>
          </w:p>
          <w:p w:rsidR="00FB5052" w:rsidRPr="00857DBE" w:rsidRDefault="00FB5052" w:rsidP="00857DBE">
            <w:pPr>
              <w:pStyle w:val="Tabletext"/>
            </w:pPr>
            <w:r w:rsidRPr="00857DBE">
              <w:t>Week 12</w:t>
            </w:r>
          </w:p>
        </w:tc>
        <w:tc>
          <w:tcPr>
            <w:tcW w:w="1701" w:type="dxa"/>
          </w:tcPr>
          <w:p w:rsidR="00FB5052" w:rsidRPr="00A17B9D" w:rsidRDefault="00A17B9D" w:rsidP="00DE31E4">
            <w:pPr>
              <w:pStyle w:val="Tabletext"/>
              <w:jc w:val="center"/>
              <w:rPr>
                <w:highlight w:val="black"/>
              </w:rPr>
            </w:pPr>
            <w:r>
              <w:rPr>
                <w:noProof/>
                <w:color w:val="000000"/>
                <w:highlight w:val="black"/>
              </w:rPr>
              <w:t>''''''''''''''''''''' '''''''''''''' ''' ''''''''''''</w:t>
            </w:r>
          </w:p>
        </w:tc>
        <w:tc>
          <w:tcPr>
            <w:tcW w:w="1134" w:type="dxa"/>
          </w:tcPr>
          <w:p w:rsidR="00FB5052" w:rsidRPr="00A17B9D" w:rsidRDefault="00A17B9D" w:rsidP="00857DBE">
            <w:pPr>
              <w:pStyle w:val="Tabletext"/>
              <w:jc w:val="center"/>
              <w:rPr>
                <w:highlight w:val="black"/>
              </w:rPr>
            </w:pPr>
            <w:r>
              <w:rPr>
                <w:noProof/>
                <w:color w:val="000000"/>
                <w:highlight w:val="black"/>
              </w:rPr>
              <w:t>'''''''''''''' ''' ''''''''''''''</w:t>
            </w:r>
          </w:p>
        </w:tc>
        <w:tc>
          <w:tcPr>
            <w:tcW w:w="1701" w:type="dxa"/>
          </w:tcPr>
          <w:p w:rsidR="00FB5052" w:rsidRPr="00A17B9D" w:rsidRDefault="00A17B9D" w:rsidP="00DE31E4">
            <w:pPr>
              <w:pStyle w:val="Tabletext"/>
              <w:jc w:val="center"/>
              <w:rPr>
                <w:highlight w:val="black"/>
              </w:rPr>
            </w:pPr>
            <w:r>
              <w:rPr>
                <w:noProof/>
                <w:color w:val="000000"/>
                <w:highlight w:val="black"/>
              </w:rPr>
              <w:t>''''''''''''''''''' ''''''''''''' ''' '''''''''''''</w:t>
            </w:r>
          </w:p>
        </w:tc>
        <w:tc>
          <w:tcPr>
            <w:tcW w:w="1134" w:type="dxa"/>
          </w:tcPr>
          <w:p w:rsidR="00FB5052" w:rsidRPr="00A17B9D" w:rsidRDefault="00A17B9D" w:rsidP="00857DBE">
            <w:pPr>
              <w:pStyle w:val="Tabletext"/>
              <w:jc w:val="center"/>
              <w:rPr>
                <w:highlight w:val="black"/>
              </w:rPr>
            </w:pPr>
            <w:r>
              <w:rPr>
                <w:noProof/>
                <w:color w:val="000000"/>
                <w:highlight w:val="black"/>
              </w:rPr>
              <w:t>'''''''''''''''' ''' ''''''''''''''</w:t>
            </w:r>
          </w:p>
        </w:tc>
        <w:tc>
          <w:tcPr>
            <w:tcW w:w="1275" w:type="dxa"/>
          </w:tcPr>
          <w:p w:rsidR="00FB5052" w:rsidRPr="00A17B9D" w:rsidRDefault="00A17B9D" w:rsidP="00DE31E4">
            <w:pPr>
              <w:pStyle w:val="Tabletext"/>
              <w:jc w:val="center"/>
              <w:rPr>
                <w:highlight w:val="black"/>
              </w:rPr>
            </w:pPr>
            <w:r>
              <w:rPr>
                <w:noProof/>
                <w:color w:val="000000"/>
                <w:highlight w:val="black"/>
              </w:rPr>
              <w:t>'''''''''''''''''' '''''''''''''</w:t>
            </w:r>
          </w:p>
        </w:tc>
      </w:tr>
      <w:tr w:rsidR="00FB5052" w:rsidRPr="00857DBE" w:rsidTr="00EC2524">
        <w:tc>
          <w:tcPr>
            <w:tcW w:w="1271" w:type="dxa"/>
            <w:vMerge/>
          </w:tcPr>
          <w:p w:rsidR="00FB5052" w:rsidRPr="00857DBE" w:rsidRDefault="00FB5052" w:rsidP="00857DBE">
            <w:pPr>
              <w:pStyle w:val="Tabletext"/>
            </w:pPr>
          </w:p>
        </w:tc>
        <w:tc>
          <w:tcPr>
            <w:tcW w:w="1418" w:type="dxa"/>
            <w:vMerge/>
          </w:tcPr>
          <w:p w:rsidR="00FB5052" w:rsidRPr="00857DBE" w:rsidRDefault="00FB5052" w:rsidP="00857DBE">
            <w:pPr>
              <w:pStyle w:val="Tabletext"/>
            </w:pPr>
          </w:p>
        </w:tc>
        <w:tc>
          <w:tcPr>
            <w:tcW w:w="1701" w:type="dxa"/>
          </w:tcPr>
          <w:p w:rsidR="00FB5052" w:rsidRPr="00A17B9D" w:rsidRDefault="00A17B9D" w:rsidP="00DE31E4">
            <w:pPr>
              <w:pStyle w:val="Tabletext"/>
              <w:jc w:val="center"/>
              <w:rPr>
                <w:highlight w:val="black"/>
              </w:rPr>
            </w:pPr>
            <w:r>
              <w:rPr>
                <w:noProof/>
                <w:color w:val="000000"/>
                <w:highlight w:val="black"/>
              </w:rPr>
              <w:t>'''''''''''''''' ''''''''''''''' ''' '''''''''''''</w:t>
            </w:r>
          </w:p>
        </w:tc>
        <w:tc>
          <w:tcPr>
            <w:tcW w:w="1134" w:type="dxa"/>
          </w:tcPr>
          <w:p w:rsidR="00FB5052" w:rsidRPr="00A17B9D" w:rsidRDefault="00A17B9D" w:rsidP="00857DBE">
            <w:pPr>
              <w:pStyle w:val="Tabletext"/>
              <w:jc w:val="center"/>
              <w:rPr>
                <w:highlight w:val="black"/>
              </w:rPr>
            </w:pPr>
            <w:r>
              <w:rPr>
                <w:noProof/>
                <w:color w:val="000000"/>
                <w:highlight w:val="black"/>
              </w:rPr>
              <w:t>'''''''''''' '''' '''''''''''''</w:t>
            </w:r>
          </w:p>
        </w:tc>
        <w:tc>
          <w:tcPr>
            <w:tcW w:w="1701" w:type="dxa"/>
          </w:tcPr>
          <w:p w:rsidR="00FB5052" w:rsidRPr="00A17B9D" w:rsidRDefault="00A17B9D" w:rsidP="00DE31E4">
            <w:pPr>
              <w:pStyle w:val="Tabletext"/>
              <w:jc w:val="center"/>
              <w:rPr>
                <w:highlight w:val="black"/>
              </w:rPr>
            </w:pPr>
            <w:r>
              <w:rPr>
                <w:noProof/>
                <w:color w:val="000000"/>
                <w:highlight w:val="black"/>
              </w:rPr>
              <w:t>''''''''''' '''''''''''' ''' '''''''''''''</w:t>
            </w:r>
          </w:p>
        </w:tc>
        <w:tc>
          <w:tcPr>
            <w:tcW w:w="1134" w:type="dxa"/>
          </w:tcPr>
          <w:p w:rsidR="00FB5052" w:rsidRPr="00A17B9D" w:rsidRDefault="00A17B9D" w:rsidP="00857DBE">
            <w:pPr>
              <w:pStyle w:val="Tabletext"/>
              <w:jc w:val="center"/>
              <w:rPr>
                <w:highlight w:val="black"/>
              </w:rPr>
            </w:pPr>
            <w:r>
              <w:rPr>
                <w:noProof/>
                <w:color w:val="000000"/>
                <w:highlight w:val="black"/>
              </w:rPr>
              <w:t>''''''''''''' ''' ''''''''''''</w:t>
            </w:r>
          </w:p>
        </w:tc>
        <w:tc>
          <w:tcPr>
            <w:tcW w:w="1275" w:type="dxa"/>
          </w:tcPr>
          <w:p w:rsidR="00FB5052" w:rsidRPr="00A17B9D" w:rsidRDefault="00A17B9D" w:rsidP="00DE31E4">
            <w:pPr>
              <w:pStyle w:val="Tabletext"/>
              <w:jc w:val="center"/>
              <w:rPr>
                <w:highlight w:val="black"/>
              </w:rPr>
            </w:pPr>
            <w:r>
              <w:rPr>
                <w:noProof/>
                <w:color w:val="000000"/>
                <w:highlight w:val="black"/>
              </w:rPr>
              <w:t>'''''''''''' ''''''''''''''</w:t>
            </w:r>
          </w:p>
        </w:tc>
      </w:tr>
    </w:tbl>
    <w:p w:rsidR="004273EA" w:rsidRDefault="004273EA" w:rsidP="004273EA">
      <w:pPr>
        <w:pStyle w:val="Tablenote"/>
      </w:pPr>
      <w:r>
        <w:rPr>
          <w:vertAlign w:val="superscript"/>
        </w:rPr>
        <w:t xml:space="preserve">a </w:t>
      </w:r>
      <w:r>
        <w:t xml:space="preserve">EQ-5D utility scores range from </w:t>
      </w:r>
      <w:r w:rsidRPr="00C569DB">
        <w:t>−</w:t>
      </w:r>
      <w:r>
        <w:t>0.59 to 1.00. A higher score represents better QoL.</w:t>
      </w:r>
    </w:p>
    <w:p w:rsidR="006713D3" w:rsidRDefault="004273EA" w:rsidP="00857DBE">
      <w:pPr>
        <w:pStyle w:val="Tablenote"/>
      </w:pPr>
      <w:r>
        <w:rPr>
          <w:vertAlign w:val="superscript"/>
        </w:rPr>
        <w:t xml:space="preserve">b </w:t>
      </w:r>
      <w:r>
        <w:t>LPH total scores range from 0 to 105. A higher score indicates poorer QoL.</w:t>
      </w:r>
    </w:p>
    <w:p w:rsidR="007E6E6A" w:rsidRPr="006316DF" w:rsidRDefault="00FB5052" w:rsidP="00857DBE">
      <w:pPr>
        <w:pStyle w:val="Tablenote"/>
      </w:pPr>
      <w:r w:rsidRPr="006316DF">
        <w:t>CSR</w:t>
      </w:r>
      <w:r>
        <w:t xml:space="preserve"> </w:t>
      </w:r>
      <w:r w:rsidRPr="006316DF">
        <w:t>=</w:t>
      </w:r>
      <w:r>
        <w:t xml:space="preserve"> </w:t>
      </w:r>
      <w:r w:rsidRPr="006316DF">
        <w:t xml:space="preserve">clinical study report; EQ-5D = </w:t>
      </w:r>
      <w:r w:rsidR="00572AE9" w:rsidRPr="00572AE9">
        <w:t>EuroQoL 5 dimensions</w:t>
      </w:r>
      <w:r w:rsidRPr="006316DF">
        <w:t xml:space="preserve">; </w:t>
      </w:r>
      <w:r w:rsidR="007E6E6A" w:rsidRPr="006F774E">
        <w:t xml:space="preserve">FC = functional class; </w:t>
      </w:r>
      <w:r w:rsidRPr="006316DF">
        <w:t xml:space="preserve">LPH = living with pulmonary hypertension; N = number of patients; </w:t>
      </w:r>
      <w:r w:rsidR="007E6E6A" w:rsidRPr="009E3B52">
        <w:t xml:space="preserve">PAH = pulmonary arterial hypertension; </w:t>
      </w:r>
      <w:r w:rsidRPr="006316DF">
        <w:t>QoL = quality of life; RR = relative risk; SD = standard deviation</w:t>
      </w:r>
      <w:r w:rsidR="004B7C88" w:rsidRPr="004B7C88">
        <w:t>; sGC = solub</w:t>
      </w:r>
      <w:r w:rsidR="004B7C88">
        <w:t>le guanylate cyclase</w:t>
      </w:r>
      <w:r w:rsidR="007E6E6A" w:rsidRPr="00F20C66">
        <w:t xml:space="preserve">; </w:t>
      </w:r>
      <w:r w:rsidR="007E6E6A" w:rsidRPr="009E3B52">
        <w:t>WHO = World Health Organization</w:t>
      </w:r>
    </w:p>
    <w:p w:rsidR="00EE09B2" w:rsidRPr="006316DF" w:rsidRDefault="00EE09B2" w:rsidP="00EE09B2">
      <w:pPr>
        <w:pStyle w:val="Heading5"/>
      </w:pPr>
      <w:r>
        <w:t>g.</w:t>
      </w:r>
      <w:r w:rsidR="0066218C">
        <w:tab/>
      </w:r>
      <w:r w:rsidRPr="006316DF">
        <w:t xml:space="preserve">Change in </w:t>
      </w:r>
      <w:r>
        <w:t>haemodynamic parameters</w:t>
      </w:r>
      <w:r w:rsidRPr="006316DF">
        <w:t xml:space="preserve"> from baseline</w:t>
      </w:r>
    </w:p>
    <w:p w:rsidR="00EE09B2" w:rsidRPr="008F78A0" w:rsidRDefault="00EE09B2" w:rsidP="00EE09B2">
      <w:r>
        <w:t xml:space="preserve">In the PATENT-1 trial, </w:t>
      </w:r>
      <w:r w:rsidRPr="000D1917">
        <w:t xml:space="preserve">treatment-naïve patients with WHO FC I/II PAH </w:t>
      </w:r>
      <w:r>
        <w:t xml:space="preserve">randomised to riociguat treatment had a mean baseline PVR </w:t>
      </w:r>
      <w:r w:rsidR="00A17B9D">
        <w:rPr>
          <w:noProof/>
          <w:color w:val="000000"/>
          <w:highlight w:val="black"/>
        </w:rPr>
        <w:t>'''''''''''' ''''''''''''</w:t>
      </w:r>
      <w:r>
        <w:t xml:space="preserve"> than those who were randomised to placebo. Thus, any confounding of the treatment effect would favour </w:t>
      </w:r>
      <w:r w:rsidR="00A17B9D">
        <w:rPr>
          <w:noProof/>
          <w:color w:val="000000"/>
          <w:highlight w:val="black"/>
        </w:rPr>
        <w:t>'''''' '''''''''''''' '''''''''''</w:t>
      </w:r>
      <w:r>
        <w:t xml:space="preserve">. However, the </w:t>
      </w:r>
      <w:r w:rsidRPr="00544FB4">
        <w:t xml:space="preserve">treatment-naïve patients </w:t>
      </w:r>
      <w:r>
        <w:t>with WHO FC I/II PAH</w:t>
      </w:r>
      <w:r w:rsidRPr="00544FB4">
        <w:t xml:space="preserve"> had a mean </w:t>
      </w:r>
      <w:r>
        <w:t xml:space="preserve">placebo-adjusted </w:t>
      </w:r>
      <w:r w:rsidR="00A17B9D">
        <w:rPr>
          <w:noProof/>
          <w:color w:val="000000"/>
          <w:highlight w:val="black"/>
        </w:rPr>
        <w:t>''''''''''''''''</w:t>
      </w:r>
      <w:r>
        <w:t xml:space="preserve"> </w:t>
      </w:r>
      <w:r w:rsidRPr="00544FB4">
        <w:t xml:space="preserve">in PVR </w:t>
      </w:r>
      <w:r>
        <w:t xml:space="preserve">of </w:t>
      </w:r>
      <w:r w:rsidR="00A17B9D">
        <w:rPr>
          <w:noProof/>
          <w:color w:val="000000"/>
          <w:highlight w:val="black"/>
        </w:rPr>
        <w:t>''''''''</w:t>
      </w:r>
      <w:r w:rsidRPr="00544FB4">
        <w:t xml:space="preserve"> </w:t>
      </w:r>
      <w:r>
        <w:t>a</w:t>
      </w:r>
      <w:r w:rsidRPr="000E7DA6">
        <w:t xml:space="preserve">fter </w:t>
      </w:r>
      <w:r>
        <w:t>12 weeks</w:t>
      </w:r>
      <w:r w:rsidRPr="000E7DA6">
        <w:t xml:space="preserve"> of riociguat treatment </w:t>
      </w:r>
      <w:r w:rsidRPr="00544FB4">
        <w:t>(</w:t>
      </w:r>
      <w:r w:rsidR="00AA722D">
        <w:t>Table 4.</w:t>
      </w:r>
      <w:r w:rsidR="00AA722D">
        <w:rPr>
          <w:noProof/>
        </w:rPr>
        <w:t>43</w:t>
      </w:r>
      <w:r w:rsidRPr="00544FB4">
        <w:t xml:space="preserve">). As the normal </w:t>
      </w:r>
      <w:r>
        <w:t xml:space="preserve">laboratory </w:t>
      </w:r>
      <w:r w:rsidRPr="00544FB4">
        <w:t xml:space="preserve">PVR in adults </w:t>
      </w:r>
      <w:r>
        <w:t>is</w:t>
      </w:r>
      <w:r w:rsidRPr="00544FB4">
        <w:t xml:space="preserve"> &lt;250 dyn</w:t>
      </w:r>
      <w:r w:rsidR="004776AC">
        <w:t>*</w:t>
      </w:r>
      <w:r w:rsidRPr="00544FB4">
        <w:t>sec</w:t>
      </w:r>
      <w:r w:rsidR="004776AC">
        <w:t>*</w:t>
      </w:r>
      <w:r w:rsidRPr="004776AC">
        <w:t>cm</w:t>
      </w:r>
      <w:r w:rsidR="004776AC">
        <w:rPr>
          <w:vertAlign w:val="superscript"/>
        </w:rPr>
        <w:t>-</w:t>
      </w:r>
      <w:r w:rsidRPr="004776AC">
        <w:rPr>
          <w:vertAlign w:val="superscript"/>
        </w:rPr>
        <w:t>5</w:t>
      </w:r>
      <w:r w:rsidRPr="00544FB4">
        <w:t xml:space="preserve">, </w:t>
      </w:r>
      <w:r>
        <w:t xml:space="preserve">and the </w:t>
      </w:r>
      <w:r w:rsidR="00A17B9D">
        <w:rPr>
          <w:noProof/>
          <w:color w:val="000000"/>
          <w:highlight w:val="black"/>
        </w:rPr>
        <w:t>''''''''''''''''' ''' ''''''' '''''''''''' ''''''''''''''''' ''''''''''' '''''''' ''''''''''' ''''''''' '''''''' '''''' ''''''''''''''''' '''''''' '''''' '''' '''''''''''''' ''''''''''''''''''''''</w:t>
      </w:r>
      <w:r>
        <w:t>.</w:t>
      </w:r>
    </w:p>
    <w:p w:rsidR="00EE09B2" w:rsidRDefault="00EE09B2" w:rsidP="00BC5A2B">
      <w:pPr>
        <w:pStyle w:val="Caption"/>
      </w:pPr>
      <w:bookmarkStart w:id="138" w:name="_Ref505962289"/>
      <w:bookmarkStart w:id="139" w:name="_Toc512855447"/>
      <w:r>
        <w:t>Table 4.</w:t>
      </w:r>
      <w:r w:rsidR="00AA722D">
        <w:rPr>
          <w:noProof/>
        </w:rPr>
        <w:t>43</w:t>
      </w:r>
      <w:bookmarkEnd w:id="138"/>
      <w:r>
        <w:tab/>
      </w:r>
      <w:r w:rsidRPr="006316DF">
        <w:t xml:space="preserve">The effectiveness of </w:t>
      </w:r>
      <w:r w:rsidR="00EB768B">
        <w:t xml:space="preserve">a </w:t>
      </w:r>
      <w:r w:rsidR="00EC2524" w:rsidRPr="00EC2524">
        <w:t>sGC stimulator</w:t>
      </w:r>
      <w:r w:rsidR="00EC2524">
        <w:t xml:space="preserve"> </w:t>
      </w:r>
      <w:r w:rsidRPr="006316DF">
        <w:t xml:space="preserve">compared with placebo in improving </w:t>
      </w:r>
      <w:r>
        <w:t>PVR</w:t>
      </w:r>
      <w:r w:rsidRPr="00B642BB">
        <w:t xml:space="preserve"> in patients with WHO FC I/II PAH</w:t>
      </w:r>
      <w:bookmarkEnd w:id="139"/>
    </w:p>
    <w:tbl>
      <w:tblPr>
        <w:tblStyle w:val="TableGrid"/>
        <w:tblW w:w="9635" w:type="dxa"/>
        <w:tblLayout w:type="fixed"/>
        <w:tblLook w:val="04A0" w:firstRow="1" w:lastRow="0" w:firstColumn="1" w:lastColumn="0" w:noHBand="0" w:noVBand="1"/>
        <w:tblCaption w:val="The effectiveness of a sGC stimulator compared with placebo in improving PVR in patients with WHO FC I/II PAH"/>
      </w:tblPr>
      <w:tblGrid>
        <w:gridCol w:w="1271"/>
        <w:gridCol w:w="1134"/>
        <w:gridCol w:w="1346"/>
        <w:gridCol w:w="1347"/>
        <w:gridCol w:w="1560"/>
        <w:gridCol w:w="1418"/>
        <w:gridCol w:w="1559"/>
      </w:tblGrid>
      <w:tr w:rsidR="00EE09B2" w:rsidTr="001424AA">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EE09B2" w:rsidRDefault="00EE09B2" w:rsidP="00BC5A2B">
            <w:pPr>
              <w:pStyle w:val="Tabletext"/>
              <w:rPr>
                <w:b/>
              </w:rPr>
            </w:pPr>
            <w:r w:rsidRPr="00857DBE">
              <w:rPr>
                <w:b/>
              </w:rPr>
              <w:t>Study ID</w:t>
            </w:r>
          </w:p>
          <w:p w:rsidR="00EC2524" w:rsidRPr="00857DBE" w:rsidRDefault="00EC2524" w:rsidP="00BC5A2B">
            <w:pPr>
              <w:pStyle w:val="Tabletext"/>
              <w:rPr>
                <w:b/>
              </w:rPr>
            </w:pPr>
            <w:r w:rsidRPr="00EC2524">
              <w:rPr>
                <w:b/>
              </w:rPr>
              <w:t>sGC stimulator</w:t>
            </w:r>
          </w:p>
        </w:tc>
        <w:tc>
          <w:tcPr>
            <w:tcW w:w="1134" w:type="dxa"/>
            <w:vMerge w:val="restart"/>
            <w:shd w:val="clear" w:color="auto" w:fill="BFBFBF" w:themeFill="background1" w:themeFillShade="BF"/>
          </w:tcPr>
          <w:p w:rsidR="00EE09B2" w:rsidRPr="00857DBE" w:rsidRDefault="00EE09B2" w:rsidP="00BC5A2B">
            <w:pPr>
              <w:pStyle w:val="Tabletext"/>
              <w:rPr>
                <w:b/>
              </w:rPr>
            </w:pPr>
            <w:r w:rsidRPr="00857DBE">
              <w:rPr>
                <w:b/>
              </w:rPr>
              <w:t>N</w:t>
            </w:r>
          </w:p>
          <w:p w:rsidR="00EE09B2" w:rsidRPr="00857DBE" w:rsidRDefault="00EE09B2" w:rsidP="00BC5A2B">
            <w:pPr>
              <w:pStyle w:val="Tabletext"/>
              <w:rPr>
                <w:b/>
              </w:rPr>
            </w:pPr>
            <w:r w:rsidRPr="00857DBE">
              <w:rPr>
                <w:b/>
              </w:rPr>
              <w:t>Follow-up period</w:t>
            </w:r>
          </w:p>
        </w:tc>
        <w:tc>
          <w:tcPr>
            <w:tcW w:w="2693" w:type="dxa"/>
            <w:gridSpan w:val="2"/>
            <w:shd w:val="clear" w:color="auto" w:fill="BFBFBF" w:themeFill="background1" w:themeFillShade="BF"/>
          </w:tcPr>
          <w:p w:rsidR="00EE09B2" w:rsidRPr="00857DBE" w:rsidRDefault="00EE09B2" w:rsidP="00BC5A2B">
            <w:pPr>
              <w:pStyle w:val="Tabletext"/>
              <w:jc w:val="center"/>
              <w:rPr>
                <w:b/>
              </w:rPr>
            </w:pPr>
            <w:r w:rsidRPr="00857DBE">
              <w:rPr>
                <w:b/>
              </w:rPr>
              <w:t>Mean ± SD baseline PVR</w:t>
            </w:r>
            <w:r w:rsidR="003A513F" w:rsidRPr="003A513F">
              <w:rPr>
                <w:b/>
                <w:vertAlign w:val="superscript"/>
              </w:rPr>
              <w:t>a</w:t>
            </w:r>
            <w:r w:rsidRPr="00857DBE">
              <w:rPr>
                <w:b/>
              </w:rPr>
              <w:t xml:space="preserve">, </w:t>
            </w:r>
            <w:r w:rsidR="001424AA" w:rsidRPr="00ED0695">
              <w:rPr>
                <w:b/>
              </w:rPr>
              <w:t>dyn</w:t>
            </w:r>
            <w:r w:rsidR="001424AA">
              <w:rPr>
                <w:b/>
              </w:rPr>
              <w:t>*</w:t>
            </w:r>
            <w:r w:rsidR="001424AA" w:rsidRPr="00ED0695">
              <w:rPr>
                <w:b/>
              </w:rPr>
              <w:t>sec</w:t>
            </w:r>
            <w:r w:rsidR="001424AA">
              <w:rPr>
                <w:b/>
              </w:rPr>
              <w:t>*</w:t>
            </w:r>
            <w:r w:rsidR="001424AA" w:rsidRPr="001424AA">
              <w:rPr>
                <w:b/>
              </w:rPr>
              <w:t>cm</w:t>
            </w:r>
            <w:r w:rsidR="001424AA">
              <w:rPr>
                <w:b/>
                <w:vertAlign w:val="superscript"/>
              </w:rPr>
              <w:t>-</w:t>
            </w:r>
            <w:r w:rsidR="001424AA" w:rsidRPr="001424AA">
              <w:rPr>
                <w:b/>
                <w:vertAlign w:val="superscript"/>
              </w:rPr>
              <w:t>5</w:t>
            </w:r>
          </w:p>
        </w:tc>
        <w:tc>
          <w:tcPr>
            <w:tcW w:w="2978" w:type="dxa"/>
            <w:gridSpan w:val="2"/>
            <w:shd w:val="clear" w:color="auto" w:fill="BFBFBF" w:themeFill="background1" w:themeFillShade="BF"/>
          </w:tcPr>
          <w:p w:rsidR="00EE09B2" w:rsidRPr="00E6350D" w:rsidRDefault="00EE09B2" w:rsidP="007E6E6A">
            <w:pPr>
              <w:pStyle w:val="Tabletext"/>
              <w:jc w:val="center"/>
              <w:rPr>
                <w:b/>
              </w:rPr>
            </w:pPr>
            <w:r w:rsidRPr="00857DBE">
              <w:rPr>
                <w:b/>
              </w:rPr>
              <w:t xml:space="preserve">Mean </w:t>
            </w:r>
            <w:r w:rsidR="007E6E6A">
              <w:rPr>
                <w:b/>
              </w:rPr>
              <w:t xml:space="preserve">± SD </w:t>
            </w:r>
            <w:r w:rsidRPr="00857DBE">
              <w:rPr>
                <w:b/>
              </w:rPr>
              <w:t>c</w:t>
            </w:r>
            <w:r w:rsidRPr="00857DBE">
              <w:rPr>
                <w:rFonts w:asciiTheme="minorHAnsi" w:hAnsiTheme="minorHAnsi"/>
                <w:b/>
              </w:rPr>
              <w:t>hange from baseline</w:t>
            </w:r>
            <w:r w:rsidRPr="00857DBE">
              <w:rPr>
                <w:b/>
              </w:rPr>
              <w:t xml:space="preserve">, </w:t>
            </w:r>
            <w:r w:rsidR="001424AA" w:rsidRPr="00ED0695">
              <w:rPr>
                <w:b/>
              </w:rPr>
              <w:t>dyn</w:t>
            </w:r>
            <w:r w:rsidR="001424AA">
              <w:rPr>
                <w:b/>
              </w:rPr>
              <w:t>*</w:t>
            </w:r>
            <w:r w:rsidR="001424AA" w:rsidRPr="00ED0695">
              <w:rPr>
                <w:b/>
              </w:rPr>
              <w:t>sec</w:t>
            </w:r>
            <w:r w:rsidR="001424AA">
              <w:rPr>
                <w:b/>
              </w:rPr>
              <w:t>*</w:t>
            </w:r>
            <w:r w:rsidR="001424AA" w:rsidRPr="001424AA">
              <w:rPr>
                <w:b/>
              </w:rPr>
              <w:t>cm</w:t>
            </w:r>
            <w:r w:rsidR="001424AA">
              <w:rPr>
                <w:b/>
                <w:vertAlign w:val="superscript"/>
              </w:rPr>
              <w:t>-</w:t>
            </w:r>
            <w:r w:rsidR="001424AA" w:rsidRPr="001424AA">
              <w:rPr>
                <w:b/>
                <w:vertAlign w:val="superscript"/>
              </w:rPr>
              <w:t>5</w:t>
            </w:r>
            <w:r w:rsidR="00E6350D">
              <w:rPr>
                <w:b/>
              </w:rPr>
              <w:t xml:space="preserve"> (% change from baseline)</w:t>
            </w:r>
          </w:p>
        </w:tc>
        <w:tc>
          <w:tcPr>
            <w:tcW w:w="1559" w:type="dxa"/>
            <w:vMerge w:val="restart"/>
            <w:shd w:val="clear" w:color="auto" w:fill="BFBFBF" w:themeFill="background1" w:themeFillShade="BF"/>
          </w:tcPr>
          <w:p w:rsidR="00EE09B2" w:rsidRPr="00857DBE" w:rsidRDefault="00EE09B2" w:rsidP="00F141A8">
            <w:pPr>
              <w:pStyle w:val="Tabletext"/>
              <w:jc w:val="center"/>
              <w:rPr>
                <w:b/>
              </w:rPr>
            </w:pPr>
            <w:r w:rsidRPr="00857DBE">
              <w:rPr>
                <w:b/>
              </w:rPr>
              <w:t>Mean d</w:t>
            </w:r>
            <w:r w:rsidRPr="00857DBE">
              <w:rPr>
                <w:rFonts w:asciiTheme="minorHAnsi" w:hAnsiTheme="minorHAnsi"/>
                <w:b/>
              </w:rPr>
              <w:t>ifference</w:t>
            </w:r>
            <w:r w:rsidR="00F141A8" w:rsidRPr="00857DBE">
              <w:rPr>
                <w:b/>
              </w:rPr>
              <w:t xml:space="preserve">, </w:t>
            </w:r>
            <w:r w:rsidR="00F141A8" w:rsidRPr="00ED0695">
              <w:rPr>
                <w:b/>
              </w:rPr>
              <w:t>dyn</w:t>
            </w:r>
            <w:r w:rsidR="00F141A8">
              <w:rPr>
                <w:b/>
              </w:rPr>
              <w:t>*</w:t>
            </w:r>
            <w:r w:rsidR="00F141A8" w:rsidRPr="00ED0695">
              <w:rPr>
                <w:b/>
              </w:rPr>
              <w:t>sec</w:t>
            </w:r>
            <w:r w:rsidR="00F141A8">
              <w:rPr>
                <w:b/>
              </w:rPr>
              <w:t>*</w:t>
            </w:r>
            <w:r w:rsidR="00F141A8" w:rsidRPr="001424AA">
              <w:rPr>
                <w:b/>
              </w:rPr>
              <w:t>cm</w:t>
            </w:r>
            <w:r w:rsidR="00F141A8">
              <w:rPr>
                <w:b/>
                <w:vertAlign w:val="superscript"/>
              </w:rPr>
              <w:t>-</w:t>
            </w:r>
            <w:r w:rsidR="00F141A8" w:rsidRPr="001424AA">
              <w:rPr>
                <w:b/>
                <w:vertAlign w:val="superscript"/>
              </w:rPr>
              <w:t>5</w:t>
            </w:r>
            <w:r w:rsidRPr="00857DBE">
              <w:rPr>
                <w:rFonts w:asciiTheme="minorHAnsi" w:hAnsiTheme="minorHAnsi"/>
                <w:b/>
              </w:rPr>
              <w:t xml:space="preserve"> </w:t>
            </w:r>
            <w:r w:rsidR="00E6350D">
              <w:rPr>
                <w:rFonts w:asciiTheme="minorHAnsi" w:hAnsiTheme="minorHAnsi"/>
                <w:b/>
              </w:rPr>
              <w:br/>
            </w:r>
            <w:r w:rsidRPr="00857DBE">
              <w:rPr>
                <w:b/>
              </w:rPr>
              <w:t>(</w:t>
            </w:r>
            <w:r w:rsidR="00E6350D">
              <w:rPr>
                <w:b/>
              </w:rPr>
              <w:t>% change</w:t>
            </w:r>
            <w:r w:rsidRPr="00857DBE">
              <w:rPr>
                <w:b/>
              </w:rPr>
              <w:t>)</w:t>
            </w:r>
          </w:p>
        </w:tc>
      </w:tr>
      <w:tr w:rsidR="00EE09B2" w:rsidTr="001424AA">
        <w:tc>
          <w:tcPr>
            <w:tcW w:w="1271" w:type="dxa"/>
            <w:vMerge/>
          </w:tcPr>
          <w:p w:rsidR="00EE09B2" w:rsidRDefault="00EE09B2" w:rsidP="00BC5A2B">
            <w:pPr>
              <w:pStyle w:val="Tabletext"/>
            </w:pPr>
          </w:p>
        </w:tc>
        <w:tc>
          <w:tcPr>
            <w:tcW w:w="1134" w:type="dxa"/>
            <w:vMerge/>
          </w:tcPr>
          <w:p w:rsidR="00EE09B2" w:rsidRDefault="00EE09B2" w:rsidP="00BC5A2B">
            <w:pPr>
              <w:pStyle w:val="Tabletext"/>
            </w:pPr>
          </w:p>
        </w:tc>
        <w:tc>
          <w:tcPr>
            <w:tcW w:w="1346" w:type="dxa"/>
            <w:shd w:val="clear" w:color="auto" w:fill="BFBFBF" w:themeFill="background1" w:themeFillShade="BF"/>
          </w:tcPr>
          <w:p w:rsidR="00EE09B2" w:rsidRPr="00857DBE" w:rsidRDefault="00EC2524" w:rsidP="00BC5A2B">
            <w:pPr>
              <w:pStyle w:val="Tabletext"/>
              <w:jc w:val="center"/>
              <w:rPr>
                <w:b/>
              </w:rPr>
            </w:pPr>
            <w:r w:rsidRPr="00EC2524">
              <w:rPr>
                <w:b/>
              </w:rPr>
              <w:t>sGC stimulator</w:t>
            </w:r>
          </w:p>
        </w:tc>
        <w:tc>
          <w:tcPr>
            <w:tcW w:w="1347" w:type="dxa"/>
            <w:shd w:val="clear" w:color="auto" w:fill="BFBFBF" w:themeFill="background1" w:themeFillShade="BF"/>
          </w:tcPr>
          <w:p w:rsidR="00EE09B2" w:rsidRPr="00857DBE" w:rsidRDefault="00EE09B2" w:rsidP="00BC5A2B">
            <w:pPr>
              <w:pStyle w:val="Tabletext"/>
              <w:jc w:val="center"/>
              <w:rPr>
                <w:b/>
              </w:rPr>
            </w:pPr>
            <w:r w:rsidRPr="00857DBE">
              <w:rPr>
                <w:rFonts w:asciiTheme="minorHAnsi" w:hAnsiTheme="minorHAnsi"/>
                <w:b/>
              </w:rPr>
              <w:t>Placebo</w:t>
            </w:r>
          </w:p>
        </w:tc>
        <w:tc>
          <w:tcPr>
            <w:tcW w:w="1560" w:type="dxa"/>
            <w:shd w:val="clear" w:color="auto" w:fill="BFBFBF" w:themeFill="background1" w:themeFillShade="BF"/>
          </w:tcPr>
          <w:p w:rsidR="00EE09B2" w:rsidRPr="00857DBE" w:rsidRDefault="00EC2524" w:rsidP="00BC5A2B">
            <w:pPr>
              <w:pStyle w:val="Tabletext"/>
              <w:jc w:val="center"/>
              <w:rPr>
                <w:b/>
              </w:rPr>
            </w:pPr>
            <w:r w:rsidRPr="00EC2524">
              <w:rPr>
                <w:b/>
              </w:rPr>
              <w:t>sGC stimulator</w:t>
            </w:r>
          </w:p>
        </w:tc>
        <w:tc>
          <w:tcPr>
            <w:tcW w:w="1418" w:type="dxa"/>
            <w:shd w:val="clear" w:color="auto" w:fill="BFBFBF" w:themeFill="background1" w:themeFillShade="BF"/>
          </w:tcPr>
          <w:p w:rsidR="00EE09B2" w:rsidRPr="00857DBE" w:rsidRDefault="00EE09B2" w:rsidP="00BC5A2B">
            <w:pPr>
              <w:pStyle w:val="Tabletext"/>
              <w:jc w:val="center"/>
              <w:rPr>
                <w:b/>
              </w:rPr>
            </w:pPr>
            <w:r w:rsidRPr="00857DBE">
              <w:rPr>
                <w:rFonts w:asciiTheme="minorHAnsi" w:hAnsiTheme="minorHAnsi"/>
                <w:b/>
              </w:rPr>
              <w:t>Placebo</w:t>
            </w:r>
          </w:p>
        </w:tc>
        <w:tc>
          <w:tcPr>
            <w:tcW w:w="1559" w:type="dxa"/>
            <w:vMerge/>
          </w:tcPr>
          <w:p w:rsidR="00EE09B2" w:rsidRDefault="00EE09B2" w:rsidP="00BC5A2B">
            <w:pPr>
              <w:pStyle w:val="Tabletext"/>
            </w:pPr>
          </w:p>
        </w:tc>
      </w:tr>
      <w:tr w:rsidR="00EE09B2" w:rsidTr="001424AA">
        <w:tc>
          <w:tcPr>
            <w:tcW w:w="1271" w:type="dxa"/>
          </w:tcPr>
          <w:p w:rsidR="00EE09B2" w:rsidRPr="00E6350D" w:rsidRDefault="00EE09B2" w:rsidP="00BC5A2B">
            <w:pPr>
              <w:pStyle w:val="Tabletext"/>
            </w:pPr>
            <w:r w:rsidRPr="00E6350D">
              <w:t>PATENT-1 CSR</w:t>
            </w:r>
          </w:p>
          <w:p w:rsidR="00EC2524" w:rsidRPr="00EC2524" w:rsidRDefault="00EC2524" w:rsidP="00BC5A2B">
            <w:pPr>
              <w:pStyle w:val="Tabletext"/>
            </w:pPr>
            <w:r w:rsidRPr="00EC2524">
              <w:t>Riociguat</w:t>
            </w:r>
          </w:p>
        </w:tc>
        <w:tc>
          <w:tcPr>
            <w:tcW w:w="1134" w:type="dxa"/>
          </w:tcPr>
          <w:p w:rsidR="00EE09B2" w:rsidRPr="006316DF" w:rsidRDefault="00EE09B2" w:rsidP="00BC5A2B">
            <w:pPr>
              <w:pStyle w:val="Tabletext"/>
              <w:rPr>
                <w:rFonts w:cs="Tahoma"/>
              </w:rPr>
            </w:pPr>
            <w:r w:rsidRPr="006316DF">
              <w:rPr>
                <w:rFonts w:cs="Tahoma"/>
              </w:rPr>
              <w:t>N=</w:t>
            </w:r>
            <w:r>
              <w:rPr>
                <w:rFonts w:cs="Tahoma"/>
              </w:rPr>
              <w:t>107</w:t>
            </w:r>
          </w:p>
          <w:p w:rsidR="00EE09B2" w:rsidRDefault="00EE09B2" w:rsidP="00BC5A2B">
            <w:pPr>
              <w:pStyle w:val="Tabletext"/>
            </w:pPr>
            <w:r>
              <w:rPr>
                <w:rFonts w:cs="Tahoma"/>
              </w:rPr>
              <w:t>12 weeks</w:t>
            </w:r>
          </w:p>
        </w:tc>
        <w:tc>
          <w:tcPr>
            <w:tcW w:w="1346" w:type="dxa"/>
          </w:tcPr>
          <w:p w:rsidR="00EE09B2" w:rsidRPr="00A17B9D" w:rsidRDefault="00A17B9D" w:rsidP="00BC5A2B">
            <w:pPr>
              <w:pStyle w:val="Tabletext"/>
              <w:jc w:val="center"/>
              <w:rPr>
                <w:highlight w:val="black"/>
              </w:rPr>
            </w:pPr>
            <w:r>
              <w:rPr>
                <w:rFonts w:cs="Tahoma"/>
                <w:noProof/>
                <w:color w:val="000000"/>
                <w:highlight w:val="black"/>
              </w:rPr>
              <w:t>''''''''' ''' '''''''''</w:t>
            </w:r>
          </w:p>
        </w:tc>
        <w:tc>
          <w:tcPr>
            <w:tcW w:w="1347" w:type="dxa"/>
          </w:tcPr>
          <w:p w:rsidR="00EE09B2" w:rsidRPr="00A17B9D" w:rsidRDefault="00A17B9D" w:rsidP="006B12F7">
            <w:pPr>
              <w:pStyle w:val="Tabletext"/>
              <w:jc w:val="center"/>
              <w:rPr>
                <w:highlight w:val="black"/>
              </w:rPr>
            </w:pPr>
            <w:r>
              <w:rPr>
                <w:rFonts w:cs="Tahoma"/>
                <w:noProof/>
                <w:color w:val="000000"/>
                <w:highlight w:val="black"/>
              </w:rPr>
              <w:t>'''''''''' ''' ''''''''''</w:t>
            </w:r>
          </w:p>
        </w:tc>
        <w:tc>
          <w:tcPr>
            <w:tcW w:w="1560" w:type="dxa"/>
          </w:tcPr>
          <w:p w:rsidR="00EE09B2" w:rsidRPr="00A17B9D" w:rsidRDefault="00A17B9D" w:rsidP="00BC5A2B">
            <w:pPr>
              <w:pStyle w:val="Tabletext"/>
              <w:jc w:val="center"/>
              <w:rPr>
                <w:rFonts w:cs="Tahoma"/>
                <w:highlight w:val="black"/>
              </w:rPr>
            </w:pPr>
            <w:r>
              <w:rPr>
                <w:rFonts w:cs="Tahoma"/>
                <w:noProof/>
                <w:color w:val="000000"/>
                <w:highlight w:val="black"/>
              </w:rPr>
              <w:t>'''''''''''' '''' ''''''''''</w:t>
            </w:r>
          </w:p>
          <w:p w:rsidR="00EE09B2" w:rsidRPr="00A17B9D" w:rsidRDefault="00A17B9D" w:rsidP="00E6350D">
            <w:pPr>
              <w:pStyle w:val="Tabletext"/>
              <w:jc w:val="center"/>
              <w:rPr>
                <w:highlight w:val="black"/>
              </w:rPr>
            </w:pPr>
            <w:r>
              <w:rPr>
                <w:rFonts w:cs="Tahoma"/>
                <w:noProof/>
                <w:color w:val="000000"/>
                <w:highlight w:val="black"/>
              </w:rPr>
              <w:t>''''''''''''''''' ''''''''''''''''''''''</w:t>
            </w:r>
          </w:p>
        </w:tc>
        <w:tc>
          <w:tcPr>
            <w:tcW w:w="1418" w:type="dxa"/>
          </w:tcPr>
          <w:p w:rsidR="00EE09B2" w:rsidRPr="00A17B9D" w:rsidRDefault="00A17B9D" w:rsidP="00BC5A2B">
            <w:pPr>
              <w:pStyle w:val="Tabletext"/>
              <w:jc w:val="center"/>
              <w:rPr>
                <w:rFonts w:cs="Tahoma"/>
                <w:highlight w:val="black"/>
              </w:rPr>
            </w:pPr>
            <w:r>
              <w:rPr>
                <w:rFonts w:cs="Tahoma"/>
                <w:noProof/>
                <w:color w:val="000000"/>
                <w:highlight w:val="black"/>
              </w:rPr>
              <w:t>'''''' ''' ''''''''</w:t>
            </w:r>
          </w:p>
          <w:p w:rsidR="00EE09B2" w:rsidRPr="00A17B9D" w:rsidRDefault="00A17B9D" w:rsidP="00063B4C">
            <w:pPr>
              <w:pStyle w:val="Tabletext"/>
              <w:jc w:val="center"/>
              <w:rPr>
                <w:highlight w:val="black"/>
              </w:rPr>
            </w:pPr>
            <w:r>
              <w:rPr>
                <w:rFonts w:cs="Tahoma"/>
                <w:noProof/>
                <w:color w:val="000000"/>
                <w:highlight w:val="black"/>
              </w:rPr>
              <w:t>''''''''''''' '''''''''''''''''''''</w:t>
            </w:r>
          </w:p>
        </w:tc>
        <w:tc>
          <w:tcPr>
            <w:tcW w:w="1559" w:type="dxa"/>
          </w:tcPr>
          <w:p w:rsidR="00EE09B2" w:rsidRPr="00A17B9D" w:rsidRDefault="00A17B9D" w:rsidP="00BC5A2B">
            <w:pPr>
              <w:pStyle w:val="Tabletext"/>
              <w:jc w:val="center"/>
              <w:rPr>
                <w:rFonts w:cs="Tahoma"/>
                <w:highlight w:val="black"/>
              </w:rPr>
            </w:pPr>
            <w:r>
              <w:rPr>
                <w:rFonts w:cs="Tahoma"/>
                <w:noProof/>
                <w:color w:val="000000"/>
                <w:highlight w:val="black"/>
              </w:rPr>
              <w:t>''''''''''''</w:t>
            </w:r>
          </w:p>
          <w:p w:rsidR="00EE09B2" w:rsidRPr="00A17B9D" w:rsidRDefault="00A17B9D" w:rsidP="00063B4C">
            <w:pPr>
              <w:pStyle w:val="Tabletext"/>
              <w:jc w:val="center"/>
              <w:rPr>
                <w:highlight w:val="black"/>
              </w:rPr>
            </w:pPr>
            <w:r>
              <w:rPr>
                <w:rFonts w:cs="Tahoma"/>
                <w:noProof/>
                <w:color w:val="000000"/>
                <w:highlight w:val="black"/>
              </w:rPr>
              <w:t>''''''''''''''''' ''''''''''''''''''''''''''''''''''''</w:t>
            </w:r>
          </w:p>
        </w:tc>
      </w:tr>
    </w:tbl>
    <w:p w:rsidR="003A513F" w:rsidRDefault="003A513F" w:rsidP="00EE09B2">
      <w:pPr>
        <w:pStyle w:val="Tablenote"/>
      </w:pPr>
      <w:r w:rsidRPr="003A513F">
        <w:rPr>
          <w:vertAlign w:val="superscript"/>
        </w:rPr>
        <w:t>a</w:t>
      </w:r>
      <w:r w:rsidRPr="003A513F">
        <w:t xml:space="preserve"> A</w:t>
      </w:r>
      <w:r>
        <w:t xml:space="preserve"> decrease in </w:t>
      </w:r>
      <w:r w:rsidRPr="003A513F">
        <w:t xml:space="preserve">PVR indicates improvement in </w:t>
      </w:r>
      <w:r w:rsidR="007E658F" w:rsidRPr="007E658F">
        <w:t>haemodynamic parameters</w:t>
      </w:r>
    </w:p>
    <w:p w:rsidR="007E6E6A" w:rsidRPr="006316DF" w:rsidRDefault="00EE09B2" w:rsidP="00EE09B2">
      <w:pPr>
        <w:pStyle w:val="Tablenote"/>
      </w:pPr>
      <w:r w:rsidRPr="006316DF">
        <w:t xml:space="preserve">CSR = clinical study report; </w:t>
      </w:r>
      <w:r w:rsidR="007E6E6A" w:rsidRPr="006F774E">
        <w:t xml:space="preserve">FC = functional class; </w:t>
      </w:r>
      <w:r w:rsidRPr="006316DF">
        <w:t>N = number of patients</w:t>
      </w:r>
      <w:r>
        <w:t xml:space="preserve">; </w:t>
      </w:r>
      <w:r w:rsidR="007E6E6A" w:rsidRPr="009E3B52">
        <w:t xml:space="preserve">PAH = pulmonary arterial hypertension; </w:t>
      </w:r>
      <w:r>
        <w:t xml:space="preserve">PVR = </w:t>
      </w:r>
      <w:r w:rsidRPr="007A4F5B">
        <w:t>pulmonary vascular resistance</w:t>
      </w:r>
      <w:r w:rsidRPr="00C51FB4">
        <w:t>; SD = standard deviation</w:t>
      </w:r>
      <w:r w:rsidR="004B7C88" w:rsidRPr="004B7C88">
        <w:t>; sGC = solub</w:t>
      </w:r>
      <w:r w:rsidR="00074B5F">
        <w:t>le guanylate cyclase</w:t>
      </w:r>
      <w:r w:rsidR="007E6E6A" w:rsidRPr="00F20C66">
        <w:t xml:space="preserve">; </w:t>
      </w:r>
      <w:r w:rsidR="007E6E6A" w:rsidRPr="009E3B52">
        <w:t>WHO = World Health Organization</w:t>
      </w:r>
    </w:p>
    <w:p w:rsidR="00FB5052" w:rsidRPr="00822C52" w:rsidRDefault="0077344D" w:rsidP="00FB5052">
      <w:pPr>
        <w:pStyle w:val="Heading5"/>
      </w:pPr>
      <w:r>
        <w:lastRenderedPageBreak/>
        <w:t>h.</w:t>
      </w:r>
      <w:r w:rsidR="0066218C">
        <w:tab/>
      </w:r>
      <w:r w:rsidR="00FB5052">
        <w:t>Comparative s</w:t>
      </w:r>
      <w:r w:rsidR="00FB5052" w:rsidRPr="00822C52">
        <w:t>afety</w:t>
      </w:r>
    </w:p>
    <w:p w:rsidR="001D6E64" w:rsidRDefault="00FB5052" w:rsidP="00FB5052">
      <w:r w:rsidRPr="006316DF">
        <w:t xml:space="preserve">The RCT did not report on the comparative safety of </w:t>
      </w:r>
      <w:r w:rsidR="0069215C">
        <w:t xml:space="preserve">monotherapy with </w:t>
      </w:r>
      <w:r w:rsidRPr="006316DF">
        <w:t xml:space="preserve">a </w:t>
      </w:r>
      <w:r>
        <w:t>sGC stimulator</w:t>
      </w:r>
      <w:r w:rsidRPr="006A4CC2">
        <w:t xml:space="preserve"> </w:t>
      </w:r>
      <w:r w:rsidRPr="006316DF">
        <w:t>versus placebo in patients with WHO FC I/II PAH. Hence</w:t>
      </w:r>
      <w:r>
        <w:t>,</w:t>
      </w:r>
      <w:r w:rsidRPr="006316DF">
        <w:t xml:space="preserve"> the </w:t>
      </w:r>
      <w:r w:rsidR="006B2A7D">
        <w:t>AE</w:t>
      </w:r>
      <w:r w:rsidRPr="006316DF">
        <w:t xml:space="preserve">s that were observed in </w:t>
      </w:r>
      <w:r>
        <w:t xml:space="preserve">the </w:t>
      </w:r>
      <w:r w:rsidRPr="006316DF">
        <w:t>broader PAH population are discussed in Section 4.</w:t>
      </w:r>
      <w:r w:rsidR="00857DBE">
        <w:t>4</w:t>
      </w:r>
      <w:r w:rsidRPr="006316DF">
        <w:t>.5.</w:t>
      </w:r>
    </w:p>
    <w:p w:rsidR="008060FB" w:rsidRDefault="008060FB" w:rsidP="00395F6E">
      <w:pPr>
        <w:pStyle w:val="Heading3"/>
      </w:pPr>
      <w:bookmarkStart w:id="140" w:name="_Toc512855389"/>
      <w:bookmarkStart w:id="141" w:name="_Toc468022806"/>
      <w:bookmarkStart w:id="142" w:name="_Toc482191516"/>
      <w:bookmarkStart w:id="143" w:name="_Toc486515183"/>
      <w:r w:rsidRPr="00EB1471">
        <w:t xml:space="preserve">Research question </w:t>
      </w:r>
      <w:r w:rsidR="00395F6E" w:rsidRPr="00EB1471">
        <w:t>2</w:t>
      </w:r>
      <w:bookmarkEnd w:id="140"/>
    </w:p>
    <w:p w:rsidR="00FB5052" w:rsidRPr="00BB76F5" w:rsidRDefault="00FB5052" w:rsidP="00FB5052">
      <w:pPr>
        <w:rPr>
          <w:i/>
        </w:rPr>
      </w:pPr>
      <w:r w:rsidRPr="00BB76F5">
        <w:rPr>
          <w:i/>
        </w:rPr>
        <w:t>What is the new evidence concerning the effectiveness and safety of monotherapy with a PAH medicine, compared to the main comparator accepted by the PBAC, in patients with WHO FC III or IV PAH, that has not previously been considered by the PBAC?</w:t>
      </w:r>
    </w:p>
    <w:p w:rsidR="00FB5052" w:rsidRDefault="00FB5052" w:rsidP="00FB5052">
      <w:r w:rsidRPr="006316DF">
        <w:t>There was no new evidence concerning the effectiveness and safety of monotherapy with a PAH medicine, compared to the main comparator accepted by the PBAC, in patients with WHO FC III or IV PAH.</w:t>
      </w:r>
    </w:p>
    <w:p w:rsidR="008060FB" w:rsidRDefault="008060FB" w:rsidP="00395F6E">
      <w:pPr>
        <w:pStyle w:val="Heading3"/>
      </w:pPr>
      <w:bookmarkStart w:id="144" w:name="_Toc512855390"/>
      <w:r w:rsidRPr="00EB1471">
        <w:t xml:space="preserve">Research question </w:t>
      </w:r>
      <w:r w:rsidR="00395F6E" w:rsidRPr="00EB1471">
        <w:t>3</w:t>
      </w:r>
      <w:bookmarkEnd w:id="144"/>
    </w:p>
    <w:p w:rsidR="0075777C" w:rsidRDefault="0075777C" w:rsidP="0075777C">
      <w:pPr>
        <w:rPr>
          <w:i/>
        </w:rPr>
      </w:pPr>
      <w:r w:rsidRPr="00BB76F5">
        <w:rPr>
          <w:i/>
        </w:rPr>
        <w:t xml:space="preserve">What is the effectiveness and safety of dual combination therapy involving any combination of an ERA, a </w:t>
      </w:r>
      <w:r>
        <w:rPr>
          <w:i/>
        </w:rPr>
        <w:t>PDE-5 inhibitor</w:t>
      </w:r>
      <w:r w:rsidRPr="00BB76F5">
        <w:rPr>
          <w:i/>
        </w:rPr>
        <w:t xml:space="preserve">, a prostanoid, or a </w:t>
      </w:r>
      <w:r>
        <w:rPr>
          <w:i/>
        </w:rPr>
        <w:t>sGC stimulator</w:t>
      </w:r>
      <w:r w:rsidRPr="00BB76F5">
        <w:rPr>
          <w:i/>
        </w:rPr>
        <w:t>, compared to monotherapy, in: i) PAH patients, irrespective of disease severity or aetiology; ii) PAH patients with FC III or IV; and iii) PAH patients with different disease aetiologies?</w:t>
      </w:r>
    </w:p>
    <w:p w:rsidR="0075777C" w:rsidRPr="006632FB" w:rsidRDefault="0066218C" w:rsidP="0075777C">
      <w:pPr>
        <w:pStyle w:val="Heading4"/>
      </w:pPr>
      <w:r>
        <w:t>4.4.3.1</w:t>
      </w:r>
      <w:r w:rsidR="005035F1">
        <w:tab/>
      </w:r>
      <w:r>
        <w:tab/>
      </w:r>
      <w:r w:rsidR="0075777C" w:rsidRPr="006632FB">
        <w:t>ERA in addition to PDE-5</w:t>
      </w:r>
      <w:r w:rsidR="0075777C">
        <w:t xml:space="preserve"> </w:t>
      </w:r>
      <w:r w:rsidR="0075777C" w:rsidRPr="006632FB">
        <w:t>i</w:t>
      </w:r>
      <w:r w:rsidR="0075777C">
        <w:t>nhibitor</w:t>
      </w:r>
    </w:p>
    <w:p w:rsidR="0075777C" w:rsidRPr="00822C52" w:rsidRDefault="0075777C" w:rsidP="0075777C">
      <w:r w:rsidRPr="00822C52">
        <w:t>Four RCTs reported on the effectiveness of an ERA in addition to a PDE-5</w:t>
      </w:r>
      <w:r>
        <w:t xml:space="preserve"> </w:t>
      </w:r>
      <w:r w:rsidRPr="00C5017B">
        <w:t xml:space="preserve">inhibitor </w:t>
      </w:r>
      <w:r w:rsidRPr="00822C52">
        <w:t xml:space="preserve">in treating PAH compared with placebo plus a </w:t>
      </w:r>
      <w:r>
        <w:t>PDE-5 inhibitor</w:t>
      </w:r>
      <w:r w:rsidRPr="00822C52">
        <w:t xml:space="preserve"> in patients with PAH.</w:t>
      </w:r>
    </w:p>
    <w:p w:rsidR="0075777C" w:rsidRPr="00822C52" w:rsidRDefault="0075777C" w:rsidP="0075777C">
      <w:r w:rsidRPr="00822C52">
        <w:t>The EARLY</w:t>
      </w:r>
      <w:r w:rsidR="001D34EE" w:rsidRPr="001D34EE">
        <w:rPr>
          <w:noProof/>
          <w:vertAlign w:val="superscript"/>
        </w:rPr>
        <w:t>9</w:t>
      </w:r>
      <w:r w:rsidRPr="00822C52">
        <w:t xml:space="preserve"> double-blind trial randomised WHO FC II PAH patients with and without background sildenafil therapy to receive bosentan or placebo for 26 weeks. Patients had been diagnosed with IPAH, PAH-CHD, PAH-CTD or PAH-HIV. The PAH aetiology and haemodynamic factors were evenly distributed between the two randomised groups. Randomisation was stratified according to background therapy. Therefore, even though only a small proportion of patients received sildenafil as background therapy (15% in the bosentan group and 16% in the placebo group), the risk of incomparable baseline parameters for these patients is low. Pre-specified subgroup analysis of patients receiving background sildenafil therapy was available from the CSR (highlighted).</w:t>
      </w:r>
    </w:p>
    <w:p w:rsidR="0075777C" w:rsidRPr="00822C52" w:rsidRDefault="0075777C" w:rsidP="0075777C">
      <w:r w:rsidRPr="00822C52">
        <w:t>The COMPASS-2</w:t>
      </w:r>
      <w:r w:rsidR="001D34EE" w:rsidRPr="001A1C44">
        <w:rPr>
          <w:noProof/>
          <w:vertAlign w:val="superscript"/>
        </w:rPr>
        <w:t>37</w:t>
      </w:r>
      <w:r w:rsidRPr="00822C52">
        <w:t xml:space="preserve"> double-blind trial randomised PAH patients who were on stable sildenafil therapy to receive bosentan or placebo for up to end of study. The mean ± SD duration of follow-up duration was 39.7 ± 22.6 months for the placebo group and 38.0 ± 21.9 months for the bosentan group. Overall, 172/334 patients, (51% from the placebo group and 52% from the bosentan group), did not complete the study. Of these patients, 63 (37%) did not experience a primary end-point event, resulting in 20% missing information for the primary end-point of clinical worsening and 22% for the secondary end-point of time to death from any cause. Pre-specified subgroup analysis for patients with FC III/IV PAH, and patients with different PAH aetiologies were also conducted.</w:t>
      </w:r>
    </w:p>
    <w:p w:rsidR="0075777C" w:rsidRDefault="0075777C" w:rsidP="0075777C">
      <w:r w:rsidRPr="00822C52">
        <w:lastRenderedPageBreak/>
        <w:t>The SERAPHIN</w:t>
      </w:r>
      <w:r w:rsidR="001D34EE" w:rsidRPr="001D34EE">
        <w:rPr>
          <w:noProof/>
          <w:vertAlign w:val="superscript"/>
        </w:rPr>
        <w:t>7</w:t>
      </w:r>
      <w:r w:rsidRPr="00822C52">
        <w:t xml:space="preserve"> double-blind long-term trial randomised PAH patients of any WHO FC to receive macitentan or placebo for up to 54 months. Patients were also permitted to have background therapy with a </w:t>
      </w:r>
      <w:r>
        <w:t>PDE-5 inhibitor</w:t>
      </w:r>
      <w:r w:rsidRPr="00822C52">
        <w:t xml:space="preserve"> (61% of patients) or a prostanoid (4% of patients). The baseline characteristics of the randomised groups were similar, the lack of stratification based on background therapy and WHO FC may have resulted in imbalances in disease severity in individual treatment arms for these subgroups. The mean duration of study treatment was 85.3 weeks and 103.9 weeks for the patients receiving placebo and macitentan, respectively. Post hoc subgroup analyses of patients with WHO FC III/IV PAH for several relevant outcomes were reported in the March 2014 submission to PBAC (highlighted).</w:t>
      </w:r>
    </w:p>
    <w:p w:rsidR="0075777C" w:rsidRPr="00822C52" w:rsidRDefault="0075777C" w:rsidP="0075777C">
      <w:r w:rsidRPr="00822C52">
        <w:t>The AMBITION</w:t>
      </w:r>
      <w:r w:rsidR="001D34EE" w:rsidRPr="001A1C44">
        <w:rPr>
          <w:noProof/>
          <w:vertAlign w:val="superscript"/>
        </w:rPr>
        <w:t>30</w:t>
      </w:r>
      <w:r w:rsidRPr="00822C52">
        <w:t xml:space="preserve"> double-blind trial randomised patients with WHO FC II/III PAH to receive combination therapy with ambrisentan plus tadalafil, or monotherapy with ambrisentan plus placebo, or tadalafil plus placebo. The mean duration of use of the randomly assigned study medication from the start of therapy to the final assessment visit was 74 weeks (79 weeks in the combination-therapy group and 69 weeks in the pooled-monotherapy group). Patients were diagnosed with IPAH, HPAH, PAH-CTD, PAH-CHD, PAH-HIV or </w:t>
      </w:r>
      <w:r w:rsidR="009B47AA" w:rsidRPr="009B47AA">
        <w:t xml:space="preserve">drug/toxin-induced </w:t>
      </w:r>
      <w:r w:rsidRPr="00822C52">
        <w:t>PAH, and were stratified according to PAH aetiology and WHO FC. Overall, 13% of patients withdrew from the study before having a primary end-point event.</w:t>
      </w:r>
    </w:p>
    <w:p w:rsidR="0075777C" w:rsidRPr="00822C52" w:rsidRDefault="0075777C" w:rsidP="0075777C">
      <w:r w:rsidRPr="00822C52">
        <w:t>The EARLY and AMBITION trials had a low risk of bias, and the COMPASS and SERAPHIN trials had a low-to-moderate risk of bias. The increased risk was mainly due to the lack of stratification for background therapy and WHO FC in the SERAPHIN trial, and the high rate of discontinuation in the COMPASS trial. There was also a large variation in the duration of the trials; varying from 26 weeks to 1</w:t>
      </w:r>
      <w:r w:rsidR="000801F8">
        <w:t>69</w:t>
      </w:r>
      <w:r w:rsidRPr="00822C52">
        <w:t xml:space="preserve"> weeks, as described above.</w:t>
      </w:r>
    </w:p>
    <w:p w:rsidR="0075777C" w:rsidRPr="00A3015F" w:rsidRDefault="0077344D" w:rsidP="0077344D">
      <w:pPr>
        <w:pStyle w:val="Heading5"/>
      </w:pPr>
      <w:r>
        <w:t>a.</w:t>
      </w:r>
      <w:r w:rsidR="0066218C">
        <w:tab/>
      </w:r>
      <w:r w:rsidR="0075777C" w:rsidRPr="00A3015F">
        <w:t>Study-defined clinical worsening</w:t>
      </w:r>
    </w:p>
    <w:p w:rsidR="0075777C" w:rsidRPr="00822C52" w:rsidRDefault="0075777C" w:rsidP="0075777C">
      <w:r w:rsidRPr="00822C52">
        <w:t>The</w:t>
      </w:r>
      <w:r w:rsidR="00E411CE">
        <w:t xml:space="preserve"> composite endpoint of </w:t>
      </w:r>
      <w:r w:rsidRPr="00822C52">
        <w:t>clinical worsening included death</w:t>
      </w:r>
      <w:r w:rsidR="00E411CE">
        <w:t xml:space="preserve"> and </w:t>
      </w:r>
      <w:r w:rsidR="00E411CE" w:rsidRPr="00822C52">
        <w:t>symptomatic</w:t>
      </w:r>
      <w:r w:rsidR="00E411CE">
        <w:t xml:space="preserve"> disease progression </w:t>
      </w:r>
      <w:r w:rsidR="00E411CE" w:rsidRPr="00822C52">
        <w:t xml:space="preserve">in all </w:t>
      </w:r>
      <w:r w:rsidR="00E411CE">
        <w:t>four</w:t>
      </w:r>
      <w:r w:rsidR="00E411CE" w:rsidRPr="00822C52">
        <w:t xml:space="preserve"> trials</w:t>
      </w:r>
      <w:r w:rsidRPr="00822C52">
        <w:t xml:space="preserve">, </w:t>
      </w:r>
      <w:r w:rsidR="00E411CE">
        <w:t xml:space="preserve">with other components varying across trials </w:t>
      </w:r>
      <w:r w:rsidRPr="00822C52">
        <w:t>(see Section 4.</w:t>
      </w:r>
      <w:r w:rsidR="00E411CE">
        <w:t>3</w:t>
      </w:r>
      <w:r w:rsidRPr="00822C52">
        <w:t>.</w:t>
      </w:r>
      <w:r w:rsidR="00E411CE">
        <w:t>5</w:t>
      </w:r>
      <w:r w:rsidRPr="00822C52">
        <w:t xml:space="preserve"> for further details).</w:t>
      </w:r>
    </w:p>
    <w:p w:rsidR="0075777C" w:rsidRPr="00B607A5" w:rsidRDefault="0077344D" w:rsidP="0077344D">
      <w:pPr>
        <w:pStyle w:val="Heading6"/>
      </w:pPr>
      <w:r w:rsidRPr="00B607A5">
        <w:t>a</w:t>
      </w:r>
      <w:r w:rsidR="0075777C" w:rsidRPr="00B607A5">
        <w:t>.i</w:t>
      </w:r>
      <w:r w:rsidR="0075777C" w:rsidRPr="00B607A5">
        <w:tab/>
        <w:t>PAH patients, irrespective of disease severity or aetiology</w:t>
      </w:r>
    </w:p>
    <w:p w:rsidR="0075777C" w:rsidRPr="00822C52" w:rsidRDefault="0075777C" w:rsidP="0075777C">
      <w:r w:rsidRPr="00822C52">
        <w:t xml:space="preserve">All four RCTs reported on the proportion of PAH patients, irrespective of disease severity or aetiology, who had clinical worsening while taking both an ERA and a </w:t>
      </w:r>
      <w:r>
        <w:t>PDE-5 inhibitor</w:t>
      </w:r>
      <w:r w:rsidRPr="00822C52">
        <w:t xml:space="preserve"> drug compared with a placebo plus a </w:t>
      </w:r>
      <w:r>
        <w:t>PDE-5 inhibitor</w:t>
      </w:r>
      <w:r w:rsidRPr="00822C52">
        <w:t xml:space="preserve"> drug (</w:t>
      </w:r>
      <w:r w:rsidR="00AA722D">
        <w:t>Table 4.</w:t>
      </w:r>
      <w:r w:rsidR="00AA722D">
        <w:rPr>
          <w:noProof/>
        </w:rPr>
        <w:t>44</w:t>
      </w:r>
      <w:r w:rsidRPr="00822C52">
        <w:t xml:space="preserve">). In the EARLY trial, patients receiving bosentan and sildenafil were </w:t>
      </w:r>
      <w:r w:rsidR="00A17B9D">
        <w:rPr>
          <w:noProof/>
          <w:color w:val="000000"/>
          <w:highlight w:val="black"/>
        </w:rPr>
        <w:t>'''''''''''''' ''''''' '''''''''''</w:t>
      </w:r>
      <w:r w:rsidRPr="00822C52">
        <w:t xml:space="preserve"> to have clinical worsening than patients who received only si</w:t>
      </w:r>
      <w:r w:rsidR="0002253F">
        <w:t>l</w:t>
      </w:r>
      <w:r w:rsidRPr="00822C52">
        <w:t>denafil over the 26-week study period, but the study was underpowered to detect a statistically significant difference. There was also a lack of statistical significance in the modest 20% reduced likelihood of clinical worsening seen in the bosentan and sildenafil combination therapy group in the COMPASS-2 trial compared with the sildenafil monotherapy group</w:t>
      </w:r>
      <w:r w:rsidR="000801F8" w:rsidRPr="000801F8">
        <w:t xml:space="preserve"> </w:t>
      </w:r>
      <w:r w:rsidR="000801F8" w:rsidRPr="00822C52">
        <w:t xml:space="preserve">over a mean </w:t>
      </w:r>
      <w:r w:rsidR="000801F8">
        <w:t xml:space="preserve">duration of follow-up </w:t>
      </w:r>
      <w:r w:rsidR="000801F8" w:rsidRPr="00822C52">
        <w:t>of 1</w:t>
      </w:r>
      <w:r w:rsidR="000801F8">
        <w:t>69</w:t>
      </w:r>
      <w:r w:rsidR="000801F8" w:rsidRPr="00822C52">
        <w:t xml:space="preserve"> weeks</w:t>
      </w:r>
      <w:r w:rsidR="005267B0">
        <w:t>.</w:t>
      </w:r>
    </w:p>
    <w:p w:rsidR="0075777C" w:rsidRPr="00822C52" w:rsidRDefault="0075777C" w:rsidP="0075777C">
      <w:r w:rsidRPr="00822C52">
        <w:t xml:space="preserve">Over a 74-week period, patients treated with ambrisentan and tadalafil in the AMBITION trial were significantly less likely, by almost 2-times, to have clinical worsening than patients receiving </w:t>
      </w:r>
      <w:r w:rsidRPr="00822C52">
        <w:lastRenderedPageBreak/>
        <w:t xml:space="preserve">tadalafil alone. Over 104 weeks in the SERAPHIN trial, patients treated with macitentan and a </w:t>
      </w:r>
      <w:r>
        <w:t>PDE-5 inhibitor</w:t>
      </w:r>
      <w:r w:rsidRPr="00822C52">
        <w:t xml:space="preserve"> were </w:t>
      </w:r>
      <w:r w:rsidR="00A17B9D">
        <w:rPr>
          <w:noProof/>
          <w:color w:val="000000"/>
          <w:highlight w:val="black"/>
        </w:rPr>
        <w:t>'''''''' '''''''''''''''''''''' ''''''' '''''''''''' ''''' ''''''''''' ''''''''''</w:t>
      </w:r>
      <w:r w:rsidRPr="00822C52">
        <w:t xml:space="preserve"> to have clinical worsening than patients receiving a </w:t>
      </w:r>
      <w:r>
        <w:t>PDE-5 inhibitor</w:t>
      </w:r>
      <w:r w:rsidRPr="00822C52">
        <w:t xml:space="preserve"> alone.</w:t>
      </w:r>
    </w:p>
    <w:p w:rsidR="0075777C" w:rsidRPr="00A32D31" w:rsidRDefault="00272F8F" w:rsidP="00BC5A2B">
      <w:pPr>
        <w:pStyle w:val="Caption"/>
      </w:pPr>
      <w:bookmarkStart w:id="145" w:name="_Ref503269635"/>
      <w:bookmarkStart w:id="146" w:name="_Toc512855448"/>
      <w:r>
        <w:t>Table 4.</w:t>
      </w:r>
      <w:r w:rsidR="00AA722D">
        <w:rPr>
          <w:noProof/>
        </w:rPr>
        <w:t>44</w:t>
      </w:r>
      <w:bookmarkEnd w:id="145"/>
      <w:r w:rsidR="00DE31E4">
        <w:tab/>
      </w:r>
      <w:r w:rsidR="0075777C" w:rsidRPr="00A32D31">
        <w:t xml:space="preserve">The effectiveness of </w:t>
      </w:r>
      <w:r w:rsidR="00EB768B">
        <w:t xml:space="preserve">an </w:t>
      </w:r>
      <w:r w:rsidR="0075777C" w:rsidRPr="00A32D31">
        <w:t xml:space="preserve">ERA </w:t>
      </w:r>
      <w:r w:rsidR="00385078">
        <w:t>in addition to</w:t>
      </w:r>
      <w:r w:rsidR="0075777C" w:rsidRPr="00A32D31">
        <w:t xml:space="preserve"> </w:t>
      </w:r>
      <w:r w:rsidR="00EB768B">
        <w:t xml:space="preserve">a </w:t>
      </w:r>
      <w:r w:rsidR="0075777C" w:rsidRPr="00A32D31">
        <w:t xml:space="preserve">PDE-5 inhibitor compared with PDE-5 inhibitor </w:t>
      </w:r>
      <w:r w:rsidR="00385078">
        <w:t xml:space="preserve">monotherapy </w:t>
      </w:r>
      <w:r w:rsidR="0075777C" w:rsidRPr="00A32D31">
        <w:t>in preventing clinical worsening in all PAH patients</w:t>
      </w:r>
      <w:bookmarkEnd w:id="146"/>
    </w:p>
    <w:tbl>
      <w:tblPr>
        <w:tblStyle w:val="TableGrid7"/>
        <w:tblW w:w="9634" w:type="dxa"/>
        <w:tblLayout w:type="fixed"/>
        <w:tblLook w:val="04A0" w:firstRow="1" w:lastRow="0" w:firstColumn="1" w:lastColumn="0" w:noHBand="0" w:noVBand="1"/>
        <w:tblCaption w:val="The effectiveness of an ERA in addition to a PDE-5 inhibitor compared with PDE-5 inhibitor monotherapy in preventing clinical worsening in all PAH patients"/>
      </w:tblPr>
      <w:tblGrid>
        <w:gridCol w:w="1838"/>
        <w:gridCol w:w="1985"/>
        <w:gridCol w:w="1842"/>
        <w:gridCol w:w="1985"/>
        <w:gridCol w:w="1984"/>
      </w:tblGrid>
      <w:tr w:rsidR="0075777C" w:rsidRPr="00DE31E4" w:rsidTr="00EC2524">
        <w:trPr>
          <w:trHeight w:val="162"/>
          <w:tblHeader/>
        </w:trPr>
        <w:tc>
          <w:tcPr>
            <w:tcW w:w="1838" w:type="dxa"/>
            <w:vMerge w:val="restart"/>
            <w:shd w:val="clear" w:color="auto" w:fill="BFBFBF" w:themeFill="background1" w:themeFillShade="BF"/>
          </w:tcPr>
          <w:p w:rsidR="0075777C" w:rsidRPr="00DE31E4" w:rsidRDefault="0075777C" w:rsidP="00DE31E4">
            <w:pPr>
              <w:pStyle w:val="Tabletext"/>
              <w:rPr>
                <w:b/>
              </w:rPr>
            </w:pPr>
            <w:r w:rsidRPr="00DE31E4">
              <w:rPr>
                <w:b/>
              </w:rPr>
              <w:t>Study ID</w:t>
            </w:r>
          </w:p>
        </w:tc>
        <w:tc>
          <w:tcPr>
            <w:tcW w:w="1985" w:type="dxa"/>
            <w:vMerge w:val="restart"/>
            <w:shd w:val="clear" w:color="auto" w:fill="BFBFBF" w:themeFill="background1" w:themeFillShade="BF"/>
          </w:tcPr>
          <w:p w:rsidR="0075777C" w:rsidRPr="00DE31E4" w:rsidRDefault="0075777C" w:rsidP="00DE31E4">
            <w:pPr>
              <w:pStyle w:val="Tabletext"/>
              <w:rPr>
                <w:b/>
              </w:rPr>
            </w:pPr>
            <w:r w:rsidRPr="00DE31E4">
              <w:rPr>
                <w:b/>
              </w:rPr>
              <w:t>Follow-up period</w:t>
            </w:r>
          </w:p>
          <w:p w:rsidR="0075777C" w:rsidRPr="00DE31E4" w:rsidRDefault="0075777C" w:rsidP="00DE31E4">
            <w:pPr>
              <w:pStyle w:val="Tabletext"/>
              <w:rPr>
                <w:b/>
              </w:rPr>
            </w:pPr>
            <w:r w:rsidRPr="00DE31E4">
              <w:rPr>
                <w:b/>
              </w:rPr>
              <w:t>ERA/PDE-5i</w:t>
            </w:r>
          </w:p>
        </w:tc>
        <w:tc>
          <w:tcPr>
            <w:tcW w:w="3827" w:type="dxa"/>
            <w:gridSpan w:val="2"/>
            <w:shd w:val="clear" w:color="auto" w:fill="BFBFBF" w:themeFill="background1" w:themeFillShade="BF"/>
          </w:tcPr>
          <w:p w:rsidR="0075777C" w:rsidRPr="00DE31E4" w:rsidRDefault="0075777C" w:rsidP="00DE31E4">
            <w:pPr>
              <w:pStyle w:val="Tabletext"/>
              <w:jc w:val="center"/>
              <w:rPr>
                <w:b/>
              </w:rPr>
            </w:pPr>
            <w:r w:rsidRPr="00DE31E4">
              <w:rPr>
                <w:b/>
              </w:rPr>
              <w:t>n/N (%)</w:t>
            </w:r>
          </w:p>
        </w:tc>
        <w:tc>
          <w:tcPr>
            <w:tcW w:w="1984" w:type="dxa"/>
            <w:vMerge w:val="restart"/>
            <w:shd w:val="clear" w:color="auto" w:fill="BFBFBF" w:themeFill="background1" w:themeFillShade="BF"/>
          </w:tcPr>
          <w:p w:rsidR="0075777C" w:rsidRPr="00DE31E4" w:rsidRDefault="0075777C" w:rsidP="00DE31E4">
            <w:pPr>
              <w:pStyle w:val="Tabletext"/>
              <w:rPr>
                <w:b/>
              </w:rPr>
            </w:pPr>
            <w:r w:rsidRPr="00DE31E4">
              <w:rPr>
                <w:b/>
              </w:rPr>
              <w:t>HR (95% CI)</w:t>
            </w:r>
          </w:p>
        </w:tc>
      </w:tr>
      <w:tr w:rsidR="0075777C" w:rsidRPr="00DE31E4" w:rsidTr="00C11A08">
        <w:trPr>
          <w:trHeight w:val="202"/>
          <w:tblHeader/>
        </w:trPr>
        <w:tc>
          <w:tcPr>
            <w:tcW w:w="1838" w:type="dxa"/>
            <w:vMerge/>
            <w:shd w:val="clear" w:color="auto" w:fill="BFBFBF" w:themeFill="background1" w:themeFillShade="BF"/>
          </w:tcPr>
          <w:p w:rsidR="0075777C" w:rsidRPr="00DE31E4" w:rsidRDefault="0075777C" w:rsidP="00DE31E4">
            <w:pPr>
              <w:pStyle w:val="Tabletext"/>
              <w:rPr>
                <w:b/>
              </w:rPr>
            </w:pPr>
          </w:p>
        </w:tc>
        <w:tc>
          <w:tcPr>
            <w:tcW w:w="1985" w:type="dxa"/>
            <w:vMerge/>
            <w:shd w:val="clear" w:color="auto" w:fill="BFBFBF" w:themeFill="background1" w:themeFillShade="BF"/>
          </w:tcPr>
          <w:p w:rsidR="0075777C" w:rsidRPr="00DE31E4" w:rsidRDefault="0075777C" w:rsidP="00DE31E4">
            <w:pPr>
              <w:pStyle w:val="Tabletext"/>
              <w:rPr>
                <w:b/>
              </w:rPr>
            </w:pPr>
          </w:p>
        </w:tc>
        <w:tc>
          <w:tcPr>
            <w:tcW w:w="1842" w:type="dxa"/>
            <w:shd w:val="clear" w:color="auto" w:fill="BFBFBF" w:themeFill="background1" w:themeFillShade="BF"/>
          </w:tcPr>
          <w:p w:rsidR="0075777C" w:rsidRPr="00DE31E4" w:rsidRDefault="0075777C" w:rsidP="00DE31E4">
            <w:pPr>
              <w:pStyle w:val="Tabletext"/>
              <w:jc w:val="center"/>
              <w:rPr>
                <w:b/>
              </w:rPr>
            </w:pPr>
            <w:r w:rsidRPr="00DE31E4">
              <w:rPr>
                <w:b/>
              </w:rPr>
              <w:t>ERA + PDE-5i</w:t>
            </w:r>
          </w:p>
        </w:tc>
        <w:tc>
          <w:tcPr>
            <w:tcW w:w="1985" w:type="dxa"/>
            <w:shd w:val="clear" w:color="auto" w:fill="BFBFBF" w:themeFill="background1" w:themeFillShade="BF"/>
          </w:tcPr>
          <w:p w:rsidR="0075777C" w:rsidRPr="00DE31E4" w:rsidRDefault="0075777C" w:rsidP="00DE31E4">
            <w:pPr>
              <w:pStyle w:val="Tabletext"/>
              <w:jc w:val="center"/>
              <w:rPr>
                <w:b/>
              </w:rPr>
            </w:pPr>
            <w:r w:rsidRPr="00DE31E4">
              <w:rPr>
                <w:b/>
              </w:rPr>
              <w:t>PDE-5i</w:t>
            </w:r>
          </w:p>
        </w:tc>
        <w:tc>
          <w:tcPr>
            <w:tcW w:w="1984" w:type="dxa"/>
            <w:vMerge/>
            <w:shd w:val="clear" w:color="auto" w:fill="BFBFBF" w:themeFill="background1" w:themeFillShade="BF"/>
          </w:tcPr>
          <w:p w:rsidR="0075777C" w:rsidRPr="00DE31E4" w:rsidRDefault="0075777C" w:rsidP="00DE31E4">
            <w:pPr>
              <w:pStyle w:val="Tabletext"/>
              <w:rPr>
                <w:b/>
              </w:rPr>
            </w:pPr>
          </w:p>
        </w:tc>
      </w:tr>
      <w:tr w:rsidR="0075777C" w:rsidRPr="00822C52" w:rsidTr="00C11A08">
        <w:trPr>
          <w:trHeight w:val="70"/>
        </w:trPr>
        <w:tc>
          <w:tcPr>
            <w:tcW w:w="1838" w:type="dxa"/>
          </w:tcPr>
          <w:p w:rsidR="0075777C" w:rsidRPr="00822C52" w:rsidRDefault="0075777C" w:rsidP="00C11A08">
            <w:pPr>
              <w:pStyle w:val="Tabletext"/>
              <w:rPr>
                <w:rFonts w:cs="Tahoma"/>
              </w:rPr>
            </w:pPr>
            <w:r w:rsidRPr="00822C52">
              <w:rPr>
                <w:rFonts w:cs="Tahoma"/>
              </w:rPr>
              <w:t>EARLY CSR</w:t>
            </w:r>
          </w:p>
        </w:tc>
        <w:tc>
          <w:tcPr>
            <w:tcW w:w="1985" w:type="dxa"/>
          </w:tcPr>
          <w:p w:rsidR="0075777C" w:rsidRPr="00822C52" w:rsidRDefault="0075777C" w:rsidP="00C11A08">
            <w:pPr>
              <w:pStyle w:val="Tabletext"/>
              <w:rPr>
                <w:rFonts w:cs="Tahoma"/>
              </w:rPr>
            </w:pPr>
            <w:r w:rsidRPr="00822C52">
              <w:rPr>
                <w:rFonts w:cs="Tahoma"/>
              </w:rPr>
              <w:t>26 weeks</w:t>
            </w:r>
          </w:p>
          <w:p w:rsidR="0075777C" w:rsidRPr="00822C52" w:rsidRDefault="0075777C" w:rsidP="00C11A08">
            <w:pPr>
              <w:pStyle w:val="Tabletext"/>
              <w:rPr>
                <w:rFonts w:cs="Tahoma"/>
                <w:highlight w:val="cyan"/>
              </w:rPr>
            </w:pPr>
            <w:r w:rsidRPr="00822C52">
              <w:rPr>
                <w:rFonts w:cs="Tahoma"/>
              </w:rPr>
              <w:t>Bosentan/sildenafil</w:t>
            </w:r>
          </w:p>
        </w:tc>
        <w:tc>
          <w:tcPr>
            <w:tcW w:w="1842" w:type="dxa"/>
          </w:tcPr>
          <w:p w:rsidR="0075777C" w:rsidRPr="00A17B9D" w:rsidRDefault="00A17B9D" w:rsidP="00C11A08">
            <w:pPr>
              <w:pStyle w:val="Tabletext"/>
              <w:jc w:val="center"/>
              <w:rPr>
                <w:rFonts w:cs="Tahoma"/>
                <w:highlight w:val="black"/>
              </w:rPr>
            </w:pPr>
            <w:r>
              <w:rPr>
                <w:rFonts w:cs="Tahoma"/>
                <w:noProof/>
                <w:color w:val="000000"/>
                <w:highlight w:val="black"/>
              </w:rPr>
              <w:t>''''''''''' '''''''''''''</w:t>
            </w:r>
          </w:p>
        </w:tc>
        <w:tc>
          <w:tcPr>
            <w:tcW w:w="1985" w:type="dxa"/>
          </w:tcPr>
          <w:p w:rsidR="0075777C" w:rsidRPr="00A17B9D" w:rsidRDefault="00A17B9D" w:rsidP="00C11A08">
            <w:pPr>
              <w:pStyle w:val="Tabletext"/>
              <w:jc w:val="center"/>
              <w:rPr>
                <w:rFonts w:cs="Tahoma"/>
                <w:highlight w:val="black"/>
              </w:rPr>
            </w:pPr>
            <w:r>
              <w:rPr>
                <w:rFonts w:cs="Tahoma"/>
                <w:noProof/>
                <w:color w:val="000000"/>
                <w:highlight w:val="black"/>
              </w:rPr>
              <w:t>''''''''''' ''''''''''''''''</w:t>
            </w:r>
          </w:p>
        </w:tc>
        <w:tc>
          <w:tcPr>
            <w:tcW w:w="1984" w:type="dxa"/>
          </w:tcPr>
          <w:p w:rsidR="0075777C" w:rsidRPr="00A17B9D" w:rsidRDefault="00A17B9D" w:rsidP="00C11A08">
            <w:pPr>
              <w:pStyle w:val="Tabletext"/>
              <w:rPr>
                <w:rFonts w:cs="Tahoma"/>
                <w:highlight w:val="black"/>
              </w:rPr>
            </w:pPr>
            <w:r>
              <w:rPr>
                <w:rFonts w:cs="Tahoma"/>
                <w:noProof/>
                <w:color w:val="000000"/>
                <w:highlight w:val="black"/>
              </w:rPr>
              <w:t>'''''''''''' ''''''''''''' '''''''''''''</w:t>
            </w:r>
          </w:p>
        </w:tc>
      </w:tr>
      <w:tr w:rsidR="0075777C" w:rsidRPr="00822C52" w:rsidTr="00C11A08">
        <w:trPr>
          <w:trHeight w:val="70"/>
        </w:trPr>
        <w:tc>
          <w:tcPr>
            <w:tcW w:w="1838" w:type="dxa"/>
          </w:tcPr>
          <w:p w:rsidR="0075777C" w:rsidRPr="00822C52" w:rsidRDefault="0075777C" w:rsidP="001D34EE">
            <w:pPr>
              <w:pStyle w:val="Tabletext"/>
              <w:rPr>
                <w:rFonts w:cs="Tahoma"/>
              </w:rPr>
            </w:pPr>
            <w:r w:rsidRPr="00822C52">
              <w:rPr>
                <w:rFonts w:cs="Tahoma"/>
              </w:rPr>
              <w:t>COMPASS-2</w:t>
            </w:r>
            <w:r w:rsidR="001D34EE" w:rsidRPr="001A1C44">
              <w:rPr>
                <w:rFonts w:cs="Tahoma"/>
                <w:noProof/>
                <w:vertAlign w:val="superscript"/>
              </w:rPr>
              <w:t>37</w:t>
            </w:r>
          </w:p>
        </w:tc>
        <w:tc>
          <w:tcPr>
            <w:tcW w:w="1985" w:type="dxa"/>
          </w:tcPr>
          <w:p w:rsidR="0075777C" w:rsidRPr="00822C52" w:rsidRDefault="0075777C" w:rsidP="00C11A08">
            <w:pPr>
              <w:pStyle w:val="Tabletext"/>
              <w:rPr>
                <w:rFonts w:cs="Tahoma"/>
              </w:rPr>
            </w:pPr>
            <w:r w:rsidRPr="00822C52">
              <w:rPr>
                <w:rFonts w:cs="Tahoma"/>
              </w:rPr>
              <w:t>EOS: mean 1</w:t>
            </w:r>
            <w:r w:rsidR="000801F8">
              <w:rPr>
                <w:rFonts w:cs="Tahoma"/>
              </w:rPr>
              <w:t>69</w:t>
            </w:r>
            <w:r w:rsidRPr="00822C52">
              <w:rPr>
                <w:rFonts w:cs="Tahoma"/>
              </w:rPr>
              <w:t xml:space="preserve"> weeks</w:t>
            </w:r>
          </w:p>
          <w:p w:rsidR="0075777C" w:rsidRPr="00822C52" w:rsidRDefault="0075777C" w:rsidP="00C11A08">
            <w:pPr>
              <w:pStyle w:val="Tabletext"/>
              <w:rPr>
                <w:rFonts w:cs="Tahoma"/>
              </w:rPr>
            </w:pPr>
            <w:r w:rsidRPr="00822C52">
              <w:rPr>
                <w:rFonts w:cs="Tahoma"/>
              </w:rPr>
              <w:t>Bosentan/sildenafil</w:t>
            </w:r>
          </w:p>
        </w:tc>
        <w:tc>
          <w:tcPr>
            <w:tcW w:w="1842" w:type="dxa"/>
          </w:tcPr>
          <w:p w:rsidR="0075777C" w:rsidRPr="00822C52" w:rsidRDefault="0075777C" w:rsidP="00C11A08">
            <w:pPr>
              <w:pStyle w:val="Tabletext"/>
              <w:jc w:val="center"/>
              <w:rPr>
                <w:rFonts w:cs="Tahoma"/>
                <w:highlight w:val="cyan"/>
              </w:rPr>
            </w:pPr>
            <w:r w:rsidRPr="00822C52">
              <w:rPr>
                <w:rFonts w:cs="Tahoma"/>
              </w:rPr>
              <w:t>68/159 (43%)</w:t>
            </w:r>
          </w:p>
        </w:tc>
        <w:tc>
          <w:tcPr>
            <w:tcW w:w="1985" w:type="dxa"/>
          </w:tcPr>
          <w:p w:rsidR="0075777C" w:rsidRPr="00822C52" w:rsidRDefault="0075777C" w:rsidP="00C11A08">
            <w:pPr>
              <w:pStyle w:val="Tabletext"/>
              <w:jc w:val="center"/>
              <w:rPr>
                <w:rFonts w:cs="Tahoma"/>
                <w:highlight w:val="cyan"/>
              </w:rPr>
            </w:pPr>
            <w:r w:rsidRPr="00822C52">
              <w:rPr>
                <w:rFonts w:cs="Tahoma"/>
              </w:rPr>
              <w:t>90/175 (51%)</w:t>
            </w:r>
          </w:p>
        </w:tc>
        <w:tc>
          <w:tcPr>
            <w:tcW w:w="1984" w:type="dxa"/>
          </w:tcPr>
          <w:p w:rsidR="0075777C" w:rsidRPr="00822C52" w:rsidRDefault="0075777C" w:rsidP="00C11A08">
            <w:pPr>
              <w:pStyle w:val="Tabletext"/>
              <w:rPr>
                <w:rFonts w:cs="Tahoma"/>
              </w:rPr>
            </w:pPr>
            <w:r w:rsidRPr="00822C52">
              <w:rPr>
                <w:rFonts w:cs="Tahoma"/>
              </w:rPr>
              <w:t>0.83 (0.61, 1.14), p=0.251</w:t>
            </w:r>
          </w:p>
        </w:tc>
      </w:tr>
      <w:tr w:rsidR="0075777C" w:rsidRPr="00822C52" w:rsidTr="00C11A08">
        <w:trPr>
          <w:trHeight w:val="70"/>
        </w:trPr>
        <w:tc>
          <w:tcPr>
            <w:tcW w:w="1838" w:type="dxa"/>
          </w:tcPr>
          <w:p w:rsidR="0075777C" w:rsidRPr="00822C52" w:rsidRDefault="0075777C" w:rsidP="00C11A08">
            <w:pPr>
              <w:pStyle w:val="Tabletext"/>
              <w:rPr>
                <w:rFonts w:cs="Tahoma"/>
              </w:rPr>
            </w:pPr>
            <w:r w:rsidRPr="00822C52">
              <w:rPr>
                <w:rFonts w:cs="Tahoma"/>
              </w:rPr>
              <w:t>SERAPHIN</w:t>
            </w:r>
            <w:r>
              <w:rPr>
                <w:rFonts w:cs="Tahoma"/>
              </w:rPr>
              <w:t xml:space="preserve"> </w:t>
            </w:r>
            <w:r w:rsidRPr="004D0C0E">
              <w:rPr>
                <w:rFonts w:cs="Tahoma"/>
                <w:vertAlign w:val="superscript"/>
              </w:rPr>
              <w:t>a</w:t>
            </w:r>
          </w:p>
          <w:p w:rsidR="0075777C" w:rsidRPr="00822C52" w:rsidRDefault="0075777C" w:rsidP="001D34EE">
            <w:pPr>
              <w:pStyle w:val="Tabletext"/>
              <w:rPr>
                <w:rFonts w:cs="Tahoma"/>
              </w:rPr>
            </w:pPr>
            <w:r w:rsidRPr="00822C52">
              <w:rPr>
                <w:rFonts w:cs="Tahoma"/>
              </w:rPr>
              <w:t>Pulido et al. (2013)</w:t>
            </w:r>
            <w:r w:rsidR="001D34EE" w:rsidRPr="001D34EE">
              <w:rPr>
                <w:rFonts w:cs="Tahoma"/>
                <w:noProof/>
                <w:vertAlign w:val="superscript"/>
              </w:rPr>
              <w:t>7</w:t>
            </w:r>
            <w:r w:rsidRPr="00822C52">
              <w:rPr>
                <w:rFonts w:cs="Tahoma"/>
              </w:rPr>
              <w:t xml:space="preserve"> and March 2014 submission</w:t>
            </w:r>
          </w:p>
        </w:tc>
        <w:tc>
          <w:tcPr>
            <w:tcW w:w="1985" w:type="dxa"/>
          </w:tcPr>
          <w:p w:rsidR="0075777C" w:rsidRPr="00822C52" w:rsidRDefault="0075777C" w:rsidP="00C11A08">
            <w:pPr>
              <w:pStyle w:val="Tabletext"/>
              <w:rPr>
                <w:rFonts w:cs="Tahoma"/>
              </w:rPr>
            </w:pPr>
            <w:r w:rsidRPr="00822C52">
              <w:rPr>
                <w:rFonts w:cs="Tahoma"/>
              </w:rPr>
              <w:t>EOT: me</w:t>
            </w:r>
            <w:r w:rsidR="0038038B">
              <w:rPr>
                <w:rFonts w:cs="Tahoma"/>
              </w:rPr>
              <w:t>dian 115</w:t>
            </w:r>
            <w:r w:rsidRPr="00822C52">
              <w:rPr>
                <w:rFonts w:cs="Tahoma"/>
              </w:rPr>
              <w:t xml:space="preserve"> weeks</w:t>
            </w:r>
          </w:p>
          <w:p w:rsidR="0075777C" w:rsidRPr="00822C52" w:rsidRDefault="0075777C" w:rsidP="00C11A08">
            <w:pPr>
              <w:pStyle w:val="Tabletext"/>
              <w:rPr>
                <w:rFonts w:cs="Tahoma"/>
              </w:rPr>
            </w:pPr>
            <w:r w:rsidRPr="00822C52">
              <w:rPr>
                <w:rFonts w:cs="Tahoma"/>
              </w:rPr>
              <w:t xml:space="preserve">Macitentan/any </w:t>
            </w:r>
            <w:r>
              <w:rPr>
                <w:rFonts w:cs="Tahoma"/>
              </w:rPr>
              <w:t>PDE-5i</w:t>
            </w:r>
          </w:p>
        </w:tc>
        <w:tc>
          <w:tcPr>
            <w:tcW w:w="1842" w:type="dxa"/>
          </w:tcPr>
          <w:p w:rsidR="0075777C" w:rsidRPr="00822C52" w:rsidRDefault="0075777C" w:rsidP="00C11A08">
            <w:pPr>
              <w:pStyle w:val="Tabletext"/>
              <w:jc w:val="center"/>
              <w:rPr>
                <w:rFonts w:cs="Tahoma"/>
              </w:rPr>
            </w:pPr>
            <w:r w:rsidRPr="00822C52">
              <w:rPr>
                <w:rFonts w:cs="Tahoma"/>
              </w:rPr>
              <w:t>50/154 (33%)</w:t>
            </w:r>
          </w:p>
        </w:tc>
        <w:tc>
          <w:tcPr>
            <w:tcW w:w="1985" w:type="dxa"/>
          </w:tcPr>
          <w:p w:rsidR="0075777C" w:rsidRPr="00822C52" w:rsidRDefault="0075777C" w:rsidP="00C11A08">
            <w:pPr>
              <w:pStyle w:val="Tabletext"/>
              <w:jc w:val="center"/>
              <w:rPr>
                <w:rFonts w:cs="Tahoma"/>
              </w:rPr>
            </w:pPr>
            <w:r w:rsidRPr="00822C52">
              <w:rPr>
                <w:rFonts w:cs="Tahoma"/>
              </w:rPr>
              <w:t>68/154 (44%)</w:t>
            </w:r>
          </w:p>
        </w:tc>
        <w:tc>
          <w:tcPr>
            <w:tcW w:w="1984" w:type="dxa"/>
          </w:tcPr>
          <w:p w:rsidR="0075777C" w:rsidRPr="00A17B9D" w:rsidRDefault="00A17B9D" w:rsidP="00C11A08">
            <w:pPr>
              <w:pStyle w:val="Tabletext"/>
              <w:rPr>
                <w:rFonts w:cs="Tahoma"/>
                <w:highlight w:val="black"/>
              </w:rPr>
            </w:pPr>
            <w:r>
              <w:rPr>
                <w:rFonts w:cs="Tahoma"/>
                <w:noProof/>
                <w:color w:val="000000"/>
                <w:highlight w:val="black"/>
              </w:rPr>
              <w:t>''''''''''' '''''''''''''' '''''''''''''</w:t>
            </w:r>
          </w:p>
        </w:tc>
      </w:tr>
      <w:tr w:rsidR="0075777C" w:rsidRPr="00822C52" w:rsidTr="00C11A08">
        <w:trPr>
          <w:trHeight w:val="70"/>
        </w:trPr>
        <w:tc>
          <w:tcPr>
            <w:tcW w:w="1838" w:type="dxa"/>
          </w:tcPr>
          <w:p w:rsidR="0075777C" w:rsidRPr="00822C52" w:rsidRDefault="0075777C" w:rsidP="001D34EE">
            <w:pPr>
              <w:pStyle w:val="Tabletext"/>
              <w:rPr>
                <w:rFonts w:cs="Tahoma"/>
              </w:rPr>
            </w:pPr>
            <w:r w:rsidRPr="00822C52">
              <w:rPr>
                <w:rFonts w:cs="Tahoma"/>
              </w:rPr>
              <w:t>AMBITION</w:t>
            </w:r>
            <w:r w:rsidR="001D34EE" w:rsidRPr="001A1C44">
              <w:rPr>
                <w:rFonts w:cs="Tahoma"/>
                <w:noProof/>
                <w:vertAlign w:val="superscript"/>
              </w:rPr>
              <w:t>30</w:t>
            </w:r>
          </w:p>
        </w:tc>
        <w:tc>
          <w:tcPr>
            <w:tcW w:w="1985" w:type="dxa"/>
          </w:tcPr>
          <w:p w:rsidR="0075777C" w:rsidRPr="00822C52" w:rsidRDefault="0075777C" w:rsidP="00C11A08">
            <w:pPr>
              <w:pStyle w:val="Tabletext"/>
              <w:rPr>
                <w:rFonts w:cs="Tahoma"/>
              </w:rPr>
            </w:pPr>
            <w:r w:rsidRPr="00822C52">
              <w:rPr>
                <w:rFonts w:cs="Tahoma"/>
              </w:rPr>
              <w:t>FAV: mean 74 weeks</w:t>
            </w:r>
            <w:r w:rsidR="003B436F">
              <w:rPr>
                <w:rFonts w:cs="Tahoma"/>
              </w:rPr>
              <w:t xml:space="preserve">, </w:t>
            </w:r>
            <w:r w:rsidRPr="00822C52">
              <w:rPr>
                <w:rFonts w:cs="Tahoma"/>
              </w:rPr>
              <w:t>ITT</w:t>
            </w:r>
          </w:p>
          <w:p w:rsidR="0075777C" w:rsidRPr="00822C52" w:rsidRDefault="0075777C" w:rsidP="00C11A08">
            <w:pPr>
              <w:pStyle w:val="Tabletext"/>
              <w:rPr>
                <w:rFonts w:cs="Tahoma"/>
              </w:rPr>
            </w:pPr>
            <w:r w:rsidRPr="00822C52">
              <w:rPr>
                <w:rFonts w:cs="Tahoma"/>
              </w:rPr>
              <w:t>Ambrisentan/tadalafil</w:t>
            </w:r>
          </w:p>
        </w:tc>
        <w:tc>
          <w:tcPr>
            <w:tcW w:w="1842" w:type="dxa"/>
          </w:tcPr>
          <w:p w:rsidR="0075777C" w:rsidRPr="00822C52" w:rsidRDefault="0075777C" w:rsidP="00C11A08">
            <w:pPr>
              <w:pStyle w:val="Tabletext"/>
              <w:jc w:val="center"/>
              <w:rPr>
                <w:rFonts w:cs="Tahoma"/>
              </w:rPr>
            </w:pPr>
            <w:r w:rsidRPr="00822C52">
              <w:rPr>
                <w:rFonts w:cs="Tahoma"/>
              </w:rPr>
              <w:t>60/302 (20%)</w:t>
            </w:r>
          </w:p>
        </w:tc>
        <w:tc>
          <w:tcPr>
            <w:tcW w:w="1985" w:type="dxa"/>
          </w:tcPr>
          <w:p w:rsidR="0075777C" w:rsidRPr="00822C52" w:rsidRDefault="0075777C" w:rsidP="00C11A08">
            <w:pPr>
              <w:pStyle w:val="Tabletext"/>
              <w:jc w:val="center"/>
              <w:rPr>
                <w:rFonts w:cs="Tahoma"/>
              </w:rPr>
            </w:pPr>
            <w:r w:rsidRPr="00822C52">
              <w:rPr>
                <w:rFonts w:cs="Tahoma"/>
              </w:rPr>
              <w:t>45/151 (30%)</w:t>
            </w:r>
          </w:p>
        </w:tc>
        <w:tc>
          <w:tcPr>
            <w:tcW w:w="1984" w:type="dxa"/>
          </w:tcPr>
          <w:p w:rsidR="0075777C" w:rsidRPr="00822C52" w:rsidRDefault="0075777C" w:rsidP="00C11A08">
            <w:pPr>
              <w:pStyle w:val="Tabletext"/>
              <w:rPr>
                <w:rFonts w:cs="Tahoma"/>
                <w:highlight w:val="cyan"/>
              </w:rPr>
            </w:pPr>
            <w:r w:rsidRPr="00822C52">
              <w:rPr>
                <w:rFonts w:cs="Tahoma"/>
              </w:rPr>
              <w:t>0.55 (0.37, 0.81), p=0.002</w:t>
            </w:r>
          </w:p>
        </w:tc>
      </w:tr>
    </w:tbl>
    <w:p w:rsidR="0075777C" w:rsidRPr="00822C52" w:rsidRDefault="0075777C" w:rsidP="00C11A08">
      <w:pPr>
        <w:pStyle w:val="Tablenote"/>
      </w:pPr>
      <w:r w:rsidRPr="004D0C0E">
        <w:rPr>
          <w:vertAlign w:val="superscript"/>
        </w:rPr>
        <w:t>a</w:t>
      </w:r>
      <w:r>
        <w:t xml:space="preserve"> </w:t>
      </w:r>
      <w:r w:rsidRPr="00822C52">
        <w:t>Small proportion of patients</w:t>
      </w:r>
      <w:r>
        <w:t xml:space="preserve"> (4%) </w:t>
      </w:r>
      <w:r w:rsidR="00C11A08">
        <w:t>receiving prosta</w:t>
      </w:r>
      <w:r w:rsidRPr="00822C52">
        <w:t>noids or receiving doublet background therapy</w:t>
      </w:r>
    </w:p>
    <w:p w:rsidR="007E6E6A" w:rsidRPr="00822C52" w:rsidRDefault="0075777C" w:rsidP="00C11A08">
      <w:pPr>
        <w:pStyle w:val="Tablenote"/>
      </w:pPr>
      <w:r w:rsidRPr="00822C52">
        <w:t xml:space="preserve">CI = confidence interval; </w:t>
      </w:r>
      <w:r w:rsidR="007E6E6A">
        <w:t xml:space="preserve">CSR = clinical study report; </w:t>
      </w:r>
      <w:r w:rsidRPr="00822C52">
        <w:t xml:space="preserve">EOS = end of study; EOT = end of treatment; ERA = endothelin receptor antagonist; FAV = final assessment visit; HR = hazard ratio; </w:t>
      </w:r>
      <w:r w:rsidR="007E6E6A">
        <w:t xml:space="preserve">ITT = intention-to-treat; </w:t>
      </w:r>
      <w:r w:rsidRPr="00822C52">
        <w:t xml:space="preserve">n = number of </w:t>
      </w:r>
      <w:r w:rsidR="007E6E6A">
        <w:t xml:space="preserve">patients with </w:t>
      </w:r>
      <w:r w:rsidRPr="00822C52">
        <w:t xml:space="preserve">events; N = number of patients; PAH = pulmonary arterial hypertension; </w:t>
      </w:r>
      <w:r>
        <w:t xml:space="preserve">PDE-5i </w:t>
      </w:r>
      <w:r w:rsidRPr="00822C52">
        <w:t>= phosphodiesterase type-5 inhibitor</w:t>
      </w:r>
    </w:p>
    <w:p w:rsidR="005035F1" w:rsidRDefault="0075777C" w:rsidP="0075777C">
      <w:r w:rsidRPr="00822C52">
        <w:t xml:space="preserve">A meta-analysis of the RR of PAH patients having clinical worsening when being treated with an ERA and a </w:t>
      </w:r>
      <w:r>
        <w:t>PDE-5 inhibitor</w:t>
      </w:r>
      <w:r w:rsidRPr="00822C52">
        <w:t xml:space="preserve"> compared with </w:t>
      </w:r>
      <w:r>
        <w:t>PDE-5 inhibitor</w:t>
      </w:r>
      <w:r w:rsidRPr="00822C52">
        <w:t xml:space="preserve"> alone was performed despite the disparity in the duration of treatment and follow-up between the four studies (</w:t>
      </w:r>
      <w:r w:rsidR="00AA722D">
        <w:t>Figure 4.</w:t>
      </w:r>
      <w:r w:rsidR="00AA722D">
        <w:rPr>
          <w:noProof/>
        </w:rPr>
        <w:t>7</w:t>
      </w:r>
      <w:r w:rsidRPr="00822C52">
        <w:t>). There was no heterogeneity between studies</w:t>
      </w:r>
      <w:r w:rsidR="00A17B9D">
        <w:rPr>
          <w:noProof/>
          <w:color w:val="000000"/>
          <w:highlight w:val="black"/>
        </w:rPr>
        <w:t>'' '''''''' ''''''''' ''''' '''''''' ''' ''''''''''''''''' '''''''''''''''''' ''''''''''' '''''''''''''''''' ''''''''''''''''' '''''''''''''''''''' ''''''''' ''''' '''''''' '''''''' ''' ''''''''''' '''''''''''''' '''''''''' ''' '''''''''''' ''''''''''''''''' '''''''''''''</w:t>
      </w:r>
      <w:r w:rsidRPr="00822C52">
        <w:rPr>
          <w:highlight w:val="cyan"/>
        </w:rPr>
        <w:t xml:space="preserve"> </w:t>
      </w:r>
      <w:r w:rsidRPr="00822C52">
        <w:t xml:space="preserve">Overall, patients treated with an ERA and a </w:t>
      </w:r>
      <w:r>
        <w:t>PDE-5 inhibitor</w:t>
      </w:r>
      <w:r w:rsidRPr="00822C52">
        <w:t xml:space="preserve"> were </w:t>
      </w:r>
      <w:r w:rsidR="00A17B9D">
        <w:rPr>
          <w:noProof/>
          <w:color w:val="000000"/>
          <w:highlight w:val="black"/>
        </w:rPr>
        <w:t>'''''''''''''''''''''' ''''''' ''''''''''' ''''''' ''''''''''' '''''''''</w:t>
      </w:r>
      <w:r w:rsidRPr="00822C52">
        <w:t xml:space="preserve"> to have a clinical worsening event compared with those treated with a </w:t>
      </w:r>
      <w:r>
        <w:t>PDE-5 inhibitor</w:t>
      </w:r>
      <w:r w:rsidRPr="00822C52">
        <w:t xml:space="preserve"> alone.</w:t>
      </w:r>
    </w:p>
    <w:p w:rsidR="005035F1" w:rsidRDefault="005035F1">
      <w:pPr>
        <w:spacing w:before="0" w:line="240" w:lineRule="auto"/>
      </w:pPr>
      <w:r>
        <w:br w:type="page"/>
      </w:r>
    </w:p>
    <w:p w:rsidR="0075777C" w:rsidRPr="00822C52" w:rsidRDefault="0075777C" w:rsidP="0075777C">
      <w:pPr>
        <w:rPr>
          <w:highlight w:val="cyan"/>
        </w:rPr>
      </w:pPr>
    </w:p>
    <w:p w:rsidR="0075777C" w:rsidRPr="00822C52" w:rsidRDefault="0075777C" w:rsidP="0075777C">
      <w:pPr>
        <w:tabs>
          <w:tab w:val="left" w:pos="1649"/>
          <w:tab w:val="left" w:pos="3066"/>
          <w:tab w:val="left" w:pos="4341"/>
        </w:tabs>
        <w:spacing w:after="40"/>
        <w:jc w:val="center"/>
        <w:rPr>
          <w:rFonts w:ascii="Arial Narrow" w:hAnsi="Arial Narrow" w:cs="Tahoma"/>
          <w:sz w:val="20"/>
          <w:highlight w:val="cyan"/>
        </w:rPr>
      </w:pPr>
      <w:r w:rsidRPr="00822C52">
        <w:rPr>
          <w:rFonts w:ascii="Arial Narrow" w:hAnsi="Arial Narrow" w:cs="Tahoma"/>
          <w:noProof/>
          <w:sz w:val="20"/>
          <w:highlight w:val="cyan"/>
          <w:lang w:eastAsia="en-AU"/>
        </w:rPr>
        <w:drawing>
          <wp:inline distT="0" distB="0" distL="0" distR="0" wp14:anchorId="4BB054F6" wp14:editId="46B83ECD">
            <wp:extent cx="6114197" cy="2974326"/>
            <wp:effectExtent l="0" t="0" r="1270" b="0"/>
            <wp:docPr id="36" name="Picture 36" descr="The estimated RR from the meta-analysis was 0.76 (95% CI 0.65, 0.89)" title="Forest plot showing the RR of having a clinical worsening event while being treated with an ERA and a PDE-5 inhibitor compared with PDE-5 inhibitor alone in all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6155761" cy="2994545"/>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822C52" w:rsidRDefault="00C11A08" w:rsidP="00BC5A2B">
      <w:pPr>
        <w:pStyle w:val="Caption"/>
        <w:rPr>
          <w:rFonts w:ascii="Arial Narrow" w:hAnsi="Arial Narrow" w:cs="Tahoma"/>
          <w:u w:val="single"/>
        </w:rPr>
      </w:pPr>
      <w:bookmarkStart w:id="147" w:name="_Ref506299014"/>
      <w:bookmarkStart w:id="148" w:name="_Toc512855580"/>
      <w:r>
        <w:t>Figure 4.</w:t>
      </w:r>
      <w:r w:rsidR="00AA722D">
        <w:rPr>
          <w:noProof/>
        </w:rPr>
        <w:t>7</w:t>
      </w:r>
      <w:bookmarkEnd w:id="147"/>
      <w:r>
        <w:tab/>
      </w:r>
      <w:r w:rsidR="0075777C" w:rsidRPr="00822C52">
        <w:t xml:space="preserve">Forest plot showing the RR of having a clinical worsening event while being treated with an ERA and a </w:t>
      </w:r>
      <w:r w:rsidR="0075777C">
        <w:t>PDE-5 inhibitor</w:t>
      </w:r>
      <w:r w:rsidR="0075777C" w:rsidRPr="00822C52">
        <w:t xml:space="preserve"> compared with </w:t>
      </w:r>
      <w:r w:rsidR="0075777C">
        <w:t>PDE-5 inhibitor</w:t>
      </w:r>
      <w:r w:rsidR="0075777C" w:rsidRPr="00822C52">
        <w:t xml:space="preserve"> alone in all PAH patients</w:t>
      </w:r>
      <w:bookmarkEnd w:id="148"/>
    </w:p>
    <w:p w:rsidR="007E6E6A" w:rsidRPr="00822C52" w:rsidRDefault="0075777C" w:rsidP="00C11A08">
      <w:pPr>
        <w:pStyle w:val="Tablenote"/>
      </w:pPr>
      <w:r w:rsidRPr="00822C52">
        <w:t xml:space="preserve">CI = confidence interval; ERA = </w:t>
      </w:r>
      <w:r w:rsidR="0006512A">
        <w:t>endothelin receptor</w:t>
      </w:r>
      <w:r w:rsidRPr="00822C52">
        <w:t xml:space="preserve"> antagonists; N = number of patients; </w:t>
      </w:r>
      <w:r w:rsidR="007E6E6A" w:rsidRPr="009E3B52">
        <w:t xml:space="preserve">PAH = pulmonary arterial hypertension; </w:t>
      </w:r>
      <w:r>
        <w:t xml:space="preserve">PDE-5i </w:t>
      </w:r>
      <w:r w:rsidRPr="00822C52">
        <w:t>= phosphodiesterase type-5 inhibitor; RR = relative risk</w:t>
      </w:r>
    </w:p>
    <w:p w:rsidR="0075777C" w:rsidRPr="00B607A5" w:rsidRDefault="0077344D" w:rsidP="0077344D">
      <w:pPr>
        <w:pStyle w:val="Heading6"/>
      </w:pPr>
      <w:r w:rsidRPr="00B607A5">
        <w:t>a</w:t>
      </w:r>
      <w:r w:rsidR="0075777C" w:rsidRPr="00B607A5">
        <w:t>.ii</w:t>
      </w:r>
      <w:r w:rsidR="0075777C" w:rsidRPr="00B607A5">
        <w:tab/>
        <w:t>PAH patients with FC III or IV</w:t>
      </w:r>
    </w:p>
    <w:p w:rsidR="0075777C" w:rsidRPr="00822C52" w:rsidRDefault="0075777C" w:rsidP="0075777C">
      <w:r w:rsidRPr="00822C52">
        <w:t xml:space="preserve">Two studies reported the HR for patients with WHO FC III/IV PAH experiencing clinical worsening while taking an ERA and a </w:t>
      </w:r>
      <w:r>
        <w:t>PDE-5 inhibitor</w:t>
      </w:r>
      <w:r w:rsidRPr="00822C52">
        <w:t xml:space="preserve"> compared with </w:t>
      </w:r>
      <w:r>
        <w:t>PDE-5 inhibitor</w:t>
      </w:r>
      <w:r w:rsidRPr="00822C52">
        <w:t xml:space="preserve"> alone (</w:t>
      </w:r>
      <w:r w:rsidR="00AA722D">
        <w:t>Table 4.</w:t>
      </w:r>
      <w:r w:rsidR="00AA722D">
        <w:rPr>
          <w:noProof/>
        </w:rPr>
        <w:t>45</w:t>
      </w:r>
      <w:r w:rsidRPr="00822C52">
        <w:t xml:space="preserve">). In the COMPASS-2 trial, patients receiving bosentan and sildenafil were almost as likely to have clinical worsening as patients who received a </w:t>
      </w:r>
      <w:r>
        <w:t>PDE-5 inhibitor</w:t>
      </w:r>
      <w:r w:rsidRPr="00822C52">
        <w:t xml:space="preserve"> alone over the 1</w:t>
      </w:r>
      <w:r w:rsidR="000801F8">
        <w:t>69</w:t>
      </w:r>
      <w:r w:rsidRPr="00822C52">
        <w:t xml:space="preserve">-week study period. Over </w:t>
      </w:r>
      <w:r w:rsidR="00971455">
        <w:t>a median treatment period of 115 weeks in</w:t>
      </w:r>
      <w:r w:rsidRPr="00822C52">
        <w:t xml:space="preserve"> the SERAPHIN trial, patients with WHO FC III/IV PAH treated with macitentan and a </w:t>
      </w:r>
      <w:r>
        <w:t>PDE-5 inhibitor</w:t>
      </w:r>
      <w:r w:rsidRPr="00822C52">
        <w:t xml:space="preserve"> were </w:t>
      </w:r>
      <w:r w:rsidR="00A17B9D">
        <w:rPr>
          <w:noProof/>
          <w:color w:val="000000"/>
          <w:highlight w:val="black"/>
        </w:rPr>
        <w:t>''''''''' '''''''''''''' ''''''' '''''''''''</w:t>
      </w:r>
      <w:r w:rsidRPr="00822C52">
        <w:t xml:space="preserve"> to have clinical worsening than patients receiving a </w:t>
      </w:r>
      <w:r>
        <w:t>PDE-5 inhibitor</w:t>
      </w:r>
      <w:r w:rsidR="00B603BC">
        <w:t xml:space="preserve"> alone.</w:t>
      </w:r>
    </w:p>
    <w:p w:rsidR="0075777C" w:rsidRPr="00DD7790" w:rsidRDefault="00272F8F" w:rsidP="00BC5A2B">
      <w:pPr>
        <w:pStyle w:val="Caption"/>
      </w:pPr>
      <w:bookmarkStart w:id="149" w:name="_Ref503273780"/>
      <w:bookmarkStart w:id="150" w:name="_Toc512855449"/>
      <w:r>
        <w:t>Table 4.</w:t>
      </w:r>
      <w:r w:rsidR="00AA722D">
        <w:rPr>
          <w:noProof/>
        </w:rPr>
        <w:t>45</w:t>
      </w:r>
      <w:bookmarkEnd w:id="149"/>
      <w:r w:rsidR="00EC75B2">
        <w:tab/>
      </w:r>
      <w:r w:rsidR="0075777C" w:rsidRPr="00DD7790">
        <w:t xml:space="preserve">The effectiveness of </w:t>
      </w:r>
      <w:r w:rsidR="00EB768B" w:rsidRPr="00EB768B">
        <w:t xml:space="preserve">an ERA </w:t>
      </w:r>
      <w:r w:rsidR="00385078" w:rsidRPr="00385078">
        <w:t xml:space="preserve">in addition to a PDE-5 inhibitor compared with PDE-5 inhibitor monotherapy </w:t>
      </w:r>
      <w:r w:rsidR="0075777C" w:rsidRPr="00DD7790">
        <w:t>in preventing clinical worsening in patients with WHO FC III/IV PAH</w:t>
      </w:r>
      <w:bookmarkEnd w:id="150"/>
    </w:p>
    <w:tbl>
      <w:tblPr>
        <w:tblStyle w:val="TableGrid7"/>
        <w:tblW w:w="9634" w:type="dxa"/>
        <w:tblLayout w:type="fixed"/>
        <w:tblLook w:val="04A0" w:firstRow="1" w:lastRow="0" w:firstColumn="1" w:lastColumn="0" w:noHBand="0" w:noVBand="1"/>
        <w:tblCaption w:val="The effectiveness of an ERA in addition to a PDE-5 inhibitor compared with PDE-5 inhibitor monotherapy in preventing clinical worsening in patients with WHO FC III/IV PAH"/>
      </w:tblPr>
      <w:tblGrid>
        <w:gridCol w:w="1696"/>
        <w:gridCol w:w="2268"/>
        <w:gridCol w:w="1985"/>
        <w:gridCol w:w="1984"/>
        <w:gridCol w:w="1701"/>
      </w:tblGrid>
      <w:tr w:rsidR="0075777C" w:rsidRPr="00822C52" w:rsidTr="00EC2524">
        <w:trPr>
          <w:trHeight w:val="281"/>
          <w:tblHeader/>
        </w:trPr>
        <w:tc>
          <w:tcPr>
            <w:tcW w:w="1696" w:type="dxa"/>
            <w:vMerge w:val="restart"/>
            <w:shd w:val="clear" w:color="auto" w:fill="BFBFBF" w:themeFill="background1" w:themeFillShade="BF"/>
          </w:tcPr>
          <w:p w:rsidR="0075777C" w:rsidRPr="00C11A08" w:rsidRDefault="0075777C" w:rsidP="00C11A08">
            <w:pPr>
              <w:pStyle w:val="Tabletext"/>
              <w:rPr>
                <w:b/>
              </w:rPr>
            </w:pPr>
            <w:r w:rsidRPr="00C11A08">
              <w:rPr>
                <w:b/>
              </w:rPr>
              <w:t>Study ID</w:t>
            </w:r>
          </w:p>
        </w:tc>
        <w:tc>
          <w:tcPr>
            <w:tcW w:w="2268" w:type="dxa"/>
            <w:vMerge w:val="restart"/>
            <w:shd w:val="clear" w:color="auto" w:fill="BFBFBF" w:themeFill="background1" w:themeFillShade="BF"/>
          </w:tcPr>
          <w:p w:rsidR="0075777C" w:rsidRPr="00C11A08" w:rsidRDefault="0075777C" w:rsidP="00C11A08">
            <w:pPr>
              <w:pStyle w:val="Tabletext"/>
              <w:rPr>
                <w:b/>
              </w:rPr>
            </w:pPr>
            <w:r w:rsidRPr="00C11A08">
              <w:rPr>
                <w:b/>
              </w:rPr>
              <w:t>Follow-up period</w:t>
            </w:r>
          </w:p>
          <w:p w:rsidR="0075777C" w:rsidRPr="00C11A08" w:rsidRDefault="0075777C" w:rsidP="00C11A08">
            <w:pPr>
              <w:pStyle w:val="Tabletext"/>
              <w:rPr>
                <w:b/>
              </w:rPr>
            </w:pPr>
            <w:r w:rsidRPr="00C11A08">
              <w:rPr>
                <w:b/>
              </w:rPr>
              <w:t>ERA/PDE-5i</w:t>
            </w:r>
          </w:p>
        </w:tc>
        <w:tc>
          <w:tcPr>
            <w:tcW w:w="3969" w:type="dxa"/>
            <w:gridSpan w:val="2"/>
            <w:shd w:val="clear" w:color="auto" w:fill="BFBFBF" w:themeFill="background1" w:themeFillShade="BF"/>
          </w:tcPr>
          <w:p w:rsidR="0075777C" w:rsidRPr="00C11A08" w:rsidRDefault="0075777C" w:rsidP="00C11A08">
            <w:pPr>
              <w:pStyle w:val="Tabletext"/>
              <w:jc w:val="center"/>
              <w:rPr>
                <w:b/>
              </w:rPr>
            </w:pPr>
            <w:r w:rsidRPr="00C11A08">
              <w:rPr>
                <w:b/>
              </w:rPr>
              <w:t>n/N (%)</w:t>
            </w:r>
          </w:p>
        </w:tc>
        <w:tc>
          <w:tcPr>
            <w:tcW w:w="1701" w:type="dxa"/>
            <w:vMerge w:val="restart"/>
            <w:shd w:val="clear" w:color="auto" w:fill="BFBFBF" w:themeFill="background1" w:themeFillShade="BF"/>
          </w:tcPr>
          <w:p w:rsidR="0075777C" w:rsidRPr="00C11A08" w:rsidRDefault="0075777C" w:rsidP="00C11A08">
            <w:pPr>
              <w:pStyle w:val="Tabletext"/>
              <w:rPr>
                <w:b/>
              </w:rPr>
            </w:pPr>
            <w:r w:rsidRPr="00C11A08">
              <w:rPr>
                <w:b/>
              </w:rPr>
              <w:t>HR (95% CI)</w:t>
            </w:r>
          </w:p>
        </w:tc>
      </w:tr>
      <w:tr w:rsidR="0075777C" w:rsidRPr="00822C52" w:rsidTr="00EC75B2">
        <w:trPr>
          <w:trHeight w:val="202"/>
          <w:tblHeader/>
        </w:trPr>
        <w:tc>
          <w:tcPr>
            <w:tcW w:w="1696" w:type="dxa"/>
            <w:vMerge/>
            <w:shd w:val="clear" w:color="auto" w:fill="BFBFBF" w:themeFill="background1" w:themeFillShade="BF"/>
          </w:tcPr>
          <w:p w:rsidR="0075777C" w:rsidRPr="00822C52" w:rsidRDefault="0075777C" w:rsidP="00C11A08">
            <w:pPr>
              <w:pStyle w:val="Tabletext"/>
            </w:pPr>
          </w:p>
        </w:tc>
        <w:tc>
          <w:tcPr>
            <w:tcW w:w="2268" w:type="dxa"/>
            <w:vMerge/>
            <w:shd w:val="clear" w:color="auto" w:fill="BFBFBF" w:themeFill="background1" w:themeFillShade="BF"/>
          </w:tcPr>
          <w:p w:rsidR="0075777C" w:rsidRPr="00822C52" w:rsidRDefault="0075777C" w:rsidP="00C11A08">
            <w:pPr>
              <w:pStyle w:val="Tabletext"/>
            </w:pPr>
          </w:p>
        </w:tc>
        <w:tc>
          <w:tcPr>
            <w:tcW w:w="1985" w:type="dxa"/>
            <w:shd w:val="clear" w:color="auto" w:fill="BFBFBF" w:themeFill="background1" w:themeFillShade="BF"/>
          </w:tcPr>
          <w:p w:rsidR="0075777C" w:rsidRPr="00C11A08" w:rsidRDefault="0075777C" w:rsidP="00C11A08">
            <w:pPr>
              <w:pStyle w:val="Tabletext"/>
              <w:jc w:val="center"/>
              <w:rPr>
                <w:b/>
              </w:rPr>
            </w:pPr>
            <w:r w:rsidRPr="00C11A08">
              <w:rPr>
                <w:b/>
              </w:rPr>
              <w:t>ERA + PDE-5i</w:t>
            </w:r>
          </w:p>
        </w:tc>
        <w:tc>
          <w:tcPr>
            <w:tcW w:w="1984" w:type="dxa"/>
            <w:shd w:val="clear" w:color="auto" w:fill="BFBFBF" w:themeFill="background1" w:themeFillShade="BF"/>
          </w:tcPr>
          <w:p w:rsidR="0075777C" w:rsidRPr="00C11A08" w:rsidRDefault="0075777C" w:rsidP="00C11A08">
            <w:pPr>
              <w:pStyle w:val="Tabletext"/>
              <w:jc w:val="center"/>
              <w:rPr>
                <w:b/>
              </w:rPr>
            </w:pPr>
            <w:r w:rsidRPr="00C11A08">
              <w:rPr>
                <w:b/>
              </w:rPr>
              <w:t>PDE-5i</w:t>
            </w:r>
          </w:p>
        </w:tc>
        <w:tc>
          <w:tcPr>
            <w:tcW w:w="1701" w:type="dxa"/>
            <w:vMerge/>
            <w:shd w:val="clear" w:color="auto" w:fill="BFBFBF" w:themeFill="background1" w:themeFillShade="BF"/>
          </w:tcPr>
          <w:p w:rsidR="0075777C" w:rsidRPr="00822C52" w:rsidRDefault="0075777C" w:rsidP="00C11A08">
            <w:pPr>
              <w:pStyle w:val="Tabletext"/>
            </w:pPr>
          </w:p>
        </w:tc>
      </w:tr>
      <w:tr w:rsidR="0075777C" w:rsidRPr="00822C52" w:rsidTr="00EC75B2">
        <w:trPr>
          <w:trHeight w:val="70"/>
        </w:trPr>
        <w:tc>
          <w:tcPr>
            <w:tcW w:w="1696" w:type="dxa"/>
          </w:tcPr>
          <w:p w:rsidR="0075777C" w:rsidRPr="00822C52" w:rsidRDefault="0075777C" w:rsidP="001D34EE">
            <w:pPr>
              <w:pStyle w:val="Tabletext"/>
              <w:rPr>
                <w:rFonts w:cs="Tahoma"/>
              </w:rPr>
            </w:pPr>
            <w:r w:rsidRPr="00822C52">
              <w:rPr>
                <w:rFonts w:cs="Tahoma"/>
              </w:rPr>
              <w:t>COMPASS-2</w:t>
            </w:r>
            <w:r w:rsidR="001D34EE" w:rsidRPr="001A1C44">
              <w:rPr>
                <w:rFonts w:cs="Tahoma"/>
                <w:noProof/>
                <w:vertAlign w:val="superscript"/>
              </w:rPr>
              <w:t>37</w:t>
            </w:r>
          </w:p>
        </w:tc>
        <w:tc>
          <w:tcPr>
            <w:tcW w:w="2268" w:type="dxa"/>
          </w:tcPr>
          <w:p w:rsidR="0075777C" w:rsidRPr="00822C52" w:rsidRDefault="0075777C" w:rsidP="00C11A08">
            <w:pPr>
              <w:pStyle w:val="Tabletext"/>
              <w:rPr>
                <w:rFonts w:cs="Tahoma"/>
              </w:rPr>
            </w:pPr>
            <w:r w:rsidRPr="00822C52">
              <w:rPr>
                <w:rFonts w:cs="Tahoma"/>
              </w:rPr>
              <w:t>EOS: mean 1</w:t>
            </w:r>
            <w:r w:rsidR="000801F8">
              <w:rPr>
                <w:rFonts w:cs="Tahoma"/>
              </w:rPr>
              <w:t>69</w:t>
            </w:r>
            <w:r w:rsidRPr="00822C52">
              <w:rPr>
                <w:rFonts w:cs="Tahoma"/>
              </w:rPr>
              <w:t xml:space="preserve"> weeks</w:t>
            </w:r>
          </w:p>
          <w:p w:rsidR="0075777C" w:rsidRPr="00822C52" w:rsidRDefault="0075777C" w:rsidP="00C11A08">
            <w:pPr>
              <w:pStyle w:val="Tabletext"/>
              <w:rPr>
                <w:rFonts w:cs="Tahoma"/>
                <w:highlight w:val="cyan"/>
              </w:rPr>
            </w:pPr>
            <w:r w:rsidRPr="00822C52">
              <w:rPr>
                <w:rFonts w:cs="Tahoma"/>
              </w:rPr>
              <w:t>Bosentan/sildenafil</w:t>
            </w:r>
          </w:p>
        </w:tc>
        <w:tc>
          <w:tcPr>
            <w:tcW w:w="1985" w:type="dxa"/>
          </w:tcPr>
          <w:p w:rsidR="0075777C" w:rsidRPr="000B73CA" w:rsidRDefault="0075777C" w:rsidP="00C11A08">
            <w:pPr>
              <w:pStyle w:val="Tabletext"/>
              <w:jc w:val="center"/>
              <w:rPr>
                <w:rFonts w:cs="Tahoma"/>
              </w:rPr>
            </w:pPr>
            <w:r>
              <w:rPr>
                <w:rFonts w:cs="Tahoma"/>
              </w:rPr>
              <w:t>44/88 (50%)</w:t>
            </w:r>
          </w:p>
        </w:tc>
        <w:tc>
          <w:tcPr>
            <w:tcW w:w="1984" w:type="dxa"/>
          </w:tcPr>
          <w:p w:rsidR="0075777C" w:rsidRPr="00822C52" w:rsidRDefault="0075777C" w:rsidP="00C11A08">
            <w:pPr>
              <w:pStyle w:val="Tabletext"/>
              <w:jc w:val="center"/>
              <w:rPr>
                <w:rFonts w:cs="Tahoma"/>
                <w:highlight w:val="cyan"/>
              </w:rPr>
            </w:pPr>
            <w:r w:rsidRPr="00822C52">
              <w:rPr>
                <w:rFonts w:cs="Tahoma"/>
              </w:rPr>
              <w:t>62/106 (59%)</w:t>
            </w:r>
          </w:p>
        </w:tc>
        <w:tc>
          <w:tcPr>
            <w:tcW w:w="1701" w:type="dxa"/>
          </w:tcPr>
          <w:p w:rsidR="0075777C" w:rsidRPr="00822C52" w:rsidRDefault="0075777C" w:rsidP="00C11A08">
            <w:pPr>
              <w:pStyle w:val="Tabletext"/>
              <w:rPr>
                <w:rFonts w:cs="Tahoma"/>
                <w:highlight w:val="cyan"/>
              </w:rPr>
            </w:pPr>
            <w:r w:rsidRPr="00822C52">
              <w:rPr>
                <w:rFonts w:cs="Tahoma"/>
              </w:rPr>
              <w:t>0.90 (0.61, 1.33)</w:t>
            </w:r>
          </w:p>
        </w:tc>
      </w:tr>
      <w:tr w:rsidR="0075777C" w:rsidRPr="00822C52" w:rsidTr="00EC75B2">
        <w:trPr>
          <w:trHeight w:val="70"/>
        </w:trPr>
        <w:tc>
          <w:tcPr>
            <w:tcW w:w="1696" w:type="dxa"/>
          </w:tcPr>
          <w:p w:rsidR="0075777C" w:rsidRPr="00822C52" w:rsidRDefault="0075777C" w:rsidP="00C11A08">
            <w:pPr>
              <w:pStyle w:val="Tabletext"/>
              <w:rPr>
                <w:rFonts w:cs="Tahoma"/>
              </w:rPr>
            </w:pPr>
            <w:r w:rsidRPr="00822C52">
              <w:rPr>
                <w:rFonts w:cs="Tahoma"/>
              </w:rPr>
              <w:t>SERAPHIN</w:t>
            </w:r>
            <w:r>
              <w:rPr>
                <w:rFonts w:cs="Tahoma"/>
              </w:rPr>
              <w:t xml:space="preserve"> </w:t>
            </w:r>
            <w:r w:rsidRPr="004D0C0E">
              <w:rPr>
                <w:rFonts w:cs="Tahoma"/>
                <w:vertAlign w:val="superscript"/>
              </w:rPr>
              <w:t>a</w:t>
            </w:r>
            <w:r w:rsidRPr="00822C52">
              <w:rPr>
                <w:rFonts w:cs="Tahoma"/>
              </w:rPr>
              <w:t>, March 2014 submission</w:t>
            </w:r>
          </w:p>
        </w:tc>
        <w:tc>
          <w:tcPr>
            <w:tcW w:w="2268" w:type="dxa"/>
          </w:tcPr>
          <w:p w:rsidR="0075777C" w:rsidRPr="00822C52" w:rsidRDefault="0075777C" w:rsidP="00C11A08">
            <w:pPr>
              <w:pStyle w:val="Tabletext"/>
              <w:rPr>
                <w:rFonts w:cs="Tahoma"/>
              </w:rPr>
            </w:pPr>
            <w:r w:rsidRPr="00822C52">
              <w:rPr>
                <w:rFonts w:cs="Tahoma"/>
              </w:rPr>
              <w:t xml:space="preserve">EOT: </w:t>
            </w:r>
            <w:r w:rsidR="00971455" w:rsidRPr="00971455">
              <w:rPr>
                <w:rFonts w:cs="Tahoma"/>
              </w:rPr>
              <w:t>median 115 weeks</w:t>
            </w:r>
          </w:p>
          <w:p w:rsidR="0075777C" w:rsidRPr="00822C52" w:rsidRDefault="0075777C" w:rsidP="00C11A08">
            <w:pPr>
              <w:pStyle w:val="Tabletext"/>
              <w:rPr>
                <w:rFonts w:cs="Tahoma"/>
              </w:rPr>
            </w:pPr>
            <w:r w:rsidRPr="00822C52">
              <w:rPr>
                <w:rFonts w:cs="Tahoma"/>
              </w:rPr>
              <w:t xml:space="preserve">Macitentan/any </w:t>
            </w:r>
            <w:r>
              <w:rPr>
                <w:rFonts w:cs="Tahoma"/>
              </w:rPr>
              <w:t>PDE-5 inhibitor</w:t>
            </w:r>
          </w:p>
        </w:tc>
        <w:tc>
          <w:tcPr>
            <w:tcW w:w="1985" w:type="dxa"/>
          </w:tcPr>
          <w:p w:rsidR="0075777C" w:rsidRPr="00A17B9D" w:rsidRDefault="00A17B9D" w:rsidP="00C11A08">
            <w:pPr>
              <w:pStyle w:val="Tabletext"/>
              <w:jc w:val="center"/>
              <w:rPr>
                <w:rFonts w:cs="Tahoma"/>
                <w:highlight w:val="black"/>
              </w:rPr>
            </w:pPr>
            <w:r>
              <w:rPr>
                <w:rFonts w:cs="Tahoma"/>
                <w:noProof/>
                <w:color w:val="000000"/>
                <w:highlight w:val="black"/>
              </w:rPr>
              <w:t>'''''''''''''' ''''''''''''''''</w:t>
            </w:r>
          </w:p>
        </w:tc>
        <w:tc>
          <w:tcPr>
            <w:tcW w:w="1984" w:type="dxa"/>
          </w:tcPr>
          <w:p w:rsidR="0075777C" w:rsidRPr="00A17B9D" w:rsidRDefault="00A17B9D" w:rsidP="00C11A08">
            <w:pPr>
              <w:pStyle w:val="Tabletext"/>
              <w:jc w:val="center"/>
              <w:rPr>
                <w:rFonts w:cs="Tahoma"/>
                <w:highlight w:val="black"/>
              </w:rPr>
            </w:pPr>
            <w:r>
              <w:rPr>
                <w:rFonts w:cs="Tahoma"/>
                <w:noProof/>
                <w:color w:val="000000"/>
                <w:highlight w:val="black"/>
              </w:rPr>
              <w:t>''''''''''''''' ''''''''''''''''</w:t>
            </w:r>
          </w:p>
        </w:tc>
        <w:tc>
          <w:tcPr>
            <w:tcW w:w="1701" w:type="dxa"/>
          </w:tcPr>
          <w:p w:rsidR="0075777C" w:rsidRPr="00A17B9D" w:rsidRDefault="00A17B9D" w:rsidP="00C11A08">
            <w:pPr>
              <w:pStyle w:val="Tabletext"/>
              <w:rPr>
                <w:rFonts w:cs="Tahoma"/>
                <w:highlight w:val="black"/>
              </w:rPr>
            </w:pPr>
            <w:r>
              <w:rPr>
                <w:rFonts w:cs="Tahoma"/>
                <w:noProof/>
                <w:color w:val="000000"/>
                <w:highlight w:val="black"/>
              </w:rPr>
              <w:t>'''''''''' '''''''''''' ''''''''''''</w:t>
            </w:r>
          </w:p>
        </w:tc>
      </w:tr>
    </w:tbl>
    <w:p w:rsidR="0075777C" w:rsidRPr="00822C52" w:rsidRDefault="0075777C" w:rsidP="00C11A08">
      <w:pPr>
        <w:pStyle w:val="Tablenote"/>
      </w:pPr>
      <w:r w:rsidRPr="004D0C0E">
        <w:rPr>
          <w:vertAlign w:val="superscript"/>
        </w:rPr>
        <w:t>a</w:t>
      </w:r>
      <w:r>
        <w:rPr>
          <w:vertAlign w:val="superscript"/>
        </w:rPr>
        <w:t xml:space="preserve"> </w:t>
      </w:r>
      <w:r w:rsidRPr="00822C52">
        <w:t xml:space="preserve">Small proportion of patients </w:t>
      </w:r>
      <w:r>
        <w:t xml:space="preserve">(4%) </w:t>
      </w:r>
      <w:r w:rsidRPr="00822C52">
        <w:t xml:space="preserve">receiving </w:t>
      </w:r>
      <w:r w:rsidR="00C11A08" w:rsidRPr="00822C52">
        <w:t>prostanoids</w:t>
      </w:r>
      <w:r w:rsidRPr="00822C52">
        <w:t xml:space="preserve"> or receiving doublet background therapy</w:t>
      </w:r>
    </w:p>
    <w:p w:rsidR="0075777C" w:rsidRPr="00822C52" w:rsidRDefault="0075777C" w:rsidP="00C11A08">
      <w:pPr>
        <w:pStyle w:val="Tablenote"/>
      </w:pPr>
      <w:r w:rsidRPr="00822C52">
        <w:t xml:space="preserve">CI = confidence interval; EOS = end of study; EOT = end of treatment; ERA = endothelin receptor antagonist; FC = functional class; HR = hazard ratio; n = number of </w:t>
      </w:r>
      <w:r w:rsidR="00D3683E">
        <w:t xml:space="preserve">patients with </w:t>
      </w:r>
      <w:r w:rsidRPr="00822C52">
        <w:t xml:space="preserve">events; N = number of patients; PAH = pulmonary arterial hypertension; </w:t>
      </w:r>
      <w:r>
        <w:t xml:space="preserve">PDE-5i </w:t>
      </w:r>
      <w:r w:rsidRPr="00822C52">
        <w:t>= phosphodiesterase type-5 inhibitor; WHO = World Health Organization</w:t>
      </w:r>
    </w:p>
    <w:p w:rsidR="0075777C" w:rsidRPr="00A17B9D" w:rsidRDefault="0075777C" w:rsidP="0075777C">
      <w:pPr>
        <w:rPr>
          <w:highlight w:val="cyan"/>
        </w:rPr>
      </w:pPr>
      <w:r w:rsidRPr="00822C52">
        <w:lastRenderedPageBreak/>
        <w:t xml:space="preserve">A meta-analysis of the RR of patients with WHO FC III/IV PAH having clinical worsening when being treated with an ERA and a </w:t>
      </w:r>
      <w:r>
        <w:t>PDE-5 inhibitor</w:t>
      </w:r>
      <w:r w:rsidRPr="00822C52">
        <w:t xml:space="preserve"> compared with </w:t>
      </w:r>
      <w:r>
        <w:t>PDE-5 inhibitor</w:t>
      </w:r>
      <w:r w:rsidRPr="00822C52">
        <w:t xml:space="preserve"> alone in patients with WHO FC III/IV PAH was performed (</w:t>
      </w:r>
      <w:r w:rsidR="00AA722D">
        <w:t>Figure 4.</w:t>
      </w:r>
      <w:r w:rsidR="00AA722D">
        <w:rPr>
          <w:noProof/>
        </w:rPr>
        <w:t>8</w:t>
      </w:r>
      <w:r w:rsidRPr="00822C52">
        <w:t>). There was moderate heterogeneity between the two studies</w:t>
      </w:r>
      <w:r w:rsidR="00A17B9D">
        <w:rPr>
          <w:noProof/>
          <w:color w:val="000000"/>
          <w:highlight w:val="black"/>
        </w:rPr>
        <w:t>'' ''''''' ''''''' '''''''''''''' ''''''''''' ''''''''''''''''' '''''''''''' '''''''''''''''' '''''''''''''''''''' '''''''' ''''' '''''''' '''''''' '' '''''''''''' '''''''''''''''''' '''''''' ''' ''''''''''' '''''''''''''''''' ''''''''''' '''''''' ''''''''' ''''' '''''''''' '''''''''''''' '''''''''''''''''''''''</w:t>
      </w:r>
    </w:p>
    <w:p w:rsidR="0075777C" w:rsidRPr="00822C52" w:rsidRDefault="0075777C" w:rsidP="0075777C">
      <w:pPr>
        <w:tabs>
          <w:tab w:val="left" w:pos="1649"/>
          <w:tab w:val="left" w:pos="3066"/>
          <w:tab w:val="left" w:pos="4341"/>
        </w:tabs>
        <w:spacing w:after="40"/>
        <w:jc w:val="center"/>
        <w:rPr>
          <w:rFonts w:ascii="Arial Narrow" w:hAnsi="Arial Narrow" w:cs="Tahoma"/>
          <w:sz w:val="20"/>
          <w:highlight w:val="cyan"/>
        </w:rPr>
      </w:pPr>
      <w:r w:rsidRPr="00822C52">
        <w:rPr>
          <w:rFonts w:ascii="Arial Narrow" w:hAnsi="Arial Narrow" w:cs="Tahoma"/>
          <w:noProof/>
          <w:sz w:val="20"/>
          <w:highlight w:val="cyan"/>
          <w:lang w:eastAsia="en-AU"/>
        </w:rPr>
        <w:drawing>
          <wp:inline distT="0" distB="0" distL="0" distR="0" wp14:anchorId="254E2BB8" wp14:editId="42F0053D">
            <wp:extent cx="6109842" cy="2906973"/>
            <wp:effectExtent l="0" t="0" r="5715" b="8255"/>
            <wp:docPr id="37" name="Picture 37" descr="The estimated RR from the meta-analysis was 0.75 (95% CI 0.56, 1.00)" title="Forest plot showing the RR of experiencing clinical worsening with an ERA and a PDE-5 inhibitor compared with PDE-5 inhibitor alone in patients with WHO FC III/IV 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6153400" cy="2927697"/>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DD7790" w:rsidRDefault="00EC75B2" w:rsidP="00BC5A2B">
      <w:pPr>
        <w:pStyle w:val="Caption"/>
        <w:rPr>
          <w:rFonts w:ascii="Arial Narrow" w:hAnsi="Arial Narrow" w:cs="Tahoma"/>
          <w:u w:val="single"/>
        </w:rPr>
      </w:pPr>
      <w:bookmarkStart w:id="151" w:name="_Ref506299684"/>
      <w:bookmarkStart w:id="152" w:name="_Toc512855581"/>
      <w:r>
        <w:t>Figure 4.</w:t>
      </w:r>
      <w:r w:rsidR="00AA722D">
        <w:rPr>
          <w:noProof/>
        </w:rPr>
        <w:t>8</w:t>
      </w:r>
      <w:bookmarkEnd w:id="151"/>
      <w:r>
        <w:tab/>
      </w:r>
      <w:r w:rsidR="0075777C" w:rsidRPr="00DD7790">
        <w:t xml:space="preserve">Forest plot showing the RR of </w:t>
      </w:r>
      <w:r>
        <w:t>experiencing</w:t>
      </w:r>
      <w:r w:rsidR="0075777C" w:rsidRPr="00DD7790">
        <w:t xml:space="preserve"> clinical worsening with an ERA and a PDE-5 inhibitor compared with PDE-5 inhibitor alone in patients</w:t>
      </w:r>
      <w:r w:rsidR="0075777C" w:rsidRPr="0015525F">
        <w:t xml:space="preserve"> with WHO FC III/IV PAH</w:t>
      </w:r>
      <w:bookmarkEnd w:id="152"/>
    </w:p>
    <w:p w:rsidR="00D3683E" w:rsidRPr="00822C52" w:rsidRDefault="0075777C" w:rsidP="00EC75B2">
      <w:pPr>
        <w:pStyle w:val="Tablenote"/>
      </w:pPr>
      <w:r w:rsidRPr="00822C52">
        <w:t xml:space="preserve">CI = confidence interval; ERA = </w:t>
      </w:r>
      <w:r w:rsidR="0006512A">
        <w:t>endothelin receptor</w:t>
      </w:r>
      <w:r w:rsidRPr="00822C52">
        <w:t xml:space="preserve"> antagonists; </w:t>
      </w:r>
      <w:r w:rsidR="00D3683E" w:rsidRPr="00D3683E">
        <w:t xml:space="preserve">FC = functional class; </w:t>
      </w:r>
      <w:r w:rsidRPr="00822C52">
        <w:t xml:space="preserve">N = number of patients; </w:t>
      </w:r>
      <w:r w:rsidR="00D3683E" w:rsidRPr="00D3683E">
        <w:t xml:space="preserve">PAH = pulmonary arterial hypertension; </w:t>
      </w:r>
      <w:r>
        <w:t>PDE-5i</w:t>
      </w:r>
      <w:r w:rsidRPr="00822C52">
        <w:t xml:space="preserve"> = phosphodiesterase type-5 inhibitor; RR = relative risk</w:t>
      </w:r>
      <w:r w:rsidR="00D3683E" w:rsidRPr="00D3683E">
        <w:t>; WHO = World Health Organization</w:t>
      </w:r>
    </w:p>
    <w:p w:rsidR="0075777C" w:rsidRPr="00B607A5" w:rsidRDefault="0077344D" w:rsidP="0077344D">
      <w:pPr>
        <w:pStyle w:val="Heading6"/>
      </w:pPr>
      <w:r w:rsidRPr="00B607A5">
        <w:t>a</w:t>
      </w:r>
      <w:r w:rsidR="0075777C" w:rsidRPr="00B607A5">
        <w:t>.iii</w:t>
      </w:r>
      <w:r w:rsidR="0075777C" w:rsidRPr="00B607A5">
        <w:tab/>
        <w:t>PAH patients with different disease aetiologies</w:t>
      </w:r>
    </w:p>
    <w:p w:rsidR="0075777C" w:rsidRPr="00822C52" w:rsidRDefault="0075777C" w:rsidP="0075777C">
      <w:r w:rsidRPr="00822C52">
        <w:t xml:space="preserve">Two studies reported the HR for patients with different PAH aetiologies experiencing clinical worsening while taking an ERA and a </w:t>
      </w:r>
      <w:r>
        <w:t>PDE-5 inhibitor</w:t>
      </w:r>
      <w:r w:rsidRPr="00822C52">
        <w:t xml:space="preserve"> compared with </w:t>
      </w:r>
      <w:r>
        <w:t>PDE-5 inhibitor</w:t>
      </w:r>
      <w:r w:rsidRPr="00822C52">
        <w:t xml:space="preserve"> alone (</w:t>
      </w:r>
      <w:r w:rsidR="00AA722D">
        <w:t>Table 4.</w:t>
      </w:r>
      <w:r w:rsidR="00AA722D">
        <w:rPr>
          <w:noProof/>
        </w:rPr>
        <w:t>46</w:t>
      </w:r>
      <w:r w:rsidRPr="00822C52">
        <w:t xml:space="preserve">). Both the COMPASS-2 and the AMBITION trials reported on PAH-CTD patients treated with an ERA and a </w:t>
      </w:r>
      <w:r>
        <w:t>PDE-5 inhibitor</w:t>
      </w:r>
      <w:r w:rsidRPr="00822C52">
        <w:t xml:space="preserve"> compared with a </w:t>
      </w:r>
      <w:r>
        <w:t>PDE-5 inhibitor</w:t>
      </w:r>
      <w:r w:rsidRPr="00822C52">
        <w:t xml:space="preserve"> alone, but only the AMBITION study found a statistically significant effect, a 60% decrease in events favouring combination over monotherapy over a 74-week period. PAH-CTD patients in the COMPASS-2 trial were on combination therapy were just as likely to have an event as those on monotherapy over the 1</w:t>
      </w:r>
      <w:r w:rsidR="000801F8">
        <w:t>69</w:t>
      </w:r>
      <w:r w:rsidRPr="00822C52">
        <w:t>-week study period.</w:t>
      </w:r>
      <w:r>
        <w:t xml:space="preserve"> Meta-analysis of the HRs</w:t>
      </w:r>
      <w:r w:rsidRPr="00787827">
        <w:t xml:space="preserve"> of patients with PAH</w:t>
      </w:r>
      <w:r>
        <w:t>-CTD</w:t>
      </w:r>
      <w:r w:rsidRPr="00787827">
        <w:t xml:space="preserve"> having clinical worsening when being treated with an ERA and a PDE-5 inhibitor compared with PDE-5 inhibitor alone was performed (</w:t>
      </w:r>
      <w:r w:rsidR="00AA722D">
        <w:t>Figure 4.</w:t>
      </w:r>
      <w:r w:rsidR="00AA722D">
        <w:rPr>
          <w:noProof/>
        </w:rPr>
        <w:t>9</w:t>
      </w:r>
      <w:r w:rsidRPr="00787827">
        <w:t>). There was moderate heterogeneity between the two studies, and the pooled point estimate, which favoured treatment with an ERA and a PDE-5 inhibitor</w:t>
      </w:r>
      <w:r w:rsidR="00BC4B63" w:rsidRPr="00BC4B63">
        <w:t xml:space="preserve">, showing a 40% reduction in the likelihood of having an event, </w:t>
      </w:r>
      <w:r w:rsidRPr="00787827">
        <w:t>over a PDE-5 inhibitor alone, failed to reach clinical significance</w:t>
      </w:r>
      <w:r>
        <w:t xml:space="preserve"> (pooled HR</w:t>
      </w:r>
      <w:r w:rsidR="00B60655">
        <w:t> </w:t>
      </w:r>
      <w:r>
        <w:t>=</w:t>
      </w:r>
      <w:r w:rsidR="00B60655">
        <w:t> </w:t>
      </w:r>
      <w:r>
        <w:t>0.59; 95% CI 0.12, 1.07)</w:t>
      </w:r>
      <w:r w:rsidRPr="00787827">
        <w:t>.</w:t>
      </w:r>
    </w:p>
    <w:p w:rsidR="0075777C" w:rsidRPr="00822C52" w:rsidRDefault="0075777C" w:rsidP="0075777C">
      <w:r w:rsidRPr="00822C52">
        <w:t xml:space="preserve">The COMPASS-2 study also reported on patients with either IPAH or HPAH, and on patients with PAH-CHD. The point estimate showed a 20% and 40% reduction, respectively, in the likelihood of </w:t>
      </w:r>
      <w:r w:rsidRPr="00822C52">
        <w:lastRenderedPageBreak/>
        <w:t>having an event while receiving combination therapy compared with monotherapy over the 1</w:t>
      </w:r>
      <w:r w:rsidR="000801F8">
        <w:t>69</w:t>
      </w:r>
      <w:r w:rsidRPr="00822C52">
        <w:t>-week study period, but these differences did not reach statistical significance.</w:t>
      </w:r>
      <w:r>
        <w:t xml:space="preserve"> </w:t>
      </w:r>
    </w:p>
    <w:p w:rsidR="0075777C" w:rsidRPr="00DD7790" w:rsidRDefault="00272F8F" w:rsidP="00BC5A2B">
      <w:pPr>
        <w:pStyle w:val="Caption"/>
      </w:pPr>
      <w:bookmarkStart w:id="153" w:name="_Ref503276239"/>
      <w:bookmarkStart w:id="154" w:name="_Toc512855450"/>
      <w:r>
        <w:t>Table 4.</w:t>
      </w:r>
      <w:r w:rsidR="00AA722D">
        <w:rPr>
          <w:noProof/>
        </w:rPr>
        <w:t>46</w:t>
      </w:r>
      <w:bookmarkEnd w:id="153"/>
      <w:r w:rsidR="00B60655">
        <w:tab/>
      </w:r>
      <w:r w:rsidR="0075777C" w:rsidRPr="00DD7790">
        <w:t xml:space="preserve">The effectiveness of </w:t>
      </w:r>
      <w:r w:rsidR="00EB768B">
        <w:t xml:space="preserve">an </w:t>
      </w:r>
      <w:r w:rsidR="00EB768B" w:rsidRPr="00A32D31">
        <w:t xml:space="preserve">ERA </w:t>
      </w:r>
      <w:r w:rsidR="00385078" w:rsidRPr="00385078">
        <w:t>in addition to a PDE-5 inhibitor compared with PDE-5 inhibitor monotherapy</w:t>
      </w:r>
      <w:r w:rsidR="0075777C" w:rsidRPr="00DD7790">
        <w:t xml:space="preserve"> in preventing clinical worsening in patients with different PAH aetiologies</w:t>
      </w:r>
      <w:bookmarkEnd w:id="154"/>
    </w:p>
    <w:tbl>
      <w:tblPr>
        <w:tblStyle w:val="TableGrid7"/>
        <w:tblW w:w="9634" w:type="dxa"/>
        <w:tblLayout w:type="fixed"/>
        <w:tblLook w:val="04A0" w:firstRow="1" w:lastRow="0" w:firstColumn="1" w:lastColumn="0" w:noHBand="0" w:noVBand="1"/>
        <w:tblCaption w:val="The effectiveness of an ERA in addition to a PDE-5 inhibitor compared with PDE-5 inhibitor monotherapy in preventing clinical worsening in patients with different PAH aetiologies"/>
      </w:tblPr>
      <w:tblGrid>
        <w:gridCol w:w="1696"/>
        <w:gridCol w:w="2127"/>
        <w:gridCol w:w="1913"/>
        <w:gridCol w:w="1914"/>
        <w:gridCol w:w="1984"/>
      </w:tblGrid>
      <w:tr w:rsidR="0075777C" w:rsidRPr="00822C52" w:rsidTr="00EC75B2">
        <w:trPr>
          <w:trHeight w:val="177"/>
          <w:tblHeader/>
        </w:trPr>
        <w:tc>
          <w:tcPr>
            <w:tcW w:w="1696" w:type="dxa"/>
            <w:vMerge w:val="restart"/>
            <w:shd w:val="clear" w:color="auto" w:fill="BFBFBF" w:themeFill="background1" w:themeFillShade="BF"/>
          </w:tcPr>
          <w:p w:rsidR="0075777C" w:rsidRPr="00EC75B2" w:rsidRDefault="0075777C" w:rsidP="00EC75B2">
            <w:pPr>
              <w:pStyle w:val="Tabletext"/>
              <w:rPr>
                <w:b/>
              </w:rPr>
            </w:pPr>
            <w:r w:rsidRPr="00EC75B2">
              <w:rPr>
                <w:b/>
              </w:rPr>
              <w:t>Study ID</w:t>
            </w:r>
          </w:p>
          <w:p w:rsidR="0075777C" w:rsidRPr="00EC75B2" w:rsidRDefault="0075777C" w:rsidP="00EC75B2">
            <w:pPr>
              <w:pStyle w:val="Tabletext"/>
              <w:rPr>
                <w:b/>
              </w:rPr>
            </w:pPr>
            <w:r w:rsidRPr="00EC75B2">
              <w:rPr>
                <w:b/>
              </w:rPr>
              <w:t>ERA/PDE-5i</w:t>
            </w:r>
          </w:p>
        </w:tc>
        <w:tc>
          <w:tcPr>
            <w:tcW w:w="2127" w:type="dxa"/>
            <w:vMerge w:val="restart"/>
            <w:shd w:val="clear" w:color="auto" w:fill="BFBFBF" w:themeFill="background1" w:themeFillShade="BF"/>
          </w:tcPr>
          <w:p w:rsidR="0075777C" w:rsidRPr="00EC75B2" w:rsidRDefault="0075777C" w:rsidP="00EC75B2">
            <w:pPr>
              <w:pStyle w:val="Tabletext"/>
              <w:rPr>
                <w:b/>
              </w:rPr>
            </w:pPr>
            <w:r w:rsidRPr="00EC75B2">
              <w:rPr>
                <w:b/>
              </w:rPr>
              <w:t>Follow-up period</w:t>
            </w:r>
          </w:p>
          <w:p w:rsidR="0075777C" w:rsidRPr="00EC75B2" w:rsidRDefault="0075777C" w:rsidP="00EC75B2">
            <w:pPr>
              <w:pStyle w:val="Tabletext"/>
              <w:rPr>
                <w:b/>
              </w:rPr>
            </w:pPr>
            <w:r w:rsidRPr="00EC75B2">
              <w:rPr>
                <w:b/>
              </w:rPr>
              <w:t>PAH aetiology</w:t>
            </w:r>
          </w:p>
        </w:tc>
        <w:tc>
          <w:tcPr>
            <w:tcW w:w="3827" w:type="dxa"/>
            <w:gridSpan w:val="2"/>
            <w:shd w:val="clear" w:color="auto" w:fill="BFBFBF" w:themeFill="background1" w:themeFillShade="BF"/>
          </w:tcPr>
          <w:p w:rsidR="0075777C" w:rsidRPr="00EC75B2" w:rsidRDefault="0075777C" w:rsidP="00EC75B2">
            <w:pPr>
              <w:pStyle w:val="Tabletext"/>
              <w:jc w:val="center"/>
              <w:rPr>
                <w:b/>
              </w:rPr>
            </w:pPr>
            <w:r w:rsidRPr="00EC75B2">
              <w:rPr>
                <w:b/>
              </w:rPr>
              <w:t>n/N (%)</w:t>
            </w:r>
          </w:p>
        </w:tc>
        <w:tc>
          <w:tcPr>
            <w:tcW w:w="1984" w:type="dxa"/>
            <w:vMerge w:val="restart"/>
            <w:shd w:val="clear" w:color="auto" w:fill="BFBFBF" w:themeFill="background1" w:themeFillShade="BF"/>
          </w:tcPr>
          <w:p w:rsidR="0075777C" w:rsidRPr="00EC75B2" w:rsidRDefault="0075777C" w:rsidP="00EC75B2">
            <w:pPr>
              <w:pStyle w:val="Tabletext"/>
              <w:rPr>
                <w:b/>
              </w:rPr>
            </w:pPr>
            <w:r w:rsidRPr="00EC75B2">
              <w:rPr>
                <w:b/>
              </w:rPr>
              <w:t>HR (95% CI)</w:t>
            </w:r>
          </w:p>
        </w:tc>
      </w:tr>
      <w:tr w:rsidR="0075777C" w:rsidRPr="00822C52" w:rsidTr="00EC75B2">
        <w:trPr>
          <w:trHeight w:val="202"/>
          <w:tblHeader/>
        </w:trPr>
        <w:tc>
          <w:tcPr>
            <w:tcW w:w="1696" w:type="dxa"/>
            <w:vMerge/>
            <w:tcBorders>
              <w:bottom w:val="single" w:sz="4" w:space="0" w:color="auto"/>
            </w:tcBorders>
            <w:shd w:val="clear" w:color="auto" w:fill="BFBFBF" w:themeFill="background1" w:themeFillShade="BF"/>
          </w:tcPr>
          <w:p w:rsidR="0075777C" w:rsidRPr="00822C52" w:rsidRDefault="0075777C" w:rsidP="00EC75B2">
            <w:pPr>
              <w:pStyle w:val="Tabletext"/>
            </w:pPr>
          </w:p>
        </w:tc>
        <w:tc>
          <w:tcPr>
            <w:tcW w:w="2127" w:type="dxa"/>
            <w:vMerge/>
            <w:tcBorders>
              <w:bottom w:val="single" w:sz="4" w:space="0" w:color="auto"/>
            </w:tcBorders>
            <w:shd w:val="clear" w:color="auto" w:fill="BFBFBF" w:themeFill="background1" w:themeFillShade="BF"/>
          </w:tcPr>
          <w:p w:rsidR="0075777C" w:rsidRPr="00822C52" w:rsidRDefault="0075777C" w:rsidP="00EC75B2">
            <w:pPr>
              <w:pStyle w:val="Tabletext"/>
            </w:pPr>
          </w:p>
        </w:tc>
        <w:tc>
          <w:tcPr>
            <w:tcW w:w="1913" w:type="dxa"/>
            <w:tcBorders>
              <w:bottom w:val="single" w:sz="4" w:space="0" w:color="auto"/>
            </w:tcBorders>
            <w:shd w:val="clear" w:color="auto" w:fill="BFBFBF" w:themeFill="background1" w:themeFillShade="BF"/>
          </w:tcPr>
          <w:p w:rsidR="0075777C" w:rsidRPr="00EC75B2" w:rsidRDefault="0075777C" w:rsidP="00EC75B2">
            <w:pPr>
              <w:pStyle w:val="Tabletext"/>
              <w:jc w:val="center"/>
              <w:rPr>
                <w:b/>
              </w:rPr>
            </w:pPr>
            <w:r w:rsidRPr="00EC75B2">
              <w:rPr>
                <w:b/>
              </w:rPr>
              <w:t>ERA + PDE-5i</w:t>
            </w:r>
          </w:p>
        </w:tc>
        <w:tc>
          <w:tcPr>
            <w:tcW w:w="1914" w:type="dxa"/>
            <w:tcBorders>
              <w:bottom w:val="single" w:sz="4" w:space="0" w:color="auto"/>
            </w:tcBorders>
            <w:shd w:val="clear" w:color="auto" w:fill="BFBFBF" w:themeFill="background1" w:themeFillShade="BF"/>
          </w:tcPr>
          <w:p w:rsidR="0075777C" w:rsidRPr="00EC75B2" w:rsidRDefault="0075777C" w:rsidP="00EC75B2">
            <w:pPr>
              <w:pStyle w:val="Tabletext"/>
              <w:jc w:val="center"/>
              <w:rPr>
                <w:b/>
              </w:rPr>
            </w:pPr>
            <w:r w:rsidRPr="00EC75B2">
              <w:rPr>
                <w:b/>
              </w:rPr>
              <w:t>PDE-5i</w:t>
            </w:r>
          </w:p>
        </w:tc>
        <w:tc>
          <w:tcPr>
            <w:tcW w:w="1984" w:type="dxa"/>
            <w:vMerge/>
            <w:tcBorders>
              <w:bottom w:val="single" w:sz="4" w:space="0" w:color="auto"/>
            </w:tcBorders>
            <w:shd w:val="clear" w:color="auto" w:fill="BFBFBF" w:themeFill="background1" w:themeFillShade="BF"/>
          </w:tcPr>
          <w:p w:rsidR="0075777C" w:rsidRPr="00822C52" w:rsidRDefault="0075777C" w:rsidP="00EC75B2">
            <w:pPr>
              <w:pStyle w:val="Tabletext"/>
            </w:pPr>
          </w:p>
        </w:tc>
      </w:tr>
      <w:tr w:rsidR="0075777C" w:rsidRPr="00822C52" w:rsidTr="00EC75B2">
        <w:trPr>
          <w:trHeight w:val="70"/>
        </w:trPr>
        <w:tc>
          <w:tcPr>
            <w:tcW w:w="1696" w:type="dxa"/>
            <w:tcBorders>
              <w:bottom w:val="single" w:sz="4" w:space="0" w:color="auto"/>
            </w:tcBorders>
          </w:tcPr>
          <w:p w:rsidR="0075777C" w:rsidRPr="00822C52" w:rsidRDefault="0075777C" w:rsidP="00EC75B2">
            <w:pPr>
              <w:pStyle w:val="Tabletext"/>
              <w:rPr>
                <w:rFonts w:cs="Tahoma"/>
              </w:rPr>
            </w:pPr>
            <w:r w:rsidRPr="00822C52">
              <w:rPr>
                <w:rFonts w:cs="Tahoma"/>
              </w:rPr>
              <w:t>COMPASS-2</w:t>
            </w:r>
            <w:r w:rsidR="001D34EE" w:rsidRPr="001A1C44">
              <w:rPr>
                <w:rFonts w:cs="Tahoma"/>
                <w:noProof/>
                <w:vertAlign w:val="superscript"/>
              </w:rPr>
              <w:t>37</w:t>
            </w:r>
          </w:p>
          <w:p w:rsidR="0075777C" w:rsidRPr="00822C52" w:rsidRDefault="00EC75B2" w:rsidP="00EC75B2">
            <w:pPr>
              <w:pStyle w:val="Tabletext"/>
              <w:rPr>
                <w:rFonts w:cs="Tahoma"/>
              </w:rPr>
            </w:pPr>
            <w:r>
              <w:rPr>
                <w:rFonts w:cs="Tahoma"/>
              </w:rPr>
              <w:t>Bosentan/</w:t>
            </w:r>
            <w:r w:rsidR="0075777C" w:rsidRPr="00822C52">
              <w:rPr>
                <w:rFonts w:cs="Tahoma"/>
              </w:rPr>
              <w:t>sildenafil</w:t>
            </w:r>
          </w:p>
        </w:tc>
        <w:tc>
          <w:tcPr>
            <w:tcW w:w="2127" w:type="dxa"/>
            <w:tcBorders>
              <w:bottom w:val="single" w:sz="4" w:space="0" w:color="auto"/>
            </w:tcBorders>
          </w:tcPr>
          <w:p w:rsidR="0075777C" w:rsidRPr="00822C52" w:rsidRDefault="0075777C" w:rsidP="00EC75B2">
            <w:pPr>
              <w:pStyle w:val="Tabletext"/>
              <w:rPr>
                <w:rFonts w:cs="Tahoma"/>
              </w:rPr>
            </w:pPr>
            <w:r w:rsidRPr="00822C52">
              <w:rPr>
                <w:rFonts w:cs="Tahoma"/>
              </w:rPr>
              <w:t>EOS: mean 1</w:t>
            </w:r>
            <w:r w:rsidR="000801F8">
              <w:rPr>
                <w:rFonts w:cs="Tahoma"/>
              </w:rPr>
              <w:t>69</w:t>
            </w:r>
            <w:r w:rsidRPr="00822C52">
              <w:rPr>
                <w:rFonts w:cs="Tahoma"/>
              </w:rPr>
              <w:t xml:space="preserve"> weeks</w:t>
            </w:r>
          </w:p>
          <w:p w:rsidR="0075777C" w:rsidRPr="00822C52" w:rsidRDefault="0075777C" w:rsidP="00EC75B2">
            <w:pPr>
              <w:pStyle w:val="Tabletext"/>
              <w:rPr>
                <w:rFonts w:cs="Tahoma"/>
              </w:rPr>
            </w:pPr>
            <w:r w:rsidRPr="00822C52">
              <w:rPr>
                <w:rFonts w:cs="Tahoma"/>
              </w:rPr>
              <w:t>IPAH</w:t>
            </w:r>
            <w:r w:rsidR="00B923F1">
              <w:rPr>
                <w:rFonts w:cs="Tahoma"/>
              </w:rPr>
              <w:t>/HPAH</w:t>
            </w:r>
            <w:r w:rsidRPr="00822C52">
              <w:rPr>
                <w:rFonts w:cs="Tahoma"/>
              </w:rPr>
              <w:t xml:space="preserve"> or PAH-DT</w:t>
            </w:r>
          </w:p>
          <w:p w:rsidR="0075777C" w:rsidRPr="00822C52" w:rsidRDefault="0075777C" w:rsidP="00EC75B2">
            <w:pPr>
              <w:pStyle w:val="Tabletext"/>
            </w:pPr>
            <w:r w:rsidRPr="00822C52">
              <w:t>PAH-CTD</w:t>
            </w:r>
          </w:p>
          <w:p w:rsidR="0075777C" w:rsidRPr="00822C52" w:rsidRDefault="0075777C" w:rsidP="00EC75B2">
            <w:pPr>
              <w:pStyle w:val="Tabletext"/>
              <w:rPr>
                <w:rFonts w:cs="Tahoma"/>
              </w:rPr>
            </w:pPr>
            <w:r w:rsidRPr="00822C52">
              <w:rPr>
                <w:rFonts w:cs="Tahoma"/>
              </w:rPr>
              <w:t>PAH-CHD</w:t>
            </w:r>
          </w:p>
        </w:tc>
        <w:tc>
          <w:tcPr>
            <w:tcW w:w="1913" w:type="dxa"/>
            <w:tcBorders>
              <w:bottom w:val="single" w:sz="4" w:space="0" w:color="auto"/>
            </w:tcBorders>
          </w:tcPr>
          <w:p w:rsidR="0075777C" w:rsidRPr="00822C52" w:rsidRDefault="0075777C" w:rsidP="00EC75B2">
            <w:pPr>
              <w:pStyle w:val="Tabletext"/>
              <w:jc w:val="center"/>
              <w:rPr>
                <w:rFonts w:cs="Tahoma"/>
              </w:rPr>
            </w:pPr>
          </w:p>
          <w:p w:rsidR="0075777C" w:rsidRPr="00822C52" w:rsidRDefault="0075777C" w:rsidP="00EC75B2">
            <w:pPr>
              <w:pStyle w:val="Tabletext"/>
              <w:jc w:val="center"/>
              <w:rPr>
                <w:rFonts w:cs="Tahoma"/>
              </w:rPr>
            </w:pPr>
            <w:r w:rsidRPr="00822C52">
              <w:rPr>
                <w:rFonts w:cs="Tahoma"/>
              </w:rPr>
              <w:t>44/107 (41%)</w:t>
            </w:r>
          </w:p>
          <w:p w:rsidR="0075777C" w:rsidRPr="00822C52" w:rsidRDefault="0075777C" w:rsidP="00EC75B2">
            <w:pPr>
              <w:pStyle w:val="Tabletext"/>
              <w:jc w:val="center"/>
              <w:rPr>
                <w:rFonts w:cs="Tahoma"/>
              </w:rPr>
            </w:pPr>
            <w:r w:rsidRPr="00822C52">
              <w:rPr>
                <w:rFonts w:cs="Tahoma"/>
              </w:rPr>
              <w:t>22/43 (51%)</w:t>
            </w:r>
          </w:p>
          <w:p w:rsidR="0075777C" w:rsidRPr="00822C52" w:rsidRDefault="0075777C" w:rsidP="00EC75B2">
            <w:pPr>
              <w:pStyle w:val="Tabletext"/>
              <w:jc w:val="center"/>
              <w:rPr>
                <w:rFonts w:cs="Tahoma"/>
              </w:rPr>
            </w:pPr>
            <w:r w:rsidRPr="00822C52">
              <w:rPr>
                <w:rFonts w:cs="Tahoma"/>
              </w:rPr>
              <w:t>2/9 (22%)</w:t>
            </w:r>
          </w:p>
        </w:tc>
        <w:tc>
          <w:tcPr>
            <w:tcW w:w="1914" w:type="dxa"/>
            <w:tcBorders>
              <w:bottom w:val="single" w:sz="4" w:space="0" w:color="auto"/>
            </w:tcBorders>
          </w:tcPr>
          <w:p w:rsidR="0075777C" w:rsidRPr="00822C52" w:rsidRDefault="0075777C" w:rsidP="00EC75B2">
            <w:pPr>
              <w:pStyle w:val="Tabletext"/>
              <w:jc w:val="center"/>
              <w:rPr>
                <w:rFonts w:cs="Tahoma"/>
              </w:rPr>
            </w:pPr>
          </w:p>
          <w:p w:rsidR="0075777C" w:rsidRPr="00822C52" w:rsidRDefault="0075777C" w:rsidP="00EC75B2">
            <w:pPr>
              <w:pStyle w:val="Tabletext"/>
              <w:jc w:val="center"/>
              <w:rPr>
                <w:rFonts w:cs="Tahoma"/>
              </w:rPr>
            </w:pPr>
            <w:r w:rsidRPr="00822C52">
              <w:rPr>
                <w:rFonts w:cs="Tahoma"/>
              </w:rPr>
              <w:t>60/119 (50%)</w:t>
            </w:r>
          </w:p>
          <w:p w:rsidR="0075777C" w:rsidRPr="00822C52" w:rsidRDefault="0075777C" w:rsidP="00EC75B2">
            <w:pPr>
              <w:pStyle w:val="Tabletext"/>
              <w:jc w:val="center"/>
              <w:rPr>
                <w:rFonts w:cs="Tahoma"/>
              </w:rPr>
            </w:pPr>
            <w:r w:rsidRPr="00822C52">
              <w:rPr>
                <w:rFonts w:cs="Tahoma"/>
              </w:rPr>
              <w:t>26/45 (58%)</w:t>
            </w:r>
          </w:p>
          <w:p w:rsidR="0075777C" w:rsidRPr="00822C52" w:rsidRDefault="0075777C" w:rsidP="00EC75B2">
            <w:pPr>
              <w:pStyle w:val="Tabletext"/>
              <w:jc w:val="center"/>
              <w:rPr>
                <w:rFonts w:cs="Tahoma"/>
                <w:highlight w:val="cyan"/>
              </w:rPr>
            </w:pPr>
            <w:r w:rsidRPr="00822C52">
              <w:rPr>
                <w:rFonts w:cs="Tahoma"/>
              </w:rPr>
              <w:t>4/11 (36%)</w:t>
            </w:r>
          </w:p>
        </w:tc>
        <w:tc>
          <w:tcPr>
            <w:tcW w:w="1984" w:type="dxa"/>
            <w:tcBorders>
              <w:bottom w:val="single" w:sz="4" w:space="0" w:color="auto"/>
            </w:tcBorders>
          </w:tcPr>
          <w:p w:rsidR="0075777C" w:rsidRPr="00822C52" w:rsidRDefault="0075777C" w:rsidP="00EC75B2">
            <w:pPr>
              <w:pStyle w:val="Tabletext"/>
              <w:rPr>
                <w:rFonts w:cs="Tahoma"/>
              </w:rPr>
            </w:pPr>
          </w:p>
          <w:p w:rsidR="0075777C" w:rsidRPr="00822C52" w:rsidRDefault="0075777C" w:rsidP="00EC75B2">
            <w:pPr>
              <w:pStyle w:val="Tabletext"/>
              <w:rPr>
                <w:rFonts w:cs="Tahoma"/>
              </w:rPr>
            </w:pPr>
            <w:r w:rsidRPr="00822C52">
              <w:rPr>
                <w:rFonts w:cs="Tahoma"/>
              </w:rPr>
              <w:t>0.82 (0.55, 1.21)</w:t>
            </w:r>
          </w:p>
          <w:p w:rsidR="0075777C" w:rsidRPr="00822C52" w:rsidRDefault="0075777C" w:rsidP="00EC75B2">
            <w:pPr>
              <w:pStyle w:val="Tabletext"/>
              <w:rPr>
                <w:rFonts w:cs="Tahoma"/>
              </w:rPr>
            </w:pPr>
            <w:r w:rsidRPr="00822C52">
              <w:rPr>
                <w:rFonts w:cs="Tahoma"/>
              </w:rPr>
              <w:t>0.90 (0.51, 1.60)</w:t>
            </w:r>
          </w:p>
          <w:p w:rsidR="0075777C" w:rsidRPr="00822C52" w:rsidRDefault="0075777C" w:rsidP="00EC75B2">
            <w:pPr>
              <w:pStyle w:val="Tabletext"/>
              <w:rPr>
                <w:rFonts w:cs="Tahoma"/>
                <w:highlight w:val="cyan"/>
              </w:rPr>
            </w:pPr>
            <w:r w:rsidRPr="00822C52">
              <w:rPr>
                <w:rFonts w:cs="Tahoma"/>
              </w:rPr>
              <w:t>0.57 (0.10, 3.17)</w:t>
            </w:r>
          </w:p>
        </w:tc>
      </w:tr>
      <w:tr w:rsidR="0075777C" w:rsidRPr="00822C52" w:rsidTr="00EC75B2">
        <w:trPr>
          <w:trHeight w:val="70"/>
        </w:trPr>
        <w:tc>
          <w:tcPr>
            <w:tcW w:w="1696" w:type="dxa"/>
            <w:tcBorders>
              <w:top w:val="single" w:sz="4" w:space="0" w:color="auto"/>
            </w:tcBorders>
          </w:tcPr>
          <w:p w:rsidR="0075777C" w:rsidRPr="00822C52" w:rsidRDefault="0075777C" w:rsidP="00EC75B2">
            <w:pPr>
              <w:pStyle w:val="Tabletext"/>
              <w:rPr>
                <w:rFonts w:cs="Tahoma"/>
              </w:rPr>
            </w:pPr>
            <w:r w:rsidRPr="00822C52">
              <w:rPr>
                <w:rFonts w:cs="Tahoma"/>
              </w:rPr>
              <w:t>AMBITION</w:t>
            </w:r>
            <w:r w:rsidR="001D34EE" w:rsidRPr="001A1C44">
              <w:rPr>
                <w:rFonts w:cs="Tahoma"/>
                <w:noProof/>
                <w:vertAlign w:val="superscript"/>
              </w:rPr>
              <w:t>31</w:t>
            </w:r>
          </w:p>
          <w:p w:rsidR="0075777C" w:rsidRPr="00822C52" w:rsidRDefault="00EC75B2" w:rsidP="00EC75B2">
            <w:pPr>
              <w:pStyle w:val="Tabletext"/>
              <w:rPr>
                <w:rFonts w:cs="Tahoma"/>
              </w:rPr>
            </w:pPr>
            <w:r>
              <w:rPr>
                <w:rFonts w:cs="Tahoma"/>
              </w:rPr>
              <w:t>Ambrisentan/</w:t>
            </w:r>
            <w:r w:rsidR="0075777C" w:rsidRPr="00822C52">
              <w:rPr>
                <w:rFonts w:cs="Tahoma"/>
              </w:rPr>
              <w:t>tadalafil</w:t>
            </w:r>
          </w:p>
        </w:tc>
        <w:tc>
          <w:tcPr>
            <w:tcW w:w="2127" w:type="dxa"/>
            <w:tcBorders>
              <w:top w:val="single" w:sz="4" w:space="0" w:color="auto"/>
            </w:tcBorders>
          </w:tcPr>
          <w:p w:rsidR="0075777C" w:rsidRPr="00822C52" w:rsidRDefault="0075777C" w:rsidP="00EC75B2">
            <w:pPr>
              <w:pStyle w:val="Tabletext"/>
              <w:rPr>
                <w:rFonts w:cs="Tahoma"/>
              </w:rPr>
            </w:pPr>
            <w:r w:rsidRPr="00822C52">
              <w:rPr>
                <w:rFonts w:cs="Tahoma"/>
              </w:rPr>
              <w:t>FAV: mean 74 weeks</w:t>
            </w:r>
          </w:p>
          <w:p w:rsidR="0075777C" w:rsidRPr="00822C52" w:rsidRDefault="0075777C" w:rsidP="00EC75B2">
            <w:pPr>
              <w:pStyle w:val="Tabletext"/>
              <w:rPr>
                <w:rFonts w:cs="Tahoma"/>
              </w:rPr>
            </w:pPr>
            <w:r w:rsidRPr="00822C52">
              <w:rPr>
                <w:rFonts w:cs="Tahoma"/>
              </w:rPr>
              <w:t>PAH-CTD</w:t>
            </w:r>
          </w:p>
        </w:tc>
        <w:tc>
          <w:tcPr>
            <w:tcW w:w="1913" w:type="dxa"/>
            <w:tcBorders>
              <w:top w:val="single" w:sz="4" w:space="0" w:color="auto"/>
            </w:tcBorders>
          </w:tcPr>
          <w:p w:rsidR="0075777C" w:rsidRPr="00822C52" w:rsidRDefault="0075777C" w:rsidP="00EC75B2">
            <w:pPr>
              <w:pStyle w:val="Tabletext"/>
              <w:jc w:val="center"/>
              <w:rPr>
                <w:rFonts w:cs="Tahoma"/>
              </w:rPr>
            </w:pPr>
          </w:p>
          <w:p w:rsidR="0075777C" w:rsidRPr="00822C52" w:rsidRDefault="0075777C" w:rsidP="00EC75B2">
            <w:pPr>
              <w:pStyle w:val="Tabletext"/>
              <w:jc w:val="center"/>
              <w:rPr>
                <w:rFonts w:cs="Tahoma"/>
              </w:rPr>
            </w:pPr>
            <w:r w:rsidRPr="00822C52">
              <w:rPr>
                <w:rFonts w:cs="Tahoma"/>
              </w:rPr>
              <w:t>20/103 (19%)</w:t>
            </w:r>
          </w:p>
        </w:tc>
        <w:tc>
          <w:tcPr>
            <w:tcW w:w="1914" w:type="dxa"/>
            <w:tcBorders>
              <w:top w:val="single" w:sz="4" w:space="0" w:color="auto"/>
            </w:tcBorders>
          </w:tcPr>
          <w:p w:rsidR="0075777C" w:rsidRPr="00822C52" w:rsidRDefault="0075777C" w:rsidP="00EC75B2">
            <w:pPr>
              <w:pStyle w:val="Tabletext"/>
              <w:jc w:val="center"/>
              <w:rPr>
                <w:rFonts w:cs="Tahoma"/>
              </w:rPr>
            </w:pPr>
          </w:p>
          <w:p w:rsidR="0075777C" w:rsidRPr="00822C52" w:rsidRDefault="0075777C" w:rsidP="00EC75B2">
            <w:pPr>
              <w:pStyle w:val="Tabletext"/>
              <w:jc w:val="center"/>
              <w:rPr>
                <w:rFonts w:cs="Tahoma"/>
              </w:rPr>
            </w:pPr>
            <w:r w:rsidRPr="00822C52">
              <w:rPr>
                <w:rFonts w:cs="Tahoma"/>
              </w:rPr>
              <w:t>NR/40</w:t>
            </w:r>
          </w:p>
        </w:tc>
        <w:tc>
          <w:tcPr>
            <w:tcW w:w="1984" w:type="dxa"/>
            <w:tcBorders>
              <w:top w:val="single" w:sz="4" w:space="0" w:color="auto"/>
            </w:tcBorders>
          </w:tcPr>
          <w:p w:rsidR="0075777C" w:rsidRPr="00822C52" w:rsidRDefault="0075777C" w:rsidP="00EC75B2">
            <w:pPr>
              <w:pStyle w:val="Tabletext"/>
              <w:rPr>
                <w:rFonts w:cs="Tahoma"/>
              </w:rPr>
            </w:pPr>
          </w:p>
          <w:p w:rsidR="0075777C" w:rsidRPr="00822C52" w:rsidRDefault="0075777C" w:rsidP="00EC75B2">
            <w:pPr>
              <w:pStyle w:val="Tabletext"/>
              <w:rPr>
                <w:rFonts w:cs="Tahoma"/>
              </w:rPr>
            </w:pPr>
            <w:r w:rsidRPr="00822C52">
              <w:rPr>
                <w:rFonts w:cs="Tahoma"/>
              </w:rPr>
              <w:t>0.40 (0.20, 0.77)</w:t>
            </w:r>
          </w:p>
        </w:tc>
      </w:tr>
    </w:tbl>
    <w:p w:rsidR="0075777C" w:rsidRDefault="0075777C" w:rsidP="00EC75B2">
      <w:pPr>
        <w:pStyle w:val="Tablenote"/>
      </w:pPr>
      <w:r w:rsidRPr="00822C52">
        <w:t xml:space="preserve">CI = confidence interval; EOS = end of study; ERA = endothelin receptor antagonist; FAV = final assessment visit; </w:t>
      </w:r>
      <w:r w:rsidR="00B923F1">
        <w:t xml:space="preserve">HPAH = heritable PAH; </w:t>
      </w:r>
      <w:r w:rsidRPr="00822C52">
        <w:t>HR = hazard ratio; I</w:t>
      </w:r>
      <w:r w:rsidR="00B923F1">
        <w:t>PA</w:t>
      </w:r>
      <w:r w:rsidRPr="00822C52">
        <w:t xml:space="preserve">H = idiopathic </w:t>
      </w:r>
      <w:r w:rsidR="00B923F1">
        <w:t>PAH</w:t>
      </w:r>
      <w:r w:rsidRPr="00822C52">
        <w:t xml:space="preserve">; n = number of </w:t>
      </w:r>
      <w:r w:rsidR="00D3683E">
        <w:t xml:space="preserve">patients with </w:t>
      </w:r>
      <w:r w:rsidRPr="00822C52">
        <w:t xml:space="preserve">events; N = number of patients; NR = not reported; PAH = pulmonary arterial hypertension; </w:t>
      </w:r>
      <w:r w:rsidR="00B923F1">
        <w:t>PAH-</w:t>
      </w:r>
      <w:r w:rsidR="00B923F1" w:rsidRPr="00822C52">
        <w:t xml:space="preserve">CHD = </w:t>
      </w:r>
      <w:r w:rsidR="00B923F1">
        <w:t xml:space="preserve">PAH associated with </w:t>
      </w:r>
      <w:r w:rsidR="00B923F1" w:rsidRPr="00822C52">
        <w:t xml:space="preserve">congenital heart disease; </w:t>
      </w:r>
      <w:r w:rsidR="00B923F1">
        <w:t>PAH-</w:t>
      </w:r>
      <w:r w:rsidR="00B923F1" w:rsidRPr="00822C52">
        <w:t xml:space="preserve">CTD = </w:t>
      </w:r>
      <w:r w:rsidR="00B923F1">
        <w:t xml:space="preserve">PAH associated with </w:t>
      </w:r>
      <w:r w:rsidR="00B923F1" w:rsidRPr="00822C52">
        <w:t xml:space="preserve">connective tissue disease; </w:t>
      </w:r>
      <w:r w:rsidR="009B47AA" w:rsidRPr="009B47AA">
        <w:t xml:space="preserve">PAH-DT = drug/toxin-induced pulmonary arterial hypertension; </w:t>
      </w:r>
      <w:r>
        <w:t xml:space="preserve">PDE-5i </w:t>
      </w:r>
      <w:r w:rsidRPr="00822C52">
        <w:t>= phosphodiesterase type-5 inhibitor</w:t>
      </w:r>
    </w:p>
    <w:p w:rsidR="0075777C" w:rsidRDefault="0075777C" w:rsidP="007E3E71">
      <w:pPr>
        <w:spacing w:after="40" w:line="240" w:lineRule="auto"/>
      </w:pPr>
      <w:r>
        <w:rPr>
          <w:noProof/>
          <w:lang w:eastAsia="en-AU"/>
        </w:rPr>
        <w:drawing>
          <wp:inline distT="0" distB="0" distL="0" distR="0" wp14:anchorId="0D05D55F" wp14:editId="33D759AE">
            <wp:extent cx="6107373" cy="2503434"/>
            <wp:effectExtent l="0" t="0" r="8255" b="0"/>
            <wp:docPr id="48" name="Picture 48" descr="The estimated HR from the meta-analysis was 0.59 (95% CI 0.12, 1.07)" title="Forest plot showing the HR of experiencing clinical worsening with an ERA and a PDE-5 inhibitor compared with PDE-5 inhibitor alone in patients with PAH-C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6282840" cy="2575359"/>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DD7790" w:rsidRDefault="00EC75B2" w:rsidP="00BC5A2B">
      <w:pPr>
        <w:pStyle w:val="Caption"/>
        <w:rPr>
          <w:rFonts w:ascii="Arial Narrow" w:hAnsi="Arial Narrow" w:cs="Tahoma"/>
          <w:u w:val="single"/>
        </w:rPr>
      </w:pPr>
      <w:bookmarkStart w:id="155" w:name="_Ref506477287"/>
      <w:bookmarkStart w:id="156" w:name="_Toc512855582"/>
      <w:r>
        <w:t>Figure 4.</w:t>
      </w:r>
      <w:r w:rsidR="00AA722D">
        <w:rPr>
          <w:noProof/>
        </w:rPr>
        <w:t>9</w:t>
      </w:r>
      <w:bookmarkEnd w:id="155"/>
      <w:r>
        <w:tab/>
      </w:r>
      <w:r w:rsidR="0075777C" w:rsidRPr="00DD7790">
        <w:t xml:space="preserve">Forest plot showing the </w:t>
      </w:r>
      <w:r w:rsidR="0075777C">
        <w:t>H</w:t>
      </w:r>
      <w:r w:rsidR="0075777C" w:rsidRPr="00DD7790">
        <w:t xml:space="preserve">R of </w:t>
      </w:r>
      <w:r>
        <w:t>experiencing</w:t>
      </w:r>
      <w:r w:rsidR="0075777C" w:rsidRPr="00DD7790">
        <w:t xml:space="preserve"> clinical worsening with an ERA and a PDE-5 inhibitor compared with PDE-5 inhibitor alone in patients</w:t>
      </w:r>
      <w:r w:rsidR="0075777C" w:rsidRPr="0015525F">
        <w:t xml:space="preserve"> with </w:t>
      </w:r>
      <w:r w:rsidR="0075777C">
        <w:t>PAH-CTD</w:t>
      </w:r>
      <w:bookmarkEnd w:id="156"/>
    </w:p>
    <w:p w:rsidR="0075777C" w:rsidRPr="00822C52" w:rsidRDefault="0075777C" w:rsidP="00EC75B2">
      <w:pPr>
        <w:pStyle w:val="Tablenote"/>
      </w:pPr>
      <w:r w:rsidRPr="00822C52">
        <w:t xml:space="preserve">CI = confidence interval; ERA = </w:t>
      </w:r>
      <w:r w:rsidR="0006512A">
        <w:t>endothelin receptor</w:t>
      </w:r>
      <w:r w:rsidRPr="00822C52">
        <w:t xml:space="preserve"> antagonists; </w:t>
      </w:r>
      <w:r>
        <w:t>H</w:t>
      </w:r>
      <w:r w:rsidRPr="00822C52">
        <w:t xml:space="preserve">R = </w:t>
      </w:r>
      <w:r>
        <w:t>hazard ratio;</w:t>
      </w:r>
      <w:r w:rsidRPr="00822C52">
        <w:t xml:space="preserve"> N = number of patients;</w:t>
      </w:r>
      <w:r w:rsidR="00B923F1" w:rsidRPr="00B923F1">
        <w:t xml:space="preserve"> PAH-CTD = </w:t>
      </w:r>
      <w:r w:rsidR="00B923F1">
        <w:t>pulmonary arterial hypertension</w:t>
      </w:r>
      <w:r w:rsidR="00B923F1" w:rsidRPr="00B923F1">
        <w:t xml:space="preserve"> associated with connective tissue disease; </w:t>
      </w:r>
      <w:r>
        <w:t>PDE-5i</w:t>
      </w:r>
      <w:r w:rsidRPr="00822C52">
        <w:t xml:space="preserve"> = phosp</w:t>
      </w:r>
      <w:r>
        <w:t>hodiesterase type-5 inhibitor</w:t>
      </w:r>
    </w:p>
    <w:p w:rsidR="0075777C" w:rsidRPr="00822C52" w:rsidRDefault="0077344D" w:rsidP="0075777C">
      <w:pPr>
        <w:pStyle w:val="Heading5"/>
      </w:pPr>
      <w:r>
        <w:t>b.</w:t>
      </w:r>
      <w:r w:rsidR="0066218C">
        <w:tab/>
      </w:r>
      <w:r w:rsidR="00C828F9">
        <w:t>All-cause m</w:t>
      </w:r>
      <w:r w:rsidR="00C828F9" w:rsidRPr="006316DF">
        <w:t>ortality</w:t>
      </w:r>
    </w:p>
    <w:p w:rsidR="0075777C" w:rsidRPr="00B607A5" w:rsidRDefault="0077344D" w:rsidP="0077344D">
      <w:pPr>
        <w:pStyle w:val="Heading6"/>
      </w:pPr>
      <w:r w:rsidRPr="00B607A5">
        <w:t>b</w:t>
      </w:r>
      <w:r w:rsidR="0075777C" w:rsidRPr="00B607A5">
        <w:t>.i</w:t>
      </w:r>
      <w:r w:rsidR="0075777C" w:rsidRPr="00B607A5">
        <w:tab/>
        <w:t>PAH patients, irrespective of disease severity or aetiology</w:t>
      </w:r>
    </w:p>
    <w:p w:rsidR="0075777C" w:rsidRPr="00822C52" w:rsidRDefault="0075777C" w:rsidP="0075777C">
      <w:r w:rsidRPr="00822C52">
        <w:t xml:space="preserve">All four RCTs reported on the proportion of PAH patients, irrespective of disease severity or aetiology, who died while taking both an ERA and a </w:t>
      </w:r>
      <w:r>
        <w:t>PDE-5 inhibitor</w:t>
      </w:r>
      <w:r w:rsidRPr="00822C52">
        <w:t xml:space="preserve"> compared with a placebo plus a </w:t>
      </w:r>
      <w:r>
        <w:t>PDE-5 inhibitor</w:t>
      </w:r>
      <w:r w:rsidRPr="00822C52">
        <w:t xml:space="preserve"> (</w:t>
      </w:r>
      <w:r w:rsidR="00AA722D">
        <w:t>Table 4.</w:t>
      </w:r>
      <w:r w:rsidR="00AA722D">
        <w:rPr>
          <w:noProof/>
        </w:rPr>
        <w:t>47</w:t>
      </w:r>
      <w:r w:rsidRPr="00822C52">
        <w:t xml:space="preserve">). In the EARLY trial, </w:t>
      </w:r>
      <w:r w:rsidR="00A17B9D">
        <w:rPr>
          <w:noProof/>
          <w:color w:val="000000"/>
          <w:highlight w:val="black"/>
        </w:rPr>
        <w:t>'''''''' ''''''' '''''''''''''' ''''''''''''''''''' '''''''''''''''''' '''''''' '''''''''''''''''''</w:t>
      </w:r>
      <w:r w:rsidRPr="00822C52">
        <w:t xml:space="preserve"> died over the 26-week study period, and a HR was not reported. </w:t>
      </w:r>
      <w:r w:rsidR="00A17B9D">
        <w:rPr>
          <w:noProof/>
          <w:color w:val="000000"/>
          <w:highlight w:val="black"/>
        </w:rPr>
        <w:t xml:space="preserve">'''''''' '''''''' '''''''''''''''' '''''' '''''' ''''''''''''''''''' ''''''''''' '''''''''' '''''''''''''' ''' '''''''' '''' ''''''''''''''''' ''''''''''''''''''''''' ''''''''''''''''''' ''''''' ''''''''''' ''' ''''' </w:t>
      </w:r>
      <w:r w:rsidR="00A17B9D">
        <w:rPr>
          <w:noProof/>
          <w:color w:val="000000"/>
          <w:highlight w:val="black"/>
        </w:rPr>
        <w:lastRenderedPageBreak/>
        <w:t>''''''''''''''' ''''''''''''' ''''''''''' ''''''''''' ''''''''''''''''''' '''''''''''''''''' ''''''''''''''''''''''' ''''''''''''' ''''''''' ''''''''''' ''''''''''''''' '''''''''''''''''''''''''' ''''''''''''' '''''' '''''''''' '''''''''''''''''</w:t>
      </w:r>
      <w:r w:rsidRPr="00822C52">
        <w:t xml:space="preserve"> </w:t>
      </w:r>
    </w:p>
    <w:p w:rsidR="0075777C" w:rsidRPr="00DD7790" w:rsidRDefault="00272F8F" w:rsidP="00BC5A2B">
      <w:pPr>
        <w:pStyle w:val="Caption"/>
      </w:pPr>
      <w:bookmarkStart w:id="157" w:name="_Ref503277868"/>
      <w:bookmarkStart w:id="158" w:name="_Toc512855451"/>
      <w:r>
        <w:t>Table 4.</w:t>
      </w:r>
      <w:r w:rsidR="00AA722D">
        <w:rPr>
          <w:noProof/>
        </w:rPr>
        <w:t>47</w:t>
      </w:r>
      <w:bookmarkEnd w:id="157"/>
      <w:r w:rsidR="00EC75B2">
        <w:tab/>
      </w:r>
      <w:r w:rsidR="0075777C" w:rsidRPr="00DD7790">
        <w:t xml:space="preserve">Mortality rates for </w:t>
      </w:r>
      <w:r w:rsidR="00EB768B">
        <w:t xml:space="preserve">an </w:t>
      </w:r>
      <w:r w:rsidR="00EB768B" w:rsidRPr="00A32D31">
        <w:t xml:space="preserve">ERA </w:t>
      </w:r>
      <w:r w:rsidR="00385078">
        <w:t>in addition to</w:t>
      </w:r>
      <w:r w:rsidR="00385078" w:rsidRPr="00A32D31">
        <w:t xml:space="preserve"> </w:t>
      </w:r>
      <w:r w:rsidR="00385078">
        <w:t xml:space="preserve">a </w:t>
      </w:r>
      <w:r w:rsidR="00385078" w:rsidRPr="00A32D31">
        <w:t xml:space="preserve">PDE-5 inhibitor compared with PDE-5 inhibitor </w:t>
      </w:r>
      <w:r w:rsidR="00385078">
        <w:t>monotherapy</w:t>
      </w:r>
      <w:r w:rsidR="0075777C" w:rsidRPr="00DD7790">
        <w:t xml:space="preserve"> in all PAH patients</w:t>
      </w:r>
      <w:bookmarkEnd w:id="158"/>
    </w:p>
    <w:tbl>
      <w:tblPr>
        <w:tblStyle w:val="TableGrid7"/>
        <w:tblW w:w="9634" w:type="dxa"/>
        <w:tblLayout w:type="fixed"/>
        <w:tblLook w:val="04A0" w:firstRow="1" w:lastRow="0" w:firstColumn="1" w:lastColumn="0" w:noHBand="0" w:noVBand="1"/>
        <w:tblCaption w:val="Mortality rates for an ERA in addition to a PDE-5 inhibitor compared with PDE-5 inhibitor monotherapy in all PAH patients"/>
      </w:tblPr>
      <w:tblGrid>
        <w:gridCol w:w="1413"/>
        <w:gridCol w:w="2551"/>
        <w:gridCol w:w="1630"/>
        <w:gridCol w:w="1631"/>
        <w:gridCol w:w="2409"/>
      </w:tblGrid>
      <w:tr w:rsidR="0075777C" w:rsidRPr="00822C52" w:rsidTr="00EC75B2">
        <w:trPr>
          <w:trHeight w:val="160"/>
          <w:tblHeader/>
        </w:trPr>
        <w:tc>
          <w:tcPr>
            <w:tcW w:w="1413" w:type="dxa"/>
            <w:vMerge w:val="restart"/>
            <w:shd w:val="clear" w:color="auto" w:fill="BFBFBF" w:themeFill="background1" w:themeFillShade="BF"/>
          </w:tcPr>
          <w:p w:rsidR="0075777C" w:rsidRPr="00EC75B2" w:rsidRDefault="0075777C" w:rsidP="00EC75B2">
            <w:pPr>
              <w:pStyle w:val="Tabletext"/>
              <w:rPr>
                <w:b/>
              </w:rPr>
            </w:pPr>
            <w:r w:rsidRPr="00EC75B2">
              <w:rPr>
                <w:b/>
              </w:rPr>
              <w:t>Study ID</w:t>
            </w:r>
          </w:p>
        </w:tc>
        <w:tc>
          <w:tcPr>
            <w:tcW w:w="2551" w:type="dxa"/>
            <w:vMerge w:val="restart"/>
            <w:shd w:val="clear" w:color="auto" w:fill="BFBFBF" w:themeFill="background1" w:themeFillShade="BF"/>
          </w:tcPr>
          <w:p w:rsidR="0075777C" w:rsidRPr="00EC75B2" w:rsidRDefault="0075777C" w:rsidP="00EC75B2">
            <w:pPr>
              <w:pStyle w:val="Tabletext"/>
              <w:rPr>
                <w:b/>
              </w:rPr>
            </w:pPr>
            <w:r w:rsidRPr="00EC75B2">
              <w:rPr>
                <w:b/>
              </w:rPr>
              <w:t>ERA/PDE-5i</w:t>
            </w:r>
          </w:p>
          <w:p w:rsidR="0075777C" w:rsidRPr="00EC75B2" w:rsidRDefault="0075777C" w:rsidP="00EC75B2">
            <w:pPr>
              <w:pStyle w:val="Tabletext"/>
              <w:rPr>
                <w:b/>
              </w:rPr>
            </w:pPr>
            <w:r w:rsidRPr="00EC75B2">
              <w:rPr>
                <w:b/>
              </w:rPr>
              <w:t>Follow-up period</w:t>
            </w:r>
          </w:p>
        </w:tc>
        <w:tc>
          <w:tcPr>
            <w:tcW w:w="3261" w:type="dxa"/>
            <w:gridSpan w:val="2"/>
            <w:shd w:val="clear" w:color="auto" w:fill="BFBFBF" w:themeFill="background1" w:themeFillShade="BF"/>
          </w:tcPr>
          <w:p w:rsidR="0075777C" w:rsidRPr="00EC75B2" w:rsidRDefault="0075777C" w:rsidP="00EC75B2">
            <w:pPr>
              <w:pStyle w:val="Tabletext"/>
              <w:jc w:val="center"/>
              <w:rPr>
                <w:b/>
              </w:rPr>
            </w:pPr>
            <w:r w:rsidRPr="00EC75B2">
              <w:rPr>
                <w:b/>
              </w:rPr>
              <w:t>n/N (%)</w:t>
            </w:r>
          </w:p>
        </w:tc>
        <w:tc>
          <w:tcPr>
            <w:tcW w:w="2409" w:type="dxa"/>
            <w:vMerge w:val="restart"/>
            <w:shd w:val="clear" w:color="auto" w:fill="BFBFBF" w:themeFill="background1" w:themeFillShade="BF"/>
          </w:tcPr>
          <w:p w:rsidR="0075777C" w:rsidRPr="00EC75B2" w:rsidRDefault="0075777C" w:rsidP="00EC75B2">
            <w:pPr>
              <w:pStyle w:val="Tabletext"/>
              <w:rPr>
                <w:b/>
              </w:rPr>
            </w:pPr>
            <w:r w:rsidRPr="00EC75B2">
              <w:rPr>
                <w:b/>
              </w:rPr>
              <w:t>HR (95% CI)</w:t>
            </w:r>
          </w:p>
        </w:tc>
      </w:tr>
      <w:tr w:rsidR="0075777C" w:rsidRPr="00822C52" w:rsidTr="00EC75B2">
        <w:trPr>
          <w:trHeight w:val="202"/>
          <w:tblHeader/>
        </w:trPr>
        <w:tc>
          <w:tcPr>
            <w:tcW w:w="1413" w:type="dxa"/>
            <w:vMerge/>
            <w:shd w:val="clear" w:color="auto" w:fill="BFBFBF" w:themeFill="background1" w:themeFillShade="BF"/>
          </w:tcPr>
          <w:p w:rsidR="0075777C" w:rsidRPr="00822C52" w:rsidRDefault="0075777C" w:rsidP="00EC75B2">
            <w:pPr>
              <w:pStyle w:val="Tabletext"/>
            </w:pPr>
          </w:p>
        </w:tc>
        <w:tc>
          <w:tcPr>
            <w:tcW w:w="2551" w:type="dxa"/>
            <w:vMerge/>
            <w:shd w:val="clear" w:color="auto" w:fill="BFBFBF" w:themeFill="background1" w:themeFillShade="BF"/>
          </w:tcPr>
          <w:p w:rsidR="0075777C" w:rsidRPr="00822C52" w:rsidRDefault="0075777C" w:rsidP="00EC75B2">
            <w:pPr>
              <w:pStyle w:val="Tabletext"/>
            </w:pPr>
          </w:p>
        </w:tc>
        <w:tc>
          <w:tcPr>
            <w:tcW w:w="1630" w:type="dxa"/>
            <w:shd w:val="clear" w:color="auto" w:fill="BFBFBF" w:themeFill="background1" w:themeFillShade="BF"/>
          </w:tcPr>
          <w:p w:rsidR="0075777C" w:rsidRPr="00EC75B2" w:rsidRDefault="0075777C" w:rsidP="00EC75B2">
            <w:pPr>
              <w:pStyle w:val="Tabletext"/>
              <w:jc w:val="center"/>
              <w:rPr>
                <w:b/>
              </w:rPr>
            </w:pPr>
            <w:r w:rsidRPr="00EC75B2">
              <w:rPr>
                <w:b/>
              </w:rPr>
              <w:t>ERA + PDE-5i</w:t>
            </w:r>
          </w:p>
        </w:tc>
        <w:tc>
          <w:tcPr>
            <w:tcW w:w="1631" w:type="dxa"/>
            <w:shd w:val="clear" w:color="auto" w:fill="BFBFBF" w:themeFill="background1" w:themeFillShade="BF"/>
          </w:tcPr>
          <w:p w:rsidR="0075777C" w:rsidRPr="00EC75B2" w:rsidRDefault="0075777C" w:rsidP="00EC75B2">
            <w:pPr>
              <w:pStyle w:val="Tabletext"/>
              <w:jc w:val="center"/>
              <w:rPr>
                <w:b/>
              </w:rPr>
            </w:pPr>
            <w:r w:rsidRPr="00EC75B2">
              <w:rPr>
                <w:b/>
              </w:rPr>
              <w:t>PDE-5i</w:t>
            </w:r>
          </w:p>
        </w:tc>
        <w:tc>
          <w:tcPr>
            <w:tcW w:w="2409" w:type="dxa"/>
            <w:vMerge/>
            <w:shd w:val="clear" w:color="auto" w:fill="BFBFBF" w:themeFill="background1" w:themeFillShade="BF"/>
          </w:tcPr>
          <w:p w:rsidR="0075777C" w:rsidRPr="00822C52" w:rsidRDefault="0075777C" w:rsidP="00EC75B2">
            <w:pPr>
              <w:pStyle w:val="Tabletext"/>
            </w:pPr>
          </w:p>
        </w:tc>
      </w:tr>
      <w:tr w:rsidR="0075777C" w:rsidRPr="00822C52" w:rsidTr="00EC75B2">
        <w:trPr>
          <w:trHeight w:val="70"/>
        </w:trPr>
        <w:tc>
          <w:tcPr>
            <w:tcW w:w="1413" w:type="dxa"/>
          </w:tcPr>
          <w:p w:rsidR="0075777C" w:rsidRPr="00822C52" w:rsidRDefault="0075777C" w:rsidP="00EC75B2">
            <w:pPr>
              <w:pStyle w:val="Tabletext"/>
              <w:rPr>
                <w:rFonts w:cs="Tahoma"/>
              </w:rPr>
            </w:pPr>
            <w:r w:rsidRPr="00822C52">
              <w:rPr>
                <w:rFonts w:cs="Tahoma"/>
              </w:rPr>
              <w:t>EARLY CSR</w:t>
            </w:r>
          </w:p>
        </w:tc>
        <w:tc>
          <w:tcPr>
            <w:tcW w:w="2551" w:type="dxa"/>
          </w:tcPr>
          <w:p w:rsidR="0075777C" w:rsidRPr="00822C52" w:rsidRDefault="0075777C" w:rsidP="00EC75B2">
            <w:pPr>
              <w:pStyle w:val="Tabletext"/>
              <w:rPr>
                <w:rFonts w:cs="Tahoma"/>
              </w:rPr>
            </w:pPr>
            <w:r w:rsidRPr="00822C52">
              <w:rPr>
                <w:rFonts w:cs="Tahoma"/>
              </w:rPr>
              <w:t>Bosentan/sildenafil</w:t>
            </w:r>
          </w:p>
          <w:p w:rsidR="0075777C" w:rsidRPr="00822C52" w:rsidRDefault="0075777C" w:rsidP="00EC75B2">
            <w:pPr>
              <w:pStyle w:val="Tabletext"/>
              <w:rPr>
                <w:rFonts w:cs="Tahoma"/>
              </w:rPr>
            </w:pPr>
            <w:r w:rsidRPr="00822C52">
              <w:rPr>
                <w:rFonts w:cs="Tahoma"/>
              </w:rPr>
              <w:t>26 weeks</w:t>
            </w:r>
          </w:p>
        </w:tc>
        <w:tc>
          <w:tcPr>
            <w:tcW w:w="1630" w:type="dxa"/>
          </w:tcPr>
          <w:p w:rsidR="0075777C" w:rsidRPr="00A17B9D" w:rsidRDefault="00A17B9D" w:rsidP="00EC75B2">
            <w:pPr>
              <w:pStyle w:val="Tabletext"/>
              <w:jc w:val="center"/>
              <w:rPr>
                <w:rFonts w:cs="Tahoma"/>
                <w:highlight w:val="black"/>
              </w:rPr>
            </w:pPr>
            <w:r>
              <w:rPr>
                <w:rFonts w:cs="Tahoma"/>
                <w:noProof/>
                <w:color w:val="000000"/>
                <w:highlight w:val="black"/>
              </w:rPr>
              <w:t>'''''''''' '''''''''''''</w:t>
            </w:r>
          </w:p>
        </w:tc>
        <w:tc>
          <w:tcPr>
            <w:tcW w:w="1631" w:type="dxa"/>
          </w:tcPr>
          <w:p w:rsidR="0075777C" w:rsidRPr="00A17B9D" w:rsidRDefault="00A17B9D" w:rsidP="00EC75B2">
            <w:pPr>
              <w:pStyle w:val="Tabletext"/>
              <w:jc w:val="center"/>
              <w:rPr>
                <w:rFonts w:cs="Tahoma"/>
                <w:highlight w:val="black"/>
              </w:rPr>
            </w:pPr>
            <w:r>
              <w:rPr>
                <w:rFonts w:cs="Tahoma"/>
                <w:noProof/>
                <w:color w:val="000000"/>
                <w:highlight w:val="black"/>
              </w:rPr>
              <w:t>''''''''''' ''''''''''</w:t>
            </w:r>
          </w:p>
        </w:tc>
        <w:tc>
          <w:tcPr>
            <w:tcW w:w="2409" w:type="dxa"/>
          </w:tcPr>
          <w:p w:rsidR="0075777C" w:rsidRPr="00822C52" w:rsidRDefault="0075777C" w:rsidP="00EC75B2">
            <w:pPr>
              <w:pStyle w:val="Tabletext"/>
              <w:rPr>
                <w:rFonts w:cs="Tahoma"/>
                <w:highlight w:val="cyan"/>
              </w:rPr>
            </w:pPr>
            <w:r w:rsidRPr="00822C52">
              <w:rPr>
                <w:rFonts w:cs="Tahoma"/>
              </w:rPr>
              <w:t>NR</w:t>
            </w:r>
          </w:p>
        </w:tc>
      </w:tr>
      <w:tr w:rsidR="0075777C" w:rsidRPr="00822C52" w:rsidTr="00EC75B2">
        <w:trPr>
          <w:trHeight w:val="70"/>
        </w:trPr>
        <w:tc>
          <w:tcPr>
            <w:tcW w:w="1413" w:type="dxa"/>
          </w:tcPr>
          <w:p w:rsidR="0075777C" w:rsidRPr="00822C52" w:rsidRDefault="0075777C" w:rsidP="001D34EE">
            <w:pPr>
              <w:pStyle w:val="Tabletext"/>
              <w:rPr>
                <w:rFonts w:cs="Tahoma"/>
              </w:rPr>
            </w:pPr>
            <w:r w:rsidRPr="00822C52">
              <w:rPr>
                <w:rFonts w:cs="Tahoma"/>
              </w:rPr>
              <w:t>COMPASS-2</w:t>
            </w:r>
            <w:r w:rsidR="001D34EE" w:rsidRPr="001A1C44">
              <w:rPr>
                <w:rFonts w:cs="Tahoma"/>
                <w:noProof/>
                <w:vertAlign w:val="superscript"/>
              </w:rPr>
              <w:t>37</w:t>
            </w:r>
          </w:p>
        </w:tc>
        <w:tc>
          <w:tcPr>
            <w:tcW w:w="2551" w:type="dxa"/>
          </w:tcPr>
          <w:p w:rsidR="0075777C" w:rsidRPr="00822C52" w:rsidRDefault="0075777C" w:rsidP="00EC75B2">
            <w:pPr>
              <w:pStyle w:val="Tabletext"/>
              <w:rPr>
                <w:rFonts w:cs="Tahoma"/>
              </w:rPr>
            </w:pPr>
            <w:r w:rsidRPr="00822C52">
              <w:rPr>
                <w:rFonts w:cs="Tahoma"/>
              </w:rPr>
              <w:t>Bosentan/sildenafil</w:t>
            </w:r>
          </w:p>
          <w:p w:rsidR="0075777C" w:rsidRPr="00822C52" w:rsidRDefault="0075777C" w:rsidP="000801F8">
            <w:pPr>
              <w:pStyle w:val="Tabletext"/>
              <w:rPr>
                <w:rFonts w:cs="Tahoma"/>
              </w:rPr>
            </w:pPr>
            <w:r w:rsidRPr="00822C52">
              <w:rPr>
                <w:rFonts w:cs="Tahoma"/>
              </w:rPr>
              <w:t>EOS: mean 1</w:t>
            </w:r>
            <w:r w:rsidR="000801F8">
              <w:rPr>
                <w:rFonts w:cs="Tahoma"/>
              </w:rPr>
              <w:t>69</w:t>
            </w:r>
            <w:r w:rsidRPr="00822C52">
              <w:rPr>
                <w:rFonts w:cs="Tahoma"/>
              </w:rPr>
              <w:t xml:space="preserve"> weeks</w:t>
            </w:r>
          </w:p>
        </w:tc>
        <w:tc>
          <w:tcPr>
            <w:tcW w:w="1630" w:type="dxa"/>
          </w:tcPr>
          <w:p w:rsidR="0075777C" w:rsidRPr="00822C52" w:rsidRDefault="0075777C" w:rsidP="00EC75B2">
            <w:pPr>
              <w:pStyle w:val="Tabletext"/>
              <w:jc w:val="center"/>
              <w:rPr>
                <w:rFonts w:cs="Tahoma"/>
              </w:rPr>
            </w:pPr>
            <w:r w:rsidRPr="00822C52">
              <w:rPr>
                <w:rFonts w:cs="Tahoma"/>
              </w:rPr>
              <w:t>33/159 (21%)</w:t>
            </w:r>
          </w:p>
        </w:tc>
        <w:tc>
          <w:tcPr>
            <w:tcW w:w="1631" w:type="dxa"/>
          </w:tcPr>
          <w:p w:rsidR="0075777C" w:rsidRPr="00822C52" w:rsidRDefault="0075777C" w:rsidP="00EC75B2">
            <w:pPr>
              <w:pStyle w:val="Tabletext"/>
              <w:jc w:val="center"/>
              <w:rPr>
                <w:rFonts w:cs="Tahoma"/>
              </w:rPr>
            </w:pPr>
            <w:r w:rsidRPr="00822C52">
              <w:rPr>
                <w:rFonts w:cs="Tahoma"/>
              </w:rPr>
              <w:t>44/175 (25%)</w:t>
            </w:r>
          </w:p>
        </w:tc>
        <w:tc>
          <w:tcPr>
            <w:tcW w:w="2409" w:type="dxa"/>
          </w:tcPr>
          <w:p w:rsidR="0075777C" w:rsidRPr="00822C52" w:rsidRDefault="0075777C" w:rsidP="00EC75B2">
            <w:pPr>
              <w:pStyle w:val="Tabletext"/>
              <w:rPr>
                <w:rFonts w:cs="Tahoma"/>
              </w:rPr>
            </w:pPr>
            <w:r w:rsidRPr="00822C52">
              <w:rPr>
                <w:rFonts w:cs="Tahoma"/>
              </w:rPr>
              <w:t>0.86 (0.54, 1.34), p=0.4974</w:t>
            </w:r>
          </w:p>
        </w:tc>
      </w:tr>
      <w:tr w:rsidR="0075777C" w:rsidRPr="00822C52" w:rsidTr="00EC75B2">
        <w:trPr>
          <w:trHeight w:val="70"/>
        </w:trPr>
        <w:tc>
          <w:tcPr>
            <w:tcW w:w="1413" w:type="dxa"/>
          </w:tcPr>
          <w:p w:rsidR="0075777C" w:rsidRPr="00822C52" w:rsidRDefault="0075777C" w:rsidP="00EC75B2">
            <w:pPr>
              <w:pStyle w:val="Tabletext"/>
              <w:rPr>
                <w:rFonts w:cs="Tahoma"/>
              </w:rPr>
            </w:pPr>
            <w:r w:rsidRPr="00822C52">
              <w:rPr>
                <w:rFonts w:cs="Tahoma"/>
              </w:rPr>
              <w:t>SERAPHIN</w:t>
            </w:r>
            <w:r>
              <w:rPr>
                <w:rFonts w:cs="Tahoma"/>
              </w:rPr>
              <w:t xml:space="preserve"> </w:t>
            </w:r>
            <w:r w:rsidRPr="004D0C0E">
              <w:rPr>
                <w:rFonts w:cs="Tahoma"/>
                <w:vertAlign w:val="superscript"/>
              </w:rPr>
              <w:t>a</w:t>
            </w:r>
            <w:r w:rsidRPr="00822C52">
              <w:rPr>
                <w:rFonts w:cs="Tahoma"/>
              </w:rPr>
              <w:t>, March 2014 submission</w:t>
            </w:r>
          </w:p>
        </w:tc>
        <w:tc>
          <w:tcPr>
            <w:tcW w:w="2551" w:type="dxa"/>
          </w:tcPr>
          <w:p w:rsidR="0075777C" w:rsidRPr="00822C52" w:rsidRDefault="0075777C" w:rsidP="00EC75B2">
            <w:pPr>
              <w:pStyle w:val="Tabletext"/>
              <w:rPr>
                <w:rFonts w:cs="Tahoma"/>
              </w:rPr>
            </w:pPr>
            <w:r w:rsidRPr="00822C52">
              <w:rPr>
                <w:rFonts w:cs="Tahoma"/>
              </w:rPr>
              <w:t xml:space="preserve">Macitentan/any </w:t>
            </w:r>
            <w:r>
              <w:rPr>
                <w:rFonts w:cs="Tahoma"/>
              </w:rPr>
              <w:t>PDE-5</w:t>
            </w:r>
            <w:r w:rsidR="004F7BBE">
              <w:rPr>
                <w:rFonts w:cs="Tahoma"/>
              </w:rPr>
              <w:t>i</w:t>
            </w:r>
          </w:p>
          <w:p w:rsidR="0075777C" w:rsidRPr="00822C52" w:rsidRDefault="00123C1B" w:rsidP="00EC75B2">
            <w:pPr>
              <w:pStyle w:val="Tabletext"/>
              <w:rPr>
                <w:rFonts w:cs="Tahoma"/>
              </w:rPr>
            </w:pPr>
            <w:r>
              <w:rPr>
                <w:rFonts w:cs="Tahoma"/>
              </w:rPr>
              <w:t>EOS: median 129 weeks</w:t>
            </w:r>
          </w:p>
        </w:tc>
        <w:tc>
          <w:tcPr>
            <w:tcW w:w="1630" w:type="dxa"/>
          </w:tcPr>
          <w:p w:rsidR="0075777C" w:rsidRPr="00A17B9D" w:rsidRDefault="00A17B9D" w:rsidP="00123C1B">
            <w:pPr>
              <w:pStyle w:val="Tabletext"/>
              <w:jc w:val="center"/>
              <w:rPr>
                <w:rFonts w:cs="Tahoma"/>
                <w:highlight w:val="black"/>
              </w:rPr>
            </w:pPr>
            <w:r>
              <w:rPr>
                <w:rFonts w:cs="Tahoma"/>
                <w:noProof/>
                <w:color w:val="000000"/>
                <w:highlight w:val="black"/>
              </w:rPr>
              <w:t>'''''''''''''''' ''''''''''''''</w:t>
            </w:r>
          </w:p>
        </w:tc>
        <w:tc>
          <w:tcPr>
            <w:tcW w:w="1631" w:type="dxa"/>
          </w:tcPr>
          <w:p w:rsidR="0075777C" w:rsidRPr="00A17B9D" w:rsidRDefault="00A17B9D" w:rsidP="00123C1B">
            <w:pPr>
              <w:pStyle w:val="Tabletext"/>
              <w:jc w:val="center"/>
              <w:rPr>
                <w:rFonts w:cs="Tahoma"/>
                <w:highlight w:val="black"/>
              </w:rPr>
            </w:pPr>
            <w:r>
              <w:rPr>
                <w:rFonts w:cs="Tahoma"/>
                <w:noProof/>
                <w:color w:val="000000"/>
                <w:highlight w:val="black"/>
              </w:rPr>
              <w:t>''''''''''''''' ''''''''''''''</w:t>
            </w:r>
          </w:p>
        </w:tc>
        <w:tc>
          <w:tcPr>
            <w:tcW w:w="2409" w:type="dxa"/>
          </w:tcPr>
          <w:p w:rsidR="0075777C" w:rsidRPr="00A17B9D" w:rsidRDefault="00A17B9D" w:rsidP="00EC75B2">
            <w:pPr>
              <w:pStyle w:val="Tabletext"/>
              <w:rPr>
                <w:rFonts w:cs="Tahoma"/>
                <w:highlight w:val="black"/>
              </w:rPr>
            </w:pPr>
            <w:r>
              <w:rPr>
                <w:rFonts w:cs="Tahoma"/>
                <w:noProof/>
                <w:color w:val="000000"/>
                <w:highlight w:val="black"/>
              </w:rPr>
              <w:t>''''''''''' ''''''''''''' ''''''''''''</w:t>
            </w:r>
          </w:p>
        </w:tc>
      </w:tr>
      <w:tr w:rsidR="0075777C" w:rsidRPr="00822C52" w:rsidTr="00EC75B2">
        <w:trPr>
          <w:trHeight w:val="70"/>
        </w:trPr>
        <w:tc>
          <w:tcPr>
            <w:tcW w:w="1413" w:type="dxa"/>
          </w:tcPr>
          <w:p w:rsidR="0075777C" w:rsidRPr="00822C52" w:rsidRDefault="0075777C" w:rsidP="001D34EE">
            <w:pPr>
              <w:pStyle w:val="Tabletext"/>
              <w:rPr>
                <w:rFonts w:cs="Tahoma"/>
              </w:rPr>
            </w:pPr>
            <w:r w:rsidRPr="00822C52">
              <w:rPr>
                <w:rFonts w:cs="Tahoma"/>
              </w:rPr>
              <w:t>AMBITION</w:t>
            </w:r>
            <w:r w:rsidR="001D34EE" w:rsidRPr="001A1C44">
              <w:rPr>
                <w:rFonts w:cs="Tahoma"/>
                <w:noProof/>
                <w:vertAlign w:val="superscript"/>
              </w:rPr>
              <w:t>32</w:t>
            </w:r>
          </w:p>
        </w:tc>
        <w:tc>
          <w:tcPr>
            <w:tcW w:w="2551" w:type="dxa"/>
          </w:tcPr>
          <w:p w:rsidR="0075777C" w:rsidRPr="00822C52" w:rsidRDefault="0075777C" w:rsidP="00EC75B2">
            <w:pPr>
              <w:pStyle w:val="Tabletext"/>
              <w:rPr>
                <w:rFonts w:cs="Tahoma"/>
              </w:rPr>
            </w:pPr>
            <w:r w:rsidRPr="00822C52">
              <w:rPr>
                <w:rFonts w:cs="Tahoma"/>
              </w:rPr>
              <w:t>Ambrisentan/tadalafil</w:t>
            </w:r>
          </w:p>
          <w:p w:rsidR="0075777C" w:rsidRPr="00822C52" w:rsidRDefault="0075777C" w:rsidP="003B436F">
            <w:pPr>
              <w:pStyle w:val="Tabletext"/>
              <w:rPr>
                <w:rFonts w:cs="Tahoma"/>
              </w:rPr>
            </w:pPr>
            <w:r w:rsidRPr="00822C52">
              <w:rPr>
                <w:rFonts w:cs="Tahoma"/>
              </w:rPr>
              <w:t>FAV: mean 74 weeks</w:t>
            </w:r>
            <w:r w:rsidR="003B436F">
              <w:rPr>
                <w:rFonts w:cs="Tahoma"/>
              </w:rPr>
              <w:t xml:space="preserve">, </w:t>
            </w:r>
            <w:r w:rsidRPr="00822C52">
              <w:rPr>
                <w:rFonts w:cs="Tahoma"/>
              </w:rPr>
              <w:t>ITT</w:t>
            </w:r>
          </w:p>
        </w:tc>
        <w:tc>
          <w:tcPr>
            <w:tcW w:w="1630" w:type="dxa"/>
          </w:tcPr>
          <w:p w:rsidR="0075777C" w:rsidRPr="00822C52" w:rsidRDefault="0075777C" w:rsidP="00EC75B2">
            <w:pPr>
              <w:pStyle w:val="Tabletext"/>
              <w:jc w:val="center"/>
              <w:rPr>
                <w:rFonts w:cs="Tahoma"/>
              </w:rPr>
            </w:pPr>
            <w:r w:rsidRPr="00822C52">
              <w:rPr>
                <w:rFonts w:cs="Tahoma"/>
              </w:rPr>
              <w:t>18/302 (6%)</w:t>
            </w:r>
          </w:p>
        </w:tc>
        <w:tc>
          <w:tcPr>
            <w:tcW w:w="1631" w:type="dxa"/>
          </w:tcPr>
          <w:p w:rsidR="0075777C" w:rsidRPr="00822C52" w:rsidRDefault="0075777C" w:rsidP="00EC75B2">
            <w:pPr>
              <w:pStyle w:val="Tabletext"/>
              <w:jc w:val="center"/>
              <w:rPr>
                <w:rFonts w:cs="Tahoma"/>
              </w:rPr>
            </w:pPr>
            <w:r w:rsidRPr="00822C52">
              <w:rPr>
                <w:rFonts w:cs="Tahoma"/>
              </w:rPr>
              <w:t>15/151 (10%)</w:t>
            </w:r>
          </w:p>
        </w:tc>
        <w:tc>
          <w:tcPr>
            <w:tcW w:w="2409" w:type="dxa"/>
          </w:tcPr>
          <w:p w:rsidR="0075777C" w:rsidRPr="00822C52" w:rsidRDefault="0075777C" w:rsidP="00EC75B2">
            <w:pPr>
              <w:pStyle w:val="Tabletext"/>
              <w:rPr>
                <w:rFonts w:cs="Tahoma"/>
              </w:rPr>
            </w:pPr>
            <w:r w:rsidRPr="00822C52">
              <w:rPr>
                <w:rFonts w:cs="Tahoma"/>
              </w:rPr>
              <w:t>0.54 (0.27, 1.07), p=0.07</w:t>
            </w:r>
          </w:p>
        </w:tc>
      </w:tr>
    </w:tbl>
    <w:p w:rsidR="0075777C" w:rsidRPr="00822C52" w:rsidRDefault="0075777C" w:rsidP="00EC75B2">
      <w:pPr>
        <w:pStyle w:val="Tablenote"/>
      </w:pPr>
      <w:r w:rsidRPr="004D0C0E">
        <w:rPr>
          <w:vertAlign w:val="superscript"/>
        </w:rPr>
        <w:t>a</w:t>
      </w:r>
      <w:r>
        <w:t xml:space="preserve"> </w:t>
      </w:r>
      <w:r w:rsidRPr="00822C52">
        <w:t xml:space="preserve">Small proportion of patients </w:t>
      </w:r>
      <w:r>
        <w:t xml:space="preserve">(4%) </w:t>
      </w:r>
      <w:r w:rsidRPr="00822C52">
        <w:t xml:space="preserve">receiving </w:t>
      </w:r>
      <w:r w:rsidR="00EC75B2" w:rsidRPr="00822C52">
        <w:t>prostanoids</w:t>
      </w:r>
      <w:r w:rsidRPr="00822C52">
        <w:t xml:space="preserve"> or receiving doublet background therapy</w:t>
      </w:r>
    </w:p>
    <w:p w:rsidR="0075777C" w:rsidRPr="00822C52" w:rsidRDefault="0075777C" w:rsidP="00EC75B2">
      <w:pPr>
        <w:pStyle w:val="Tablenote"/>
      </w:pPr>
      <w:r w:rsidRPr="00822C52">
        <w:t xml:space="preserve">CI = confidence interval; </w:t>
      </w:r>
      <w:r w:rsidR="00D3683E">
        <w:t xml:space="preserve">CSR = clinical study report; </w:t>
      </w:r>
      <w:r w:rsidRPr="00822C52">
        <w:t xml:space="preserve">EOS = end of study; EOT = end of treatment; ERA = endothelin receptor antagonist; FAV = final assessment visit; HR = hazard ratio; </w:t>
      </w:r>
      <w:r w:rsidR="00D3683E">
        <w:t xml:space="preserve">ITT = intention-to-treat; </w:t>
      </w:r>
      <w:r w:rsidRPr="00822C52">
        <w:t xml:space="preserve">n = number of </w:t>
      </w:r>
      <w:r w:rsidR="00D3683E">
        <w:t xml:space="preserve">patients with </w:t>
      </w:r>
      <w:r w:rsidRPr="00822C52">
        <w:t xml:space="preserve">events; N = number of patients; NR = not reported; PAH = pulmonary arterial hypertension; </w:t>
      </w:r>
      <w:r>
        <w:t>PDE-5i</w:t>
      </w:r>
      <w:r w:rsidRPr="00822C52">
        <w:t xml:space="preserve"> = phosphodiesterase type-5 inhibitor</w:t>
      </w:r>
    </w:p>
    <w:p w:rsidR="0075777C" w:rsidRPr="00822C52" w:rsidRDefault="0075777C" w:rsidP="0075777C">
      <w:pPr>
        <w:rPr>
          <w:highlight w:val="cyan"/>
        </w:rPr>
      </w:pPr>
      <w:r w:rsidRPr="00822C52">
        <w:t xml:space="preserve">A meta-analysis of the RR of patients with PAH who died while being treated with an ERA and a </w:t>
      </w:r>
      <w:r>
        <w:t>PDE-5 inhibitor</w:t>
      </w:r>
      <w:r w:rsidRPr="00822C52">
        <w:t xml:space="preserve"> compared with </w:t>
      </w:r>
      <w:r>
        <w:t>PDE-5 inhibitor</w:t>
      </w:r>
      <w:r w:rsidRPr="00822C52">
        <w:t xml:space="preserve"> alone was performed (</w:t>
      </w:r>
      <w:r w:rsidR="00AA722D">
        <w:t>Figure 4.</w:t>
      </w:r>
      <w:r w:rsidR="00AA722D">
        <w:rPr>
          <w:noProof/>
        </w:rPr>
        <w:t>10</w:t>
      </w:r>
      <w:r w:rsidRPr="00822C52">
        <w:t>). There was low heterogeneity between the studies</w:t>
      </w:r>
      <w:r w:rsidR="00A17B9D">
        <w:rPr>
          <w:noProof/>
          <w:color w:val="000000"/>
          <w:highlight w:val="black"/>
        </w:rPr>
        <w:t>'' '''''' '''''''''''''' ''''''''''' '''''''''''''''' ''''''''''''''''' '''''''''''''''''''' '''''''' ''''' '''''''' '''''' '' ''''''''''' '''''''''''''''''' '''''''' ''' '''''''''''' '''''''''''''''''' ''''''''''' ''''''' '''''' '''''' '''''''''' ''''''''''''''''' ''''''''''''''''''''''</w:t>
      </w:r>
    </w:p>
    <w:p w:rsidR="0075777C" w:rsidRPr="00822C52" w:rsidRDefault="00123C1B" w:rsidP="004F7BBE">
      <w:pPr>
        <w:tabs>
          <w:tab w:val="left" w:pos="1649"/>
          <w:tab w:val="left" w:pos="3066"/>
          <w:tab w:val="left" w:pos="4341"/>
        </w:tabs>
        <w:spacing w:after="40" w:line="240" w:lineRule="auto"/>
        <w:jc w:val="center"/>
        <w:rPr>
          <w:rFonts w:ascii="Arial Narrow" w:hAnsi="Arial Narrow" w:cs="Tahoma"/>
          <w:sz w:val="20"/>
          <w:highlight w:val="cyan"/>
        </w:rPr>
      </w:pPr>
      <w:r>
        <w:rPr>
          <w:rFonts w:ascii="Arial Narrow" w:hAnsi="Arial Narrow" w:cs="Tahoma"/>
          <w:noProof/>
          <w:sz w:val="20"/>
          <w:highlight w:val="cyan"/>
          <w:lang w:eastAsia="en-AU"/>
        </w:rPr>
        <w:drawing>
          <wp:inline distT="0" distB="0" distL="0" distR="0" wp14:anchorId="67983C94" wp14:editId="5658E7D6">
            <wp:extent cx="6127845" cy="2773437"/>
            <wp:effectExtent l="0" t="0" r="6350" b="8255"/>
            <wp:docPr id="29" name="Picture 29" descr="The estimated RR from the meta-analysis was 0.87 (95% CI 0.64, 1.19)" title="Forest plot showing the RR of mortality while being treated with an ERA and a PDE-5 inhibitor compared with PDE-5 inhibitor alone in all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127845" cy="2773437"/>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DD7790" w:rsidRDefault="004F7BBE" w:rsidP="00BC5A2B">
      <w:pPr>
        <w:pStyle w:val="Caption"/>
        <w:rPr>
          <w:rFonts w:ascii="Arial Narrow" w:hAnsi="Arial Narrow" w:cs="Tahoma"/>
          <w:u w:val="single"/>
        </w:rPr>
      </w:pPr>
      <w:bookmarkStart w:id="159" w:name="_Ref506300245"/>
      <w:bookmarkStart w:id="160" w:name="_Toc512855583"/>
      <w:r>
        <w:t>Figure 4.</w:t>
      </w:r>
      <w:r w:rsidR="00AA722D">
        <w:rPr>
          <w:noProof/>
        </w:rPr>
        <w:t>10</w:t>
      </w:r>
      <w:bookmarkEnd w:id="159"/>
      <w:r>
        <w:tab/>
      </w:r>
      <w:r w:rsidR="0075777C" w:rsidRPr="00DD7790">
        <w:t>Forest plot showing the RR of mortality while being treated with an ERA and a PDE-5 inhibitor compared with PDE-5 inhibitor alone in all PAH patients</w:t>
      </w:r>
      <w:bookmarkEnd w:id="160"/>
    </w:p>
    <w:p w:rsidR="00D3683E" w:rsidRPr="00822C52" w:rsidRDefault="0075777C" w:rsidP="004F7BBE">
      <w:pPr>
        <w:pStyle w:val="Tablenote"/>
      </w:pPr>
      <w:r w:rsidRPr="00822C52">
        <w:t xml:space="preserve">CI = confidence interval; ERA = </w:t>
      </w:r>
      <w:r w:rsidR="0006512A">
        <w:t>endothelin receptor</w:t>
      </w:r>
      <w:r w:rsidRPr="00822C52">
        <w:t xml:space="preserve"> antagonists; N = number of patients; </w:t>
      </w:r>
      <w:r w:rsidR="00D3683E" w:rsidRPr="009E3B52">
        <w:t xml:space="preserve">PAH = pulmonary arterial hypertension; </w:t>
      </w:r>
      <w:r>
        <w:t>PDE-5i</w:t>
      </w:r>
      <w:r w:rsidRPr="00822C52">
        <w:t xml:space="preserve"> = phosphodiesterase type-5 inhibitor; RR = relative risk</w:t>
      </w:r>
    </w:p>
    <w:p w:rsidR="0075777C" w:rsidRPr="00B607A5" w:rsidRDefault="0077344D" w:rsidP="0077344D">
      <w:pPr>
        <w:pStyle w:val="Heading6"/>
      </w:pPr>
      <w:r w:rsidRPr="00B607A5">
        <w:lastRenderedPageBreak/>
        <w:t>b</w:t>
      </w:r>
      <w:r w:rsidR="0075777C" w:rsidRPr="00B607A5">
        <w:t>.ii</w:t>
      </w:r>
      <w:r w:rsidR="0075777C" w:rsidRPr="00B607A5">
        <w:tab/>
        <w:t>PAH patients with FC III or IV</w:t>
      </w:r>
    </w:p>
    <w:p w:rsidR="0075777C" w:rsidRPr="00822C52" w:rsidRDefault="0075777C" w:rsidP="0075777C">
      <w:r w:rsidRPr="00822C52">
        <w:t>The SERAPHIN trial reported that patients with WHO FC III/IV PAH taking ERA:</w:t>
      </w:r>
      <w:r>
        <w:t>PDE-5 inhibitor</w:t>
      </w:r>
      <w:r w:rsidRPr="00822C52">
        <w:t xml:space="preserve"> combination therapy were </w:t>
      </w:r>
      <w:r w:rsidR="00A17B9D">
        <w:rPr>
          <w:noProof/>
          <w:color w:val="000000"/>
          <w:highlight w:val="black"/>
        </w:rPr>
        <w:t>'''''''''''''' '''''''' '''''''''''</w:t>
      </w:r>
      <w:r w:rsidRPr="00822C52">
        <w:t xml:space="preserve"> to die than those taking </w:t>
      </w:r>
      <w:r>
        <w:t>PDE-5 inhibitor</w:t>
      </w:r>
      <w:r w:rsidRPr="00822C52">
        <w:t xml:space="preserve"> monotherapy over the study period, but </w:t>
      </w:r>
      <w:r w:rsidR="00A17B9D">
        <w:rPr>
          <w:noProof/>
          <w:color w:val="000000"/>
          <w:highlight w:val="black"/>
        </w:rPr>
        <w:t>''''''' ''''''''''''''''''' ''''''' '''''' '''''''''''''''''''''' ''''''''''''''''''''</w:t>
      </w:r>
      <w:r>
        <w:t xml:space="preserve"> (</w:t>
      </w:r>
      <w:r w:rsidR="00AA722D">
        <w:t>Table 4.</w:t>
      </w:r>
      <w:r w:rsidR="00AA722D">
        <w:rPr>
          <w:noProof/>
        </w:rPr>
        <w:t>48</w:t>
      </w:r>
      <w:r>
        <w:t>)</w:t>
      </w:r>
      <w:r w:rsidRPr="00822C52">
        <w:t>.</w:t>
      </w:r>
    </w:p>
    <w:p w:rsidR="0075777C" w:rsidRPr="00DD7790" w:rsidRDefault="00272F8F" w:rsidP="00BC5A2B">
      <w:pPr>
        <w:pStyle w:val="Caption"/>
      </w:pPr>
      <w:bookmarkStart w:id="161" w:name="_Ref505252590"/>
      <w:bookmarkStart w:id="162" w:name="_Toc512855452"/>
      <w:r>
        <w:t>Table 4.</w:t>
      </w:r>
      <w:r w:rsidR="00AA722D">
        <w:rPr>
          <w:noProof/>
        </w:rPr>
        <w:t>48</w:t>
      </w:r>
      <w:bookmarkEnd w:id="161"/>
      <w:r w:rsidR="004F7BBE">
        <w:tab/>
      </w:r>
      <w:r w:rsidR="0075777C" w:rsidRPr="00DD7790">
        <w:t xml:space="preserve">Mortality rates for </w:t>
      </w:r>
      <w:r w:rsidR="00EB768B">
        <w:t xml:space="preserve">an </w:t>
      </w:r>
      <w:r w:rsidR="00EB768B" w:rsidRPr="00A32D31">
        <w:t xml:space="preserve">ERA </w:t>
      </w:r>
      <w:r w:rsidR="00385078">
        <w:t>in addition to</w:t>
      </w:r>
      <w:r w:rsidR="00385078" w:rsidRPr="00A32D31">
        <w:t xml:space="preserve"> </w:t>
      </w:r>
      <w:r w:rsidR="00385078">
        <w:t xml:space="preserve">a </w:t>
      </w:r>
      <w:r w:rsidR="00385078" w:rsidRPr="00A32D31">
        <w:t xml:space="preserve">PDE-5 inhibitor compared with PDE-5 inhibitor </w:t>
      </w:r>
      <w:r w:rsidR="00385078">
        <w:t>monotherapy</w:t>
      </w:r>
      <w:r w:rsidR="0075777C" w:rsidRPr="00DD7790">
        <w:t xml:space="preserve"> in patients with WHO FC III/IV PAH</w:t>
      </w:r>
      <w:bookmarkEnd w:id="162"/>
    </w:p>
    <w:tbl>
      <w:tblPr>
        <w:tblStyle w:val="TableGrid7"/>
        <w:tblW w:w="9634" w:type="dxa"/>
        <w:tblLayout w:type="fixed"/>
        <w:tblLook w:val="04A0" w:firstRow="1" w:lastRow="0" w:firstColumn="1" w:lastColumn="0" w:noHBand="0" w:noVBand="1"/>
        <w:tblCaption w:val="Mortality rates for an ERA in addition to a PDE-5 inhibitor compared with PDE-5 inhibitor monotherapy in patients with WHO FC III/IV PAH"/>
      </w:tblPr>
      <w:tblGrid>
        <w:gridCol w:w="1555"/>
        <w:gridCol w:w="2551"/>
        <w:gridCol w:w="1701"/>
        <w:gridCol w:w="1985"/>
        <w:gridCol w:w="1842"/>
      </w:tblGrid>
      <w:tr w:rsidR="0075777C" w:rsidRPr="00822C52" w:rsidTr="00EC2524">
        <w:trPr>
          <w:trHeight w:val="143"/>
          <w:tblHeader/>
        </w:trPr>
        <w:tc>
          <w:tcPr>
            <w:tcW w:w="1555" w:type="dxa"/>
            <w:vMerge w:val="restart"/>
            <w:shd w:val="clear" w:color="auto" w:fill="BFBFBF" w:themeFill="background1" w:themeFillShade="BF"/>
          </w:tcPr>
          <w:p w:rsidR="0075777C" w:rsidRPr="004F7BBE" w:rsidRDefault="0075777C" w:rsidP="004F7BBE">
            <w:pPr>
              <w:pStyle w:val="Tabletext"/>
              <w:rPr>
                <w:b/>
              </w:rPr>
            </w:pPr>
            <w:r w:rsidRPr="004F7BBE">
              <w:rPr>
                <w:b/>
              </w:rPr>
              <w:t>Study ID</w:t>
            </w:r>
          </w:p>
        </w:tc>
        <w:tc>
          <w:tcPr>
            <w:tcW w:w="2551" w:type="dxa"/>
            <w:vMerge w:val="restart"/>
            <w:shd w:val="clear" w:color="auto" w:fill="BFBFBF" w:themeFill="background1" w:themeFillShade="BF"/>
          </w:tcPr>
          <w:p w:rsidR="0075777C" w:rsidRPr="004F7BBE" w:rsidRDefault="0075777C" w:rsidP="004F7BBE">
            <w:pPr>
              <w:pStyle w:val="Tabletext"/>
              <w:rPr>
                <w:b/>
              </w:rPr>
            </w:pPr>
            <w:r w:rsidRPr="004F7BBE">
              <w:rPr>
                <w:b/>
              </w:rPr>
              <w:t>ERA/PDE-5i</w:t>
            </w:r>
          </w:p>
          <w:p w:rsidR="0075777C" w:rsidRPr="004F7BBE" w:rsidRDefault="0075777C" w:rsidP="004F7BBE">
            <w:pPr>
              <w:pStyle w:val="Tabletext"/>
              <w:rPr>
                <w:b/>
              </w:rPr>
            </w:pPr>
            <w:r w:rsidRPr="004F7BBE">
              <w:rPr>
                <w:b/>
              </w:rPr>
              <w:t>Follow-up period</w:t>
            </w:r>
          </w:p>
        </w:tc>
        <w:tc>
          <w:tcPr>
            <w:tcW w:w="3686" w:type="dxa"/>
            <w:gridSpan w:val="2"/>
            <w:shd w:val="clear" w:color="auto" w:fill="BFBFBF" w:themeFill="background1" w:themeFillShade="BF"/>
          </w:tcPr>
          <w:p w:rsidR="0075777C" w:rsidRPr="004F7BBE" w:rsidRDefault="0075777C" w:rsidP="004F7BBE">
            <w:pPr>
              <w:pStyle w:val="Tabletext"/>
              <w:jc w:val="center"/>
              <w:rPr>
                <w:b/>
              </w:rPr>
            </w:pPr>
            <w:r w:rsidRPr="004F7BBE">
              <w:rPr>
                <w:b/>
              </w:rPr>
              <w:t>n/N (%)</w:t>
            </w:r>
          </w:p>
        </w:tc>
        <w:tc>
          <w:tcPr>
            <w:tcW w:w="1842" w:type="dxa"/>
            <w:vMerge w:val="restart"/>
            <w:shd w:val="clear" w:color="auto" w:fill="BFBFBF" w:themeFill="background1" w:themeFillShade="BF"/>
          </w:tcPr>
          <w:p w:rsidR="0075777C" w:rsidRPr="004F7BBE" w:rsidRDefault="0075777C" w:rsidP="004F7BBE">
            <w:pPr>
              <w:pStyle w:val="Tabletext"/>
              <w:rPr>
                <w:b/>
              </w:rPr>
            </w:pPr>
            <w:r w:rsidRPr="004F7BBE">
              <w:rPr>
                <w:b/>
              </w:rPr>
              <w:t>HR (95% CI)</w:t>
            </w:r>
          </w:p>
        </w:tc>
      </w:tr>
      <w:tr w:rsidR="0075777C" w:rsidRPr="00822C52" w:rsidTr="004F7BBE">
        <w:trPr>
          <w:trHeight w:val="202"/>
          <w:tblHeader/>
        </w:trPr>
        <w:tc>
          <w:tcPr>
            <w:tcW w:w="1555" w:type="dxa"/>
            <w:vMerge/>
            <w:shd w:val="clear" w:color="auto" w:fill="BFBFBF" w:themeFill="background1" w:themeFillShade="BF"/>
          </w:tcPr>
          <w:p w:rsidR="0075777C" w:rsidRPr="00822C52" w:rsidRDefault="0075777C" w:rsidP="004F7BBE">
            <w:pPr>
              <w:pStyle w:val="Tabletext"/>
            </w:pPr>
          </w:p>
        </w:tc>
        <w:tc>
          <w:tcPr>
            <w:tcW w:w="2551" w:type="dxa"/>
            <w:vMerge/>
            <w:shd w:val="clear" w:color="auto" w:fill="BFBFBF" w:themeFill="background1" w:themeFillShade="BF"/>
          </w:tcPr>
          <w:p w:rsidR="0075777C" w:rsidRPr="00822C52" w:rsidRDefault="0075777C" w:rsidP="004F7BBE">
            <w:pPr>
              <w:pStyle w:val="Tabletext"/>
            </w:pPr>
          </w:p>
        </w:tc>
        <w:tc>
          <w:tcPr>
            <w:tcW w:w="1701" w:type="dxa"/>
            <w:shd w:val="clear" w:color="auto" w:fill="BFBFBF" w:themeFill="background1" w:themeFillShade="BF"/>
          </w:tcPr>
          <w:p w:rsidR="0075777C" w:rsidRPr="004F7BBE" w:rsidRDefault="0075777C" w:rsidP="004F7BBE">
            <w:pPr>
              <w:pStyle w:val="Tabletext"/>
              <w:jc w:val="center"/>
              <w:rPr>
                <w:b/>
              </w:rPr>
            </w:pPr>
            <w:r w:rsidRPr="004F7BBE">
              <w:rPr>
                <w:b/>
              </w:rPr>
              <w:t>ERA + PDE-5i</w:t>
            </w:r>
          </w:p>
        </w:tc>
        <w:tc>
          <w:tcPr>
            <w:tcW w:w="1985" w:type="dxa"/>
            <w:shd w:val="clear" w:color="auto" w:fill="BFBFBF" w:themeFill="background1" w:themeFillShade="BF"/>
          </w:tcPr>
          <w:p w:rsidR="0075777C" w:rsidRPr="004F7BBE" w:rsidRDefault="0075777C" w:rsidP="004F7BBE">
            <w:pPr>
              <w:pStyle w:val="Tabletext"/>
              <w:jc w:val="center"/>
              <w:rPr>
                <w:b/>
              </w:rPr>
            </w:pPr>
            <w:r w:rsidRPr="004F7BBE">
              <w:rPr>
                <w:b/>
              </w:rPr>
              <w:t>PDE-5i</w:t>
            </w:r>
          </w:p>
        </w:tc>
        <w:tc>
          <w:tcPr>
            <w:tcW w:w="1842" w:type="dxa"/>
            <w:vMerge/>
            <w:shd w:val="clear" w:color="auto" w:fill="BFBFBF" w:themeFill="background1" w:themeFillShade="BF"/>
          </w:tcPr>
          <w:p w:rsidR="0075777C" w:rsidRPr="00822C52" w:rsidRDefault="0075777C" w:rsidP="004F7BBE">
            <w:pPr>
              <w:pStyle w:val="Tabletext"/>
            </w:pPr>
          </w:p>
        </w:tc>
      </w:tr>
      <w:tr w:rsidR="0075777C" w:rsidRPr="00822C52" w:rsidTr="004F7BBE">
        <w:trPr>
          <w:trHeight w:val="70"/>
        </w:trPr>
        <w:tc>
          <w:tcPr>
            <w:tcW w:w="1555" w:type="dxa"/>
          </w:tcPr>
          <w:p w:rsidR="0075777C" w:rsidRPr="00822C52" w:rsidRDefault="0075777C" w:rsidP="004F7BBE">
            <w:pPr>
              <w:pStyle w:val="Tabletext"/>
              <w:rPr>
                <w:rFonts w:cs="Tahoma"/>
              </w:rPr>
            </w:pPr>
            <w:r w:rsidRPr="00822C52">
              <w:rPr>
                <w:rFonts w:cs="Tahoma"/>
              </w:rPr>
              <w:t>SERAPHIN</w:t>
            </w:r>
            <w:r>
              <w:rPr>
                <w:rFonts w:cs="Tahoma"/>
              </w:rPr>
              <w:t xml:space="preserve"> </w:t>
            </w:r>
            <w:r w:rsidRPr="004D0C0E">
              <w:rPr>
                <w:rFonts w:cs="Tahoma"/>
                <w:vertAlign w:val="superscript"/>
              </w:rPr>
              <w:t>a</w:t>
            </w:r>
            <w:r w:rsidRPr="00822C52">
              <w:rPr>
                <w:rFonts w:cs="Tahoma"/>
              </w:rPr>
              <w:t>, March 2014 submission</w:t>
            </w:r>
          </w:p>
        </w:tc>
        <w:tc>
          <w:tcPr>
            <w:tcW w:w="2551" w:type="dxa"/>
          </w:tcPr>
          <w:p w:rsidR="0075777C" w:rsidRPr="00822C52" w:rsidRDefault="0075777C" w:rsidP="004F7BBE">
            <w:pPr>
              <w:pStyle w:val="Tabletext"/>
              <w:rPr>
                <w:rFonts w:cs="Tahoma"/>
              </w:rPr>
            </w:pPr>
            <w:r w:rsidRPr="00822C52">
              <w:rPr>
                <w:rFonts w:cs="Tahoma"/>
              </w:rPr>
              <w:t xml:space="preserve">Macitentan/any </w:t>
            </w:r>
            <w:r>
              <w:rPr>
                <w:rFonts w:cs="Tahoma"/>
              </w:rPr>
              <w:t>PDE-5i</w:t>
            </w:r>
          </w:p>
          <w:p w:rsidR="004F7BBE" w:rsidRDefault="0075777C" w:rsidP="004F7BBE">
            <w:pPr>
              <w:pStyle w:val="Tabletext"/>
              <w:rPr>
                <w:rFonts w:cs="Tahoma"/>
              </w:rPr>
            </w:pPr>
            <w:r w:rsidRPr="00822C52">
              <w:rPr>
                <w:rFonts w:cs="Tahoma"/>
              </w:rPr>
              <w:t>EOS: median 129 weeks</w:t>
            </w:r>
          </w:p>
          <w:p w:rsidR="004F7BBE" w:rsidRPr="00822C52" w:rsidRDefault="004F7BBE" w:rsidP="004F7BBE">
            <w:pPr>
              <w:pStyle w:val="Tabletext"/>
            </w:pPr>
            <w:r w:rsidRPr="00822C52">
              <w:t>Death due to PAH</w:t>
            </w:r>
          </w:p>
          <w:p w:rsidR="0075777C" w:rsidRPr="00822C52" w:rsidRDefault="004F7BBE" w:rsidP="004F7BBE">
            <w:pPr>
              <w:pStyle w:val="Tabletext"/>
              <w:rPr>
                <w:rFonts w:cs="Tahoma"/>
              </w:rPr>
            </w:pPr>
            <w:r>
              <w:rPr>
                <w:rFonts w:cs="Tahoma"/>
              </w:rPr>
              <w:t>All-cause mortality</w:t>
            </w:r>
          </w:p>
        </w:tc>
        <w:tc>
          <w:tcPr>
            <w:tcW w:w="1701" w:type="dxa"/>
          </w:tcPr>
          <w:p w:rsidR="0075777C" w:rsidRPr="00822C52" w:rsidRDefault="0075777C" w:rsidP="004F7BBE">
            <w:pPr>
              <w:pStyle w:val="Tabletext"/>
              <w:jc w:val="center"/>
              <w:rPr>
                <w:rFonts w:cs="Tahoma"/>
                <w:highlight w:val="cyan"/>
              </w:rPr>
            </w:pPr>
          </w:p>
          <w:p w:rsidR="0075777C" w:rsidRPr="00822C52" w:rsidRDefault="0075777C" w:rsidP="004F7BBE">
            <w:pPr>
              <w:pStyle w:val="Tabletext"/>
              <w:jc w:val="center"/>
              <w:rPr>
                <w:rFonts w:cs="Tahoma"/>
                <w:highlight w:val="cyan"/>
              </w:rPr>
            </w:pPr>
          </w:p>
          <w:p w:rsidR="0075777C" w:rsidRPr="00A17B9D" w:rsidRDefault="00A17B9D" w:rsidP="004F7BBE">
            <w:pPr>
              <w:pStyle w:val="Tabletext"/>
              <w:jc w:val="center"/>
              <w:rPr>
                <w:rFonts w:cs="Tahoma"/>
                <w:highlight w:val="black"/>
              </w:rPr>
            </w:pPr>
            <w:r>
              <w:rPr>
                <w:rFonts w:cs="Tahoma"/>
                <w:noProof/>
                <w:color w:val="000000"/>
                <w:highlight w:val="black"/>
              </w:rPr>
              <w:t>''''''''''' '''''''''''</w:t>
            </w:r>
          </w:p>
          <w:p w:rsidR="0075777C" w:rsidRPr="00A17B9D" w:rsidRDefault="00A17B9D" w:rsidP="004F7BBE">
            <w:pPr>
              <w:pStyle w:val="Tabletext"/>
              <w:jc w:val="center"/>
              <w:rPr>
                <w:rFonts w:cs="Tahoma"/>
                <w:highlight w:val="black"/>
              </w:rPr>
            </w:pPr>
            <w:r>
              <w:rPr>
                <w:rFonts w:cs="Tahoma"/>
                <w:noProof/>
                <w:color w:val="000000"/>
                <w:highlight w:val="black"/>
              </w:rPr>
              <w:t>''''''''''''' ''''''''''''''''</w:t>
            </w:r>
          </w:p>
        </w:tc>
        <w:tc>
          <w:tcPr>
            <w:tcW w:w="1985" w:type="dxa"/>
          </w:tcPr>
          <w:p w:rsidR="0075777C" w:rsidRDefault="0075777C" w:rsidP="004F7BBE">
            <w:pPr>
              <w:pStyle w:val="Tabletext"/>
              <w:jc w:val="center"/>
              <w:rPr>
                <w:rFonts w:cs="Tahoma"/>
                <w:highlight w:val="cyan"/>
              </w:rPr>
            </w:pPr>
          </w:p>
          <w:p w:rsidR="004F7BBE" w:rsidRPr="00822C52" w:rsidRDefault="004F7BBE" w:rsidP="004F7BBE">
            <w:pPr>
              <w:pStyle w:val="Tabletext"/>
              <w:jc w:val="center"/>
              <w:rPr>
                <w:rFonts w:cs="Tahoma"/>
                <w:highlight w:val="cyan"/>
              </w:rPr>
            </w:pPr>
          </w:p>
          <w:p w:rsidR="0075777C" w:rsidRPr="00A17B9D" w:rsidRDefault="00A17B9D" w:rsidP="004F7BBE">
            <w:pPr>
              <w:pStyle w:val="Tabletext"/>
              <w:jc w:val="center"/>
              <w:rPr>
                <w:rFonts w:cs="Tahoma"/>
                <w:highlight w:val="black"/>
              </w:rPr>
            </w:pPr>
            <w:r>
              <w:rPr>
                <w:rFonts w:cs="Tahoma"/>
                <w:noProof/>
                <w:color w:val="000000"/>
                <w:highlight w:val="black"/>
              </w:rPr>
              <w:t>''''''''''' '''''''''''''</w:t>
            </w:r>
          </w:p>
          <w:p w:rsidR="0075777C" w:rsidRPr="00A17B9D" w:rsidRDefault="00A17B9D" w:rsidP="004F7BBE">
            <w:pPr>
              <w:pStyle w:val="Tabletext"/>
              <w:jc w:val="center"/>
              <w:rPr>
                <w:rFonts w:cs="Tahoma"/>
                <w:highlight w:val="black"/>
              </w:rPr>
            </w:pPr>
            <w:r>
              <w:rPr>
                <w:rFonts w:cs="Tahoma"/>
                <w:noProof/>
                <w:color w:val="000000"/>
                <w:highlight w:val="black"/>
              </w:rPr>
              <w:t>'''''''''''''' ''''''''''''''</w:t>
            </w:r>
          </w:p>
        </w:tc>
        <w:tc>
          <w:tcPr>
            <w:tcW w:w="1842" w:type="dxa"/>
          </w:tcPr>
          <w:p w:rsidR="0075777C" w:rsidRPr="00822C52" w:rsidRDefault="0075777C" w:rsidP="004F7BBE">
            <w:pPr>
              <w:pStyle w:val="Tabletext"/>
              <w:rPr>
                <w:rFonts w:cs="Tahoma"/>
                <w:highlight w:val="cyan"/>
              </w:rPr>
            </w:pPr>
          </w:p>
          <w:p w:rsidR="0075777C" w:rsidRPr="00822C52" w:rsidRDefault="0075777C" w:rsidP="004F7BBE">
            <w:pPr>
              <w:pStyle w:val="Tabletext"/>
              <w:rPr>
                <w:rFonts w:cs="Tahoma"/>
                <w:highlight w:val="cyan"/>
              </w:rPr>
            </w:pPr>
          </w:p>
          <w:p w:rsidR="0075777C" w:rsidRPr="00A17B9D" w:rsidRDefault="00A17B9D" w:rsidP="004F7BBE">
            <w:pPr>
              <w:pStyle w:val="Tabletext"/>
              <w:rPr>
                <w:rFonts w:cs="Tahoma"/>
                <w:highlight w:val="black"/>
              </w:rPr>
            </w:pPr>
            <w:r>
              <w:rPr>
                <w:rFonts w:cs="Tahoma"/>
                <w:noProof/>
                <w:color w:val="000000"/>
                <w:highlight w:val="black"/>
              </w:rPr>
              <w:t>'''''''''' ''''''''''''' '''''''''''''</w:t>
            </w:r>
          </w:p>
          <w:p w:rsidR="0075777C" w:rsidRPr="00A17B9D" w:rsidRDefault="00A17B9D" w:rsidP="004F7BBE">
            <w:pPr>
              <w:pStyle w:val="Tabletext"/>
              <w:rPr>
                <w:rFonts w:cs="Tahoma"/>
                <w:highlight w:val="black"/>
              </w:rPr>
            </w:pPr>
            <w:r>
              <w:rPr>
                <w:rFonts w:cs="Tahoma"/>
                <w:noProof/>
                <w:color w:val="000000"/>
                <w:highlight w:val="black"/>
              </w:rPr>
              <w:t>'''''''''' ''''''''''''' ''''''''''''</w:t>
            </w:r>
          </w:p>
        </w:tc>
      </w:tr>
    </w:tbl>
    <w:p w:rsidR="0075777C" w:rsidRPr="00822C52" w:rsidRDefault="0075777C" w:rsidP="004F7BBE">
      <w:pPr>
        <w:pStyle w:val="Tablenote"/>
      </w:pPr>
      <w:r w:rsidRPr="004D0C0E">
        <w:rPr>
          <w:vertAlign w:val="superscript"/>
        </w:rPr>
        <w:t>a</w:t>
      </w:r>
      <w:r>
        <w:t xml:space="preserve"> </w:t>
      </w:r>
      <w:r w:rsidRPr="00822C52">
        <w:t xml:space="preserve">Small proportion of patients </w:t>
      </w:r>
      <w:r>
        <w:t xml:space="preserve">(4%) </w:t>
      </w:r>
      <w:r w:rsidRPr="00822C52">
        <w:t xml:space="preserve">receiving </w:t>
      </w:r>
      <w:r w:rsidR="0017012F" w:rsidRPr="00822C52">
        <w:t>prostanoids</w:t>
      </w:r>
      <w:r w:rsidRPr="00822C52">
        <w:t xml:space="preserve"> or receiving doublet background therapy</w:t>
      </w:r>
    </w:p>
    <w:p w:rsidR="0075777C" w:rsidRPr="00822C52" w:rsidRDefault="0075777C" w:rsidP="004F7BBE">
      <w:pPr>
        <w:pStyle w:val="Tablenote"/>
      </w:pPr>
      <w:r w:rsidRPr="00822C52">
        <w:t xml:space="preserve">CI = confidence interval; EOS = end of study; ERA = endothelin receptor antagonist; FC = functional class; HR = hazard ratio; n = number of </w:t>
      </w:r>
      <w:r w:rsidR="00D3683E">
        <w:t xml:space="preserve">patients with </w:t>
      </w:r>
      <w:r w:rsidRPr="00822C52">
        <w:t xml:space="preserve">events; N = number of patients; PAH = pulmonary arterial hypertension; </w:t>
      </w:r>
      <w:r>
        <w:t>PDE-5i</w:t>
      </w:r>
      <w:r w:rsidRPr="00822C52">
        <w:t xml:space="preserve"> = phosphodiesterase type-5 inhibitor; WHO = World Health Organization</w:t>
      </w:r>
    </w:p>
    <w:p w:rsidR="0075777C" w:rsidRPr="00822C52" w:rsidRDefault="0077344D" w:rsidP="0075777C">
      <w:pPr>
        <w:pStyle w:val="Heading5"/>
      </w:pPr>
      <w:r>
        <w:t>c.</w:t>
      </w:r>
      <w:r w:rsidR="0066218C">
        <w:tab/>
      </w:r>
      <w:r w:rsidR="00C828F9" w:rsidRPr="006316DF">
        <w:t>Hospitalisation</w:t>
      </w:r>
      <w:r w:rsidR="00C828F9" w:rsidRPr="0046652B">
        <w:t xml:space="preserve"> due to worsening PAH</w:t>
      </w:r>
    </w:p>
    <w:p w:rsidR="0075777C" w:rsidRPr="00B607A5" w:rsidRDefault="0077344D" w:rsidP="0077344D">
      <w:pPr>
        <w:pStyle w:val="Heading6"/>
      </w:pPr>
      <w:r w:rsidRPr="00B607A5">
        <w:t>c</w:t>
      </w:r>
      <w:r w:rsidR="0075777C" w:rsidRPr="00B607A5">
        <w:t>.i</w:t>
      </w:r>
      <w:r w:rsidR="0075777C" w:rsidRPr="00B607A5">
        <w:tab/>
        <w:t>PAH patients, irrespective of disease severity or aetiology</w:t>
      </w:r>
    </w:p>
    <w:p w:rsidR="0075777C" w:rsidRPr="00822C52" w:rsidRDefault="0075777C" w:rsidP="0075777C">
      <w:r w:rsidRPr="00822C52">
        <w:t xml:space="preserve">Two RCTs reported on the proportion of PAH patients, irrespective of disease severity or aetiology, who were hospitalised </w:t>
      </w:r>
      <w:r w:rsidR="00951198">
        <w:t xml:space="preserve">due to worsening PAH </w:t>
      </w:r>
      <w:r w:rsidRPr="00822C52">
        <w:t xml:space="preserve">while taking both an ERA and a </w:t>
      </w:r>
      <w:r>
        <w:t>PDE-5 inhibitor</w:t>
      </w:r>
      <w:r w:rsidRPr="00822C52">
        <w:t xml:space="preserve"> compared with a placebo plus a </w:t>
      </w:r>
      <w:r>
        <w:t>PDE-5 inhibitor</w:t>
      </w:r>
      <w:r w:rsidRPr="00822C52">
        <w:t xml:space="preserve"> (</w:t>
      </w:r>
      <w:r w:rsidR="00AA722D">
        <w:t>Table 4.</w:t>
      </w:r>
      <w:r w:rsidR="00AA722D">
        <w:rPr>
          <w:noProof/>
        </w:rPr>
        <w:t>49</w:t>
      </w:r>
      <w:r w:rsidRPr="00822C52">
        <w:t xml:space="preserve">). The pooled </w:t>
      </w:r>
      <w:r w:rsidR="00767852">
        <w:t>RR</w:t>
      </w:r>
      <w:r w:rsidR="00767852" w:rsidRPr="00822C52">
        <w:t xml:space="preserve"> </w:t>
      </w:r>
      <w:r>
        <w:t>show</w:t>
      </w:r>
      <w:r w:rsidR="00767852">
        <w:t>s</w:t>
      </w:r>
      <w:r>
        <w:t xml:space="preserve"> a </w:t>
      </w:r>
      <w:r w:rsidR="00767852">
        <w:t xml:space="preserve">statistically </w:t>
      </w:r>
      <w:r w:rsidRPr="00822C52">
        <w:t xml:space="preserve">significant </w:t>
      </w:r>
      <w:r>
        <w:t>difference</w:t>
      </w:r>
      <w:r w:rsidR="00767852">
        <w:t xml:space="preserve"> favouring combination therapy over monotherapy</w:t>
      </w:r>
      <w:r w:rsidR="00BC4B63">
        <w:t xml:space="preserve"> with those on combination having a 30% reduction in the likelihood of being hospitalised for worsening PAH</w:t>
      </w:r>
      <w:r>
        <w:t xml:space="preserve">; there </w:t>
      </w:r>
      <w:r w:rsidRPr="00822C52">
        <w:t xml:space="preserve">was </w:t>
      </w:r>
      <w:r w:rsidR="00EE4DF7">
        <w:t>low</w:t>
      </w:r>
      <w:r w:rsidRPr="00822C52">
        <w:t xml:space="preserve"> heterogeneity between the two studies</w:t>
      </w:r>
      <w:r w:rsidR="003D29FB">
        <w:t xml:space="preserve"> </w:t>
      </w:r>
      <w:r w:rsidR="00767852">
        <w:t>(</w:t>
      </w:r>
      <w:r w:rsidR="00AA722D">
        <w:t>Figure 4.</w:t>
      </w:r>
      <w:r w:rsidR="00AA722D">
        <w:rPr>
          <w:noProof/>
        </w:rPr>
        <w:t>11</w:t>
      </w:r>
      <w:r w:rsidR="00767852">
        <w:t>)</w:t>
      </w:r>
      <w:r w:rsidRPr="00822C52">
        <w:t>.</w:t>
      </w:r>
    </w:p>
    <w:p w:rsidR="0075777C" w:rsidRPr="00DD7790" w:rsidRDefault="00272F8F" w:rsidP="00BC5A2B">
      <w:pPr>
        <w:pStyle w:val="Caption"/>
      </w:pPr>
      <w:bookmarkStart w:id="163" w:name="_Ref503520803"/>
      <w:bookmarkStart w:id="164" w:name="_Toc512855453"/>
      <w:r>
        <w:t>Table 4.</w:t>
      </w:r>
      <w:r w:rsidR="00AA722D">
        <w:rPr>
          <w:noProof/>
        </w:rPr>
        <w:t>49</w:t>
      </w:r>
      <w:bookmarkEnd w:id="163"/>
      <w:r w:rsidR="004F7BBE">
        <w:tab/>
      </w:r>
      <w:r w:rsidR="0075777C">
        <w:t xml:space="preserve">Hospitalisation </w:t>
      </w:r>
      <w:r w:rsidR="003507C5">
        <w:t xml:space="preserve">due to PAH </w:t>
      </w:r>
      <w:r w:rsidR="0075777C">
        <w:t xml:space="preserve">for </w:t>
      </w:r>
      <w:r w:rsidR="00EB768B">
        <w:t xml:space="preserve">an </w:t>
      </w:r>
      <w:r w:rsidR="00EB768B" w:rsidRPr="00A32D31">
        <w:t xml:space="preserve">ERA </w:t>
      </w:r>
      <w:r w:rsidR="00385078">
        <w:t>in addition to</w:t>
      </w:r>
      <w:r w:rsidR="00385078" w:rsidRPr="00A32D31">
        <w:t xml:space="preserve"> </w:t>
      </w:r>
      <w:r w:rsidR="00385078">
        <w:t xml:space="preserve">a </w:t>
      </w:r>
      <w:r w:rsidR="00385078" w:rsidRPr="00A32D31">
        <w:t xml:space="preserve">PDE-5 inhibitor compared with PDE-5 inhibitor </w:t>
      </w:r>
      <w:r w:rsidR="00385078">
        <w:t xml:space="preserve">monotherapy </w:t>
      </w:r>
      <w:r w:rsidR="0075777C" w:rsidRPr="00DD7790">
        <w:t>in all patients with PAH</w:t>
      </w:r>
      <w:bookmarkEnd w:id="164"/>
    </w:p>
    <w:tbl>
      <w:tblPr>
        <w:tblStyle w:val="TableGrid7"/>
        <w:tblW w:w="9634" w:type="dxa"/>
        <w:tblLayout w:type="fixed"/>
        <w:tblLook w:val="04A0" w:firstRow="1" w:lastRow="0" w:firstColumn="1" w:lastColumn="0" w:noHBand="0" w:noVBand="1"/>
        <w:tblCaption w:val="Hospitalisation due to PAH for an ERA in addition to a PDE-5 inhibitor compared with PDE-5 inhibitor monotherapy in all patients with PAH"/>
      </w:tblPr>
      <w:tblGrid>
        <w:gridCol w:w="1271"/>
        <w:gridCol w:w="2268"/>
        <w:gridCol w:w="1843"/>
        <w:gridCol w:w="1984"/>
        <w:gridCol w:w="2268"/>
      </w:tblGrid>
      <w:tr w:rsidR="0075777C" w:rsidRPr="00822C52" w:rsidTr="00EC2524">
        <w:trPr>
          <w:trHeight w:val="144"/>
          <w:tblHeader/>
        </w:trPr>
        <w:tc>
          <w:tcPr>
            <w:tcW w:w="1271" w:type="dxa"/>
            <w:vMerge w:val="restart"/>
            <w:shd w:val="clear" w:color="auto" w:fill="BFBFBF" w:themeFill="background1" w:themeFillShade="BF"/>
          </w:tcPr>
          <w:p w:rsidR="0075777C" w:rsidRPr="004F7BBE" w:rsidRDefault="0075777C" w:rsidP="004F7BBE">
            <w:pPr>
              <w:pStyle w:val="Tabletext"/>
              <w:rPr>
                <w:b/>
              </w:rPr>
            </w:pPr>
            <w:r w:rsidRPr="004F7BBE">
              <w:rPr>
                <w:b/>
              </w:rPr>
              <w:t>Study ID</w:t>
            </w:r>
          </w:p>
          <w:p w:rsidR="0075777C" w:rsidRPr="004F7BBE" w:rsidRDefault="0075777C" w:rsidP="004F7BBE">
            <w:pPr>
              <w:pStyle w:val="Tabletext"/>
              <w:rPr>
                <w:b/>
              </w:rPr>
            </w:pPr>
            <w:r w:rsidRPr="004F7BBE">
              <w:rPr>
                <w:b/>
              </w:rPr>
              <w:t>Author year</w:t>
            </w:r>
          </w:p>
        </w:tc>
        <w:tc>
          <w:tcPr>
            <w:tcW w:w="2268" w:type="dxa"/>
            <w:vMerge w:val="restart"/>
            <w:shd w:val="clear" w:color="auto" w:fill="BFBFBF" w:themeFill="background1" w:themeFillShade="BF"/>
          </w:tcPr>
          <w:p w:rsidR="0075777C" w:rsidRPr="004F7BBE" w:rsidRDefault="0075777C" w:rsidP="004F7BBE">
            <w:pPr>
              <w:pStyle w:val="Tabletext"/>
              <w:rPr>
                <w:b/>
              </w:rPr>
            </w:pPr>
            <w:r w:rsidRPr="004F7BBE">
              <w:rPr>
                <w:b/>
              </w:rPr>
              <w:t>Follow-up period</w:t>
            </w:r>
          </w:p>
          <w:p w:rsidR="0075777C" w:rsidRPr="004F7BBE" w:rsidRDefault="0075777C" w:rsidP="004F7BBE">
            <w:pPr>
              <w:pStyle w:val="Tabletext"/>
              <w:rPr>
                <w:b/>
              </w:rPr>
            </w:pPr>
            <w:r w:rsidRPr="004F7BBE">
              <w:rPr>
                <w:b/>
              </w:rPr>
              <w:t>ERA/PDE-5i</w:t>
            </w:r>
          </w:p>
        </w:tc>
        <w:tc>
          <w:tcPr>
            <w:tcW w:w="3827" w:type="dxa"/>
            <w:gridSpan w:val="2"/>
            <w:shd w:val="clear" w:color="auto" w:fill="BFBFBF" w:themeFill="background1" w:themeFillShade="BF"/>
          </w:tcPr>
          <w:p w:rsidR="0075777C" w:rsidRPr="004F7BBE" w:rsidRDefault="0075777C" w:rsidP="004F7BBE">
            <w:pPr>
              <w:pStyle w:val="Tabletext"/>
              <w:jc w:val="center"/>
              <w:rPr>
                <w:b/>
              </w:rPr>
            </w:pPr>
            <w:r w:rsidRPr="004F7BBE">
              <w:rPr>
                <w:b/>
              </w:rPr>
              <w:t>n/N (%)</w:t>
            </w:r>
          </w:p>
        </w:tc>
        <w:tc>
          <w:tcPr>
            <w:tcW w:w="2268" w:type="dxa"/>
            <w:vMerge w:val="restart"/>
            <w:shd w:val="clear" w:color="auto" w:fill="BFBFBF" w:themeFill="background1" w:themeFillShade="BF"/>
          </w:tcPr>
          <w:p w:rsidR="0075777C" w:rsidRPr="004F7BBE" w:rsidRDefault="0075777C" w:rsidP="004F7BBE">
            <w:pPr>
              <w:pStyle w:val="Tabletext"/>
              <w:rPr>
                <w:b/>
              </w:rPr>
            </w:pPr>
            <w:r w:rsidRPr="004F7BBE">
              <w:rPr>
                <w:b/>
              </w:rPr>
              <w:t>HR (95% CI)</w:t>
            </w:r>
          </w:p>
        </w:tc>
      </w:tr>
      <w:tr w:rsidR="0075777C" w:rsidRPr="00822C52" w:rsidTr="004F7BBE">
        <w:trPr>
          <w:trHeight w:val="202"/>
          <w:tblHeader/>
        </w:trPr>
        <w:tc>
          <w:tcPr>
            <w:tcW w:w="1271" w:type="dxa"/>
            <w:vMerge/>
            <w:shd w:val="clear" w:color="auto" w:fill="BFBFBF" w:themeFill="background1" w:themeFillShade="BF"/>
          </w:tcPr>
          <w:p w:rsidR="0075777C" w:rsidRPr="00822C52" w:rsidRDefault="0075777C" w:rsidP="004F7BBE">
            <w:pPr>
              <w:pStyle w:val="Tabletext"/>
            </w:pPr>
          </w:p>
        </w:tc>
        <w:tc>
          <w:tcPr>
            <w:tcW w:w="2268" w:type="dxa"/>
            <w:vMerge/>
            <w:shd w:val="clear" w:color="auto" w:fill="BFBFBF" w:themeFill="background1" w:themeFillShade="BF"/>
          </w:tcPr>
          <w:p w:rsidR="0075777C" w:rsidRPr="00822C52" w:rsidRDefault="0075777C" w:rsidP="004F7BBE">
            <w:pPr>
              <w:pStyle w:val="Tabletext"/>
            </w:pPr>
          </w:p>
        </w:tc>
        <w:tc>
          <w:tcPr>
            <w:tcW w:w="1843" w:type="dxa"/>
            <w:shd w:val="clear" w:color="auto" w:fill="BFBFBF" w:themeFill="background1" w:themeFillShade="BF"/>
          </w:tcPr>
          <w:p w:rsidR="0075777C" w:rsidRPr="004F7BBE" w:rsidRDefault="0075777C" w:rsidP="004F7BBE">
            <w:pPr>
              <w:pStyle w:val="Tabletext"/>
              <w:jc w:val="center"/>
              <w:rPr>
                <w:b/>
              </w:rPr>
            </w:pPr>
            <w:r w:rsidRPr="004F7BBE">
              <w:rPr>
                <w:b/>
              </w:rPr>
              <w:t>ERA + PDE-5i</w:t>
            </w:r>
          </w:p>
        </w:tc>
        <w:tc>
          <w:tcPr>
            <w:tcW w:w="1984" w:type="dxa"/>
            <w:shd w:val="clear" w:color="auto" w:fill="BFBFBF" w:themeFill="background1" w:themeFillShade="BF"/>
          </w:tcPr>
          <w:p w:rsidR="0075777C" w:rsidRPr="004F7BBE" w:rsidRDefault="0075777C" w:rsidP="004F7BBE">
            <w:pPr>
              <w:pStyle w:val="Tabletext"/>
              <w:jc w:val="center"/>
              <w:rPr>
                <w:b/>
              </w:rPr>
            </w:pPr>
            <w:r w:rsidRPr="004F7BBE">
              <w:rPr>
                <w:b/>
              </w:rPr>
              <w:t>PDE-5i</w:t>
            </w:r>
          </w:p>
        </w:tc>
        <w:tc>
          <w:tcPr>
            <w:tcW w:w="2268" w:type="dxa"/>
            <w:vMerge/>
            <w:shd w:val="clear" w:color="auto" w:fill="BFBFBF" w:themeFill="background1" w:themeFillShade="BF"/>
          </w:tcPr>
          <w:p w:rsidR="0075777C" w:rsidRPr="00822C52" w:rsidRDefault="0075777C" w:rsidP="004F7BBE">
            <w:pPr>
              <w:pStyle w:val="Tabletext"/>
            </w:pPr>
          </w:p>
        </w:tc>
      </w:tr>
      <w:tr w:rsidR="0075777C" w:rsidRPr="00822C52" w:rsidTr="004F7BBE">
        <w:trPr>
          <w:trHeight w:val="70"/>
        </w:trPr>
        <w:tc>
          <w:tcPr>
            <w:tcW w:w="1271" w:type="dxa"/>
          </w:tcPr>
          <w:p w:rsidR="0075777C" w:rsidRPr="00822C52" w:rsidRDefault="0075777C" w:rsidP="004F7BBE">
            <w:pPr>
              <w:pStyle w:val="Tabletext"/>
              <w:rPr>
                <w:rFonts w:cs="Tahoma"/>
              </w:rPr>
            </w:pPr>
            <w:r w:rsidRPr="00822C52">
              <w:rPr>
                <w:rFonts w:cs="Tahoma"/>
              </w:rPr>
              <w:t>SERAPHIN</w:t>
            </w:r>
            <w:r>
              <w:rPr>
                <w:rFonts w:cs="Tahoma"/>
              </w:rPr>
              <w:t xml:space="preserve"> </w:t>
            </w:r>
            <w:r w:rsidRPr="004D0C0E">
              <w:rPr>
                <w:rFonts w:cs="Tahoma"/>
                <w:vertAlign w:val="superscript"/>
              </w:rPr>
              <w:t>a</w:t>
            </w:r>
          </w:p>
          <w:p w:rsidR="0075777C" w:rsidRPr="00822C52" w:rsidRDefault="0075777C" w:rsidP="001D34EE">
            <w:pPr>
              <w:pStyle w:val="Tabletext"/>
              <w:rPr>
                <w:rFonts w:cs="Tahoma"/>
              </w:rPr>
            </w:pPr>
            <w:r w:rsidRPr="00822C52">
              <w:t>Channick et al. (2015)</w:t>
            </w:r>
            <w:r w:rsidR="001D34EE" w:rsidRPr="001A1C44">
              <w:rPr>
                <w:noProof/>
                <w:vertAlign w:val="superscript"/>
              </w:rPr>
              <w:t>46</w:t>
            </w:r>
          </w:p>
        </w:tc>
        <w:tc>
          <w:tcPr>
            <w:tcW w:w="2268" w:type="dxa"/>
          </w:tcPr>
          <w:p w:rsidR="0075777C" w:rsidRPr="00822C52" w:rsidRDefault="0075777C" w:rsidP="004F7BBE">
            <w:pPr>
              <w:pStyle w:val="Tabletext"/>
              <w:rPr>
                <w:rFonts w:cs="Tahoma"/>
              </w:rPr>
            </w:pPr>
            <w:r w:rsidRPr="00822C52">
              <w:rPr>
                <w:rFonts w:cs="Tahoma"/>
              </w:rPr>
              <w:t xml:space="preserve">EOT: </w:t>
            </w:r>
            <w:r w:rsidR="00971455" w:rsidRPr="00971455">
              <w:rPr>
                <w:rFonts w:cs="Tahoma"/>
              </w:rPr>
              <w:t>median 115 weeks</w:t>
            </w:r>
          </w:p>
          <w:p w:rsidR="0075777C" w:rsidRPr="00822C52" w:rsidRDefault="0075777C" w:rsidP="004F7BBE">
            <w:pPr>
              <w:pStyle w:val="Tabletext"/>
              <w:rPr>
                <w:rFonts w:cs="Tahoma"/>
                <w:highlight w:val="cyan"/>
              </w:rPr>
            </w:pPr>
            <w:r w:rsidRPr="00822C52">
              <w:rPr>
                <w:rFonts w:cs="Tahoma"/>
              </w:rPr>
              <w:t xml:space="preserve">Macitentan/any </w:t>
            </w:r>
            <w:r w:rsidR="004F7BBE">
              <w:rPr>
                <w:rFonts w:cs="Tahoma"/>
              </w:rPr>
              <w:t>PDE-5i</w:t>
            </w:r>
          </w:p>
        </w:tc>
        <w:tc>
          <w:tcPr>
            <w:tcW w:w="1843" w:type="dxa"/>
          </w:tcPr>
          <w:p w:rsidR="0075777C" w:rsidRPr="00822C52" w:rsidRDefault="0050638A" w:rsidP="004F7BBE">
            <w:pPr>
              <w:pStyle w:val="Tabletext"/>
              <w:jc w:val="center"/>
            </w:pPr>
            <w:r>
              <w:t>35/154 (23</w:t>
            </w:r>
            <w:r w:rsidR="0075777C" w:rsidRPr="00822C52">
              <w:t>%)</w:t>
            </w:r>
          </w:p>
        </w:tc>
        <w:tc>
          <w:tcPr>
            <w:tcW w:w="1984" w:type="dxa"/>
          </w:tcPr>
          <w:p w:rsidR="0075777C" w:rsidRPr="00822C52" w:rsidRDefault="0050638A" w:rsidP="004F7BBE">
            <w:pPr>
              <w:pStyle w:val="Tabletext"/>
              <w:jc w:val="center"/>
            </w:pPr>
            <w:r>
              <w:t>48/154 (31</w:t>
            </w:r>
            <w:r w:rsidR="0075777C" w:rsidRPr="00822C52">
              <w:t>%)</w:t>
            </w:r>
          </w:p>
        </w:tc>
        <w:tc>
          <w:tcPr>
            <w:tcW w:w="2268" w:type="dxa"/>
          </w:tcPr>
          <w:p w:rsidR="0075777C" w:rsidRPr="00822C52" w:rsidRDefault="0075777C" w:rsidP="004F7BBE">
            <w:pPr>
              <w:pStyle w:val="Tabletext"/>
            </w:pPr>
            <w:r w:rsidRPr="00822C52">
              <w:t>NR</w:t>
            </w:r>
          </w:p>
        </w:tc>
      </w:tr>
      <w:tr w:rsidR="0075777C" w:rsidRPr="00822C52" w:rsidTr="004F7BBE">
        <w:trPr>
          <w:trHeight w:val="70"/>
        </w:trPr>
        <w:tc>
          <w:tcPr>
            <w:tcW w:w="1271" w:type="dxa"/>
          </w:tcPr>
          <w:p w:rsidR="0075777C" w:rsidRPr="00822C52" w:rsidRDefault="0075777C" w:rsidP="001D34EE">
            <w:pPr>
              <w:pStyle w:val="Tabletext"/>
              <w:rPr>
                <w:rFonts w:cs="Tahoma"/>
              </w:rPr>
            </w:pPr>
            <w:r w:rsidRPr="00822C52">
              <w:rPr>
                <w:rFonts w:cs="Tahoma"/>
              </w:rPr>
              <w:t>AMBITION</w:t>
            </w:r>
            <w:r w:rsidR="001D34EE" w:rsidRPr="001A1C44">
              <w:rPr>
                <w:rFonts w:cs="Tahoma"/>
                <w:noProof/>
                <w:vertAlign w:val="superscript"/>
              </w:rPr>
              <w:t>30</w:t>
            </w:r>
          </w:p>
        </w:tc>
        <w:tc>
          <w:tcPr>
            <w:tcW w:w="2268" w:type="dxa"/>
          </w:tcPr>
          <w:p w:rsidR="0075777C" w:rsidRPr="00822C52" w:rsidRDefault="0075777C" w:rsidP="004F7BBE">
            <w:pPr>
              <w:pStyle w:val="Tabletext"/>
              <w:rPr>
                <w:rFonts w:cs="Tahoma"/>
              </w:rPr>
            </w:pPr>
            <w:r w:rsidRPr="00822C52">
              <w:rPr>
                <w:rFonts w:cs="Tahoma"/>
              </w:rPr>
              <w:t>FAV: mean 74 weeks</w:t>
            </w:r>
            <w:r w:rsidR="00123C1B">
              <w:rPr>
                <w:rFonts w:cs="Tahoma"/>
              </w:rPr>
              <w:t xml:space="preserve">, </w:t>
            </w:r>
            <w:r w:rsidRPr="00822C52">
              <w:rPr>
                <w:rFonts w:cs="Tahoma"/>
              </w:rPr>
              <w:t>ITT</w:t>
            </w:r>
          </w:p>
          <w:p w:rsidR="0075777C" w:rsidRPr="00822C52" w:rsidRDefault="0075777C" w:rsidP="004F7BBE">
            <w:pPr>
              <w:pStyle w:val="Tabletext"/>
            </w:pPr>
            <w:r w:rsidRPr="00822C52">
              <w:t>Ambrisentan/tadalafil</w:t>
            </w:r>
          </w:p>
        </w:tc>
        <w:tc>
          <w:tcPr>
            <w:tcW w:w="1843" w:type="dxa"/>
          </w:tcPr>
          <w:p w:rsidR="0075777C" w:rsidRPr="00822C52" w:rsidRDefault="0075777C" w:rsidP="004F7BBE">
            <w:pPr>
              <w:pStyle w:val="Tabletext"/>
              <w:jc w:val="center"/>
            </w:pPr>
            <w:r w:rsidRPr="00822C52">
              <w:t>24/302 (8%)</w:t>
            </w:r>
          </w:p>
        </w:tc>
        <w:tc>
          <w:tcPr>
            <w:tcW w:w="1984" w:type="dxa"/>
          </w:tcPr>
          <w:p w:rsidR="0075777C" w:rsidRPr="00822C52" w:rsidRDefault="0075777C" w:rsidP="004F7BBE">
            <w:pPr>
              <w:pStyle w:val="Tabletext"/>
              <w:jc w:val="center"/>
            </w:pPr>
            <w:r w:rsidRPr="00822C52">
              <w:t>23/151 (15%)</w:t>
            </w:r>
          </w:p>
        </w:tc>
        <w:tc>
          <w:tcPr>
            <w:tcW w:w="2268" w:type="dxa"/>
          </w:tcPr>
          <w:p w:rsidR="0075777C" w:rsidRPr="00822C52" w:rsidRDefault="0075777C" w:rsidP="004F7BBE">
            <w:pPr>
              <w:pStyle w:val="Tabletext"/>
            </w:pPr>
            <w:r w:rsidRPr="00822C52">
              <w:t>0.44 (0.25, 0.79), p=0.004</w:t>
            </w:r>
          </w:p>
        </w:tc>
      </w:tr>
    </w:tbl>
    <w:p w:rsidR="0075777C" w:rsidRPr="00822C52" w:rsidRDefault="0075777C" w:rsidP="004F7BBE">
      <w:pPr>
        <w:pStyle w:val="Tablenote"/>
      </w:pPr>
      <w:r w:rsidRPr="004D0C0E">
        <w:rPr>
          <w:vertAlign w:val="superscript"/>
        </w:rPr>
        <w:t>a</w:t>
      </w:r>
      <w:r>
        <w:t xml:space="preserve"> </w:t>
      </w:r>
      <w:r w:rsidRPr="00822C52">
        <w:t xml:space="preserve">Small proportion of patients </w:t>
      </w:r>
      <w:r>
        <w:t xml:space="preserve">(4%) </w:t>
      </w:r>
      <w:r w:rsidRPr="00822C52">
        <w:t>receiving prost</w:t>
      </w:r>
      <w:r w:rsidR="004F7BBE">
        <w:t>a</w:t>
      </w:r>
      <w:r w:rsidRPr="00822C52">
        <w:t>noids or receiving doublet background therapy</w:t>
      </w:r>
    </w:p>
    <w:p w:rsidR="0075777C" w:rsidRPr="00822C52" w:rsidRDefault="0075777C" w:rsidP="004F7BBE">
      <w:pPr>
        <w:pStyle w:val="Tablenote"/>
      </w:pPr>
      <w:r w:rsidRPr="00822C52">
        <w:t xml:space="preserve">CI = confidence interval; EOT = end of treatment; ERA = endothelin receptor antagonist; FAV = final assessment visit; HR = hazard ratio; </w:t>
      </w:r>
      <w:r w:rsidR="00D3683E">
        <w:t xml:space="preserve">ITT = intention-to-treat; </w:t>
      </w:r>
      <w:r w:rsidRPr="00822C52">
        <w:t xml:space="preserve">n = number of </w:t>
      </w:r>
      <w:r w:rsidR="00D3683E">
        <w:t xml:space="preserve">patients with </w:t>
      </w:r>
      <w:r w:rsidRPr="00822C52">
        <w:t xml:space="preserve">events; N = number of patients; NR = not reported; PAH = pulmonary arterial hypertension; </w:t>
      </w:r>
      <w:r>
        <w:t>PDE-5i</w:t>
      </w:r>
      <w:r w:rsidRPr="00822C52">
        <w:t xml:space="preserve"> = phosphodiesterase type-5 inhibitor</w:t>
      </w:r>
    </w:p>
    <w:p w:rsidR="0075777C" w:rsidRPr="00822C52" w:rsidRDefault="00123C1B" w:rsidP="004F7BBE">
      <w:pPr>
        <w:spacing w:after="40" w:line="240" w:lineRule="auto"/>
        <w:rPr>
          <w:sz w:val="20"/>
        </w:rPr>
      </w:pPr>
      <w:r>
        <w:rPr>
          <w:noProof/>
          <w:sz w:val="20"/>
          <w:lang w:eastAsia="en-AU"/>
        </w:rPr>
        <w:lastRenderedPageBreak/>
        <w:drawing>
          <wp:inline distT="0" distB="0" distL="0" distR="0" wp14:anchorId="2BC2D010" wp14:editId="6BB4CF0D">
            <wp:extent cx="6105479" cy="2558955"/>
            <wp:effectExtent l="0" t="0" r="0" b="0"/>
            <wp:docPr id="30" name="Picture 30" descr="The estimated RR from the meta-analysis was 0.67 (95% CI 0.45, 0.98)" title="Forest plot showing the RR of being hospitalised due to worsening PAH while being treated with an ERA and a PDE-5 inhibitor compared with PDE-5 inhibitor alone in all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6120755" cy="2565357"/>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DD7790" w:rsidRDefault="004F7BBE" w:rsidP="00BC5A2B">
      <w:pPr>
        <w:pStyle w:val="Caption"/>
        <w:rPr>
          <w:rFonts w:ascii="Arial Narrow" w:hAnsi="Arial Narrow" w:cs="Tahoma"/>
          <w:u w:val="single"/>
        </w:rPr>
      </w:pPr>
      <w:bookmarkStart w:id="165" w:name="_Ref506300492"/>
      <w:bookmarkStart w:id="166" w:name="_Toc512855584"/>
      <w:r>
        <w:t>Figure 4.</w:t>
      </w:r>
      <w:r w:rsidR="00AA722D">
        <w:rPr>
          <w:noProof/>
        </w:rPr>
        <w:t>11</w:t>
      </w:r>
      <w:bookmarkEnd w:id="165"/>
      <w:r>
        <w:tab/>
      </w:r>
      <w:r w:rsidR="0075777C" w:rsidRPr="00DD7790">
        <w:t xml:space="preserve">Forest plot showing the RR of being hospitalised </w:t>
      </w:r>
      <w:r w:rsidR="007E3E71">
        <w:t>due to worsening PAH</w:t>
      </w:r>
      <w:r w:rsidR="002F2F6D">
        <w:t xml:space="preserve"> </w:t>
      </w:r>
      <w:r w:rsidR="0075777C" w:rsidRPr="00DD7790">
        <w:t>while being treated with an ERA and a PDE-5 inhibitor compared with PDE-5 inhibitor alone in all PAH patients</w:t>
      </w:r>
      <w:bookmarkEnd w:id="166"/>
    </w:p>
    <w:p w:rsidR="0075777C" w:rsidRPr="00822C52" w:rsidRDefault="0075777C" w:rsidP="004F7BBE">
      <w:pPr>
        <w:pStyle w:val="Tablenote"/>
      </w:pPr>
      <w:r w:rsidRPr="00822C52">
        <w:t xml:space="preserve">CI = confidence interval; ERA = </w:t>
      </w:r>
      <w:r w:rsidR="0006512A">
        <w:t>endothelin receptor</w:t>
      </w:r>
      <w:r w:rsidRPr="00822C52">
        <w:t xml:space="preserve"> antagonists; N = number of patients; </w:t>
      </w:r>
      <w:r>
        <w:t>PDE-5i</w:t>
      </w:r>
      <w:r w:rsidRPr="00822C52">
        <w:t xml:space="preserve"> = phosphodiesterase type-5 inhibitor; RR = relative risk</w:t>
      </w:r>
    </w:p>
    <w:p w:rsidR="0075777C" w:rsidRPr="00A3015F" w:rsidRDefault="0077344D" w:rsidP="0075777C">
      <w:pPr>
        <w:pStyle w:val="Heading5"/>
      </w:pPr>
      <w:r>
        <w:t>d.</w:t>
      </w:r>
      <w:r w:rsidR="0066218C">
        <w:tab/>
      </w:r>
      <w:r w:rsidR="0075777C" w:rsidRPr="00A3015F">
        <w:t xml:space="preserve">Change in WHO </w:t>
      </w:r>
      <w:r w:rsidR="0075777C">
        <w:t>FC</w:t>
      </w:r>
      <w:r w:rsidR="007B6C7C">
        <w:t xml:space="preserve"> from baseline</w:t>
      </w:r>
    </w:p>
    <w:p w:rsidR="0075777C" w:rsidRPr="00B607A5" w:rsidRDefault="0077344D" w:rsidP="0077344D">
      <w:pPr>
        <w:pStyle w:val="Heading6"/>
      </w:pPr>
      <w:r w:rsidRPr="00B607A5">
        <w:t>d</w:t>
      </w:r>
      <w:r w:rsidR="0075777C" w:rsidRPr="00B607A5">
        <w:t>.i</w:t>
      </w:r>
      <w:r w:rsidR="0075777C" w:rsidRPr="00B607A5">
        <w:tab/>
        <w:t>PAH patients, irrespective of disease severity or aetiology</w:t>
      </w:r>
    </w:p>
    <w:p w:rsidR="0075777C" w:rsidRPr="00822C52" w:rsidRDefault="0075777C" w:rsidP="0075777C">
      <w:r w:rsidRPr="00822C52">
        <w:t xml:space="preserve">Two RCTs reported on the proportion of PAH patients, irrespective of disease severity or aetiology, whose PAH WHO FC either improved or worsened while taking both an ERA and a </w:t>
      </w:r>
      <w:r>
        <w:t>PDE-5 inhibitor</w:t>
      </w:r>
      <w:r w:rsidRPr="00822C52">
        <w:t xml:space="preserve"> compared with a placebo plus a </w:t>
      </w:r>
      <w:r>
        <w:t>PDE-5 inhibitor</w:t>
      </w:r>
      <w:r w:rsidRPr="00822C52">
        <w:t xml:space="preserve"> (</w:t>
      </w:r>
      <w:r w:rsidR="00AA722D">
        <w:t>Table 4.</w:t>
      </w:r>
      <w:r w:rsidR="00AA722D">
        <w:rPr>
          <w:noProof/>
        </w:rPr>
        <w:t>50</w:t>
      </w:r>
      <w:r w:rsidRPr="00822C52">
        <w:t xml:space="preserve">). There was no significant difference in the proportion of patients receiving ERA plus </w:t>
      </w:r>
      <w:r>
        <w:t>PDE-5 inhibitor</w:t>
      </w:r>
      <w:r w:rsidRPr="00822C52">
        <w:t xml:space="preserve"> combination therapy compared with </w:t>
      </w:r>
      <w:r>
        <w:t>PDE-5 inhibitor</w:t>
      </w:r>
      <w:r w:rsidRPr="00822C52">
        <w:t xml:space="preserve"> monotherapy whose WHO FC improved or worsened over a 16-24 week period. The</w:t>
      </w:r>
      <w:r>
        <w:t xml:space="preserve"> </w:t>
      </w:r>
      <w:r w:rsidRPr="00822C52">
        <w:t>pooled estimates also showed no difference between the two therapy groups</w:t>
      </w:r>
      <w:r>
        <w:t>.</w:t>
      </w:r>
      <w:r w:rsidRPr="00822C52">
        <w:t xml:space="preserve"> There was no heterogeneity between the two studies (</w:t>
      </w:r>
      <w:r w:rsidR="00AA722D">
        <w:t>Figure 4.</w:t>
      </w:r>
      <w:r w:rsidR="00AA722D">
        <w:rPr>
          <w:noProof/>
        </w:rPr>
        <w:t>12</w:t>
      </w:r>
      <w:r w:rsidRPr="00822C52">
        <w:t>).</w:t>
      </w:r>
    </w:p>
    <w:p w:rsidR="0075777C" w:rsidRPr="00DD7790" w:rsidRDefault="00272F8F" w:rsidP="00BC5A2B">
      <w:pPr>
        <w:pStyle w:val="Caption"/>
      </w:pPr>
      <w:bookmarkStart w:id="167" w:name="_Ref503527085"/>
      <w:bookmarkStart w:id="168" w:name="_Toc512855454"/>
      <w:r>
        <w:t>Table 4.</w:t>
      </w:r>
      <w:r w:rsidR="00AA722D">
        <w:rPr>
          <w:noProof/>
        </w:rPr>
        <w:t>50</w:t>
      </w:r>
      <w:bookmarkEnd w:id="167"/>
      <w:r w:rsidR="001A1C44">
        <w:rPr>
          <w:noProof/>
        </w:rPr>
        <w:tab/>
      </w:r>
      <w:r w:rsidR="0075777C" w:rsidRPr="00DD7790">
        <w:t xml:space="preserve">The effectiveness of </w:t>
      </w:r>
      <w:r w:rsidR="00EB768B">
        <w:t xml:space="preserve">an </w:t>
      </w:r>
      <w:r w:rsidR="00EB768B" w:rsidRPr="00A32D31">
        <w:t xml:space="preserve">ERA </w:t>
      </w:r>
      <w:r w:rsidR="00385078">
        <w:t>in addition to</w:t>
      </w:r>
      <w:r w:rsidR="00385078" w:rsidRPr="00A32D31">
        <w:t xml:space="preserve"> </w:t>
      </w:r>
      <w:r w:rsidR="00385078">
        <w:t xml:space="preserve">a </w:t>
      </w:r>
      <w:r w:rsidR="00385078" w:rsidRPr="00A32D31">
        <w:t xml:space="preserve">PDE-5 inhibitor compared with PDE-5 inhibitor </w:t>
      </w:r>
      <w:r w:rsidR="00385078">
        <w:t>monotherapy</w:t>
      </w:r>
      <w:r w:rsidR="0075777C" w:rsidRPr="00DD7790">
        <w:t xml:space="preserve"> in improving WHO FC</w:t>
      </w:r>
      <w:r w:rsidR="00715D78" w:rsidRPr="00715D78">
        <w:t xml:space="preserve"> in all PAH patients</w:t>
      </w:r>
      <w:bookmarkEnd w:id="168"/>
    </w:p>
    <w:tbl>
      <w:tblPr>
        <w:tblStyle w:val="TableGrid7"/>
        <w:tblW w:w="9634" w:type="dxa"/>
        <w:tblLayout w:type="fixed"/>
        <w:tblLook w:val="04A0" w:firstRow="1" w:lastRow="0" w:firstColumn="1" w:lastColumn="0" w:noHBand="0" w:noVBand="1"/>
        <w:tblCaption w:val="The effectiveness of an ERA in addition to a PDE-5 inhibitor compared with PDE-5 inhibitor monotherapy in improving WHO FC in all PAH patients"/>
      </w:tblPr>
      <w:tblGrid>
        <w:gridCol w:w="1980"/>
        <w:gridCol w:w="1559"/>
        <w:gridCol w:w="1985"/>
        <w:gridCol w:w="1842"/>
        <w:gridCol w:w="2268"/>
      </w:tblGrid>
      <w:tr w:rsidR="0075777C" w:rsidRPr="00822C52" w:rsidTr="00EC2524">
        <w:trPr>
          <w:trHeight w:val="405"/>
          <w:tblHeader/>
        </w:trPr>
        <w:tc>
          <w:tcPr>
            <w:tcW w:w="1980" w:type="dxa"/>
            <w:vMerge w:val="restart"/>
            <w:shd w:val="clear" w:color="auto" w:fill="BFBFBF" w:themeFill="background1" w:themeFillShade="BF"/>
          </w:tcPr>
          <w:p w:rsidR="0075777C" w:rsidRPr="004F7BBE" w:rsidRDefault="0075777C" w:rsidP="004F7BBE">
            <w:pPr>
              <w:pStyle w:val="Tabletext"/>
              <w:rPr>
                <w:b/>
              </w:rPr>
            </w:pPr>
            <w:r w:rsidRPr="004F7BBE">
              <w:rPr>
                <w:b/>
              </w:rPr>
              <w:t>Study ID</w:t>
            </w:r>
          </w:p>
          <w:p w:rsidR="0075777C" w:rsidRPr="004F7BBE" w:rsidRDefault="0075777C" w:rsidP="004F7BBE">
            <w:pPr>
              <w:pStyle w:val="Tabletext"/>
              <w:rPr>
                <w:b/>
              </w:rPr>
            </w:pPr>
            <w:r w:rsidRPr="004F7BBE">
              <w:rPr>
                <w:b/>
              </w:rPr>
              <w:t>Follow-up period</w:t>
            </w:r>
          </w:p>
          <w:p w:rsidR="0075777C" w:rsidRPr="004F7BBE" w:rsidRDefault="0075777C" w:rsidP="004F7BBE">
            <w:pPr>
              <w:pStyle w:val="Tabletext"/>
              <w:rPr>
                <w:b/>
              </w:rPr>
            </w:pPr>
            <w:r w:rsidRPr="004F7BBE">
              <w:rPr>
                <w:b/>
              </w:rPr>
              <w:t>ERA/PDE-5i</w:t>
            </w:r>
          </w:p>
        </w:tc>
        <w:tc>
          <w:tcPr>
            <w:tcW w:w="1559" w:type="dxa"/>
            <w:vMerge w:val="restart"/>
            <w:shd w:val="clear" w:color="auto" w:fill="BFBFBF" w:themeFill="background1" w:themeFillShade="BF"/>
          </w:tcPr>
          <w:p w:rsidR="0075777C" w:rsidRPr="004F7BBE" w:rsidRDefault="0075777C" w:rsidP="004F7BBE">
            <w:pPr>
              <w:pStyle w:val="Tabletext"/>
              <w:rPr>
                <w:b/>
              </w:rPr>
            </w:pPr>
            <w:r w:rsidRPr="004F7BBE">
              <w:rPr>
                <w:b/>
              </w:rPr>
              <w:t>Change in WHO FC</w:t>
            </w:r>
          </w:p>
        </w:tc>
        <w:tc>
          <w:tcPr>
            <w:tcW w:w="3827" w:type="dxa"/>
            <w:gridSpan w:val="2"/>
            <w:shd w:val="clear" w:color="auto" w:fill="BFBFBF" w:themeFill="background1" w:themeFillShade="BF"/>
          </w:tcPr>
          <w:p w:rsidR="0075777C" w:rsidRPr="004F7BBE" w:rsidRDefault="0075777C" w:rsidP="004F7BBE">
            <w:pPr>
              <w:pStyle w:val="Tabletext"/>
              <w:jc w:val="center"/>
              <w:rPr>
                <w:b/>
              </w:rPr>
            </w:pPr>
            <w:r w:rsidRPr="004F7BBE">
              <w:rPr>
                <w:b/>
              </w:rPr>
              <w:t>n/N (%)</w:t>
            </w:r>
          </w:p>
        </w:tc>
        <w:tc>
          <w:tcPr>
            <w:tcW w:w="2268" w:type="dxa"/>
            <w:vMerge w:val="restart"/>
            <w:shd w:val="clear" w:color="auto" w:fill="BFBFBF" w:themeFill="background1" w:themeFillShade="BF"/>
          </w:tcPr>
          <w:p w:rsidR="0075777C" w:rsidRPr="004F7BBE" w:rsidRDefault="0075777C" w:rsidP="004F7BBE">
            <w:pPr>
              <w:pStyle w:val="Tabletext"/>
              <w:rPr>
                <w:b/>
              </w:rPr>
            </w:pPr>
            <w:r w:rsidRPr="004F7BBE">
              <w:rPr>
                <w:b/>
              </w:rPr>
              <w:t>RR (95% CI)</w:t>
            </w:r>
          </w:p>
        </w:tc>
      </w:tr>
      <w:tr w:rsidR="0075777C" w:rsidRPr="00822C52" w:rsidTr="004F7BBE">
        <w:trPr>
          <w:trHeight w:val="202"/>
          <w:tblHeader/>
        </w:trPr>
        <w:tc>
          <w:tcPr>
            <w:tcW w:w="1980" w:type="dxa"/>
            <w:vMerge/>
            <w:shd w:val="clear" w:color="auto" w:fill="BFBFBF" w:themeFill="background1" w:themeFillShade="BF"/>
          </w:tcPr>
          <w:p w:rsidR="0075777C" w:rsidRPr="00822C52" w:rsidRDefault="0075777C" w:rsidP="004F7BBE">
            <w:pPr>
              <w:pStyle w:val="Tabletext"/>
            </w:pPr>
          </w:p>
        </w:tc>
        <w:tc>
          <w:tcPr>
            <w:tcW w:w="1559" w:type="dxa"/>
            <w:vMerge/>
            <w:shd w:val="clear" w:color="auto" w:fill="BFBFBF" w:themeFill="background1" w:themeFillShade="BF"/>
          </w:tcPr>
          <w:p w:rsidR="0075777C" w:rsidRPr="00822C52" w:rsidRDefault="0075777C" w:rsidP="004F7BBE">
            <w:pPr>
              <w:pStyle w:val="Tabletext"/>
            </w:pPr>
          </w:p>
        </w:tc>
        <w:tc>
          <w:tcPr>
            <w:tcW w:w="1985" w:type="dxa"/>
            <w:shd w:val="clear" w:color="auto" w:fill="BFBFBF" w:themeFill="background1" w:themeFillShade="BF"/>
          </w:tcPr>
          <w:p w:rsidR="0075777C" w:rsidRPr="004F7BBE" w:rsidRDefault="0075777C" w:rsidP="004F7BBE">
            <w:pPr>
              <w:pStyle w:val="Tabletext"/>
              <w:jc w:val="center"/>
              <w:rPr>
                <w:b/>
              </w:rPr>
            </w:pPr>
            <w:r w:rsidRPr="004F7BBE">
              <w:rPr>
                <w:b/>
              </w:rPr>
              <w:t>ERA + PDE-5i</w:t>
            </w:r>
          </w:p>
        </w:tc>
        <w:tc>
          <w:tcPr>
            <w:tcW w:w="1842" w:type="dxa"/>
            <w:shd w:val="clear" w:color="auto" w:fill="BFBFBF" w:themeFill="background1" w:themeFillShade="BF"/>
          </w:tcPr>
          <w:p w:rsidR="0075777C" w:rsidRPr="004F7BBE" w:rsidRDefault="0075777C" w:rsidP="004F7BBE">
            <w:pPr>
              <w:pStyle w:val="Tabletext"/>
              <w:jc w:val="center"/>
              <w:rPr>
                <w:b/>
              </w:rPr>
            </w:pPr>
            <w:r w:rsidRPr="004F7BBE">
              <w:rPr>
                <w:b/>
              </w:rPr>
              <w:t>PDE-5i</w:t>
            </w:r>
          </w:p>
        </w:tc>
        <w:tc>
          <w:tcPr>
            <w:tcW w:w="2268" w:type="dxa"/>
            <w:vMerge/>
            <w:shd w:val="clear" w:color="auto" w:fill="BFBFBF" w:themeFill="background1" w:themeFillShade="BF"/>
          </w:tcPr>
          <w:p w:rsidR="0075777C" w:rsidRPr="00822C52" w:rsidRDefault="0075777C" w:rsidP="004F7BBE">
            <w:pPr>
              <w:pStyle w:val="Tabletext"/>
            </w:pPr>
          </w:p>
        </w:tc>
      </w:tr>
      <w:tr w:rsidR="0075777C" w:rsidRPr="00822C52" w:rsidTr="004F7BBE">
        <w:trPr>
          <w:trHeight w:val="70"/>
        </w:trPr>
        <w:tc>
          <w:tcPr>
            <w:tcW w:w="1980" w:type="dxa"/>
            <w:vMerge w:val="restart"/>
          </w:tcPr>
          <w:p w:rsidR="0075777C" w:rsidRPr="00822C52" w:rsidRDefault="0075777C" w:rsidP="004F7BBE">
            <w:pPr>
              <w:pStyle w:val="Tabletext"/>
            </w:pPr>
            <w:r w:rsidRPr="00822C52">
              <w:t>COMPASS-2</w:t>
            </w:r>
            <w:r w:rsidR="001D34EE" w:rsidRPr="001A1C44">
              <w:rPr>
                <w:noProof/>
                <w:vertAlign w:val="superscript"/>
              </w:rPr>
              <w:t>37</w:t>
            </w:r>
          </w:p>
          <w:p w:rsidR="0075777C" w:rsidRPr="00822C52" w:rsidRDefault="0075777C" w:rsidP="004F7BBE">
            <w:pPr>
              <w:pStyle w:val="Tabletext"/>
            </w:pPr>
            <w:r w:rsidRPr="00822C52">
              <w:t>16 weeks</w:t>
            </w:r>
          </w:p>
          <w:p w:rsidR="0075777C" w:rsidRPr="00822C52" w:rsidRDefault="0075777C" w:rsidP="004F7BBE">
            <w:pPr>
              <w:pStyle w:val="Tabletext"/>
              <w:rPr>
                <w:rFonts w:cs="Tahoma"/>
              </w:rPr>
            </w:pPr>
            <w:r w:rsidRPr="00822C52">
              <w:rPr>
                <w:rFonts w:cs="Tahoma"/>
              </w:rPr>
              <w:t>Bosentan/sildenafil</w:t>
            </w:r>
          </w:p>
        </w:tc>
        <w:tc>
          <w:tcPr>
            <w:tcW w:w="1559" w:type="dxa"/>
          </w:tcPr>
          <w:p w:rsidR="0075777C" w:rsidRPr="00822C52" w:rsidRDefault="0075777C" w:rsidP="004F7BBE">
            <w:pPr>
              <w:pStyle w:val="Tabletext"/>
              <w:rPr>
                <w:rFonts w:cs="Tahoma"/>
              </w:rPr>
            </w:pPr>
            <w:r w:rsidRPr="00822C52">
              <w:rPr>
                <w:rFonts w:cs="Tahoma"/>
              </w:rPr>
              <w:t>Improved</w:t>
            </w:r>
          </w:p>
        </w:tc>
        <w:tc>
          <w:tcPr>
            <w:tcW w:w="1985" w:type="dxa"/>
          </w:tcPr>
          <w:p w:rsidR="0075777C" w:rsidRPr="00822C52" w:rsidRDefault="0075777C" w:rsidP="004F7BBE">
            <w:pPr>
              <w:pStyle w:val="Tabletext"/>
              <w:jc w:val="center"/>
              <w:rPr>
                <w:rFonts w:cs="Tahoma"/>
              </w:rPr>
            </w:pPr>
            <w:r w:rsidRPr="00822C52">
              <w:rPr>
                <w:rFonts w:cs="Tahoma"/>
              </w:rPr>
              <w:t>25/159 (16%)</w:t>
            </w:r>
          </w:p>
        </w:tc>
        <w:tc>
          <w:tcPr>
            <w:tcW w:w="1842" w:type="dxa"/>
          </w:tcPr>
          <w:p w:rsidR="0075777C" w:rsidRPr="00822C52" w:rsidRDefault="0075777C" w:rsidP="004F7BBE">
            <w:pPr>
              <w:pStyle w:val="Tabletext"/>
              <w:jc w:val="center"/>
              <w:rPr>
                <w:rFonts w:cs="Tahoma"/>
              </w:rPr>
            </w:pPr>
            <w:r w:rsidRPr="00822C52">
              <w:rPr>
                <w:rFonts w:cs="Tahoma"/>
              </w:rPr>
              <w:t>28/175 (16%)</w:t>
            </w:r>
          </w:p>
        </w:tc>
        <w:tc>
          <w:tcPr>
            <w:tcW w:w="2268" w:type="dxa"/>
          </w:tcPr>
          <w:p w:rsidR="0075777C" w:rsidRPr="00822C52" w:rsidRDefault="0075777C" w:rsidP="004F7BBE">
            <w:pPr>
              <w:pStyle w:val="Tabletext"/>
              <w:rPr>
                <w:rFonts w:cs="Tahoma"/>
              </w:rPr>
            </w:pPr>
            <w:r w:rsidRPr="00822C52">
              <w:rPr>
                <w:rFonts w:cs="Tahoma"/>
              </w:rPr>
              <w:t>0.98 (0.69, 1.61)</w:t>
            </w:r>
          </w:p>
        </w:tc>
      </w:tr>
      <w:tr w:rsidR="0075777C" w:rsidRPr="00822C52" w:rsidTr="004F7BBE">
        <w:trPr>
          <w:trHeight w:val="70"/>
        </w:trPr>
        <w:tc>
          <w:tcPr>
            <w:tcW w:w="1980" w:type="dxa"/>
            <w:vMerge/>
          </w:tcPr>
          <w:p w:rsidR="0075777C" w:rsidRPr="00822C52" w:rsidRDefault="0075777C" w:rsidP="004F7BBE">
            <w:pPr>
              <w:pStyle w:val="Tabletext"/>
              <w:rPr>
                <w:rFonts w:cs="Tahoma"/>
              </w:rPr>
            </w:pPr>
          </w:p>
        </w:tc>
        <w:tc>
          <w:tcPr>
            <w:tcW w:w="1559" w:type="dxa"/>
          </w:tcPr>
          <w:p w:rsidR="0075777C" w:rsidRPr="00822C52" w:rsidRDefault="0075777C" w:rsidP="004F7BBE">
            <w:pPr>
              <w:pStyle w:val="Tabletext"/>
              <w:rPr>
                <w:rFonts w:cs="Tahoma"/>
              </w:rPr>
            </w:pPr>
            <w:r w:rsidRPr="00822C52">
              <w:rPr>
                <w:rFonts w:cs="Tahoma"/>
              </w:rPr>
              <w:t>Worsened</w:t>
            </w:r>
          </w:p>
        </w:tc>
        <w:tc>
          <w:tcPr>
            <w:tcW w:w="1985" w:type="dxa"/>
          </w:tcPr>
          <w:p w:rsidR="0075777C" w:rsidRPr="00822C52" w:rsidRDefault="0075777C" w:rsidP="004F7BBE">
            <w:pPr>
              <w:pStyle w:val="Tabletext"/>
              <w:jc w:val="center"/>
              <w:rPr>
                <w:rFonts w:cs="Tahoma"/>
              </w:rPr>
            </w:pPr>
            <w:r w:rsidRPr="00822C52">
              <w:rPr>
                <w:rFonts w:cs="Tahoma"/>
              </w:rPr>
              <w:t>13/159 (8%)</w:t>
            </w:r>
          </w:p>
        </w:tc>
        <w:tc>
          <w:tcPr>
            <w:tcW w:w="1842" w:type="dxa"/>
          </w:tcPr>
          <w:p w:rsidR="0075777C" w:rsidRPr="00822C52" w:rsidRDefault="0075777C" w:rsidP="004F7BBE">
            <w:pPr>
              <w:pStyle w:val="Tabletext"/>
              <w:jc w:val="center"/>
              <w:rPr>
                <w:rFonts w:cs="Tahoma"/>
              </w:rPr>
            </w:pPr>
            <w:r w:rsidRPr="00822C52">
              <w:rPr>
                <w:rFonts w:cs="Tahoma"/>
              </w:rPr>
              <w:t>17/175 (10%)</w:t>
            </w:r>
          </w:p>
        </w:tc>
        <w:tc>
          <w:tcPr>
            <w:tcW w:w="2268" w:type="dxa"/>
          </w:tcPr>
          <w:p w:rsidR="0075777C" w:rsidRPr="00822C52" w:rsidRDefault="0075777C" w:rsidP="004F7BBE">
            <w:pPr>
              <w:pStyle w:val="Tabletext"/>
              <w:rPr>
                <w:rFonts w:cs="Tahoma"/>
              </w:rPr>
            </w:pPr>
            <w:r w:rsidRPr="00822C52">
              <w:rPr>
                <w:rFonts w:cs="Tahoma"/>
              </w:rPr>
              <w:t>0.84 (0.42, 1.68)</w:t>
            </w:r>
          </w:p>
        </w:tc>
      </w:tr>
      <w:tr w:rsidR="0075777C" w:rsidRPr="00822C52" w:rsidTr="004F7BBE">
        <w:trPr>
          <w:trHeight w:val="70"/>
        </w:trPr>
        <w:tc>
          <w:tcPr>
            <w:tcW w:w="1980" w:type="dxa"/>
            <w:vMerge w:val="restart"/>
          </w:tcPr>
          <w:p w:rsidR="0075777C" w:rsidRPr="00822C52" w:rsidRDefault="0075777C" w:rsidP="004F7BBE">
            <w:pPr>
              <w:pStyle w:val="Tabletext"/>
            </w:pPr>
            <w:r w:rsidRPr="00822C52">
              <w:t>AMBITION</w:t>
            </w:r>
            <w:r w:rsidR="001D34EE" w:rsidRPr="001A1C44">
              <w:rPr>
                <w:noProof/>
                <w:vertAlign w:val="superscript"/>
              </w:rPr>
              <w:t>30</w:t>
            </w:r>
          </w:p>
          <w:p w:rsidR="0075777C" w:rsidRPr="00822C52" w:rsidRDefault="0075777C" w:rsidP="004F7BBE">
            <w:pPr>
              <w:pStyle w:val="Tabletext"/>
            </w:pPr>
            <w:r w:rsidRPr="00822C52">
              <w:t>24 weeks</w:t>
            </w:r>
          </w:p>
          <w:p w:rsidR="0075777C" w:rsidRPr="00822C52" w:rsidRDefault="0075777C" w:rsidP="004F7BBE">
            <w:pPr>
              <w:pStyle w:val="Tabletext"/>
              <w:rPr>
                <w:rFonts w:cs="Tahoma"/>
              </w:rPr>
            </w:pPr>
            <w:r w:rsidRPr="00822C52">
              <w:rPr>
                <w:rFonts w:cs="Tahoma"/>
              </w:rPr>
              <w:t>Ambrisentan/ tadalafil</w:t>
            </w:r>
          </w:p>
        </w:tc>
        <w:tc>
          <w:tcPr>
            <w:tcW w:w="1559" w:type="dxa"/>
          </w:tcPr>
          <w:p w:rsidR="0075777C" w:rsidRPr="00822C52" w:rsidRDefault="0075777C" w:rsidP="004F7BBE">
            <w:pPr>
              <w:pStyle w:val="Tabletext"/>
              <w:rPr>
                <w:rFonts w:cs="Tahoma"/>
              </w:rPr>
            </w:pPr>
            <w:r w:rsidRPr="00822C52">
              <w:rPr>
                <w:rFonts w:cs="Tahoma"/>
              </w:rPr>
              <w:t>Improved</w:t>
            </w:r>
          </w:p>
        </w:tc>
        <w:tc>
          <w:tcPr>
            <w:tcW w:w="1985" w:type="dxa"/>
          </w:tcPr>
          <w:p w:rsidR="0075777C" w:rsidRPr="00822C52" w:rsidRDefault="0075777C" w:rsidP="004F7BBE">
            <w:pPr>
              <w:pStyle w:val="Tabletext"/>
              <w:jc w:val="center"/>
              <w:rPr>
                <w:rFonts w:cs="Tahoma"/>
              </w:rPr>
            </w:pPr>
            <w:r w:rsidRPr="00822C52">
              <w:rPr>
                <w:rFonts w:cs="Tahoma"/>
              </w:rPr>
              <w:t>94/252 (37%)</w:t>
            </w:r>
          </w:p>
        </w:tc>
        <w:tc>
          <w:tcPr>
            <w:tcW w:w="1842" w:type="dxa"/>
          </w:tcPr>
          <w:p w:rsidR="0075777C" w:rsidRPr="00822C52" w:rsidRDefault="0075777C" w:rsidP="004F7BBE">
            <w:pPr>
              <w:pStyle w:val="Tabletext"/>
              <w:jc w:val="center"/>
              <w:rPr>
                <w:rFonts w:cs="Tahoma"/>
              </w:rPr>
            </w:pPr>
            <w:r w:rsidRPr="00822C52">
              <w:rPr>
                <w:rFonts w:cs="Tahoma"/>
              </w:rPr>
              <w:t>39/120 (33%)</w:t>
            </w:r>
          </w:p>
        </w:tc>
        <w:tc>
          <w:tcPr>
            <w:tcW w:w="2268" w:type="dxa"/>
          </w:tcPr>
          <w:p w:rsidR="0075777C" w:rsidRPr="00822C52" w:rsidRDefault="0075777C" w:rsidP="004F7BBE">
            <w:pPr>
              <w:pStyle w:val="Tabletext"/>
              <w:rPr>
                <w:rFonts w:cs="Tahoma"/>
              </w:rPr>
            </w:pPr>
            <w:r w:rsidRPr="00822C52">
              <w:rPr>
                <w:rFonts w:cs="Tahoma"/>
              </w:rPr>
              <w:t>1.15 (0.85, 1.55)</w:t>
            </w:r>
          </w:p>
        </w:tc>
      </w:tr>
      <w:tr w:rsidR="0075777C" w:rsidRPr="00822C52" w:rsidTr="004F7BBE">
        <w:trPr>
          <w:trHeight w:val="70"/>
        </w:trPr>
        <w:tc>
          <w:tcPr>
            <w:tcW w:w="1980" w:type="dxa"/>
            <w:vMerge/>
          </w:tcPr>
          <w:p w:rsidR="0075777C" w:rsidRPr="00822C52" w:rsidRDefault="0075777C" w:rsidP="004F7BBE">
            <w:pPr>
              <w:pStyle w:val="Tabletext"/>
              <w:rPr>
                <w:rFonts w:cs="Tahoma"/>
              </w:rPr>
            </w:pPr>
          </w:p>
        </w:tc>
        <w:tc>
          <w:tcPr>
            <w:tcW w:w="1559" w:type="dxa"/>
          </w:tcPr>
          <w:p w:rsidR="0075777C" w:rsidRPr="00822C52" w:rsidRDefault="0075777C" w:rsidP="004F7BBE">
            <w:pPr>
              <w:pStyle w:val="Tabletext"/>
              <w:rPr>
                <w:rFonts w:cs="Tahoma"/>
              </w:rPr>
            </w:pPr>
            <w:r w:rsidRPr="00822C52">
              <w:rPr>
                <w:rFonts w:cs="Tahoma"/>
              </w:rPr>
              <w:t>Worsened</w:t>
            </w:r>
          </w:p>
        </w:tc>
        <w:tc>
          <w:tcPr>
            <w:tcW w:w="1985" w:type="dxa"/>
          </w:tcPr>
          <w:p w:rsidR="0075777C" w:rsidRPr="00822C52" w:rsidRDefault="0075777C" w:rsidP="004F7BBE">
            <w:pPr>
              <w:pStyle w:val="Tabletext"/>
              <w:jc w:val="center"/>
              <w:rPr>
                <w:rFonts w:cs="Tahoma"/>
              </w:rPr>
            </w:pPr>
            <w:r w:rsidRPr="00822C52">
              <w:rPr>
                <w:rFonts w:cs="Tahoma"/>
              </w:rPr>
              <w:t>12/252 (5%)</w:t>
            </w:r>
          </w:p>
        </w:tc>
        <w:tc>
          <w:tcPr>
            <w:tcW w:w="1842" w:type="dxa"/>
          </w:tcPr>
          <w:p w:rsidR="0075777C" w:rsidRPr="00822C52" w:rsidRDefault="0075777C" w:rsidP="004F7BBE">
            <w:pPr>
              <w:pStyle w:val="Tabletext"/>
              <w:jc w:val="center"/>
              <w:rPr>
                <w:rFonts w:cs="Tahoma"/>
              </w:rPr>
            </w:pPr>
            <w:r w:rsidRPr="00822C52">
              <w:rPr>
                <w:rFonts w:cs="Tahoma"/>
              </w:rPr>
              <w:t>7/120 (6%)</w:t>
            </w:r>
          </w:p>
        </w:tc>
        <w:tc>
          <w:tcPr>
            <w:tcW w:w="2268" w:type="dxa"/>
          </w:tcPr>
          <w:p w:rsidR="0075777C" w:rsidRPr="00822C52" w:rsidRDefault="0075777C" w:rsidP="004F7BBE">
            <w:pPr>
              <w:pStyle w:val="Tabletext"/>
              <w:rPr>
                <w:rFonts w:cs="Tahoma"/>
              </w:rPr>
            </w:pPr>
            <w:r w:rsidRPr="00822C52">
              <w:rPr>
                <w:rFonts w:cs="Tahoma"/>
              </w:rPr>
              <w:t>1.35 (0.55, 3.33)</w:t>
            </w:r>
          </w:p>
        </w:tc>
      </w:tr>
    </w:tbl>
    <w:p w:rsidR="00715D78" w:rsidRPr="00822C52" w:rsidRDefault="0075777C" w:rsidP="004F7BBE">
      <w:pPr>
        <w:pStyle w:val="Tablenote"/>
      </w:pPr>
      <w:r w:rsidRPr="00822C52">
        <w:t xml:space="preserve">CI = confidence interval; ERA = endothelin receptor antagonist; FC = functional class; n = number of </w:t>
      </w:r>
      <w:r w:rsidR="00715D78">
        <w:t xml:space="preserve">patients with </w:t>
      </w:r>
      <w:r w:rsidRPr="00822C52">
        <w:t xml:space="preserve">events; N = number of patients; </w:t>
      </w:r>
      <w:r w:rsidR="00715D78" w:rsidRPr="009E3B52">
        <w:t xml:space="preserve">PAH = pulmonary arterial hypertension; </w:t>
      </w:r>
      <w:r>
        <w:t xml:space="preserve">PDE-5i </w:t>
      </w:r>
      <w:r w:rsidRPr="00822C52">
        <w:t>= phosphodiesterase type-5</w:t>
      </w:r>
      <w:r>
        <w:t xml:space="preserve"> </w:t>
      </w:r>
      <w:r w:rsidRPr="00822C52">
        <w:t xml:space="preserve">inhibitor; </w:t>
      </w:r>
      <w:r w:rsidR="00715D78" w:rsidRPr="00822C52">
        <w:t xml:space="preserve">RR = relative risk; </w:t>
      </w:r>
      <w:r w:rsidRPr="00822C52">
        <w:t>WHO = World Health Organization</w:t>
      </w:r>
    </w:p>
    <w:p w:rsidR="0075777C" w:rsidRDefault="0075777C" w:rsidP="004F7BBE">
      <w:pPr>
        <w:spacing w:after="40" w:line="240" w:lineRule="auto"/>
      </w:pPr>
      <w:r>
        <w:rPr>
          <w:noProof/>
          <w:lang w:eastAsia="en-AU"/>
        </w:rPr>
        <w:lastRenderedPageBreak/>
        <w:drawing>
          <wp:inline distT="0" distB="0" distL="0" distR="0" wp14:anchorId="12780C61" wp14:editId="227F92DF">
            <wp:extent cx="6114197" cy="3335203"/>
            <wp:effectExtent l="0" t="0" r="1270" b="0"/>
            <wp:docPr id="46" name="Picture 46" descr="The estimated RR for improved WHO FC from the meta-analysis was 1.10 (95% CI 0.85, 1.42). The estimated RR for worsened WHO FC from the meta-analysis was 1.00 (95% CI 0.58, 1.73)." title="Forest plot showing the RR of improving or worsening in WHO FC while being treated with an ERA and a PDE-5 inhibitor compared with PDE-5 inhibitor alone in all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6169692" cy="3365475"/>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DD7790" w:rsidRDefault="004F7BBE" w:rsidP="00BC5A2B">
      <w:pPr>
        <w:pStyle w:val="Caption"/>
        <w:rPr>
          <w:rFonts w:ascii="Arial Narrow" w:hAnsi="Arial Narrow" w:cs="Tahoma"/>
          <w:u w:val="single"/>
        </w:rPr>
      </w:pPr>
      <w:bookmarkStart w:id="169" w:name="_Ref506300632"/>
      <w:bookmarkStart w:id="170" w:name="_Toc512855585"/>
      <w:r>
        <w:t>Figure 4.</w:t>
      </w:r>
      <w:r w:rsidR="00AA722D">
        <w:rPr>
          <w:noProof/>
        </w:rPr>
        <w:t>12</w:t>
      </w:r>
      <w:bookmarkEnd w:id="169"/>
      <w:r>
        <w:tab/>
      </w:r>
      <w:r w:rsidR="0075777C" w:rsidRPr="00DD7790">
        <w:t>Forest plot showing the RR of improving or worsening in WHO FC while being treated with an ERA and a PDE-5 inhibitor compared with PDE-5 inhibitor alone in all PAH patients</w:t>
      </w:r>
      <w:bookmarkEnd w:id="170"/>
    </w:p>
    <w:p w:rsidR="00715D78" w:rsidRPr="00822C52" w:rsidRDefault="0075777C" w:rsidP="004F7BBE">
      <w:pPr>
        <w:pStyle w:val="Tablenote"/>
      </w:pPr>
      <w:r w:rsidRPr="00822C52">
        <w:t xml:space="preserve">CI = confidence interval; ERA = </w:t>
      </w:r>
      <w:r w:rsidR="0006512A">
        <w:t>endothelin receptor</w:t>
      </w:r>
      <w:r w:rsidRPr="00822C52">
        <w:t xml:space="preserve"> antagonists; </w:t>
      </w:r>
      <w:r w:rsidR="00715D78" w:rsidRPr="006F774E">
        <w:t xml:space="preserve">FC = functional class; </w:t>
      </w:r>
      <w:r w:rsidRPr="00822C52">
        <w:t xml:space="preserve">N = number of patients; </w:t>
      </w:r>
      <w:r w:rsidR="00715D78" w:rsidRPr="00715D78">
        <w:t xml:space="preserve">PAH = pulmonary arterial hypertension; </w:t>
      </w:r>
      <w:r>
        <w:t>PDE-5i</w:t>
      </w:r>
      <w:r w:rsidRPr="00822C52">
        <w:t xml:space="preserve"> = phosphodiesterase type-5 inhibitor; RR = relative risk</w:t>
      </w:r>
      <w:r w:rsidR="00715D78" w:rsidRPr="00F20C66">
        <w:t xml:space="preserve">; </w:t>
      </w:r>
      <w:r w:rsidR="00715D78" w:rsidRPr="009E3B52">
        <w:t>WHO = World Health Organization</w:t>
      </w:r>
    </w:p>
    <w:p w:rsidR="0075777C" w:rsidRPr="00822C52" w:rsidRDefault="007B6C7C" w:rsidP="0075777C">
      <w:pPr>
        <w:pStyle w:val="Heading5"/>
      </w:pPr>
      <w:r>
        <w:t>e</w:t>
      </w:r>
      <w:r w:rsidR="0077344D">
        <w:t>.</w:t>
      </w:r>
      <w:r>
        <w:tab/>
      </w:r>
      <w:r w:rsidR="0075777C" w:rsidRPr="00822C52">
        <w:t xml:space="preserve">Change in 6MWD from baseline </w:t>
      </w:r>
    </w:p>
    <w:p w:rsidR="0075777C" w:rsidRPr="00B607A5" w:rsidRDefault="007B6C7C" w:rsidP="0077344D">
      <w:pPr>
        <w:pStyle w:val="Heading6"/>
      </w:pPr>
      <w:r w:rsidRPr="00B607A5">
        <w:t>e</w:t>
      </w:r>
      <w:r w:rsidR="0075777C" w:rsidRPr="00B607A5">
        <w:t>.i</w:t>
      </w:r>
      <w:r w:rsidR="0075777C" w:rsidRPr="00B607A5">
        <w:tab/>
        <w:t>PAH patients, irrespective of disease severity or aetiology</w:t>
      </w:r>
    </w:p>
    <w:p w:rsidR="0075777C" w:rsidRPr="00822C52" w:rsidRDefault="0075777C" w:rsidP="006D5751">
      <w:pPr>
        <w:spacing w:before="0" w:line="240" w:lineRule="auto"/>
      </w:pPr>
      <w:r w:rsidRPr="00822C52">
        <w:t xml:space="preserve">All four RCTs reported on the change in 6MWD in patients receiving ERA + </w:t>
      </w:r>
      <w:r>
        <w:t>PDE-5 inhibitor</w:t>
      </w:r>
      <w:r w:rsidRPr="00822C52">
        <w:t xml:space="preserve"> combination therapy compared to those receiving </w:t>
      </w:r>
      <w:r>
        <w:t>PDE-5 inhibitor</w:t>
      </w:r>
      <w:r w:rsidRPr="00822C52">
        <w:t xml:space="preserve"> monotherapy over the study period</w:t>
      </w:r>
      <w:r>
        <w:t xml:space="preserve"> (</w:t>
      </w:r>
      <w:r w:rsidR="006D5751">
        <w:t>Table 4.51</w:t>
      </w:r>
      <w:r>
        <w:t>)</w:t>
      </w:r>
      <w:r w:rsidRPr="00822C52">
        <w:t>. All studies</w:t>
      </w:r>
      <w:r w:rsidR="007162D0">
        <w:t>, except the EARLY study,</w:t>
      </w:r>
      <w:r w:rsidRPr="00822C52">
        <w:t xml:space="preserve"> showed a greater improvement in patients receiving combination therapy than those on monotherapy. In the EARLY study, one patient out of 14 in ERA+</w:t>
      </w:r>
      <w:r>
        <w:t>PDE-5 inhibitor</w:t>
      </w:r>
      <w:r w:rsidRPr="00822C52">
        <w:t xml:space="preserve"> subgroup died, and was deemed to have 6MWD of 0</w:t>
      </w:r>
      <w:r w:rsidR="00B60655">
        <w:t> </w:t>
      </w:r>
      <w:r>
        <w:t>m</w:t>
      </w:r>
      <w:r w:rsidRPr="00822C52">
        <w:t>. This had a large impact on the small subgroup, hence, the median difference in 6MWD, which favoured combination therapy, may be a more accurate reflection of the study outcome. The mean difference reached statistical significance in two RCTs</w:t>
      </w:r>
      <w:r>
        <w:t xml:space="preserve"> but it was not clinically important in any of them (see Section 4.</w:t>
      </w:r>
      <w:r w:rsidR="0002253F">
        <w:t>3.5</w:t>
      </w:r>
      <w:r>
        <w:t>)</w:t>
      </w:r>
      <w:r w:rsidRPr="00822C52">
        <w:t>.</w:t>
      </w:r>
    </w:p>
    <w:p w:rsidR="005267B0" w:rsidRDefault="005267B0">
      <w:pPr>
        <w:spacing w:before="0" w:line="240" w:lineRule="auto"/>
        <w:rPr>
          <w:rFonts w:ascii="Arial" w:hAnsi="Arial"/>
          <w:b/>
          <w:iCs/>
          <w:sz w:val="20"/>
          <w:szCs w:val="18"/>
        </w:rPr>
      </w:pPr>
      <w:bookmarkStart w:id="171" w:name="_Ref505252135"/>
      <w:r>
        <w:br w:type="page"/>
      </w:r>
    </w:p>
    <w:p w:rsidR="0075777C" w:rsidRDefault="00272F8F" w:rsidP="00BC5A2B">
      <w:pPr>
        <w:pStyle w:val="Caption"/>
      </w:pPr>
      <w:bookmarkStart w:id="172" w:name="_Toc512855455"/>
      <w:r>
        <w:lastRenderedPageBreak/>
        <w:t>Table 4.</w:t>
      </w:r>
      <w:r w:rsidR="00AA722D">
        <w:rPr>
          <w:noProof/>
        </w:rPr>
        <w:t>51</w:t>
      </w:r>
      <w:bookmarkEnd w:id="171"/>
      <w:r w:rsidR="004F7BBE">
        <w:tab/>
      </w:r>
      <w:r w:rsidR="0075777C" w:rsidRPr="00DD7790">
        <w:t xml:space="preserve">The effectiveness of </w:t>
      </w:r>
      <w:r w:rsidR="00EB768B">
        <w:t xml:space="preserve">an </w:t>
      </w:r>
      <w:r w:rsidR="00EB768B" w:rsidRPr="00A32D31">
        <w:t xml:space="preserve">ERA </w:t>
      </w:r>
      <w:r w:rsidR="00385078">
        <w:t>in addition to</w:t>
      </w:r>
      <w:r w:rsidR="00385078" w:rsidRPr="00A32D31">
        <w:t xml:space="preserve"> </w:t>
      </w:r>
      <w:r w:rsidR="00385078">
        <w:t xml:space="preserve">a </w:t>
      </w:r>
      <w:r w:rsidR="00385078" w:rsidRPr="00A32D31">
        <w:t xml:space="preserve">PDE-5 inhibitor compared with PDE-5 inhibitor </w:t>
      </w:r>
      <w:r w:rsidR="00385078">
        <w:t xml:space="preserve">monotherapy </w:t>
      </w:r>
      <w:r w:rsidR="0075777C" w:rsidRPr="00DD7790">
        <w:t>in improving 6MWD in all PAH patients</w:t>
      </w:r>
      <w:bookmarkEnd w:id="172"/>
    </w:p>
    <w:tbl>
      <w:tblPr>
        <w:tblStyle w:val="TableGrid"/>
        <w:tblW w:w="9634" w:type="dxa"/>
        <w:tblLayout w:type="fixed"/>
        <w:tblLook w:val="04A0" w:firstRow="1" w:lastRow="0" w:firstColumn="1" w:lastColumn="0" w:noHBand="0" w:noVBand="1"/>
        <w:tblCaption w:val="The effectiveness of an ERA in addition to a PDE-5 inhibitor compared with PDE-5 inhibitor monotherapy in improving 6MWD in all PAH patients"/>
      </w:tblPr>
      <w:tblGrid>
        <w:gridCol w:w="1555"/>
        <w:gridCol w:w="850"/>
        <w:gridCol w:w="1417"/>
        <w:gridCol w:w="1418"/>
        <w:gridCol w:w="1417"/>
        <w:gridCol w:w="1418"/>
        <w:gridCol w:w="1559"/>
      </w:tblGrid>
      <w:tr w:rsidR="0075777C" w:rsidTr="00F0201F">
        <w:trPr>
          <w:cnfStyle w:val="100000000000" w:firstRow="1" w:lastRow="0" w:firstColumn="0" w:lastColumn="0" w:oddVBand="0" w:evenVBand="0" w:oddHBand="0" w:evenHBand="0" w:firstRowFirstColumn="0" w:firstRowLastColumn="0" w:lastRowFirstColumn="0" w:lastRowLastColumn="0"/>
        </w:trPr>
        <w:tc>
          <w:tcPr>
            <w:tcW w:w="1555" w:type="dxa"/>
            <w:vMerge w:val="restart"/>
            <w:shd w:val="clear" w:color="auto" w:fill="BFBFBF" w:themeFill="background1" w:themeFillShade="BF"/>
          </w:tcPr>
          <w:p w:rsidR="0075777C" w:rsidRPr="004F7BBE" w:rsidRDefault="0075777C" w:rsidP="004F7BBE">
            <w:pPr>
              <w:pStyle w:val="Tabletext"/>
              <w:rPr>
                <w:b/>
              </w:rPr>
            </w:pPr>
            <w:r w:rsidRPr="004F7BBE">
              <w:rPr>
                <w:b/>
              </w:rPr>
              <w:t>Study ID</w:t>
            </w:r>
          </w:p>
          <w:p w:rsidR="0075777C" w:rsidRPr="004F7BBE" w:rsidRDefault="0075777C" w:rsidP="004F7BBE">
            <w:pPr>
              <w:pStyle w:val="Tabletext"/>
              <w:rPr>
                <w:b/>
              </w:rPr>
            </w:pPr>
            <w:r w:rsidRPr="004F7BBE">
              <w:rPr>
                <w:b/>
              </w:rPr>
              <w:t>ERA/PDE-5i</w:t>
            </w:r>
          </w:p>
        </w:tc>
        <w:tc>
          <w:tcPr>
            <w:tcW w:w="850" w:type="dxa"/>
            <w:vMerge w:val="restart"/>
            <w:shd w:val="clear" w:color="auto" w:fill="BFBFBF" w:themeFill="background1" w:themeFillShade="BF"/>
          </w:tcPr>
          <w:p w:rsidR="0075777C" w:rsidRPr="004F7BBE" w:rsidRDefault="0075777C" w:rsidP="004F7BBE">
            <w:pPr>
              <w:pStyle w:val="Tabletext"/>
              <w:rPr>
                <w:b/>
              </w:rPr>
            </w:pPr>
            <w:r w:rsidRPr="004F7BBE">
              <w:rPr>
                <w:b/>
              </w:rPr>
              <w:t>N</w:t>
            </w:r>
          </w:p>
          <w:p w:rsidR="0075777C" w:rsidRPr="004F7BBE" w:rsidRDefault="0075777C" w:rsidP="004F7BBE">
            <w:pPr>
              <w:pStyle w:val="Tabletext"/>
              <w:rPr>
                <w:b/>
              </w:rPr>
            </w:pPr>
            <w:r w:rsidRPr="004F7BBE">
              <w:rPr>
                <w:b/>
              </w:rPr>
              <w:t>Time point</w:t>
            </w:r>
          </w:p>
        </w:tc>
        <w:tc>
          <w:tcPr>
            <w:tcW w:w="2835" w:type="dxa"/>
            <w:gridSpan w:val="2"/>
            <w:shd w:val="clear" w:color="auto" w:fill="BFBFBF" w:themeFill="background1" w:themeFillShade="BF"/>
          </w:tcPr>
          <w:p w:rsidR="0075777C" w:rsidRPr="004F7BBE" w:rsidRDefault="00EC2524" w:rsidP="00EC2524">
            <w:pPr>
              <w:pStyle w:val="Tabletext"/>
              <w:jc w:val="center"/>
              <w:rPr>
                <w:b/>
              </w:rPr>
            </w:pPr>
            <w:r>
              <w:rPr>
                <w:b/>
              </w:rPr>
              <w:t>M</w:t>
            </w:r>
            <w:r w:rsidR="0075777C" w:rsidRPr="004F7BBE">
              <w:rPr>
                <w:b/>
              </w:rPr>
              <w:t xml:space="preserve">ean ± SD (95% CI) </w:t>
            </w:r>
            <w:r>
              <w:rPr>
                <w:b/>
              </w:rPr>
              <w:t>b</w:t>
            </w:r>
            <w:r w:rsidRPr="004F7BBE">
              <w:rPr>
                <w:b/>
              </w:rPr>
              <w:t>aseline</w:t>
            </w:r>
            <w:r>
              <w:rPr>
                <w:b/>
              </w:rPr>
              <w:t xml:space="preserve"> 6MWD,</w:t>
            </w:r>
            <w:r w:rsidRPr="004F7BBE">
              <w:rPr>
                <w:b/>
              </w:rPr>
              <w:t xml:space="preserve"> </w:t>
            </w:r>
            <w:r w:rsidR="0075777C" w:rsidRPr="004F7BBE">
              <w:rPr>
                <w:b/>
              </w:rPr>
              <w:t>met</w:t>
            </w:r>
            <w:r>
              <w:rPr>
                <w:b/>
              </w:rPr>
              <w:t>e</w:t>
            </w:r>
            <w:r w:rsidR="0075777C" w:rsidRPr="004F7BBE">
              <w:rPr>
                <w:b/>
              </w:rPr>
              <w:t>rs</w:t>
            </w:r>
          </w:p>
        </w:tc>
        <w:tc>
          <w:tcPr>
            <w:tcW w:w="2835" w:type="dxa"/>
            <w:gridSpan w:val="2"/>
            <w:shd w:val="clear" w:color="auto" w:fill="BFBFBF" w:themeFill="background1" w:themeFillShade="BF"/>
          </w:tcPr>
          <w:p w:rsidR="0075777C" w:rsidRPr="004F7BBE" w:rsidRDefault="0075777C" w:rsidP="00EC2524">
            <w:pPr>
              <w:pStyle w:val="Tabletext"/>
              <w:jc w:val="center"/>
              <w:rPr>
                <w:b/>
              </w:rPr>
            </w:pPr>
            <w:r w:rsidRPr="004F7BBE">
              <w:rPr>
                <w:b/>
              </w:rPr>
              <w:t>Mean c</w:t>
            </w:r>
            <w:r w:rsidRPr="004F7BBE">
              <w:rPr>
                <w:rFonts w:asciiTheme="minorHAnsi" w:hAnsiTheme="minorHAnsi"/>
                <w:b/>
              </w:rPr>
              <w:t>hange from baseline ± SD (95% CI),</w:t>
            </w:r>
            <w:r w:rsidRPr="004F7BBE">
              <w:rPr>
                <w:b/>
              </w:rPr>
              <w:t xml:space="preserve"> mete</w:t>
            </w:r>
            <w:r w:rsidR="00EC2524">
              <w:rPr>
                <w:b/>
              </w:rPr>
              <w:t>r</w:t>
            </w:r>
            <w:r w:rsidRPr="004F7BBE">
              <w:rPr>
                <w:b/>
              </w:rPr>
              <w:t>s</w:t>
            </w:r>
          </w:p>
        </w:tc>
        <w:tc>
          <w:tcPr>
            <w:tcW w:w="1559" w:type="dxa"/>
            <w:vMerge w:val="restart"/>
            <w:shd w:val="clear" w:color="auto" w:fill="BFBFBF" w:themeFill="background1" w:themeFillShade="BF"/>
          </w:tcPr>
          <w:p w:rsidR="0075777C" w:rsidRPr="004F7BBE" w:rsidRDefault="0075777C" w:rsidP="00EC2524">
            <w:pPr>
              <w:pStyle w:val="Tabletext"/>
              <w:rPr>
                <w:b/>
              </w:rPr>
            </w:pPr>
            <w:r w:rsidRPr="004F7BBE">
              <w:rPr>
                <w:rFonts w:asciiTheme="minorHAnsi" w:hAnsiTheme="minorHAnsi"/>
                <w:b/>
              </w:rPr>
              <w:t xml:space="preserve">Mean difference </w:t>
            </w:r>
            <w:r w:rsidRPr="004F7BBE">
              <w:rPr>
                <w:b/>
              </w:rPr>
              <w:t>(95% CI), met</w:t>
            </w:r>
            <w:r w:rsidR="00EC2524">
              <w:rPr>
                <w:b/>
              </w:rPr>
              <w:t>e</w:t>
            </w:r>
            <w:r w:rsidRPr="004F7BBE">
              <w:rPr>
                <w:b/>
              </w:rPr>
              <w:t xml:space="preserve">rs </w:t>
            </w:r>
          </w:p>
        </w:tc>
      </w:tr>
      <w:tr w:rsidR="0075777C" w:rsidTr="00F0201F">
        <w:tc>
          <w:tcPr>
            <w:tcW w:w="1555" w:type="dxa"/>
            <w:vMerge/>
          </w:tcPr>
          <w:p w:rsidR="0075777C" w:rsidRDefault="0075777C" w:rsidP="004F7BBE">
            <w:pPr>
              <w:pStyle w:val="Tabletext"/>
            </w:pPr>
          </w:p>
        </w:tc>
        <w:tc>
          <w:tcPr>
            <w:tcW w:w="850" w:type="dxa"/>
            <w:vMerge/>
          </w:tcPr>
          <w:p w:rsidR="0075777C" w:rsidRDefault="0075777C" w:rsidP="004F7BBE">
            <w:pPr>
              <w:pStyle w:val="Tabletext"/>
            </w:pPr>
          </w:p>
        </w:tc>
        <w:tc>
          <w:tcPr>
            <w:tcW w:w="1417" w:type="dxa"/>
            <w:shd w:val="clear" w:color="auto" w:fill="BFBFBF" w:themeFill="background1" w:themeFillShade="BF"/>
          </w:tcPr>
          <w:p w:rsidR="0075777C" w:rsidRPr="004F7BBE" w:rsidRDefault="0075777C" w:rsidP="004F7BBE">
            <w:pPr>
              <w:pStyle w:val="Tabletext"/>
              <w:jc w:val="center"/>
              <w:rPr>
                <w:b/>
              </w:rPr>
            </w:pPr>
            <w:r w:rsidRPr="004F7BBE">
              <w:rPr>
                <w:rFonts w:asciiTheme="minorHAnsi" w:hAnsiTheme="minorHAnsi"/>
                <w:b/>
              </w:rPr>
              <w:t>ERA + PDE-5i</w:t>
            </w:r>
          </w:p>
        </w:tc>
        <w:tc>
          <w:tcPr>
            <w:tcW w:w="1418" w:type="dxa"/>
            <w:shd w:val="clear" w:color="auto" w:fill="BFBFBF" w:themeFill="background1" w:themeFillShade="BF"/>
          </w:tcPr>
          <w:p w:rsidR="0075777C" w:rsidRPr="004F7BBE" w:rsidRDefault="0075777C" w:rsidP="004F7BBE">
            <w:pPr>
              <w:pStyle w:val="Tabletext"/>
              <w:jc w:val="center"/>
              <w:rPr>
                <w:b/>
              </w:rPr>
            </w:pPr>
            <w:r w:rsidRPr="004F7BBE">
              <w:rPr>
                <w:rFonts w:asciiTheme="minorHAnsi" w:hAnsiTheme="minorHAnsi"/>
                <w:b/>
              </w:rPr>
              <w:t>PDE-5i</w:t>
            </w:r>
          </w:p>
        </w:tc>
        <w:tc>
          <w:tcPr>
            <w:tcW w:w="1417" w:type="dxa"/>
            <w:shd w:val="clear" w:color="auto" w:fill="BFBFBF" w:themeFill="background1" w:themeFillShade="BF"/>
          </w:tcPr>
          <w:p w:rsidR="0075777C" w:rsidRPr="004F7BBE" w:rsidRDefault="0075777C" w:rsidP="004F7BBE">
            <w:pPr>
              <w:pStyle w:val="Tabletext"/>
              <w:jc w:val="center"/>
              <w:rPr>
                <w:b/>
              </w:rPr>
            </w:pPr>
            <w:r w:rsidRPr="004F7BBE">
              <w:rPr>
                <w:rFonts w:asciiTheme="minorHAnsi" w:hAnsiTheme="minorHAnsi"/>
                <w:b/>
              </w:rPr>
              <w:t>ERA + PDE-5i</w:t>
            </w:r>
          </w:p>
        </w:tc>
        <w:tc>
          <w:tcPr>
            <w:tcW w:w="1418" w:type="dxa"/>
            <w:shd w:val="clear" w:color="auto" w:fill="BFBFBF" w:themeFill="background1" w:themeFillShade="BF"/>
          </w:tcPr>
          <w:p w:rsidR="0075777C" w:rsidRPr="004F7BBE" w:rsidRDefault="0075777C" w:rsidP="004F7BBE">
            <w:pPr>
              <w:pStyle w:val="Tabletext"/>
              <w:jc w:val="center"/>
              <w:rPr>
                <w:b/>
              </w:rPr>
            </w:pPr>
            <w:r w:rsidRPr="004F7BBE">
              <w:rPr>
                <w:rFonts w:asciiTheme="minorHAnsi" w:hAnsiTheme="minorHAnsi"/>
                <w:b/>
              </w:rPr>
              <w:t>PDE-5i</w:t>
            </w:r>
          </w:p>
        </w:tc>
        <w:tc>
          <w:tcPr>
            <w:tcW w:w="1559" w:type="dxa"/>
            <w:vMerge/>
          </w:tcPr>
          <w:p w:rsidR="0075777C" w:rsidRDefault="0075777C" w:rsidP="004F7BBE">
            <w:pPr>
              <w:pStyle w:val="Tabletext"/>
            </w:pPr>
          </w:p>
        </w:tc>
      </w:tr>
      <w:tr w:rsidR="0075777C" w:rsidTr="00F0201F">
        <w:tc>
          <w:tcPr>
            <w:tcW w:w="1555" w:type="dxa"/>
          </w:tcPr>
          <w:p w:rsidR="0075777C" w:rsidRPr="00822C52" w:rsidRDefault="0075777C" w:rsidP="004F7BBE">
            <w:pPr>
              <w:pStyle w:val="Tabletext"/>
              <w:rPr>
                <w:rFonts w:cs="Tahoma"/>
              </w:rPr>
            </w:pPr>
            <w:r w:rsidRPr="00822C52">
              <w:rPr>
                <w:rFonts w:cs="Tahoma"/>
              </w:rPr>
              <w:t>EARLY</w:t>
            </w:r>
            <w:r>
              <w:rPr>
                <w:rFonts w:cs="Tahoma"/>
              </w:rPr>
              <w:t xml:space="preserve"> </w:t>
            </w:r>
            <w:r w:rsidRPr="004D0C0E">
              <w:rPr>
                <w:rFonts w:cs="Tahoma"/>
                <w:vertAlign w:val="superscript"/>
              </w:rPr>
              <w:t>a</w:t>
            </w:r>
          </w:p>
          <w:p w:rsidR="0075777C" w:rsidRPr="00822C52" w:rsidRDefault="0075777C" w:rsidP="004F7BBE">
            <w:pPr>
              <w:pStyle w:val="Tabletext"/>
              <w:rPr>
                <w:rFonts w:cs="Tahoma"/>
              </w:rPr>
            </w:pPr>
            <w:r w:rsidRPr="00822C52">
              <w:rPr>
                <w:rFonts w:cs="Tahoma"/>
              </w:rPr>
              <w:t>Galiè et al. (2008)</w:t>
            </w:r>
            <w:r w:rsidR="001D34EE" w:rsidRPr="001D34EE">
              <w:rPr>
                <w:rFonts w:cs="Tahoma"/>
                <w:noProof/>
                <w:vertAlign w:val="superscript"/>
              </w:rPr>
              <w:t>9</w:t>
            </w:r>
            <w:r w:rsidRPr="00822C52">
              <w:rPr>
                <w:rFonts w:cs="Tahoma"/>
              </w:rPr>
              <w:t xml:space="preserve"> and CSR</w:t>
            </w:r>
          </w:p>
          <w:p w:rsidR="0075777C" w:rsidRPr="00822C52" w:rsidRDefault="0075777C" w:rsidP="004F7BBE">
            <w:pPr>
              <w:pStyle w:val="Tabletext"/>
              <w:rPr>
                <w:rFonts w:cs="Tahoma"/>
              </w:rPr>
            </w:pPr>
            <w:r w:rsidRPr="00822C52">
              <w:rPr>
                <w:rFonts w:cs="Tahoma"/>
              </w:rPr>
              <w:t>WHO FC II</w:t>
            </w:r>
          </w:p>
          <w:p w:rsidR="0075777C" w:rsidRDefault="0075777C" w:rsidP="004F7BBE">
            <w:pPr>
              <w:pStyle w:val="Tabletext"/>
            </w:pPr>
            <w:r w:rsidRPr="00822C52">
              <w:rPr>
                <w:rFonts w:cs="Tahoma"/>
              </w:rPr>
              <w:t>Bosentan/ sildenafil</w:t>
            </w:r>
          </w:p>
        </w:tc>
        <w:tc>
          <w:tcPr>
            <w:tcW w:w="850" w:type="dxa"/>
          </w:tcPr>
          <w:p w:rsidR="0075777C" w:rsidRPr="00822C52" w:rsidRDefault="0075777C" w:rsidP="004F7BBE">
            <w:pPr>
              <w:pStyle w:val="Tabletext"/>
              <w:rPr>
                <w:rFonts w:cs="Tahoma"/>
              </w:rPr>
            </w:pPr>
            <w:r w:rsidRPr="00822C52">
              <w:rPr>
                <w:rFonts w:cs="Tahoma"/>
              </w:rPr>
              <w:t>N=28</w:t>
            </w:r>
          </w:p>
          <w:p w:rsidR="0075777C" w:rsidRDefault="0075777C" w:rsidP="004F7BBE">
            <w:pPr>
              <w:pStyle w:val="Tabletext"/>
            </w:pPr>
            <w:r w:rsidRPr="00822C52">
              <w:rPr>
                <w:rFonts w:cs="Tahoma"/>
              </w:rPr>
              <w:t>26 weeks</w:t>
            </w:r>
          </w:p>
        </w:tc>
        <w:tc>
          <w:tcPr>
            <w:tcW w:w="1417" w:type="dxa"/>
          </w:tcPr>
          <w:p w:rsidR="0075777C" w:rsidRPr="00822C52" w:rsidRDefault="0075777C" w:rsidP="004F7BBE">
            <w:pPr>
              <w:pStyle w:val="Tabletext"/>
              <w:jc w:val="center"/>
              <w:rPr>
                <w:rFonts w:cs="Tahoma"/>
              </w:rPr>
            </w:pPr>
            <w:r w:rsidRPr="00822C52">
              <w:rPr>
                <w:rFonts w:cs="Tahoma"/>
              </w:rPr>
              <w:t>Mean:</w:t>
            </w:r>
          </w:p>
          <w:p w:rsidR="0075777C" w:rsidRPr="00A17B9D" w:rsidRDefault="00A17B9D" w:rsidP="004F7BBE">
            <w:pPr>
              <w:pStyle w:val="Tabletext"/>
              <w:jc w:val="center"/>
              <w:rPr>
                <w:rFonts w:cs="Tahoma"/>
                <w:highlight w:val="black"/>
              </w:rPr>
            </w:pPr>
            <w:r>
              <w:rPr>
                <w:rFonts w:cs="Tahoma"/>
                <w:noProof/>
                <w:color w:val="000000"/>
                <w:highlight w:val="black"/>
              </w:rPr>
              <w:t>''''''''''''</w:t>
            </w:r>
            <w:r>
              <w:rPr>
                <w:rFonts w:cs="Tahoma"/>
                <w:noProof/>
                <w:color w:val="000000"/>
                <w:highlight w:val="black"/>
              </w:rPr>
              <w:br/>
              <w:t>''''''''''''''''' ''''''''''''''</w:t>
            </w:r>
          </w:p>
          <w:p w:rsidR="0075777C" w:rsidRPr="00822C52" w:rsidRDefault="0075777C" w:rsidP="004F7BBE">
            <w:pPr>
              <w:pStyle w:val="Tabletext"/>
              <w:jc w:val="center"/>
              <w:rPr>
                <w:rFonts w:cs="Tahoma"/>
              </w:rPr>
            </w:pPr>
            <w:r w:rsidRPr="00822C52">
              <w:rPr>
                <w:rFonts w:cs="Tahoma"/>
              </w:rPr>
              <w:t>Median:</w:t>
            </w:r>
          </w:p>
          <w:p w:rsidR="0075777C" w:rsidRPr="00A17B9D" w:rsidRDefault="00A17B9D" w:rsidP="00F0201F">
            <w:pPr>
              <w:pStyle w:val="Tabletext"/>
              <w:jc w:val="center"/>
              <w:rPr>
                <w:highlight w:val="black"/>
              </w:rPr>
            </w:pPr>
            <w:r>
              <w:rPr>
                <w:rFonts w:cs="Tahoma"/>
                <w:noProof/>
                <w:color w:val="000000"/>
                <w:highlight w:val="black"/>
              </w:rPr>
              <w:t>''''''''''''</w:t>
            </w:r>
            <w:r>
              <w:rPr>
                <w:rFonts w:cs="Tahoma"/>
                <w:noProof/>
                <w:color w:val="000000"/>
                <w:highlight w:val="black"/>
              </w:rPr>
              <w:br/>
              <w:t>''''''''''''''''' ''''''''''''''</w:t>
            </w:r>
          </w:p>
        </w:tc>
        <w:tc>
          <w:tcPr>
            <w:tcW w:w="1418" w:type="dxa"/>
          </w:tcPr>
          <w:p w:rsidR="0075777C" w:rsidRPr="00822C52" w:rsidRDefault="0075777C" w:rsidP="004F7BBE">
            <w:pPr>
              <w:pStyle w:val="Tabletext"/>
              <w:jc w:val="center"/>
              <w:rPr>
                <w:rFonts w:cs="Tahoma"/>
              </w:rPr>
            </w:pPr>
            <w:r w:rsidRPr="00822C52">
              <w:rPr>
                <w:rFonts w:cs="Tahoma"/>
              </w:rPr>
              <w:t>Mean:</w:t>
            </w:r>
          </w:p>
          <w:p w:rsidR="0075777C" w:rsidRPr="00A17B9D" w:rsidRDefault="00A17B9D" w:rsidP="004F7BBE">
            <w:pPr>
              <w:pStyle w:val="Tabletext"/>
              <w:jc w:val="center"/>
              <w:rPr>
                <w:rFonts w:cs="Tahoma"/>
                <w:highlight w:val="black"/>
              </w:rPr>
            </w:pPr>
            <w:r>
              <w:rPr>
                <w:rFonts w:cs="Tahoma"/>
                <w:noProof/>
                <w:color w:val="000000"/>
                <w:highlight w:val="black"/>
              </w:rPr>
              <w:t>'''''''''''''''</w:t>
            </w:r>
            <w:r>
              <w:rPr>
                <w:rFonts w:cs="Tahoma"/>
                <w:noProof/>
                <w:color w:val="000000"/>
                <w:highlight w:val="black"/>
              </w:rPr>
              <w:br/>
              <w:t>'''''''''''''''''' '''''''''''''''</w:t>
            </w:r>
          </w:p>
          <w:p w:rsidR="0075777C" w:rsidRPr="00822C52" w:rsidRDefault="0075777C" w:rsidP="004F7BBE">
            <w:pPr>
              <w:pStyle w:val="Tabletext"/>
              <w:jc w:val="center"/>
              <w:rPr>
                <w:rFonts w:cs="Tahoma"/>
              </w:rPr>
            </w:pPr>
            <w:r w:rsidRPr="00822C52">
              <w:rPr>
                <w:rFonts w:cs="Tahoma"/>
              </w:rPr>
              <w:t>Median:</w:t>
            </w:r>
          </w:p>
          <w:p w:rsidR="0075777C" w:rsidRPr="00A17B9D" w:rsidRDefault="00A17B9D" w:rsidP="00F0201F">
            <w:pPr>
              <w:pStyle w:val="Tabletext"/>
              <w:jc w:val="center"/>
              <w:rPr>
                <w:highlight w:val="black"/>
              </w:rPr>
            </w:pPr>
            <w:r>
              <w:rPr>
                <w:rFonts w:cs="Tahoma"/>
                <w:noProof/>
                <w:color w:val="000000"/>
                <w:highlight w:val="black"/>
              </w:rPr>
              <w:t>''''''''''''</w:t>
            </w:r>
            <w:r>
              <w:rPr>
                <w:rFonts w:cs="Tahoma"/>
                <w:noProof/>
                <w:color w:val="000000"/>
                <w:highlight w:val="black"/>
              </w:rPr>
              <w:br/>
              <w:t>'''''''''''''''''' ''''''''''''''</w:t>
            </w:r>
          </w:p>
        </w:tc>
        <w:tc>
          <w:tcPr>
            <w:tcW w:w="1417" w:type="dxa"/>
          </w:tcPr>
          <w:p w:rsidR="0075777C" w:rsidRPr="00822C52" w:rsidRDefault="0075777C" w:rsidP="004F7BBE">
            <w:pPr>
              <w:pStyle w:val="Tabletext"/>
              <w:jc w:val="center"/>
              <w:rPr>
                <w:rFonts w:cs="Tahoma"/>
              </w:rPr>
            </w:pPr>
            <w:r w:rsidRPr="00822C52">
              <w:rPr>
                <w:rFonts w:cs="Tahoma"/>
              </w:rPr>
              <w:t>Mean:</w:t>
            </w:r>
          </w:p>
          <w:p w:rsidR="0075777C" w:rsidRPr="00A17B9D" w:rsidRDefault="00A17B9D" w:rsidP="004F7BBE">
            <w:pPr>
              <w:pStyle w:val="Tabletext"/>
              <w:jc w:val="center"/>
              <w:rPr>
                <w:rFonts w:cs="Tahoma"/>
                <w:highlight w:val="black"/>
              </w:rPr>
            </w:pPr>
            <w:r>
              <w:rPr>
                <w:rFonts w:cs="Tahoma"/>
                <w:noProof/>
                <w:color w:val="000000"/>
                <w:highlight w:val="black"/>
              </w:rPr>
              <w:t>''''''''''''''</w:t>
            </w:r>
            <w:r>
              <w:rPr>
                <w:rFonts w:cs="Tahoma"/>
                <w:noProof/>
                <w:color w:val="000000"/>
                <w:highlight w:val="black"/>
              </w:rPr>
              <w:br/>
              <w:t>''''''''''''''''''' '''''''''''''</w:t>
            </w:r>
          </w:p>
          <w:p w:rsidR="0075777C" w:rsidRPr="00822C52" w:rsidRDefault="0075777C" w:rsidP="004F7BBE">
            <w:pPr>
              <w:pStyle w:val="Tabletext"/>
              <w:jc w:val="center"/>
              <w:rPr>
                <w:rFonts w:cs="Tahoma"/>
              </w:rPr>
            </w:pPr>
            <w:r w:rsidRPr="00822C52">
              <w:rPr>
                <w:rFonts w:cs="Tahoma"/>
              </w:rPr>
              <w:t>Median:</w:t>
            </w:r>
          </w:p>
          <w:p w:rsidR="0075777C" w:rsidRPr="00A17B9D" w:rsidRDefault="00A17B9D" w:rsidP="00F0201F">
            <w:pPr>
              <w:pStyle w:val="Tabletext"/>
              <w:jc w:val="center"/>
              <w:rPr>
                <w:highlight w:val="black"/>
              </w:rPr>
            </w:pPr>
            <w:r>
              <w:rPr>
                <w:rFonts w:cs="Tahoma"/>
                <w:noProof/>
                <w:color w:val="000000"/>
                <w:highlight w:val="black"/>
              </w:rPr>
              <w:t>'''''''''''</w:t>
            </w:r>
            <w:r>
              <w:rPr>
                <w:rFonts w:cs="Tahoma"/>
                <w:noProof/>
                <w:color w:val="000000"/>
                <w:highlight w:val="black"/>
              </w:rPr>
              <w:br/>
              <w:t>''''''''''''''''' '''''''''''</w:t>
            </w:r>
          </w:p>
        </w:tc>
        <w:tc>
          <w:tcPr>
            <w:tcW w:w="1418" w:type="dxa"/>
          </w:tcPr>
          <w:p w:rsidR="0075777C" w:rsidRPr="00822C52" w:rsidRDefault="0075777C" w:rsidP="004F7BBE">
            <w:pPr>
              <w:pStyle w:val="Tabletext"/>
              <w:jc w:val="center"/>
              <w:rPr>
                <w:rFonts w:cs="Tahoma"/>
              </w:rPr>
            </w:pPr>
            <w:r w:rsidRPr="00822C52">
              <w:rPr>
                <w:rFonts w:cs="Tahoma"/>
              </w:rPr>
              <w:t>Mean:</w:t>
            </w:r>
          </w:p>
          <w:p w:rsidR="0075777C" w:rsidRPr="00A17B9D" w:rsidRDefault="00A17B9D" w:rsidP="004F7BBE">
            <w:pPr>
              <w:pStyle w:val="Tabletext"/>
              <w:jc w:val="center"/>
              <w:rPr>
                <w:rFonts w:cs="Tahoma"/>
                <w:highlight w:val="black"/>
              </w:rPr>
            </w:pPr>
            <w:r>
              <w:rPr>
                <w:rFonts w:cs="Tahoma"/>
                <w:noProof/>
                <w:color w:val="000000"/>
                <w:highlight w:val="black"/>
              </w:rPr>
              <w:t>'''''''''''</w:t>
            </w:r>
            <w:r>
              <w:rPr>
                <w:rFonts w:cs="Tahoma"/>
                <w:noProof/>
                <w:color w:val="000000"/>
                <w:highlight w:val="black"/>
              </w:rPr>
              <w:br/>
              <w:t>''''''''''''''' ''''''''''''</w:t>
            </w:r>
          </w:p>
          <w:p w:rsidR="0075777C" w:rsidRPr="00822C52" w:rsidRDefault="0075777C" w:rsidP="004F7BBE">
            <w:pPr>
              <w:pStyle w:val="Tabletext"/>
              <w:jc w:val="center"/>
              <w:rPr>
                <w:rFonts w:cs="Tahoma"/>
              </w:rPr>
            </w:pPr>
            <w:r w:rsidRPr="00822C52">
              <w:rPr>
                <w:rFonts w:cs="Tahoma"/>
              </w:rPr>
              <w:t>Median:</w:t>
            </w:r>
          </w:p>
          <w:p w:rsidR="0075777C" w:rsidRPr="00A17B9D" w:rsidRDefault="00A17B9D" w:rsidP="00F0201F">
            <w:pPr>
              <w:pStyle w:val="Tabletext"/>
              <w:jc w:val="center"/>
              <w:rPr>
                <w:highlight w:val="black"/>
              </w:rPr>
            </w:pPr>
            <w:r>
              <w:rPr>
                <w:rFonts w:cs="Tahoma"/>
                <w:noProof/>
                <w:color w:val="000000"/>
                <w:highlight w:val="black"/>
              </w:rPr>
              <w:t>'''''''</w:t>
            </w:r>
            <w:r>
              <w:rPr>
                <w:rFonts w:cs="Tahoma"/>
                <w:noProof/>
                <w:color w:val="000000"/>
                <w:highlight w:val="black"/>
              </w:rPr>
              <w:br/>
              <w:t>'''''''''''''''' '''''''''''</w:t>
            </w:r>
          </w:p>
        </w:tc>
        <w:tc>
          <w:tcPr>
            <w:tcW w:w="1559" w:type="dxa"/>
          </w:tcPr>
          <w:p w:rsidR="0075777C" w:rsidRPr="00822C52" w:rsidRDefault="0075777C" w:rsidP="004F7BBE">
            <w:pPr>
              <w:pStyle w:val="Tabletext"/>
              <w:rPr>
                <w:rFonts w:cs="Tahoma"/>
              </w:rPr>
            </w:pPr>
            <w:r w:rsidRPr="00822C52">
              <w:rPr>
                <w:rFonts w:cs="Tahoma"/>
              </w:rPr>
              <w:t>Mean:</w:t>
            </w:r>
          </w:p>
          <w:p w:rsidR="0075777C" w:rsidRPr="00822C52" w:rsidRDefault="0075777C" w:rsidP="004F7BBE">
            <w:pPr>
              <w:pStyle w:val="Tabletext"/>
              <w:rPr>
                <w:rFonts w:cs="Tahoma"/>
              </w:rPr>
            </w:pPr>
            <w:r>
              <w:rPr>
                <w:rFonts w:cs="Tahoma"/>
              </w:rPr>
              <w:t>−</w:t>
            </w:r>
            <w:r w:rsidRPr="00822C52">
              <w:rPr>
                <w:rFonts w:cs="Tahoma"/>
              </w:rPr>
              <w:t>17.3</w:t>
            </w:r>
            <w:r w:rsidR="00F0201F">
              <w:rPr>
                <w:rFonts w:cs="Tahoma"/>
              </w:rPr>
              <w:t xml:space="preserve"> </w:t>
            </w:r>
            <w:r>
              <w:rPr>
                <w:rFonts w:cs="Tahoma"/>
              </w:rPr>
              <w:t>(−</w:t>
            </w:r>
            <w:r w:rsidRPr="00822C52">
              <w:rPr>
                <w:rFonts w:cs="Tahoma"/>
              </w:rPr>
              <w:t>105.7, 71.1)</w:t>
            </w:r>
          </w:p>
          <w:p w:rsidR="0075777C" w:rsidRPr="00822C52" w:rsidRDefault="0075777C" w:rsidP="004F7BBE">
            <w:pPr>
              <w:pStyle w:val="Tabletext"/>
              <w:rPr>
                <w:rFonts w:cs="Tahoma"/>
              </w:rPr>
            </w:pPr>
            <w:r w:rsidRPr="00822C52">
              <w:rPr>
                <w:rFonts w:cs="Tahoma"/>
              </w:rPr>
              <w:t>Median:</w:t>
            </w:r>
          </w:p>
          <w:p w:rsidR="0075777C" w:rsidRDefault="0075777C" w:rsidP="00F0201F">
            <w:pPr>
              <w:pStyle w:val="Tabletext"/>
            </w:pPr>
            <w:r>
              <w:rPr>
                <w:rFonts w:cs="Tahoma"/>
              </w:rPr>
              <w:t>5.0</w:t>
            </w:r>
            <w:r w:rsidR="00F0201F">
              <w:rPr>
                <w:rFonts w:cs="Tahoma"/>
              </w:rPr>
              <w:t xml:space="preserve"> </w:t>
            </w:r>
            <w:r>
              <w:rPr>
                <w:rFonts w:cs="Tahoma"/>
              </w:rPr>
              <w:t>(−</w:t>
            </w:r>
            <w:r w:rsidRPr="00822C52">
              <w:rPr>
                <w:rFonts w:cs="Tahoma"/>
              </w:rPr>
              <w:t>43.1, 53.9</w:t>
            </w:r>
            <w:r w:rsidR="006B2A7D">
              <w:rPr>
                <w:rFonts w:cs="Tahoma"/>
              </w:rPr>
              <w:t>)</w:t>
            </w:r>
          </w:p>
        </w:tc>
      </w:tr>
      <w:tr w:rsidR="0075777C" w:rsidTr="00F0201F">
        <w:tc>
          <w:tcPr>
            <w:tcW w:w="1555" w:type="dxa"/>
          </w:tcPr>
          <w:p w:rsidR="0075777C" w:rsidRPr="00822C52" w:rsidRDefault="0075777C" w:rsidP="004F7BBE">
            <w:pPr>
              <w:pStyle w:val="Tabletext"/>
              <w:rPr>
                <w:rFonts w:cs="Tahoma"/>
              </w:rPr>
            </w:pPr>
            <w:r w:rsidRPr="00822C52">
              <w:rPr>
                <w:rFonts w:cs="Tahoma"/>
              </w:rPr>
              <w:t>COMPASS-2</w:t>
            </w:r>
            <w:r w:rsidR="001D34EE" w:rsidRPr="001A1C44">
              <w:rPr>
                <w:rFonts w:cs="Tahoma"/>
                <w:noProof/>
                <w:vertAlign w:val="superscript"/>
              </w:rPr>
              <w:t>37</w:t>
            </w:r>
          </w:p>
          <w:p w:rsidR="0075777C" w:rsidRDefault="0075777C" w:rsidP="004F7BBE">
            <w:pPr>
              <w:pStyle w:val="Tabletext"/>
            </w:pPr>
            <w:r w:rsidRPr="00822C52">
              <w:rPr>
                <w:rFonts w:cs="Tahoma"/>
              </w:rPr>
              <w:t>Bosentan/ sildenafil</w:t>
            </w:r>
          </w:p>
        </w:tc>
        <w:tc>
          <w:tcPr>
            <w:tcW w:w="850" w:type="dxa"/>
          </w:tcPr>
          <w:p w:rsidR="0075777C" w:rsidRPr="00822C52" w:rsidRDefault="0075777C" w:rsidP="004F7BBE">
            <w:pPr>
              <w:pStyle w:val="Tabletext"/>
              <w:rPr>
                <w:rFonts w:cs="Tahoma"/>
              </w:rPr>
            </w:pPr>
            <w:r w:rsidRPr="00822C52">
              <w:rPr>
                <w:rFonts w:cs="Tahoma"/>
              </w:rPr>
              <w:t>N=334</w:t>
            </w:r>
          </w:p>
          <w:p w:rsidR="0075777C" w:rsidRDefault="0075777C" w:rsidP="004F7BBE">
            <w:pPr>
              <w:pStyle w:val="Tabletext"/>
            </w:pPr>
            <w:r w:rsidRPr="00822C52">
              <w:rPr>
                <w:rFonts w:cs="Tahoma"/>
              </w:rPr>
              <w:t>16 weeks</w:t>
            </w:r>
          </w:p>
        </w:tc>
        <w:tc>
          <w:tcPr>
            <w:tcW w:w="1417" w:type="dxa"/>
          </w:tcPr>
          <w:p w:rsidR="0075777C" w:rsidRDefault="0075777C" w:rsidP="004F7BBE">
            <w:pPr>
              <w:pStyle w:val="Tabletext"/>
              <w:jc w:val="center"/>
            </w:pPr>
            <w:r w:rsidRPr="00822C52">
              <w:rPr>
                <w:rFonts w:cs="Tahoma"/>
              </w:rPr>
              <w:t>363.1 ± 78.5</w:t>
            </w:r>
          </w:p>
        </w:tc>
        <w:tc>
          <w:tcPr>
            <w:tcW w:w="1418" w:type="dxa"/>
          </w:tcPr>
          <w:p w:rsidR="0075777C" w:rsidRDefault="0075777C" w:rsidP="004F7BBE">
            <w:pPr>
              <w:pStyle w:val="Tabletext"/>
              <w:jc w:val="center"/>
            </w:pPr>
            <w:r w:rsidRPr="00822C52">
              <w:rPr>
                <w:rFonts w:cs="Tahoma"/>
              </w:rPr>
              <w:t>357.6 ± 73.1</w:t>
            </w:r>
          </w:p>
        </w:tc>
        <w:tc>
          <w:tcPr>
            <w:tcW w:w="1417" w:type="dxa"/>
          </w:tcPr>
          <w:p w:rsidR="0075777C" w:rsidRDefault="0075777C" w:rsidP="004F7BBE">
            <w:pPr>
              <w:pStyle w:val="Tabletext"/>
              <w:jc w:val="center"/>
            </w:pPr>
            <w:r w:rsidRPr="00822C52">
              <w:rPr>
                <w:rFonts w:cs="Tahoma"/>
              </w:rPr>
              <w:t>7.2 ± 66.0</w:t>
            </w:r>
          </w:p>
        </w:tc>
        <w:tc>
          <w:tcPr>
            <w:tcW w:w="1418" w:type="dxa"/>
          </w:tcPr>
          <w:p w:rsidR="0075777C" w:rsidRDefault="0075777C" w:rsidP="004F7BBE">
            <w:pPr>
              <w:pStyle w:val="Tabletext"/>
              <w:jc w:val="center"/>
            </w:pPr>
            <w:r>
              <w:rPr>
                <w:rFonts w:cs="Tahoma"/>
              </w:rPr>
              <w:t>−</w:t>
            </w:r>
            <w:r w:rsidRPr="00822C52">
              <w:rPr>
                <w:rFonts w:cs="Tahoma"/>
              </w:rPr>
              <w:t>14.6 ± 80.4</w:t>
            </w:r>
          </w:p>
        </w:tc>
        <w:tc>
          <w:tcPr>
            <w:tcW w:w="1559" w:type="dxa"/>
          </w:tcPr>
          <w:p w:rsidR="0075777C" w:rsidRPr="0002253F" w:rsidRDefault="0075777C" w:rsidP="0002253F">
            <w:pPr>
              <w:pStyle w:val="Tabletext"/>
              <w:rPr>
                <w:rFonts w:cs="Tahoma"/>
              </w:rPr>
            </w:pPr>
            <w:r w:rsidRPr="00822C52">
              <w:rPr>
                <w:rFonts w:cs="Tahoma"/>
              </w:rPr>
              <w:t>21.8 (5.9, 37.8)</w:t>
            </w:r>
          </w:p>
        </w:tc>
      </w:tr>
      <w:tr w:rsidR="0075777C" w:rsidTr="00F0201F">
        <w:tc>
          <w:tcPr>
            <w:tcW w:w="1555" w:type="dxa"/>
          </w:tcPr>
          <w:p w:rsidR="0075777C" w:rsidRPr="00822C52" w:rsidRDefault="0075777C" w:rsidP="004F7BBE">
            <w:pPr>
              <w:pStyle w:val="Tabletext"/>
              <w:rPr>
                <w:rFonts w:cs="Tahoma"/>
              </w:rPr>
            </w:pPr>
            <w:r w:rsidRPr="00822C52">
              <w:rPr>
                <w:rFonts w:cs="Tahoma"/>
              </w:rPr>
              <w:t>SERAPHIN</w:t>
            </w:r>
            <w:r w:rsidR="001D34EE" w:rsidRPr="001D34EE">
              <w:rPr>
                <w:rFonts w:cs="Tahoma"/>
                <w:noProof/>
                <w:vertAlign w:val="superscript"/>
              </w:rPr>
              <w:t>7</w:t>
            </w:r>
          </w:p>
          <w:p w:rsidR="0075777C" w:rsidRDefault="0075777C" w:rsidP="00F0201F">
            <w:pPr>
              <w:pStyle w:val="Tabletext"/>
            </w:pPr>
            <w:r w:rsidRPr="00822C52">
              <w:rPr>
                <w:rFonts w:cs="Tahoma"/>
              </w:rPr>
              <w:t xml:space="preserve">Macitentan/any </w:t>
            </w:r>
            <w:r w:rsidR="00F0201F">
              <w:rPr>
                <w:rFonts w:cs="Tahoma"/>
              </w:rPr>
              <w:t>PDE-5i</w:t>
            </w:r>
            <w:r w:rsidR="00E25FAA" w:rsidRPr="00E25FAA">
              <w:rPr>
                <w:rFonts w:cs="Tahoma"/>
                <w:vertAlign w:val="superscript"/>
              </w:rPr>
              <w:t>b</w:t>
            </w:r>
          </w:p>
        </w:tc>
        <w:tc>
          <w:tcPr>
            <w:tcW w:w="850" w:type="dxa"/>
          </w:tcPr>
          <w:p w:rsidR="0075777C" w:rsidRPr="00822C52" w:rsidRDefault="0075777C" w:rsidP="004F7BBE">
            <w:pPr>
              <w:pStyle w:val="Tabletext"/>
              <w:rPr>
                <w:rFonts w:cs="Tahoma"/>
              </w:rPr>
            </w:pPr>
            <w:r w:rsidRPr="00822C52">
              <w:rPr>
                <w:rFonts w:cs="Tahoma"/>
              </w:rPr>
              <w:t>N=308</w:t>
            </w:r>
          </w:p>
          <w:p w:rsidR="0075777C" w:rsidRDefault="0075777C" w:rsidP="004F7BBE">
            <w:pPr>
              <w:pStyle w:val="Tabletext"/>
            </w:pPr>
            <w:r w:rsidRPr="00822C52">
              <w:rPr>
                <w:rFonts w:cs="Tahoma"/>
              </w:rPr>
              <w:t>26 weeks</w:t>
            </w:r>
          </w:p>
        </w:tc>
        <w:tc>
          <w:tcPr>
            <w:tcW w:w="1417" w:type="dxa"/>
          </w:tcPr>
          <w:p w:rsidR="0075777C" w:rsidRPr="0002253F" w:rsidRDefault="0075777C" w:rsidP="004F7BBE">
            <w:pPr>
              <w:pStyle w:val="Tabletext"/>
              <w:jc w:val="center"/>
              <w:rPr>
                <w:rFonts w:cs="Tahoma"/>
              </w:rPr>
            </w:pPr>
            <w:r w:rsidRPr="0002253F">
              <w:rPr>
                <w:rFonts w:cs="Tahoma"/>
              </w:rPr>
              <w:t>364 ± 96.7</w:t>
            </w:r>
          </w:p>
        </w:tc>
        <w:tc>
          <w:tcPr>
            <w:tcW w:w="1418" w:type="dxa"/>
          </w:tcPr>
          <w:p w:rsidR="0075777C" w:rsidRPr="0002253F" w:rsidRDefault="0075777C" w:rsidP="004F7BBE">
            <w:pPr>
              <w:pStyle w:val="Tabletext"/>
              <w:jc w:val="center"/>
              <w:rPr>
                <w:rFonts w:cs="Tahoma"/>
              </w:rPr>
            </w:pPr>
            <w:r w:rsidRPr="0002253F">
              <w:rPr>
                <w:rFonts w:cs="Tahoma"/>
              </w:rPr>
              <w:t>360 ± 110.5</w:t>
            </w:r>
          </w:p>
        </w:tc>
        <w:tc>
          <w:tcPr>
            <w:tcW w:w="1417" w:type="dxa"/>
          </w:tcPr>
          <w:p w:rsidR="0075777C" w:rsidRPr="0002253F" w:rsidRDefault="0075777C" w:rsidP="004F7BBE">
            <w:pPr>
              <w:pStyle w:val="Tabletext"/>
              <w:jc w:val="center"/>
              <w:rPr>
                <w:rFonts w:cs="Tahoma"/>
              </w:rPr>
            </w:pPr>
            <w:r w:rsidRPr="0002253F">
              <w:rPr>
                <w:rFonts w:cs="Tahoma"/>
              </w:rPr>
              <w:t>17.9 ± 82.3</w:t>
            </w:r>
          </w:p>
        </w:tc>
        <w:tc>
          <w:tcPr>
            <w:tcW w:w="1418" w:type="dxa"/>
          </w:tcPr>
          <w:p w:rsidR="0075777C" w:rsidRPr="0002253F" w:rsidRDefault="0075777C" w:rsidP="004F7BBE">
            <w:pPr>
              <w:pStyle w:val="Tabletext"/>
              <w:jc w:val="center"/>
              <w:rPr>
                <w:rFonts w:cs="Tahoma"/>
              </w:rPr>
            </w:pPr>
            <w:r>
              <w:rPr>
                <w:rFonts w:cs="Tahoma"/>
              </w:rPr>
              <w:t>−</w:t>
            </w:r>
            <w:r w:rsidRPr="0002253F">
              <w:rPr>
                <w:rFonts w:cs="Tahoma"/>
              </w:rPr>
              <w:t>7.8 ± 84.8</w:t>
            </w:r>
          </w:p>
        </w:tc>
        <w:tc>
          <w:tcPr>
            <w:tcW w:w="1559" w:type="dxa"/>
          </w:tcPr>
          <w:p w:rsidR="0075777C" w:rsidRPr="0002253F" w:rsidRDefault="0075777C" w:rsidP="0002253F">
            <w:pPr>
              <w:pStyle w:val="Tabletext"/>
              <w:rPr>
                <w:rFonts w:cs="Tahoma"/>
              </w:rPr>
            </w:pPr>
            <w:r w:rsidRPr="0002253F">
              <w:rPr>
                <w:rFonts w:cs="Tahoma"/>
              </w:rPr>
              <w:t>25.7</w:t>
            </w:r>
          </w:p>
        </w:tc>
      </w:tr>
      <w:tr w:rsidR="0075777C" w:rsidTr="00F0201F">
        <w:tc>
          <w:tcPr>
            <w:tcW w:w="1555" w:type="dxa"/>
          </w:tcPr>
          <w:p w:rsidR="0075777C" w:rsidRPr="00822C52" w:rsidRDefault="0075777C" w:rsidP="004F7BBE">
            <w:pPr>
              <w:pStyle w:val="Tabletext"/>
              <w:rPr>
                <w:rFonts w:cs="Tahoma"/>
              </w:rPr>
            </w:pPr>
            <w:r w:rsidRPr="00822C52">
              <w:rPr>
                <w:rFonts w:cs="Tahoma"/>
              </w:rPr>
              <w:t>AMBITION</w:t>
            </w:r>
            <w:r w:rsidR="001D34EE" w:rsidRPr="001A1C44">
              <w:rPr>
                <w:rFonts w:cs="Tahoma"/>
                <w:noProof/>
                <w:vertAlign w:val="superscript"/>
              </w:rPr>
              <w:t>30</w:t>
            </w:r>
          </w:p>
          <w:p w:rsidR="0075777C" w:rsidRDefault="0075777C" w:rsidP="004F7BBE">
            <w:pPr>
              <w:pStyle w:val="Tabletext"/>
            </w:pPr>
            <w:r w:rsidRPr="00822C52">
              <w:rPr>
                <w:rFonts w:cs="Tahoma"/>
              </w:rPr>
              <w:t>Ambrisentan/tadalafil</w:t>
            </w:r>
          </w:p>
        </w:tc>
        <w:tc>
          <w:tcPr>
            <w:tcW w:w="850" w:type="dxa"/>
          </w:tcPr>
          <w:p w:rsidR="0075777C" w:rsidRPr="00822C52" w:rsidRDefault="0075777C" w:rsidP="004F7BBE">
            <w:pPr>
              <w:pStyle w:val="Tabletext"/>
              <w:rPr>
                <w:rFonts w:cs="Tahoma"/>
              </w:rPr>
            </w:pPr>
            <w:r w:rsidRPr="00822C52">
              <w:rPr>
                <w:rFonts w:cs="Tahoma"/>
              </w:rPr>
              <w:t>N=374</w:t>
            </w:r>
          </w:p>
          <w:p w:rsidR="0075777C" w:rsidRDefault="0075777C" w:rsidP="004F7BBE">
            <w:pPr>
              <w:pStyle w:val="Tabletext"/>
            </w:pPr>
            <w:r w:rsidRPr="00822C52">
              <w:rPr>
                <w:rFonts w:cs="Tahoma"/>
              </w:rPr>
              <w:t>24 weeks</w:t>
            </w:r>
          </w:p>
        </w:tc>
        <w:tc>
          <w:tcPr>
            <w:tcW w:w="1417" w:type="dxa"/>
          </w:tcPr>
          <w:p w:rsidR="0075777C" w:rsidRPr="0002253F" w:rsidRDefault="0075777C" w:rsidP="004F7BBE">
            <w:pPr>
              <w:pStyle w:val="Tabletext"/>
              <w:jc w:val="center"/>
              <w:rPr>
                <w:rFonts w:cs="Tahoma"/>
              </w:rPr>
            </w:pPr>
            <w:r w:rsidRPr="0002253F">
              <w:rPr>
                <w:rFonts w:cs="Tahoma"/>
              </w:rPr>
              <w:t>357.0 (IQR 292.0–425.3)</w:t>
            </w:r>
          </w:p>
        </w:tc>
        <w:tc>
          <w:tcPr>
            <w:tcW w:w="1418" w:type="dxa"/>
          </w:tcPr>
          <w:p w:rsidR="0075777C" w:rsidRPr="0002253F" w:rsidRDefault="0075777C" w:rsidP="004F7BBE">
            <w:pPr>
              <w:pStyle w:val="Tabletext"/>
              <w:jc w:val="center"/>
              <w:rPr>
                <w:rFonts w:cs="Tahoma"/>
              </w:rPr>
            </w:pPr>
            <w:r w:rsidRPr="0002253F">
              <w:rPr>
                <w:rFonts w:cs="Tahoma"/>
              </w:rPr>
              <w:t>363.3 (IQR 287.0–421.5)</w:t>
            </w:r>
          </w:p>
        </w:tc>
        <w:tc>
          <w:tcPr>
            <w:tcW w:w="1417" w:type="dxa"/>
          </w:tcPr>
          <w:p w:rsidR="0075777C" w:rsidRPr="0002253F" w:rsidRDefault="0075777C" w:rsidP="004F7BBE">
            <w:pPr>
              <w:pStyle w:val="Tabletext"/>
              <w:jc w:val="center"/>
              <w:rPr>
                <w:rFonts w:cs="Tahoma"/>
              </w:rPr>
            </w:pPr>
            <w:r w:rsidRPr="0002253F">
              <w:rPr>
                <w:rFonts w:cs="Tahoma"/>
              </w:rPr>
              <w:t>49.0 (IQR 4.6–85.8)</w:t>
            </w:r>
          </w:p>
        </w:tc>
        <w:tc>
          <w:tcPr>
            <w:tcW w:w="1418" w:type="dxa"/>
          </w:tcPr>
          <w:p w:rsidR="0075777C" w:rsidRPr="0002253F" w:rsidRDefault="0075777C" w:rsidP="004F7BBE">
            <w:pPr>
              <w:pStyle w:val="Tabletext"/>
              <w:jc w:val="center"/>
              <w:rPr>
                <w:rFonts w:cs="Tahoma"/>
              </w:rPr>
            </w:pPr>
            <w:r w:rsidRPr="0002253F">
              <w:rPr>
                <w:rFonts w:cs="Tahoma"/>
              </w:rPr>
              <w:t xml:space="preserve">22.7 (IQR </w:t>
            </w:r>
            <w:r w:rsidRPr="0002253F">
              <w:rPr>
                <w:rFonts w:cs="Tahoma"/>
              </w:rPr>
              <w:br/>
            </w:r>
            <w:r>
              <w:rPr>
                <w:rFonts w:cs="Tahoma"/>
              </w:rPr>
              <w:t>−</w:t>
            </w:r>
            <w:r w:rsidRPr="0002253F">
              <w:rPr>
                <w:rFonts w:cs="Tahoma"/>
              </w:rPr>
              <w:t>8.3–66.0)</w:t>
            </w:r>
          </w:p>
        </w:tc>
        <w:tc>
          <w:tcPr>
            <w:tcW w:w="1559" w:type="dxa"/>
          </w:tcPr>
          <w:p w:rsidR="0075777C" w:rsidRPr="0002253F" w:rsidRDefault="0075777C" w:rsidP="0002253F">
            <w:pPr>
              <w:pStyle w:val="Tabletext"/>
              <w:rPr>
                <w:rFonts w:cs="Tahoma"/>
              </w:rPr>
            </w:pPr>
            <w:r w:rsidRPr="0002253F">
              <w:rPr>
                <w:rFonts w:cs="Tahoma"/>
              </w:rPr>
              <w:t>26.3, p=0.003</w:t>
            </w:r>
          </w:p>
        </w:tc>
      </w:tr>
    </w:tbl>
    <w:p w:rsidR="0075777C" w:rsidRPr="00822C52" w:rsidRDefault="0075777C" w:rsidP="00F0201F">
      <w:pPr>
        <w:pStyle w:val="Tablenote"/>
      </w:pPr>
      <w:r w:rsidRPr="004D0C0E">
        <w:rPr>
          <w:vertAlign w:val="superscript"/>
        </w:rPr>
        <w:t>a</w:t>
      </w:r>
      <w:r>
        <w:t xml:space="preserve"> </w:t>
      </w:r>
      <w:r w:rsidRPr="00822C52">
        <w:t>1/14 patients in ERA+</w:t>
      </w:r>
      <w:r>
        <w:t>PDE-5i</w:t>
      </w:r>
      <w:r w:rsidRPr="00822C52">
        <w:t xml:space="preserve"> subgroup died, and was deemed to have 6MWD of 0, thus median may be more informative for this subgroup</w:t>
      </w:r>
    </w:p>
    <w:p w:rsidR="0075777C" w:rsidRPr="00822C52" w:rsidRDefault="00E25FAA" w:rsidP="00F0201F">
      <w:pPr>
        <w:pStyle w:val="Tablenote"/>
      </w:pPr>
      <w:r w:rsidRPr="00E25FAA">
        <w:rPr>
          <w:vertAlign w:val="superscript"/>
        </w:rPr>
        <w:t>b</w:t>
      </w:r>
      <w:r>
        <w:t xml:space="preserve"> </w:t>
      </w:r>
      <w:r w:rsidR="0075777C" w:rsidRPr="00822C52">
        <w:t xml:space="preserve">Small proportion of patients receiving </w:t>
      </w:r>
      <w:r w:rsidR="00F0201F" w:rsidRPr="00822C52">
        <w:t>prostanoids</w:t>
      </w:r>
      <w:r w:rsidR="0075777C" w:rsidRPr="00822C52">
        <w:t xml:space="preserve"> or receiving doublet background therapy</w:t>
      </w:r>
    </w:p>
    <w:p w:rsidR="00715D78" w:rsidRPr="00822C52" w:rsidRDefault="0075777C" w:rsidP="00F0201F">
      <w:pPr>
        <w:pStyle w:val="Tablenote"/>
      </w:pPr>
      <w:r w:rsidRPr="00822C52">
        <w:t xml:space="preserve">6MWD = 6-minute </w:t>
      </w:r>
      <w:r w:rsidR="0082368E">
        <w:t>walk distance</w:t>
      </w:r>
      <w:r w:rsidRPr="00822C52">
        <w:t xml:space="preserve">; CI = confidence interval; </w:t>
      </w:r>
      <w:r w:rsidR="00715D78">
        <w:t xml:space="preserve">CSR = clinical study report; </w:t>
      </w:r>
      <w:r w:rsidRPr="00822C52">
        <w:t xml:space="preserve">ERA = endothelin receptor antagonist; FC = functional class; HR = hazard ratio; IQR = interquartile range; N = number of patients; PAH = pulmonary arterial hypertension; </w:t>
      </w:r>
      <w:r>
        <w:t>PDE-5i</w:t>
      </w:r>
      <w:r w:rsidRPr="00822C52">
        <w:t xml:space="preserve"> = phosphodiesterase type-5 inhibitor; SD = standard deviation; WHO = World Health Organization</w:t>
      </w:r>
    </w:p>
    <w:p w:rsidR="0075777C" w:rsidRPr="00822C52" w:rsidRDefault="007B6C7C" w:rsidP="0075777C">
      <w:pPr>
        <w:pStyle w:val="Heading5"/>
      </w:pPr>
      <w:r>
        <w:t>f</w:t>
      </w:r>
      <w:r w:rsidR="0077344D">
        <w:t>.</w:t>
      </w:r>
      <w:r>
        <w:tab/>
        <w:t>Change in QoL from baseline</w:t>
      </w:r>
    </w:p>
    <w:p w:rsidR="0075777C" w:rsidRPr="00B607A5" w:rsidRDefault="007B6C7C" w:rsidP="0077344D">
      <w:pPr>
        <w:pStyle w:val="Heading6"/>
      </w:pPr>
      <w:r w:rsidRPr="00B607A5">
        <w:t>f</w:t>
      </w:r>
      <w:r w:rsidR="0075777C" w:rsidRPr="00B607A5">
        <w:t>.i</w:t>
      </w:r>
      <w:r w:rsidR="0075777C" w:rsidRPr="00B607A5">
        <w:tab/>
        <w:t>PAH patients, irrespective of disease severity or aetiology</w:t>
      </w:r>
    </w:p>
    <w:p w:rsidR="005E097C" w:rsidRDefault="0075777C" w:rsidP="00DF4B37">
      <w:r w:rsidRPr="00822C52">
        <w:t xml:space="preserve">The SERAPHIN study reported on the change in QoL in patients receiving ERA + </w:t>
      </w:r>
      <w:r>
        <w:t>PDE-5 inhibitor</w:t>
      </w:r>
      <w:r w:rsidRPr="00822C52">
        <w:t xml:space="preserve"> combination therapy compared to those receiving </w:t>
      </w:r>
      <w:r>
        <w:t>PDE-5 inhibitor</w:t>
      </w:r>
      <w:r w:rsidRPr="00822C52">
        <w:t xml:space="preserve"> monotherapy over a 2</w:t>
      </w:r>
      <w:r w:rsidR="00AA1206">
        <w:t>6</w:t>
      </w:r>
      <w:r w:rsidRPr="00822C52">
        <w:t>-week period</w:t>
      </w:r>
      <w:r>
        <w:t xml:space="preserve"> (</w:t>
      </w:r>
      <w:r w:rsidR="00AA722D">
        <w:t>Table 4.</w:t>
      </w:r>
      <w:r w:rsidR="00AA722D">
        <w:rPr>
          <w:noProof/>
        </w:rPr>
        <w:t>52</w:t>
      </w:r>
      <w:r>
        <w:t>)</w:t>
      </w:r>
      <w:r w:rsidRPr="00822C52">
        <w:t xml:space="preserve">. </w:t>
      </w:r>
      <w:r w:rsidR="00557DAB">
        <w:t>Mehta et al (2017)</w:t>
      </w:r>
      <w:r w:rsidR="001D34EE" w:rsidRPr="001D34EE">
        <w:rPr>
          <w:noProof/>
          <w:vertAlign w:val="superscript"/>
        </w:rPr>
        <w:t>47</w:t>
      </w:r>
      <w:r w:rsidR="00557DAB" w:rsidRPr="00822C52">
        <w:t xml:space="preserve"> </w:t>
      </w:r>
      <w:r w:rsidR="00557DAB">
        <w:t>converted the domain and component summary scores to norm-based scores based on the 1998 US general population (scale 0−100). A higher SF-36 score denotes better QoL.</w:t>
      </w:r>
      <w:r w:rsidR="00557DAB" w:rsidRPr="00822C52">
        <w:t xml:space="preserve"> </w:t>
      </w:r>
      <w:r w:rsidR="00DF4B37">
        <w:t xml:space="preserve">The authors </w:t>
      </w:r>
      <w:r w:rsidR="00557DAB" w:rsidRPr="00822C52">
        <w:t xml:space="preserve">reported that the minimum clinically important difference </w:t>
      </w:r>
      <w:r w:rsidR="00557DAB">
        <w:t>varies across diseases with the generally accepted threshold being 2−3 norm-based points</w:t>
      </w:r>
      <w:r w:rsidR="00557DAB" w:rsidRPr="005E097C">
        <w:t xml:space="preserve"> </w:t>
      </w:r>
      <w:r w:rsidR="00557DAB">
        <w:t xml:space="preserve">for </w:t>
      </w:r>
      <w:r w:rsidR="00DF4B37">
        <w:t xml:space="preserve">the physical component score </w:t>
      </w:r>
      <w:r w:rsidR="00557DAB">
        <w:t xml:space="preserve">and three for </w:t>
      </w:r>
      <w:r w:rsidR="00DF4B37">
        <w:t>mental component score</w:t>
      </w:r>
      <w:r w:rsidR="00557DAB">
        <w:t>.</w:t>
      </w:r>
      <w:r w:rsidR="00557DAB" w:rsidRPr="005E097C">
        <w:t xml:space="preserve"> </w:t>
      </w:r>
      <w:r w:rsidR="00557DAB">
        <w:t xml:space="preserve">In the absence of a </w:t>
      </w:r>
      <w:r w:rsidR="00557DAB" w:rsidRPr="005E097C">
        <w:t xml:space="preserve">norm-based </w:t>
      </w:r>
      <w:r w:rsidR="00557DAB">
        <w:t xml:space="preserve">PAH-specific minimal important difference, a three-point threshold was used. </w:t>
      </w:r>
      <w:r w:rsidRPr="00822C52">
        <w:t>Although there was a</w:t>
      </w:r>
      <w:r w:rsidR="00557DAB">
        <w:t>n</w:t>
      </w:r>
      <w:r w:rsidRPr="00822C52">
        <w:t xml:space="preserve"> improvement in the SF-36 scores of most domains for patients receiving combination therapy over those receiving monotherapy, the difference were not clinically </w:t>
      </w:r>
      <w:r>
        <w:t>important</w:t>
      </w:r>
      <w:r w:rsidRPr="00822C52">
        <w:t xml:space="preserve">. </w:t>
      </w:r>
      <w:r w:rsidR="00DF4B37">
        <w:t xml:space="preserve">Thus, the </w:t>
      </w:r>
      <w:r w:rsidR="0058444D">
        <w:t xml:space="preserve">norm-based </w:t>
      </w:r>
      <w:r w:rsidR="00DF4B37">
        <w:t>difference only reached clinical importance for the SF-36 domain for vitality</w:t>
      </w:r>
      <w:r w:rsidR="0058444D">
        <w:t xml:space="preserve"> (score 3.1)</w:t>
      </w:r>
      <w:r w:rsidR="00DF4B37">
        <w:t xml:space="preserve">. The physical functioning and role-physical domains may be of clinical importance as the </w:t>
      </w:r>
      <w:r w:rsidR="0058444D">
        <w:t xml:space="preserve">norm-based </w:t>
      </w:r>
      <w:r w:rsidR="00DF4B37">
        <w:t>difference between combination therapy and monotherapy was &gt;2.</w:t>
      </w:r>
    </w:p>
    <w:p w:rsidR="0075777C" w:rsidRDefault="00272F8F" w:rsidP="00BC5A2B">
      <w:pPr>
        <w:pStyle w:val="Caption"/>
      </w:pPr>
      <w:bookmarkStart w:id="173" w:name="_Ref505252114"/>
      <w:bookmarkStart w:id="174" w:name="_Toc512855456"/>
      <w:r>
        <w:lastRenderedPageBreak/>
        <w:t>Table 4.</w:t>
      </w:r>
      <w:r w:rsidR="00AA722D">
        <w:rPr>
          <w:noProof/>
        </w:rPr>
        <w:t>52</w:t>
      </w:r>
      <w:bookmarkEnd w:id="173"/>
      <w:r w:rsidR="00F0201F">
        <w:tab/>
      </w:r>
      <w:r w:rsidR="0075777C" w:rsidRPr="00DD7790">
        <w:t xml:space="preserve">The effectiveness of </w:t>
      </w:r>
      <w:r w:rsidR="00EB768B">
        <w:t xml:space="preserve">an </w:t>
      </w:r>
      <w:r w:rsidR="00EB768B" w:rsidRPr="00A32D31">
        <w:t xml:space="preserve">ERA </w:t>
      </w:r>
      <w:r w:rsidR="00385078" w:rsidRPr="00385078">
        <w:t xml:space="preserve">in addition to a PDE-5 inhibitor compared with PDE-5 inhibitor monotherapy </w:t>
      </w:r>
      <w:r w:rsidR="0075777C" w:rsidRPr="00DD7790">
        <w:t>in improving QoL in all PAH patients</w:t>
      </w:r>
      <w:bookmarkEnd w:id="174"/>
    </w:p>
    <w:tbl>
      <w:tblPr>
        <w:tblStyle w:val="TableGrid"/>
        <w:tblW w:w="9634" w:type="dxa"/>
        <w:tblLook w:val="04A0" w:firstRow="1" w:lastRow="0" w:firstColumn="1" w:lastColumn="0" w:noHBand="0" w:noVBand="1"/>
        <w:tblCaption w:val="The effectiveness of an ERA in addition to a PDE-5 inhibitor compared with PDE-5 inhibitor monotherapy in improving QoL in all PAH patients"/>
      </w:tblPr>
      <w:tblGrid>
        <w:gridCol w:w="1555"/>
        <w:gridCol w:w="2409"/>
        <w:gridCol w:w="2694"/>
        <w:gridCol w:w="2976"/>
      </w:tblGrid>
      <w:tr w:rsidR="0075777C" w:rsidTr="00F0201F">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BFBFBF" w:themeFill="background1" w:themeFillShade="BF"/>
          </w:tcPr>
          <w:p w:rsidR="0075777C" w:rsidRPr="00F0201F" w:rsidRDefault="0075777C" w:rsidP="00F0201F">
            <w:pPr>
              <w:pStyle w:val="Tabletext"/>
              <w:rPr>
                <w:b/>
              </w:rPr>
            </w:pPr>
            <w:r w:rsidRPr="00F0201F">
              <w:rPr>
                <w:b/>
              </w:rPr>
              <w:t>Study ID</w:t>
            </w:r>
          </w:p>
          <w:p w:rsidR="0075777C" w:rsidRPr="00F0201F" w:rsidRDefault="00AE77DC" w:rsidP="00F0201F">
            <w:pPr>
              <w:pStyle w:val="Tabletext"/>
              <w:rPr>
                <w:b/>
              </w:rPr>
            </w:pPr>
            <w:r w:rsidRPr="00F0201F">
              <w:rPr>
                <w:b/>
              </w:rPr>
              <w:t>Questionnaire</w:t>
            </w:r>
          </w:p>
        </w:tc>
        <w:tc>
          <w:tcPr>
            <w:tcW w:w="2409" w:type="dxa"/>
            <w:shd w:val="clear" w:color="auto" w:fill="BFBFBF" w:themeFill="background1" w:themeFillShade="BF"/>
          </w:tcPr>
          <w:p w:rsidR="0075777C" w:rsidRPr="00F0201F" w:rsidRDefault="0075777C" w:rsidP="00F0201F">
            <w:pPr>
              <w:pStyle w:val="Tabletext"/>
              <w:rPr>
                <w:rFonts w:cs="Tahoma"/>
                <w:b/>
              </w:rPr>
            </w:pPr>
            <w:r w:rsidRPr="00F0201F">
              <w:rPr>
                <w:b/>
              </w:rPr>
              <w:t>ERA/PDE-5 inhibitor</w:t>
            </w:r>
          </w:p>
          <w:p w:rsidR="0075777C" w:rsidRPr="00F0201F" w:rsidRDefault="0075777C" w:rsidP="00F0201F">
            <w:pPr>
              <w:pStyle w:val="Tabletext"/>
              <w:rPr>
                <w:b/>
              </w:rPr>
            </w:pPr>
            <w:r w:rsidRPr="00F0201F">
              <w:rPr>
                <w:rFonts w:cs="Tahoma"/>
                <w:b/>
              </w:rPr>
              <w:t>Follow-up period</w:t>
            </w:r>
          </w:p>
        </w:tc>
        <w:tc>
          <w:tcPr>
            <w:tcW w:w="2694" w:type="dxa"/>
            <w:shd w:val="clear" w:color="auto" w:fill="BFBFBF" w:themeFill="background1" w:themeFillShade="BF"/>
          </w:tcPr>
          <w:p w:rsidR="0075777C" w:rsidRPr="00F0201F" w:rsidRDefault="0075777C" w:rsidP="00F0201F">
            <w:pPr>
              <w:pStyle w:val="Tabletext"/>
              <w:rPr>
                <w:b/>
              </w:rPr>
            </w:pPr>
            <w:r w:rsidRPr="00F0201F">
              <w:rPr>
                <w:b/>
              </w:rPr>
              <w:t>Domain</w:t>
            </w:r>
          </w:p>
        </w:tc>
        <w:tc>
          <w:tcPr>
            <w:tcW w:w="2976" w:type="dxa"/>
            <w:shd w:val="clear" w:color="auto" w:fill="BFBFBF" w:themeFill="background1" w:themeFillShade="BF"/>
          </w:tcPr>
          <w:p w:rsidR="0075777C" w:rsidRPr="00F0201F" w:rsidRDefault="00AA1206" w:rsidP="00AA1206">
            <w:pPr>
              <w:pStyle w:val="Tabletext"/>
              <w:rPr>
                <w:b/>
              </w:rPr>
            </w:pPr>
            <w:r>
              <w:rPr>
                <w:b/>
              </w:rPr>
              <w:t xml:space="preserve">Median monotherapy-corrected </w:t>
            </w:r>
            <w:r w:rsidR="00557DAB">
              <w:rPr>
                <w:b/>
              </w:rPr>
              <w:t xml:space="preserve">norm-based </w:t>
            </w:r>
            <w:r>
              <w:rPr>
                <w:b/>
              </w:rPr>
              <w:t>change from baseline</w:t>
            </w:r>
            <w:r w:rsidR="0075777C" w:rsidRPr="00F0201F">
              <w:rPr>
                <w:b/>
              </w:rPr>
              <w:t xml:space="preserve"> (95% CI)</w:t>
            </w:r>
          </w:p>
        </w:tc>
      </w:tr>
      <w:tr w:rsidR="0075777C" w:rsidTr="00F0201F">
        <w:tc>
          <w:tcPr>
            <w:tcW w:w="1555" w:type="dxa"/>
          </w:tcPr>
          <w:p w:rsidR="0075777C" w:rsidRPr="00822C52" w:rsidRDefault="0075777C" w:rsidP="00F0201F">
            <w:pPr>
              <w:pStyle w:val="Tabletext"/>
              <w:rPr>
                <w:rFonts w:cs="Tahoma"/>
              </w:rPr>
            </w:pPr>
            <w:r w:rsidRPr="00822C52">
              <w:rPr>
                <w:rFonts w:cs="Tahoma"/>
              </w:rPr>
              <w:t>SERAPHIN</w:t>
            </w:r>
            <w:r>
              <w:rPr>
                <w:rFonts w:cs="Tahoma"/>
              </w:rPr>
              <w:t xml:space="preserve"> </w:t>
            </w:r>
            <w:r w:rsidRPr="004D0C0E">
              <w:rPr>
                <w:rFonts w:cs="Tahoma"/>
                <w:vertAlign w:val="superscript"/>
              </w:rPr>
              <w:t>a</w:t>
            </w:r>
          </w:p>
          <w:p w:rsidR="0075777C" w:rsidRDefault="0075777C" w:rsidP="00F0201F">
            <w:pPr>
              <w:pStyle w:val="Tabletext"/>
              <w:rPr>
                <w:rFonts w:cs="Tahoma"/>
              </w:rPr>
            </w:pPr>
            <w:r w:rsidRPr="00822C52">
              <w:rPr>
                <w:rFonts w:cs="Tahoma"/>
              </w:rPr>
              <w:t>Mehta et al. 2017</w:t>
            </w:r>
            <w:r w:rsidR="001D34EE" w:rsidRPr="001A1C44">
              <w:rPr>
                <w:rFonts w:cs="Tahoma"/>
                <w:noProof/>
                <w:vertAlign w:val="superscript"/>
              </w:rPr>
              <w:t>47</w:t>
            </w:r>
          </w:p>
          <w:p w:rsidR="0075777C" w:rsidRDefault="0075777C" w:rsidP="00F0201F">
            <w:pPr>
              <w:pStyle w:val="Tabletext"/>
            </w:pPr>
            <w:r>
              <w:rPr>
                <w:rFonts w:cs="Tahoma"/>
              </w:rPr>
              <w:t>SF-36</w:t>
            </w:r>
          </w:p>
        </w:tc>
        <w:tc>
          <w:tcPr>
            <w:tcW w:w="2409" w:type="dxa"/>
          </w:tcPr>
          <w:p w:rsidR="0075777C" w:rsidRPr="00822C52" w:rsidRDefault="0075777C" w:rsidP="00F0201F">
            <w:pPr>
              <w:pStyle w:val="Tabletext"/>
              <w:rPr>
                <w:rFonts w:cs="Tahoma"/>
              </w:rPr>
            </w:pPr>
            <w:r w:rsidRPr="00822C52">
              <w:rPr>
                <w:rFonts w:cs="Tahoma"/>
              </w:rPr>
              <w:t xml:space="preserve">Macitentan/any </w:t>
            </w:r>
            <w:r>
              <w:rPr>
                <w:rFonts w:cs="Tahoma"/>
              </w:rPr>
              <w:t>PDE-5 inhibitor</w:t>
            </w:r>
          </w:p>
          <w:p w:rsidR="0075777C" w:rsidRPr="00822C52" w:rsidRDefault="00AA1206" w:rsidP="00F0201F">
            <w:pPr>
              <w:pStyle w:val="Tabletext"/>
              <w:rPr>
                <w:rFonts w:cs="Tahoma"/>
              </w:rPr>
            </w:pPr>
            <w:r>
              <w:rPr>
                <w:rFonts w:cs="Tahoma"/>
              </w:rPr>
              <w:t>26</w:t>
            </w:r>
            <w:r w:rsidR="0075777C" w:rsidRPr="00822C52">
              <w:rPr>
                <w:rFonts w:cs="Tahoma"/>
              </w:rPr>
              <w:t xml:space="preserve"> weeks</w:t>
            </w:r>
          </w:p>
          <w:p w:rsidR="0075777C" w:rsidRPr="00822C52" w:rsidRDefault="0075777C" w:rsidP="00F0201F">
            <w:pPr>
              <w:pStyle w:val="Tabletext"/>
            </w:pPr>
            <w:r w:rsidRPr="00822C52">
              <w:rPr>
                <w:rFonts w:cs="Tahoma"/>
              </w:rPr>
              <w:t xml:space="preserve">ERA + </w:t>
            </w:r>
            <w:r>
              <w:rPr>
                <w:rFonts w:cs="Tahoma"/>
              </w:rPr>
              <w:t>PDE-5 inhibitor</w:t>
            </w:r>
            <w:r w:rsidRPr="00822C52">
              <w:rPr>
                <w:rFonts w:cs="Tahoma"/>
              </w:rPr>
              <w:t xml:space="preserve"> (</w:t>
            </w:r>
            <w:r w:rsidRPr="00822C52">
              <w:t>n=150)</w:t>
            </w:r>
          </w:p>
          <w:p w:rsidR="0075777C" w:rsidRDefault="0075777C" w:rsidP="00F0201F">
            <w:pPr>
              <w:pStyle w:val="Tabletext"/>
            </w:pPr>
            <w:r w:rsidRPr="00822C52">
              <w:t xml:space="preserve">Placebo + </w:t>
            </w:r>
            <w:r>
              <w:t>PDE-5 inhibitor</w:t>
            </w:r>
            <w:r w:rsidRPr="00822C52">
              <w:t xml:space="preserve"> (n=149)</w:t>
            </w:r>
          </w:p>
        </w:tc>
        <w:tc>
          <w:tcPr>
            <w:tcW w:w="2694" w:type="dxa"/>
          </w:tcPr>
          <w:p w:rsidR="0075777C" w:rsidRPr="00822C52" w:rsidRDefault="0075777C" w:rsidP="00F0201F">
            <w:pPr>
              <w:pStyle w:val="Tabletext"/>
              <w:rPr>
                <w:rFonts w:cs="Tahoma"/>
              </w:rPr>
            </w:pPr>
            <w:r w:rsidRPr="00822C52">
              <w:rPr>
                <w:rFonts w:cs="Tahoma"/>
              </w:rPr>
              <w:t>SF-36 summary components</w:t>
            </w:r>
            <w:r w:rsidR="004273EA">
              <w:rPr>
                <w:rFonts w:cs="Tahoma"/>
              </w:rPr>
              <w:t xml:space="preserve"> </w:t>
            </w:r>
            <w:r w:rsidR="004273EA" w:rsidRPr="004273EA">
              <w:rPr>
                <w:rFonts w:cs="Tahoma"/>
                <w:vertAlign w:val="superscript"/>
              </w:rPr>
              <w:t>b</w:t>
            </w:r>
          </w:p>
          <w:p w:rsidR="0075777C" w:rsidRPr="00822C52" w:rsidRDefault="0075777C" w:rsidP="00E1509D">
            <w:pPr>
              <w:pStyle w:val="Tabletext"/>
              <w:ind w:left="227"/>
              <w:rPr>
                <w:rFonts w:cs="Tahoma"/>
              </w:rPr>
            </w:pPr>
            <w:r w:rsidRPr="00822C52">
              <w:rPr>
                <w:rFonts w:cs="Tahoma"/>
              </w:rPr>
              <w:t>Physical component</w:t>
            </w:r>
          </w:p>
          <w:p w:rsidR="0075777C" w:rsidRPr="00822C52" w:rsidRDefault="0075777C" w:rsidP="00E1509D">
            <w:pPr>
              <w:pStyle w:val="Tabletext"/>
              <w:ind w:left="227"/>
              <w:rPr>
                <w:rFonts w:cs="Tahoma"/>
              </w:rPr>
            </w:pPr>
            <w:r w:rsidRPr="00822C52">
              <w:rPr>
                <w:rFonts w:cs="Tahoma"/>
              </w:rPr>
              <w:t>Mental component</w:t>
            </w:r>
          </w:p>
          <w:p w:rsidR="0075777C" w:rsidRPr="00822C52" w:rsidRDefault="0075777C" w:rsidP="00F0201F">
            <w:pPr>
              <w:pStyle w:val="Tabletext"/>
            </w:pPr>
            <w:r w:rsidRPr="00822C52">
              <w:rPr>
                <w:rFonts w:cs="Tahoma"/>
              </w:rPr>
              <w:t>SF-36 domains</w:t>
            </w:r>
            <w:r w:rsidR="004273EA">
              <w:rPr>
                <w:rFonts w:cs="Tahoma"/>
              </w:rPr>
              <w:t xml:space="preserve"> </w:t>
            </w:r>
            <w:r w:rsidR="004273EA" w:rsidRPr="004273EA">
              <w:rPr>
                <w:rFonts w:cs="Tahoma"/>
                <w:vertAlign w:val="superscript"/>
              </w:rPr>
              <w:t>b</w:t>
            </w:r>
          </w:p>
          <w:p w:rsidR="0075777C" w:rsidRPr="00822C52" w:rsidRDefault="0075777C" w:rsidP="00E1509D">
            <w:pPr>
              <w:pStyle w:val="Tabletext"/>
              <w:ind w:left="227"/>
            </w:pPr>
            <w:r w:rsidRPr="00822C52">
              <w:t>Physical functioning</w:t>
            </w:r>
          </w:p>
          <w:p w:rsidR="0075777C" w:rsidRPr="00822C52" w:rsidRDefault="0075777C" w:rsidP="00E1509D">
            <w:pPr>
              <w:pStyle w:val="Tabletext"/>
              <w:ind w:left="227"/>
            </w:pPr>
            <w:r w:rsidRPr="00822C52">
              <w:t>Role-physical</w:t>
            </w:r>
          </w:p>
          <w:p w:rsidR="0075777C" w:rsidRPr="00822C52" w:rsidRDefault="0075777C" w:rsidP="00E1509D">
            <w:pPr>
              <w:pStyle w:val="Tabletext"/>
              <w:ind w:left="227"/>
            </w:pPr>
            <w:r w:rsidRPr="00822C52">
              <w:t>Bodily pain</w:t>
            </w:r>
          </w:p>
          <w:p w:rsidR="0075777C" w:rsidRPr="00822C52" w:rsidRDefault="0075777C" w:rsidP="00E1509D">
            <w:pPr>
              <w:pStyle w:val="Tabletext"/>
              <w:ind w:left="227"/>
            </w:pPr>
            <w:r w:rsidRPr="00822C52">
              <w:t>General health</w:t>
            </w:r>
          </w:p>
          <w:p w:rsidR="0075777C" w:rsidRPr="00822C52" w:rsidRDefault="0075777C" w:rsidP="00E1509D">
            <w:pPr>
              <w:pStyle w:val="Tabletext"/>
              <w:ind w:left="227"/>
            </w:pPr>
            <w:r w:rsidRPr="00822C52">
              <w:t>Vitality</w:t>
            </w:r>
          </w:p>
          <w:p w:rsidR="0075777C" w:rsidRPr="00822C52" w:rsidRDefault="0075777C" w:rsidP="00E1509D">
            <w:pPr>
              <w:pStyle w:val="Tabletext"/>
              <w:ind w:left="227"/>
            </w:pPr>
            <w:r w:rsidRPr="00822C52">
              <w:t>Social functioning</w:t>
            </w:r>
          </w:p>
          <w:p w:rsidR="0075777C" w:rsidRPr="00822C52" w:rsidRDefault="0075777C" w:rsidP="00E1509D">
            <w:pPr>
              <w:pStyle w:val="Tabletext"/>
              <w:ind w:left="227"/>
            </w:pPr>
            <w:r w:rsidRPr="00822C52">
              <w:t>Role emotional</w:t>
            </w:r>
          </w:p>
          <w:p w:rsidR="0075777C" w:rsidRDefault="0075777C" w:rsidP="00E1509D">
            <w:pPr>
              <w:pStyle w:val="Tabletext"/>
              <w:ind w:left="227"/>
            </w:pPr>
            <w:r w:rsidRPr="00822C52">
              <w:t>Mental health</w:t>
            </w:r>
          </w:p>
        </w:tc>
        <w:tc>
          <w:tcPr>
            <w:tcW w:w="2976" w:type="dxa"/>
          </w:tcPr>
          <w:p w:rsidR="0075777C" w:rsidRPr="00822C52" w:rsidRDefault="0075777C" w:rsidP="00F0201F">
            <w:pPr>
              <w:pStyle w:val="Tabletext"/>
            </w:pPr>
          </w:p>
          <w:p w:rsidR="0075777C" w:rsidRPr="00822C52" w:rsidRDefault="0075777C" w:rsidP="00F0201F">
            <w:pPr>
              <w:pStyle w:val="Tabletext"/>
            </w:pPr>
            <w:r w:rsidRPr="00822C52">
              <w:t>1.4 (0.0, 2.9)</w:t>
            </w:r>
          </w:p>
          <w:p w:rsidR="0075777C" w:rsidRPr="00822C52" w:rsidRDefault="0075777C" w:rsidP="00F0201F">
            <w:pPr>
              <w:pStyle w:val="Tabletext"/>
            </w:pPr>
            <w:r w:rsidRPr="00822C52">
              <w:t>1.5 (-0.5, 3.8)</w:t>
            </w:r>
          </w:p>
          <w:p w:rsidR="0075777C" w:rsidRPr="00822C52" w:rsidRDefault="0075777C" w:rsidP="00F0201F">
            <w:pPr>
              <w:pStyle w:val="Tabletext"/>
            </w:pPr>
          </w:p>
          <w:p w:rsidR="0075777C" w:rsidRPr="00822C52" w:rsidRDefault="0075777C" w:rsidP="00F0201F">
            <w:pPr>
              <w:pStyle w:val="Tabletext"/>
            </w:pPr>
            <w:r w:rsidRPr="00822C52">
              <w:t>2.1 (0.0, 4.2)</w:t>
            </w:r>
          </w:p>
          <w:p w:rsidR="0075777C" w:rsidRPr="00822C52" w:rsidRDefault="0075777C" w:rsidP="00F0201F">
            <w:pPr>
              <w:pStyle w:val="Tabletext"/>
            </w:pPr>
            <w:r w:rsidRPr="00822C52">
              <w:t>2.4 (0.0, 2.4)</w:t>
            </w:r>
          </w:p>
          <w:p w:rsidR="0075777C" w:rsidRPr="00822C52" w:rsidRDefault="0075777C" w:rsidP="00F0201F">
            <w:pPr>
              <w:pStyle w:val="Tabletext"/>
            </w:pPr>
            <w:r w:rsidRPr="00822C52">
              <w:t>0.8 (0.0, 4.6)</w:t>
            </w:r>
          </w:p>
          <w:p w:rsidR="0075777C" w:rsidRPr="00822C52" w:rsidRDefault="0075777C" w:rsidP="00F0201F">
            <w:pPr>
              <w:pStyle w:val="Tabletext"/>
            </w:pPr>
            <w:r w:rsidRPr="00822C52">
              <w:t>1.4 (0.0, 2.4)</w:t>
            </w:r>
          </w:p>
          <w:p w:rsidR="0075777C" w:rsidRPr="00822C52" w:rsidRDefault="0075777C" w:rsidP="00F0201F">
            <w:pPr>
              <w:pStyle w:val="Tabletext"/>
            </w:pPr>
            <w:r w:rsidRPr="00822C52">
              <w:t>3.1 (0.0, 3.1)</w:t>
            </w:r>
          </w:p>
          <w:p w:rsidR="0075777C" w:rsidRPr="00822C52" w:rsidRDefault="0075777C" w:rsidP="00F0201F">
            <w:pPr>
              <w:pStyle w:val="Tabletext"/>
            </w:pPr>
            <w:r w:rsidRPr="00822C52">
              <w:t>0.0 (0.0, 5.5)</w:t>
            </w:r>
          </w:p>
          <w:p w:rsidR="0075777C" w:rsidRPr="00822C52" w:rsidRDefault="0075777C" w:rsidP="00F0201F">
            <w:pPr>
              <w:pStyle w:val="Tabletext"/>
            </w:pPr>
            <w:r w:rsidRPr="00822C52">
              <w:t>0.0 (0.0, 3.9)</w:t>
            </w:r>
          </w:p>
          <w:p w:rsidR="0075777C" w:rsidRDefault="0075777C" w:rsidP="00F0201F">
            <w:pPr>
              <w:pStyle w:val="Tabletext"/>
            </w:pPr>
            <w:r w:rsidRPr="00822C52">
              <w:t>1.4 (0.0, 2.8)</w:t>
            </w:r>
          </w:p>
        </w:tc>
      </w:tr>
    </w:tbl>
    <w:p w:rsidR="0075777C" w:rsidRDefault="0075777C" w:rsidP="00F0201F">
      <w:pPr>
        <w:pStyle w:val="Tablenote"/>
      </w:pPr>
      <w:r w:rsidRPr="004D0C0E">
        <w:rPr>
          <w:vertAlign w:val="superscript"/>
        </w:rPr>
        <w:t>a</w:t>
      </w:r>
      <w:r>
        <w:t xml:space="preserve"> </w:t>
      </w:r>
      <w:r w:rsidRPr="00822C52">
        <w:t xml:space="preserve">Small proportion of patients </w:t>
      </w:r>
      <w:r>
        <w:t xml:space="preserve">(4%) </w:t>
      </w:r>
      <w:r w:rsidRPr="00822C52">
        <w:t xml:space="preserve">receiving </w:t>
      </w:r>
      <w:r w:rsidR="0017012F" w:rsidRPr="00822C52">
        <w:t>prostanoids</w:t>
      </w:r>
      <w:r w:rsidRPr="00822C52">
        <w:t xml:space="preserve"> or receiving doublet background therapy</w:t>
      </w:r>
    </w:p>
    <w:p w:rsidR="004273EA" w:rsidRPr="00822C52" w:rsidRDefault="005A2984" w:rsidP="00F0201F">
      <w:pPr>
        <w:pStyle w:val="Tablenote"/>
      </w:pPr>
      <w:r>
        <w:rPr>
          <w:vertAlign w:val="superscript"/>
        </w:rPr>
        <w:t>b</w:t>
      </w:r>
      <w:r w:rsidR="004273EA" w:rsidRPr="004273EA">
        <w:t xml:space="preserve"> SF-36 component summary scores </w:t>
      </w:r>
      <w:r>
        <w:t xml:space="preserve">and domain scores </w:t>
      </w:r>
      <w:r w:rsidR="004273EA" w:rsidRPr="004273EA">
        <w:t>range from 0 to 100. A higher score indicates better QoL.</w:t>
      </w:r>
    </w:p>
    <w:p w:rsidR="00715D78" w:rsidRPr="00822C52" w:rsidRDefault="0075777C" w:rsidP="00F0201F">
      <w:pPr>
        <w:pStyle w:val="Tablenote"/>
      </w:pPr>
      <w:r w:rsidRPr="00822C52">
        <w:t xml:space="preserve">CI = confidence interval; ERA = endothelin receptor antagonist; </w:t>
      </w:r>
      <w:r w:rsidR="00715D78" w:rsidRPr="00715D78">
        <w:t xml:space="preserve">PAH = pulmonary arterial hypertension; </w:t>
      </w:r>
      <w:r>
        <w:t xml:space="preserve">PDE-5 </w:t>
      </w:r>
      <w:r w:rsidRPr="00822C52">
        <w:t>= phosphodiesterase type-5; QoL = quality of life; SF-36 = short form 36</w:t>
      </w:r>
    </w:p>
    <w:p w:rsidR="007B6C7C" w:rsidRDefault="007B6C7C" w:rsidP="007B6C7C">
      <w:pPr>
        <w:pStyle w:val="Heading5"/>
      </w:pPr>
      <w:r>
        <w:t>g.</w:t>
      </w:r>
      <w:r>
        <w:tab/>
      </w:r>
      <w:r w:rsidRPr="006316DF">
        <w:t xml:space="preserve">Change in </w:t>
      </w:r>
      <w:r>
        <w:t>haemodynamic parameters</w:t>
      </w:r>
      <w:r w:rsidRPr="006316DF">
        <w:t xml:space="preserve"> from baseline</w:t>
      </w:r>
    </w:p>
    <w:p w:rsidR="007B6C7C" w:rsidRPr="002E22DB" w:rsidRDefault="007B6C7C" w:rsidP="007B6C7C">
      <w:r>
        <w:t>None of the studies reported on haemodynamic outcomes for the subgroups of interest.</w:t>
      </w:r>
    </w:p>
    <w:p w:rsidR="0075777C" w:rsidRPr="00822C52" w:rsidRDefault="007B6C7C" w:rsidP="0075777C">
      <w:pPr>
        <w:pStyle w:val="Heading5"/>
      </w:pPr>
      <w:r>
        <w:t>h</w:t>
      </w:r>
      <w:r w:rsidR="0077344D">
        <w:t>.</w:t>
      </w:r>
      <w:r>
        <w:tab/>
      </w:r>
      <w:r w:rsidR="0075777C">
        <w:t>Comparative s</w:t>
      </w:r>
      <w:r w:rsidR="0075777C" w:rsidRPr="00822C52">
        <w:t>afety</w:t>
      </w:r>
    </w:p>
    <w:p w:rsidR="0075777C" w:rsidRPr="00822C52" w:rsidRDefault="0075777C" w:rsidP="0075777C">
      <w:r>
        <w:t xml:space="preserve">Three RCTs reported on the comparative safety of treatment with an ERA plus a PDE-5 inhibitor compared with a PDE-5 inhibitor alone in any patient with PAH. </w:t>
      </w:r>
    </w:p>
    <w:p w:rsidR="0075777C" w:rsidRDefault="0075777C" w:rsidP="0075777C">
      <w:r>
        <w:t>McLaughlin et al (2015)</w:t>
      </w:r>
      <w:r w:rsidR="001D34EE" w:rsidRPr="001A1C44">
        <w:rPr>
          <w:noProof/>
          <w:vertAlign w:val="superscript"/>
        </w:rPr>
        <w:t>37</w:t>
      </w:r>
      <w:r>
        <w:t xml:space="preserve"> reported on the number of patients who had any AE, serious AEs and AEs that led to discontinuation of double-blind treatment over the study period</w:t>
      </w:r>
      <w:r w:rsidRPr="00E73CE4">
        <w:t xml:space="preserve"> </w:t>
      </w:r>
      <w:r>
        <w:t xml:space="preserve">from the </w:t>
      </w:r>
      <w:r w:rsidRPr="00822C52">
        <w:t>COMPASS-2</w:t>
      </w:r>
      <w:r>
        <w:t xml:space="preserve"> trial. The mean e</w:t>
      </w:r>
      <w:r w:rsidRPr="00B92BE3">
        <w:t>xposure</w:t>
      </w:r>
      <w:r>
        <w:t xml:space="preserve"> period</w:t>
      </w:r>
      <w:r w:rsidRPr="00B92BE3">
        <w:t xml:space="preserve"> to </w:t>
      </w:r>
      <w:r>
        <w:t xml:space="preserve">the </w:t>
      </w:r>
      <w:r w:rsidRPr="00B92BE3">
        <w:t xml:space="preserve">double-blind study drug </w:t>
      </w:r>
      <w:r>
        <w:t>was 26.4</w:t>
      </w:r>
      <w:r w:rsidR="00B60655">
        <w:t> </w:t>
      </w:r>
      <w:r>
        <w:t>±</w:t>
      </w:r>
      <w:r w:rsidR="00B60655">
        <w:t> </w:t>
      </w:r>
      <w:r>
        <w:t xml:space="preserve">20.99 </w:t>
      </w:r>
      <w:r w:rsidRPr="00B92BE3">
        <w:t>months</w:t>
      </w:r>
      <w:r>
        <w:t xml:space="preserve"> for bosentan and 30.7</w:t>
      </w:r>
      <w:r w:rsidR="00B60655">
        <w:t> </w:t>
      </w:r>
      <w:r>
        <w:t>±</w:t>
      </w:r>
      <w:r w:rsidR="00B60655">
        <w:t> </w:t>
      </w:r>
      <w:r>
        <w:t>24.31 months for the placebo.</w:t>
      </w:r>
    </w:p>
    <w:p w:rsidR="0075777C" w:rsidRPr="00822C52" w:rsidRDefault="0075777C" w:rsidP="0075777C">
      <w:r>
        <w:t xml:space="preserve">The number of patients who had oedema-related AEs, haemoglobin decrease-related AEs, hypotension-related AEs and abnormal liver function-related AEs during combination therapy compared with those receiving monotherapy from the </w:t>
      </w:r>
      <w:r w:rsidRPr="00822C52">
        <w:t>SERAPHIN</w:t>
      </w:r>
      <w:r>
        <w:t xml:space="preserve"> trial was presented to PBAC in the </w:t>
      </w:r>
      <w:r w:rsidRPr="005A3362">
        <w:t>March 2014 submission</w:t>
      </w:r>
      <w:r>
        <w:t xml:space="preserve">. </w:t>
      </w:r>
    </w:p>
    <w:p w:rsidR="0075777C" w:rsidRDefault="0075777C" w:rsidP="0075777C">
      <w:r w:rsidRPr="00E73CE4">
        <w:t>Galie</w:t>
      </w:r>
      <w:r>
        <w:t xml:space="preserve"> et al</w:t>
      </w:r>
      <w:r w:rsidRPr="00E73CE4">
        <w:t xml:space="preserve"> </w:t>
      </w:r>
      <w:r>
        <w:t>(</w:t>
      </w:r>
      <w:r w:rsidRPr="00E73CE4">
        <w:t>2015</w:t>
      </w:r>
      <w:r>
        <w:t>)</w:t>
      </w:r>
      <w:r w:rsidR="001D34EE" w:rsidRPr="001A1C44">
        <w:rPr>
          <w:noProof/>
          <w:vertAlign w:val="superscript"/>
        </w:rPr>
        <w:t>30</w:t>
      </w:r>
      <w:r w:rsidRPr="005A3362">
        <w:t xml:space="preserve"> </w:t>
      </w:r>
      <w:r>
        <w:t>reported the number of serious AEs</w:t>
      </w:r>
      <w:r w:rsidRPr="00E73CE4">
        <w:t xml:space="preserve"> </w:t>
      </w:r>
      <w:r>
        <w:t>and the number of AEs leading to discontinuation of blinded treatment from the AMBITION trial.</w:t>
      </w:r>
    </w:p>
    <w:p w:rsidR="0075777C" w:rsidRPr="00B607A5" w:rsidRDefault="0077344D" w:rsidP="0077344D">
      <w:pPr>
        <w:pStyle w:val="Heading6"/>
      </w:pPr>
      <w:r w:rsidRPr="00B607A5">
        <w:t>h</w:t>
      </w:r>
      <w:r w:rsidR="0075777C" w:rsidRPr="00B607A5">
        <w:t>.i</w:t>
      </w:r>
      <w:r w:rsidR="0075777C" w:rsidRPr="00B607A5">
        <w:tab/>
        <w:t>PAH patients, irrespective of disease severity or aetiology</w:t>
      </w:r>
    </w:p>
    <w:p w:rsidR="0075777C" w:rsidRDefault="0075777C" w:rsidP="0075777C">
      <w:r>
        <w:t xml:space="preserve">The important AEs reported in the COMPASS-2, SERAPHIN and AMBITION trials are listed in </w:t>
      </w:r>
      <w:r w:rsidR="00AA722D">
        <w:t>Table 4.</w:t>
      </w:r>
      <w:r w:rsidR="00AA722D">
        <w:rPr>
          <w:noProof/>
        </w:rPr>
        <w:t>53</w:t>
      </w:r>
      <w:r>
        <w:t xml:space="preserve">. In the COMPASS-2 trial, the proportion of patients who had any AE was the same for both the combination therapy and monotherapy arms. However, </w:t>
      </w:r>
      <w:r w:rsidR="00BC4B63">
        <w:t>meta-analysis of</w:t>
      </w:r>
      <w:r>
        <w:t xml:space="preserve"> the COMPASS-2 and </w:t>
      </w:r>
      <w:r>
        <w:lastRenderedPageBreak/>
        <w:t xml:space="preserve">AMBITION trials </w:t>
      </w:r>
      <w:r w:rsidR="00BC4B63">
        <w:t xml:space="preserve">showed </w:t>
      </w:r>
      <w:r>
        <w:t>significantly more patients in the monotherapy arm had a serious AE compared to those in the combination therapy arm (</w:t>
      </w:r>
      <w:r w:rsidR="00AA722D">
        <w:t>Figure 4.</w:t>
      </w:r>
      <w:r w:rsidR="00AA722D">
        <w:rPr>
          <w:noProof/>
        </w:rPr>
        <w:t>13</w:t>
      </w:r>
      <w:r>
        <w:t>). Conversely, patients in the combination therapy arms had more AEs that led to treatment discontinuation than those in the monotherapy arm, but the difference was not statistically significant (</w:t>
      </w:r>
      <w:r w:rsidR="00AA722D">
        <w:t>Figure 4.</w:t>
      </w:r>
      <w:r w:rsidR="00AA722D">
        <w:rPr>
          <w:noProof/>
        </w:rPr>
        <w:t>13</w:t>
      </w:r>
      <w:r>
        <w:t xml:space="preserve">). In the SERAPHIN trial, </w:t>
      </w:r>
      <w:r w:rsidR="00A17B9D">
        <w:rPr>
          <w:noProof/>
          <w:color w:val="000000"/>
          <w:highlight w:val="black"/>
        </w:rPr>
        <w:t>'''''''''''''''''''' ''''''''''</w:t>
      </w:r>
      <w:r>
        <w:t xml:space="preserve"> patients receiving combination therapy had a haemoglobin decrease-related AE compared with those receiving monotherapy. On the other hand, </w:t>
      </w:r>
      <w:r w:rsidR="00A17B9D">
        <w:rPr>
          <w:noProof/>
          <w:color w:val="000000"/>
          <w:highlight w:val="black"/>
        </w:rPr>
        <w:t>''''''''''''''''''''''' ''''''''''</w:t>
      </w:r>
      <w:r>
        <w:t xml:space="preserve"> patients in the monotherapy arm had a</w:t>
      </w:r>
      <w:r w:rsidRPr="000844D1">
        <w:t>bnormal liver function-related AEs</w:t>
      </w:r>
      <w:r>
        <w:t xml:space="preserve"> compared with those in the combination therapy arm. </w:t>
      </w:r>
      <w:r w:rsidR="00A17B9D">
        <w:rPr>
          <w:noProof/>
          <w:color w:val="000000"/>
          <w:highlight w:val="black"/>
        </w:rPr>
        <w:t>''''''' '''''''''''''''''''</w:t>
      </w:r>
      <w:r>
        <w:t xml:space="preserve"> of patients who had oedema-related or hypotension-related AEs </w:t>
      </w:r>
      <w:r w:rsidR="00A17B9D">
        <w:rPr>
          <w:noProof/>
          <w:color w:val="000000"/>
          <w:highlight w:val="black"/>
        </w:rPr>
        <w:t>'''''''' ''''''' '''''''''''''''''''''' '''''''''''''''''</w:t>
      </w:r>
      <w:r>
        <w:t xml:space="preserve"> in the two treatment arms.</w:t>
      </w:r>
    </w:p>
    <w:p w:rsidR="0075777C" w:rsidRPr="000844D1" w:rsidRDefault="00272F8F" w:rsidP="00BC5A2B">
      <w:pPr>
        <w:pStyle w:val="Caption"/>
      </w:pPr>
      <w:bookmarkStart w:id="175" w:name="_Ref503873007"/>
      <w:bookmarkStart w:id="176" w:name="_Toc512855457"/>
      <w:r>
        <w:t>Table 4.</w:t>
      </w:r>
      <w:r w:rsidR="00AA722D">
        <w:rPr>
          <w:noProof/>
        </w:rPr>
        <w:t>53</w:t>
      </w:r>
      <w:bookmarkEnd w:id="175"/>
      <w:r w:rsidR="00F0201F">
        <w:tab/>
      </w:r>
      <w:r w:rsidR="0075777C">
        <w:t xml:space="preserve">The comparative safety of </w:t>
      </w:r>
      <w:r w:rsidR="00EB768B">
        <w:t xml:space="preserve">an </w:t>
      </w:r>
      <w:r w:rsidR="00EB768B" w:rsidRPr="00A32D31">
        <w:t xml:space="preserve">ERA </w:t>
      </w:r>
      <w:r w:rsidR="00385078">
        <w:t>in addition to</w:t>
      </w:r>
      <w:r w:rsidR="00385078" w:rsidRPr="00A32D31">
        <w:t xml:space="preserve"> </w:t>
      </w:r>
      <w:r w:rsidR="00385078">
        <w:t xml:space="preserve">a </w:t>
      </w:r>
      <w:r w:rsidR="00385078" w:rsidRPr="00A32D31">
        <w:t xml:space="preserve">PDE-5 inhibitor compared with PDE-5 inhibitor </w:t>
      </w:r>
      <w:r w:rsidR="00385078">
        <w:t xml:space="preserve">monotherapy </w:t>
      </w:r>
      <w:r w:rsidR="0075777C" w:rsidRPr="000844D1">
        <w:t>in all patients with PAH</w:t>
      </w:r>
      <w:bookmarkEnd w:id="176"/>
    </w:p>
    <w:tbl>
      <w:tblPr>
        <w:tblStyle w:val="TableGrid7"/>
        <w:tblW w:w="9634" w:type="dxa"/>
        <w:tblLayout w:type="fixed"/>
        <w:tblLook w:val="04A0" w:firstRow="1" w:lastRow="0" w:firstColumn="1" w:lastColumn="0" w:noHBand="0" w:noVBand="1"/>
        <w:tblCaption w:val="The comparative safety of an ERA in addition to a PDE-5 inhibitor compared with PDE-5 inhibitor monotherapy in all patients with PAH"/>
      </w:tblPr>
      <w:tblGrid>
        <w:gridCol w:w="1696"/>
        <w:gridCol w:w="2552"/>
        <w:gridCol w:w="1843"/>
        <w:gridCol w:w="1559"/>
        <w:gridCol w:w="1984"/>
      </w:tblGrid>
      <w:tr w:rsidR="0075777C" w:rsidRPr="00822C52" w:rsidTr="0086510D">
        <w:trPr>
          <w:trHeight w:val="314"/>
          <w:tblHeader/>
        </w:trPr>
        <w:tc>
          <w:tcPr>
            <w:tcW w:w="1696" w:type="dxa"/>
            <w:vMerge w:val="restart"/>
            <w:shd w:val="clear" w:color="auto" w:fill="BFBFBF" w:themeFill="background1" w:themeFillShade="BF"/>
          </w:tcPr>
          <w:p w:rsidR="0075777C" w:rsidRPr="00F0201F" w:rsidRDefault="0075777C" w:rsidP="00F0201F">
            <w:pPr>
              <w:pStyle w:val="Tabletext"/>
              <w:rPr>
                <w:b/>
              </w:rPr>
            </w:pPr>
            <w:r w:rsidRPr="00F0201F">
              <w:rPr>
                <w:b/>
              </w:rPr>
              <w:t>Study ID</w:t>
            </w:r>
          </w:p>
          <w:p w:rsidR="0075777C" w:rsidRPr="00F0201F" w:rsidRDefault="0075777C" w:rsidP="00F0201F">
            <w:pPr>
              <w:pStyle w:val="Tabletext"/>
              <w:rPr>
                <w:b/>
              </w:rPr>
            </w:pPr>
            <w:r w:rsidRPr="00F0201F">
              <w:rPr>
                <w:b/>
              </w:rPr>
              <w:t>ERA./PDE-5i</w:t>
            </w:r>
          </w:p>
          <w:p w:rsidR="0075777C" w:rsidRPr="00F0201F" w:rsidRDefault="0075777C" w:rsidP="00F0201F">
            <w:pPr>
              <w:pStyle w:val="Tabletext"/>
              <w:rPr>
                <w:b/>
              </w:rPr>
            </w:pPr>
            <w:r w:rsidRPr="00F0201F">
              <w:rPr>
                <w:b/>
              </w:rPr>
              <w:t>Follow-up period</w:t>
            </w:r>
          </w:p>
        </w:tc>
        <w:tc>
          <w:tcPr>
            <w:tcW w:w="2552" w:type="dxa"/>
            <w:vMerge w:val="restart"/>
            <w:shd w:val="clear" w:color="auto" w:fill="BFBFBF" w:themeFill="background1" w:themeFillShade="BF"/>
          </w:tcPr>
          <w:p w:rsidR="0075777C" w:rsidRPr="00F0201F" w:rsidRDefault="0075777C" w:rsidP="00F0201F">
            <w:pPr>
              <w:pStyle w:val="Tabletext"/>
              <w:rPr>
                <w:b/>
              </w:rPr>
            </w:pPr>
            <w:r w:rsidRPr="00F0201F">
              <w:rPr>
                <w:b/>
              </w:rPr>
              <w:t>Adverse events</w:t>
            </w:r>
          </w:p>
        </w:tc>
        <w:tc>
          <w:tcPr>
            <w:tcW w:w="3402" w:type="dxa"/>
            <w:gridSpan w:val="2"/>
            <w:shd w:val="clear" w:color="auto" w:fill="BFBFBF" w:themeFill="background1" w:themeFillShade="BF"/>
          </w:tcPr>
          <w:p w:rsidR="0075777C" w:rsidRPr="00F0201F" w:rsidRDefault="0075777C" w:rsidP="00F0201F">
            <w:pPr>
              <w:pStyle w:val="Tabletext"/>
              <w:jc w:val="center"/>
              <w:rPr>
                <w:b/>
              </w:rPr>
            </w:pPr>
            <w:r w:rsidRPr="00F0201F">
              <w:rPr>
                <w:b/>
              </w:rPr>
              <w:t>n/N (%)</w:t>
            </w:r>
          </w:p>
        </w:tc>
        <w:tc>
          <w:tcPr>
            <w:tcW w:w="1984" w:type="dxa"/>
            <w:vMerge w:val="restart"/>
            <w:shd w:val="clear" w:color="auto" w:fill="BFBFBF" w:themeFill="background1" w:themeFillShade="BF"/>
          </w:tcPr>
          <w:p w:rsidR="0075777C" w:rsidRPr="00F0201F" w:rsidRDefault="0075777C" w:rsidP="00F0201F">
            <w:pPr>
              <w:pStyle w:val="Tabletext"/>
              <w:rPr>
                <w:b/>
              </w:rPr>
            </w:pPr>
            <w:r w:rsidRPr="00F0201F">
              <w:rPr>
                <w:b/>
              </w:rPr>
              <w:t>HR or RR (95% CI)</w:t>
            </w:r>
          </w:p>
        </w:tc>
      </w:tr>
      <w:tr w:rsidR="0075777C" w:rsidRPr="00822C52" w:rsidTr="00F0201F">
        <w:trPr>
          <w:trHeight w:val="202"/>
          <w:tblHeader/>
        </w:trPr>
        <w:tc>
          <w:tcPr>
            <w:tcW w:w="1696" w:type="dxa"/>
            <w:vMerge/>
            <w:shd w:val="clear" w:color="auto" w:fill="BFBFBF" w:themeFill="background1" w:themeFillShade="BF"/>
          </w:tcPr>
          <w:p w:rsidR="0075777C" w:rsidRPr="00822C52" w:rsidRDefault="0075777C" w:rsidP="00F0201F">
            <w:pPr>
              <w:pStyle w:val="Tabletext"/>
            </w:pPr>
          </w:p>
        </w:tc>
        <w:tc>
          <w:tcPr>
            <w:tcW w:w="2552" w:type="dxa"/>
            <w:vMerge/>
            <w:shd w:val="clear" w:color="auto" w:fill="BFBFBF" w:themeFill="background1" w:themeFillShade="BF"/>
          </w:tcPr>
          <w:p w:rsidR="0075777C" w:rsidRPr="00822C52" w:rsidRDefault="0075777C" w:rsidP="00F0201F">
            <w:pPr>
              <w:pStyle w:val="Tabletext"/>
            </w:pPr>
          </w:p>
        </w:tc>
        <w:tc>
          <w:tcPr>
            <w:tcW w:w="1843" w:type="dxa"/>
            <w:shd w:val="clear" w:color="auto" w:fill="BFBFBF" w:themeFill="background1" w:themeFillShade="BF"/>
          </w:tcPr>
          <w:p w:rsidR="0075777C" w:rsidRPr="00F0201F" w:rsidRDefault="0075777C" w:rsidP="00F0201F">
            <w:pPr>
              <w:pStyle w:val="Tabletext"/>
              <w:jc w:val="center"/>
              <w:rPr>
                <w:b/>
              </w:rPr>
            </w:pPr>
            <w:r w:rsidRPr="00F0201F">
              <w:rPr>
                <w:b/>
              </w:rPr>
              <w:t>ERA + PDE-5i</w:t>
            </w:r>
          </w:p>
        </w:tc>
        <w:tc>
          <w:tcPr>
            <w:tcW w:w="1559" w:type="dxa"/>
            <w:shd w:val="clear" w:color="auto" w:fill="BFBFBF" w:themeFill="background1" w:themeFillShade="BF"/>
          </w:tcPr>
          <w:p w:rsidR="0075777C" w:rsidRPr="00F0201F" w:rsidRDefault="0075777C" w:rsidP="00F0201F">
            <w:pPr>
              <w:pStyle w:val="Tabletext"/>
              <w:jc w:val="center"/>
              <w:rPr>
                <w:b/>
              </w:rPr>
            </w:pPr>
            <w:r w:rsidRPr="00F0201F">
              <w:rPr>
                <w:b/>
              </w:rPr>
              <w:t>PDE-5i</w:t>
            </w:r>
          </w:p>
        </w:tc>
        <w:tc>
          <w:tcPr>
            <w:tcW w:w="1984" w:type="dxa"/>
            <w:vMerge/>
            <w:shd w:val="clear" w:color="auto" w:fill="BFBFBF" w:themeFill="background1" w:themeFillShade="BF"/>
          </w:tcPr>
          <w:p w:rsidR="0075777C" w:rsidRPr="00822C52" w:rsidRDefault="0075777C" w:rsidP="00F0201F">
            <w:pPr>
              <w:pStyle w:val="Tabletext"/>
            </w:pPr>
          </w:p>
        </w:tc>
      </w:tr>
      <w:tr w:rsidR="0075777C" w:rsidRPr="00822C52" w:rsidTr="00F0201F">
        <w:trPr>
          <w:trHeight w:val="70"/>
        </w:trPr>
        <w:tc>
          <w:tcPr>
            <w:tcW w:w="1696" w:type="dxa"/>
          </w:tcPr>
          <w:p w:rsidR="0075777C" w:rsidRPr="00822C52" w:rsidRDefault="0075777C" w:rsidP="00F0201F">
            <w:pPr>
              <w:pStyle w:val="Tabletext"/>
              <w:rPr>
                <w:rFonts w:cs="Tahoma"/>
              </w:rPr>
            </w:pPr>
            <w:r w:rsidRPr="00822C52">
              <w:rPr>
                <w:rFonts w:cs="Tahoma"/>
              </w:rPr>
              <w:t>COMPASS-2</w:t>
            </w:r>
            <w:r w:rsidR="001D34EE" w:rsidRPr="001A1C44">
              <w:rPr>
                <w:rFonts w:cs="Tahoma"/>
                <w:noProof/>
                <w:vertAlign w:val="superscript"/>
              </w:rPr>
              <w:t>37</w:t>
            </w:r>
          </w:p>
          <w:p w:rsidR="0075777C" w:rsidRPr="00822C52" w:rsidRDefault="0075777C" w:rsidP="00F0201F">
            <w:pPr>
              <w:pStyle w:val="Tabletext"/>
              <w:rPr>
                <w:rFonts w:cs="Tahoma"/>
              </w:rPr>
            </w:pPr>
            <w:r w:rsidRPr="00822C52">
              <w:rPr>
                <w:rFonts w:cs="Tahoma"/>
              </w:rPr>
              <w:t>Bosentan/ sildenafil</w:t>
            </w:r>
          </w:p>
          <w:p w:rsidR="0075777C" w:rsidRPr="00822C52" w:rsidRDefault="0075777C" w:rsidP="00F0201F">
            <w:pPr>
              <w:pStyle w:val="Tabletext"/>
              <w:rPr>
                <w:rFonts w:cs="Tahoma"/>
              </w:rPr>
            </w:pPr>
            <w:r w:rsidRPr="00822C52">
              <w:rPr>
                <w:rFonts w:cs="Tahoma"/>
              </w:rPr>
              <w:t>1</w:t>
            </w:r>
            <w:r>
              <w:rPr>
                <w:rFonts w:cs="Tahoma"/>
              </w:rPr>
              <w:t>04</w:t>
            </w:r>
            <w:r w:rsidRPr="00822C52">
              <w:rPr>
                <w:rFonts w:cs="Tahoma"/>
              </w:rPr>
              <w:t xml:space="preserve"> weeks</w:t>
            </w:r>
          </w:p>
        </w:tc>
        <w:tc>
          <w:tcPr>
            <w:tcW w:w="2552" w:type="dxa"/>
          </w:tcPr>
          <w:p w:rsidR="0075777C" w:rsidRPr="00822C52" w:rsidRDefault="0075777C" w:rsidP="00F0201F">
            <w:pPr>
              <w:pStyle w:val="Tabletext"/>
              <w:rPr>
                <w:rFonts w:cs="Tahoma"/>
              </w:rPr>
            </w:pPr>
            <w:r w:rsidRPr="00822C52">
              <w:rPr>
                <w:rFonts w:cs="Tahoma"/>
              </w:rPr>
              <w:t>Any AE</w:t>
            </w:r>
          </w:p>
          <w:p w:rsidR="0075777C" w:rsidRPr="00822C52" w:rsidRDefault="0075777C" w:rsidP="00F0201F">
            <w:pPr>
              <w:pStyle w:val="Tabletext"/>
              <w:rPr>
                <w:rFonts w:cs="Tahoma"/>
              </w:rPr>
            </w:pPr>
            <w:r w:rsidRPr="00822C52">
              <w:rPr>
                <w:rFonts w:cs="Tahoma"/>
              </w:rPr>
              <w:t>Serious AEs</w:t>
            </w:r>
          </w:p>
          <w:p w:rsidR="0075777C" w:rsidRPr="00822C52" w:rsidRDefault="0075777C" w:rsidP="00F0201F">
            <w:pPr>
              <w:pStyle w:val="Tabletext"/>
              <w:rPr>
                <w:rFonts w:cs="Tahoma"/>
              </w:rPr>
            </w:pPr>
            <w:r w:rsidRPr="00822C52">
              <w:rPr>
                <w:rFonts w:cs="Tahoma"/>
              </w:rPr>
              <w:t>AEs leading to discontinuation</w:t>
            </w:r>
          </w:p>
        </w:tc>
        <w:tc>
          <w:tcPr>
            <w:tcW w:w="1843" w:type="dxa"/>
            <w:shd w:val="clear" w:color="auto" w:fill="auto"/>
          </w:tcPr>
          <w:p w:rsidR="0075777C" w:rsidRPr="00822C52" w:rsidRDefault="0075777C" w:rsidP="00F0201F">
            <w:pPr>
              <w:pStyle w:val="Tabletext"/>
              <w:jc w:val="center"/>
              <w:rPr>
                <w:rFonts w:cs="Tahoma"/>
              </w:rPr>
            </w:pPr>
            <w:r w:rsidRPr="00822C52">
              <w:rPr>
                <w:rFonts w:cs="Tahoma"/>
              </w:rPr>
              <w:t>144/159 (91%)</w:t>
            </w:r>
          </w:p>
          <w:p w:rsidR="0075777C" w:rsidRPr="00822C52" w:rsidRDefault="0075777C" w:rsidP="00F0201F">
            <w:pPr>
              <w:pStyle w:val="Tabletext"/>
              <w:jc w:val="center"/>
              <w:rPr>
                <w:rFonts w:cs="Tahoma"/>
              </w:rPr>
            </w:pPr>
            <w:r w:rsidRPr="00822C52">
              <w:rPr>
                <w:rFonts w:cs="Tahoma"/>
              </w:rPr>
              <w:t>73/159 (46%)</w:t>
            </w:r>
          </w:p>
          <w:p w:rsidR="0075777C" w:rsidRPr="00822C52" w:rsidRDefault="0075777C" w:rsidP="00F0201F">
            <w:pPr>
              <w:pStyle w:val="Tabletext"/>
              <w:jc w:val="center"/>
              <w:rPr>
                <w:rFonts w:cs="Tahoma"/>
              </w:rPr>
            </w:pPr>
            <w:r w:rsidRPr="00822C52">
              <w:rPr>
                <w:rFonts w:cs="Tahoma"/>
              </w:rPr>
              <w:t>39/159 (25%)</w:t>
            </w:r>
          </w:p>
        </w:tc>
        <w:tc>
          <w:tcPr>
            <w:tcW w:w="1559" w:type="dxa"/>
            <w:shd w:val="clear" w:color="auto" w:fill="auto"/>
          </w:tcPr>
          <w:p w:rsidR="0075777C" w:rsidRPr="00822C52" w:rsidRDefault="0075777C" w:rsidP="00F0201F">
            <w:pPr>
              <w:pStyle w:val="Tabletext"/>
              <w:jc w:val="center"/>
              <w:rPr>
                <w:rFonts w:cs="Tahoma"/>
              </w:rPr>
            </w:pPr>
            <w:r w:rsidRPr="00822C52">
              <w:rPr>
                <w:rFonts w:cs="Tahoma"/>
              </w:rPr>
              <w:t>159/174 (91%)</w:t>
            </w:r>
          </w:p>
          <w:p w:rsidR="0075777C" w:rsidRPr="00822C52" w:rsidRDefault="0075777C" w:rsidP="00F0201F">
            <w:pPr>
              <w:pStyle w:val="Tabletext"/>
              <w:jc w:val="center"/>
              <w:rPr>
                <w:rFonts w:cs="Tahoma"/>
              </w:rPr>
            </w:pPr>
            <w:r w:rsidRPr="00822C52">
              <w:rPr>
                <w:rFonts w:cs="Tahoma"/>
              </w:rPr>
              <w:t>102/174 (59%)</w:t>
            </w:r>
          </w:p>
          <w:p w:rsidR="0075777C" w:rsidRPr="00822C52" w:rsidRDefault="0075777C" w:rsidP="00F0201F">
            <w:pPr>
              <w:pStyle w:val="Tabletext"/>
              <w:jc w:val="center"/>
              <w:rPr>
                <w:rFonts w:cs="Tahoma"/>
              </w:rPr>
            </w:pPr>
            <w:r w:rsidRPr="00822C52">
              <w:rPr>
                <w:rFonts w:cs="Tahoma"/>
              </w:rPr>
              <w:t>22/174 (13%)</w:t>
            </w:r>
          </w:p>
        </w:tc>
        <w:tc>
          <w:tcPr>
            <w:tcW w:w="1984" w:type="dxa"/>
          </w:tcPr>
          <w:p w:rsidR="0075777C" w:rsidRPr="00822C52" w:rsidRDefault="0075777C" w:rsidP="00F0201F">
            <w:pPr>
              <w:pStyle w:val="Tabletext"/>
              <w:rPr>
                <w:rFonts w:cs="Tahoma"/>
              </w:rPr>
            </w:pPr>
            <w:r w:rsidRPr="00822C52">
              <w:rPr>
                <w:rFonts w:cs="Tahoma"/>
              </w:rPr>
              <w:t>RR = 0.99 (</w:t>
            </w:r>
            <w:r>
              <w:rPr>
                <w:rFonts w:cs="Tahoma"/>
              </w:rPr>
              <w:t>0</w:t>
            </w:r>
            <w:r w:rsidRPr="00822C52">
              <w:rPr>
                <w:rFonts w:cs="Tahoma"/>
              </w:rPr>
              <w:t>.93, 1.06)</w:t>
            </w:r>
          </w:p>
          <w:p w:rsidR="0075777C" w:rsidRPr="000844D1" w:rsidRDefault="0075777C" w:rsidP="00F0201F">
            <w:pPr>
              <w:pStyle w:val="Tabletext"/>
              <w:rPr>
                <w:rFonts w:cs="Tahoma"/>
              </w:rPr>
            </w:pPr>
            <w:r w:rsidRPr="000844D1">
              <w:rPr>
                <w:rFonts w:cs="Tahoma"/>
              </w:rPr>
              <w:t>RR = 0.78 (0.63, 0.97)</w:t>
            </w:r>
          </w:p>
          <w:p w:rsidR="0075777C" w:rsidRPr="00822C52" w:rsidRDefault="0075777C" w:rsidP="00F0201F">
            <w:pPr>
              <w:pStyle w:val="Tabletext"/>
              <w:rPr>
                <w:rFonts w:cs="Tahoma"/>
                <w:highlight w:val="green"/>
              </w:rPr>
            </w:pPr>
            <w:r w:rsidRPr="000844D1">
              <w:rPr>
                <w:rFonts w:cs="Tahoma"/>
              </w:rPr>
              <w:t>RR = 1.94 (1.20, 3.12</w:t>
            </w:r>
            <w:r w:rsidRPr="00897710">
              <w:rPr>
                <w:rFonts w:cs="Tahoma"/>
              </w:rPr>
              <w:t>)</w:t>
            </w:r>
          </w:p>
        </w:tc>
      </w:tr>
      <w:tr w:rsidR="0075777C" w:rsidRPr="000844D1" w:rsidTr="00F0201F">
        <w:trPr>
          <w:trHeight w:val="70"/>
        </w:trPr>
        <w:tc>
          <w:tcPr>
            <w:tcW w:w="1696" w:type="dxa"/>
          </w:tcPr>
          <w:p w:rsidR="0075777C" w:rsidRPr="00822C52" w:rsidRDefault="0075777C" w:rsidP="00F0201F">
            <w:pPr>
              <w:pStyle w:val="Tabletext"/>
              <w:rPr>
                <w:rFonts w:cs="Tahoma"/>
              </w:rPr>
            </w:pPr>
            <w:r w:rsidRPr="00822C52">
              <w:rPr>
                <w:rFonts w:cs="Tahoma"/>
              </w:rPr>
              <w:t>SERAPHIN</w:t>
            </w:r>
            <w:r>
              <w:rPr>
                <w:rFonts w:cs="Tahoma"/>
              </w:rPr>
              <w:t xml:space="preserve"> </w:t>
            </w:r>
            <w:r w:rsidRPr="004D0C0E">
              <w:rPr>
                <w:rFonts w:cs="Tahoma"/>
                <w:vertAlign w:val="superscript"/>
              </w:rPr>
              <w:t>a</w:t>
            </w:r>
            <w:r w:rsidRPr="00822C52">
              <w:rPr>
                <w:rFonts w:cs="Tahoma"/>
              </w:rPr>
              <w:t>, March 2014 submission</w:t>
            </w:r>
          </w:p>
          <w:p w:rsidR="0075777C" w:rsidRPr="00822C52" w:rsidRDefault="0075777C" w:rsidP="00F0201F">
            <w:pPr>
              <w:pStyle w:val="Tabletext"/>
              <w:rPr>
                <w:rFonts w:cs="Tahoma"/>
              </w:rPr>
            </w:pPr>
            <w:r w:rsidRPr="00822C52">
              <w:rPr>
                <w:rFonts w:cs="Tahoma"/>
              </w:rPr>
              <w:t xml:space="preserve">Macitentan/any </w:t>
            </w:r>
            <w:r>
              <w:rPr>
                <w:rFonts w:cs="Tahoma"/>
              </w:rPr>
              <w:t>PDE-5 inhibitor</w:t>
            </w:r>
          </w:p>
          <w:p w:rsidR="0075777C" w:rsidRPr="00822C52" w:rsidRDefault="0075777C" w:rsidP="00F0201F">
            <w:pPr>
              <w:pStyle w:val="Tabletext"/>
              <w:rPr>
                <w:rFonts w:cs="Tahoma"/>
              </w:rPr>
            </w:pPr>
            <w:r w:rsidRPr="00822C52">
              <w:rPr>
                <w:rFonts w:cs="Tahoma"/>
              </w:rPr>
              <w:t>12 weeks</w:t>
            </w:r>
          </w:p>
        </w:tc>
        <w:tc>
          <w:tcPr>
            <w:tcW w:w="2552" w:type="dxa"/>
          </w:tcPr>
          <w:p w:rsidR="00F0201F" w:rsidRDefault="0075777C" w:rsidP="00F0201F">
            <w:pPr>
              <w:pStyle w:val="Tabletext"/>
              <w:rPr>
                <w:rFonts w:cs="Tahoma"/>
              </w:rPr>
            </w:pPr>
            <w:r w:rsidRPr="00822C52">
              <w:rPr>
                <w:rFonts w:cs="Tahoma"/>
              </w:rPr>
              <w:t>Oedema-related AEs</w:t>
            </w:r>
          </w:p>
          <w:p w:rsidR="0075777C" w:rsidRPr="00822C52" w:rsidRDefault="0075777C" w:rsidP="00F0201F">
            <w:pPr>
              <w:pStyle w:val="Tabletext"/>
              <w:rPr>
                <w:rFonts w:cs="Tahoma"/>
              </w:rPr>
            </w:pPr>
          </w:p>
          <w:p w:rsidR="0075777C" w:rsidRDefault="0075777C" w:rsidP="00F0201F">
            <w:pPr>
              <w:pStyle w:val="Tabletext"/>
              <w:rPr>
                <w:rFonts w:cs="Tahoma"/>
              </w:rPr>
            </w:pPr>
            <w:r w:rsidRPr="00822C52">
              <w:rPr>
                <w:rFonts w:cs="Tahoma"/>
              </w:rPr>
              <w:t>Haemoglobin decrease-related AE</w:t>
            </w:r>
            <w:r>
              <w:rPr>
                <w:rFonts w:cs="Tahoma"/>
              </w:rPr>
              <w:t>s</w:t>
            </w:r>
          </w:p>
          <w:p w:rsidR="00F0201F" w:rsidRPr="00822C52" w:rsidRDefault="00F0201F" w:rsidP="00F0201F">
            <w:pPr>
              <w:pStyle w:val="Tabletext"/>
              <w:rPr>
                <w:rFonts w:cs="Tahoma"/>
              </w:rPr>
            </w:pPr>
          </w:p>
          <w:p w:rsidR="0075777C" w:rsidRDefault="0075777C" w:rsidP="00F0201F">
            <w:pPr>
              <w:pStyle w:val="Tabletext"/>
              <w:rPr>
                <w:rFonts w:cs="Tahoma"/>
              </w:rPr>
            </w:pPr>
            <w:r w:rsidRPr="00822C52">
              <w:rPr>
                <w:rFonts w:cs="Tahoma"/>
              </w:rPr>
              <w:t>Hypotension-related AE</w:t>
            </w:r>
            <w:r>
              <w:rPr>
                <w:rFonts w:cs="Tahoma"/>
              </w:rPr>
              <w:t>s</w:t>
            </w:r>
          </w:p>
          <w:p w:rsidR="00F0201F" w:rsidRPr="00822C52" w:rsidRDefault="00F0201F" w:rsidP="00F0201F">
            <w:pPr>
              <w:pStyle w:val="Tabletext"/>
              <w:rPr>
                <w:rFonts w:cs="Tahoma"/>
              </w:rPr>
            </w:pPr>
          </w:p>
          <w:p w:rsidR="0075777C" w:rsidRPr="00822C52" w:rsidRDefault="0075777C" w:rsidP="00F0201F">
            <w:pPr>
              <w:pStyle w:val="Tabletext"/>
              <w:rPr>
                <w:rFonts w:cs="Tahoma"/>
              </w:rPr>
            </w:pPr>
            <w:r w:rsidRPr="00822C52">
              <w:rPr>
                <w:rFonts w:cs="Tahoma"/>
              </w:rPr>
              <w:t>Abnormal liver function-related AE</w:t>
            </w:r>
            <w:r>
              <w:rPr>
                <w:rFonts w:cs="Tahoma"/>
              </w:rPr>
              <w:t>s</w:t>
            </w:r>
          </w:p>
        </w:tc>
        <w:tc>
          <w:tcPr>
            <w:tcW w:w="1843" w:type="dxa"/>
            <w:shd w:val="clear" w:color="auto" w:fill="auto"/>
          </w:tcPr>
          <w:p w:rsidR="00F0201F" w:rsidRPr="00A17B9D" w:rsidRDefault="00A17B9D" w:rsidP="00F0201F">
            <w:pPr>
              <w:pStyle w:val="Tabletext"/>
              <w:jc w:val="center"/>
              <w:rPr>
                <w:rFonts w:cs="Tahoma"/>
                <w:highlight w:val="black"/>
              </w:rPr>
            </w:pPr>
            <w:r>
              <w:rPr>
                <w:rFonts w:cs="Tahoma"/>
                <w:noProof/>
                <w:color w:val="000000"/>
                <w:highlight w:val="black"/>
              </w:rPr>
              <w:t>'''''''''''''''''' '''''''''''''''''</w:t>
            </w:r>
          </w:p>
          <w:p w:rsidR="0075777C" w:rsidRPr="00A17B9D" w:rsidRDefault="0075777C" w:rsidP="00F0201F">
            <w:pPr>
              <w:pStyle w:val="Tabletext"/>
              <w:jc w:val="center"/>
              <w:rPr>
                <w:rFonts w:cs="Tahoma"/>
                <w:highlight w:val="cyan"/>
              </w:rPr>
            </w:pPr>
          </w:p>
          <w:p w:rsidR="00F0201F" w:rsidRPr="00A17B9D" w:rsidRDefault="00A17B9D" w:rsidP="00F0201F">
            <w:pPr>
              <w:pStyle w:val="Tabletext"/>
              <w:jc w:val="center"/>
              <w:rPr>
                <w:rFonts w:cs="Tahoma"/>
                <w:highlight w:val="black"/>
              </w:rPr>
            </w:pPr>
            <w:r>
              <w:rPr>
                <w:rFonts w:cs="Tahoma"/>
                <w:noProof/>
                <w:color w:val="000000"/>
                <w:highlight w:val="black"/>
              </w:rPr>
              <w:t>''''''''''''''' '''''''''''''''''</w:t>
            </w:r>
          </w:p>
          <w:p w:rsidR="0075777C" w:rsidRPr="00A17B9D" w:rsidRDefault="0075777C" w:rsidP="00F0201F">
            <w:pPr>
              <w:pStyle w:val="Tabletext"/>
              <w:jc w:val="center"/>
              <w:rPr>
                <w:rFonts w:cs="Tahoma"/>
                <w:highlight w:val="cyan"/>
              </w:rPr>
            </w:pPr>
          </w:p>
          <w:p w:rsidR="00F0201F" w:rsidRPr="00A17B9D" w:rsidRDefault="00A17B9D" w:rsidP="00F0201F">
            <w:pPr>
              <w:pStyle w:val="Tabletext"/>
              <w:jc w:val="center"/>
              <w:rPr>
                <w:rFonts w:cs="Tahoma"/>
                <w:highlight w:val="black"/>
              </w:rPr>
            </w:pPr>
            <w:r>
              <w:rPr>
                <w:rFonts w:cs="Tahoma"/>
                <w:noProof/>
                <w:color w:val="000000"/>
                <w:highlight w:val="black"/>
              </w:rPr>
              <w:t>''''''''''''' '''''''''''''''</w:t>
            </w:r>
          </w:p>
          <w:p w:rsidR="0075777C" w:rsidRPr="00A17B9D" w:rsidRDefault="0075777C" w:rsidP="00F0201F">
            <w:pPr>
              <w:pStyle w:val="Tabletext"/>
              <w:jc w:val="center"/>
              <w:rPr>
                <w:rFonts w:cs="Tahoma"/>
                <w:highlight w:val="cyan"/>
              </w:rPr>
            </w:pPr>
          </w:p>
          <w:p w:rsidR="0075777C" w:rsidRPr="00A17B9D" w:rsidRDefault="00A17B9D" w:rsidP="00F0201F">
            <w:pPr>
              <w:pStyle w:val="Tabletext"/>
              <w:jc w:val="center"/>
              <w:rPr>
                <w:rFonts w:cs="Tahoma"/>
                <w:highlight w:val="black"/>
              </w:rPr>
            </w:pPr>
            <w:r>
              <w:rPr>
                <w:rFonts w:cs="Tahoma"/>
                <w:noProof/>
                <w:color w:val="000000"/>
                <w:highlight w:val="black"/>
              </w:rPr>
              <w:t>'''''''''''''''' ''''''''''''''''</w:t>
            </w:r>
          </w:p>
        </w:tc>
        <w:tc>
          <w:tcPr>
            <w:tcW w:w="1559" w:type="dxa"/>
            <w:shd w:val="clear" w:color="auto" w:fill="auto"/>
          </w:tcPr>
          <w:p w:rsidR="00F0201F" w:rsidRPr="00A17B9D" w:rsidRDefault="00A17B9D" w:rsidP="00F0201F">
            <w:pPr>
              <w:pStyle w:val="Tabletext"/>
              <w:jc w:val="center"/>
              <w:rPr>
                <w:rFonts w:cs="Tahoma"/>
                <w:highlight w:val="black"/>
              </w:rPr>
            </w:pPr>
            <w:r>
              <w:rPr>
                <w:rFonts w:cs="Tahoma"/>
                <w:noProof/>
                <w:color w:val="000000"/>
                <w:highlight w:val="black"/>
              </w:rPr>
              <w:t>'''''''''''''''''' '''''''''''''''''''</w:t>
            </w:r>
          </w:p>
          <w:p w:rsidR="0075777C" w:rsidRPr="00A17B9D" w:rsidRDefault="0075777C" w:rsidP="00F0201F">
            <w:pPr>
              <w:pStyle w:val="Tabletext"/>
              <w:jc w:val="center"/>
              <w:rPr>
                <w:rFonts w:cs="Tahoma"/>
                <w:highlight w:val="cyan"/>
              </w:rPr>
            </w:pPr>
          </w:p>
          <w:p w:rsidR="00F0201F" w:rsidRPr="00A17B9D" w:rsidRDefault="00A17B9D" w:rsidP="00F0201F">
            <w:pPr>
              <w:pStyle w:val="Tabletext"/>
              <w:jc w:val="center"/>
              <w:rPr>
                <w:rFonts w:cs="Tahoma"/>
                <w:highlight w:val="black"/>
              </w:rPr>
            </w:pPr>
            <w:r>
              <w:rPr>
                <w:rFonts w:cs="Tahoma"/>
                <w:noProof/>
                <w:color w:val="000000"/>
                <w:highlight w:val="black"/>
              </w:rPr>
              <w:t>''''''''''''''' ''''''''''''''''</w:t>
            </w:r>
          </w:p>
          <w:p w:rsidR="0075777C" w:rsidRPr="00A17B9D" w:rsidRDefault="0075777C" w:rsidP="00F0201F">
            <w:pPr>
              <w:pStyle w:val="Tabletext"/>
              <w:jc w:val="center"/>
              <w:rPr>
                <w:rFonts w:cs="Tahoma"/>
                <w:highlight w:val="cyan"/>
              </w:rPr>
            </w:pPr>
          </w:p>
          <w:p w:rsidR="00F0201F" w:rsidRPr="00A17B9D" w:rsidRDefault="00A17B9D" w:rsidP="00F0201F">
            <w:pPr>
              <w:pStyle w:val="Tabletext"/>
              <w:jc w:val="center"/>
              <w:rPr>
                <w:rFonts w:cs="Tahoma"/>
                <w:highlight w:val="black"/>
              </w:rPr>
            </w:pPr>
            <w:r>
              <w:rPr>
                <w:rFonts w:cs="Tahoma"/>
                <w:noProof/>
                <w:color w:val="000000"/>
                <w:highlight w:val="black"/>
              </w:rPr>
              <w:t>''''''''''''''' ''''''''''''''''</w:t>
            </w:r>
          </w:p>
          <w:p w:rsidR="0075777C" w:rsidRPr="00A17B9D" w:rsidRDefault="0075777C" w:rsidP="00F0201F">
            <w:pPr>
              <w:pStyle w:val="Tabletext"/>
              <w:jc w:val="center"/>
              <w:rPr>
                <w:rFonts w:cs="Tahoma"/>
                <w:highlight w:val="cyan"/>
              </w:rPr>
            </w:pPr>
          </w:p>
          <w:p w:rsidR="0075777C" w:rsidRPr="00A17B9D" w:rsidRDefault="00A17B9D" w:rsidP="00F0201F">
            <w:pPr>
              <w:pStyle w:val="Tabletext"/>
              <w:jc w:val="center"/>
              <w:rPr>
                <w:rFonts w:cs="Tahoma"/>
                <w:highlight w:val="black"/>
              </w:rPr>
            </w:pPr>
            <w:r>
              <w:rPr>
                <w:rFonts w:cs="Tahoma"/>
                <w:noProof/>
                <w:color w:val="000000"/>
                <w:highlight w:val="black"/>
              </w:rPr>
              <w:t>''''''''''''''' '''''''''''''''''''</w:t>
            </w:r>
          </w:p>
        </w:tc>
        <w:tc>
          <w:tcPr>
            <w:tcW w:w="1984" w:type="dxa"/>
          </w:tcPr>
          <w:p w:rsidR="00F0201F" w:rsidRPr="00A17B9D" w:rsidRDefault="00A17B9D" w:rsidP="00F0201F">
            <w:pPr>
              <w:pStyle w:val="Tabletext"/>
              <w:rPr>
                <w:rFonts w:cs="Tahoma"/>
                <w:highlight w:val="black"/>
              </w:rPr>
            </w:pPr>
            <w:r>
              <w:rPr>
                <w:rFonts w:cs="Tahoma"/>
                <w:noProof/>
                <w:color w:val="000000"/>
                <w:highlight w:val="black"/>
              </w:rPr>
              <w:t>'''''''' '''' ''''''''''' ''''''''''''''' '''''''''''''</w:t>
            </w:r>
          </w:p>
          <w:p w:rsidR="0075777C" w:rsidRPr="00A17B9D" w:rsidRDefault="00A17B9D" w:rsidP="00F0201F">
            <w:pPr>
              <w:pStyle w:val="Tabletext"/>
              <w:rPr>
                <w:rFonts w:cs="Tahoma"/>
                <w:highlight w:val="black"/>
              </w:rPr>
            </w:pPr>
            <w:r>
              <w:rPr>
                <w:rFonts w:cs="Tahoma"/>
                <w:noProof/>
                <w:color w:val="000000"/>
                <w:highlight w:val="black"/>
              </w:rPr>
              <w:t>'''''''' ''' '''''''''' '''''''''''''' '''''''''''</w:t>
            </w:r>
          </w:p>
          <w:p w:rsidR="00F0201F" w:rsidRPr="00A17B9D" w:rsidRDefault="00A17B9D" w:rsidP="00F0201F">
            <w:pPr>
              <w:pStyle w:val="Tabletext"/>
              <w:rPr>
                <w:rFonts w:cs="Tahoma"/>
                <w:highlight w:val="black"/>
              </w:rPr>
            </w:pPr>
            <w:r>
              <w:rPr>
                <w:rFonts w:cs="Tahoma"/>
                <w:noProof/>
                <w:color w:val="000000"/>
                <w:highlight w:val="black"/>
              </w:rPr>
              <w:t>'''''''' ''' '''''''''''' '''''''''''''' ''''''''''''''</w:t>
            </w:r>
          </w:p>
          <w:p w:rsidR="0075777C" w:rsidRPr="00A17B9D" w:rsidRDefault="00A17B9D" w:rsidP="00F0201F">
            <w:pPr>
              <w:pStyle w:val="Tabletext"/>
              <w:rPr>
                <w:rFonts w:cs="Tahoma"/>
                <w:highlight w:val="black"/>
              </w:rPr>
            </w:pPr>
            <w:r>
              <w:rPr>
                <w:rFonts w:cs="Tahoma"/>
                <w:noProof/>
                <w:color w:val="000000"/>
                <w:highlight w:val="black"/>
              </w:rPr>
              <w:t>''''''' ''' ''''''''''' ''''''''''''''' ''''''''''''</w:t>
            </w:r>
          </w:p>
          <w:p w:rsidR="00F0201F" w:rsidRPr="00A17B9D" w:rsidRDefault="00A17B9D" w:rsidP="00F0201F">
            <w:pPr>
              <w:pStyle w:val="Tabletext"/>
              <w:rPr>
                <w:rFonts w:cs="Tahoma"/>
                <w:highlight w:val="black"/>
              </w:rPr>
            </w:pPr>
            <w:r>
              <w:rPr>
                <w:rFonts w:cs="Tahoma"/>
                <w:noProof/>
                <w:color w:val="000000"/>
                <w:highlight w:val="black"/>
              </w:rPr>
              <w:t>''''''' ''' '''''''''' '''''''''''''' ''''''''''''</w:t>
            </w:r>
          </w:p>
          <w:p w:rsidR="0075777C" w:rsidRPr="00A17B9D" w:rsidRDefault="00A17B9D" w:rsidP="00F0201F">
            <w:pPr>
              <w:pStyle w:val="Tabletext"/>
              <w:rPr>
                <w:rFonts w:cs="Tahoma"/>
                <w:highlight w:val="black"/>
              </w:rPr>
            </w:pPr>
            <w:r>
              <w:rPr>
                <w:rFonts w:cs="Tahoma"/>
                <w:noProof/>
                <w:color w:val="000000"/>
                <w:highlight w:val="black"/>
              </w:rPr>
              <w:t>'''''''' ''' ''''''''''' ''''''''''''' '''''''''''''</w:t>
            </w:r>
          </w:p>
          <w:p w:rsidR="00F0201F" w:rsidRPr="00A17B9D" w:rsidRDefault="00A17B9D" w:rsidP="00F0201F">
            <w:pPr>
              <w:pStyle w:val="Tabletext"/>
              <w:rPr>
                <w:rFonts w:cs="Tahoma"/>
                <w:highlight w:val="black"/>
              </w:rPr>
            </w:pPr>
            <w:r>
              <w:rPr>
                <w:rFonts w:cs="Tahoma"/>
                <w:noProof/>
                <w:color w:val="000000"/>
                <w:highlight w:val="black"/>
              </w:rPr>
              <w:t>''''''''' ''' '''''''''''' '''''''''''''' ''''''''''''</w:t>
            </w:r>
          </w:p>
          <w:p w:rsidR="0075777C" w:rsidRPr="00A17B9D" w:rsidRDefault="00A17B9D" w:rsidP="00F0201F">
            <w:pPr>
              <w:pStyle w:val="Tabletext"/>
              <w:rPr>
                <w:rFonts w:cs="Tahoma"/>
                <w:highlight w:val="black"/>
              </w:rPr>
            </w:pPr>
            <w:r>
              <w:rPr>
                <w:rFonts w:cs="Tahoma"/>
                <w:noProof/>
                <w:color w:val="000000"/>
                <w:highlight w:val="black"/>
              </w:rPr>
              <w:t>''''''''' ''' ''''''''''' ''''''''''''' '''''''''''</w:t>
            </w:r>
          </w:p>
        </w:tc>
      </w:tr>
      <w:tr w:rsidR="0075777C" w:rsidRPr="00822C52" w:rsidTr="00F0201F">
        <w:trPr>
          <w:cantSplit/>
          <w:trHeight w:val="70"/>
        </w:trPr>
        <w:tc>
          <w:tcPr>
            <w:tcW w:w="1696" w:type="dxa"/>
          </w:tcPr>
          <w:p w:rsidR="0075777C" w:rsidRPr="00822C52" w:rsidRDefault="0075777C" w:rsidP="00F0201F">
            <w:pPr>
              <w:pStyle w:val="Tabletext"/>
              <w:rPr>
                <w:rFonts w:cs="Tahoma"/>
              </w:rPr>
            </w:pPr>
            <w:r w:rsidRPr="00822C52">
              <w:rPr>
                <w:rFonts w:cs="Tahoma"/>
              </w:rPr>
              <w:t>AMBITION</w:t>
            </w:r>
            <w:r w:rsidR="001D34EE" w:rsidRPr="001A1C44">
              <w:rPr>
                <w:rFonts w:cs="Tahoma"/>
                <w:noProof/>
                <w:vertAlign w:val="superscript"/>
              </w:rPr>
              <w:t>30</w:t>
            </w:r>
          </w:p>
          <w:p w:rsidR="0075777C" w:rsidRPr="00822C52" w:rsidRDefault="0075777C" w:rsidP="00F0201F">
            <w:pPr>
              <w:pStyle w:val="Tabletext"/>
              <w:rPr>
                <w:rFonts w:cs="Tahoma"/>
              </w:rPr>
            </w:pPr>
            <w:r w:rsidRPr="00822C52">
              <w:rPr>
                <w:rFonts w:cs="Tahoma"/>
              </w:rPr>
              <w:t>Ambrisentan/ tadalafil</w:t>
            </w:r>
          </w:p>
          <w:p w:rsidR="0075777C" w:rsidRPr="00822C52" w:rsidRDefault="0075777C" w:rsidP="00F0201F">
            <w:pPr>
              <w:pStyle w:val="Tabletext"/>
              <w:rPr>
                <w:rFonts w:cs="Tahoma"/>
              </w:rPr>
            </w:pPr>
            <w:r w:rsidRPr="00822C52">
              <w:rPr>
                <w:rFonts w:cs="Tahoma"/>
              </w:rPr>
              <w:t>24 weeks</w:t>
            </w:r>
          </w:p>
        </w:tc>
        <w:tc>
          <w:tcPr>
            <w:tcW w:w="2552" w:type="dxa"/>
          </w:tcPr>
          <w:p w:rsidR="0075777C" w:rsidRPr="00822C52" w:rsidRDefault="0075777C" w:rsidP="00F0201F">
            <w:pPr>
              <w:pStyle w:val="Tabletext"/>
              <w:rPr>
                <w:rFonts w:cs="Tahoma"/>
              </w:rPr>
            </w:pPr>
            <w:r w:rsidRPr="00822C52">
              <w:rPr>
                <w:rFonts w:cs="Tahoma"/>
              </w:rPr>
              <w:t>Serious AEs</w:t>
            </w:r>
          </w:p>
          <w:p w:rsidR="0075777C" w:rsidRPr="00822C52" w:rsidRDefault="0075777C" w:rsidP="00F0201F">
            <w:pPr>
              <w:pStyle w:val="Tabletext"/>
              <w:rPr>
                <w:rFonts w:cs="Tahoma"/>
              </w:rPr>
            </w:pPr>
            <w:r w:rsidRPr="00822C52">
              <w:rPr>
                <w:rFonts w:cs="Tahoma"/>
              </w:rPr>
              <w:t>AEs leading to discontinuation</w:t>
            </w:r>
          </w:p>
        </w:tc>
        <w:tc>
          <w:tcPr>
            <w:tcW w:w="1843" w:type="dxa"/>
            <w:shd w:val="clear" w:color="auto" w:fill="auto"/>
          </w:tcPr>
          <w:p w:rsidR="0075777C" w:rsidRPr="00822C52" w:rsidRDefault="0075777C" w:rsidP="00F0201F">
            <w:pPr>
              <w:pStyle w:val="Tabletext"/>
              <w:jc w:val="center"/>
              <w:rPr>
                <w:rFonts w:cs="Tahoma"/>
              </w:rPr>
            </w:pPr>
            <w:r w:rsidRPr="00822C52">
              <w:rPr>
                <w:rFonts w:cs="Tahoma"/>
              </w:rPr>
              <w:t>92/252 (37%)</w:t>
            </w:r>
          </w:p>
          <w:p w:rsidR="0075777C" w:rsidRPr="00822C52" w:rsidRDefault="0075777C" w:rsidP="00F0201F">
            <w:pPr>
              <w:pStyle w:val="Tabletext"/>
              <w:jc w:val="center"/>
              <w:rPr>
                <w:rFonts w:cs="Tahoma"/>
                <w:highlight w:val="cyan"/>
              </w:rPr>
            </w:pPr>
            <w:r w:rsidRPr="00822C52">
              <w:rPr>
                <w:rFonts w:cs="Tahoma"/>
              </w:rPr>
              <w:t>31/252 (12%)</w:t>
            </w:r>
          </w:p>
        </w:tc>
        <w:tc>
          <w:tcPr>
            <w:tcW w:w="1559" w:type="dxa"/>
            <w:shd w:val="clear" w:color="auto" w:fill="auto"/>
          </w:tcPr>
          <w:p w:rsidR="0075777C" w:rsidRPr="00822C52" w:rsidRDefault="0075777C" w:rsidP="00F0201F">
            <w:pPr>
              <w:pStyle w:val="Tabletext"/>
              <w:jc w:val="center"/>
              <w:rPr>
                <w:rFonts w:cs="Tahoma"/>
              </w:rPr>
            </w:pPr>
            <w:r w:rsidRPr="00822C52">
              <w:rPr>
                <w:rFonts w:cs="Tahoma"/>
              </w:rPr>
              <w:t>50/120 (42%)</w:t>
            </w:r>
          </w:p>
          <w:p w:rsidR="0075777C" w:rsidRPr="00822C52" w:rsidRDefault="0075777C" w:rsidP="00F0201F">
            <w:pPr>
              <w:pStyle w:val="Tabletext"/>
              <w:jc w:val="center"/>
              <w:rPr>
                <w:rFonts w:cs="Tahoma"/>
                <w:highlight w:val="cyan"/>
              </w:rPr>
            </w:pPr>
            <w:r w:rsidRPr="00822C52">
              <w:rPr>
                <w:rFonts w:cs="Tahoma"/>
              </w:rPr>
              <w:t>14/120 (12%)</w:t>
            </w:r>
          </w:p>
        </w:tc>
        <w:tc>
          <w:tcPr>
            <w:tcW w:w="1984" w:type="dxa"/>
          </w:tcPr>
          <w:p w:rsidR="0075777C" w:rsidRPr="00822C52" w:rsidRDefault="0075777C" w:rsidP="00F0201F">
            <w:pPr>
              <w:pStyle w:val="Tabletext"/>
              <w:rPr>
                <w:rFonts w:cs="Tahoma"/>
              </w:rPr>
            </w:pPr>
            <w:r w:rsidRPr="00822C52">
              <w:rPr>
                <w:rFonts w:cs="Tahoma"/>
              </w:rPr>
              <w:t>RR = 0.88 (0.67, 1.14)</w:t>
            </w:r>
          </w:p>
          <w:p w:rsidR="0075777C" w:rsidRPr="00822C52" w:rsidRDefault="0075777C" w:rsidP="00F0201F">
            <w:pPr>
              <w:pStyle w:val="Tabletext"/>
              <w:rPr>
                <w:rFonts w:cs="Tahoma"/>
              </w:rPr>
            </w:pPr>
            <w:r w:rsidRPr="00822C52">
              <w:rPr>
                <w:rFonts w:cs="Tahoma"/>
              </w:rPr>
              <w:t>RR = 1.05 (0.58, 1.91)</w:t>
            </w:r>
          </w:p>
        </w:tc>
      </w:tr>
    </w:tbl>
    <w:p w:rsidR="0075777C" w:rsidRPr="00822C52" w:rsidRDefault="0075777C" w:rsidP="00F0201F">
      <w:pPr>
        <w:pStyle w:val="Tablenote"/>
      </w:pPr>
      <w:r w:rsidRPr="004D0C0E">
        <w:rPr>
          <w:vertAlign w:val="superscript"/>
        </w:rPr>
        <w:t>a</w:t>
      </w:r>
      <w:r>
        <w:t xml:space="preserve"> </w:t>
      </w:r>
      <w:r w:rsidRPr="00822C52">
        <w:t xml:space="preserve">Small proportion of patients </w:t>
      </w:r>
      <w:r>
        <w:t xml:space="preserve">(4%) </w:t>
      </w:r>
      <w:r w:rsidRPr="00822C52">
        <w:t xml:space="preserve">receiving </w:t>
      </w:r>
      <w:r w:rsidR="00F0201F" w:rsidRPr="00822C52">
        <w:t>prostanoids</w:t>
      </w:r>
      <w:r w:rsidRPr="00822C52">
        <w:t xml:space="preserve"> or receiving doublet background therapy</w:t>
      </w:r>
    </w:p>
    <w:p w:rsidR="00715D78" w:rsidRDefault="0075777C" w:rsidP="00F0201F">
      <w:pPr>
        <w:pStyle w:val="Tablenote"/>
      </w:pPr>
      <w:r w:rsidRPr="00822C52">
        <w:t xml:space="preserve">AE = adverse event; CI = confidence interval; ERA = endothelin receptor antagonist; HR = hazard ratio; n = number of </w:t>
      </w:r>
      <w:r w:rsidR="00715D78">
        <w:t xml:space="preserve">patients with </w:t>
      </w:r>
      <w:r w:rsidRPr="00822C52">
        <w:t xml:space="preserve">events; N = number of patients; </w:t>
      </w:r>
      <w:r w:rsidR="00715D78" w:rsidRPr="00715D78">
        <w:t xml:space="preserve">PAH = pulmonary arterial hypertension; </w:t>
      </w:r>
      <w:r>
        <w:t>PDE-5</w:t>
      </w:r>
      <w:r w:rsidRPr="00822C52">
        <w:t xml:space="preserve"> = phosphodiesterase type-5</w:t>
      </w:r>
      <w:r w:rsidR="00F0201F">
        <w:t>;</w:t>
      </w:r>
      <w:r w:rsidRPr="00822C52">
        <w:t xml:space="preserve"> </w:t>
      </w:r>
      <w:r w:rsidR="00715D78" w:rsidRPr="00822C52">
        <w:t>RR = relative risk</w:t>
      </w:r>
    </w:p>
    <w:p w:rsidR="0075777C" w:rsidRDefault="0075777C" w:rsidP="00F0201F">
      <w:pPr>
        <w:spacing w:after="40" w:line="240" w:lineRule="auto"/>
      </w:pPr>
      <w:r>
        <w:rPr>
          <w:noProof/>
          <w:lang w:eastAsia="en-AU"/>
        </w:rPr>
        <w:lastRenderedPageBreak/>
        <w:drawing>
          <wp:inline distT="0" distB="0" distL="0" distR="0" wp14:anchorId="1332403E" wp14:editId="09D74C17">
            <wp:extent cx="6133719" cy="3493827"/>
            <wp:effectExtent l="0" t="0" r="635" b="0"/>
            <wp:docPr id="2" name="Picture 2" descr="The estimated RR for serious AEs from the meta-analysis was 0.82 (95% CI 0.69, 0.96). The estimated RR for AEs leading to treatment discontinuation from the meta-analysis was 1.47 (95% CI 0.81, 2.66). " title="Forest plot showing the RR of having a serious AE or an AE leading to treatment discontinuation while being treated with an ERA in addition to a PDE-5 inhibitor compared with PDE-5 inhibitor alone in all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6149667" cy="3502911"/>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DD7790" w:rsidRDefault="00F0201F" w:rsidP="00BC5A2B">
      <w:pPr>
        <w:pStyle w:val="Caption"/>
        <w:rPr>
          <w:rFonts w:ascii="Arial Narrow" w:hAnsi="Arial Narrow" w:cs="Tahoma"/>
          <w:u w:val="single"/>
        </w:rPr>
      </w:pPr>
      <w:bookmarkStart w:id="177" w:name="_Ref506477538"/>
      <w:bookmarkStart w:id="178" w:name="_Toc512855586"/>
      <w:r>
        <w:t>Figure 4.</w:t>
      </w:r>
      <w:r w:rsidR="00AA722D">
        <w:rPr>
          <w:noProof/>
        </w:rPr>
        <w:t>13</w:t>
      </w:r>
      <w:bookmarkEnd w:id="177"/>
      <w:r>
        <w:tab/>
      </w:r>
      <w:r w:rsidR="0075777C" w:rsidRPr="00DD7790">
        <w:t xml:space="preserve">Forest plot showing the RR of </w:t>
      </w:r>
      <w:r w:rsidR="0075777C">
        <w:t>having a serious AE or an AE leading to treatment discontinuation</w:t>
      </w:r>
      <w:r w:rsidR="0075777C" w:rsidRPr="00DD7790">
        <w:t xml:space="preserve"> while being treated with an ERA </w:t>
      </w:r>
      <w:r w:rsidR="00385078">
        <w:t>in addition to</w:t>
      </w:r>
      <w:r w:rsidR="0075777C" w:rsidRPr="00DD7790">
        <w:t xml:space="preserve"> a PDE-5 inhibitor compared with PDE-5 inhibitor alone in all PAH patients</w:t>
      </w:r>
      <w:bookmarkEnd w:id="178"/>
    </w:p>
    <w:p w:rsidR="00C30B1C" w:rsidRPr="00822C52" w:rsidRDefault="00C30B1C" w:rsidP="00F0201F">
      <w:pPr>
        <w:pStyle w:val="Tablenote"/>
      </w:pPr>
      <w:r>
        <w:t xml:space="preserve">AE = adverse event; </w:t>
      </w:r>
      <w:r w:rsidR="0075777C" w:rsidRPr="00822C52">
        <w:t xml:space="preserve">CI = confidence interval; ERA = </w:t>
      </w:r>
      <w:r w:rsidR="0006512A">
        <w:t>endothelin receptor</w:t>
      </w:r>
      <w:r w:rsidR="0075777C" w:rsidRPr="00822C52">
        <w:t xml:space="preserve"> antagonists; N = number of patients; </w:t>
      </w:r>
      <w:r w:rsidRPr="00715D78">
        <w:t xml:space="preserve">PAH = pulmonary arterial hypertension; </w:t>
      </w:r>
      <w:r w:rsidR="0075777C">
        <w:t>PDE-5i</w:t>
      </w:r>
      <w:r w:rsidR="0075777C" w:rsidRPr="00822C52">
        <w:t xml:space="preserve"> = phosphodiesterase type-5 inhibitor; RR = relative risk</w:t>
      </w:r>
    </w:p>
    <w:p w:rsidR="0075777C" w:rsidRPr="00B607A5" w:rsidRDefault="0077344D" w:rsidP="0077344D">
      <w:pPr>
        <w:pStyle w:val="Heading6"/>
      </w:pPr>
      <w:r w:rsidRPr="00B607A5">
        <w:t>h</w:t>
      </w:r>
      <w:r w:rsidR="0075777C" w:rsidRPr="00B607A5">
        <w:t>.iii</w:t>
      </w:r>
      <w:r w:rsidR="0075777C" w:rsidRPr="00B607A5">
        <w:tab/>
        <w:t>PAH patients with different disease aetiologies</w:t>
      </w:r>
    </w:p>
    <w:p w:rsidR="0075777C" w:rsidRDefault="0075777C" w:rsidP="0075777C">
      <w:r>
        <w:t>In the AMBITION trial, t</w:t>
      </w:r>
      <w:r w:rsidRPr="00453C86">
        <w:t xml:space="preserve">he proportion of patients </w:t>
      </w:r>
      <w:r>
        <w:t xml:space="preserve">with either IPAH/HPAH or PAH-CTD </w:t>
      </w:r>
      <w:r w:rsidRPr="00453C86">
        <w:t>who had any AE</w:t>
      </w:r>
      <w:r>
        <w:t>, a serious A</w:t>
      </w:r>
      <w:r w:rsidR="00887E55">
        <w:t>E</w:t>
      </w:r>
      <w:r>
        <w:t xml:space="preserve"> or an AE leading to treatment discontinuation</w:t>
      </w:r>
      <w:r w:rsidRPr="00453C86">
        <w:t xml:space="preserve"> w</w:t>
      </w:r>
      <w:r>
        <w:t>ere similar in</w:t>
      </w:r>
      <w:r w:rsidRPr="00453C86">
        <w:t xml:space="preserve"> the combination therapy and monotherapy arms</w:t>
      </w:r>
      <w:r>
        <w:t xml:space="preserve"> (</w:t>
      </w:r>
      <w:r w:rsidR="00AA722D">
        <w:t>Table 4.</w:t>
      </w:r>
      <w:r w:rsidR="00AA722D">
        <w:rPr>
          <w:noProof/>
        </w:rPr>
        <w:t>54</w:t>
      </w:r>
      <w:r>
        <w:t>)</w:t>
      </w:r>
      <w:r w:rsidRPr="00453C86">
        <w:t>.</w:t>
      </w:r>
      <w:r>
        <w:t xml:space="preserve"> </w:t>
      </w:r>
    </w:p>
    <w:p w:rsidR="0075777C" w:rsidRPr="000844D1" w:rsidRDefault="00272F8F" w:rsidP="00BC5A2B">
      <w:pPr>
        <w:pStyle w:val="Caption"/>
      </w:pPr>
      <w:bookmarkStart w:id="179" w:name="_Ref505252077"/>
      <w:bookmarkStart w:id="180" w:name="_Toc512855458"/>
      <w:r>
        <w:t>Table 4.</w:t>
      </w:r>
      <w:r w:rsidR="00AA722D">
        <w:rPr>
          <w:noProof/>
        </w:rPr>
        <w:t>54</w:t>
      </w:r>
      <w:bookmarkEnd w:id="179"/>
      <w:r w:rsidR="00F0201F">
        <w:tab/>
      </w:r>
      <w:r w:rsidR="0075777C" w:rsidRPr="000844D1">
        <w:t xml:space="preserve">The comparative safety of </w:t>
      </w:r>
      <w:r w:rsidR="00EB768B">
        <w:t xml:space="preserve">an </w:t>
      </w:r>
      <w:r w:rsidR="00EB768B" w:rsidRPr="00A32D31">
        <w:t xml:space="preserve">ERA </w:t>
      </w:r>
      <w:r w:rsidR="00385078" w:rsidRPr="00385078">
        <w:t xml:space="preserve">in addition to a PDE-5 inhibitor compared with PDE-5 inhibitor monotherapy </w:t>
      </w:r>
      <w:r w:rsidR="0075777C" w:rsidRPr="000844D1">
        <w:t xml:space="preserve">in patients with </w:t>
      </w:r>
      <w:r w:rsidR="00B923F1">
        <w:t xml:space="preserve">either </w:t>
      </w:r>
      <w:r w:rsidR="0075777C">
        <w:t>I</w:t>
      </w:r>
      <w:r w:rsidR="0075777C" w:rsidRPr="000844D1">
        <w:t>PAH</w:t>
      </w:r>
      <w:r w:rsidR="0075777C">
        <w:t>/HPAH</w:t>
      </w:r>
      <w:r w:rsidR="00B923F1">
        <w:t xml:space="preserve"> or PAH-CTD</w:t>
      </w:r>
      <w:bookmarkEnd w:id="180"/>
    </w:p>
    <w:tbl>
      <w:tblPr>
        <w:tblStyle w:val="TableGrid7"/>
        <w:tblW w:w="9634" w:type="dxa"/>
        <w:tblLayout w:type="fixed"/>
        <w:tblLook w:val="04A0" w:firstRow="1" w:lastRow="0" w:firstColumn="1" w:lastColumn="0" w:noHBand="0" w:noVBand="1"/>
        <w:tblCaption w:val="The comparative safety of an ERA in addition to a PDE-5 inhibitor compared with PDE-5 inhibitor monotherapy in patients with either IPAH/HPAH or PAH-CTD"/>
      </w:tblPr>
      <w:tblGrid>
        <w:gridCol w:w="1696"/>
        <w:gridCol w:w="2268"/>
        <w:gridCol w:w="1843"/>
        <w:gridCol w:w="1843"/>
        <w:gridCol w:w="1984"/>
      </w:tblGrid>
      <w:tr w:rsidR="0075777C" w:rsidRPr="00822C52" w:rsidTr="0086510D">
        <w:trPr>
          <w:trHeight w:val="241"/>
          <w:tblHeader/>
        </w:trPr>
        <w:tc>
          <w:tcPr>
            <w:tcW w:w="1696" w:type="dxa"/>
            <w:vMerge w:val="restart"/>
            <w:shd w:val="clear" w:color="auto" w:fill="BFBFBF" w:themeFill="background1" w:themeFillShade="BF"/>
          </w:tcPr>
          <w:p w:rsidR="0075777C" w:rsidRPr="0086510D" w:rsidRDefault="0075777C" w:rsidP="0086510D">
            <w:pPr>
              <w:pStyle w:val="Tabletext"/>
              <w:rPr>
                <w:b/>
              </w:rPr>
            </w:pPr>
            <w:r w:rsidRPr="0086510D">
              <w:rPr>
                <w:b/>
              </w:rPr>
              <w:t>Study ID</w:t>
            </w:r>
          </w:p>
          <w:p w:rsidR="0075777C" w:rsidRPr="0086510D" w:rsidRDefault="0075777C" w:rsidP="0086510D">
            <w:pPr>
              <w:pStyle w:val="Tabletext"/>
              <w:rPr>
                <w:b/>
              </w:rPr>
            </w:pPr>
            <w:r w:rsidRPr="0086510D">
              <w:rPr>
                <w:b/>
              </w:rPr>
              <w:t>ERA./PDE-5i</w:t>
            </w:r>
          </w:p>
          <w:p w:rsidR="0075777C" w:rsidRPr="0086510D" w:rsidRDefault="0075777C" w:rsidP="0086510D">
            <w:pPr>
              <w:pStyle w:val="Tabletext"/>
              <w:rPr>
                <w:b/>
              </w:rPr>
            </w:pPr>
            <w:r w:rsidRPr="0086510D">
              <w:rPr>
                <w:b/>
              </w:rPr>
              <w:t>Follow-up period</w:t>
            </w:r>
          </w:p>
        </w:tc>
        <w:tc>
          <w:tcPr>
            <w:tcW w:w="2268" w:type="dxa"/>
            <w:vMerge w:val="restart"/>
            <w:shd w:val="clear" w:color="auto" w:fill="BFBFBF" w:themeFill="background1" w:themeFillShade="BF"/>
          </w:tcPr>
          <w:p w:rsidR="0075777C" w:rsidRPr="0086510D" w:rsidRDefault="0075777C" w:rsidP="0086510D">
            <w:pPr>
              <w:pStyle w:val="Tabletext"/>
              <w:rPr>
                <w:b/>
              </w:rPr>
            </w:pPr>
            <w:r w:rsidRPr="0086510D">
              <w:rPr>
                <w:b/>
              </w:rPr>
              <w:t>Adverse events</w:t>
            </w:r>
          </w:p>
        </w:tc>
        <w:tc>
          <w:tcPr>
            <w:tcW w:w="3686" w:type="dxa"/>
            <w:gridSpan w:val="2"/>
            <w:shd w:val="clear" w:color="auto" w:fill="BFBFBF" w:themeFill="background1" w:themeFillShade="BF"/>
          </w:tcPr>
          <w:p w:rsidR="0075777C" w:rsidRPr="0086510D" w:rsidRDefault="0075777C" w:rsidP="0086510D">
            <w:pPr>
              <w:pStyle w:val="Tabletext"/>
              <w:jc w:val="center"/>
              <w:rPr>
                <w:b/>
              </w:rPr>
            </w:pPr>
            <w:r w:rsidRPr="0086510D">
              <w:rPr>
                <w:b/>
              </w:rPr>
              <w:t>n/N (%)</w:t>
            </w:r>
          </w:p>
        </w:tc>
        <w:tc>
          <w:tcPr>
            <w:tcW w:w="1984" w:type="dxa"/>
            <w:vMerge w:val="restart"/>
            <w:shd w:val="clear" w:color="auto" w:fill="BFBFBF" w:themeFill="background1" w:themeFillShade="BF"/>
          </w:tcPr>
          <w:p w:rsidR="0075777C" w:rsidRPr="0086510D" w:rsidRDefault="0075777C" w:rsidP="0086510D">
            <w:pPr>
              <w:pStyle w:val="Tabletext"/>
              <w:rPr>
                <w:b/>
              </w:rPr>
            </w:pPr>
            <w:r w:rsidRPr="0086510D">
              <w:rPr>
                <w:b/>
              </w:rPr>
              <w:t>RR (95% CI)</w:t>
            </w:r>
          </w:p>
        </w:tc>
      </w:tr>
      <w:tr w:rsidR="0075777C" w:rsidRPr="00822C52" w:rsidTr="0086510D">
        <w:trPr>
          <w:trHeight w:val="202"/>
          <w:tblHeader/>
        </w:trPr>
        <w:tc>
          <w:tcPr>
            <w:tcW w:w="1696" w:type="dxa"/>
            <w:vMerge/>
            <w:shd w:val="clear" w:color="auto" w:fill="BFBFBF" w:themeFill="background1" w:themeFillShade="BF"/>
          </w:tcPr>
          <w:p w:rsidR="0075777C" w:rsidRPr="00822C52" w:rsidRDefault="0075777C" w:rsidP="0086510D">
            <w:pPr>
              <w:pStyle w:val="Tabletext"/>
            </w:pPr>
          </w:p>
        </w:tc>
        <w:tc>
          <w:tcPr>
            <w:tcW w:w="2268" w:type="dxa"/>
            <w:vMerge/>
            <w:shd w:val="clear" w:color="auto" w:fill="BFBFBF" w:themeFill="background1" w:themeFillShade="BF"/>
          </w:tcPr>
          <w:p w:rsidR="0075777C" w:rsidRPr="00822C52" w:rsidRDefault="0075777C" w:rsidP="0086510D">
            <w:pPr>
              <w:pStyle w:val="Tabletext"/>
            </w:pPr>
          </w:p>
        </w:tc>
        <w:tc>
          <w:tcPr>
            <w:tcW w:w="1843" w:type="dxa"/>
            <w:shd w:val="clear" w:color="auto" w:fill="BFBFBF" w:themeFill="background1" w:themeFillShade="BF"/>
          </w:tcPr>
          <w:p w:rsidR="0075777C" w:rsidRPr="0086510D" w:rsidRDefault="0075777C" w:rsidP="0086510D">
            <w:pPr>
              <w:pStyle w:val="Tabletext"/>
              <w:jc w:val="center"/>
              <w:rPr>
                <w:b/>
              </w:rPr>
            </w:pPr>
            <w:r w:rsidRPr="0086510D">
              <w:rPr>
                <w:b/>
              </w:rPr>
              <w:t>ERA + PDE-5i</w:t>
            </w:r>
          </w:p>
        </w:tc>
        <w:tc>
          <w:tcPr>
            <w:tcW w:w="1843" w:type="dxa"/>
            <w:shd w:val="clear" w:color="auto" w:fill="BFBFBF" w:themeFill="background1" w:themeFillShade="BF"/>
          </w:tcPr>
          <w:p w:rsidR="0075777C" w:rsidRPr="0086510D" w:rsidRDefault="0075777C" w:rsidP="0086510D">
            <w:pPr>
              <w:pStyle w:val="Tabletext"/>
              <w:jc w:val="center"/>
              <w:rPr>
                <w:b/>
              </w:rPr>
            </w:pPr>
            <w:r w:rsidRPr="0086510D">
              <w:rPr>
                <w:b/>
              </w:rPr>
              <w:t>PDE-5i</w:t>
            </w:r>
          </w:p>
        </w:tc>
        <w:tc>
          <w:tcPr>
            <w:tcW w:w="1984" w:type="dxa"/>
            <w:vMerge/>
            <w:shd w:val="clear" w:color="auto" w:fill="BFBFBF" w:themeFill="background1" w:themeFillShade="BF"/>
          </w:tcPr>
          <w:p w:rsidR="0075777C" w:rsidRPr="00822C52" w:rsidRDefault="0075777C" w:rsidP="0086510D">
            <w:pPr>
              <w:pStyle w:val="Tabletext"/>
            </w:pPr>
          </w:p>
        </w:tc>
      </w:tr>
      <w:tr w:rsidR="0075777C" w:rsidRPr="00822C52" w:rsidTr="0086510D">
        <w:trPr>
          <w:trHeight w:val="70"/>
        </w:trPr>
        <w:tc>
          <w:tcPr>
            <w:tcW w:w="1696" w:type="dxa"/>
          </w:tcPr>
          <w:p w:rsidR="0075777C" w:rsidRPr="00822C52" w:rsidRDefault="0075777C" w:rsidP="0086510D">
            <w:pPr>
              <w:pStyle w:val="Tabletext"/>
              <w:rPr>
                <w:rFonts w:cs="Tahoma"/>
              </w:rPr>
            </w:pPr>
            <w:r w:rsidRPr="00822C52">
              <w:rPr>
                <w:rFonts w:cs="Tahoma"/>
              </w:rPr>
              <w:t>AMBITION</w:t>
            </w:r>
            <w:r w:rsidR="001D34EE" w:rsidRPr="001A1C44">
              <w:rPr>
                <w:rFonts w:cs="Tahoma"/>
                <w:noProof/>
                <w:vertAlign w:val="superscript"/>
              </w:rPr>
              <w:t>30</w:t>
            </w:r>
          </w:p>
          <w:p w:rsidR="0075777C" w:rsidRPr="00822C52" w:rsidRDefault="0075777C" w:rsidP="0086510D">
            <w:pPr>
              <w:pStyle w:val="Tabletext"/>
              <w:rPr>
                <w:rFonts w:cs="Tahoma"/>
              </w:rPr>
            </w:pPr>
            <w:r w:rsidRPr="00822C52">
              <w:rPr>
                <w:rFonts w:cs="Tahoma"/>
              </w:rPr>
              <w:t>Ambrisentan/tadalafil</w:t>
            </w:r>
          </w:p>
          <w:p w:rsidR="0075777C" w:rsidRPr="00822C52" w:rsidRDefault="0075777C" w:rsidP="0086510D">
            <w:pPr>
              <w:pStyle w:val="Tabletext"/>
              <w:rPr>
                <w:rFonts w:cs="Tahoma"/>
              </w:rPr>
            </w:pPr>
            <w:r w:rsidRPr="00822C52">
              <w:rPr>
                <w:rFonts w:cs="Tahoma"/>
              </w:rPr>
              <w:t>24 weeks</w:t>
            </w:r>
          </w:p>
        </w:tc>
        <w:tc>
          <w:tcPr>
            <w:tcW w:w="2268" w:type="dxa"/>
          </w:tcPr>
          <w:p w:rsidR="0075777C" w:rsidRDefault="00E6350D" w:rsidP="0086510D">
            <w:pPr>
              <w:pStyle w:val="Tabletext"/>
              <w:rPr>
                <w:rFonts w:cs="Tahoma"/>
              </w:rPr>
            </w:pPr>
            <w:r>
              <w:rPr>
                <w:rFonts w:cs="Tahoma"/>
              </w:rPr>
              <w:t>I</w:t>
            </w:r>
            <w:r w:rsidR="0075777C">
              <w:rPr>
                <w:rFonts w:cs="Tahoma"/>
              </w:rPr>
              <w:t>PAH</w:t>
            </w:r>
            <w:r>
              <w:rPr>
                <w:rFonts w:cs="Tahoma"/>
              </w:rPr>
              <w:t>/HPAH</w:t>
            </w:r>
          </w:p>
          <w:p w:rsidR="0075777C" w:rsidRDefault="0075777C" w:rsidP="0086510D">
            <w:pPr>
              <w:pStyle w:val="Tabletext"/>
              <w:rPr>
                <w:rFonts w:cs="Tahoma"/>
              </w:rPr>
            </w:pPr>
            <w:r>
              <w:rPr>
                <w:rFonts w:cs="Tahoma"/>
              </w:rPr>
              <w:t>Any AE</w:t>
            </w:r>
          </w:p>
          <w:p w:rsidR="0075777C" w:rsidRPr="00822C52" w:rsidRDefault="0075777C" w:rsidP="0086510D">
            <w:pPr>
              <w:pStyle w:val="Tabletext"/>
              <w:rPr>
                <w:rFonts w:cs="Tahoma"/>
              </w:rPr>
            </w:pPr>
            <w:r w:rsidRPr="00822C52">
              <w:rPr>
                <w:rFonts w:cs="Tahoma"/>
              </w:rPr>
              <w:t>Serious AEs</w:t>
            </w:r>
          </w:p>
          <w:p w:rsidR="0075777C" w:rsidRDefault="0075777C" w:rsidP="0086510D">
            <w:pPr>
              <w:pStyle w:val="Tabletext"/>
              <w:rPr>
                <w:rFonts w:cs="Tahoma"/>
              </w:rPr>
            </w:pPr>
            <w:r w:rsidRPr="00822C52">
              <w:rPr>
                <w:rFonts w:cs="Tahoma"/>
              </w:rPr>
              <w:t>AEs leading to discontinuation</w:t>
            </w:r>
          </w:p>
          <w:p w:rsidR="0075777C" w:rsidRDefault="0075777C" w:rsidP="0086510D">
            <w:pPr>
              <w:pStyle w:val="Tabletext"/>
              <w:rPr>
                <w:rFonts w:cs="Tahoma"/>
              </w:rPr>
            </w:pPr>
            <w:r>
              <w:rPr>
                <w:rFonts w:cs="Tahoma"/>
              </w:rPr>
              <w:t>PAH-CTD</w:t>
            </w:r>
          </w:p>
          <w:p w:rsidR="0075777C" w:rsidRDefault="0075777C" w:rsidP="0086510D">
            <w:pPr>
              <w:pStyle w:val="Tabletext"/>
              <w:rPr>
                <w:rFonts w:cs="Tahoma"/>
              </w:rPr>
            </w:pPr>
            <w:r>
              <w:rPr>
                <w:rFonts w:cs="Tahoma"/>
              </w:rPr>
              <w:t>Any AE</w:t>
            </w:r>
          </w:p>
          <w:p w:rsidR="0075777C" w:rsidRPr="00822C52" w:rsidRDefault="0075777C" w:rsidP="0086510D">
            <w:pPr>
              <w:pStyle w:val="Tabletext"/>
              <w:rPr>
                <w:rFonts w:cs="Tahoma"/>
              </w:rPr>
            </w:pPr>
            <w:r w:rsidRPr="00822C52">
              <w:rPr>
                <w:rFonts w:cs="Tahoma"/>
              </w:rPr>
              <w:t>Serious AEs</w:t>
            </w:r>
          </w:p>
          <w:p w:rsidR="0075777C" w:rsidRPr="00822C52" w:rsidRDefault="0075777C" w:rsidP="0086510D">
            <w:pPr>
              <w:pStyle w:val="Tabletext"/>
              <w:rPr>
                <w:rFonts w:cs="Tahoma"/>
              </w:rPr>
            </w:pPr>
            <w:r w:rsidRPr="00822C52">
              <w:rPr>
                <w:rFonts w:cs="Tahoma"/>
              </w:rPr>
              <w:t>AEs leading to discontinuation</w:t>
            </w:r>
          </w:p>
        </w:tc>
        <w:tc>
          <w:tcPr>
            <w:tcW w:w="1843" w:type="dxa"/>
            <w:shd w:val="clear" w:color="auto" w:fill="auto"/>
          </w:tcPr>
          <w:p w:rsidR="0075777C" w:rsidRDefault="0075777C" w:rsidP="0086510D">
            <w:pPr>
              <w:pStyle w:val="Tabletext"/>
              <w:jc w:val="center"/>
              <w:rPr>
                <w:rFonts w:cs="Tahoma"/>
              </w:rPr>
            </w:pPr>
          </w:p>
          <w:p w:rsidR="0075777C" w:rsidRPr="00822C52" w:rsidRDefault="0075777C" w:rsidP="0086510D">
            <w:pPr>
              <w:pStyle w:val="Tabletext"/>
              <w:jc w:val="center"/>
              <w:rPr>
                <w:rFonts w:cs="Tahoma"/>
              </w:rPr>
            </w:pPr>
            <w:r>
              <w:rPr>
                <w:rFonts w:cs="Tahoma"/>
              </w:rPr>
              <w:t>130</w:t>
            </w:r>
            <w:r w:rsidRPr="00822C52">
              <w:rPr>
                <w:rFonts w:cs="Tahoma"/>
              </w:rPr>
              <w:t>/</w:t>
            </w:r>
            <w:r>
              <w:rPr>
                <w:rFonts w:cs="Tahoma"/>
              </w:rPr>
              <w:t>134</w:t>
            </w:r>
            <w:r w:rsidRPr="00822C52">
              <w:rPr>
                <w:rFonts w:cs="Tahoma"/>
              </w:rPr>
              <w:t xml:space="preserve"> (</w:t>
            </w:r>
            <w:r>
              <w:rPr>
                <w:rFonts w:cs="Tahoma"/>
              </w:rPr>
              <w:t>9</w:t>
            </w:r>
            <w:r w:rsidRPr="00822C52">
              <w:rPr>
                <w:rFonts w:cs="Tahoma"/>
              </w:rPr>
              <w:t>7%)</w:t>
            </w:r>
          </w:p>
          <w:p w:rsidR="0075777C" w:rsidRDefault="0075777C" w:rsidP="0086510D">
            <w:pPr>
              <w:pStyle w:val="Tabletext"/>
              <w:jc w:val="center"/>
              <w:rPr>
                <w:rFonts w:cs="Tahoma"/>
              </w:rPr>
            </w:pPr>
            <w:r>
              <w:rPr>
                <w:rFonts w:cs="Tahoma"/>
              </w:rPr>
              <w:t>44</w:t>
            </w:r>
            <w:r w:rsidRPr="00822C52">
              <w:rPr>
                <w:rFonts w:cs="Tahoma"/>
              </w:rPr>
              <w:t>/</w:t>
            </w:r>
            <w:r>
              <w:rPr>
                <w:rFonts w:cs="Tahoma"/>
              </w:rPr>
              <w:t>134</w:t>
            </w:r>
            <w:r w:rsidRPr="00822C52">
              <w:rPr>
                <w:rFonts w:cs="Tahoma"/>
              </w:rPr>
              <w:t xml:space="preserve"> (</w:t>
            </w:r>
            <w:r>
              <w:rPr>
                <w:rFonts w:cs="Tahoma"/>
              </w:rPr>
              <w:t>33</w:t>
            </w:r>
            <w:r w:rsidRPr="00822C52">
              <w:rPr>
                <w:rFonts w:cs="Tahoma"/>
              </w:rPr>
              <w:t>%)</w:t>
            </w:r>
          </w:p>
          <w:p w:rsidR="0075777C" w:rsidRDefault="0075777C" w:rsidP="0086510D">
            <w:pPr>
              <w:pStyle w:val="Tabletext"/>
              <w:jc w:val="center"/>
              <w:rPr>
                <w:rFonts w:cs="Tahoma"/>
              </w:rPr>
            </w:pPr>
            <w:r>
              <w:rPr>
                <w:rFonts w:cs="Tahoma"/>
              </w:rPr>
              <w:t>15/134 (11%)</w:t>
            </w:r>
          </w:p>
          <w:p w:rsidR="0075777C" w:rsidRDefault="0075777C" w:rsidP="0086510D">
            <w:pPr>
              <w:pStyle w:val="Tabletext"/>
              <w:jc w:val="center"/>
              <w:rPr>
                <w:rFonts w:cs="Tahoma"/>
              </w:rPr>
            </w:pPr>
          </w:p>
          <w:p w:rsidR="0075777C" w:rsidRDefault="0075777C" w:rsidP="0086510D">
            <w:pPr>
              <w:pStyle w:val="Tabletext"/>
              <w:jc w:val="center"/>
              <w:rPr>
                <w:rFonts w:cs="Tahoma"/>
              </w:rPr>
            </w:pPr>
            <w:r>
              <w:rPr>
                <w:rFonts w:cs="Tahoma"/>
              </w:rPr>
              <w:t>102/103 (99%)</w:t>
            </w:r>
          </w:p>
          <w:p w:rsidR="0075777C" w:rsidRDefault="0075777C" w:rsidP="0086510D">
            <w:pPr>
              <w:pStyle w:val="Tabletext"/>
              <w:jc w:val="center"/>
              <w:rPr>
                <w:rFonts w:cs="Tahoma"/>
              </w:rPr>
            </w:pPr>
            <w:r>
              <w:rPr>
                <w:rFonts w:cs="Tahoma"/>
              </w:rPr>
              <w:t>45/103 (44%)</w:t>
            </w:r>
          </w:p>
          <w:p w:rsidR="0075777C" w:rsidRPr="00822C52" w:rsidRDefault="0075777C" w:rsidP="0086510D">
            <w:pPr>
              <w:pStyle w:val="Tabletext"/>
              <w:jc w:val="center"/>
              <w:rPr>
                <w:rFonts w:cs="Tahoma"/>
                <w:highlight w:val="cyan"/>
              </w:rPr>
            </w:pPr>
            <w:r w:rsidRPr="00CE4DE4">
              <w:rPr>
                <w:rFonts w:cs="Tahoma"/>
              </w:rPr>
              <w:t>14/103 (14%)</w:t>
            </w:r>
          </w:p>
        </w:tc>
        <w:tc>
          <w:tcPr>
            <w:tcW w:w="1843" w:type="dxa"/>
            <w:shd w:val="clear" w:color="auto" w:fill="auto"/>
          </w:tcPr>
          <w:p w:rsidR="0075777C" w:rsidRDefault="0075777C" w:rsidP="0086510D">
            <w:pPr>
              <w:pStyle w:val="Tabletext"/>
              <w:jc w:val="center"/>
              <w:rPr>
                <w:rFonts w:cs="Tahoma"/>
              </w:rPr>
            </w:pPr>
          </w:p>
          <w:p w:rsidR="0075777C" w:rsidRPr="00822C52" w:rsidRDefault="0075777C" w:rsidP="0086510D">
            <w:pPr>
              <w:pStyle w:val="Tabletext"/>
              <w:jc w:val="center"/>
              <w:rPr>
                <w:rFonts w:cs="Tahoma"/>
              </w:rPr>
            </w:pPr>
            <w:r>
              <w:rPr>
                <w:rFonts w:cs="Tahoma"/>
              </w:rPr>
              <w:t>6</w:t>
            </w:r>
            <w:r w:rsidRPr="00822C52">
              <w:rPr>
                <w:rFonts w:cs="Tahoma"/>
              </w:rPr>
              <w:t>5/</w:t>
            </w:r>
            <w:r>
              <w:rPr>
                <w:rFonts w:cs="Tahoma"/>
              </w:rPr>
              <w:t>7</w:t>
            </w:r>
            <w:r w:rsidRPr="00822C52">
              <w:rPr>
                <w:rFonts w:cs="Tahoma"/>
              </w:rPr>
              <w:t>0 (</w:t>
            </w:r>
            <w:r>
              <w:rPr>
                <w:rFonts w:cs="Tahoma"/>
              </w:rPr>
              <w:t>93</w:t>
            </w:r>
            <w:r w:rsidRPr="00822C52">
              <w:rPr>
                <w:rFonts w:cs="Tahoma"/>
              </w:rPr>
              <w:t>%)</w:t>
            </w:r>
          </w:p>
          <w:p w:rsidR="0075777C" w:rsidRDefault="0075777C" w:rsidP="0086510D">
            <w:pPr>
              <w:pStyle w:val="Tabletext"/>
              <w:jc w:val="center"/>
              <w:rPr>
                <w:rFonts w:cs="Tahoma"/>
              </w:rPr>
            </w:pPr>
            <w:r>
              <w:rPr>
                <w:rFonts w:cs="Tahoma"/>
              </w:rPr>
              <w:t>27/70 (39%)</w:t>
            </w:r>
          </w:p>
          <w:p w:rsidR="0075777C" w:rsidRDefault="0075777C" w:rsidP="0086510D">
            <w:pPr>
              <w:pStyle w:val="Tabletext"/>
              <w:jc w:val="center"/>
              <w:rPr>
                <w:rFonts w:cs="Tahoma"/>
              </w:rPr>
            </w:pPr>
            <w:r>
              <w:rPr>
                <w:rFonts w:cs="Tahoma"/>
              </w:rPr>
              <w:t>8</w:t>
            </w:r>
            <w:r w:rsidRPr="00822C52">
              <w:rPr>
                <w:rFonts w:cs="Tahoma"/>
              </w:rPr>
              <w:t>/</w:t>
            </w:r>
            <w:r>
              <w:rPr>
                <w:rFonts w:cs="Tahoma"/>
              </w:rPr>
              <w:t>7</w:t>
            </w:r>
            <w:r w:rsidRPr="00822C52">
              <w:rPr>
                <w:rFonts w:cs="Tahoma"/>
              </w:rPr>
              <w:t>0 (1</w:t>
            </w:r>
            <w:r>
              <w:rPr>
                <w:rFonts w:cs="Tahoma"/>
              </w:rPr>
              <w:t>1</w:t>
            </w:r>
            <w:r w:rsidRPr="00822C52">
              <w:rPr>
                <w:rFonts w:cs="Tahoma"/>
              </w:rPr>
              <w:t>%)</w:t>
            </w:r>
          </w:p>
          <w:p w:rsidR="0075777C" w:rsidRDefault="0075777C" w:rsidP="0086510D">
            <w:pPr>
              <w:pStyle w:val="Tabletext"/>
              <w:jc w:val="center"/>
              <w:rPr>
                <w:rFonts w:cs="Tahoma"/>
              </w:rPr>
            </w:pPr>
          </w:p>
          <w:p w:rsidR="0075777C" w:rsidRDefault="0075777C" w:rsidP="0086510D">
            <w:pPr>
              <w:pStyle w:val="Tabletext"/>
              <w:jc w:val="center"/>
              <w:rPr>
                <w:rFonts w:cs="Tahoma"/>
              </w:rPr>
            </w:pPr>
            <w:r>
              <w:rPr>
                <w:rFonts w:cs="Tahoma"/>
              </w:rPr>
              <w:t>39/40 (98%)</w:t>
            </w:r>
          </w:p>
          <w:p w:rsidR="0075777C" w:rsidRDefault="0075777C" w:rsidP="0086510D">
            <w:pPr>
              <w:pStyle w:val="Tabletext"/>
              <w:jc w:val="center"/>
              <w:rPr>
                <w:rFonts w:cs="Tahoma"/>
              </w:rPr>
            </w:pPr>
            <w:r>
              <w:rPr>
                <w:rFonts w:cs="Tahoma"/>
              </w:rPr>
              <w:t>20/40 (50%)</w:t>
            </w:r>
          </w:p>
          <w:p w:rsidR="0075777C" w:rsidRPr="00822C52" w:rsidRDefault="0075777C" w:rsidP="0086510D">
            <w:pPr>
              <w:pStyle w:val="Tabletext"/>
              <w:jc w:val="center"/>
              <w:rPr>
                <w:rFonts w:cs="Tahoma"/>
                <w:highlight w:val="cyan"/>
              </w:rPr>
            </w:pPr>
            <w:r w:rsidRPr="00CE4DE4">
              <w:rPr>
                <w:rFonts w:cs="Tahoma"/>
              </w:rPr>
              <w:t>6/40 (15%)</w:t>
            </w:r>
          </w:p>
        </w:tc>
        <w:tc>
          <w:tcPr>
            <w:tcW w:w="1984" w:type="dxa"/>
          </w:tcPr>
          <w:p w:rsidR="0075777C" w:rsidRDefault="0075777C" w:rsidP="0086510D">
            <w:pPr>
              <w:pStyle w:val="Tabletext"/>
              <w:rPr>
                <w:rFonts w:cs="Tahoma"/>
              </w:rPr>
            </w:pPr>
          </w:p>
          <w:p w:rsidR="0075777C" w:rsidRPr="00822C52" w:rsidRDefault="0075777C" w:rsidP="0086510D">
            <w:pPr>
              <w:pStyle w:val="Tabletext"/>
              <w:rPr>
                <w:rFonts w:cs="Tahoma"/>
              </w:rPr>
            </w:pPr>
            <w:r>
              <w:rPr>
                <w:rFonts w:cs="Tahoma"/>
              </w:rPr>
              <w:t>1</w:t>
            </w:r>
            <w:r w:rsidRPr="00822C52">
              <w:rPr>
                <w:rFonts w:cs="Tahoma"/>
              </w:rPr>
              <w:t>.</w:t>
            </w:r>
            <w:r>
              <w:rPr>
                <w:rFonts w:cs="Tahoma"/>
              </w:rPr>
              <w:t>04</w:t>
            </w:r>
            <w:r w:rsidRPr="00822C52">
              <w:rPr>
                <w:rFonts w:cs="Tahoma"/>
              </w:rPr>
              <w:t xml:space="preserve"> (0.</w:t>
            </w:r>
            <w:r>
              <w:rPr>
                <w:rFonts w:cs="Tahoma"/>
              </w:rPr>
              <w:t>9</w:t>
            </w:r>
            <w:r w:rsidRPr="00822C52">
              <w:rPr>
                <w:rFonts w:cs="Tahoma"/>
              </w:rPr>
              <w:t>7, 1.1</w:t>
            </w:r>
            <w:r>
              <w:rPr>
                <w:rFonts w:cs="Tahoma"/>
              </w:rPr>
              <w:t>2</w:t>
            </w:r>
            <w:r w:rsidRPr="00822C52">
              <w:rPr>
                <w:rFonts w:cs="Tahoma"/>
              </w:rPr>
              <w:t>)</w:t>
            </w:r>
          </w:p>
          <w:p w:rsidR="0075777C" w:rsidRDefault="0075777C" w:rsidP="0086510D">
            <w:pPr>
              <w:pStyle w:val="Tabletext"/>
              <w:rPr>
                <w:rFonts w:cs="Tahoma"/>
              </w:rPr>
            </w:pPr>
            <w:r w:rsidRPr="00822C52">
              <w:rPr>
                <w:rFonts w:cs="Tahoma"/>
              </w:rPr>
              <w:t>0</w:t>
            </w:r>
            <w:r>
              <w:rPr>
                <w:rFonts w:cs="Tahoma"/>
              </w:rPr>
              <w:t>.8</w:t>
            </w:r>
            <w:r w:rsidRPr="00822C52">
              <w:rPr>
                <w:rFonts w:cs="Tahoma"/>
              </w:rPr>
              <w:t>5 (0.58, 1.</w:t>
            </w:r>
            <w:r>
              <w:rPr>
                <w:rFonts w:cs="Tahoma"/>
              </w:rPr>
              <w:t>25</w:t>
            </w:r>
            <w:r w:rsidRPr="00822C52">
              <w:rPr>
                <w:rFonts w:cs="Tahoma"/>
              </w:rPr>
              <w:t>)</w:t>
            </w:r>
          </w:p>
          <w:p w:rsidR="0075777C" w:rsidRDefault="0075777C" w:rsidP="0086510D">
            <w:pPr>
              <w:pStyle w:val="Tabletext"/>
              <w:rPr>
                <w:rFonts w:cs="Tahoma"/>
              </w:rPr>
            </w:pPr>
            <w:r>
              <w:rPr>
                <w:rFonts w:cs="Tahoma"/>
              </w:rPr>
              <w:t>0.98 (0.44, 2.20)</w:t>
            </w:r>
          </w:p>
          <w:p w:rsidR="0075777C" w:rsidRDefault="0075777C" w:rsidP="0086510D">
            <w:pPr>
              <w:pStyle w:val="Tabletext"/>
              <w:rPr>
                <w:rFonts w:cs="Tahoma"/>
              </w:rPr>
            </w:pPr>
          </w:p>
          <w:p w:rsidR="0075777C" w:rsidRPr="00CE4DE4" w:rsidRDefault="0075777C" w:rsidP="0086510D">
            <w:pPr>
              <w:pStyle w:val="Tabletext"/>
              <w:rPr>
                <w:rFonts w:cs="Tahoma"/>
              </w:rPr>
            </w:pPr>
            <w:r>
              <w:rPr>
                <w:rFonts w:cs="Tahoma"/>
              </w:rPr>
              <w:t>1</w:t>
            </w:r>
            <w:r w:rsidRPr="00CE4DE4">
              <w:rPr>
                <w:rFonts w:cs="Tahoma"/>
              </w:rPr>
              <w:t>.0</w:t>
            </w:r>
            <w:r>
              <w:rPr>
                <w:rFonts w:cs="Tahoma"/>
              </w:rPr>
              <w:t>2</w:t>
            </w:r>
            <w:r w:rsidRPr="00CE4DE4">
              <w:rPr>
                <w:rFonts w:cs="Tahoma"/>
              </w:rPr>
              <w:t xml:space="preserve"> (0.9</w:t>
            </w:r>
            <w:r>
              <w:rPr>
                <w:rFonts w:cs="Tahoma"/>
              </w:rPr>
              <w:t>6</w:t>
            </w:r>
            <w:r w:rsidRPr="00CE4DE4">
              <w:rPr>
                <w:rFonts w:cs="Tahoma"/>
              </w:rPr>
              <w:t>, 1.</w:t>
            </w:r>
            <w:r>
              <w:rPr>
                <w:rFonts w:cs="Tahoma"/>
              </w:rPr>
              <w:t>07</w:t>
            </w:r>
            <w:r w:rsidRPr="00CE4DE4">
              <w:rPr>
                <w:rFonts w:cs="Tahoma"/>
              </w:rPr>
              <w:t>)</w:t>
            </w:r>
          </w:p>
          <w:p w:rsidR="0075777C" w:rsidRPr="00CE4DE4" w:rsidRDefault="0075777C" w:rsidP="0086510D">
            <w:pPr>
              <w:pStyle w:val="Tabletext"/>
              <w:rPr>
                <w:rFonts w:cs="Tahoma"/>
              </w:rPr>
            </w:pPr>
            <w:r w:rsidRPr="00CE4DE4">
              <w:rPr>
                <w:rFonts w:cs="Tahoma"/>
              </w:rPr>
              <w:t>0.8</w:t>
            </w:r>
            <w:r>
              <w:rPr>
                <w:rFonts w:cs="Tahoma"/>
              </w:rPr>
              <w:t>7</w:t>
            </w:r>
            <w:r w:rsidRPr="00CE4DE4">
              <w:rPr>
                <w:rFonts w:cs="Tahoma"/>
              </w:rPr>
              <w:t xml:space="preserve"> (0.</w:t>
            </w:r>
            <w:r>
              <w:rPr>
                <w:rFonts w:cs="Tahoma"/>
              </w:rPr>
              <w:t>60</w:t>
            </w:r>
            <w:r w:rsidRPr="00CE4DE4">
              <w:rPr>
                <w:rFonts w:cs="Tahoma"/>
              </w:rPr>
              <w:t>, 1.2</w:t>
            </w:r>
            <w:r>
              <w:rPr>
                <w:rFonts w:cs="Tahoma"/>
              </w:rPr>
              <w:t>8</w:t>
            </w:r>
            <w:r w:rsidRPr="00CE4DE4">
              <w:rPr>
                <w:rFonts w:cs="Tahoma"/>
              </w:rPr>
              <w:t>)</w:t>
            </w:r>
          </w:p>
          <w:p w:rsidR="0075777C" w:rsidRPr="00822C52" w:rsidRDefault="0075777C" w:rsidP="0086510D">
            <w:pPr>
              <w:pStyle w:val="Tabletext"/>
              <w:rPr>
                <w:rFonts w:cs="Tahoma"/>
              </w:rPr>
            </w:pPr>
            <w:r w:rsidRPr="00CE4DE4">
              <w:rPr>
                <w:rFonts w:cs="Tahoma"/>
              </w:rPr>
              <w:t>0.9</w:t>
            </w:r>
            <w:r>
              <w:rPr>
                <w:rFonts w:cs="Tahoma"/>
              </w:rPr>
              <w:t>1</w:t>
            </w:r>
            <w:r w:rsidRPr="00CE4DE4">
              <w:rPr>
                <w:rFonts w:cs="Tahoma"/>
              </w:rPr>
              <w:t xml:space="preserve"> (0.</w:t>
            </w:r>
            <w:r>
              <w:rPr>
                <w:rFonts w:cs="Tahoma"/>
              </w:rPr>
              <w:t>37</w:t>
            </w:r>
            <w:r w:rsidRPr="00CE4DE4">
              <w:rPr>
                <w:rFonts w:cs="Tahoma"/>
              </w:rPr>
              <w:t>, 2.</w:t>
            </w:r>
            <w:r>
              <w:rPr>
                <w:rFonts w:cs="Tahoma"/>
              </w:rPr>
              <w:t>19</w:t>
            </w:r>
            <w:r w:rsidRPr="00CE4DE4">
              <w:rPr>
                <w:rFonts w:cs="Tahoma"/>
              </w:rPr>
              <w:t>)</w:t>
            </w:r>
          </w:p>
        </w:tc>
      </w:tr>
    </w:tbl>
    <w:p w:rsidR="0075777C" w:rsidRPr="00822C52" w:rsidRDefault="0075777C" w:rsidP="0086510D">
      <w:pPr>
        <w:pStyle w:val="Tablenote"/>
      </w:pPr>
      <w:r w:rsidRPr="004D0C0E">
        <w:rPr>
          <w:vertAlign w:val="superscript"/>
        </w:rPr>
        <w:t>a</w:t>
      </w:r>
      <w:r>
        <w:t xml:space="preserve"> </w:t>
      </w:r>
      <w:r w:rsidRPr="00822C52">
        <w:t xml:space="preserve">Small proportion of patients </w:t>
      </w:r>
      <w:r>
        <w:t xml:space="preserve">(4%) </w:t>
      </w:r>
      <w:r w:rsidRPr="00822C52">
        <w:t xml:space="preserve">receiving </w:t>
      </w:r>
      <w:r w:rsidR="0086510D" w:rsidRPr="00822C52">
        <w:t>prostanoids</w:t>
      </w:r>
      <w:r w:rsidRPr="00822C52">
        <w:t xml:space="preserve"> or receiving doublet background therapy</w:t>
      </w:r>
    </w:p>
    <w:p w:rsidR="00C30B1C" w:rsidRDefault="0075777C" w:rsidP="0086510D">
      <w:pPr>
        <w:pStyle w:val="Tablenote"/>
      </w:pPr>
      <w:r w:rsidRPr="00822C52">
        <w:t xml:space="preserve">AE = adverse event; CI = confidence interval; ERA = endothelin receptor antagonist; </w:t>
      </w:r>
      <w:r w:rsidR="00C30B1C" w:rsidRPr="00862E9C">
        <w:t xml:space="preserve">HPAH = heritable PAH; </w:t>
      </w:r>
      <w:r w:rsidRPr="00822C52">
        <w:t xml:space="preserve">HR = hazard ratio; </w:t>
      </w:r>
      <w:r w:rsidR="00C30B1C" w:rsidRPr="00862E9C">
        <w:t xml:space="preserve">IPAH = idiopathic PAH; </w:t>
      </w:r>
      <w:r w:rsidRPr="00822C52">
        <w:t xml:space="preserve">n = number of events; N = number of patients; </w:t>
      </w:r>
      <w:r w:rsidR="00B923F1" w:rsidRPr="00822C52">
        <w:t xml:space="preserve">PAH </w:t>
      </w:r>
      <w:r w:rsidR="00774E89">
        <w:t xml:space="preserve">= </w:t>
      </w:r>
      <w:r w:rsidR="00B923F1" w:rsidRPr="00822C52">
        <w:t>pulmonary arterial hypertension</w:t>
      </w:r>
      <w:r w:rsidR="00774E89">
        <w:t>; PAH-</w:t>
      </w:r>
      <w:r w:rsidR="00774E89" w:rsidRPr="00822C52">
        <w:t>CTD =</w:t>
      </w:r>
      <w:r w:rsidR="00774E89">
        <w:t xml:space="preserve"> PAH </w:t>
      </w:r>
      <w:r w:rsidR="00B923F1">
        <w:t xml:space="preserve">associated with </w:t>
      </w:r>
      <w:r w:rsidR="00B923F1" w:rsidRPr="00822C52">
        <w:t xml:space="preserve">connective tissue disease; </w:t>
      </w:r>
      <w:r>
        <w:t>PDE-5i</w:t>
      </w:r>
      <w:r w:rsidRPr="00822C52">
        <w:t xml:space="preserve"> = phosphodiesterase type-5 inhibitor </w:t>
      </w:r>
      <w:r w:rsidR="00C30B1C" w:rsidRPr="00822C52">
        <w:t xml:space="preserve">RR = relative risk; </w:t>
      </w:r>
      <w:r w:rsidRPr="00822C52">
        <w:t>WHO = World Health Organization</w:t>
      </w:r>
    </w:p>
    <w:p w:rsidR="0075777C" w:rsidRPr="00822C52" w:rsidRDefault="00761752" w:rsidP="0075777C">
      <w:pPr>
        <w:pStyle w:val="Heading4"/>
      </w:pPr>
      <w:r>
        <w:lastRenderedPageBreak/>
        <w:t>4.4.3.2</w:t>
      </w:r>
      <w:r w:rsidR="005035F1">
        <w:tab/>
      </w:r>
      <w:r>
        <w:tab/>
      </w:r>
      <w:r w:rsidR="0075777C" w:rsidRPr="00822C52">
        <w:t>ERA in addition to prosta</w:t>
      </w:r>
      <w:r w:rsidR="0017012F">
        <w:t>noid</w:t>
      </w:r>
      <w:r w:rsidR="0075777C" w:rsidRPr="00822C52">
        <w:t xml:space="preserve"> </w:t>
      </w:r>
    </w:p>
    <w:p w:rsidR="0075777C" w:rsidRDefault="0075777C" w:rsidP="0075777C">
      <w:r>
        <w:t xml:space="preserve">Two </w:t>
      </w:r>
      <w:r w:rsidRPr="00822C52">
        <w:t xml:space="preserve">RCTs reported on the effectiveness of an ERA in addition to </w:t>
      </w:r>
      <w:r w:rsidR="0017012F" w:rsidRPr="0017012F">
        <w:t xml:space="preserve">prostanoid </w:t>
      </w:r>
      <w:r w:rsidRPr="00822C52">
        <w:t xml:space="preserve">in treating PAH compared with placebo plus a </w:t>
      </w:r>
      <w:r w:rsidR="0017012F" w:rsidRPr="0017012F">
        <w:t>prostanoid</w:t>
      </w:r>
      <w:r w:rsidRPr="00822C52">
        <w:t>.</w:t>
      </w:r>
    </w:p>
    <w:p w:rsidR="0075777C" w:rsidRDefault="0075777C" w:rsidP="0075777C">
      <w:r>
        <w:t xml:space="preserve">The </w:t>
      </w:r>
      <w:r w:rsidRPr="00822C52">
        <w:t>BREATHE-2</w:t>
      </w:r>
      <w:r w:rsidR="001D34EE" w:rsidRPr="001A1C44">
        <w:rPr>
          <w:noProof/>
          <w:vertAlign w:val="superscript"/>
        </w:rPr>
        <w:t>35</w:t>
      </w:r>
      <w:r w:rsidRPr="003C2D26">
        <w:t xml:space="preserve"> double-blind, placebo-controlled </w:t>
      </w:r>
      <w:r>
        <w:t xml:space="preserve">trial enrolled 33 patients with NYHA FC III/IV </w:t>
      </w:r>
      <w:r w:rsidR="00246F7A">
        <w:t xml:space="preserve">(generally equivalent to WHO FC III/IV) </w:t>
      </w:r>
      <w:r>
        <w:t>PAH who were scheduled to begin epoprostenol therapy within 2 weeks of screening. Patients were randomised at 2:1 ratio to receive additional treatment with either bosentan or placebo for 16 weeks. Baseline demographic</w:t>
      </w:r>
      <w:r w:rsidRPr="00822C52">
        <w:t xml:space="preserve"> and haemodynamic factors were evenly distributed between the two randomised groups</w:t>
      </w:r>
      <w:r>
        <w:t>, except that there were 20% more men in the monotherapy group and 10% more patients with PAH-CTD in the combination therapy group. The trial had a low-to-moderate risk of bias, mostly due to attrition bias; t</w:t>
      </w:r>
      <w:r w:rsidRPr="0085475C">
        <w:t xml:space="preserve">reatment discontinuation occurred more frequently in the </w:t>
      </w:r>
      <w:r>
        <w:t>combination therapy</w:t>
      </w:r>
      <w:r w:rsidRPr="0085475C">
        <w:t xml:space="preserve"> arm than in the </w:t>
      </w:r>
      <w:r>
        <w:t>monotherapy</w:t>
      </w:r>
      <w:r w:rsidRPr="0085475C">
        <w:t xml:space="preserve"> arm</w:t>
      </w:r>
      <w:r>
        <w:t>.</w:t>
      </w:r>
    </w:p>
    <w:p w:rsidR="0075777C" w:rsidRDefault="0075777C" w:rsidP="0075777C">
      <w:r>
        <w:t xml:space="preserve">In the </w:t>
      </w:r>
      <w:r w:rsidRPr="00822C52">
        <w:t>Han 2017</w:t>
      </w:r>
      <w:r w:rsidR="001D34EE" w:rsidRPr="001A1C44">
        <w:rPr>
          <w:noProof/>
          <w:vertAlign w:val="superscript"/>
        </w:rPr>
        <w:t>38</w:t>
      </w:r>
      <w:r w:rsidRPr="00672C98">
        <w:t xml:space="preserve"> </w:t>
      </w:r>
      <w:r>
        <w:t>RCT, 27 treatment-naïve patients with WHO FC III/IV PAH were randomised into three groups to receive combination therapy with bosentan and iloprost or monotherapy with either bosentan or iloprost for 12 weeks. Of the 14 patients randomised to combination therapy or iloprost monotherapy, all had IPAH except one patient randomised to combination therapy who had chronic thromboembolic pulmonary hypertension. The patients in the iloprost groups were older (41.8</w:t>
      </w:r>
      <w:r w:rsidR="00B60655">
        <w:t> </w:t>
      </w:r>
      <w:r>
        <w:t>±</w:t>
      </w:r>
      <w:r w:rsidR="00B60655">
        <w:t> </w:t>
      </w:r>
      <w:r>
        <w:t>5.3 years) compared to those receiving combination therapy (30.1</w:t>
      </w:r>
      <w:r w:rsidR="00B60655">
        <w:t> </w:t>
      </w:r>
      <w:r>
        <w:t>±</w:t>
      </w:r>
      <w:r w:rsidR="00B60655">
        <w:t> </w:t>
      </w:r>
      <w:r>
        <w:t>7.4 years), and half (4/8) of those in the combination therapy arm required oxygen compared with only one out of seven patients in the monotherapy group.</w:t>
      </w:r>
      <w:r w:rsidRPr="00A75859">
        <w:t xml:space="preserve"> </w:t>
      </w:r>
      <w:r>
        <w:t xml:space="preserve">Additionally, more patients in the combination therapy group had WHO FC IV disease (3/8; 38%) compared with patients in the monotherapy group (1/6; 17%). </w:t>
      </w:r>
      <w:r w:rsidRPr="00A75859">
        <w:t>Baseline haemodynamic factors were evenly distributed between the two randomised groups</w:t>
      </w:r>
      <w:r>
        <w:t xml:space="preserve">. This study had a high risk of bias, mostly due to the open-label study design. </w:t>
      </w:r>
    </w:p>
    <w:p w:rsidR="0075777C" w:rsidRPr="00822C52" w:rsidRDefault="0075777C" w:rsidP="0075777C">
      <w:r>
        <w:t>As, both studies only enrolled patients with FC III/IV PAH, all reported outcomes are relevant to this patient subgroup.</w:t>
      </w:r>
    </w:p>
    <w:p w:rsidR="0075777C" w:rsidRPr="00822C52" w:rsidRDefault="0077344D" w:rsidP="0075777C">
      <w:pPr>
        <w:pStyle w:val="Heading5"/>
      </w:pPr>
      <w:r>
        <w:t>a.</w:t>
      </w:r>
      <w:r w:rsidR="007B6C7C">
        <w:tab/>
      </w:r>
      <w:r w:rsidR="0075777C" w:rsidRPr="00822C52">
        <w:t>Study-defined clinical worsening</w:t>
      </w:r>
    </w:p>
    <w:p w:rsidR="0075777C" w:rsidRPr="00822C52" w:rsidRDefault="0075777C" w:rsidP="0075777C">
      <w:r>
        <w:t>Neither RCT reported on the proportion of patients who had clinical worsening during the study period.</w:t>
      </w:r>
    </w:p>
    <w:p w:rsidR="0075777C" w:rsidRPr="00822C52" w:rsidRDefault="0077344D" w:rsidP="0075777C">
      <w:pPr>
        <w:pStyle w:val="Heading5"/>
      </w:pPr>
      <w:r>
        <w:t>b.</w:t>
      </w:r>
      <w:r w:rsidR="007B6C7C">
        <w:tab/>
      </w:r>
      <w:r w:rsidR="00C828F9">
        <w:t>All-cause m</w:t>
      </w:r>
      <w:r w:rsidR="00C828F9" w:rsidRPr="006316DF">
        <w:t>ortality</w:t>
      </w:r>
    </w:p>
    <w:p w:rsidR="0075777C" w:rsidRPr="00B607A5" w:rsidRDefault="0077344D" w:rsidP="0077344D">
      <w:pPr>
        <w:pStyle w:val="Heading6"/>
      </w:pPr>
      <w:r w:rsidRPr="00B607A5">
        <w:t>b</w:t>
      </w:r>
      <w:r w:rsidR="0075777C" w:rsidRPr="00B607A5">
        <w:t>.ii</w:t>
      </w:r>
      <w:r w:rsidR="0075777C" w:rsidRPr="00B607A5">
        <w:tab/>
        <w:t>PAH patients with FC III or IV</w:t>
      </w:r>
    </w:p>
    <w:p w:rsidR="0075777C" w:rsidRPr="00822C52" w:rsidRDefault="00CF144F" w:rsidP="0075777C">
      <w:r>
        <w:t>During a study period of</w:t>
      </w:r>
      <w:r w:rsidR="0075777C">
        <w:t xml:space="preserve"> 16 weeks, 3 patients in the ERA plus </w:t>
      </w:r>
      <w:r w:rsidR="0086510D">
        <w:t>prostanoid</w:t>
      </w:r>
      <w:r w:rsidR="0075777C">
        <w:t xml:space="preserve"> combination therapy group from the BREATHE-2 trial died, but no patients in the </w:t>
      </w:r>
      <w:r w:rsidR="0086510D">
        <w:t>prostanoid</w:t>
      </w:r>
      <w:r>
        <w:t xml:space="preserve"> monotherapy group die</w:t>
      </w:r>
      <w:r w:rsidR="0075777C">
        <w:t>d (</w:t>
      </w:r>
      <w:r w:rsidR="00AA722D">
        <w:t>Table 4.</w:t>
      </w:r>
      <w:r w:rsidR="00AA722D">
        <w:rPr>
          <w:noProof/>
        </w:rPr>
        <w:t>55</w:t>
      </w:r>
      <w:r w:rsidR="0075777C">
        <w:t xml:space="preserve">). The clinical investigators from the BREATHE-2 trial considered these deaths to reflect the severity and progressive nature of PAH rather than being related to the study treatment. The </w:t>
      </w:r>
      <w:r w:rsidR="00B21201">
        <w:t>ARD</w:t>
      </w:r>
      <w:r w:rsidR="0075777C">
        <w:t xml:space="preserve"> (13.6%; 95% CI −0.70, 28.0; p</w:t>
      </w:r>
      <w:r w:rsidR="00B60655">
        <w:t> </w:t>
      </w:r>
      <w:r w:rsidR="0075777C">
        <w:t>=</w:t>
      </w:r>
      <w:r w:rsidR="00B60655">
        <w:t> </w:t>
      </w:r>
      <w:r w:rsidR="0075777C">
        <w:t>0.20) did not reach statistical significance</w:t>
      </w:r>
      <w:r w:rsidR="00531E2B">
        <w:t xml:space="preserve">. The wide CI </w:t>
      </w:r>
      <w:r w:rsidR="0075777C">
        <w:t xml:space="preserve">suggests this study was </w:t>
      </w:r>
      <w:r w:rsidR="00531E2B">
        <w:t xml:space="preserve">statistically </w:t>
      </w:r>
      <w:r w:rsidR="0075777C">
        <w:t xml:space="preserve">underpowered for this outcome. The NNT (inverse of the </w:t>
      </w:r>
      <w:r w:rsidR="00B21201">
        <w:t>ARD</w:t>
      </w:r>
      <w:r w:rsidR="0075777C">
        <w:t>)</w:t>
      </w:r>
      <w:r w:rsidR="0075777C" w:rsidRPr="00362C8C">
        <w:t xml:space="preserve"> </w:t>
      </w:r>
      <w:r w:rsidR="0075777C">
        <w:lastRenderedPageBreak/>
        <w:t xml:space="preserve">indicates that for every </w:t>
      </w:r>
      <w:r w:rsidR="00BD3EF5">
        <w:t>eight</w:t>
      </w:r>
      <w:r w:rsidR="0075777C">
        <w:t xml:space="preserve"> patients treated with </w:t>
      </w:r>
      <w:r w:rsidR="0086510D">
        <w:t>prostanoid</w:t>
      </w:r>
      <w:r w:rsidR="0075777C">
        <w:t xml:space="preserve"> monotherapy one additional death was prevented compared with ERA plus </w:t>
      </w:r>
      <w:r w:rsidR="0086510D">
        <w:t>prostanoid</w:t>
      </w:r>
      <w:r w:rsidR="0075777C">
        <w:t xml:space="preserve"> combination therapy.</w:t>
      </w:r>
    </w:p>
    <w:p w:rsidR="0075777C" w:rsidRPr="00DD7790" w:rsidRDefault="00272F8F" w:rsidP="00BC5A2B">
      <w:pPr>
        <w:pStyle w:val="Caption"/>
      </w:pPr>
      <w:bookmarkStart w:id="181" w:name="_Ref505252047"/>
      <w:bookmarkStart w:id="182" w:name="_Toc512855459"/>
      <w:r>
        <w:t>Table 4.</w:t>
      </w:r>
      <w:r w:rsidR="00AA722D">
        <w:rPr>
          <w:noProof/>
        </w:rPr>
        <w:t>55</w:t>
      </w:r>
      <w:bookmarkEnd w:id="181"/>
      <w:r w:rsidR="0086510D">
        <w:tab/>
      </w:r>
      <w:r w:rsidR="0075777C" w:rsidRPr="00DD7790">
        <w:t xml:space="preserve">Mortality rates for </w:t>
      </w:r>
      <w:r w:rsidR="00EB768B">
        <w:t xml:space="preserve">an </w:t>
      </w:r>
      <w:r w:rsidR="00EB768B" w:rsidRPr="00A32D31">
        <w:t xml:space="preserve">ERA </w:t>
      </w:r>
      <w:r w:rsidR="00385078">
        <w:t>in addition to</w:t>
      </w:r>
      <w:r w:rsidR="00EB768B" w:rsidRPr="00A32D31">
        <w:t xml:space="preserve"> </w:t>
      </w:r>
      <w:r w:rsidR="00EB768B">
        <w:t xml:space="preserve">a </w:t>
      </w:r>
      <w:r w:rsidR="0086510D" w:rsidRPr="00DD7790">
        <w:t>prostanoid</w:t>
      </w:r>
      <w:r w:rsidR="0075777C" w:rsidRPr="00DD7790">
        <w:t xml:space="preserve"> compared with </w:t>
      </w:r>
      <w:r w:rsidR="0086510D" w:rsidRPr="00DD7790">
        <w:t>prostanoid</w:t>
      </w:r>
      <w:r w:rsidR="00385078">
        <w:t xml:space="preserve"> monotherapy</w:t>
      </w:r>
      <w:r w:rsidR="0075777C" w:rsidRPr="00DD7790">
        <w:t xml:space="preserve"> in all PAH patients</w:t>
      </w:r>
      <w:bookmarkEnd w:id="182"/>
    </w:p>
    <w:tbl>
      <w:tblPr>
        <w:tblStyle w:val="TableGrid7"/>
        <w:tblW w:w="9634" w:type="dxa"/>
        <w:tblLayout w:type="fixed"/>
        <w:tblLook w:val="04A0" w:firstRow="1" w:lastRow="0" w:firstColumn="1" w:lastColumn="0" w:noHBand="0" w:noVBand="1"/>
        <w:tblCaption w:val="Mortality rates for an ERA in addition to a prostanoid compared with prostanoid monotherapy in all PAH patients"/>
      </w:tblPr>
      <w:tblGrid>
        <w:gridCol w:w="1271"/>
        <w:gridCol w:w="2410"/>
        <w:gridCol w:w="1843"/>
        <w:gridCol w:w="2126"/>
        <w:gridCol w:w="1984"/>
      </w:tblGrid>
      <w:tr w:rsidR="0075777C" w:rsidRPr="00822C52" w:rsidTr="0086510D">
        <w:trPr>
          <w:trHeight w:val="254"/>
          <w:tblHeader/>
        </w:trPr>
        <w:tc>
          <w:tcPr>
            <w:tcW w:w="1271" w:type="dxa"/>
            <w:vMerge w:val="restart"/>
            <w:shd w:val="clear" w:color="auto" w:fill="BFBFBF" w:themeFill="background1" w:themeFillShade="BF"/>
          </w:tcPr>
          <w:p w:rsidR="0075777C" w:rsidRPr="0086510D" w:rsidRDefault="0075777C" w:rsidP="0086510D">
            <w:pPr>
              <w:pStyle w:val="Tabletext"/>
              <w:rPr>
                <w:b/>
              </w:rPr>
            </w:pPr>
            <w:r w:rsidRPr="0086510D">
              <w:rPr>
                <w:b/>
              </w:rPr>
              <w:t>Study ID</w:t>
            </w:r>
          </w:p>
        </w:tc>
        <w:tc>
          <w:tcPr>
            <w:tcW w:w="2410" w:type="dxa"/>
            <w:vMerge w:val="restart"/>
            <w:shd w:val="clear" w:color="auto" w:fill="BFBFBF" w:themeFill="background1" w:themeFillShade="BF"/>
          </w:tcPr>
          <w:p w:rsidR="0075777C" w:rsidRPr="0086510D" w:rsidRDefault="0075777C" w:rsidP="0086510D">
            <w:pPr>
              <w:pStyle w:val="Tabletext"/>
              <w:rPr>
                <w:b/>
              </w:rPr>
            </w:pPr>
            <w:r w:rsidRPr="0086510D">
              <w:rPr>
                <w:b/>
              </w:rPr>
              <w:t>Follow-up period</w:t>
            </w:r>
          </w:p>
          <w:p w:rsidR="0075777C" w:rsidRPr="0086510D" w:rsidRDefault="0075777C" w:rsidP="0086510D">
            <w:pPr>
              <w:pStyle w:val="Tabletext"/>
              <w:rPr>
                <w:b/>
              </w:rPr>
            </w:pPr>
            <w:r w:rsidRPr="0086510D">
              <w:rPr>
                <w:b/>
              </w:rPr>
              <w:t>ERA/</w:t>
            </w:r>
            <w:r w:rsidR="0017012F" w:rsidRPr="0086510D">
              <w:rPr>
                <w:b/>
              </w:rPr>
              <w:t>prostanoid</w:t>
            </w:r>
          </w:p>
        </w:tc>
        <w:tc>
          <w:tcPr>
            <w:tcW w:w="3969" w:type="dxa"/>
            <w:gridSpan w:val="2"/>
            <w:shd w:val="clear" w:color="auto" w:fill="BFBFBF" w:themeFill="background1" w:themeFillShade="BF"/>
          </w:tcPr>
          <w:p w:rsidR="0075777C" w:rsidRPr="0086510D" w:rsidRDefault="0075777C" w:rsidP="0086510D">
            <w:pPr>
              <w:pStyle w:val="Tabletext"/>
              <w:jc w:val="center"/>
              <w:rPr>
                <w:b/>
              </w:rPr>
            </w:pPr>
            <w:r w:rsidRPr="0086510D">
              <w:rPr>
                <w:b/>
              </w:rPr>
              <w:t>n/N (%)</w:t>
            </w:r>
          </w:p>
        </w:tc>
        <w:tc>
          <w:tcPr>
            <w:tcW w:w="1984" w:type="dxa"/>
            <w:vMerge w:val="restart"/>
            <w:shd w:val="clear" w:color="auto" w:fill="BFBFBF" w:themeFill="background1" w:themeFillShade="BF"/>
          </w:tcPr>
          <w:p w:rsidR="0075777C" w:rsidRPr="0086510D" w:rsidRDefault="0075777C" w:rsidP="0086510D">
            <w:pPr>
              <w:pStyle w:val="Tabletext"/>
              <w:rPr>
                <w:b/>
              </w:rPr>
            </w:pPr>
            <w:r w:rsidRPr="0086510D">
              <w:rPr>
                <w:b/>
              </w:rPr>
              <w:t>RR (95% CI)</w:t>
            </w:r>
          </w:p>
        </w:tc>
      </w:tr>
      <w:tr w:rsidR="0075777C" w:rsidRPr="00822C52" w:rsidTr="0086510D">
        <w:trPr>
          <w:trHeight w:val="202"/>
          <w:tblHeader/>
        </w:trPr>
        <w:tc>
          <w:tcPr>
            <w:tcW w:w="1271" w:type="dxa"/>
            <w:vMerge/>
            <w:shd w:val="clear" w:color="auto" w:fill="BFBFBF" w:themeFill="background1" w:themeFillShade="BF"/>
          </w:tcPr>
          <w:p w:rsidR="0075777C" w:rsidRPr="00822C52" w:rsidRDefault="0075777C" w:rsidP="0086510D">
            <w:pPr>
              <w:pStyle w:val="Tabletext"/>
            </w:pPr>
          </w:p>
        </w:tc>
        <w:tc>
          <w:tcPr>
            <w:tcW w:w="2410" w:type="dxa"/>
            <w:vMerge/>
            <w:shd w:val="clear" w:color="auto" w:fill="BFBFBF" w:themeFill="background1" w:themeFillShade="BF"/>
          </w:tcPr>
          <w:p w:rsidR="0075777C" w:rsidRPr="00822C52" w:rsidRDefault="0075777C" w:rsidP="0086510D">
            <w:pPr>
              <w:pStyle w:val="Tabletext"/>
            </w:pPr>
          </w:p>
        </w:tc>
        <w:tc>
          <w:tcPr>
            <w:tcW w:w="1843" w:type="dxa"/>
            <w:shd w:val="clear" w:color="auto" w:fill="BFBFBF" w:themeFill="background1" w:themeFillShade="BF"/>
          </w:tcPr>
          <w:p w:rsidR="0075777C" w:rsidRPr="0086510D" w:rsidRDefault="0075777C" w:rsidP="0086510D">
            <w:pPr>
              <w:pStyle w:val="Tabletext"/>
              <w:jc w:val="center"/>
              <w:rPr>
                <w:b/>
              </w:rPr>
            </w:pPr>
            <w:r w:rsidRPr="0086510D">
              <w:rPr>
                <w:b/>
              </w:rPr>
              <w:t xml:space="preserve">ERA + </w:t>
            </w:r>
            <w:r w:rsidR="0086510D" w:rsidRPr="0086510D">
              <w:rPr>
                <w:b/>
              </w:rPr>
              <w:t>prostanoid</w:t>
            </w:r>
          </w:p>
        </w:tc>
        <w:tc>
          <w:tcPr>
            <w:tcW w:w="2126" w:type="dxa"/>
            <w:shd w:val="clear" w:color="auto" w:fill="BFBFBF" w:themeFill="background1" w:themeFillShade="BF"/>
          </w:tcPr>
          <w:p w:rsidR="0075777C" w:rsidRPr="0086510D" w:rsidRDefault="00EF4CF6" w:rsidP="00EF4CF6">
            <w:pPr>
              <w:pStyle w:val="Tabletext"/>
              <w:jc w:val="center"/>
              <w:rPr>
                <w:b/>
              </w:rPr>
            </w:pPr>
            <w:r>
              <w:rPr>
                <w:b/>
              </w:rPr>
              <w:t>P</w:t>
            </w:r>
            <w:r w:rsidR="0086510D" w:rsidRPr="0086510D">
              <w:rPr>
                <w:b/>
              </w:rPr>
              <w:t>rostanoid</w:t>
            </w:r>
          </w:p>
        </w:tc>
        <w:tc>
          <w:tcPr>
            <w:tcW w:w="1984" w:type="dxa"/>
            <w:vMerge/>
            <w:shd w:val="clear" w:color="auto" w:fill="BFBFBF" w:themeFill="background1" w:themeFillShade="BF"/>
          </w:tcPr>
          <w:p w:rsidR="0075777C" w:rsidRPr="00822C52" w:rsidRDefault="0075777C" w:rsidP="0086510D">
            <w:pPr>
              <w:pStyle w:val="Tabletext"/>
            </w:pPr>
          </w:p>
        </w:tc>
      </w:tr>
      <w:tr w:rsidR="0075777C" w:rsidRPr="00822C52" w:rsidTr="0086510D">
        <w:trPr>
          <w:trHeight w:val="70"/>
        </w:trPr>
        <w:tc>
          <w:tcPr>
            <w:tcW w:w="1271" w:type="dxa"/>
          </w:tcPr>
          <w:p w:rsidR="0075777C" w:rsidRPr="00822C52" w:rsidRDefault="0075777C" w:rsidP="001D34EE">
            <w:pPr>
              <w:pStyle w:val="Tabletext"/>
              <w:rPr>
                <w:rFonts w:cs="Tahoma"/>
              </w:rPr>
            </w:pPr>
            <w:r w:rsidRPr="00822C52">
              <w:rPr>
                <w:rFonts w:cs="Tahoma"/>
              </w:rPr>
              <w:t>BREATHE-2</w:t>
            </w:r>
            <w:r w:rsidR="001D34EE" w:rsidRPr="001A1C44">
              <w:rPr>
                <w:rFonts w:cs="Tahoma"/>
                <w:noProof/>
                <w:vertAlign w:val="superscript"/>
              </w:rPr>
              <w:t>35</w:t>
            </w:r>
          </w:p>
        </w:tc>
        <w:tc>
          <w:tcPr>
            <w:tcW w:w="2410" w:type="dxa"/>
          </w:tcPr>
          <w:p w:rsidR="0075777C" w:rsidRPr="00822C52" w:rsidRDefault="0075777C" w:rsidP="0086510D">
            <w:pPr>
              <w:pStyle w:val="Tabletext"/>
              <w:rPr>
                <w:rFonts w:cs="Tahoma"/>
              </w:rPr>
            </w:pPr>
            <w:r w:rsidRPr="00822C52">
              <w:rPr>
                <w:rFonts w:cs="Tahoma"/>
              </w:rPr>
              <w:t>16 weeks</w:t>
            </w:r>
          </w:p>
          <w:p w:rsidR="0075777C" w:rsidRPr="00822C52" w:rsidRDefault="0075777C" w:rsidP="0086510D">
            <w:pPr>
              <w:pStyle w:val="Tabletext"/>
              <w:rPr>
                <w:rFonts w:cs="Tahoma"/>
                <w:highlight w:val="cyan"/>
              </w:rPr>
            </w:pPr>
            <w:r>
              <w:rPr>
                <w:rFonts w:cs="Tahoma"/>
              </w:rPr>
              <w:t>Bosentan/</w:t>
            </w:r>
            <w:r w:rsidRPr="00822C52">
              <w:rPr>
                <w:rFonts w:cs="Tahoma"/>
              </w:rPr>
              <w:t>epoprostenol</w:t>
            </w:r>
          </w:p>
        </w:tc>
        <w:tc>
          <w:tcPr>
            <w:tcW w:w="1843" w:type="dxa"/>
          </w:tcPr>
          <w:p w:rsidR="0075777C" w:rsidRPr="00822C52" w:rsidRDefault="0050638A" w:rsidP="0086510D">
            <w:pPr>
              <w:pStyle w:val="Tabletext"/>
              <w:jc w:val="center"/>
              <w:rPr>
                <w:rFonts w:cs="Tahoma"/>
              </w:rPr>
            </w:pPr>
            <w:r>
              <w:rPr>
                <w:rFonts w:cs="Tahoma"/>
              </w:rPr>
              <w:t>3/22 (14</w:t>
            </w:r>
            <w:r w:rsidR="0075777C" w:rsidRPr="00822C52">
              <w:rPr>
                <w:rFonts w:cs="Tahoma"/>
              </w:rPr>
              <w:t>%)</w:t>
            </w:r>
          </w:p>
        </w:tc>
        <w:tc>
          <w:tcPr>
            <w:tcW w:w="2126" w:type="dxa"/>
          </w:tcPr>
          <w:p w:rsidR="0075777C" w:rsidRPr="00822C52" w:rsidRDefault="0075777C" w:rsidP="0086510D">
            <w:pPr>
              <w:pStyle w:val="Tabletext"/>
              <w:jc w:val="center"/>
              <w:rPr>
                <w:rFonts w:cs="Tahoma"/>
              </w:rPr>
            </w:pPr>
            <w:r w:rsidRPr="00822C52">
              <w:rPr>
                <w:rFonts w:cs="Tahoma"/>
              </w:rPr>
              <w:t>0/11 (0%)</w:t>
            </w:r>
          </w:p>
        </w:tc>
        <w:tc>
          <w:tcPr>
            <w:tcW w:w="1984" w:type="dxa"/>
          </w:tcPr>
          <w:p w:rsidR="0075777C" w:rsidRPr="00822C52" w:rsidRDefault="0075777C" w:rsidP="0086510D">
            <w:pPr>
              <w:pStyle w:val="Tabletext"/>
              <w:rPr>
                <w:rFonts w:cs="Tahoma"/>
              </w:rPr>
            </w:pPr>
            <w:r>
              <w:rPr>
                <w:rFonts w:cs="Tahoma"/>
              </w:rPr>
              <w:t>Not calculable</w:t>
            </w:r>
          </w:p>
        </w:tc>
      </w:tr>
    </w:tbl>
    <w:p w:rsidR="0075777C" w:rsidRPr="00822C52" w:rsidRDefault="0075777C" w:rsidP="0086510D">
      <w:pPr>
        <w:pStyle w:val="Tablenote"/>
      </w:pPr>
      <w:r w:rsidRPr="00822C52">
        <w:t xml:space="preserve">CI = confidence interval; ERA = endothelin receptor antagonist; n = number of </w:t>
      </w:r>
      <w:r w:rsidR="00C30B1C">
        <w:t xml:space="preserve">patients with </w:t>
      </w:r>
      <w:r w:rsidRPr="00822C52">
        <w:t>events; N = number of patients; PAH = pulmonary arterial hypertension; RR = relative risk</w:t>
      </w:r>
    </w:p>
    <w:p w:rsidR="0075777C" w:rsidRPr="00822C52" w:rsidRDefault="0077344D" w:rsidP="0075777C">
      <w:pPr>
        <w:pStyle w:val="Heading5"/>
      </w:pPr>
      <w:r>
        <w:t>c.</w:t>
      </w:r>
      <w:r w:rsidR="007B6C7C">
        <w:tab/>
      </w:r>
      <w:r w:rsidR="00C828F9" w:rsidRPr="006316DF">
        <w:t>Hospitalisation</w:t>
      </w:r>
      <w:r w:rsidR="00C828F9" w:rsidRPr="0046652B">
        <w:t xml:space="preserve"> due to worsening PAH</w:t>
      </w:r>
    </w:p>
    <w:p w:rsidR="0075777C" w:rsidRPr="00822C52" w:rsidRDefault="0075777C" w:rsidP="0075777C">
      <w:r>
        <w:t>Neither RCT reported on the proportion of patients who were hospitalised during the study period.</w:t>
      </w:r>
    </w:p>
    <w:p w:rsidR="0075777C" w:rsidRPr="00822C52" w:rsidRDefault="0077344D" w:rsidP="0075777C">
      <w:pPr>
        <w:pStyle w:val="Heading5"/>
      </w:pPr>
      <w:r>
        <w:t>d.</w:t>
      </w:r>
      <w:r w:rsidR="007B6C7C">
        <w:tab/>
      </w:r>
      <w:r w:rsidR="0075777C" w:rsidRPr="00822C52">
        <w:t xml:space="preserve">Change in WHO </w:t>
      </w:r>
      <w:r w:rsidR="0075777C">
        <w:t>FC</w:t>
      </w:r>
      <w:r w:rsidR="007B6C7C">
        <w:t xml:space="preserve"> from baseline</w:t>
      </w:r>
    </w:p>
    <w:p w:rsidR="0075777C" w:rsidRPr="00B607A5" w:rsidRDefault="0077344D" w:rsidP="0077344D">
      <w:pPr>
        <w:pStyle w:val="Heading6"/>
      </w:pPr>
      <w:r w:rsidRPr="00B607A5">
        <w:t>d</w:t>
      </w:r>
      <w:r w:rsidR="0075777C" w:rsidRPr="00B607A5">
        <w:t>.ii</w:t>
      </w:r>
      <w:r w:rsidR="0075777C" w:rsidRPr="00B607A5">
        <w:tab/>
        <w:t>PAH patients with FC III or IV</w:t>
      </w:r>
    </w:p>
    <w:p w:rsidR="0075777C" w:rsidRPr="00822C52" w:rsidRDefault="0075777C" w:rsidP="0075777C">
      <w:r w:rsidRPr="00822C52">
        <w:t>Han 2017</w:t>
      </w:r>
      <w:r w:rsidR="001D34EE" w:rsidRPr="001A1C44">
        <w:rPr>
          <w:noProof/>
          <w:vertAlign w:val="superscript"/>
        </w:rPr>
        <w:t>38</w:t>
      </w:r>
      <w:r>
        <w:t xml:space="preserve"> reported on WHO FC at baseline and at 12 weeks, and found that all patients in the combination therapy group had improved their WHO FC from III/IV to I/II (</w:t>
      </w:r>
      <w:r w:rsidR="00AA722D">
        <w:t>Table 4.</w:t>
      </w:r>
      <w:r w:rsidR="00AA722D">
        <w:rPr>
          <w:noProof/>
        </w:rPr>
        <w:t>56</w:t>
      </w:r>
      <w:r>
        <w:t xml:space="preserve">). However, the data for the </w:t>
      </w:r>
      <w:r w:rsidR="0017012F">
        <w:t>prostanoid</w:t>
      </w:r>
      <w:r>
        <w:t xml:space="preserve"> monotherapy group could not be extracted because the authors did not specify how many patients with WHO FC II/IV at 12 weeks had improved or worsened. In the BREATHE-2 trial, patients receiving ERA plus </w:t>
      </w:r>
      <w:r w:rsidR="0017012F">
        <w:t>prostanoid</w:t>
      </w:r>
      <w:r>
        <w:t xml:space="preserve"> combination therapy were more likely to improve </w:t>
      </w:r>
      <w:r w:rsidR="00531E2B">
        <w:t xml:space="preserve">their WHO FC </w:t>
      </w:r>
      <w:r>
        <w:t xml:space="preserve">than those on </w:t>
      </w:r>
      <w:r w:rsidR="0017012F">
        <w:t>prostanoid</w:t>
      </w:r>
      <w:r>
        <w:t xml:space="preserve"> monotherapy (</w:t>
      </w:r>
      <w:r w:rsidR="00B21201">
        <w:t>ARD</w:t>
      </w:r>
      <w:r w:rsidR="00B60655">
        <w:t> </w:t>
      </w:r>
      <w:r>
        <w:t>=</w:t>
      </w:r>
      <w:r w:rsidR="00B60655">
        <w:t> </w:t>
      </w:r>
      <w:r w:rsidRPr="00797BD1">
        <w:t>13.6%; 95% CI −</w:t>
      </w:r>
      <w:r>
        <w:t>22.3</w:t>
      </w:r>
      <w:r w:rsidRPr="00797BD1">
        <w:t xml:space="preserve">, </w:t>
      </w:r>
      <w:r>
        <w:t>49</w:t>
      </w:r>
      <w:r w:rsidRPr="00797BD1">
        <w:t>.</w:t>
      </w:r>
      <w:r>
        <w:t>5; p</w:t>
      </w:r>
      <w:r w:rsidR="00B60655">
        <w:t> </w:t>
      </w:r>
      <w:r>
        <w:t>=</w:t>
      </w:r>
      <w:r w:rsidR="00B60655">
        <w:t> </w:t>
      </w:r>
      <w:r>
        <w:t>0.46), but the difference was not statistically significant, most likely due to the small sample size</w:t>
      </w:r>
      <w:r w:rsidRPr="00797BD1">
        <w:t>. Th</w:t>
      </w:r>
      <w:r>
        <w:t>us,</w:t>
      </w:r>
      <w:r w:rsidRPr="00797BD1">
        <w:t xml:space="preserve"> for every </w:t>
      </w:r>
      <w:r w:rsidR="00E70D1D">
        <w:t>eight</w:t>
      </w:r>
      <w:r w:rsidRPr="00797BD1">
        <w:t xml:space="preserve"> patients treated with ERA plus </w:t>
      </w:r>
      <w:r w:rsidR="00B60655" w:rsidRPr="00797BD1">
        <w:t>prostanoid</w:t>
      </w:r>
      <w:r w:rsidRPr="00797BD1">
        <w:t xml:space="preserve"> combination therapy one additional </w:t>
      </w:r>
      <w:r>
        <w:t>patient improved their WHO FC</w:t>
      </w:r>
      <w:r w:rsidRPr="00797BD1">
        <w:t xml:space="preserve"> compar</w:t>
      </w:r>
      <w:r>
        <w:t xml:space="preserve">ed with </w:t>
      </w:r>
      <w:r w:rsidR="00B60655">
        <w:t>prostanoid</w:t>
      </w:r>
      <w:r>
        <w:t xml:space="preserve"> monotherapy.</w:t>
      </w:r>
    </w:p>
    <w:p w:rsidR="0075777C" w:rsidRPr="00A32D31" w:rsidRDefault="00272F8F" w:rsidP="00BC5A2B">
      <w:pPr>
        <w:pStyle w:val="Caption"/>
      </w:pPr>
      <w:bookmarkStart w:id="183" w:name="_Ref505251986"/>
      <w:bookmarkStart w:id="184" w:name="_Toc512855460"/>
      <w:r>
        <w:t>Table 4.</w:t>
      </w:r>
      <w:r w:rsidR="00AA722D">
        <w:rPr>
          <w:noProof/>
        </w:rPr>
        <w:t>56</w:t>
      </w:r>
      <w:bookmarkEnd w:id="183"/>
      <w:r w:rsidR="0086510D">
        <w:tab/>
      </w:r>
      <w:r w:rsidR="0075777C" w:rsidRPr="00A32D31">
        <w:t xml:space="preserve">The effectiveness of </w:t>
      </w:r>
      <w:r w:rsidR="00385078">
        <w:t xml:space="preserve">an </w:t>
      </w:r>
      <w:r w:rsidR="00385078" w:rsidRPr="00A32D31">
        <w:t xml:space="preserve">ERA </w:t>
      </w:r>
      <w:r w:rsidR="00385078">
        <w:t>in addition to</w:t>
      </w:r>
      <w:r w:rsidR="00385078" w:rsidRPr="00A32D31">
        <w:t xml:space="preserve"> </w:t>
      </w:r>
      <w:r w:rsidR="00385078">
        <w:t xml:space="preserve">a </w:t>
      </w:r>
      <w:r w:rsidR="00385078" w:rsidRPr="00DD7790">
        <w:t>prostanoid compared with prostanoid</w:t>
      </w:r>
      <w:r w:rsidR="00385078">
        <w:t xml:space="preserve"> monotherapy</w:t>
      </w:r>
      <w:r w:rsidR="00385078" w:rsidRPr="00DD7790">
        <w:t xml:space="preserve"> </w:t>
      </w:r>
      <w:r w:rsidR="0075777C" w:rsidRPr="00A32D31">
        <w:t>in improving WHO FC</w:t>
      </w:r>
      <w:r w:rsidR="00C30B1C">
        <w:t xml:space="preserve"> in all PAH patients</w:t>
      </w:r>
      <w:bookmarkEnd w:id="184"/>
    </w:p>
    <w:tbl>
      <w:tblPr>
        <w:tblStyle w:val="TableGrid7"/>
        <w:tblW w:w="9634" w:type="dxa"/>
        <w:tblLayout w:type="fixed"/>
        <w:tblLook w:val="04A0" w:firstRow="1" w:lastRow="0" w:firstColumn="1" w:lastColumn="0" w:noHBand="0" w:noVBand="1"/>
        <w:tblCaption w:val="The effectiveness of an ERA in addition to a prostanoid compared with prostanoid monotherapy in improving WHO FC in all PAH patients"/>
      </w:tblPr>
      <w:tblGrid>
        <w:gridCol w:w="1838"/>
        <w:gridCol w:w="1559"/>
        <w:gridCol w:w="2268"/>
        <w:gridCol w:w="1985"/>
        <w:gridCol w:w="1984"/>
      </w:tblGrid>
      <w:tr w:rsidR="0075777C" w:rsidRPr="00822C52" w:rsidTr="0086510D">
        <w:trPr>
          <w:trHeight w:val="416"/>
          <w:tblHeader/>
        </w:trPr>
        <w:tc>
          <w:tcPr>
            <w:tcW w:w="1838" w:type="dxa"/>
            <w:vMerge w:val="restart"/>
            <w:shd w:val="clear" w:color="auto" w:fill="BFBFBF" w:themeFill="background1" w:themeFillShade="BF"/>
          </w:tcPr>
          <w:p w:rsidR="0075777C" w:rsidRPr="0086510D" w:rsidRDefault="0075777C" w:rsidP="0086510D">
            <w:pPr>
              <w:pStyle w:val="Tabletext"/>
              <w:rPr>
                <w:b/>
              </w:rPr>
            </w:pPr>
            <w:r w:rsidRPr="0086510D">
              <w:rPr>
                <w:b/>
              </w:rPr>
              <w:t>Study ID</w:t>
            </w:r>
          </w:p>
          <w:p w:rsidR="0075777C" w:rsidRPr="0086510D" w:rsidRDefault="0075777C" w:rsidP="0086510D">
            <w:pPr>
              <w:pStyle w:val="Tabletext"/>
              <w:rPr>
                <w:b/>
              </w:rPr>
            </w:pPr>
            <w:r w:rsidRPr="0086510D">
              <w:rPr>
                <w:b/>
              </w:rPr>
              <w:t>Follow-up period</w:t>
            </w:r>
          </w:p>
          <w:p w:rsidR="0075777C" w:rsidRPr="0086510D" w:rsidRDefault="0075777C" w:rsidP="0086510D">
            <w:pPr>
              <w:pStyle w:val="Tabletext"/>
              <w:rPr>
                <w:b/>
              </w:rPr>
            </w:pPr>
            <w:r w:rsidRPr="0086510D">
              <w:rPr>
                <w:b/>
              </w:rPr>
              <w:t>ERA/</w:t>
            </w:r>
            <w:r w:rsidR="00B60655" w:rsidRPr="0086510D">
              <w:rPr>
                <w:b/>
              </w:rPr>
              <w:t>prostanoid</w:t>
            </w:r>
          </w:p>
        </w:tc>
        <w:tc>
          <w:tcPr>
            <w:tcW w:w="1559" w:type="dxa"/>
            <w:vMerge w:val="restart"/>
            <w:shd w:val="clear" w:color="auto" w:fill="BFBFBF" w:themeFill="background1" w:themeFillShade="BF"/>
          </w:tcPr>
          <w:p w:rsidR="0075777C" w:rsidRPr="0086510D" w:rsidRDefault="0075777C" w:rsidP="0086510D">
            <w:pPr>
              <w:pStyle w:val="Tabletext"/>
              <w:rPr>
                <w:b/>
              </w:rPr>
            </w:pPr>
            <w:r w:rsidRPr="0086510D">
              <w:rPr>
                <w:b/>
              </w:rPr>
              <w:t>Change in WHO FC</w:t>
            </w:r>
          </w:p>
        </w:tc>
        <w:tc>
          <w:tcPr>
            <w:tcW w:w="4253" w:type="dxa"/>
            <w:gridSpan w:val="2"/>
            <w:shd w:val="clear" w:color="auto" w:fill="BFBFBF" w:themeFill="background1" w:themeFillShade="BF"/>
          </w:tcPr>
          <w:p w:rsidR="0075777C" w:rsidRPr="0086510D" w:rsidRDefault="0075777C" w:rsidP="0086510D">
            <w:pPr>
              <w:pStyle w:val="Tabletext"/>
              <w:jc w:val="center"/>
              <w:rPr>
                <w:b/>
              </w:rPr>
            </w:pPr>
            <w:r w:rsidRPr="0086510D">
              <w:rPr>
                <w:b/>
              </w:rPr>
              <w:t>n/N (%)</w:t>
            </w:r>
          </w:p>
        </w:tc>
        <w:tc>
          <w:tcPr>
            <w:tcW w:w="1984" w:type="dxa"/>
            <w:vMerge w:val="restart"/>
            <w:shd w:val="clear" w:color="auto" w:fill="BFBFBF" w:themeFill="background1" w:themeFillShade="BF"/>
          </w:tcPr>
          <w:p w:rsidR="0075777C" w:rsidRPr="0086510D" w:rsidRDefault="0075777C" w:rsidP="0086510D">
            <w:pPr>
              <w:pStyle w:val="Tabletext"/>
              <w:rPr>
                <w:b/>
              </w:rPr>
            </w:pPr>
            <w:r w:rsidRPr="0086510D">
              <w:rPr>
                <w:b/>
              </w:rPr>
              <w:t>RR (95% CI)</w:t>
            </w:r>
          </w:p>
        </w:tc>
      </w:tr>
      <w:tr w:rsidR="0075777C" w:rsidRPr="00822C52" w:rsidTr="0086510D">
        <w:trPr>
          <w:trHeight w:val="202"/>
          <w:tblHeader/>
        </w:trPr>
        <w:tc>
          <w:tcPr>
            <w:tcW w:w="1838" w:type="dxa"/>
            <w:vMerge/>
            <w:shd w:val="clear" w:color="auto" w:fill="BFBFBF" w:themeFill="background1" w:themeFillShade="BF"/>
          </w:tcPr>
          <w:p w:rsidR="0075777C" w:rsidRPr="00822C52" w:rsidRDefault="0075777C" w:rsidP="0086510D">
            <w:pPr>
              <w:pStyle w:val="Tabletext"/>
            </w:pPr>
          </w:p>
        </w:tc>
        <w:tc>
          <w:tcPr>
            <w:tcW w:w="1559" w:type="dxa"/>
            <w:vMerge/>
            <w:shd w:val="clear" w:color="auto" w:fill="BFBFBF" w:themeFill="background1" w:themeFillShade="BF"/>
          </w:tcPr>
          <w:p w:rsidR="0075777C" w:rsidRPr="00822C52" w:rsidRDefault="0075777C" w:rsidP="0086510D">
            <w:pPr>
              <w:pStyle w:val="Tabletext"/>
            </w:pPr>
          </w:p>
        </w:tc>
        <w:tc>
          <w:tcPr>
            <w:tcW w:w="2268" w:type="dxa"/>
            <w:shd w:val="clear" w:color="auto" w:fill="BFBFBF" w:themeFill="background1" w:themeFillShade="BF"/>
          </w:tcPr>
          <w:p w:rsidR="0075777C" w:rsidRPr="0086510D" w:rsidRDefault="0075777C" w:rsidP="0086510D">
            <w:pPr>
              <w:pStyle w:val="Tabletext"/>
              <w:jc w:val="center"/>
              <w:rPr>
                <w:b/>
              </w:rPr>
            </w:pPr>
            <w:r w:rsidRPr="0086510D">
              <w:rPr>
                <w:b/>
              </w:rPr>
              <w:t xml:space="preserve">ERA + </w:t>
            </w:r>
            <w:r w:rsidR="00B60655" w:rsidRPr="0086510D">
              <w:rPr>
                <w:b/>
              </w:rPr>
              <w:t>prostanoid</w:t>
            </w:r>
          </w:p>
        </w:tc>
        <w:tc>
          <w:tcPr>
            <w:tcW w:w="1985" w:type="dxa"/>
            <w:shd w:val="clear" w:color="auto" w:fill="BFBFBF" w:themeFill="background1" w:themeFillShade="BF"/>
          </w:tcPr>
          <w:p w:rsidR="0075777C" w:rsidRPr="0086510D" w:rsidRDefault="0075777C" w:rsidP="00EF4CF6">
            <w:pPr>
              <w:pStyle w:val="Tabletext"/>
              <w:jc w:val="center"/>
              <w:rPr>
                <w:b/>
              </w:rPr>
            </w:pPr>
            <w:r w:rsidRPr="0086510D">
              <w:rPr>
                <w:b/>
              </w:rPr>
              <w:t>P</w:t>
            </w:r>
            <w:r w:rsidR="00B60655" w:rsidRPr="0086510D">
              <w:rPr>
                <w:b/>
              </w:rPr>
              <w:t>rostanoid</w:t>
            </w:r>
          </w:p>
        </w:tc>
        <w:tc>
          <w:tcPr>
            <w:tcW w:w="1984" w:type="dxa"/>
            <w:vMerge/>
            <w:shd w:val="clear" w:color="auto" w:fill="BFBFBF" w:themeFill="background1" w:themeFillShade="BF"/>
          </w:tcPr>
          <w:p w:rsidR="0075777C" w:rsidRPr="00822C52" w:rsidRDefault="0075777C" w:rsidP="0086510D">
            <w:pPr>
              <w:pStyle w:val="Tabletext"/>
            </w:pPr>
          </w:p>
        </w:tc>
      </w:tr>
      <w:tr w:rsidR="0075777C" w:rsidRPr="00822C52" w:rsidTr="0086510D">
        <w:trPr>
          <w:trHeight w:val="673"/>
        </w:trPr>
        <w:tc>
          <w:tcPr>
            <w:tcW w:w="1838" w:type="dxa"/>
          </w:tcPr>
          <w:p w:rsidR="0075777C" w:rsidRPr="00822C52" w:rsidRDefault="0075777C" w:rsidP="0086510D">
            <w:pPr>
              <w:pStyle w:val="Tabletext"/>
            </w:pPr>
            <w:r w:rsidRPr="00822C52">
              <w:t>BREATHE-2</w:t>
            </w:r>
            <w:r w:rsidR="001D34EE" w:rsidRPr="001A1C44">
              <w:rPr>
                <w:noProof/>
                <w:vertAlign w:val="superscript"/>
              </w:rPr>
              <w:t>35</w:t>
            </w:r>
          </w:p>
          <w:p w:rsidR="0075777C" w:rsidRPr="00822C52" w:rsidRDefault="0075777C" w:rsidP="0086510D">
            <w:pPr>
              <w:pStyle w:val="Tabletext"/>
            </w:pPr>
            <w:r w:rsidRPr="00822C52">
              <w:t>16 weeks</w:t>
            </w:r>
          </w:p>
          <w:p w:rsidR="0075777C" w:rsidRPr="00822C52" w:rsidRDefault="0075777C" w:rsidP="0086510D">
            <w:pPr>
              <w:pStyle w:val="Tabletext"/>
              <w:rPr>
                <w:rFonts w:cs="Tahoma"/>
              </w:rPr>
            </w:pPr>
            <w:r w:rsidRPr="00822C52">
              <w:rPr>
                <w:rFonts w:cs="Tahoma"/>
              </w:rPr>
              <w:t>Bosentan/ epoprostenol</w:t>
            </w:r>
          </w:p>
        </w:tc>
        <w:tc>
          <w:tcPr>
            <w:tcW w:w="1559" w:type="dxa"/>
          </w:tcPr>
          <w:p w:rsidR="0075777C" w:rsidRPr="00822C52" w:rsidRDefault="0075777C" w:rsidP="0086510D">
            <w:pPr>
              <w:pStyle w:val="Tabletext"/>
              <w:rPr>
                <w:rFonts w:cs="Tahoma"/>
              </w:rPr>
            </w:pPr>
            <w:r w:rsidRPr="00822C52">
              <w:rPr>
                <w:rFonts w:cs="Tahoma"/>
              </w:rPr>
              <w:t>Improved</w:t>
            </w:r>
          </w:p>
        </w:tc>
        <w:tc>
          <w:tcPr>
            <w:tcW w:w="2268" w:type="dxa"/>
          </w:tcPr>
          <w:p w:rsidR="0075777C" w:rsidRPr="00822C52" w:rsidRDefault="0075777C" w:rsidP="0086510D">
            <w:pPr>
              <w:pStyle w:val="Tabletext"/>
              <w:jc w:val="center"/>
              <w:rPr>
                <w:rFonts w:cs="Tahoma"/>
              </w:rPr>
            </w:pPr>
            <w:r w:rsidRPr="00822C52">
              <w:rPr>
                <w:rFonts w:cs="Tahoma"/>
              </w:rPr>
              <w:t>13/22 (</w:t>
            </w:r>
            <w:r>
              <w:rPr>
                <w:rFonts w:cs="Tahoma"/>
              </w:rPr>
              <w:t>5</w:t>
            </w:r>
            <w:r w:rsidRPr="00822C52">
              <w:rPr>
                <w:rFonts w:cs="Tahoma"/>
              </w:rPr>
              <w:t>9%)</w:t>
            </w:r>
          </w:p>
        </w:tc>
        <w:tc>
          <w:tcPr>
            <w:tcW w:w="1985" w:type="dxa"/>
          </w:tcPr>
          <w:p w:rsidR="0075777C" w:rsidRPr="00822C52" w:rsidRDefault="0075777C" w:rsidP="0086510D">
            <w:pPr>
              <w:pStyle w:val="Tabletext"/>
              <w:jc w:val="center"/>
              <w:rPr>
                <w:rFonts w:cs="Tahoma"/>
              </w:rPr>
            </w:pPr>
            <w:r w:rsidRPr="00822C52">
              <w:rPr>
                <w:rFonts w:cs="Tahoma"/>
              </w:rPr>
              <w:t>5/11 (46%)</w:t>
            </w:r>
          </w:p>
        </w:tc>
        <w:tc>
          <w:tcPr>
            <w:tcW w:w="1984" w:type="dxa"/>
          </w:tcPr>
          <w:p w:rsidR="0075777C" w:rsidRPr="00822C52" w:rsidRDefault="0075777C" w:rsidP="0086510D">
            <w:pPr>
              <w:pStyle w:val="Tabletext"/>
              <w:rPr>
                <w:rFonts w:cs="Tahoma"/>
              </w:rPr>
            </w:pPr>
            <w:r>
              <w:rPr>
                <w:rFonts w:cs="Tahoma"/>
              </w:rPr>
              <w:t>1.30 (0.62, 2.71)</w:t>
            </w:r>
          </w:p>
        </w:tc>
      </w:tr>
    </w:tbl>
    <w:p w:rsidR="0075777C" w:rsidRPr="00822C52" w:rsidRDefault="0075777C" w:rsidP="0086510D">
      <w:pPr>
        <w:pStyle w:val="Tablenote"/>
      </w:pPr>
      <w:r w:rsidRPr="00822C52">
        <w:t xml:space="preserve">CI = confidence interval; ERA = endothelin receptor antagonist; FC = functional class; n = number of events; N = number of patients; </w:t>
      </w:r>
      <w:r w:rsidRPr="00F5789C">
        <w:t xml:space="preserve">PAH = pulmonary arterial hypertension; </w:t>
      </w:r>
      <w:r w:rsidRPr="00822C52">
        <w:t>RR = relative risk; WHO = World Health Organization</w:t>
      </w:r>
    </w:p>
    <w:p w:rsidR="0075777C" w:rsidRPr="00822C52" w:rsidRDefault="007B6C7C" w:rsidP="0075777C">
      <w:pPr>
        <w:pStyle w:val="Heading5"/>
      </w:pPr>
      <w:r>
        <w:t>e</w:t>
      </w:r>
      <w:r w:rsidR="0077344D">
        <w:t>.</w:t>
      </w:r>
      <w:r>
        <w:tab/>
      </w:r>
      <w:r w:rsidR="0075777C" w:rsidRPr="00822C52">
        <w:t xml:space="preserve">Change in 6MWD from baseline </w:t>
      </w:r>
    </w:p>
    <w:p w:rsidR="0075777C" w:rsidRPr="00B607A5" w:rsidRDefault="007B6C7C" w:rsidP="0077344D">
      <w:pPr>
        <w:pStyle w:val="Heading6"/>
      </w:pPr>
      <w:r w:rsidRPr="00B607A5">
        <w:t>e</w:t>
      </w:r>
      <w:r w:rsidR="0075777C" w:rsidRPr="00B607A5">
        <w:t>.ii</w:t>
      </w:r>
      <w:r w:rsidR="0075777C" w:rsidRPr="00B607A5">
        <w:tab/>
        <w:t>PAH patients with FC III or IV</w:t>
      </w:r>
    </w:p>
    <w:p w:rsidR="0075777C" w:rsidRDefault="0075777C" w:rsidP="0075777C">
      <w:r>
        <w:t>Both RCTs reported on the change in 6MWD for patients receiving combination therapy compared to those on monotherapy (</w:t>
      </w:r>
      <w:r w:rsidR="00AA722D">
        <w:t>Table 4.</w:t>
      </w:r>
      <w:r w:rsidR="00AA722D">
        <w:rPr>
          <w:noProof/>
        </w:rPr>
        <w:t>57</w:t>
      </w:r>
      <w:r>
        <w:t>). For pa</w:t>
      </w:r>
      <w:r w:rsidR="00BE5CAB">
        <w:t>tients in the BREATHE-2 trial, t</w:t>
      </w:r>
      <w:r>
        <w:t xml:space="preserve">he mean (95% CI) </w:t>
      </w:r>
      <w:r>
        <w:lastRenderedPageBreak/>
        <w:t>6MWD at baseline for patients in the combination therapy and monotherapy groups was depicted as shown in</w:t>
      </w:r>
      <w:r w:rsidR="00887161">
        <w:t xml:space="preserve"> </w:t>
      </w:r>
      <w:r w:rsidR="00AA722D">
        <w:t>Figure 4.</w:t>
      </w:r>
      <w:r w:rsidR="00AA722D">
        <w:rPr>
          <w:noProof/>
        </w:rPr>
        <w:t>14</w:t>
      </w:r>
      <w:r>
        <w:t xml:space="preserve">. After 16 weeks, patients in the ERA plus </w:t>
      </w:r>
      <w:r w:rsidR="00887161">
        <w:t>prostanoid</w:t>
      </w:r>
      <w:r>
        <w:t xml:space="preserve"> treatment arm improved their 6MWD from baseline by a median of 68 m compared with a median of 74 m in the placebo plus </w:t>
      </w:r>
      <w:r w:rsidR="00887161">
        <w:t>prostanoid</w:t>
      </w:r>
      <w:r>
        <w:t xml:space="preserve"> group. This improvement was clinically important in both groups (see Section 4.</w:t>
      </w:r>
      <w:r w:rsidR="0002253F">
        <w:t>3.5</w:t>
      </w:r>
      <w:r>
        <w:t>), but the difference between groups was not statistically significant. The 6MWD performance in the combination therapy group was adversely affected by two patients who were assigned a 6MWD of 0</w:t>
      </w:r>
      <w:r w:rsidR="00B60655">
        <w:t> </w:t>
      </w:r>
      <w:r>
        <w:t>m.</w:t>
      </w:r>
    </w:p>
    <w:p w:rsidR="0075777C" w:rsidRDefault="0075777C" w:rsidP="0075777C">
      <w:r w:rsidRPr="00F604FE">
        <w:t>Han 2017</w:t>
      </w:r>
      <w:r w:rsidR="001D34EE" w:rsidRPr="001A1C44">
        <w:rPr>
          <w:noProof/>
          <w:vertAlign w:val="superscript"/>
        </w:rPr>
        <w:t>38</w:t>
      </w:r>
      <w:r>
        <w:t xml:space="preserve"> reported a large clinically important improvement in the combination therapy group (134</w:t>
      </w:r>
      <w:r w:rsidR="00B60655">
        <w:t> </w:t>
      </w:r>
      <w:r>
        <w:t>m), and a very small improvement in the monotherapy group (10</w:t>
      </w:r>
      <w:r w:rsidR="00B60655">
        <w:t> </w:t>
      </w:r>
      <w:r>
        <w:t xml:space="preserve">m). Thus, there was a clinically important and statistically significant improvement in 6MWD in the ERA plus </w:t>
      </w:r>
      <w:r w:rsidR="00887161">
        <w:t>prostanoid</w:t>
      </w:r>
      <w:r>
        <w:t xml:space="preserve"> combination therapy group compared with the </w:t>
      </w:r>
      <w:r w:rsidR="00887161">
        <w:t>prostanoid</w:t>
      </w:r>
      <w:r>
        <w:t xml:space="preserve"> monotherapy group.</w:t>
      </w:r>
    </w:p>
    <w:p w:rsidR="0075777C" w:rsidRDefault="00272F8F" w:rsidP="00BC5A2B">
      <w:pPr>
        <w:pStyle w:val="Caption"/>
      </w:pPr>
      <w:bookmarkStart w:id="185" w:name="_Ref505251960"/>
      <w:bookmarkStart w:id="186" w:name="_Toc512855461"/>
      <w:r>
        <w:t>Table 4.</w:t>
      </w:r>
      <w:r w:rsidR="00AA722D">
        <w:rPr>
          <w:noProof/>
        </w:rPr>
        <w:t>57</w:t>
      </w:r>
      <w:bookmarkEnd w:id="185"/>
      <w:r w:rsidR="00887161">
        <w:tab/>
      </w:r>
      <w:r w:rsidR="0075777C" w:rsidRPr="00A32D31">
        <w:t xml:space="preserve">The effectiveness of </w:t>
      </w:r>
      <w:r w:rsidR="00385078">
        <w:t xml:space="preserve">an </w:t>
      </w:r>
      <w:r w:rsidR="00385078" w:rsidRPr="00A32D31">
        <w:t xml:space="preserve">ERA </w:t>
      </w:r>
      <w:r w:rsidR="00385078">
        <w:t>in addition to</w:t>
      </w:r>
      <w:r w:rsidR="00385078" w:rsidRPr="00A32D31">
        <w:t xml:space="preserve"> </w:t>
      </w:r>
      <w:r w:rsidR="00385078">
        <w:t xml:space="preserve">a </w:t>
      </w:r>
      <w:r w:rsidR="00385078" w:rsidRPr="00DD7790">
        <w:t>prostanoid compared with prostanoid</w:t>
      </w:r>
      <w:r w:rsidR="00385078">
        <w:t xml:space="preserve"> monotherapy</w:t>
      </w:r>
      <w:r w:rsidR="00385078" w:rsidRPr="00DD7790">
        <w:t xml:space="preserve"> </w:t>
      </w:r>
      <w:r w:rsidR="0075777C" w:rsidRPr="00A32D31">
        <w:t>in improving 6MWD in all patients with WHO FC III/IV PAH</w:t>
      </w:r>
      <w:bookmarkEnd w:id="186"/>
    </w:p>
    <w:tbl>
      <w:tblPr>
        <w:tblStyle w:val="TableGrid"/>
        <w:tblW w:w="9634" w:type="dxa"/>
        <w:tblLayout w:type="fixed"/>
        <w:tblLook w:val="04A0" w:firstRow="1" w:lastRow="0" w:firstColumn="1" w:lastColumn="0" w:noHBand="0" w:noVBand="1"/>
        <w:tblCaption w:val="The effectiveness of an ERA in addition to a prostanoid compared with prostanoid monotherapy in improving 6MWD in all patients with WHO FC III/IV PAH"/>
      </w:tblPr>
      <w:tblGrid>
        <w:gridCol w:w="1696"/>
        <w:gridCol w:w="1134"/>
        <w:gridCol w:w="1418"/>
        <w:gridCol w:w="1134"/>
        <w:gridCol w:w="1559"/>
        <w:gridCol w:w="1276"/>
        <w:gridCol w:w="1417"/>
      </w:tblGrid>
      <w:tr w:rsidR="0075777C" w:rsidTr="00EF4CF6">
        <w:trPr>
          <w:cnfStyle w:val="100000000000" w:firstRow="1" w:lastRow="0" w:firstColumn="0" w:lastColumn="0" w:oddVBand="0" w:evenVBand="0" w:oddHBand="0" w:evenHBand="0" w:firstRowFirstColumn="0" w:firstRowLastColumn="0" w:lastRowFirstColumn="0" w:lastRowLastColumn="0"/>
        </w:trPr>
        <w:tc>
          <w:tcPr>
            <w:tcW w:w="1696" w:type="dxa"/>
            <w:vMerge w:val="restart"/>
            <w:shd w:val="clear" w:color="auto" w:fill="BFBFBF" w:themeFill="background1" w:themeFillShade="BF"/>
          </w:tcPr>
          <w:p w:rsidR="0075777C" w:rsidRPr="00887161" w:rsidRDefault="0075777C" w:rsidP="00887161">
            <w:pPr>
              <w:pStyle w:val="Tabletext"/>
              <w:rPr>
                <w:b/>
              </w:rPr>
            </w:pPr>
            <w:r w:rsidRPr="00887161">
              <w:rPr>
                <w:b/>
              </w:rPr>
              <w:t>Study ID</w:t>
            </w:r>
          </w:p>
          <w:p w:rsidR="0075777C" w:rsidRPr="00887161" w:rsidRDefault="0075777C" w:rsidP="00887161">
            <w:pPr>
              <w:pStyle w:val="Tabletext"/>
              <w:rPr>
                <w:b/>
              </w:rPr>
            </w:pPr>
            <w:r w:rsidRPr="00887161">
              <w:rPr>
                <w:b/>
              </w:rPr>
              <w:t xml:space="preserve">ERA/ </w:t>
            </w:r>
            <w:r w:rsidR="00887161" w:rsidRPr="00887161">
              <w:rPr>
                <w:b/>
              </w:rPr>
              <w:t>prostanoid</w:t>
            </w:r>
          </w:p>
        </w:tc>
        <w:tc>
          <w:tcPr>
            <w:tcW w:w="1134" w:type="dxa"/>
            <w:vMerge w:val="restart"/>
            <w:shd w:val="clear" w:color="auto" w:fill="BFBFBF" w:themeFill="background1" w:themeFillShade="BF"/>
          </w:tcPr>
          <w:p w:rsidR="0075777C" w:rsidRPr="00887161" w:rsidRDefault="0075777C" w:rsidP="00887161">
            <w:pPr>
              <w:pStyle w:val="Tabletext"/>
              <w:rPr>
                <w:b/>
              </w:rPr>
            </w:pPr>
            <w:r w:rsidRPr="00887161">
              <w:rPr>
                <w:b/>
              </w:rPr>
              <w:t>N</w:t>
            </w:r>
          </w:p>
          <w:p w:rsidR="0075777C" w:rsidRPr="00887161" w:rsidRDefault="0075777C" w:rsidP="00887161">
            <w:pPr>
              <w:pStyle w:val="Tabletext"/>
              <w:rPr>
                <w:b/>
              </w:rPr>
            </w:pPr>
            <w:r w:rsidRPr="00887161">
              <w:rPr>
                <w:b/>
              </w:rPr>
              <w:t>Time point</w:t>
            </w:r>
          </w:p>
        </w:tc>
        <w:tc>
          <w:tcPr>
            <w:tcW w:w="2552" w:type="dxa"/>
            <w:gridSpan w:val="2"/>
            <w:shd w:val="clear" w:color="auto" w:fill="BFBFBF" w:themeFill="background1" w:themeFillShade="BF"/>
          </w:tcPr>
          <w:p w:rsidR="0075777C" w:rsidRPr="00887161" w:rsidRDefault="00AE77DC" w:rsidP="00AE77DC">
            <w:pPr>
              <w:pStyle w:val="Tabletext"/>
              <w:jc w:val="center"/>
              <w:rPr>
                <w:b/>
              </w:rPr>
            </w:pPr>
            <w:r>
              <w:rPr>
                <w:b/>
              </w:rPr>
              <w:t>Mean ± SD b</w:t>
            </w:r>
            <w:r w:rsidR="0075777C" w:rsidRPr="00887161">
              <w:rPr>
                <w:b/>
              </w:rPr>
              <w:t>aseline</w:t>
            </w:r>
            <w:r>
              <w:rPr>
                <w:b/>
              </w:rPr>
              <w:t xml:space="preserve"> 6MWD</w:t>
            </w:r>
            <w:r w:rsidR="0075777C" w:rsidRPr="00887161">
              <w:rPr>
                <w:b/>
              </w:rPr>
              <w:t>, met</w:t>
            </w:r>
            <w:r w:rsidR="00EC2524">
              <w:rPr>
                <w:b/>
              </w:rPr>
              <w:t>e</w:t>
            </w:r>
            <w:r w:rsidR="0075777C" w:rsidRPr="00887161">
              <w:rPr>
                <w:b/>
              </w:rPr>
              <w:t>rs</w:t>
            </w:r>
          </w:p>
        </w:tc>
        <w:tc>
          <w:tcPr>
            <w:tcW w:w="2835" w:type="dxa"/>
            <w:gridSpan w:val="2"/>
            <w:shd w:val="clear" w:color="auto" w:fill="BFBFBF" w:themeFill="background1" w:themeFillShade="BF"/>
          </w:tcPr>
          <w:p w:rsidR="0075777C" w:rsidRPr="00887161" w:rsidRDefault="00AE77DC" w:rsidP="00AE77DC">
            <w:pPr>
              <w:pStyle w:val="Tabletext"/>
              <w:jc w:val="center"/>
              <w:rPr>
                <w:b/>
              </w:rPr>
            </w:pPr>
            <w:r>
              <w:rPr>
                <w:b/>
              </w:rPr>
              <w:t>Median/m</w:t>
            </w:r>
            <w:r w:rsidR="0075777C" w:rsidRPr="00887161">
              <w:rPr>
                <w:b/>
              </w:rPr>
              <w:t>ean ± SD c</w:t>
            </w:r>
            <w:r w:rsidR="0075777C" w:rsidRPr="00887161">
              <w:rPr>
                <w:rFonts w:asciiTheme="minorHAnsi" w:hAnsiTheme="minorHAnsi"/>
                <w:b/>
              </w:rPr>
              <w:t>hange from baseline,</w:t>
            </w:r>
            <w:r w:rsidR="0075777C" w:rsidRPr="00887161">
              <w:rPr>
                <w:b/>
              </w:rPr>
              <w:t xml:space="preserve"> </w:t>
            </w:r>
            <w:r w:rsidR="00EC2524" w:rsidRPr="00EC2524">
              <w:rPr>
                <w:b/>
              </w:rPr>
              <w:t>meters</w:t>
            </w:r>
          </w:p>
        </w:tc>
        <w:tc>
          <w:tcPr>
            <w:tcW w:w="1417" w:type="dxa"/>
            <w:vMerge w:val="restart"/>
            <w:shd w:val="clear" w:color="auto" w:fill="BFBFBF" w:themeFill="background1" w:themeFillShade="BF"/>
          </w:tcPr>
          <w:p w:rsidR="0075777C" w:rsidRPr="00887161" w:rsidRDefault="00AE77DC" w:rsidP="00C30B1C">
            <w:pPr>
              <w:pStyle w:val="Tabletext"/>
              <w:rPr>
                <w:b/>
              </w:rPr>
            </w:pPr>
            <w:r>
              <w:rPr>
                <w:rFonts w:asciiTheme="minorHAnsi" w:hAnsiTheme="minorHAnsi"/>
                <w:b/>
              </w:rPr>
              <w:t>Median/m</w:t>
            </w:r>
            <w:r w:rsidR="0075777C" w:rsidRPr="00887161">
              <w:rPr>
                <w:rFonts w:asciiTheme="minorHAnsi" w:hAnsiTheme="minorHAnsi"/>
                <w:b/>
              </w:rPr>
              <w:t>ean difference</w:t>
            </w:r>
            <w:r w:rsidR="0075777C" w:rsidRPr="00887161">
              <w:rPr>
                <w:b/>
              </w:rPr>
              <w:t xml:space="preserve">, </w:t>
            </w:r>
            <w:r w:rsidR="00EC2524" w:rsidRPr="00EC2524">
              <w:rPr>
                <w:b/>
              </w:rPr>
              <w:t xml:space="preserve">meters </w:t>
            </w:r>
          </w:p>
        </w:tc>
      </w:tr>
      <w:tr w:rsidR="0075777C" w:rsidTr="00EF4CF6">
        <w:tc>
          <w:tcPr>
            <w:tcW w:w="1696" w:type="dxa"/>
            <w:vMerge/>
          </w:tcPr>
          <w:p w:rsidR="0075777C" w:rsidRDefault="0075777C" w:rsidP="00887161">
            <w:pPr>
              <w:pStyle w:val="Tabletext"/>
            </w:pPr>
          </w:p>
        </w:tc>
        <w:tc>
          <w:tcPr>
            <w:tcW w:w="1134" w:type="dxa"/>
            <w:vMerge/>
          </w:tcPr>
          <w:p w:rsidR="0075777C" w:rsidRDefault="0075777C" w:rsidP="00887161">
            <w:pPr>
              <w:pStyle w:val="Tabletext"/>
            </w:pPr>
          </w:p>
        </w:tc>
        <w:tc>
          <w:tcPr>
            <w:tcW w:w="1418" w:type="dxa"/>
            <w:shd w:val="clear" w:color="auto" w:fill="BFBFBF" w:themeFill="background1" w:themeFillShade="BF"/>
          </w:tcPr>
          <w:p w:rsidR="0075777C" w:rsidRPr="00887161" w:rsidRDefault="0075777C" w:rsidP="00AE77DC">
            <w:pPr>
              <w:pStyle w:val="Tabletext"/>
              <w:jc w:val="center"/>
              <w:rPr>
                <w:b/>
              </w:rPr>
            </w:pPr>
            <w:r w:rsidRPr="00887161">
              <w:rPr>
                <w:b/>
              </w:rPr>
              <w:t xml:space="preserve">ERA + </w:t>
            </w:r>
            <w:r w:rsidR="00887161" w:rsidRPr="00887161">
              <w:rPr>
                <w:b/>
              </w:rPr>
              <w:t>prostanoid</w:t>
            </w:r>
          </w:p>
        </w:tc>
        <w:tc>
          <w:tcPr>
            <w:tcW w:w="1134" w:type="dxa"/>
            <w:shd w:val="clear" w:color="auto" w:fill="BFBFBF" w:themeFill="background1" w:themeFillShade="BF"/>
          </w:tcPr>
          <w:p w:rsidR="0075777C" w:rsidRPr="00887161" w:rsidRDefault="0075777C" w:rsidP="00EF4CF6">
            <w:pPr>
              <w:pStyle w:val="Tabletext"/>
              <w:jc w:val="center"/>
              <w:rPr>
                <w:b/>
              </w:rPr>
            </w:pPr>
            <w:r w:rsidRPr="00887161">
              <w:rPr>
                <w:rFonts w:asciiTheme="minorHAnsi" w:hAnsiTheme="minorHAnsi"/>
                <w:b/>
              </w:rPr>
              <w:t>P</w:t>
            </w:r>
            <w:r w:rsidR="00887161" w:rsidRPr="00887161">
              <w:rPr>
                <w:rFonts w:asciiTheme="minorHAnsi" w:hAnsiTheme="minorHAnsi"/>
                <w:b/>
              </w:rPr>
              <w:t>rostanoid</w:t>
            </w:r>
          </w:p>
        </w:tc>
        <w:tc>
          <w:tcPr>
            <w:tcW w:w="1559" w:type="dxa"/>
            <w:shd w:val="clear" w:color="auto" w:fill="BFBFBF" w:themeFill="background1" w:themeFillShade="BF"/>
          </w:tcPr>
          <w:p w:rsidR="0075777C" w:rsidRPr="00887161" w:rsidRDefault="0075777C" w:rsidP="00AE77DC">
            <w:pPr>
              <w:pStyle w:val="Tabletext"/>
              <w:jc w:val="center"/>
              <w:rPr>
                <w:b/>
              </w:rPr>
            </w:pPr>
            <w:r w:rsidRPr="00887161">
              <w:rPr>
                <w:b/>
              </w:rPr>
              <w:t xml:space="preserve">ERA + </w:t>
            </w:r>
            <w:r w:rsidR="00887161" w:rsidRPr="00887161">
              <w:rPr>
                <w:b/>
              </w:rPr>
              <w:t>prostanoid</w:t>
            </w:r>
          </w:p>
        </w:tc>
        <w:tc>
          <w:tcPr>
            <w:tcW w:w="1276" w:type="dxa"/>
            <w:shd w:val="clear" w:color="auto" w:fill="BFBFBF" w:themeFill="background1" w:themeFillShade="BF"/>
          </w:tcPr>
          <w:p w:rsidR="0075777C" w:rsidRPr="00887161" w:rsidRDefault="0075777C" w:rsidP="00EF4CF6">
            <w:pPr>
              <w:pStyle w:val="Tabletext"/>
              <w:jc w:val="center"/>
              <w:rPr>
                <w:b/>
              </w:rPr>
            </w:pPr>
            <w:r w:rsidRPr="00887161">
              <w:rPr>
                <w:rFonts w:asciiTheme="minorHAnsi" w:hAnsiTheme="minorHAnsi"/>
                <w:b/>
              </w:rPr>
              <w:t>P</w:t>
            </w:r>
            <w:r w:rsidR="00887161" w:rsidRPr="00887161">
              <w:rPr>
                <w:rFonts w:asciiTheme="minorHAnsi" w:hAnsiTheme="minorHAnsi"/>
                <w:b/>
              </w:rPr>
              <w:t>rostanoid</w:t>
            </w:r>
          </w:p>
        </w:tc>
        <w:tc>
          <w:tcPr>
            <w:tcW w:w="1417" w:type="dxa"/>
            <w:vMerge/>
          </w:tcPr>
          <w:p w:rsidR="0075777C" w:rsidRDefault="0075777C" w:rsidP="00887161">
            <w:pPr>
              <w:pStyle w:val="Tabletext"/>
            </w:pPr>
          </w:p>
        </w:tc>
      </w:tr>
      <w:tr w:rsidR="0075777C" w:rsidTr="00EF4CF6">
        <w:tc>
          <w:tcPr>
            <w:tcW w:w="1696" w:type="dxa"/>
          </w:tcPr>
          <w:p w:rsidR="0075777C" w:rsidRPr="00822C52" w:rsidRDefault="0075777C" w:rsidP="00887161">
            <w:pPr>
              <w:pStyle w:val="Tabletext"/>
              <w:rPr>
                <w:rFonts w:cs="Tahoma"/>
              </w:rPr>
            </w:pPr>
            <w:r w:rsidRPr="00822C52">
              <w:rPr>
                <w:rFonts w:cs="Tahoma"/>
              </w:rPr>
              <w:t>BREATHE-2</w:t>
            </w:r>
            <w:r w:rsidR="001D34EE" w:rsidRPr="001A1C44">
              <w:rPr>
                <w:rFonts w:cs="Tahoma"/>
                <w:noProof/>
                <w:vertAlign w:val="superscript"/>
              </w:rPr>
              <w:t>35</w:t>
            </w:r>
          </w:p>
          <w:p w:rsidR="0075777C" w:rsidRDefault="00887161" w:rsidP="00887161">
            <w:pPr>
              <w:pStyle w:val="Tabletext"/>
            </w:pPr>
            <w:r>
              <w:rPr>
                <w:rFonts w:cs="Tahoma"/>
              </w:rPr>
              <w:t>Bosentan/</w:t>
            </w:r>
            <w:r w:rsidR="0075777C" w:rsidRPr="00822C52">
              <w:rPr>
                <w:rFonts w:cs="Tahoma"/>
              </w:rPr>
              <w:t>epoprostenol</w:t>
            </w:r>
          </w:p>
        </w:tc>
        <w:tc>
          <w:tcPr>
            <w:tcW w:w="1134" w:type="dxa"/>
          </w:tcPr>
          <w:p w:rsidR="0075777C" w:rsidRPr="00822C52" w:rsidRDefault="0075777C" w:rsidP="00887161">
            <w:pPr>
              <w:pStyle w:val="Tabletext"/>
              <w:rPr>
                <w:rFonts w:cs="Tahoma"/>
              </w:rPr>
            </w:pPr>
            <w:r w:rsidRPr="00822C52">
              <w:rPr>
                <w:rFonts w:cs="Tahoma"/>
              </w:rPr>
              <w:t>N=</w:t>
            </w:r>
            <w:r w:rsidR="006776D2">
              <w:rPr>
                <w:rFonts w:cs="Tahoma"/>
              </w:rPr>
              <w:t>33</w:t>
            </w:r>
          </w:p>
          <w:p w:rsidR="0075777C" w:rsidRDefault="0075777C" w:rsidP="00887161">
            <w:pPr>
              <w:pStyle w:val="Tabletext"/>
            </w:pPr>
            <w:r w:rsidRPr="00822C52">
              <w:rPr>
                <w:rFonts w:cs="Tahoma"/>
              </w:rPr>
              <w:t>16 weeks</w:t>
            </w:r>
          </w:p>
        </w:tc>
        <w:tc>
          <w:tcPr>
            <w:tcW w:w="1418" w:type="dxa"/>
          </w:tcPr>
          <w:p w:rsidR="0075777C" w:rsidRDefault="0075777C" w:rsidP="00AE77DC">
            <w:pPr>
              <w:pStyle w:val="Tabletext"/>
              <w:jc w:val="center"/>
            </w:pPr>
            <w:r w:rsidRPr="00822C52">
              <w:rPr>
                <w:rFonts w:cs="Tahoma"/>
              </w:rPr>
              <w:t>NR</w:t>
            </w:r>
          </w:p>
        </w:tc>
        <w:tc>
          <w:tcPr>
            <w:tcW w:w="1134" w:type="dxa"/>
          </w:tcPr>
          <w:p w:rsidR="0075777C" w:rsidRDefault="0075777C" w:rsidP="00AE77DC">
            <w:pPr>
              <w:pStyle w:val="Tabletext"/>
              <w:jc w:val="center"/>
            </w:pPr>
            <w:r w:rsidRPr="00822C52">
              <w:rPr>
                <w:rFonts w:cs="Tahoma"/>
              </w:rPr>
              <w:t>NR</w:t>
            </w:r>
          </w:p>
        </w:tc>
        <w:tc>
          <w:tcPr>
            <w:tcW w:w="1559" w:type="dxa"/>
          </w:tcPr>
          <w:p w:rsidR="0075777C" w:rsidRDefault="0075777C" w:rsidP="00AE77DC">
            <w:pPr>
              <w:pStyle w:val="Tabletext"/>
              <w:jc w:val="center"/>
            </w:pPr>
            <w:r>
              <w:rPr>
                <w:rFonts w:cs="Tahoma"/>
              </w:rPr>
              <w:t xml:space="preserve">Median = </w:t>
            </w:r>
            <w:r w:rsidRPr="00822C52">
              <w:rPr>
                <w:rFonts w:cs="Tahoma"/>
              </w:rPr>
              <w:t>68</w:t>
            </w:r>
          </w:p>
        </w:tc>
        <w:tc>
          <w:tcPr>
            <w:tcW w:w="1276" w:type="dxa"/>
          </w:tcPr>
          <w:p w:rsidR="0075777C" w:rsidRDefault="0075777C" w:rsidP="00AE77DC">
            <w:pPr>
              <w:pStyle w:val="Tabletext"/>
              <w:jc w:val="center"/>
            </w:pPr>
            <w:r>
              <w:rPr>
                <w:rFonts w:cs="Tahoma"/>
              </w:rPr>
              <w:t xml:space="preserve">Median = </w:t>
            </w:r>
            <w:r w:rsidRPr="00822C52">
              <w:rPr>
                <w:rFonts w:cs="Tahoma"/>
              </w:rPr>
              <w:t>74</w:t>
            </w:r>
          </w:p>
        </w:tc>
        <w:tc>
          <w:tcPr>
            <w:tcW w:w="1417" w:type="dxa"/>
          </w:tcPr>
          <w:p w:rsidR="0075777C" w:rsidRDefault="00AE77DC" w:rsidP="00AE77DC">
            <w:pPr>
              <w:pStyle w:val="Tabletext"/>
            </w:pPr>
            <w:r>
              <w:rPr>
                <w:rFonts w:cs="Tahoma"/>
              </w:rPr>
              <w:t>Median = −</w:t>
            </w:r>
            <w:r w:rsidR="0075777C" w:rsidRPr="00822C52">
              <w:rPr>
                <w:rFonts w:cs="Tahoma"/>
              </w:rPr>
              <w:t>6, NS</w:t>
            </w:r>
          </w:p>
        </w:tc>
      </w:tr>
      <w:tr w:rsidR="0075777C" w:rsidTr="00EF4CF6">
        <w:tc>
          <w:tcPr>
            <w:tcW w:w="1696" w:type="dxa"/>
          </w:tcPr>
          <w:p w:rsidR="0075777C" w:rsidRPr="0094293D" w:rsidRDefault="0075777C" w:rsidP="0094293D">
            <w:pPr>
              <w:pStyle w:val="Tabletext"/>
            </w:pPr>
            <w:r w:rsidRPr="0094293D">
              <w:t>Han 2017</w:t>
            </w:r>
            <w:r w:rsidR="001D34EE" w:rsidRPr="001A1C44">
              <w:rPr>
                <w:noProof/>
                <w:vertAlign w:val="superscript"/>
              </w:rPr>
              <w:t>38</w:t>
            </w:r>
            <w:r w:rsidRPr="0094293D">
              <w:t xml:space="preserve"> </w:t>
            </w:r>
            <w:r w:rsidRPr="00880228">
              <w:rPr>
                <w:vertAlign w:val="superscript"/>
              </w:rPr>
              <w:t>a</w:t>
            </w:r>
          </w:p>
          <w:p w:rsidR="0075777C" w:rsidRPr="0094293D" w:rsidRDefault="0075777C" w:rsidP="0094293D">
            <w:pPr>
              <w:pStyle w:val="Tabletext"/>
            </w:pPr>
            <w:r w:rsidRPr="0094293D">
              <w:t>Bosentan/iloprost</w:t>
            </w:r>
          </w:p>
        </w:tc>
        <w:tc>
          <w:tcPr>
            <w:tcW w:w="1134" w:type="dxa"/>
          </w:tcPr>
          <w:p w:rsidR="0075777C" w:rsidRPr="0094293D" w:rsidRDefault="0075777C" w:rsidP="0094293D">
            <w:pPr>
              <w:pStyle w:val="Tabletext"/>
            </w:pPr>
            <w:r w:rsidRPr="0094293D">
              <w:t>N=14</w:t>
            </w:r>
          </w:p>
          <w:p w:rsidR="0075777C" w:rsidRPr="0094293D" w:rsidRDefault="0075777C" w:rsidP="0094293D">
            <w:pPr>
              <w:pStyle w:val="Tabletext"/>
            </w:pPr>
            <w:r w:rsidRPr="0094293D">
              <w:t>12 weeks</w:t>
            </w:r>
          </w:p>
        </w:tc>
        <w:tc>
          <w:tcPr>
            <w:tcW w:w="1418" w:type="dxa"/>
          </w:tcPr>
          <w:p w:rsidR="0075777C" w:rsidRPr="0094293D" w:rsidRDefault="0075777C" w:rsidP="00AE77DC">
            <w:pPr>
              <w:pStyle w:val="Tabletext"/>
              <w:jc w:val="center"/>
            </w:pPr>
            <w:r w:rsidRPr="0094293D">
              <w:t>300.3 ± 36.2</w:t>
            </w:r>
          </w:p>
        </w:tc>
        <w:tc>
          <w:tcPr>
            <w:tcW w:w="1134" w:type="dxa"/>
          </w:tcPr>
          <w:p w:rsidR="0075777C" w:rsidRPr="0094293D" w:rsidRDefault="0075777C" w:rsidP="00AE77DC">
            <w:pPr>
              <w:pStyle w:val="Tabletext"/>
              <w:jc w:val="center"/>
            </w:pPr>
            <w:r w:rsidRPr="0094293D">
              <w:t>330.8 ± 37.1</w:t>
            </w:r>
          </w:p>
        </w:tc>
        <w:tc>
          <w:tcPr>
            <w:tcW w:w="1559" w:type="dxa"/>
          </w:tcPr>
          <w:p w:rsidR="0075777C" w:rsidRPr="0094293D" w:rsidRDefault="0075777C" w:rsidP="00AE77DC">
            <w:pPr>
              <w:pStyle w:val="Tabletext"/>
              <w:jc w:val="center"/>
            </w:pPr>
            <w:r w:rsidRPr="0094293D">
              <w:t>133.8 ± 25.6</w:t>
            </w:r>
          </w:p>
        </w:tc>
        <w:tc>
          <w:tcPr>
            <w:tcW w:w="1276" w:type="dxa"/>
          </w:tcPr>
          <w:p w:rsidR="0075777C" w:rsidRPr="0094293D" w:rsidRDefault="0075777C" w:rsidP="00AE77DC">
            <w:pPr>
              <w:pStyle w:val="Tabletext"/>
              <w:jc w:val="center"/>
            </w:pPr>
            <w:r w:rsidRPr="0094293D">
              <w:t>10.2 ± 20.0</w:t>
            </w:r>
          </w:p>
        </w:tc>
        <w:tc>
          <w:tcPr>
            <w:tcW w:w="1417" w:type="dxa"/>
          </w:tcPr>
          <w:p w:rsidR="0075777C" w:rsidRPr="0094293D" w:rsidRDefault="0075777C" w:rsidP="0094293D">
            <w:pPr>
              <w:pStyle w:val="Tabletext"/>
            </w:pPr>
            <w:r w:rsidRPr="0094293D">
              <w:t>123.6, p&lt;0.001</w:t>
            </w:r>
          </w:p>
        </w:tc>
      </w:tr>
    </w:tbl>
    <w:p w:rsidR="0075777C" w:rsidRPr="00822C52" w:rsidRDefault="0075777C" w:rsidP="00887161">
      <w:pPr>
        <w:pStyle w:val="Tablenote"/>
      </w:pPr>
      <w:r w:rsidRPr="00DE3429">
        <w:rPr>
          <w:vertAlign w:val="superscript"/>
        </w:rPr>
        <w:t>a</w:t>
      </w:r>
      <w:r w:rsidRPr="00822C52">
        <w:t xml:space="preserve"> 1 patient (12.5%) in the ERA + </w:t>
      </w:r>
      <w:r w:rsidR="00887161" w:rsidRPr="00822C52">
        <w:t>prostanoid</w:t>
      </w:r>
      <w:r w:rsidRPr="00822C52">
        <w:t xml:space="preserve"> group had CTEPH.</w:t>
      </w:r>
    </w:p>
    <w:p w:rsidR="0075777C" w:rsidRPr="00822C52" w:rsidRDefault="0075777C" w:rsidP="00887161">
      <w:pPr>
        <w:pStyle w:val="Tablenote"/>
      </w:pPr>
      <w:r w:rsidRPr="00F5789C">
        <w:t xml:space="preserve">6MWD = 6-minute </w:t>
      </w:r>
      <w:r w:rsidR="0082368E">
        <w:t>walk distance</w:t>
      </w:r>
      <w:r w:rsidRPr="00F5789C">
        <w:t xml:space="preserve">; </w:t>
      </w:r>
      <w:r>
        <w:t>CTEPH = c</w:t>
      </w:r>
      <w:r w:rsidRPr="00DE3429">
        <w:t xml:space="preserve">hronic </w:t>
      </w:r>
      <w:r>
        <w:t>t</w:t>
      </w:r>
      <w:r w:rsidRPr="00DE3429">
        <w:t xml:space="preserve">hromboembolic </w:t>
      </w:r>
      <w:r>
        <w:t>p</w:t>
      </w:r>
      <w:r w:rsidRPr="00DE3429">
        <w:t xml:space="preserve">ulmonary </w:t>
      </w:r>
      <w:r>
        <w:t>h</w:t>
      </w:r>
      <w:r w:rsidRPr="00DE3429">
        <w:t>ypertension</w:t>
      </w:r>
      <w:r>
        <w:t>;</w:t>
      </w:r>
      <w:r w:rsidRPr="00DE3429">
        <w:t xml:space="preserve"> </w:t>
      </w:r>
      <w:r w:rsidRPr="00822C52">
        <w:t xml:space="preserve">ERA = endothelin receptor antagonist; </w:t>
      </w:r>
      <w:r>
        <w:t xml:space="preserve">FC = functional class; </w:t>
      </w:r>
      <w:r w:rsidRPr="00822C52">
        <w:t>N = number of patients; NR = not reported; NS = not significant</w:t>
      </w:r>
      <w:r>
        <w:t xml:space="preserve">; </w:t>
      </w:r>
      <w:r w:rsidRPr="00F5789C">
        <w:t xml:space="preserve">PAH = </w:t>
      </w:r>
      <w:r>
        <w:t>pulmonary arterial hypertension</w:t>
      </w:r>
      <w:r w:rsidRPr="00822C52">
        <w:t xml:space="preserve">; </w:t>
      </w:r>
      <w:r>
        <w:t xml:space="preserve">SD = standard deviation; </w:t>
      </w:r>
      <w:r w:rsidRPr="00822C52">
        <w:t>WHO = World Health Organization</w:t>
      </w:r>
    </w:p>
    <w:p w:rsidR="0075777C" w:rsidRPr="00822C52" w:rsidRDefault="0075777C" w:rsidP="00887161">
      <w:pPr>
        <w:spacing w:after="40" w:line="240" w:lineRule="auto"/>
        <w:jc w:val="center"/>
      </w:pPr>
      <w:r>
        <w:rPr>
          <w:noProof/>
          <w:lang w:eastAsia="en-AU"/>
        </w:rPr>
        <w:drawing>
          <wp:inline distT="0" distB="0" distL="0" distR="0" wp14:anchorId="238EBF5C" wp14:editId="364FFE52">
            <wp:extent cx="5700072" cy="1678674"/>
            <wp:effectExtent l="0" t="0" r="0" b="0"/>
            <wp:docPr id="5" name="Picture 5" descr="Results showed that both treatment groups attained increase in 6MWD at Week 16. " title="The mean (95% CI) 6MWD at baseline (a) and median (95% CI) at 16 weeks (b) in the BREATHE-2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80959" cy="1702495"/>
                    </a:xfrm>
                    <a:prstGeom prst="rect">
                      <a:avLst/>
                    </a:prstGeom>
                    <a:noFill/>
                  </pic:spPr>
                </pic:pic>
              </a:graphicData>
            </a:graphic>
          </wp:inline>
        </w:drawing>
      </w:r>
    </w:p>
    <w:p w:rsidR="0075777C" w:rsidRDefault="00887161" w:rsidP="00BC5A2B">
      <w:pPr>
        <w:pStyle w:val="Caption"/>
      </w:pPr>
      <w:bookmarkStart w:id="187" w:name="_Ref506302329"/>
      <w:bookmarkStart w:id="188" w:name="_Toc512855587"/>
      <w:r>
        <w:t>Figure 4.</w:t>
      </w:r>
      <w:r w:rsidR="00AA722D">
        <w:rPr>
          <w:noProof/>
        </w:rPr>
        <w:t>14</w:t>
      </w:r>
      <w:bookmarkEnd w:id="187"/>
      <w:r>
        <w:tab/>
      </w:r>
      <w:r w:rsidR="0075777C">
        <w:rPr>
          <w:noProof/>
        </w:rPr>
        <w:t>The mean (95% CI) 6MWD at baseline (a) and median (95% CI) at 16 weeks (b) in the BREATHE-2 trial</w:t>
      </w:r>
      <w:bookmarkEnd w:id="188"/>
    </w:p>
    <w:p w:rsidR="00B65826" w:rsidRDefault="00B65826" w:rsidP="00B65826">
      <w:pPr>
        <w:pStyle w:val="Tablenote"/>
      </w:pPr>
      <w:r w:rsidRPr="00B65826">
        <w:t>a)</w:t>
      </w:r>
      <w:r>
        <w:t xml:space="preserve"> Baseline; b) Change from baseline at Week 16</w:t>
      </w:r>
    </w:p>
    <w:p w:rsidR="00AD3645" w:rsidRPr="00F5789C" w:rsidRDefault="00AD3645" w:rsidP="00AD3645">
      <w:pPr>
        <w:pStyle w:val="Tablenote"/>
      </w:pPr>
      <w:r w:rsidRPr="00F5789C">
        <w:t xml:space="preserve">6MWD = 6-minute </w:t>
      </w:r>
      <w:r>
        <w:t>walk distance</w:t>
      </w:r>
      <w:r w:rsidRPr="00F5789C">
        <w:t xml:space="preserve">; </w:t>
      </w:r>
      <w:r>
        <w:t xml:space="preserve">m = </w:t>
      </w:r>
      <w:r w:rsidRPr="00EC2524">
        <w:t>meters</w:t>
      </w:r>
    </w:p>
    <w:p w:rsidR="0075777C" w:rsidRDefault="0075777C" w:rsidP="00887161">
      <w:pPr>
        <w:pStyle w:val="Tablenote"/>
      </w:pPr>
      <w:r>
        <w:t>Source: Humbert et al (2004)</w:t>
      </w:r>
      <w:r w:rsidR="001D34EE" w:rsidRPr="001A1C44">
        <w:rPr>
          <w:noProof/>
          <w:vertAlign w:val="superscript"/>
        </w:rPr>
        <w:t>35</w:t>
      </w:r>
    </w:p>
    <w:p w:rsidR="0075777C" w:rsidRPr="00822C52" w:rsidRDefault="007B6C7C" w:rsidP="0075777C">
      <w:pPr>
        <w:pStyle w:val="Heading5"/>
      </w:pPr>
      <w:r>
        <w:lastRenderedPageBreak/>
        <w:t>f</w:t>
      </w:r>
      <w:r w:rsidR="0077344D">
        <w:t>.</w:t>
      </w:r>
      <w:r>
        <w:tab/>
        <w:t xml:space="preserve">Change in </w:t>
      </w:r>
      <w:r w:rsidR="0075777C" w:rsidRPr="00822C52">
        <w:t>Qo</w:t>
      </w:r>
      <w:r>
        <w:t>L from baseline</w:t>
      </w:r>
    </w:p>
    <w:p w:rsidR="0075777C" w:rsidRPr="00B607A5" w:rsidRDefault="007B6C7C" w:rsidP="0077344D">
      <w:pPr>
        <w:pStyle w:val="Heading6"/>
      </w:pPr>
      <w:r w:rsidRPr="00B607A5">
        <w:t>f</w:t>
      </w:r>
      <w:r w:rsidR="0075777C" w:rsidRPr="00B607A5">
        <w:t>.ii</w:t>
      </w:r>
      <w:r w:rsidR="0075777C" w:rsidRPr="00B607A5">
        <w:tab/>
        <w:t>PAH patients with FC III or IV</w:t>
      </w:r>
    </w:p>
    <w:p w:rsidR="0075777C" w:rsidRDefault="0075777C" w:rsidP="0075777C">
      <w:r w:rsidRPr="00B20DEA">
        <w:t xml:space="preserve">Han </w:t>
      </w:r>
      <w:r>
        <w:t>et al (</w:t>
      </w:r>
      <w:r w:rsidRPr="00B20DEA">
        <w:t>2017</w:t>
      </w:r>
      <w:r>
        <w:t>)</w:t>
      </w:r>
      <w:r w:rsidR="001D34EE" w:rsidRPr="001A1C44">
        <w:rPr>
          <w:noProof/>
          <w:vertAlign w:val="superscript"/>
        </w:rPr>
        <w:t>38</w:t>
      </w:r>
      <w:r>
        <w:t xml:space="preserve"> reported on the change in QoL in patients treated with combination therapy compared to those on monotherapy using the </w:t>
      </w:r>
      <w:r w:rsidR="009B49D9">
        <w:t>M</w:t>
      </w:r>
      <w:r>
        <w:t xml:space="preserve">LHF </w:t>
      </w:r>
      <w:r w:rsidR="005A2984">
        <w:t xml:space="preserve">questionnaire </w:t>
      </w:r>
      <w:r w:rsidR="009B49D9">
        <w:t>(</w:t>
      </w:r>
      <w:r w:rsidR="00AA722D">
        <w:t>Table 4.</w:t>
      </w:r>
      <w:r w:rsidR="00AA722D">
        <w:rPr>
          <w:noProof/>
        </w:rPr>
        <w:t>58</w:t>
      </w:r>
      <w:r>
        <w:t xml:space="preserve">). </w:t>
      </w:r>
      <w:r w:rsidRPr="00BB3B0D">
        <w:t>Th</w:t>
      </w:r>
      <w:r>
        <w:t>is</w:t>
      </w:r>
      <w:r w:rsidRPr="00BB3B0D">
        <w:t xml:space="preserve"> </w:t>
      </w:r>
      <w:r>
        <w:t>questionnaire</w:t>
      </w:r>
      <w:r w:rsidRPr="00BB3B0D">
        <w:t xml:space="preserve"> is widely used to evaluate QoL in </w:t>
      </w:r>
      <w:r w:rsidR="005A2984">
        <w:t>h</w:t>
      </w:r>
      <w:r w:rsidRPr="00BB3B0D">
        <w:t xml:space="preserve">eart </w:t>
      </w:r>
      <w:r w:rsidR="005A2984">
        <w:t>f</w:t>
      </w:r>
      <w:r w:rsidRPr="00BB3B0D">
        <w:t>ailure patients</w:t>
      </w:r>
      <w:r>
        <w:t>. It</w:t>
      </w:r>
      <w:r w:rsidRPr="00BB3B0D">
        <w:t xml:space="preserve"> contain</w:t>
      </w:r>
      <w:r>
        <w:t>s</w:t>
      </w:r>
      <w:r w:rsidRPr="00BB3B0D">
        <w:t xml:space="preserve"> 21 questions with </w:t>
      </w:r>
      <w:r>
        <w:t xml:space="preserve">a total </w:t>
      </w:r>
      <w:r w:rsidRPr="00BB3B0D">
        <w:t>score ranging from 0 to 105</w:t>
      </w:r>
      <w:r>
        <w:t>, with an increasing score representing a poorer QoL. Behlouli et al (2009)</w:t>
      </w:r>
      <w:r w:rsidR="001D34EE" w:rsidRPr="001D34EE">
        <w:rPr>
          <w:noProof/>
          <w:vertAlign w:val="superscript"/>
        </w:rPr>
        <w:t>84</w:t>
      </w:r>
      <w:r>
        <w:t xml:space="preserve"> estimated that a score of &lt;24 represented a good QoL for heart failure patients, a score between 24 and 45 represents a moderate QoL, and a score &gt;45 represents a poor QoL. </w:t>
      </w:r>
    </w:p>
    <w:p w:rsidR="0075777C" w:rsidRPr="00822C52" w:rsidRDefault="0075777C" w:rsidP="0075777C">
      <w:r>
        <w:t xml:space="preserve">At baseline, the mean scores indicate that patients in both the combination therapy and monotherapy groups had a poor QoL. After 12 weeks the patients in the ERA plus </w:t>
      </w:r>
      <w:r w:rsidR="00754236">
        <w:t>prostanoid</w:t>
      </w:r>
      <w:r>
        <w:t xml:space="preserve"> group had improved sufficiently to now have a mean score representing a good QoL. The mean score for patients receiving </w:t>
      </w:r>
      <w:r w:rsidR="00754236">
        <w:t>prostanoid</w:t>
      </w:r>
      <w:r>
        <w:t xml:space="preserve"> monotherapy hardly changed from baseline, and patients still considered themselves to have a poor QoL. This suggests a significant</w:t>
      </w:r>
      <w:r w:rsidR="00D14AB4">
        <w:t xml:space="preserve"> and clinically important</w:t>
      </w:r>
      <w:r>
        <w:t xml:space="preserve"> difference in the change in QoL between the two groups.</w:t>
      </w:r>
    </w:p>
    <w:p w:rsidR="0075777C" w:rsidRDefault="00272F8F" w:rsidP="00BC5A2B">
      <w:pPr>
        <w:pStyle w:val="Caption"/>
      </w:pPr>
      <w:bookmarkStart w:id="189" w:name="_Ref505252740"/>
      <w:bookmarkStart w:id="190" w:name="_Toc512855462"/>
      <w:r>
        <w:t>Table 4.</w:t>
      </w:r>
      <w:r w:rsidR="00AA722D">
        <w:rPr>
          <w:noProof/>
        </w:rPr>
        <w:t>58</w:t>
      </w:r>
      <w:bookmarkEnd w:id="189"/>
      <w:r w:rsidR="00887161">
        <w:tab/>
      </w:r>
      <w:r w:rsidR="0075777C">
        <w:t xml:space="preserve">The effectiveness of </w:t>
      </w:r>
      <w:r w:rsidR="00385078">
        <w:t xml:space="preserve">an </w:t>
      </w:r>
      <w:r w:rsidR="00385078" w:rsidRPr="00A32D31">
        <w:t xml:space="preserve">ERA </w:t>
      </w:r>
      <w:r w:rsidR="00385078">
        <w:t>in addition to</w:t>
      </w:r>
      <w:r w:rsidR="00385078" w:rsidRPr="00A32D31">
        <w:t xml:space="preserve"> </w:t>
      </w:r>
      <w:r w:rsidR="00385078">
        <w:t xml:space="preserve">a </w:t>
      </w:r>
      <w:r w:rsidR="00385078" w:rsidRPr="00DD7790">
        <w:t>prostanoid compared with prostanoid</w:t>
      </w:r>
      <w:r w:rsidR="00385078">
        <w:t xml:space="preserve"> monotherapy</w:t>
      </w:r>
      <w:r w:rsidR="00385078" w:rsidRPr="00DD7790">
        <w:t xml:space="preserve"> </w:t>
      </w:r>
      <w:r w:rsidR="0075777C" w:rsidRPr="00DD7790">
        <w:t>in improving QoL in patients with WHO FC III</w:t>
      </w:r>
      <w:r w:rsidR="00AA1157">
        <w:t>/</w:t>
      </w:r>
      <w:r w:rsidR="0075777C" w:rsidRPr="00DD7790">
        <w:t>IV PAH</w:t>
      </w:r>
      <w:bookmarkEnd w:id="190"/>
    </w:p>
    <w:tbl>
      <w:tblPr>
        <w:tblStyle w:val="TableGrid"/>
        <w:tblW w:w="9634" w:type="dxa"/>
        <w:tblLayout w:type="fixed"/>
        <w:tblLook w:val="04A0" w:firstRow="1" w:lastRow="0" w:firstColumn="1" w:lastColumn="0" w:noHBand="0" w:noVBand="1"/>
        <w:tblCaption w:val="The effectiveness of an ERA in addition to a prostanoid compared with prostanoid monotherapy in improving QoL in patients with WHO FC III/IV PAH"/>
      </w:tblPr>
      <w:tblGrid>
        <w:gridCol w:w="1555"/>
        <w:gridCol w:w="1417"/>
        <w:gridCol w:w="1843"/>
        <w:gridCol w:w="1418"/>
        <w:gridCol w:w="1701"/>
        <w:gridCol w:w="1700"/>
      </w:tblGrid>
      <w:tr w:rsidR="0075777C" w:rsidTr="009B49D9">
        <w:trPr>
          <w:cnfStyle w:val="100000000000" w:firstRow="1" w:lastRow="0" w:firstColumn="0" w:lastColumn="0" w:oddVBand="0" w:evenVBand="0" w:oddHBand="0" w:evenHBand="0" w:firstRowFirstColumn="0" w:firstRowLastColumn="0" w:lastRowFirstColumn="0" w:lastRowLastColumn="0"/>
        </w:trPr>
        <w:tc>
          <w:tcPr>
            <w:tcW w:w="1555" w:type="dxa"/>
            <w:vMerge w:val="restart"/>
            <w:shd w:val="clear" w:color="auto" w:fill="BFBFBF" w:themeFill="background1" w:themeFillShade="BF"/>
          </w:tcPr>
          <w:p w:rsidR="0075777C" w:rsidRPr="00887161" w:rsidRDefault="0075777C" w:rsidP="00887161">
            <w:pPr>
              <w:pStyle w:val="Tabletext"/>
              <w:rPr>
                <w:b/>
              </w:rPr>
            </w:pPr>
            <w:r w:rsidRPr="00887161">
              <w:rPr>
                <w:b/>
              </w:rPr>
              <w:t>Study ID</w:t>
            </w:r>
          </w:p>
          <w:p w:rsidR="0075777C" w:rsidRPr="00887161" w:rsidRDefault="0075777C" w:rsidP="00887161">
            <w:pPr>
              <w:pStyle w:val="Tabletext"/>
              <w:rPr>
                <w:b/>
              </w:rPr>
            </w:pPr>
            <w:r w:rsidRPr="00887161">
              <w:rPr>
                <w:b/>
              </w:rPr>
              <w:t>ERA/</w:t>
            </w:r>
            <w:r w:rsidR="00887161" w:rsidRPr="00887161">
              <w:rPr>
                <w:b/>
              </w:rPr>
              <w:t>prostanoid</w:t>
            </w:r>
          </w:p>
          <w:p w:rsidR="0075777C" w:rsidRPr="00887161" w:rsidRDefault="0075777C" w:rsidP="00887161">
            <w:pPr>
              <w:pStyle w:val="Tabletext"/>
              <w:rPr>
                <w:b/>
              </w:rPr>
            </w:pPr>
            <w:r w:rsidRPr="00887161">
              <w:rPr>
                <w:b/>
              </w:rPr>
              <w:t>Time point</w:t>
            </w:r>
          </w:p>
        </w:tc>
        <w:tc>
          <w:tcPr>
            <w:tcW w:w="3260" w:type="dxa"/>
            <w:gridSpan w:val="2"/>
            <w:shd w:val="clear" w:color="auto" w:fill="BFBFBF" w:themeFill="background1" w:themeFillShade="BF"/>
          </w:tcPr>
          <w:p w:rsidR="0075777C" w:rsidRPr="00887161" w:rsidRDefault="0075777C" w:rsidP="00AE77DC">
            <w:pPr>
              <w:pStyle w:val="Tabletext"/>
              <w:jc w:val="center"/>
              <w:rPr>
                <w:b/>
              </w:rPr>
            </w:pPr>
            <w:r w:rsidRPr="00887161">
              <w:rPr>
                <w:b/>
              </w:rPr>
              <w:t xml:space="preserve">Mean </w:t>
            </w:r>
            <w:r w:rsidR="00887161" w:rsidRPr="00887161">
              <w:rPr>
                <w:b/>
              </w:rPr>
              <w:t xml:space="preserve"> ± SD </w:t>
            </w:r>
            <w:r w:rsidRPr="00887161">
              <w:rPr>
                <w:b/>
              </w:rPr>
              <w:t>baseline</w:t>
            </w:r>
            <w:r w:rsidR="00AE77DC">
              <w:rPr>
                <w:b/>
              </w:rPr>
              <w:t xml:space="preserve"> QoL</w:t>
            </w:r>
          </w:p>
        </w:tc>
        <w:tc>
          <w:tcPr>
            <w:tcW w:w="3119" w:type="dxa"/>
            <w:gridSpan w:val="2"/>
            <w:shd w:val="clear" w:color="auto" w:fill="BFBFBF" w:themeFill="background1" w:themeFillShade="BF"/>
          </w:tcPr>
          <w:p w:rsidR="0075777C" w:rsidRPr="00887161" w:rsidRDefault="0075777C" w:rsidP="00AE77DC">
            <w:pPr>
              <w:pStyle w:val="Tabletext"/>
              <w:jc w:val="center"/>
              <w:rPr>
                <w:b/>
              </w:rPr>
            </w:pPr>
            <w:r w:rsidRPr="00887161">
              <w:rPr>
                <w:b/>
              </w:rPr>
              <w:t xml:space="preserve">Mean </w:t>
            </w:r>
            <w:r w:rsidR="00AE77DC">
              <w:rPr>
                <w:b/>
              </w:rPr>
              <w:t>± SD change from baseline</w:t>
            </w:r>
          </w:p>
        </w:tc>
        <w:tc>
          <w:tcPr>
            <w:tcW w:w="1700" w:type="dxa"/>
            <w:vMerge w:val="restart"/>
            <w:shd w:val="clear" w:color="auto" w:fill="BFBFBF" w:themeFill="background1" w:themeFillShade="BF"/>
          </w:tcPr>
          <w:p w:rsidR="0075777C" w:rsidRPr="00887161" w:rsidRDefault="00887161" w:rsidP="00C30B1C">
            <w:pPr>
              <w:pStyle w:val="Tabletext"/>
              <w:rPr>
                <w:b/>
              </w:rPr>
            </w:pPr>
            <w:r w:rsidRPr="00887161">
              <w:rPr>
                <w:rFonts w:asciiTheme="minorHAnsi" w:hAnsiTheme="minorHAnsi"/>
                <w:b/>
              </w:rPr>
              <w:t>Mean difference</w:t>
            </w:r>
            <w:r w:rsidRPr="00887161">
              <w:rPr>
                <w:b/>
              </w:rPr>
              <w:t xml:space="preserve">, </w:t>
            </w:r>
            <w:r>
              <w:rPr>
                <w:b/>
              </w:rPr>
              <w:t>points</w:t>
            </w:r>
          </w:p>
        </w:tc>
      </w:tr>
      <w:tr w:rsidR="0075777C" w:rsidTr="009B49D9">
        <w:tc>
          <w:tcPr>
            <w:tcW w:w="1555" w:type="dxa"/>
            <w:vMerge/>
          </w:tcPr>
          <w:p w:rsidR="0075777C" w:rsidRDefault="0075777C" w:rsidP="00887161">
            <w:pPr>
              <w:pStyle w:val="Tabletext"/>
            </w:pPr>
          </w:p>
        </w:tc>
        <w:tc>
          <w:tcPr>
            <w:tcW w:w="1417" w:type="dxa"/>
            <w:shd w:val="clear" w:color="auto" w:fill="BFBFBF" w:themeFill="background1" w:themeFillShade="BF"/>
          </w:tcPr>
          <w:p w:rsidR="0075777C" w:rsidRPr="00887161" w:rsidRDefault="0075777C" w:rsidP="00887161">
            <w:pPr>
              <w:pStyle w:val="Tabletext"/>
              <w:jc w:val="center"/>
              <w:rPr>
                <w:b/>
              </w:rPr>
            </w:pPr>
            <w:r w:rsidRPr="00887161">
              <w:rPr>
                <w:b/>
              </w:rPr>
              <w:t xml:space="preserve">ERA + </w:t>
            </w:r>
            <w:r w:rsidR="00887161" w:rsidRPr="00887161">
              <w:rPr>
                <w:b/>
              </w:rPr>
              <w:t>prostanoid</w:t>
            </w:r>
          </w:p>
        </w:tc>
        <w:tc>
          <w:tcPr>
            <w:tcW w:w="1843" w:type="dxa"/>
            <w:shd w:val="clear" w:color="auto" w:fill="BFBFBF" w:themeFill="background1" w:themeFillShade="BF"/>
          </w:tcPr>
          <w:p w:rsidR="0075777C" w:rsidRPr="00887161" w:rsidRDefault="0075777C" w:rsidP="00EF4CF6">
            <w:pPr>
              <w:pStyle w:val="Tabletext"/>
              <w:jc w:val="center"/>
              <w:rPr>
                <w:b/>
              </w:rPr>
            </w:pPr>
            <w:r w:rsidRPr="00887161">
              <w:rPr>
                <w:b/>
              </w:rPr>
              <w:t>P</w:t>
            </w:r>
            <w:r w:rsidR="00887161" w:rsidRPr="00887161">
              <w:rPr>
                <w:b/>
              </w:rPr>
              <w:t>rostanoid</w:t>
            </w:r>
          </w:p>
        </w:tc>
        <w:tc>
          <w:tcPr>
            <w:tcW w:w="1418" w:type="dxa"/>
            <w:shd w:val="clear" w:color="auto" w:fill="BFBFBF" w:themeFill="background1" w:themeFillShade="BF"/>
          </w:tcPr>
          <w:p w:rsidR="0075777C" w:rsidRPr="00887161" w:rsidRDefault="0075777C" w:rsidP="00887161">
            <w:pPr>
              <w:pStyle w:val="Tabletext"/>
              <w:jc w:val="center"/>
              <w:rPr>
                <w:b/>
              </w:rPr>
            </w:pPr>
            <w:r w:rsidRPr="00887161">
              <w:rPr>
                <w:b/>
              </w:rPr>
              <w:t xml:space="preserve">ERA + </w:t>
            </w:r>
            <w:r w:rsidR="00887161" w:rsidRPr="00887161">
              <w:rPr>
                <w:b/>
              </w:rPr>
              <w:t>prostanoid</w:t>
            </w:r>
          </w:p>
        </w:tc>
        <w:tc>
          <w:tcPr>
            <w:tcW w:w="1701" w:type="dxa"/>
            <w:shd w:val="clear" w:color="auto" w:fill="BFBFBF" w:themeFill="background1" w:themeFillShade="BF"/>
          </w:tcPr>
          <w:p w:rsidR="0075777C" w:rsidRPr="00887161" w:rsidRDefault="0075777C" w:rsidP="00EF4CF6">
            <w:pPr>
              <w:pStyle w:val="Tabletext"/>
              <w:jc w:val="center"/>
              <w:rPr>
                <w:b/>
              </w:rPr>
            </w:pPr>
            <w:r w:rsidRPr="00887161">
              <w:rPr>
                <w:b/>
              </w:rPr>
              <w:t>P</w:t>
            </w:r>
            <w:r w:rsidR="00887161" w:rsidRPr="00887161">
              <w:rPr>
                <w:b/>
              </w:rPr>
              <w:t>rostanoid</w:t>
            </w:r>
          </w:p>
        </w:tc>
        <w:tc>
          <w:tcPr>
            <w:tcW w:w="1700" w:type="dxa"/>
            <w:vMerge/>
          </w:tcPr>
          <w:p w:rsidR="0075777C" w:rsidRDefault="0075777C" w:rsidP="00887161">
            <w:pPr>
              <w:pStyle w:val="Tabletext"/>
            </w:pPr>
          </w:p>
        </w:tc>
      </w:tr>
      <w:tr w:rsidR="0075777C" w:rsidTr="009B49D9">
        <w:tc>
          <w:tcPr>
            <w:tcW w:w="1555" w:type="dxa"/>
          </w:tcPr>
          <w:p w:rsidR="0075777C" w:rsidRPr="00822C52" w:rsidRDefault="0075777C" w:rsidP="00887161">
            <w:pPr>
              <w:pStyle w:val="Tabletext"/>
              <w:rPr>
                <w:rFonts w:cs="Tahoma"/>
              </w:rPr>
            </w:pPr>
            <w:r w:rsidRPr="00822C52">
              <w:rPr>
                <w:rFonts w:cs="Tahoma"/>
              </w:rPr>
              <w:t>Han 2017</w:t>
            </w:r>
            <w:r w:rsidR="001D34EE" w:rsidRPr="001A1C44">
              <w:rPr>
                <w:rFonts w:cs="Tahoma"/>
                <w:noProof/>
                <w:vertAlign w:val="superscript"/>
              </w:rPr>
              <w:t>38</w:t>
            </w:r>
            <w:r>
              <w:rPr>
                <w:rFonts w:cs="Tahoma"/>
              </w:rPr>
              <w:t xml:space="preserve"> </w:t>
            </w:r>
            <w:r w:rsidRPr="00DE3429">
              <w:rPr>
                <w:rFonts w:cs="Tahoma"/>
                <w:vertAlign w:val="superscript"/>
              </w:rPr>
              <w:t>a</w:t>
            </w:r>
          </w:p>
          <w:p w:rsidR="0075777C" w:rsidRDefault="0075777C" w:rsidP="00887161">
            <w:pPr>
              <w:pStyle w:val="Tabletext"/>
              <w:rPr>
                <w:rFonts w:cs="Tahoma"/>
              </w:rPr>
            </w:pPr>
            <w:r>
              <w:rPr>
                <w:rFonts w:cs="Tahoma"/>
              </w:rPr>
              <w:t>Bosentan/iloprost</w:t>
            </w:r>
          </w:p>
          <w:p w:rsidR="0075777C" w:rsidRDefault="0075777C" w:rsidP="00887161">
            <w:pPr>
              <w:pStyle w:val="Tabletext"/>
            </w:pPr>
            <w:r>
              <w:rPr>
                <w:rFonts w:cs="Tahoma"/>
              </w:rPr>
              <w:t>12 weeks</w:t>
            </w:r>
          </w:p>
        </w:tc>
        <w:tc>
          <w:tcPr>
            <w:tcW w:w="1417" w:type="dxa"/>
          </w:tcPr>
          <w:p w:rsidR="0075777C" w:rsidRDefault="009B49D9" w:rsidP="00887161">
            <w:pPr>
              <w:pStyle w:val="Tabletext"/>
              <w:jc w:val="center"/>
              <w:rPr>
                <w:rFonts w:cs="Tahoma"/>
              </w:rPr>
            </w:pPr>
            <w:r>
              <w:rPr>
                <w:rFonts w:cs="Tahoma"/>
              </w:rPr>
              <w:t>M</w:t>
            </w:r>
            <w:r w:rsidR="0075777C" w:rsidRPr="00B20DEA">
              <w:rPr>
                <w:rFonts w:cs="Tahoma"/>
              </w:rPr>
              <w:t>LHF</w:t>
            </w:r>
            <w:r w:rsidR="003A513F">
              <w:rPr>
                <w:rFonts w:cs="Tahoma"/>
                <w:vertAlign w:val="superscript"/>
              </w:rPr>
              <w:t>b</w:t>
            </w:r>
          </w:p>
          <w:p w:rsidR="0075777C" w:rsidRDefault="0075777C" w:rsidP="00887161">
            <w:pPr>
              <w:pStyle w:val="Tabletext"/>
              <w:jc w:val="center"/>
            </w:pPr>
            <w:r w:rsidRPr="00822C52">
              <w:rPr>
                <w:rFonts w:cs="Tahoma"/>
              </w:rPr>
              <w:t>56.8 ± 7.5</w:t>
            </w:r>
          </w:p>
        </w:tc>
        <w:tc>
          <w:tcPr>
            <w:tcW w:w="1843" w:type="dxa"/>
          </w:tcPr>
          <w:p w:rsidR="0075777C" w:rsidRDefault="0075777C" w:rsidP="00887161">
            <w:pPr>
              <w:pStyle w:val="Tabletext"/>
              <w:jc w:val="center"/>
              <w:rPr>
                <w:rFonts w:cs="Tahoma"/>
              </w:rPr>
            </w:pPr>
          </w:p>
          <w:p w:rsidR="0075777C" w:rsidRDefault="0075777C" w:rsidP="00887161">
            <w:pPr>
              <w:pStyle w:val="Tabletext"/>
              <w:jc w:val="center"/>
            </w:pPr>
            <w:r w:rsidRPr="00822C52">
              <w:rPr>
                <w:rFonts w:cs="Tahoma"/>
              </w:rPr>
              <w:t>65.5 ± 3.7</w:t>
            </w:r>
          </w:p>
        </w:tc>
        <w:tc>
          <w:tcPr>
            <w:tcW w:w="1418" w:type="dxa"/>
          </w:tcPr>
          <w:p w:rsidR="0075777C" w:rsidRPr="00822C52" w:rsidRDefault="0075777C" w:rsidP="00887161">
            <w:pPr>
              <w:pStyle w:val="Tabletext"/>
              <w:jc w:val="center"/>
              <w:rPr>
                <w:rFonts w:cs="Tahoma"/>
              </w:rPr>
            </w:pPr>
          </w:p>
          <w:p w:rsidR="0075777C" w:rsidRDefault="0075777C" w:rsidP="00887161">
            <w:pPr>
              <w:pStyle w:val="Tabletext"/>
              <w:jc w:val="center"/>
            </w:pPr>
            <w:r w:rsidRPr="00822C52">
              <w:rPr>
                <w:rFonts w:cs="Arial"/>
              </w:rPr>
              <w:t>‒</w:t>
            </w:r>
            <w:r w:rsidRPr="00822C52">
              <w:rPr>
                <w:rFonts w:cs="Tahoma"/>
              </w:rPr>
              <w:t>37.0 ± 7.3</w:t>
            </w:r>
          </w:p>
        </w:tc>
        <w:tc>
          <w:tcPr>
            <w:tcW w:w="1701" w:type="dxa"/>
          </w:tcPr>
          <w:p w:rsidR="0075777C" w:rsidRPr="00822C52" w:rsidRDefault="0075777C" w:rsidP="00887161">
            <w:pPr>
              <w:pStyle w:val="Tabletext"/>
              <w:jc w:val="center"/>
              <w:rPr>
                <w:rFonts w:cs="Tahoma"/>
              </w:rPr>
            </w:pPr>
          </w:p>
          <w:p w:rsidR="0075777C" w:rsidRDefault="0075777C" w:rsidP="00887161">
            <w:pPr>
              <w:pStyle w:val="Tabletext"/>
              <w:jc w:val="center"/>
            </w:pPr>
            <w:r w:rsidRPr="00822C52">
              <w:rPr>
                <w:rFonts w:cs="Arial"/>
              </w:rPr>
              <w:t>‒</w:t>
            </w:r>
            <w:r>
              <w:rPr>
                <w:rFonts w:cs="Tahoma"/>
              </w:rPr>
              <w:t>1</w:t>
            </w:r>
            <w:r w:rsidRPr="00822C52">
              <w:rPr>
                <w:rFonts w:cs="Tahoma"/>
              </w:rPr>
              <w:t>.</w:t>
            </w:r>
            <w:r>
              <w:rPr>
                <w:rFonts w:cs="Tahoma"/>
              </w:rPr>
              <w:t>7</w:t>
            </w:r>
            <w:r w:rsidRPr="00822C52">
              <w:rPr>
                <w:rFonts w:cs="Tahoma"/>
              </w:rPr>
              <w:t xml:space="preserve"> ± </w:t>
            </w:r>
            <w:r>
              <w:rPr>
                <w:rFonts w:cs="Tahoma"/>
              </w:rPr>
              <w:t>5</w:t>
            </w:r>
            <w:r w:rsidRPr="00822C52">
              <w:rPr>
                <w:rFonts w:cs="Tahoma"/>
              </w:rPr>
              <w:t>.</w:t>
            </w:r>
            <w:r>
              <w:rPr>
                <w:rFonts w:cs="Tahoma"/>
              </w:rPr>
              <w:t>9</w:t>
            </w:r>
          </w:p>
        </w:tc>
        <w:tc>
          <w:tcPr>
            <w:tcW w:w="1700" w:type="dxa"/>
          </w:tcPr>
          <w:p w:rsidR="0075777C" w:rsidRPr="00822C52" w:rsidRDefault="0075777C" w:rsidP="00887161">
            <w:pPr>
              <w:pStyle w:val="Tabletext"/>
              <w:rPr>
                <w:rFonts w:cs="Tahoma"/>
              </w:rPr>
            </w:pPr>
          </w:p>
          <w:p w:rsidR="0075777C" w:rsidRDefault="0075777C" w:rsidP="00887161">
            <w:pPr>
              <w:pStyle w:val="Tabletext"/>
            </w:pPr>
            <w:r w:rsidRPr="00822C52">
              <w:rPr>
                <w:rFonts w:cs="Arial"/>
              </w:rPr>
              <w:t>‒</w:t>
            </w:r>
            <w:r w:rsidRPr="00822C52">
              <w:rPr>
                <w:rFonts w:cs="Tahoma"/>
              </w:rPr>
              <w:t>3</w:t>
            </w:r>
            <w:r>
              <w:rPr>
                <w:rFonts w:cs="Tahoma"/>
              </w:rPr>
              <w:t>5</w:t>
            </w:r>
            <w:r w:rsidRPr="00822C52">
              <w:rPr>
                <w:rFonts w:cs="Tahoma"/>
              </w:rPr>
              <w:t>.</w:t>
            </w:r>
            <w:r>
              <w:rPr>
                <w:rFonts w:cs="Tahoma"/>
              </w:rPr>
              <w:t>3, p&lt;0.002</w:t>
            </w:r>
          </w:p>
        </w:tc>
      </w:tr>
    </w:tbl>
    <w:p w:rsidR="0075777C" w:rsidRDefault="0075777C" w:rsidP="00887161">
      <w:pPr>
        <w:pStyle w:val="Tablenote"/>
      </w:pPr>
      <w:r w:rsidRPr="00DE3429">
        <w:rPr>
          <w:vertAlign w:val="superscript"/>
        </w:rPr>
        <w:t>a</w:t>
      </w:r>
      <w:r w:rsidRPr="00822C52">
        <w:t xml:space="preserve"> 1 patient (12.5%) in the ERA + </w:t>
      </w:r>
      <w:r w:rsidR="0017012F" w:rsidRPr="00822C52">
        <w:t>prostanoid</w:t>
      </w:r>
      <w:r w:rsidRPr="00822C52">
        <w:t xml:space="preserve"> group had CTEPH.</w:t>
      </w:r>
    </w:p>
    <w:p w:rsidR="003A513F" w:rsidRPr="00822C52" w:rsidRDefault="003A513F" w:rsidP="00887161">
      <w:pPr>
        <w:pStyle w:val="Tablenote"/>
      </w:pPr>
      <w:r>
        <w:rPr>
          <w:vertAlign w:val="superscript"/>
        </w:rPr>
        <w:t>b</w:t>
      </w:r>
      <w:r w:rsidRPr="003A513F">
        <w:t xml:space="preserve"> </w:t>
      </w:r>
      <w:r w:rsidR="005A2984" w:rsidRPr="005A2984">
        <w:t>MLHF total scores range from 0 to 105. A higher score indicates poorer QoL.</w:t>
      </w:r>
    </w:p>
    <w:p w:rsidR="0075777C" w:rsidRPr="00822C52" w:rsidRDefault="0075777C" w:rsidP="00887161">
      <w:pPr>
        <w:pStyle w:val="Tablenote"/>
        <w:rPr>
          <w:b/>
        </w:rPr>
      </w:pPr>
      <w:r>
        <w:t>CTEPH = c</w:t>
      </w:r>
      <w:r w:rsidRPr="00DE3429">
        <w:t xml:space="preserve">hronic </w:t>
      </w:r>
      <w:r>
        <w:t>t</w:t>
      </w:r>
      <w:r w:rsidRPr="00DE3429">
        <w:t xml:space="preserve">hromboembolic </w:t>
      </w:r>
      <w:r>
        <w:t>p</w:t>
      </w:r>
      <w:r w:rsidRPr="00DE3429">
        <w:t xml:space="preserve">ulmonary </w:t>
      </w:r>
      <w:r>
        <w:t>h</w:t>
      </w:r>
      <w:r w:rsidRPr="00DE3429">
        <w:t>ypertension</w:t>
      </w:r>
      <w:r>
        <w:t>;</w:t>
      </w:r>
      <w:r w:rsidRPr="00DE3429">
        <w:t xml:space="preserve"> </w:t>
      </w:r>
      <w:r w:rsidRPr="00822C52">
        <w:t xml:space="preserve">ERA = endothelin receptor antagonist; FC = functional class; </w:t>
      </w:r>
      <w:r w:rsidR="009B49D9">
        <w:t>M</w:t>
      </w:r>
      <w:r w:rsidRPr="00822C52">
        <w:t xml:space="preserve">LHF = </w:t>
      </w:r>
      <w:r w:rsidR="009B49D9" w:rsidRPr="009B49D9">
        <w:t xml:space="preserve">Minnesota </w:t>
      </w:r>
      <w:r w:rsidR="009B49D9">
        <w:t>living with heart f</w:t>
      </w:r>
      <w:r w:rsidRPr="00822C52">
        <w:t xml:space="preserve">ailure questionnaire; PAH = pulmonary arterial hypertension; QoL = quality of life; </w:t>
      </w:r>
      <w:r>
        <w:t xml:space="preserve">SD = standard deviation; </w:t>
      </w:r>
      <w:r w:rsidRPr="00822C52">
        <w:t>WHO = World Health Organization</w:t>
      </w:r>
    </w:p>
    <w:p w:rsidR="007B6C7C" w:rsidRPr="006316DF" w:rsidRDefault="007B6C7C" w:rsidP="007B6C7C">
      <w:pPr>
        <w:pStyle w:val="Heading5"/>
      </w:pPr>
      <w:r>
        <w:t>g.</w:t>
      </w:r>
      <w:r>
        <w:tab/>
      </w:r>
      <w:r w:rsidRPr="006316DF">
        <w:t xml:space="preserve">Change in </w:t>
      </w:r>
      <w:r>
        <w:t>haemodynamic parameters</w:t>
      </w:r>
      <w:r w:rsidRPr="006316DF">
        <w:t xml:space="preserve"> from baseline</w:t>
      </w:r>
    </w:p>
    <w:p w:rsidR="007B6C7C" w:rsidRPr="00B607A5" w:rsidRDefault="007B6C7C" w:rsidP="007B6C7C">
      <w:pPr>
        <w:pStyle w:val="Heading6"/>
      </w:pPr>
      <w:r w:rsidRPr="00B607A5">
        <w:t>g.ii</w:t>
      </w:r>
      <w:r w:rsidRPr="00B607A5">
        <w:tab/>
        <w:t>PAH patients with FC III or IV</w:t>
      </w:r>
    </w:p>
    <w:p w:rsidR="007B6C7C" w:rsidRDefault="007B6C7C" w:rsidP="007B6C7C">
      <w:r>
        <w:t>Both the BREATHE-2 and Han 2017 studies reported the change in several haemodynamic parameters from baseline to the end of the study period (</w:t>
      </w:r>
      <w:r w:rsidR="00AA722D">
        <w:t>Table 4.</w:t>
      </w:r>
      <w:r w:rsidR="00AA722D">
        <w:rPr>
          <w:noProof/>
        </w:rPr>
        <w:t>59</w:t>
      </w:r>
      <w:r>
        <w:t xml:space="preserve">). Although all of the reported parameters in the BREATHE-2 study showed greater improvement in the combination therapy group compared to the monotherapy group, none of the monotherapy-adjusted changes from baseline were statistically significant. Although the improvement in the cardiac index, PVR and </w:t>
      </w:r>
      <w:r w:rsidRPr="008C4554">
        <w:t>total pulmonary resistance</w:t>
      </w:r>
      <w:r>
        <w:t xml:space="preserve"> in the combination therapy group were large and likely to be clinically important, there was also a reasonably large improvement in the monotherapy group. Thus, the improvement gained from the addition of an ERA to </w:t>
      </w:r>
      <w:r w:rsidR="0017012F">
        <w:t>prostanoid</w:t>
      </w:r>
      <w:r>
        <w:t xml:space="preserve"> therapy was not clinically important. </w:t>
      </w:r>
    </w:p>
    <w:p w:rsidR="007B6C7C" w:rsidRDefault="00C37410" w:rsidP="007B6C7C">
      <w:r>
        <w:lastRenderedPageBreak/>
        <w:t>I</w:t>
      </w:r>
      <w:r w:rsidR="007B6C7C">
        <w:t>n the Han 2017 study the monotherapy group changed little from baseline whereas the combination therapy group showed improvement. There was statistically significant improvement in the mPAP (p</w:t>
      </w:r>
      <w:r w:rsidR="00B60655">
        <w:t> </w:t>
      </w:r>
      <w:r w:rsidR="007B6C7C">
        <w:t>=</w:t>
      </w:r>
      <w:r w:rsidR="00B60655">
        <w:t> </w:t>
      </w:r>
      <w:r w:rsidR="007B6C7C">
        <w:t>0.002) and cardiac index (p</w:t>
      </w:r>
      <w:r w:rsidR="00B60655">
        <w:t> </w:t>
      </w:r>
      <w:r w:rsidR="007B6C7C">
        <w:t>=</w:t>
      </w:r>
      <w:r w:rsidR="00B60655">
        <w:t> </w:t>
      </w:r>
      <w:r w:rsidR="007B6C7C">
        <w:t xml:space="preserve">0.041) in the combination therapy group compared to the monotherapy group. The mean baseline value for the cardiac index was within the normal range for the combination therapy group and improved further with treatment. However, as the cardiac index can be normal in patients with PAH, the clinical significance of this change is uncertain. The 26% decrease in </w:t>
      </w:r>
      <w:r w:rsidR="007B6C7C" w:rsidRPr="00D834E8">
        <w:t>mean pulmonary arterial pressure</w:t>
      </w:r>
      <w:r w:rsidR="007B6C7C">
        <w:t xml:space="preserve"> </w:t>
      </w:r>
      <w:r w:rsidR="00BC4B63">
        <w:t>and 22% decrease PVR in the combination therapy group compared with the monotherapy group</w:t>
      </w:r>
      <w:r w:rsidR="00BC4B63" w:rsidRPr="00385078">
        <w:t xml:space="preserve"> is likely to be clinically important</w:t>
      </w:r>
      <w:r w:rsidR="007B6C7C">
        <w:t xml:space="preserve">. </w:t>
      </w:r>
    </w:p>
    <w:p w:rsidR="007B6C7C" w:rsidRDefault="007B6C7C" w:rsidP="007B6C7C">
      <w:pPr>
        <w:pStyle w:val="Caption"/>
      </w:pPr>
      <w:bookmarkStart w:id="191" w:name="_Ref505351329"/>
      <w:bookmarkStart w:id="192" w:name="_Toc512855463"/>
      <w:r>
        <w:t>Table 4.</w:t>
      </w:r>
      <w:r w:rsidR="00AA722D">
        <w:rPr>
          <w:noProof/>
        </w:rPr>
        <w:t>59</w:t>
      </w:r>
      <w:bookmarkEnd w:id="191"/>
      <w:r>
        <w:tab/>
      </w:r>
      <w:r w:rsidRPr="006316DF">
        <w:t xml:space="preserve">The effectiveness of </w:t>
      </w:r>
      <w:r w:rsidR="00385078">
        <w:t xml:space="preserve">an </w:t>
      </w:r>
      <w:r w:rsidR="00385078" w:rsidRPr="00A32D31">
        <w:t xml:space="preserve">ERA </w:t>
      </w:r>
      <w:r w:rsidR="00385078">
        <w:t>in addition to</w:t>
      </w:r>
      <w:r w:rsidR="00385078" w:rsidRPr="00A32D31">
        <w:t xml:space="preserve"> </w:t>
      </w:r>
      <w:r w:rsidR="00385078">
        <w:t xml:space="preserve">a </w:t>
      </w:r>
      <w:r w:rsidR="00385078" w:rsidRPr="00DD7790">
        <w:t>prostanoid compared with prostanoid</w:t>
      </w:r>
      <w:r w:rsidR="00385078">
        <w:t xml:space="preserve"> monotherapy</w:t>
      </w:r>
      <w:r w:rsidR="00385078" w:rsidRPr="00DD7790">
        <w:t xml:space="preserve"> </w:t>
      </w:r>
      <w:r w:rsidRPr="006316DF">
        <w:t xml:space="preserve">in improving </w:t>
      </w:r>
      <w:r>
        <w:t>haemodynamic parameters</w:t>
      </w:r>
      <w:r w:rsidRPr="00B642BB">
        <w:t xml:space="preserve"> in </w:t>
      </w:r>
      <w:r>
        <w:t>all PAH patients</w:t>
      </w:r>
      <w:bookmarkEnd w:id="192"/>
    </w:p>
    <w:tbl>
      <w:tblPr>
        <w:tblStyle w:val="TableGrid"/>
        <w:tblW w:w="9776" w:type="dxa"/>
        <w:tblLayout w:type="fixed"/>
        <w:tblLook w:val="04A0" w:firstRow="1" w:lastRow="0" w:firstColumn="1" w:lastColumn="0" w:noHBand="0" w:noVBand="1"/>
        <w:tblCaption w:val="The effectiveness of an ERA in addition to a prostanoid compared with prostanoid monotherapy in improving haemodynamic parameters in all PAH patients"/>
      </w:tblPr>
      <w:tblGrid>
        <w:gridCol w:w="1413"/>
        <w:gridCol w:w="1559"/>
        <w:gridCol w:w="1134"/>
        <w:gridCol w:w="1134"/>
        <w:gridCol w:w="1559"/>
        <w:gridCol w:w="1560"/>
        <w:gridCol w:w="1417"/>
      </w:tblGrid>
      <w:tr w:rsidR="007B6C7C" w:rsidTr="001424AA">
        <w:trPr>
          <w:cnfStyle w:val="100000000000" w:firstRow="1" w:lastRow="0" w:firstColumn="0" w:lastColumn="0" w:oddVBand="0" w:evenVBand="0" w:oddHBand="0" w:evenHBand="0" w:firstRowFirstColumn="0" w:firstRowLastColumn="0" w:lastRowFirstColumn="0" w:lastRowLastColumn="0"/>
        </w:trPr>
        <w:tc>
          <w:tcPr>
            <w:tcW w:w="1413" w:type="dxa"/>
            <w:vMerge w:val="restart"/>
            <w:shd w:val="clear" w:color="auto" w:fill="BFBFBF" w:themeFill="background1" w:themeFillShade="BF"/>
          </w:tcPr>
          <w:p w:rsidR="007B6C7C" w:rsidRPr="0086510D" w:rsidRDefault="007B6C7C" w:rsidP="007B6C7C">
            <w:pPr>
              <w:pStyle w:val="Tabletext"/>
              <w:rPr>
                <w:b/>
              </w:rPr>
            </w:pPr>
            <w:r w:rsidRPr="0086510D">
              <w:rPr>
                <w:b/>
              </w:rPr>
              <w:t>Study ID</w:t>
            </w:r>
          </w:p>
          <w:p w:rsidR="007B6C7C" w:rsidRPr="0086510D" w:rsidRDefault="007B6C7C" w:rsidP="007B6C7C">
            <w:pPr>
              <w:pStyle w:val="Tabletext"/>
              <w:rPr>
                <w:b/>
              </w:rPr>
            </w:pPr>
            <w:r w:rsidRPr="0086510D">
              <w:rPr>
                <w:b/>
              </w:rPr>
              <w:t>ERA/prostanoid</w:t>
            </w:r>
          </w:p>
          <w:p w:rsidR="007B6C7C" w:rsidRPr="0086510D" w:rsidRDefault="007B6C7C" w:rsidP="007B6C7C">
            <w:pPr>
              <w:pStyle w:val="Tabletext"/>
              <w:rPr>
                <w:b/>
              </w:rPr>
            </w:pPr>
            <w:r w:rsidRPr="0086510D">
              <w:rPr>
                <w:b/>
              </w:rPr>
              <w:t>Study period</w:t>
            </w:r>
          </w:p>
          <w:p w:rsidR="007B6C7C" w:rsidRPr="0086510D" w:rsidRDefault="007B6C7C" w:rsidP="007B6C7C">
            <w:pPr>
              <w:pStyle w:val="Tabletext"/>
              <w:rPr>
                <w:b/>
              </w:rPr>
            </w:pPr>
            <w:r w:rsidRPr="0086510D">
              <w:rPr>
                <w:b/>
              </w:rPr>
              <w:t xml:space="preserve">N </w:t>
            </w:r>
          </w:p>
        </w:tc>
        <w:tc>
          <w:tcPr>
            <w:tcW w:w="1559" w:type="dxa"/>
            <w:vMerge w:val="restart"/>
            <w:shd w:val="clear" w:color="auto" w:fill="BFBFBF" w:themeFill="background1" w:themeFillShade="BF"/>
          </w:tcPr>
          <w:p w:rsidR="007B6C7C" w:rsidRPr="0086510D" w:rsidRDefault="007B6C7C" w:rsidP="007B6C7C">
            <w:pPr>
              <w:pStyle w:val="Tabletext"/>
              <w:rPr>
                <w:b/>
              </w:rPr>
            </w:pPr>
            <w:r w:rsidRPr="0086510D">
              <w:rPr>
                <w:b/>
              </w:rPr>
              <w:t>Haemodynamic parameter</w:t>
            </w:r>
            <w:r w:rsidR="000B12FE" w:rsidRPr="000B12FE">
              <w:rPr>
                <w:b/>
                <w:vertAlign w:val="superscript"/>
              </w:rPr>
              <w:t>a</w:t>
            </w:r>
          </w:p>
        </w:tc>
        <w:tc>
          <w:tcPr>
            <w:tcW w:w="2268" w:type="dxa"/>
            <w:gridSpan w:val="2"/>
            <w:shd w:val="clear" w:color="auto" w:fill="BFBFBF" w:themeFill="background1" w:themeFillShade="BF"/>
          </w:tcPr>
          <w:p w:rsidR="007B6C7C" w:rsidRPr="0086510D" w:rsidRDefault="007B6C7C" w:rsidP="007B6C7C">
            <w:pPr>
              <w:pStyle w:val="Tabletext"/>
              <w:jc w:val="center"/>
              <w:rPr>
                <w:b/>
              </w:rPr>
            </w:pPr>
            <w:r w:rsidRPr="0086510D">
              <w:rPr>
                <w:b/>
              </w:rPr>
              <w:t>Mean ± SEM or SD baseline haemodynamic parameter</w:t>
            </w:r>
            <w:r w:rsidR="00AE77DC">
              <w:rPr>
                <w:b/>
              </w:rPr>
              <w:t>s</w:t>
            </w:r>
          </w:p>
        </w:tc>
        <w:tc>
          <w:tcPr>
            <w:tcW w:w="3119" w:type="dxa"/>
            <w:gridSpan w:val="2"/>
            <w:shd w:val="clear" w:color="auto" w:fill="BFBFBF" w:themeFill="background1" w:themeFillShade="BF"/>
          </w:tcPr>
          <w:p w:rsidR="007B6C7C" w:rsidRPr="0086510D" w:rsidRDefault="007B6C7C" w:rsidP="007B6C7C">
            <w:pPr>
              <w:pStyle w:val="Tabletext"/>
              <w:jc w:val="center"/>
              <w:rPr>
                <w:b/>
              </w:rPr>
            </w:pPr>
            <w:r w:rsidRPr="0086510D">
              <w:rPr>
                <w:b/>
              </w:rPr>
              <w:t xml:space="preserve">Mean ± SEM or SD </w:t>
            </w:r>
            <w:r w:rsidR="00DA0C52">
              <w:rPr>
                <w:b/>
              </w:rPr>
              <w:t xml:space="preserve">% </w:t>
            </w:r>
            <w:r w:rsidRPr="0086510D">
              <w:rPr>
                <w:b/>
              </w:rPr>
              <w:t>c</w:t>
            </w:r>
            <w:r w:rsidRPr="0086510D">
              <w:rPr>
                <w:rFonts w:asciiTheme="minorHAnsi" w:hAnsiTheme="minorHAnsi"/>
                <w:b/>
              </w:rPr>
              <w:t>hange from baseline</w:t>
            </w:r>
          </w:p>
        </w:tc>
        <w:tc>
          <w:tcPr>
            <w:tcW w:w="1417" w:type="dxa"/>
            <w:vMerge w:val="restart"/>
            <w:shd w:val="clear" w:color="auto" w:fill="BFBFBF" w:themeFill="background1" w:themeFillShade="BF"/>
          </w:tcPr>
          <w:p w:rsidR="007B6C7C" w:rsidRPr="0086510D" w:rsidRDefault="007B6C7C" w:rsidP="00D806F8">
            <w:pPr>
              <w:pStyle w:val="Tabletext"/>
              <w:rPr>
                <w:b/>
              </w:rPr>
            </w:pPr>
            <w:r w:rsidRPr="0086510D">
              <w:rPr>
                <w:b/>
              </w:rPr>
              <w:t>Mean % d</w:t>
            </w:r>
            <w:r w:rsidRPr="0086510D">
              <w:rPr>
                <w:rFonts w:asciiTheme="minorHAnsi" w:hAnsiTheme="minorHAnsi"/>
                <w:b/>
              </w:rPr>
              <w:t xml:space="preserve">ifference </w:t>
            </w:r>
          </w:p>
        </w:tc>
      </w:tr>
      <w:tr w:rsidR="007B6C7C" w:rsidTr="00EF4CF6">
        <w:tc>
          <w:tcPr>
            <w:tcW w:w="1413" w:type="dxa"/>
            <w:vMerge/>
          </w:tcPr>
          <w:p w:rsidR="007B6C7C" w:rsidRDefault="007B6C7C" w:rsidP="007B6C7C">
            <w:pPr>
              <w:pStyle w:val="Tabletext"/>
            </w:pPr>
          </w:p>
        </w:tc>
        <w:tc>
          <w:tcPr>
            <w:tcW w:w="1559" w:type="dxa"/>
            <w:vMerge/>
          </w:tcPr>
          <w:p w:rsidR="007B6C7C" w:rsidRDefault="007B6C7C" w:rsidP="007B6C7C">
            <w:pPr>
              <w:pStyle w:val="Tabletext"/>
            </w:pPr>
          </w:p>
        </w:tc>
        <w:tc>
          <w:tcPr>
            <w:tcW w:w="1134" w:type="dxa"/>
            <w:shd w:val="clear" w:color="auto" w:fill="BFBFBF" w:themeFill="background1" w:themeFillShade="BF"/>
          </w:tcPr>
          <w:p w:rsidR="007B6C7C" w:rsidRPr="0086510D" w:rsidRDefault="007B6C7C" w:rsidP="007B6C7C">
            <w:pPr>
              <w:pStyle w:val="Tabletext"/>
              <w:jc w:val="center"/>
              <w:rPr>
                <w:b/>
              </w:rPr>
            </w:pPr>
            <w:r w:rsidRPr="0086510D">
              <w:rPr>
                <w:b/>
              </w:rPr>
              <w:t>ERA + prostanoid</w:t>
            </w:r>
          </w:p>
        </w:tc>
        <w:tc>
          <w:tcPr>
            <w:tcW w:w="1134" w:type="dxa"/>
            <w:shd w:val="clear" w:color="auto" w:fill="BFBFBF" w:themeFill="background1" w:themeFillShade="BF"/>
          </w:tcPr>
          <w:p w:rsidR="007B6C7C" w:rsidRPr="0086510D" w:rsidRDefault="007B6C7C" w:rsidP="00EF4CF6">
            <w:pPr>
              <w:pStyle w:val="Tabletext"/>
              <w:jc w:val="center"/>
              <w:rPr>
                <w:b/>
              </w:rPr>
            </w:pPr>
            <w:r w:rsidRPr="0086510D">
              <w:rPr>
                <w:rFonts w:asciiTheme="minorHAnsi" w:hAnsiTheme="minorHAnsi"/>
                <w:b/>
              </w:rPr>
              <w:t>Prostanoid</w:t>
            </w:r>
          </w:p>
        </w:tc>
        <w:tc>
          <w:tcPr>
            <w:tcW w:w="1559" w:type="dxa"/>
            <w:shd w:val="clear" w:color="auto" w:fill="BFBFBF" w:themeFill="background1" w:themeFillShade="BF"/>
          </w:tcPr>
          <w:p w:rsidR="007B6C7C" w:rsidRPr="0086510D" w:rsidRDefault="007B6C7C" w:rsidP="007B6C7C">
            <w:pPr>
              <w:pStyle w:val="Tabletext"/>
              <w:jc w:val="center"/>
              <w:rPr>
                <w:b/>
              </w:rPr>
            </w:pPr>
            <w:r w:rsidRPr="0086510D">
              <w:rPr>
                <w:b/>
              </w:rPr>
              <w:t>ERA + prostanoid</w:t>
            </w:r>
          </w:p>
        </w:tc>
        <w:tc>
          <w:tcPr>
            <w:tcW w:w="1560" w:type="dxa"/>
            <w:shd w:val="clear" w:color="auto" w:fill="BFBFBF" w:themeFill="background1" w:themeFillShade="BF"/>
          </w:tcPr>
          <w:p w:rsidR="007B6C7C" w:rsidRPr="0086510D" w:rsidRDefault="007B6C7C" w:rsidP="00EF4CF6">
            <w:pPr>
              <w:pStyle w:val="Tabletext"/>
              <w:jc w:val="center"/>
              <w:rPr>
                <w:b/>
              </w:rPr>
            </w:pPr>
            <w:r w:rsidRPr="0086510D">
              <w:rPr>
                <w:rFonts w:asciiTheme="minorHAnsi" w:hAnsiTheme="minorHAnsi"/>
                <w:b/>
              </w:rPr>
              <w:t>Prostanoid</w:t>
            </w:r>
          </w:p>
        </w:tc>
        <w:tc>
          <w:tcPr>
            <w:tcW w:w="1417" w:type="dxa"/>
            <w:vMerge/>
          </w:tcPr>
          <w:p w:rsidR="007B6C7C" w:rsidRDefault="007B6C7C" w:rsidP="007B6C7C">
            <w:pPr>
              <w:pStyle w:val="Tabletext"/>
            </w:pPr>
          </w:p>
        </w:tc>
      </w:tr>
      <w:tr w:rsidR="007B6C7C" w:rsidTr="00EF4CF6">
        <w:tc>
          <w:tcPr>
            <w:tcW w:w="1413" w:type="dxa"/>
          </w:tcPr>
          <w:p w:rsidR="007B6C7C" w:rsidRPr="0086510D" w:rsidRDefault="007B6C7C" w:rsidP="007B6C7C">
            <w:pPr>
              <w:pStyle w:val="Tabletext"/>
            </w:pPr>
            <w:r w:rsidRPr="0086510D">
              <w:t>BREATHE-2</w:t>
            </w:r>
            <w:r w:rsidR="001D34EE" w:rsidRPr="001A1C44">
              <w:rPr>
                <w:noProof/>
                <w:vertAlign w:val="superscript"/>
              </w:rPr>
              <w:t>35</w:t>
            </w:r>
          </w:p>
          <w:p w:rsidR="007B6C7C" w:rsidRPr="0086510D" w:rsidRDefault="007B6C7C" w:rsidP="007B6C7C">
            <w:pPr>
              <w:pStyle w:val="Tabletext"/>
            </w:pPr>
            <w:r w:rsidRPr="0086510D">
              <w:t>Bosentan/ epoprostenol</w:t>
            </w:r>
          </w:p>
          <w:p w:rsidR="007B6C7C" w:rsidRPr="0086510D" w:rsidRDefault="007B6C7C" w:rsidP="007B6C7C">
            <w:pPr>
              <w:pStyle w:val="Tabletext"/>
            </w:pPr>
            <w:r w:rsidRPr="0086510D">
              <w:t>16 weeks</w:t>
            </w:r>
          </w:p>
          <w:p w:rsidR="007B6C7C" w:rsidRPr="0086510D" w:rsidRDefault="007B6C7C" w:rsidP="007B6C7C">
            <w:pPr>
              <w:pStyle w:val="Tabletext"/>
            </w:pPr>
            <w:r w:rsidRPr="0086510D">
              <w:t>N=33</w:t>
            </w:r>
          </w:p>
        </w:tc>
        <w:tc>
          <w:tcPr>
            <w:tcW w:w="1559" w:type="dxa"/>
          </w:tcPr>
          <w:p w:rsidR="007B6C7C" w:rsidRPr="0086510D" w:rsidRDefault="007B6C7C" w:rsidP="007B6C7C">
            <w:pPr>
              <w:pStyle w:val="Tabletext"/>
            </w:pPr>
            <w:r w:rsidRPr="0086510D">
              <w:t>CAI</w:t>
            </w:r>
            <w:r>
              <w:t xml:space="preserve"> </w:t>
            </w:r>
            <w:r w:rsidRPr="0086510D">
              <w:t>(L/min/m</w:t>
            </w:r>
            <w:r w:rsidRPr="0086510D">
              <w:rPr>
                <w:vertAlign w:val="superscript"/>
              </w:rPr>
              <w:t>2</w:t>
            </w:r>
            <w:r w:rsidRPr="0086510D">
              <w:t>)</w:t>
            </w:r>
          </w:p>
          <w:p w:rsidR="007B6C7C" w:rsidRPr="0086510D" w:rsidRDefault="007B6C7C" w:rsidP="007B6C7C">
            <w:pPr>
              <w:pStyle w:val="Tabletext"/>
            </w:pPr>
            <w:r w:rsidRPr="0086510D">
              <w:t>PVR</w:t>
            </w:r>
            <w:r>
              <w:t xml:space="preserve"> </w:t>
            </w:r>
            <w:r w:rsidRPr="0086510D">
              <w:t>(</w:t>
            </w:r>
            <w:r w:rsidR="001424AA" w:rsidRPr="001424AA">
              <w:t>dyn*sec*cm</w:t>
            </w:r>
            <w:r w:rsidR="001424AA" w:rsidRPr="001424AA">
              <w:rPr>
                <w:vertAlign w:val="superscript"/>
              </w:rPr>
              <w:t>-5</w:t>
            </w:r>
            <w:r w:rsidRPr="0086510D">
              <w:t>)</w:t>
            </w:r>
          </w:p>
          <w:p w:rsidR="007B6C7C" w:rsidRPr="0086510D" w:rsidRDefault="007B6C7C" w:rsidP="007B6C7C">
            <w:pPr>
              <w:pStyle w:val="Tabletext"/>
            </w:pPr>
            <w:r w:rsidRPr="0086510D">
              <w:t>TPR</w:t>
            </w:r>
            <w:r>
              <w:t xml:space="preserve"> </w:t>
            </w:r>
            <w:r w:rsidRPr="0086510D">
              <w:t>(dyn</w:t>
            </w:r>
            <w:r w:rsidR="00747709">
              <w:t>*</w:t>
            </w:r>
            <w:r w:rsidRPr="0086510D">
              <w:t>sec/cm</w:t>
            </w:r>
            <w:r w:rsidR="00747709" w:rsidRPr="00747709">
              <w:rPr>
                <w:vertAlign w:val="superscript"/>
              </w:rPr>
              <w:t>-</w:t>
            </w:r>
            <w:r w:rsidRPr="0086510D">
              <w:rPr>
                <w:vertAlign w:val="superscript"/>
              </w:rPr>
              <w:t>5</w:t>
            </w:r>
            <w:r w:rsidRPr="0086510D">
              <w:t>)</w:t>
            </w:r>
          </w:p>
          <w:p w:rsidR="007B6C7C" w:rsidRPr="0086510D" w:rsidRDefault="007B6C7C" w:rsidP="007B6C7C">
            <w:pPr>
              <w:pStyle w:val="Tabletext"/>
            </w:pPr>
            <w:r w:rsidRPr="0086510D">
              <w:t>mPAP</w:t>
            </w:r>
            <w:r>
              <w:t xml:space="preserve"> </w:t>
            </w:r>
            <w:r w:rsidRPr="0086510D">
              <w:t>(mmHg)</w:t>
            </w:r>
          </w:p>
          <w:p w:rsidR="007B6C7C" w:rsidRPr="0086510D" w:rsidRDefault="007B6C7C" w:rsidP="007B6C7C">
            <w:pPr>
              <w:pStyle w:val="Tabletext"/>
            </w:pPr>
            <w:r w:rsidRPr="0086510D">
              <w:t>mRAP</w:t>
            </w:r>
            <w:r>
              <w:t xml:space="preserve"> </w:t>
            </w:r>
            <w:r w:rsidRPr="0086510D">
              <w:t>(mmHg)</w:t>
            </w:r>
          </w:p>
        </w:tc>
        <w:tc>
          <w:tcPr>
            <w:tcW w:w="1134" w:type="dxa"/>
          </w:tcPr>
          <w:p w:rsidR="007B6C7C" w:rsidRPr="0086510D" w:rsidRDefault="007B6C7C" w:rsidP="007B6C7C">
            <w:pPr>
              <w:pStyle w:val="Tabletext"/>
            </w:pPr>
            <w:r w:rsidRPr="0086510D">
              <w:t>1.7 ± 0.1</w:t>
            </w:r>
          </w:p>
          <w:p w:rsidR="007B6C7C" w:rsidRPr="0086510D" w:rsidRDefault="007B6C7C" w:rsidP="007B6C7C">
            <w:pPr>
              <w:pStyle w:val="Tabletext"/>
            </w:pPr>
            <w:r w:rsidRPr="0086510D">
              <w:t>1,511 ± 129</w:t>
            </w:r>
          </w:p>
          <w:p w:rsidR="007B6C7C" w:rsidRPr="0086510D" w:rsidRDefault="007B6C7C" w:rsidP="007B6C7C">
            <w:pPr>
              <w:pStyle w:val="Tabletext"/>
            </w:pPr>
            <w:r w:rsidRPr="0086510D">
              <w:t>1,697 ± 142</w:t>
            </w:r>
          </w:p>
          <w:p w:rsidR="007B6C7C" w:rsidRPr="0086510D" w:rsidRDefault="007B6C7C" w:rsidP="007B6C7C">
            <w:pPr>
              <w:pStyle w:val="Tabletext"/>
            </w:pPr>
            <w:r w:rsidRPr="0086510D">
              <w:t>59.2 ± 4.0</w:t>
            </w:r>
          </w:p>
          <w:p w:rsidR="007B6C7C" w:rsidRPr="0086510D" w:rsidRDefault="007B6C7C" w:rsidP="007B6C7C">
            <w:pPr>
              <w:pStyle w:val="Tabletext"/>
            </w:pPr>
            <w:r w:rsidRPr="0086510D">
              <w:t>11.9 ± 1.1</w:t>
            </w:r>
          </w:p>
        </w:tc>
        <w:tc>
          <w:tcPr>
            <w:tcW w:w="1134" w:type="dxa"/>
          </w:tcPr>
          <w:p w:rsidR="007B6C7C" w:rsidRPr="0086510D" w:rsidRDefault="007B6C7C" w:rsidP="007B6C7C">
            <w:pPr>
              <w:pStyle w:val="Tabletext"/>
            </w:pPr>
            <w:r w:rsidRPr="0086510D">
              <w:t>1.7 ± 0.2</w:t>
            </w:r>
          </w:p>
          <w:p w:rsidR="007B6C7C" w:rsidRPr="0086510D" w:rsidRDefault="007B6C7C" w:rsidP="007B6C7C">
            <w:pPr>
              <w:pStyle w:val="Tabletext"/>
            </w:pPr>
            <w:r w:rsidRPr="0086510D">
              <w:t>1.426 ± 140</w:t>
            </w:r>
          </w:p>
          <w:p w:rsidR="007B6C7C" w:rsidRPr="0086510D" w:rsidRDefault="007B6C7C" w:rsidP="007B6C7C">
            <w:pPr>
              <w:pStyle w:val="Tabletext"/>
            </w:pPr>
            <w:r w:rsidRPr="0086510D">
              <w:t>1,628 ± 154</w:t>
            </w:r>
          </w:p>
          <w:p w:rsidR="007B6C7C" w:rsidRPr="0086510D" w:rsidRDefault="007B6C7C" w:rsidP="007B6C7C">
            <w:pPr>
              <w:pStyle w:val="Tabletext"/>
            </w:pPr>
            <w:r w:rsidRPr="0086510D">
              <w:t>60.9 ± 2.9</w:t>
            </w:r>
          </w:p>
          <w:p w:rsidR="007B6C7C" w:rsidRPr="0086510D" w:rsidRDefault="007B6C7C" w:rsidP="007B6C7C">
            <w:pPr>
              <w:pStyle w:val="Tabletext"/>
            </w:pPr>
            <w:r w:rsidRPr="0086510D">
              <w:t>11.9 ± 2.</w:t>
            </w:r>
            <w:r>
              <w:t>2</w:t>
            </w:r>
          </w:p>
        </w:tc>
        <w:tc>
          <w:tcPr>
            <w:tcW w:w="1559" w:type="dxa"/>
          </w:tcPr>
          <w:p w:rsidR="007B6C7C" w:rsidRPr="0086510D" w:rsidRDefault="007B6C7C" w:rsidP="007B6C7C">
            <w:pPr>
              <w:pStyle w:val="Tabletext"/>
            </w:pPr>
            <w:r w:rsidRPr="0086510D">
              <w:t>48.7 ± 11.0%</w:t>
            </w:r>
          </w:p>
          <w:p w:rsidR="007B6C7C" w:rsidRPr="0086510D" w:rsidRDefault="007B6C7C" w:rsidP="007B6C7C">
            <w:pPr>
              <w:pStyle w:val="Tabletext"/>
            </w:pPr>
            <w:r w:rsidRPr="0086510D">
              <w:t>−35.2 ± 5.4%</w:t>
            </w:r>
          </w:p>
          <w:p w:rsidR="007B6C7C" w:rsidRPr="0086510D" w:rsidRDefault="007B6C7C" w:rsidP="007B6C7C">
            <w:pPr>
              <w:pStyle w:val="Tabletext"/>
            </w:pPr>
            <w:r w:rsidRPr="0086510D">
              <w:t>−36.3 ± 4.3%</w:t>
            </w:r>
          </w:p>
          <w:p w:rsidR="007B6C7C" w:rsidRPr="0086510D" w:rsidRDefault="007B6C7C" w:rsidP="007B6C7C">
            <w:pPr>
              <w:pStyle w:val="Tabletext"/>
            </w:pPr>
            <w:r w:rsidRPr="0086510D">
              <w:t>−9.0 ± 6.0%</w:t>
            </w:r>
          </w:p>
          <w:p w:rsidR="007B6C7C" w:rsidRPr="0086510D" w:rsidRDefault="007B6C7C" w:rsidP="007B6C7C">
            <w:pPr>
              <w:pStyle w:val="Tabletext"/>
            </w:pPr>
            <w:r w:rsidRPr="0086510D">
              <w:t>−1.9 mmHg ± 1.4</w:t>
            </w:r>
          </w:p>
        </w:tc>
        <w:tc>
          <w:tcPr>
            <w:tcW w:w="1560" w:type="dxa"/>
          </w:tcPr>
          <w:p w:rsidR="007B6C7C" w:rsidRPr="0086510D" w:rsidRDefault="007B6C7C" w:rsidP="007B6C7C">
            <w:pPr>
              <w:pStyle w:val="Tabletext"/>
            </w:pPr>
            <w:r w:rsidRPr="0086510D">
              <w:t>37.9 ± 13.3%</w:t>
            </w:r>
          </w:p>
          <w:p w:rsidR="007B6C7C" w:rsidRPr="0086510D" w:rsidRDefault="007B6C7C" w:rsidP="007B6C7C">
            <w:pPr>
              <w:pStyle w:val="Tabletext"/>
            </w:pPr>
            <w:r w:rsidRPr="0086510D">
              <w:t>−25.7 ± 7.2%</w:t>
            </w:r>
          </w:p>
          <w:p w:rsidR="007B6C7C" w:rsidRPr="0086510D" w:rsidRDefault="007B6C7C" w:rsidP="007B6C7C">
            <w:pPr>
              <w:pStyle w:val="Tabletext"/>
            </w:pPr>
            <w:r w:rsidRPr="0086510D">
              <w:t>−22.6 ± 6.2%</w:t>
            </w:r>
          </w:p>
          <w:p w:rsidR="007B6C7C" w:rsidRPr="0086510D" w:rsidRDefault="007B6C7C" w:rsidP="007B6C7C">
            <w:pPr>
              <w:pStyle w:val="Tabletext"/>
            </w:pPr>
            <w:r w:rsidRPr="0086510D">
              <w:t>−2.2 ± 3.6%</w:t>
            </w:r>
          </w:p>
          <w:p w:rsidR="007B6C7C" w:rsidRPr="0086510D" w:rsidRDefault="007B6C7C" w:rsidP="007B6C7C">
            <w:pPr>
              <w:pStyle w:val="Tabletext"/>
            </w:pPr>
            <w:r w:rsidRPr="0086510D">
              <w:t>0.3 mmHg ± 1.3</w:t>
            </w:r>
          </w:p>
        </w:tc>
        <w:tc>
          <w:tcPr>
            <w:tcW w:w="1417" w:type="dxa"/>
          </w:tcPr>
          <w:p w:rsidR="007B6C7C" w:rsidRPr="0086510D" w:rsidRDefault="007B6C7C" w:rsidP="007B6C7C">
            <w:pPr>
              <w:pStyle w:val="Tabletext"/>
            </w:pPr>
            <w:r w:rsidRPr="0086510D">
              <w:t>10.8%</w:t>
            </w:r>
            <w:r>
              <w:t xml:space="preserve">, </w:t>
            </w:r>
            <w:r w:rsidRPr="0086510D">
              <w:t>p=0.6</w:t>
            </w:r>
          </w:p>
          <w:p w:rsidR="007B6C7C" w:rsidRPr="0086510D" w:rsidRDefault="007B6C7C" w:rsidP="007B6C7C">
            <w:pPr>
              <w:pStyle w:val="Tabletext"/>
            </w:pPr>
            <w:r w:rsidRPr="0086510D">
              <w:t>−9.5%</w:t>
            </w:r>
            <w:r>
              <w:t xml:space="preserve">, </w:t>
            </w:r>
            <w:r w:rsidRPr="0086510D">
              <w:t>p=0.3</w:t>
            </w:r>
          </w:p>
          <w:p w:rsidR="007B6C7C" w:rsidRPr="0086510D" w:rsidRDefault="007B6C7C" w:rsidP="007B6C7C">
            <w:pPr>
              <w:pStyle w:val="Tabletext"/>
            </w:pPr>
            <w:r w:rsidRPr="0086510D">
              <w:t>−13.7%</w:t>
            </w:r>
            <w:r>
              <w:t xml:space="preserve">, </w:t>
            </w:r>
            <w:r w:rsidRPr="0086510D">
              <w:t>p=0.08</w:t>
            </w:r>
          </w:p>
          <w:p w:rsidR="007B6C7C" w:rsidRPr="0086510D" w:rsidRDefault="007B6C7C" w:rsidP="007B6C7C">
            <w:pPr>
              <w:pStyle w:val="Tabletext"/>
            </w:pPr>
            <w:r w:rsidRPr="0086510D">
              <w:t>−6.8%</w:t>
            </w:r>
            <w:r>
              <w:t xml:space="preserve">, </w:t>
            </w:r>
            <w:r w:rsidRPr="0086510D">
              <w:t>p=0.3</w:t>
            </w:r>
          </w:p>
          <w:p w:rsidR="007B6C7C" w:rsidRPr="0086510D" w:rsidRDefault="007B6C7C" w:rsidP="007B6C7C">
            <w:pPr>
              <w:pStyle w:val="Tabletext"/>
            </w:pPr>
            <w:r w:rsidRPr="0086510D">
              <w:t>−2.2 mmHg</w:t>
            </w:r>
            <w:r>
              <w:t xml:space="preserve">, </w:t>
            </w:r>
            <w:r w:rsidRPr="0086510D">
              <w:t>p=0.7</w:t>
            </w:r>
          </w:p>
        </w:tc>
      </w:tr>
      <w:tr w:rsidR="007B6C7C" w:rsidTr="00EF4CF6">
        <w:tc>
          <w:tcPr>
            <w:tcW w:w="1413" w:type="dxa"/>
          </w:tcPr>
          <w:p w:rsidR="007B6C7C" w:rsidRPr="0086510D" w:rsidRDefault="007B6C7C" w:rsidP="007B6C7C">
            <w:pPr>
              <w:pStyle w:val="Tabletext"/>
            </w:pPr>
            <w:r w:rsidRPr="0086510D">
              <w:t>Han 2017</w:t>
            </w:r>
            <w:r w:rsidR="001D34EE" w:rsidRPr="001A1C44">
              <w:rPr>
                <w:noProof/>
                <w:vertAlign w:val="superscript"/>
              </w:rPr>
              <w:t>38</w:t>
            </w:r>
            <w:r w:rsidR="000B12FE">
              <w:t xml:space="preserve"> </w:t>
            </w:r>
            <w:r w:rsidR="000B12FE" w:rsidRPr="000B12FE">
              <w:rPr>
                <w:vertAlign w:val="superscript"/>
              </w:rPr>
              <w:t>b</w:t>
            </w:r>
          </w:p>
          <w:p w:rsidR="007B6C7C" w:rsidRPr="0086510D" w:rsidRDefault="007B6C7C" w:rsidP="007B6C7C">
            <w:pPr>
              <w:pStyle w:val="Tabletext"/>
            </w:pPr>
            <w:r w:rsidRPr="0086510D">
              <w:t>Bosentan/iloprost</w:t>
            </w:r>
          </w:p>
          <w:p w:rsidR="007B6C7C" w:rsidRPr="0086510D" w:rsidRDefault="007B6C7C" w:rsidP="007B6C7C">
            <w:pPr>
              <w:pStyle w:val="Tabletext"/>
            </w:pPr>
            <w:r w:rsidRPr="0086510D">
              <w:t>12 weeks</w:t>
            </w:r>
          </w:p>
          <w:p w:rsidR="007B6C7C" w:rsidRPr="0086510D" w:rsidRDefault="007B6C7C" w:rsidP="007B6C7C">
            <w:pPr>
              <w:pStyle w:val="Tabletext"/>
            </w:pPr>
            <w:r w:rsidRPr="0086510D">
              <w:t>N=14</w:t>
            </w:r>
          </w:p>
        </w:tc>
        <w:tc>
          <w:tcPr>
            <w:tcW w:w="1559" w:type="dxa"/>
          </w:tcPr>
          <w:p w:rsidR="007B6C7C" w:rsidRPr="0086510D" w:rsidRDefault="007B6C7C" w:rsidP="007B6C7C">
            <w:pPr>
              <w:pStyle w:val="Tabletext"/>
            </w:pPr>
            <w:r w:rsidRPr="0086510D">
              <w:t>CAI</w:t>
            </w:r>
            <w:r>
              <w:t xml:space="preserve"> </w:t>
            </w:r>
            <w:r w:rsidRPr="0086510D">
              <w:t>(L/min/m</w:t>
            </w:r>
            <w:r w:rsidRPr="0086510D">
              <w:rPr>
                <w:vertAlign w:val="superscript"/>
              </w:rPr>
              <w:t>2</w:t>
            </w:r>
            <w:r w:rsidRPr="0086510D">
              <w:t>)</w:t>
            </w:r>
          </w:p>
          <w:p w:rsidR="007B6C7C" w:rsidRPr="0086510D" w:rsidRDefault="007B6C7C" w:rsidP="007B6C7C">
            <w:pPr>
              <w:pStyle w:val="Tabletext"/>
            </w:pPr>
            <w:r w:rsidRPr="0086510D">
              <w:t>PVR</w:t>
            </w:r>
            <w:r>
              <w:t xml:space="preserve"> </w:t>
            </w:r>
            <w:r w:rsidRPr="0086510D">
              <w:t>(</w:t>
            </w:r>
            <w:r w:rsidR="001424AA" w:rsidRPr="001424AA">
              <w:t>dyn*sec*cm</w:t>
            </w:r>
            <w:r w:rsidR="001424AA" w:rsidRPr="001424AA">
              <w:rPr>
                <w:vertAlign w:val="superscript"/>
              </w:rPr>
              <w:t>-5</w:t>
            </w:r>
            <w:r w:rsidRPr="001424AA">
              <w:t>)</w:t>
            </w:r>
          </w:p>
          <w:p w:rsidR="007B6C7C" w:rsidRPr="0086510D" w:rsidRDefault="007B6C7C" w:rsidP="007B6C7C">
            <w:pPr>
              <w:pStyle w:val="Tabletext"/>
            </w:pPr>
            <w:r w:rsidRPr="0086510D">
              <w:t>mPAP</w:t>
            </w:r>
            <w:r>
              <w:t xml:space="preserve"> </w:t>
            </w:r>
            <w:r w:rsidRPr="0086510D">
              <w:t>(mmHg)</w:t>
            </w:r>
          </w:p>
        </w:tc>
        <w:tc>
          <w:tcPr>
            <w:tcW w:w="1134" w:type="dxa"/>
          </w:tcPr>
          <w:p w:rsidR="007B6C7C" w:rsidRPr="0086510D" w:rsidRDefault="007B6C7C" w:rsidP="007B6C7C">
            <w:pPr>
              <w:pStyle w:val="Tabletext"/>
            </w:pPr>
            <w:r w:rsidRPr="0086510D">
              <w:t>2.61 ± 0.31</w:t>
            </w:r>
          </w:p>
          <w:p w:rsidR="007B6C7C" w:rsidRPr="0086510D" w:rsidRDefault="007B6C7C" w:rsidP="007B6C7C">
            <w:pPr>
              <w:pStyle w:val="Tabletext"/>
            </w:pPr>
            <w:r w:rsidRPr="0086510D">
              <w:t>1,038 ± 176</w:t>
            </w:r>
          </w:p>
          <w:p w:rsidR="007B6C7C" w:rsidRPr="0086510D" w:rsidRDefault="007B6C7C" w:rsidP="007B6C7C">
            <w:pPr>
              <w:pStyle w:val="Tabletext"/>
            </w:pPr>
            <w:r>
              <w:t>56.5 ± 5.5</w:t>
            </w:r>
          </w:p>
        </w:tc>
        <w:tc>
          <w:tcPr>
            <w:tcW w:w="1134" w:type="dxa"/>
          </w:tcPr>
          <w:p w:rsidR="007B6C7C" w:rsidRPr="0086510D" w:rsidRDefault="007B6C7C" w:rsidP="007B6C7C">
            <w:pPr>
              <w:pStyle w:val="Tabletext"/>
            </w:pPr>
            <w:r w:rsidRPr="0086510D">
              <w:t>2.20 ± 0.35</w:t>
            </w:r>
          </w:p>
          <w:p w:rsidR="007B6C7C" w:rsidRPr="0086510D" w:rsidRDefault="007B6C7C" w:rsidP="007B6C7C">
            <w:pPr>
              <w:pStyle w:val="Tabletext"/>
            </w:pPr>
            <w:r w:rsidRPr="0086510D">
              <w:t>1,157 ± 165</w:t>
            </w:r>
          </w:p>
          <w:p w:rsidR="007B6C7C" w:rsidRPr="0086510D" w:rsidRDefault="007B6C7C" w:rsidP="007B6C7C">
            <w:pPr>
              <w:pStyle w:val="Tabletext"/>
            </w:pPr>
            <w:r>
              <w:t>55.7 ± 1.7</w:t>
            </w:r>
          </w:p>
        </w:tc>
        <w:tc>
          <w:tcPr>
            <w:tcW w:w="1559" w:type="dxa"/>
          </w:tcPr>
          <w:p w:rsidR="007B6C7C" w:rsidRPr="0086510D" w:rsidRDefault="007B6C7C" w:rsidP="007B6C7C">
            <w:pPr>
              <w:pStyle w:val="Tabletext"/>
            </w:pPr>
            <w:r w:rsidRPr="0086510D">
              <w:t>0.55 ± 0.20</w:t>
            </w:r>
            <w:r>
              <w:t xml:space="preserve"> </w:t>
            </w:r>
            <w:r w:rsidR="00E6350D">
              <w:t>(</w:t>
            </w:r>
            <w:r w:rsidRPr="0086510D">
              <w:t>21.1%</w:t>
            </w:r>
            <w:r w:rsidR="00E6350D">
              <w:t>)</w:t>
            </w:r>
          </w:p>
          <w:p w:rsidR="007B6C7C" w:rsidRPr="0086510D" w:rsidRDefault="007B6C7C" w:rsidP="007B6C7C">
            <w:pPr>
              <w:pStyle w:val="Tabletext"/>
            </w:pPr>
            <w:r w:rsidRPr="0086510D">
              <w:t>−187 ± 174</w:t>
            </w:r>
            <w:r>
              <w:t xml:space="preserve"> </w:t>
            </w:r>
            <w:r w:rsidR="00E6350D">
              <w:t>(</w:t>
            </w:r>
            <w:r w:rsidRPr="0086510D">
              <w:t>−18.0%</w:t>
            </w:r>
            <w:r w:rsidR="00E6350D">
              <w:t>)</w:t>
            </w:r>
          </w:p>
          <w:p w:rsidR="007B6C7C" w:rsidRPr="0086510D" w:rsidRDefault="007B6C7C" w:rsidP="00E6350D">
            <w:pPr>
              <w:pStyle w:val="Tabletext"/>
            </w:pPr>
            <w:r w:rsidRPr="0086510D">
              <w:t>−18.9 ± 2.8</w:t>
            </w:r>
            <w:r>
              <w:t xml:space="preserve"> </w:t>
            </w:r>
            <w:r w:rsidR="00E6350D">
              <w:t>(</w:t>
            </w:r>
            <w:r w:rsidRPr="0086510D">
              <w:t>−33.5%</w:t>
            </w:r>
            <w:r w:rsidR="00E6350D">
              <w:t>)</w:t>
            </w:r>
          </w:p>
        </w:tc>
        <w:tc>
          <w:tcPr>
            <w:tcW w:w="1560" w:type="dxa"/>
          </w:tcPr>
          <w:p w:rsidR="007B6C7C" w:rsidRPr="0086510D" w:rsidRDefault="007B6C7C" w:rsidP="007B6C7C">
            <w:pPr>
              <w:pStyle w:val="Tabletext"/>
            </w:pPr>
            <w:r w:rsidRPr="0086510D">
              <w:t>−0.09 ± 0.15</w:t>
            </w:r>
            <w:r>
              <w:t xml:space="preserve"> </w:t>
            </w:r>
            <w:r w:rsidR="00E6350D">
              <w:t>(</w:t>
            </w:r>
            <w:r w:rsidRPr="0086510D">
              <w:t>−4.1%</w:t>
            </w:r>
            <w:r w:rsidR="00E6350D">
              <w:t>)</w:t>
            </w:r>
          </w:p>
          <w:p w:rsidR="007B6C7C" w:rsidRPr="0086510D" w:rsidRDefault="007B6C7C" w:rsidP="007B6C7C">
            <w:pPr>
              <w:pStyle w:val="Tabletext"/>
            </w:pPr>
            <w:r w:rsidRPr="0086510D">
              <w:t>40 ± 161</w:t>
            </w:r>
            <w:r>
              <w:t xml:space="preserve"> </w:t>
            </w:r>
            <w:r w:rsidR="00E6350D">
              <w:t>(</w:t>
            </w:r>
            <w:r w:rsidRPr="0086510D">
              <w:t>3.5%</w:t>
            </w:r>
            <w:r w:rsidR="00E6350D">
              <w:t>)</w:t>
            </w:r>
          </w:p>
          <w:p w:rsidR="007B6C7C" w:rsidRPr="0086510D" w:rsidRDefault="007B6C7C" w:rsidP="00E6350D">
            <w:pPr>
              <w:pStyle w:val="Tabletext"/>
            </w:pPr>
            <w:r w:rsidRPr="0086510D">
              <w:t>−4.0 ± 3.5</w:t>
            </w:r>
            <w:r>
              <w:t xml:space="preserve"> </w:t>
            </w:r>
            <w:r w:rsidR="00E6350D">
              <w:t>(</w:t>
            </w:r>
            <w:r w:rsidRPr="0086510D">
              <w:t>−</w:t>
            </w:r>
            <w:r w:rsidR="00E6350D">
              <w:t>7.2%)</w:t>
            </w:r>
          </w:p>
        </w:tc>
        <w:tc>
          <w:tcPr>
            <w:tcW w:w="1417" w:type="dxa"/>
          </w:tcPr>
          <w:p w:rsidR="007B6C7C" w:rsidRPr="0086510D" w:rsidRDefault="007B6C7C" w:rsidP="007B6C7C">
            <w:pPr>
              <w:pStyle w:val="Tabletext"/>
            </w:pPr>
            <w:r w:rsidRPr="0086510D">
              <w:t>17%</w:t>
            </w:r>
            <w:r>
              <w:t xml:space="preserve">, </w:t>
            </w:r>
            <w:r w:rsidRPr="0086510D">
              <w:t>p=0.041</w:t>
            </w:r>
          </w:p>
          <w:p w:rsidR="007B6C7C" w:rsidRPr="0086510D" w:rsidRDefault="007B6C7C" w:rsidP="007B6C7C">
            <w:pPr>
              <w:pStyle w:val="Tabletext"/>
            </w:pPr>
            <w:r w:rsidRPr="0086510D">
              <w:t>−</w:t>
            </w:r>
            <w:r w:rsidR="00385078">
              <w:t>2</w:t>
            </w:r>
            <w:r w:rsidRPr="0086510D">
              <w:t>1.5%</w:t>
            </w:r>
            <w:r>
              <w:t xml:space="preserve">, </w:t>
            </w:r>
            <w:r w:rsidRPr="0086510D">
              <w:t>p=0.62</w:t>
            </w:r>
          </w:p>
          <w:p w:rsidR="007B6C7C" w:rsidRPr="0086510D" w:rsidRDefault="007B6C7C" w:rsidP="007B6C7C">
            <w:pPr>
              <w:pStyle w:val="Tabletext"/>
            </w:pPr>
            <w:r w:rsidRPr="0086510D">
              <w:t>−26.3%</w:t>
            </w:r>
            <w:r>
              <w:t xml:space="preserve">, </w:t>
            </w:r>
            <w:r w:rsidRPr="0086510D">
              <w:t>p=0.002</w:t>
            </w:r>
          </w:p>
        </w:tc>
      </w:tr>
    </w:tbl>
    <w:p w:rsidR="000B12FE" w:rsidRDefault="007B6C7C" w:rsidP="007B6C7C">
      <w:pPr>
        <w:pStyle w:val="Tablenote"/>
      </w:pPr>
      <w:r w:rsidRPr="00DE3429">
        <w:rPr>
          <w:vertAlign w:val="superscript"/>
        </w:rPr>
        <w:t>a</w:t>
      </w:r>
      <w:r w:rsidRPr="00822C52">
        <w:t xml:space="preserve"> </w:t>
      </w:r>
      <w:r w:rsidR="000B12FE">
        <w:t xml:space="preserve">An increase in CAI indicates improvement in </w:t>
      </w:r>
      <w:r w:rsidR="007E658F" w:rsidRPr="007E658F">
        <w:t>haemodynamic parameters</w:t>
      </w:r>
      <w:r w:rsidR="000B12FE">
        <w:t xml:space="preserve">. A decrease in PVR, TPR, mPAP or mRAP indicates improvement in </w:t>
      </w:r>
      <w:r w:rsidR="007E658F" w:rsidRPr="007E658F">
        <w:t>haemodynamic parameters</w:t>
      </w:r>
      <w:r w:rsidR="000B12FE">
        <w:t xml:space="preserve">. </w:t>
      </w:r>
    </w:p>
    <w:p w:rsidR="007B6C7C" w:rsidRPr="00822C52" w:rsidRDefault="000B12FE" w:rsidP="007B6C7C">
      <w:pPr>
        <w:pStyle w:val="Tablenote"/>
      </w:pPr>
      <w:r>
        <w:rPr>
          <w:vertAlign w:val="superscript"/>
        </w:rPr>
        <w:t xml:space="preserve">b </w:t>
      </w:r>
      <w:r w:rsidR="007B6C7C" w:rsidRPr="00822C52">
        <w:t>1 patient (12.5%) in the ERA + prostanoid group had CTEPH.</w:t>
      </w:r>
    </w:p>
    <w:p w:rsidR="00C30B1C" w:rsidRPr="006316DF" w:rsidRDefault="007B6C7C" w:rsidP="007B6C7C">
      <w:pPr>
        <w:pStyle w:val="Tablenote"/>
      </w:pPr>
      <w:r>
        <w:t xml:space="preserve">CAI = cardiac index; </w:t>
      </w:r>
      <w:r w:rsidR="00C30B1C" w:rsidRPr="00C30B1C">
        <w:t xml:space="preserve">CTEPH = chronic thromboembolic pulmonary hypertension; </w:t>
      </w:r>
      <w:r w:rsidR="00C30B1C" w:rsidRPr="009E3B52">
        <w:t xml:space="preserve">ERA = endothelin receptor antagonist; </w:t>
      </w:r>
      <w:r>
        <w:t xml:space="preserve">mPAP = mean pulmonary artery pressure; mRAP = mean right atrial pressure; </w:t>
      </w:r>
      <w:r w:rsidRPr="006316DF">
        <w:t>N = number of patients</w:t>
      </w:r>
      <w:r>
        <w:t xml:space="preserve">; </w:t>
      </w:r>
      <w:r w:rsidR="00C30B1C" w:rsidRPr="00715D78">
        <w:t xml:space="preserve">PAH = pulmonary arterial hypertension; </w:t>
      </w:r>
      <w:r>
        <w:t xml:space="preserve">PVR = </w:t>
      </w:r>
      <w:r w:rsidRPr="007A4F5B">
        <w:t>pulmonary vascular resistance</w:t>
      </w:r>
      <w:r w:rsidRPr="00C51FB4">
        <w:t>;</w:t>
      </w:r>
      <w:r>
        <w:t xml:space="preserve"> SD = standard deviation;</w:t>
      </w:r>
      <w:r w:rsidRPr="00C51FB4">
        <w:t xml:space="preserve"> S</w:t>
      </w:r>
      <w:r>
        <w:t>EM</w:t>
      </w:r>
      <w:r w:rsidRPr="00C51FB4">
        <w:t xml:space="preserve"> = standard </w:t>
      </w:r>
      <w:r>
        <w:t>error of the mean;</w:t>
      </w:r>
      <w:r w:rsidRPr="00202AD4">
        <w:t xml:space="preserve"> TPR</w:t>
      </w:r>
      <w:r>
        <w:t xml:space="preserve"> =</w:t>
      </w:r>
      <w:r w:rsidRPr="00202AD4">
        <w:t xml:space="preserve"> total pulmonary resistance</w:t>
      </w:r>
    </w:p>
    <w:p w:rsidR="0075777C" w:rsidRPr="00150BDE" w:rsidRDefault="0077344D" w:rsidP="0075777C">
      <w:pPr>
        <w:pStyle w:val="Heading5"/>
      </w:pPr>
      <w:r>
        <w:t>h.</w:t>
      </w:r>
      <w:r w:rsidR="007B6C7C">
        <w:tab/>
      </w:r>
      <w:r w:rsidR="0075777C" w:rsidRPr="00150BDE">
        <w:t>Comparative safety</w:t>
      </w:r>
    </w:p>
    <w:p w:rsidR="0075777C" w:rsidRPr="00B607A5" w:rsidRDefault="0077344D" w:rsidP="0077344D">
      <w:pPr>
        <w:pStyle w:val="Heading6"/>
      </w:pPr>
      <w:r w:rsidRPr="00B607A5">
        <w:t>h</w:t>
      </w:r>
      <w:r w:rsidR="0075777C" w:rsidRPr="00B607A5">
        <w:t>.ii</w:t>
      </w:r>
      <w:r w:rsidR="0075777C" w:rsidRPr="00B607A5">
        <w:tab/>
        <w:t>PAH patients with FC III or IV</w:t>
      </w:r>
    </w:p>
    <w:p w:rsidR="0075777C" w:rsidRPr="00822C52" w:rsidRDefault="0075777C" w:rsidP="0075777C">
      <w:r>
        <w:t xml:space="preserve">In the </w:t>
      </w:r>
      <w:r w:rsidRPr="00822C52">
        <w:t>BREATHE-2</w:t>
      </w:r>
      <w:r>
        <w:t xml:space="preserve"> trial, there was no significant difference in the proportion of patients from receiving bosentan/epoprostenol combination therapy compared with those receiving monotherapy who reported a serious AE, an AE leading to treatment discontinuation or worsening of PAH (</w:t>
      </w:r>
      <w:r w:rsidR="00AA722D">
        <w:t>Table 4.</w:t>
      </w:r>
      <w:r w:rsidR="00AA722D">
        <w:rPr>
          <w:noProof/>
        </w:rPr>
        <w:t>60</w:t>
      </w:r>
      <w:r>
        <w:t>). Additionally, no significant difference in the proportion of patients who had increased levels of transaminases was observed in either group; this had been previously associated with bosentan treatment.</w:t>
      </w:r>
    </w:p>
    <w:p w:rsidR="0075777C" w:rsidRPr="00822C52" w:rsidRDefault="0075777C" w:rsidP="0075777C">
      <w:r w:rsidRPr="00822C52">
        <w:lastRenderedPageBreak/>
        <w:t xml:space="preserve">Han </w:t>
      </w:r>
      <w:r>
        <w:t>et al (</w:t>
      </w:r>
      <w:r w:rsidRPr="00822C52">
        <w:t>2017</w:t>
      </w:r>
      <w:r>
        <w:t>)</w:t>
      </w:r>
      <w:r w:rsidR="001D34EE" w:rsidRPr="001A1C44">
        <w:rPr>
          <w:noProof/>
          <w:vertAlign w:val="superscript"/>
        </w:rPr>
        <w:t>38</w:t>
      </w:r>
      <w:r>
        <w:t xml:space="preserve"> also reported no significant differences in the proportion of patients receiving combination therapy compared with monotherapy who had an AE, or a serious AE </w:t>
      </w:r>
      <w:r w:rsidRPr="00D21F52">
        <w:t>leading to treatment discontinuation</w:t>
      </w:r>
      <w:r>
        <w:t xml:space="preserve"> (</w:t>
      </w:r>
      <w:r w:rsidR="00AA722D">
        <w:t>Table 4.</w:t>
      </w:r>
      <w:r w:rsidR="00AA722D">
        <w:rPr>
          <w:noProof/>
        </w:rPr>
        <w:t>60</w:t>
      </w:r>
      <w:r>
        <w:t>).</w:t>
      </w:r>
    </w:p>
    <w:p w:rsidR="0075777C" w:rsidRPr="00DD7790" w:rsidRDefault="00272F8F" w:rsidP="00BC5A2B">
      <w:pPr>
        <w:pStyle w:val="Caption"/>
      </w:pPr>
      <w:bookmarkStart w:id="193" w:name="_Ref505252780"/>
      <w:bookmarkStart w:id="194" w:name="_Toc512855464"/>
      <w:r>
        <w:t>Table 4.</w:t>
      </w:r>
      <w:r w:rsidR="00AA722D">
        <w:rPr>
          <w:noProof/>
        </w:rPr>
        <w:t>60</w:t>
      </w:r>
      <w:bookmarkEnd w:id="193"/>
      <w:r w:rsidR="00887161">
        <w:tab/>
      </w:r>
      <w:r w:rsidR="0075777C" w:rsidRPr="00DD7790">
        <w:t xml:space="preserve">The comparative safety of </w:t>
      </w:r>
      <w:r w:rsidR="00EB768B">
        <w:t xml:space="preserve">an </w:t>
      </w:r>
      <w:r w:rsidR="00385078" w:rsidRPr="00A32D31">
        <w:t xml:space="preserve">ERA </w:t>
      </w:r>
      <w:r w:rsidR="00385078">
        <w:t>in addition to</w:t>
      </w:r>
      <w:r w:rsidR="00385078" w:rsidRPr="00A32D31">
        <w:t xml:space="preserve"> </w:t>
      </w:r>
      <w:r w:rsidR="00385078">
        <w:t xml:space="preserve">a </w:t>
      </w:r>
      <w:r w:rsidR="00385078" w:rsidRPr="00DD7790">
        <w:t>prostanoid compared with prostanoid</w:t>
      </w:r>
      <w:r w:rsidR="00385078">
        <w:t xml:space="preserve"> monotherapy</w:t>
      </w:r>
      <w:r w:rsidR="0075777C" w:rsidRPr="00DD7790">
        <w:t xml:space="preserve"> in all patients with PAH</w:t>
      </w:r>
      <w:bookmarkEnd w:id="194"/>
    </w:p>
    <w:tbl>
      <w:tblPr>
        <w:tblStyle w:val="TableGrid7"/>
        <w:tblW w:w="9634" w:type="dxa"/>
        <w:tblLayout w:type="fixed"/>
        <w:tblLook w:val="04A0" w:firstRow="1" w:lastRow="0" w:firstColumn="1" w:lastColumn="0" w:noHBand="0" w:noVBand="1"/>
        <w:tblCaption w:val="The comparative safety of an ERA in addition to a prostanoid compared with prostanoid monotherapy in all patients with PAH"/>
      </w:tblPr>
      <w:tblGrid>
        <w:gridCol w:w="1838"/>
        <w:gridCol w:w="2552"/>
        <w:gridCol w:w="1559"/>
        <w:gridCol w:w="1843"/>
        <w:gridCol w:w="1842"/>
      </w:tblGrid>
      <w:tr w:rsidR="0075777C" w:rsidRPr="00822C52" w:rsidTr="0094293D">
        <w:trPr>
          <w:trHeight w:val="269"/>
          <w:tblHeader/>
        </w:trPr>
        <w:tc>
          <w:tcPr>
            <w:tcW w:w="1838" w:type="dxa"/>
            <w:vMerge w:val="restart"/>
            <w:shd w:val="clear" w:color="auto" w:fill="BFBFBF" w:themeFill="background1" w:themeFillShade="BF"/>
          </w:tcPr>
          <w:p w:rsidR="0075777C" w:rsidRPr="00887161" w:rsidRDefault="0075777C" w:rsidP="00887161">
            <w:pPr>
              <w:pStyle w:val="Tabletext"/>
              <w:rPr>
                <w:b/>
              </w:rPr>
            </w:pPr>
            <w:r w:rsidRPr="00887161">
              <w:rPr>
                <w:b/>
              </w:rPr>
              <w:t>Study ID</w:t>
            </w:r>
          </w:p>
          <w:p w:rsidR="0075777C" w:rsidRPr="00887161" w:rsidRDefault="0075777C" w:rsidP="00887161">
            <w:pPr>
              <w:pStyle w:val="Tabletext"/>
              <w:rPr>
                <w:b/>
              </w:rPr>
            </w:pPr>
            <w:r w:rsidRPr="00887161">
              <w:rPr>
                <w:b/>
              </w:rPr>
              <w:t>ERA/</w:t>
            </w:r>
            <w:r w:rsidR="00887161" w:rsidRPr="00887161">
              <w:rPr>
                <w:b/>
              </w:rPr>
              <w:t>prostanoid</w:t>
            </w:r>
          </w:p>
          <w:p w:rsidR="0075777C" w:rsidRPr="00887161" w:rsidRDefault="0075777C" w:rsidP="00887161">
            <w:pPr>
              <w:pStyle w:val="Tabletext"/>
              <w:rPr>
                <w:b/>
              </w:rPr>
            </w:pPr>
            <w:r w:rsidRPr="00887161">
              <w:rPr>
                <w:b/>
              </w:rPr>
              <w:t>Follow-up period</w:t>
            </w:r>
          </w:p>
        </w:tc>
        <w:tc>
          <w:tcPr>
            <w:tcW w:w="2552" w:type="dxa"/>
            <w:vMerge w:val="restart"/>
            <w:shd w:val="clear" w:color="auto" w:fill="BFBFBF" w:themeFill="background1" w:themeFillShade="BF"/>
          </w:tcPr>
          <w:p w:rsidR="0075777C" w:rsidRPr="00887161" w:rsidRDefault="0075777C" w:rsidP="00887161">
            <w:pPr>
              <w:pStyle w:val="Tabletext"/>
              <w:rPr>
                <w:b/>
              </w:rPr>
            </w:pPr>
            <w:r w:rsidRPr="00887161">
              <w:rPr>
                <w:b/>
              </w:rPr>
              <w:t>AEs</w:t>
            </w:r>
          </w:p>
        </w:tc>
        <w:tc>
          <w:tcPr>
            <w:tcW w:w="3402" w:type="dxa"/>
            <w:gridSpan w:val="2"/>
            <w:shd w:val="clear" w:color="auto" w:fill="BFBFBF" w:themeFill="background1" w:themeFillShade="BF"/>
          </w:tcPr>
          <w:p w:rsidR="0075777C" w:rsidRPr="00887161" w:rsidRDefault="0075777C" w:rsidP="00887161">
            <w:pPr>
              <w:pStyle w:val="Tabletext"/>
              <w:jc w:val="center"/>
              <w:rPr>
                <w:b/>
              </w:rPr>
            </w:pPr>
            <w:r w:rsidRPr="00887161">
              <w:rPr>
                <w:b/>
              </w:rPr>
              <w:t>n/N (%)</w:t>
            </w:r>
          </w:p>
        </w:tc>
        <w:tc>
          <w:tcPr>
            <w:tcW w:w="1842" w:type="dxa"/>
            <w:vMerge w:val="restart"/>
            <w:shd w:val="clear" w:color="auto" w:fill="BFBFBF" w:themeFill="background1" w:themeFillShade="BF"/>
          </w:tcPr>
          <w:p w:rsidR="0075777C" w:rsidRPr="00887161" w:rsidRDefault="0075777C" w:rsidP="00887161">
            <w:pPr>
              <w:pStyle w:val="Tabletext"/>
              <w:rPr>
                <w:b/>
              </w:rPr>
            </w:pPr>
            <w:r w:rsidRPr="00887161">
              <w:rPr>
                <w:b/>
              </w:rPr>
              <w:t>RR (95% CI)</w:t>
            </w:r>
          </w:p>
        </w:tc>
      </w:tr>
      <w:tr w:rsidR="0075777C" w:rsidRPr="00822C52" w:rsidTr="0094293D">
        <w:trPr>
          <w:trHeight w:val="202"/>
          <w:tblHeader/>
        </w:trPr>
        <w:tc>
          <w:tcPr>
            <w:tcW w:w="1838" w:type="dxa"/>
            <w:vMerge/>
            <w:shd w:val="clear" w:color="auto" w:fill="BFBFBF" w:themeFill="background1" w:themeFillShade="BF"/>
          </w:tcPr>
          <w:p w:rsidR="0075777C" w:rsidRPr="00822C52" w:rsidRDefault="0075777C" w:rsidP="00887161">
            <w:pPr>
              <w:pStyle w:val="Tabletext"/>
            </w:pPr>
          </w:p>
        </w:tc>
        <w:tc>
          <w:tcPr>
            <w:tcW w:w="2552" w:type="dxa"/>
            <w:vMerge/>
            <w:shd w:val="clear" w:color="auto" w:fill="BFBFBF" w:themeFill="background1" w:themeFillShade="BF"/>
          </w:tcPr>
          <w:p w:rsidR="0075777C" w:rsidRPr="00822C52" w:rsidRDefault="0075777C" w:rsidP="00887161">
            <w:pPr>
              <w:pStyle w:val="Tabletext"/>
            </w:pPr>
          </w:p>
        </w:tc>
        <w:tc>
          <w:tcPr>
            <w:tcW w:w="1559" w:type="dxa"/>
            <w:shd w:val="clear" w:color="auto" w:fill="BFBFBF" w:themeFill="background1" w:themeFillShade="BF"/>
          </w:tcPr>
          <w:p w:rsidR="0075777C" w:rsidRPr="00887161" w:rsidRDefault="0075777C" w:rsidP="00887161">
            <w:pPr>
              <w:pStyle w:val="Tabletext"/>
              <w:jc w:val="center"/>
              <w:rPr>
                <w:b/>
              </w:rPr>
            </w:pPr>
            <w:r w:rsidRPr="00887161">
              <w:rPr>
                <w:b/>
              </w:rPr>
              <w:t xml:space="preserve">ERA + </w:t>
            </w:r>
            <w:r w:rsidR="00887161" w:rsidRPr="00887161">
              <w:rPr>
                <w:b/>
              </w:rPr>
              <w:t>prostanoid</w:t>
            </w:r>
          </w:p>
        </w:tc>
        <w:tc>
          <w:tcPr>
            <w:tcW w:w="1843" w:type="dxa"/>
            <w:shd w:val="clear" w:color="auto" w:fill="BFBFBF" w:themeFill="background1" w:themeFillShade="BF"/>
          </w:tcPr>
          <w:p w:rsidR="0075777C" w:rsidRPr="00887161" w:rsidRDefault="0075777C" w:rsidP="00EF4CF6">
            <w:pPr>
              <w:pStyle w:val="Tabletext"/>
              <w:jc w:val="center"/>
              <w:rPr>
                <w:b/>
              </w:rPr>
            </w:pPr>
            <w:r w:rsidRPr="00887161">
              <w:rPr>
                <w:b/>
              </w:rPr>
              <w:t>P</w:t>
            </w:r>
            <w:r w:rsidR="00887161" w:rsidRPr="00887161">
              <w:rPr>
                <w:b/>
              </w:rPr>
              <w:t>rostanoid</w:t>
            </w:r>
          </w:p>
        </w:tc>
        <w:tc>
          <w:tcPr>
            <w:tcW w:w="1842" w:type="dxa"/>
            <w:vMerge/>
            <w:shd w:val="clear" w:color="auto" w:fill="BFBFBF" w:themeFill="background1" w:themeFillShade="BF"/>
          </w:tcPr>
          <w:p w:rsidR="0075777C" w:rsidRPr="00822C52" w:rsidRDefault="0075777C" w:rsidP="00887161">
            <w:pPr>
              <w:pStyle w:val="Tabletext"/>
            </w:pPr>
          </w:p>
        </w:tc>
      </w:tr>
      <w:tr w:rsidR="0094293D" w:rsidRPr="00822C52" w:rsidTr="0094293D">
        <w:trPr>
          <w:trHeight w:val="70"/>
        </w:trPr>
        <w:tc>
          <w:tcPr>
            <w:tcW w:w="1838" w:type="dxa"/>
            <w:shd w:val="clear" w:color="auto" w:fill="auto"/>
          </w:tcPr>
          <w:p w:rsidR="0094293D" w:rsidRPr="00822C52" w:rsidRDefault="0094293D" w:rsidP="0094293D">
            <w:pPr>
              <w:pStyle w:val="Tabletext"/>
              <w:rPr>
                <w:rFonts w:cs="Tahoma"/>
              </w:rPr>
            </w:pPr>
            <w:r w:rsidRPr="00822C52">
              <w:rPr>
                <w:rFonts w:cs="Tahoma"/>
              </w:rPr>
              <w:t>BREATHE-2</w:t>
            </w:r>
            <w:r w:rsidR="001D34EE" w:rsidRPr="001A1C44">
              <w:rPr>
                <w:rFonts w:cs="Tahoma"/>
                <w:noProof/>
                <w:vertAlign w:val="superscript"/>
              </w:rPr>
              <w:t>35</w:t>
            </w:r>
          </w:p>
          <w:p w:rsidR="0094293D" w:rsidRDefault="0094293D" w:rsidP="0094293D">
            <w:pPr>
              <w:pStyle w:val="Tabletext"/>
              <w:rPr>
                <w:rFonts w:cs="Tahoma"/>
              </w:rPr>
            </w:pPr>
            <w:r>
              <w:rPr>
                <w:rFonts w:cs="Tahoma"/>
              </w:rPr>
              <w:t>Bosentan/</w:t>
            </w:r>
            <w:r w:rsidRPr="00822C52">
              <w:rPr>
                <w:rFonts w:cs="Tahoma"/>
              </w:rPr>
              <w:t>epoprostenol</w:t>
            </w:r>
          </w:p>
          <w:p w:rsidR="0094293D" w:rsidRPr="00822C52" w:rsidRDefault="0094293D" w:rsidP="0094293D">
            <w:pPr>
              <w:pStyle w:val="Tabletext"/>
              <w:rPr>
                <w:rFonts w:cs="Tahoma"/>
              </w:rPr>
            </w:pPr>
            <w:r>
              <w:rPr>
                <w:rFonts w:cs="Tahoma"/>
              </w:rPr>
              <w:t>12 weeks</w:t>
            </w:r>
          </w:p>
        </w:tc>
        <w:tc>
          <w:tcPr>
            <w:tcW w:w="2552" w:type="dxa"/>
          </w:tcPr>
          <w:p w:rsidR="0094293D" w:rsidRDefault="0094293D" w:rsidP="0094293D">
            <w:pPr>
              <w:pStyle w:val="Tabletext"/>
              <w:rPr>
                <w:rFonts w:cs="Tahoma"/>
              </w:rPr>
            </w:pPr>
            <w:r>
              <w:rPr>
                <w:rFonts w:cs="Tahoma"/>
              </w:rPr>
              <w:t>Serious AEs</w:t>
            </w:r>
          </w:p>
          <w:p w:rsidR="0094293D" w:rsidRPr="00822C52" w:rsidRDefault="0094293D" w:rsidP="0094293D">
            <w:pPr>
              <w:pStyle w:val="Tabletext"/>
              <w:rPr>
                <w:rFonts w:cs="Tahoma"/>
              </w:rPr>
            </w:pPr>
            <w:r w:rsidRPr="00822C52">
              <w:rPr>
                <w:rFonts w:cs="Tahoma"/>
              </w:rPr>
              <w:t>AEs leading to discontinuation</w:t>
            </w:r>
          </w:p>
          <w:p w:rsidR="0094293D" w:rsidRDefault="0094293D" w:rsidP="0094293D">
            <w:pPr>
              <w:pStyle w:val="Tabletext"/>
              <w:rPr>
                <w:rFonts w:cs="Tahoma"/>
              </w:rPr>
            </w:pPr>
            <w:r w:rsidRPr="00822C52">
              <w:rPr>
                <w:rFonts w:cs="Tahoma"/>
              </w:rPr>
              <w:t>Worsening of PAH</w:t>
            </w:r>
          </w:p>
          <w:p w:rsidR="0094293D" w:rsidRPr="00822C52" w:rsidRDefault="0094293D" w:rsidP="0094293D">
            <w:pPr>
              <w:pStyle w:val="Tabletext"/>
              <w:rPr>
                <w:rFonts w:cs="Tahoma"/>
              </w:rPr>
            </w:pPr>
            <w:r>
              <w:rPr>
                <w:rFonts w:cs="Tahoma"/>
              </w:rPr>
              <w:t>Increased level of transaminases (bosentan)</w:t>
            </w:r>
          </w:p>
        </w:tc>
        <w:tc>
          <w:tcPr>
            <w:tcW w:w="1559" w:type="dxa"/>
            <w:shd w:val="clear" w:color="auto" w:fill="auto"/>
          </w:tcPr>
          <w:p w:rsidR="0094293D" w:rsidRDefault="0094293D" w:rsidP="0094293D">
            <w:pPr>
              <w:pStyle w:val="Tabletext"/>
              <w:jc w:val="center"/>
              <w:rPr>
                <w:rFonts w:cs="Tahoma"/>
              </w:rPr>
            </w:pPr>
            <w:r>
              <w:rPr>
                <w:rFonts w:cs="Tahoma"/>
              </w:rPr>
              <w:t>3/22 (14%)</w:t>
            </w:r>
          </w:p>
          <w:p w:rsidR="0094293D" w:rsidRPr="00822C52" w:rsidRDefault="0094293D" w:rsidP="0094293D">
            <w:pPr>
              <w:pStyle w:val="Tabletext"/>
              <w:jc w:val="center"/>
              <w:rPr>
                <w:rFonts w:cs="Tahoma"/>
              </w:rPr>
            </w:pPr>
            <w:r w:rsidRPr="00822C52">
              <w:rPr>
                <w:rFonts w:cs="Tahoma"/>
              </w:rPr>
              <w:t>1/22 (5%)</w:t>
            </w:r>
          </w:p>
          <w:p w:rsidR="0094293D" w:rsidRDefault="0094293D" w:rsidP="0094293D">
            <w:pPr>
              <w:pStyle w:val="Tabletext"/>
              <w:jc w:val="center"/>
              <w:rPr>
                <w:rFonts w:cs="Tahoma"/>
              </w:rPr>
            </w:pPr>
            <w:r w:rsidRPr="00822C52">
              <w:rPr>
                <w:rFonts w:cs="Tahoma"/>
              </w:rPr>
              <w:t>1/22 (5%)</w:t>
            </w:r>
          </w:p>
          <w:p w:rsidR="0094293D" w:rsidRPr="00822C52" w:rsidRDefault="0094293D" w:rsidP="0094293D">
            <w:pPr>
              <w:pStyle w:val="Tabletext"/>
              <w:jc w:val="center"/>
              <w:rPr>
                <w:rFonts w:cs="Tahoma"/>
              </w:rPr>
            </w:pPr>
            <w:r>
              <w:rPr>
                <w:rFonts w:cs="Tahoma"/>
              </w:rPr>
              <w:t>2/22 (9%)</w:t>
            </w:r>
          </w:p>
        </w:tc>
        <w:tc>
          <w:tcPr>
            <w:tcW w:w="1843" w:type="dxa"/>
            <w:shd w:val="clear" w:color="auto" w:fill="auto"/>
          </w:tcPr>
          <w:p w:rsidR="0094293D" w:rsidRDefault="0094293D" w:rsidP="0094293D">
            <w:pPr>
              <w:pStyle w:val="Tabletext"/>
              <w:jc w:val="center"/>
              <w:rPr>
                <w:rFonts w:cs="Tahoma"/>
              </w:rPr>
            </w:pPr>
            <w:r>
              <w:rPr>
                <w:rFonts w:cs="Tahoma"/>
              </w:rPr>
              <w:t>2/11 (18%)</w:t>
            </w:r>
          </w:p>
          <w:p w:rsidR="0094293D" w:rsidRPr="00822C52" w:rsidRDefault="0094293D" w:rsidP="0094293D">
            <w:pPr>
              <w:pStyle w:val="Tabletext"/>
              <w:jc w:val="center"/>
              <w:rPr>
                <w:rFonts w:cs="Tahoma"/>
              </w:rPr>
            </w:pPr>
            <w:r w:rsidRPr="00822C52">
              <w:rPr>
                <w:rFonts w:cs="Tahoma"/>
              </w:rPr>
              <w:t>1/11 (9%)</w:t>
            </w:r>
          </w:p>
          <w:p w:rsidR="0094293D" w:rsidRDefault="0094293D" w:rsidP="0094293D">
            <w:pPr>
              <w:pStyle w:val="Tabletext"/>
              <w:jc w:val="center"/>
              <w:rPr>
                <w:rFonts w:cs="Tahoma"/>
              </w:rPr>
            </w:pPr>
            <w:r w:rsidRPr="00822C52">
              <w:rPr>
                <w:rFonts w:cs="Tahoma"/>
              </w:rPr>
              <w:t>2/9 (18%)</w:t>
            </w:r>
          </w:p>
          <w:p w:rsidR="0094293D" w:rsidRPr="00822C52" w:rsidRDefault="0094293D" w:rsidP="0094293D">
            <w:pPr>
              <w:pStyle w:val="Tabletext"/>
              <w:jc w:val="center"/>
              <w:rPr>
                <w:rFonts w:cs="Tahoma"/>
              </w:rPr>
            </w:pPr>
            <w:r>
              <w:rPr>
                <w:rFonts w:cs="Tahoma"/>
              </w:rPr>
              <w:t>2/11 (18%)</w:t>
            </w:r>
          </w:p>
        </w:tc>
        <w:tc>
          <w:tcPr>
            <w:tcW w:w="1842" w:type="dxa"/>
          </w:tcPr>
          <w:p w:rsidR="0094293D" w:rsidRDefault="0094293D" w:rsidP="0094293D">
            <w:pPr>
              <w:pStyle w:val="Tabletext"/>
              <w:rPr>
                <w:rFonts w:cs="Tahoma"/>
              </w:rPr>
            </w:pPr>
            <w:r>
              <w:rPr>
                <w:rFonts w:cs="Tahoma"/>
              </w:rPr>
              <w:t>0.75 (0.15, 3.85)</w:t>
            </w:r>
          </w:p>
          <w:p w:rsidR="0094293D" w:rsidRDefault="0094293D" w:rsidP="0094293D">
            <w:pPr>
              <w:pStyle w:val="Tabletext"/>
              <w:rPr>
                <w:rFonts w:cs="Tahoma"/>
              </w:rPr>
            </w:pPr>
            <w:r>
              <w:rPr>
                <w:rFonts w:cs="Tahoma"/>
              </w:rPr>
              <w:t>0.50 (0.03, 7.26)</w:t>
            </w:r>
          </w:p>
          <w:p w:rsidR="0094293D" w:rsidRDefault="0094293D" w:rsidP="0094293D">
            <w:pPr>
              <w:pStyle w:val="Tabletext"/>
              <w:rPr>
                <w:rFonts w:cs="Tahoma"/>
              </w:rPr>
            </w:pPr>
            <w:r>
              <w:rPr>
                <w:rFonts w:cs="Tahoma"/>
              </w:rPr>
              <w:t>0.25 (0.03, 2.47)</w:t>
            </w:r>
          </w:p>
          <w:p w:rsidR="0094293D" w:rsidRPr="00822C52" w:rsidRDefault="0094293D" w:rsidP="0094293D">
            <w:pPr>
              <w:pStyle w:val="Tabletext"/>
              <w:rPr>
                <w:rFonts w:cs="Tahoma"/>
              </w:rPr>
            </w:pPr>
            <w:r>
              <w:rPr>
                <w:rFonts w:cs="Tahoma"/>
              </w:rPr>
              <w:t>0.05 (0.08, 3.09)</w:t>
            </w:r>
          </w:p>
        </w:tc>
      </w:tr>
      <w:tr w:rsidR="0075777C" w:rsidRPr="00822C52" w:rsidTr="0094293D">
        <w:trPr>
          <w:trHeight w:val="70"/>
        </w:trPr>
        <w:tc>
          <w:tcPr>
            <w:tcW w:w="1838" w:type="dxa"/>
          </w:tcPr>
          <w:p w:rsidR="0075777C" w:rsidRPr="00822C52" w:rsidRDefault="0075777C" w:rsidP="00887161">
            <w:pPr>
              <w:pStyle w:val="Tabletext"/>
              <w:rPr>
                <w:rFonts w:cs="Tahoma"/>
              </w:rPr>
            </w:pPr>
            <w:r w:rsidRPr="00822C52">
              <w:rPr>
                <w:rFonts w:cs="Tahoma"/>
              </w:rPr>
              <w:t>Han 2017</w:t>
            </w:r>
            <w:r w:rsidR="001D34EE" w:rsidRPr="001A1C44">
              <w:rPr>
                <w:rFonts w:cs="Tahoma"/>
                <w:noProof/>
                <w:vertAlign w:val="superscript"/>
              </w:rPr>
              <w:t>38</w:t>
            </w:r>
            <w:r>
              <w:rPr>
                <w:rFonts w:cs="Tahoma"/>
              </w:rPr>
              <w:t xml:space="preserve"> </w:t>
            </w:r>
            <w:r>
              <w:rPr>
                <w:rFonts w:cs="Tahoma"/>
                <w:vertAlign w:val="superscript"/>
              </w:rPr>
              <w:t>a</w:t>
            </w:r>
          </w:p>
          <w:p w:rsidR="0094293D" w:rsidRDefault="0094293D" w:rsidP="0094293D">
            <w:pPr>
              <w:pStyle w:val="Tabletext"/>
              <w:rPr>
                <w:rFonts w:cs="Tahoma"/>
              </w:rPr>
            </w:pPr>
            <w:r>
              <w:rPr>
                <w:rFonts w:cs="Tahoma"/>
              </w:rPr>
              <w:t>Bosentan/iloprost</w:t>
            </w:r>
          </w:p>
          <w:p w:rsidR="0075777C" w:rsidRPr="00822C52" w:rsidRDefault="0094293D" w:rsidP="00887161">
            <w:pPr>
              <w:pStyle w:val="Tabletext"/>
              <w:rPr>
                <w:rFonts w:cs="Tahoma"/>
              </w:rPr>
            </w:pPr>
            <w:r>
              <w:rPr>
                <w:rFonts w:cs="Tahoma"/>
              </w:rPr>
              <w:t>12 weeks</w:t>
            </w:r>
          </w:p>
        </w:tc>
        <w:tc>
          <w:tcPr>
            <w:tcW w:w="2552" w:type="dxa"/>
          </w:tcPr>
          <w:p w:rsidR="0075777C" w:rsidRPr="00822C52" w:rsidRDefault="0075777C" w:rsidP="00887161">
            <w:pPr>
              <w:pStyle w:val="Tabletext"/>
              <w:rPr>
                <w:rFonts w:cs="Tahoma"/>
              </w:rPr>
            </w:pPr>
            <w:r w:rsidRPr="00822C52">
              <w:rPr>
                <w:rFonts w:cs="Tahoma"/>
              </w:rPr>
              <w:t>Any AE</w:t>
            </w:r>
          </w:p>
          <w:p w:rsidR="0075777C" w:rsidRPr="00822C52" w:rsidRDefault="0075777C" w:rsidP="00887161">
            <w:pPr>
              <w:pStyle w:val="Tabletext"/>
              <w:rPr>
                <w:rFonts w:cs="Tahoma"/>
              </w:rPr>
            </w:pPr>
            <w:r w:rsidRPr="00822C52">
              <w:rPr>
                <w:rFonts w:cs="Tahoma"/>
              </w:rPr>
              <w:t>Serious AEs leading to discontinuation</w:t>
            </w:r>
          </w:p>
        </w:tc>
        <w:tc>
          <w:tcPr>
            <w:tcW w:w="1559" w:type="dxa"/>
            <w:shd w:val="clear" w:color="auto" w:fill="auto"/>
          </w:tcPr>
          <w:p w:rsidR="0075777C" w:rsidRPr="00822C52" w:rsidRDefault="0075777C" w:rsidP="00887161">
            <w:pPr>
              <w:pStyle w:val="Tabletext"/>
              <w:jc w:val="center"/>
              <w:rPr>
                <w:rFonts w:cs="Tahoma"/>
              </w:rPr>
            </w:pPr>
            <w:r w:rsidRPr="00822C52">
              <w:rPr>
                <w:rFonts w:cs="Tahoma"/>
              </w:rPr>
              <w:t>7</w:t>
            </w:r>
            <w:r>
              <w:rPr>
                <w:rFonts w:cs="Tahoma"/>
              </w:rPr>
              <w:t>/8</w:t>
            </w:r>
            <w:r w:rsidRPr="00822C52">
              <w:rPr>
                <w:rFonts w:cs="Tahoma"/>
              </w:rPr>
              <w:t xml:space="preserve"> (8</w:t>
            </w:r>
            <w:r w:rsidR="0050638A">
              <w:rPr>
                <w:rFonts w:cs="Tahoma"/>
              </w:rPr>
              <w:t>8</w:t>
            </w:r>
            <w:r w:rsidRPr="00822C52">
              <w:rPr>
                <w:rFonts w:cs="Tahoma"/>
              </w:rPr>
              <w:t>%)</w:t>
            </w:r>
          </w:p>
          <w:p w:rsidR="0075777C" w:rsidRPr="00822C52" w:rsidRDefault="0075777C" w:rsidP="00887161">
            <w:pPr>
              <w:pStyle w:val="Tabletext"/>
              <w:jc w:val="center"/>
              <w:rPr>
                <w:rFonts w:cs="Tahoma"/>
                <w:highlight w:val="cyan"/>
              </w:rPr>
            </w:pPr>
            <w:r w:rsidRPr="00822C52">
              <w:rPr>
                <w:rFonts w:cs="Tahoma"/>
              </w:rPr>
              <w:t>0</w:t>
            </w:r>
            <w:r>
              <w:rPr>
                <w:rFonts w:cs="Tahoma"/>
              </w:rPr>
              <w:t>/8</w:t>
            </w:r>
            <w:r w:rsidRPr="00822C52">
              <w:rPr>
                <w:rFonts w:cs="Tahoma"/>
              </w:rPr>
              <w:t xml:space="preserve"> (0%)</w:t>
            </w:r>
          </w:p>
        </w:tc>
        <w:tc>
          <w:tcPr>
            <w:tcW w:w="1843" w:type="dxa"/>
            <w:shd w:val="clear" w:color="auto" w:fill="auto"/>
          </w:tcPr>
          <w:p w:rsidR="0075777C" w:rsidRPr="00822C52" w:rsidRDefault="0075777C" w:rsidP="00887161">
            <w:pPr>
              <w:pStyle w:val="Tabletext"/>
              <w:jc w:val="center"/>
              <w:rPr>
                <w:rFonts w:cs="Tahoma"/>
              </w:rPr>
            </w:pPr>
            <w:r w:rsidRPr="00822C52">
              <w:rPr>
                <w:rFonts w:cs="Tahoma"/>
              </w:rPr>
              <w:t>5</w:t>
            </w:r>
            <w:r>
              <w:rPr>
                <w:rFonts w:cs="Tahoma"/>
              </w:rPr>
              <w:t>/6</w:t>
            </w:r>
            <w:r w:rsidR="0050638A">
              <w:rPr>
                <w:rFonts w:cs="Tahoma"/>
              </w:rPr>
              <w:t xml:space="preserve"> (83</w:t>
            </w:r>
            <w:r w:rsidRPr="00822C52">
              <w:rPr>
                <w:rFonts w:cs="Tahoma"/>
              </w:rPr>
              <w:t>%)</w:t>
            </w:r>
          </w:p>
          <w:p w:rsidR="0075777C" w:rsidRPr="00822C52" w:rsidRDefault="0075777C" w:rsidP="00887161">
            <w:pPr>
              <w:pStyle w:val="Tabletext"/>
              <w:jc w:val="center"/>
              <w:rPr>
                <w:rFonts w:cs="Tahoma"/>
                <w:highlight w:val="cyan"/>
              </w:rPr>
            </w:pPr>
            <w:r w:rsidRPr="00822C52">
              <w:rPr>
                <w:rFonts w:cs="Tahoma"/>
              </w:rPr>
              <w:t>0</w:t>
            </w:r>
            <w:r>
              <w:rPr>
                <w:rFonts w:cs="Tahoma"/>
              </w:rPr>
              <w:t>/6</w:t>
            </w:r>
            <w:r w:rsidRPr="00822C52">
              <w:rPr>
                <w:rFonts w:cs="Tahoma"/>
              </w:rPr>
              <w:t xml:space="preserve"> (0%)</w:t>
            </w:r>
          </w:p>
        </w:tc>
        <w:tc>
          <w:tcPr>
            <w:tcW w:w="1842" w:type="dxa"/>
          </w:tcPr>
          <w:p w:rsidR="0075777C" w:rsidRPr="00DA6B01" w:rsidRDefault="0075777C" w:rsidP="00887161">
            <w:pPr>
              <w:pStyle w:val="Tabletext"/>
              <w:rPr>
                <w:rFonts w:cs="Tahoma"/>
              </w:rPr>
            </w:pPr>
            <w:r>
              <w:rPr>
                <w:rFonts w:cs="Tahoma"/>
              </w:rPr>
              <w:t>1.05 (0.67, 1.64)</w:t>
            </w:r>
          </w:p>
          <w:p w:rsidR="0075777C" w:rsidRPr="00822C52" w:rsidRDefault="0075777C" w:rsidP="00887161">
            <w:pPr>
              <w:pStyle w:val="Tabletext"/>
              <w:rPr>
                <w:rFonts w:cs="Tahoma"/>
                <w:highlight w:val="cyan"/>
              </w:rPr>
            </w:pPr>
            <w:r w:rsidRPr="00DA6B01">
              <w:rPr>
                <w:rFonts w:cs="Tahoma"/>
              </w:rPr>
              <w:t>Not calculable</w:t>
            </w:r>
          </w:p>
        </w:tc>
      </w:tr>
    </w:tbl>
    <w:p w:rsidR="0075777C" w:rsidRPr="00822C52" w:rsidRDefault="0075777C" w:rsidP="00887161">
      <w:pPr>
        <w:pStyle w:val="Tablenote"/>
      </w:pPr>
      <w:r>
        <w:rPr>
          <w:vertAlign w:val="superscript"/>
        </w:rPr>
        <w:t>a</w:t>
      </w:r>
      <w:r w:rsidRPr="00822C52">
        <w:t xml:space="preserve"> 1 patient (12.5%) in the ERA + </w:t>
      </w:r>
      <w:r w:rsidR="00887161" w:rsidRPr="00822C52">
        <w:t>prostanoid</w:t>
      </w:r>
      <w:r w:rsidRPr="00822C52">
        <w:t xml:space="preserve"> group had CTEPH.</w:t>
      </w:r>
    </w:p>
    <w:p w:rsidR="00C30B1C" w:rsidRDefault="0075777C" w:rsidP="00887161">
      <w:pPr>
        <w:pStyle w:val="Tablenote"/>
      </w:pPr>
      <w:r w:rsidRPr="00822C52">
        <w:t xml:space="preserve">AE = adverse event; CI = confidence interval; </w:t>
      </w:r>
      <w:r>
        <w:t>CTEPH = c</w:t>
      </w:r>
      <w:r w:rsidRPr="00DE3429">
        <w:t xml:space="preserve">hronic </w:t>
      </w:r>
      <w:r>
        <w:t>t</w:t>
      </w:r>
      <w:r w:rsidRPr="00DE3429">
        <w:t xml:space="preserve">hromboembolic </w:t>
      </w:r>
      <w:r>
        <w:t>p</w:t>
      </w:r>
      <w:r w:rsidRPr="00DE3429">
        <w:t xml:space="preserve">ulmonary </w:t>
      </w:r>
      <w:r>
        <w:t>h</w:t>
      </w:r>
      <w:r w:rsidRPr="00DE3429">
        <w:t>ypertension</w:t>
      </w:r>
      <w:r>
        <w:t>;</w:t>
      </w:r>
      <w:r w:rsidRPr="00DE3429">
        <w:t xml:space="preserve"> </w:t>
      </w:r>
      <w:r w:rsidRPr="00822C52">
        <w:t xml:space="preserve">ERA = endothelin receptor antagonist; n = number of </w:t>
      </w:r>
      <w:r w:rsidR="00C30B1C">
        <w:t xml:space="preserve">patients with </w:t>
      </w:r>
      <w:r w:rsidRPr="00822C52">
        <w:t>events; N = number of patients; PAH = pulmonary arterial hypertension; RR = relative risk</w:t>
      </w:r>
    </w:p>
    <w:p w:rsidR="0075777C" w:rsidRPr="00822C52" w:rsidRDefault="00761752" w:rsidP="0075777C">
      <w:pPr>
        <w:pStyle w:val="Heading4"/>
      </w:pPr>
      <w:r>
        <w:t>4.4.3.3</w:t>
      </w:r>
      <w:r>
        <w:tab/>
      </w:r>
      <w:r w:rsidR="005035F1">
        <w:tab/>
      </w:r>
      <w:r w:rsidR="0075777C">
        <w:t>PDE-5 inhibitor</w:t>
      </w:r>
      <w:r w:rsidR="0075777C" w:rsidRPr="00822C52">
        <w:t xml:space="preserve"> </w:t>
      </w:r>
      <w:r w:rsidR="0075777C">
        <w:t xml:space="preserve">in </w:t>
      </w:r>
      <w:r w:rsidR="0075777C" w:rsidRPr="00822C52">
        <w:t>addition to ERA</w:t>
      </w:r>
    </w:p>
    <w:p w:rsidR="0075777C" w:rsidRPr="00822C52" w:rsidRDefault="0075777C" w:rsidP="0075777C">
      <w:r>
        <w:t xml:space="preserve">Five RCTs reported on </w:t>
      </w:r>
      <w:r w:rsidRPr="00DE5444">
        <w:t xml:space="preserve">the effectiveness of a PDE-5 inhibitor in addition to ERA in treating PAH compared with placebo plus </w:t>
      </w:r>
      <w:r>
        <w:t>ERA</w:t>
      </w:r>
      <w:r w:rsidRPr="00DE5444">
        <w:t>.</w:t>
      </w:r>
    </w:p>
    <w:p w:rsidR="0075777C" w:rsidRPr="00822C52" w:rsidRDefault="0075777C" w:rsidP="0075777C">
      <w:r w:rsidRPr="00822C52">
        <w:t>The AMBITION</w:t>
      </w:r>
      <w:r w:rsidR="001D34EE" w:rsidRPr="001A1C44">
        <w:rPr>
          <w:noProof/>
          <w:vertAlign w:val="superscript"/>
        </w:rPr>
        <w:t>30</w:t>
      </w:r>
      <w:r w:rsidRPr="00822C52">
        <w:t xml:space="preserve"> double-blind trial randomised patients with WHO FC II/III PAH to receive combination therapy with ambrisentan plus tadalafil, or monotherapy with ambrisentan plus placebo, or tadalafil plus placebo. The mean duration of use of the randomly assigned study medication from the start of therapy to the final assessment visit was 74 wee</w:t>
      </w:r>
      <w:r w:rsidR="00466A07">
        <w:t xml:space="preserve">ks (79 weeks in the combination </w:t>
      </w:r>
      <w:r w:rsidRPr="00822C52">
        <w:t>therapy group and 69 weeks in the monotherapy group</w:t>
      </w:r>
      <w:r>
        <w:t>s</w:t>
      </w:r>
      <w:r w:rsidRPr="00822C52">
        <w:t xml:space="preserve">). </w:t>
      </w:r>
      <w:r>
        <w:t>The me</w:t>
      </w:r>
      <w:r w:rsidR="00466A07">
        <w:t>an</w:t>
      </w:r>
      <w:r>
        <w:t xml:space="preserve"> follow-up time from randomisation to the end of the study was </w:t>
      </w:r>
      <w:r w:rsidR="00466A07">
        <w:t>87</w:t>
      </w:r>
      <w:r>
        <w:t xml:space="preserve"> weeks (</w:t>
      </w:r>
      <w:r w:rsidR="00466A07">
        <w:t>89</w:t>
      </w:r>
      <w:r w:rsidR="00466A07" w:rsidRPr="00822C52">
        <w:t xml:space="preserve"> weeks in the combination</w:t>
      </w:r>
      <w:r w:rsidR="00466A07">
        <w:t xml:space="preserve"> </w:t>
      </w:r>
      <w:r w:rsidR="00466A07" w:rsidRPr="00822C52">
        <w:t xml:space="preserve">therapy group and </w:t>
      </w:r>
      <w:r w:rsidR="00466A07">
        <w:t>85</w:t>
      </w:r>
      <w:r w:rsidR="00466A07" w:rsidRPr="00822C52">
        <w:t xml:space="preserve"> weeks in the monotherapy group</w:t>
      </w:r>
      <w:r w:rsidR="00466A07">
        <w:t>s</w:t>
      </w:r>
      <w:r>
        <w:t xml:space="preserve">). </w:t>
      </w:r>
      <w:r w:rsidRPr="00822C52">
        <w:t xml:space="preserve">Patients were diagnosed with IPAH, HPAH, PAH-CTD, PAH-CHD, PAH-HIV or </w:t>
      </w:r>
      <w:r w:rsidR="009B47AA" w:rsidRPr="00EB1471">
        <w:t xml:space="preserve">drug/toxin-induced </w:t>
      </w:r>
      <w:r w:rsidRPr="00822C52">
        <w:t xml:space="preserve">PAH, and were stratified according to PAH aetiology and WHO FC. </w:t>
      </w:r>
      <w:r>
        <w:t>Coghlan et al (2016)</w:t>
      </w:r>
      <w:r w:rsidR="001D34EE" w:rsidRPr="001A1C44">
        <w:rPr>
          <w:noProof/>
          <w:vertAlign w:val="superscript"/>
        </w:rPr>
        <w:t>31</w:t>
      </w:r>
      <w:r>
        <w:t xml:space="preserve"> conducted a post hoc analysis of clinical worsening and safety in patients with PAH-CTD.</w:t>
      </w:r>
    </w:p>
    <w:p w:rsidR="0075777C" w:rsidRDefault="0075777C" w:rsidP="0075777C">
      <w:r>
        <w:t xml:space="preserve">The </w:t>
      </w:r>
      <w:r w:rsidRPr="00822C52">
        <w:t>Zhuang 2014</w:t>
      </w:r>
      <w:r w:rsidR="001D34EE" w:rsidRPr="001A1C44">
        <w:rPr>
          <w:noProof/>
          <w:vertAlign w:val="superscript"/>
        </w:rPr>
        <w:t>50</w:t>
      </w:r>
      <w:r>
        <w:t xml:space="preserve"> </w:t>
      </w:r>
      <w:r w:rsidRPr="00DD2E1E">
        <w:t xml:space="preserve">double-blind controlled study </w:t>
      </w:r>
      <w:r>
        <w:t>randomis</w:t>
      </w:r>
      <w:r w:rsidRPr="00DD2E1E">
        <w:t>ed</w:t>
      </w:r>
      <w:r>
        <w:t xml:space="preserve"> patients with symptomatic PAH receiving ambrisentan for 4 months or more, to additional treatment with tadalafil or placebo for 16 weeks. The randomization was stratified for baseline 6MWD and PAH aetiology (IPAH/HPAH and anorexigen use versus other types).</w:t>
      </w:r>
      <w:r w:rsidRPr="00DD2E1E">
        <w:t xml:space="preserve"> </w:t>
      </w:r>
      <w:r>
        <w:t>There were no significant differences between the tadalafil and placebo groups in any demographic or baseline characteristics, but the placebo group did have approximately twice as many patients with PAH caused by anorexigen use (7/64; 11% v</w:t>
      </w:r>
      <w:r w:rsidR="0095089E">
        <w:t>ersus</w:t>
      </w:r>
      <w:r>
        <w:t xml:space="preserve"> 4/60; 7%) or PAH-CHD (5/64; 8% versus 2/60; 3%). Pre-defined subgroup analysis was performed for 6MWD for patients with WHO FC III/IV.</w:t>
      </w:r>
    </w:p>
    <w:p w:rsidR="0075777C" w:rsidRPr="006316DF" w:rsidRDefault="0075777C" w:rsidP="0075777C">
      <w:r w:rsidRPr="006316DF">
        <w:lastRenderedPageBreak/>
        <w:t xml:space="preserve">The </w:t>
      </w:r>
      <w:r w:rsidRPr="00822C52">
        <w:t>PHIRST</w:t>
      </w:r>
      <w:r w:rsidR="001D34EE" w:rsidRPr="001D34EE">
        <w:rPr>
          <w:noProof/>
          <w:vertAlign w:val="superscript"/>
        </w:rPr>
        <w:t>12</w:t>
      </w:r>
      <w:r>
        <w:t xml:space="preserve"> </w:t>
      </w:r>
      <w:r w:rsidRPr="006316DF">
        <w:t xml:space="preserve">double-blind trial randomised PAH patients of </w:t>
      </w:r>
      <w:r w:rsidRPr="00AC7FDB">
        <w:t>any</w:t>
      </w:r>
      <w:r w:rsidRPr="006316DF">
        <w:t xml:space="preserve"> WHO FC to receive </w:t>
      </w:r>
      <w:r>
        <w:t xml:space="preserve">20 mg or 40 mg </w:t>
      </w:r>
      <w:r w:rsidRPr="006316DF">
        <w:t xml:space="preserve">tadalafil or placebo for 16 weeks. Background use of bosentan was permitted for patients taking a stable dose for a minimum of 12 weeks before screening. </w:t>
      </w:r>
      <w:r>
        <w:t xml:space="preserve">The results for those on background bosentan and randomised to either 40 mg tadalafil or placebo are included in this section. </w:t>
      </w:r>
      <w:r w:rsidRPr="006316DF">
        <w:t xml:space="preserve">The randomisation was stratified for baseline </w:t>
      </w:r>
      <w:r w:rsidR="0082368E">
        <w:t>walk distance</w:t>
      </w:r>
      <w:r w:rsidRPr="006316DF">
        <w:t xml:space="preserve"> (&lt;325 m or &gt;325 m), PAH aetiology (IPAH</w:t>
      </w:r>
      <w:r>
        <w:t>, HPAH</w:t>
      </w:r>
      <w:r w:rsidRPr="006316DF">
        <w:t xml:space="preserve"> and anorexigen use </w:t>
      </w:r>
      <w:r w:rsidRPr="00F61F37">
        <w:t>versus</w:t>
      </w:r>
      <w:r>
        <w:rPr>
          <w:i/>
        </w:rPr>
        <w:t xml:space="preserve"> </w:t>
      </w:r>
      <w:r w:rsidRPr="006316DF">
        <w:t>other types</w:t>
      </w:r>
      <w:r>
        <w:t xml:space="preserve"> of PAH</w:t>
      </w:r>
      <w:r w:rsidRPr="006316DF">
        <w:t xml:space="preserve">) and for bosentan use. </w:t>
      </w:r>
      <w:r>
        <w:t>The baseline characteristics were similar in the two treatment groups except that the placebo plus bosentan group had more patients with WHO FC III/IV PAH compared with the combination therapy groups (71% v</w:t>
      </w:r>
      <w:r w:rsidR="0095089E">
        <w:t>ersu</w:t>
      </w:r>
      <w:r>
        <w:t>s 58%)</w:t>
      </w:r>
      <w:r w:rsidRPr="006316DF">
        <w:t xml:space="preserve">. </w:t>
      </w:r>
      <w:r>
        <w:t xml:space="preserve">Pre-specified exploratory analysis for PAH patients receiving background bosentan was undertaken </w:t>
      </w:r>
      <w:r w:rsidR="001D34EE" w:rsidRPr="001A1C44">
        <w:rPr>
          <w:noProof/>
          <w:vertAlign w:val="superscript"/>
        </w:rPr>
        <w:t>45</w:t>
      </w:r>
      <w:r>
        <w:t xml:space="preserve">. </w:t>
      </w:r>
      <w:r w:rsidRPr="006316DF">
        <w:t xml:space="preserve">A </w:t>
      </w:r>
      <w:r>
        <w:t xml:space="preserve">post </w:t>
      </w:r>
      <w:r w:rsidRPr="00FD18C8">
        <w:t>hoc</w:t>
      </w:r>
      <w:r w:rsidRPr="006316DF">
        <w:t xml:space="preserve"> subgroup analysis for </w:t>
      </w:r>
      <w:r>
        <w:t xml:space="preserve">6MWD of </w:t>
      </w:r>
      <w:r w:rsidRPr="006316DF">
        <w:t>patients with WHO FC I</w:t>
      </w:r>
      <w:r>
        <w:t>II</w:t>
      </w:r>
      <w:r w:rsidRPr="006316DF">
        <w:t>/I</w:t>
      </w:r>
      <w:r>
        <w:t>V</w:t>
      </w:r>
      <w:r w:rsidRPr="006316DF">
        <w:t xml:space="preserve"> PAH</w:t>
      </w:r>
      <w:r>
        <w:t xml:space="preserve"> and patients with different PAH aetiologies who were receiving background bosentan</w:t>
      </w:r>
      <w:r w:rsidRPr="006316DF">
        <w:t xml:space="preserve"> was </w:t>
      </w:r>
      <w:r>
        <w:t xml:space="preserve">also </w:t>
      </w:r>
      <w:r w:rsidRPr="006316DF">
        <w:t xml:space="preserve">conducted by Barst </w:t>
      </w:r>
      <w:r w:rsidRPr="00CE7FEC">
        <w:t>et al</w:t>
      </w:r>
      <w:r w:rsidRPr="006316DF">
        <w:t>. (2011)</w:t>
      </w:r>
      <w:r w:rsidR="001D34EE" w:rsidRPr="001A1C44">
        <w:rPr>
          <w:noProof/>
          <w:vertAlign w:val="superscript"/>
        </w:rPr>
        <w:t>45</w:t>
      </w:r>
      <w:r w:rsidRPr="006316DF">
        <w:t>.</w:t>
      </w:r>
    </w:p>
    <w:p w:rsidR="0075777C" w:rsidRDefault="0075777C" w:rsidP="0075777C">
      <w:r>
        <w:t xml:space="preserve">The </w:t>
      </w:r>
      <w:r w:rsidRPr="00822C52">
        <w:t>Vizza 2017</w:t>
      </w:r>
      <w:r w:rsidR="001D34EE" w:rsidRPr="001A1C44">
        <w:rPr>
          <w:noProof/>
          <w:vertAlign w:val="superscript"/>
        </w:rPr>
        <w:t>49</w:t>
      </w:r>
      <w:r>
        <w:t xml:space="preserve"> RCT was a 12-week, multicentre, multinational, double-blind study in which patients with IPAH or PAH-CTD who were taking bosentan at a stable dose for ≥3 months were randomised to sildenafil or placebo. Randomisation was intended to be stratified by baseline 6MWD and PAH aetiology, but after blinding was broken, it was realized that only baseline 6MWD stratification had occurred. Thus, there were some imbalances in the proportion of patients in each of the strata: fewer PAH-CTD patients with a 6MWD &lt;325m were assigned to the sildenafil treatment group (n=5) than to the placebo group (n=10). Additionally, more patients with WHO FC III were assigned to the placebo group (72%) compared with the sildenafil treatment groups (58%). Pre-specified analysis of the primary endpoint of 6MWD in patients with IPAH/HPAH or PAH-CTD was also conducted.</w:t>
      </w:r>
    </w:p>
    <w:p w:rsidR="0075777C" w:rsidRDefault="0075777C" w:rsidP="0075777C">
      <w:r>
        <w:t xml:space="preserve">The </w:t>
      </w:r>
      <w:r w:rsidRPr="00822C52">
        <w:t>Mainguy 2013</w:t>
      </w:r>
      <w:r w:rsidR="001D34EE" w:rsidRPr="001A1C44">
        <w:rPr>
          <w:noProof/>
          <w:vertAlign w:val="superscript"/>
        </w:rPr>
        <w:t>39</w:t>
      </w:r>
      <w:r w:rsidRPr="00635C22">
        <w:t xml:space="preserve"> </w:t>
      </w:r>
      <w:r>
        <w:t xml:space="preserve">double-blind crossover trial randomised stable PAH patients already on PAH monotherapy to sildenafil or placebo for 28 days. This was followed by a 28-day washout period before patients were crossed over to placebo or sildenafil for a further 28-day period. </w:t>
      </w:r>
      <w:r w:rsidRPr="004F3635">
        <w:t xml:space="preserve">Most patients had </w:t>
      </w:r>
      <w:r>
        <w:t>I</w:t>
      </w:r>
      <w:r w:rsidRPr="004F3635">
        <w:t>PAH or PAH</w:t>
      </w:r>
      <w:r>
        <w:t>-CTD and were in WHO FC II. They were mostly being treated with ERAs (n= 15 with bosentan and n=3 with ambrisentan), but 2 patients were being treated with epoprostenol.</w:t>
      </w:r>
    </w:p>
    <w:p w:rsidR="0075777C" w:rsidRPr="00822C52" w:rsidRDefault="0075777C" w:rsidP="0075777C">
      <w:r w:rsidRPr="00822C52">
        <w:t xml:space="preserve">The AMBITION trial had a low risk of bias, and the </w:t>
      </w:r>
      <w:r>
        <w:t>PHIRST, Z</w:t>
      </w:r>
      <w:r w:rsidR="008D6E18">
        <w:t>h</w:t>
      </w:r>
      <w:r>
        <w:t>uang 2014, Vizza 2017</w:t>
      </w:r>
      <w:r w:rsidRPr="00822C52">
        <w:t xml:space="preserve"> and </w:t>
      </w:r>
      <w:r>
        <w:t xml:space="preserve">Mainguy 2013 </w:t>
      </w:r>
      <w:r w:rsidRPr="00822C52">
        <w:t xml:space="preserve">trials had a low-to-moderate risk of bias. The increased risk was mainly due to </w:t>
      </w:r>
      <w:r>
        <w:t xml:space="preserve">lack of clarity in describing the randomisation allocations and blinding of assessments. </w:t>
      </w:r>
      <w:r w:rsidRPr="00822C52">
        <w:t xml:space="preserve">There was also a large variation in the duration of the trials; varying from </w:t>
      </w:r>
      <w:r>
        <w:t>4</w:t>
      </w:r>
      <w:r w:rsidRPr="00822C52">
        <w:t xml:space="preserve"> weeks</w:t>
      </w:r>
      <w:r>
        <w:t xml:space="preserve"> in the cross-over trial</w:t>
      </w:r>
      <w:r w:rsidRPr="00822C52">
        <w:t xml:space="preserve"> to </w:t>
      </w:r>
      <w:r>
        <w:t>a mean 74</w:t>
      </w:r>
      <w:r w:rsidRPr="00822C52">
        <w:t xml:space="preserve"> weeks</w:t>
      </w:r>
      <w:r>
        <w:t xml:space="preserve"> in the AMBITION trial</w:t>
      </w:r>
      <w:r w:rsidRPr="00822C52">
        <w:t>, as described above.</w:t>
      </w:r>
    </w:p>
    <w:p w:rsidR="0075777C" w:rsidRDefault="0077344D" w:rsidP="0075777C">
      <w:pPr>
        <w:pStyle w:val="Heading5"/>
      </w:pPr>
      <w:r>
        <w:t>a.</w:t>
      </w:r>
      <w:r w:rsidR="007B6C7C">
        <w:tab/>
      </w:r>
      <w:r w:rsidR="0075777C" w:rsidRPr="00822C52">
        <w:t>Study-defined clinical worsening</w:t>
      </w:r>
    </w:p>
    <w:p w:rsidR="0075777C" w:rsidRPr="00822C52" w:rsidRDefault="0075777C" w:rsidP="0075777C">
      <w:r>
        <w:t xml:space="preserve">Four RCTs reported on the effectiveness of </w:t>
      </w:r>
      <w:r w:rsidRPr="00157F57">
        <w:t xml:space="preserve">PDE-5 inhibitor </w:t>
      </w:r>
      <w:r>
        <w:t>plus an</w:t>
      </w:r>
      <w:r w:rsidRPr="00157F57">
        <w:t xml:space="preserve"> ERA compared with placebo </w:t>
      </w:r>
      <w:r>
        <w:t>plus</w:t>
      </w:r>
      <w:r w:rsidRPr="00157F57">
        <w:t xml:space="preserve"> ERA in preventing clinical worsening in PAH patients</w:t>
      </w:r>
      <w:r>
        <w:t xml:space="preserve"> of any WHO FC and disease aetiology. The AMBITION trial also reported clinical worsening in the PAH-CTD patient subgroup.</w:t>
      </w:r>
      <w:r w:rsidR="00E411CE" w:rsidRPr="00E411CE">
        <w:t xml:space="preserve"> </w:t>
      </w:r>
      <w:r w:rsidR="00E411CE" w:rsidRPr="00E03F94">
        <w:t>The definition of clinical worsening included death,</w:t>
      </w:r>
      <w:r w:rsidR="00E411CE" w:rsidRPr="00E411CE">
        <w:t xml:space="preserve"> </w:t>
      </w:r>
      <w:r w:rsidR="00E411CE" w:rsidRPr="00E03F94">
        <w:t>hospitalisation due to PAH</w:t>
      </w:r>
      <w:r w:rsidR="00E411CE">
        <w:t>, lung transplantation</w:t>
      </w:r>
      <w:r w:rsidR="00E411CE" w:rsidRPr="00E03F94">
        <w:t xml:space="preserve"> </w:t>
      </w:r>
      <w:r w:rsidR="00E411CE">
        <w:lastRenderedPageBreak/>
        <w:t xml:space="preserve">and start of new therapy in </w:t>
      </w:r>
      <w:r w:rsidR="00E411CE" w:rsidRPr="00E03F94">
        <w:t>all trials</w:t>
      </w:r>
      <w:r w:rsidR="00E411CE">
        <w:t xml:space="preserve"> that reported this outcome</w:t>
      </w:r>
      <w:r w:rsidR="00E411CE" w:rsidRPr="00E03F94">
        <w:t xml:space="preserve"> (see Section 4.</w:t>
      </w:r>
      <w:r w:rsidR="00E411CE">
        <w:t>3.5</w:t>
      </w:r>
      <w:r w:rsidR="00E411CE" w:rsidRPr="00E03F94">
        <w:t xml:space="preserve"> for further details).</w:t>
      </w:r>
    </w:p>
    <w:p w:rsidR="0075777C" w:rsidRPr="00B607A5" w:rsidRDefault="0077344D" w:rsidP="0077344D">
      <w:pPr>
        <w:pStyle w:val="Heading6"/>
      </w:pPr>
      <w:r w:rsidRPr="00B607A5">
        <w:t>a</w:t>
      </w:r>
      <w:r w:rsidR="0075777C" w:rsidRPr="00B607A5">
        <w:t>.i</w:t>
      </w:r>
      <w:r w:rsidR="0075777C" w:rsidRPr="00B607A5">
        <w:tab/>
        <w:t>PAH patients, irrespective of disease severity or aetiology</w:t>
      </w:r>
    </w:p>
    <w:p w:rsidR="0075777C" w:rsidRPr="006316DF" w:rsidRDefault="0075777C" w:rsidP="0075777C">
      <w:r>
        <w:t>Only the AMBITION trial</w:t>
      </w:r>
      <w:r w:rsidRPr="006316DF">
        <w:t xml:space="preserve"> reported the HR for </w:t>
      </w:r>
      <w:r>
        <w:t xml:space="preserve">all PAH </w:t>
      </w:r>
      <w:r w:rsidRPr="006316DF">
        <w:t xml:space="preserve">patients experiencing clinical worsening while </w:t>
      </w:r>
      <w:r>
        <w:t>receiving</w:t>
      </w:r>
      <w:r w:rsidRPr="006316DF">
        <w:t xml:space="preserve"> </w:t>
      </w:r>
      <w:r w:rsidRPr="007E28B1">
        <w:t xml:space="preserve">PDE-5 inhibitor </w:t>
      </w:r>
      <w:r>
        <w:t>plus</w:t>
      </w:r>
      <w:r w:rsidRPr="007E28B1">
        <w:t xml:space="preserve"> ERA</w:t>
      </w:r>
      <w:r>
        <w:t xml:space="preserve"> treatment</w:t>
      </w:r>
      <w:r w:rsidRPr="007E28B1">
        <w:t xml:space="preserve"> </w:t>
      </w:r>
      <w:r w:rsidRPr="006316DF">
        <w:t xml:space="preserve">compared with </w:t>
      </w:r>
      <w:r>
        <w:t>treatment with a</w:t>
      </w:r>
      <w:r w:rsidRPr="006316DF">
        <w:t xml:space="preserve">n ERA </w:t>
      </w:r>
      <w:r>
        <w:t>alone (</w:t>
      </w:r>
      <w:r w:rsidR="00AA722D">
        <w:t>Table 4.</w:t>
      </w:r>
      <w:r w:rsidR="00AA722D">
        <w:rPr>
          <w:noProof/>
        </w:rPr>
        <w:t>61</w:t>
      </w:r>
      <w:r>
        <w:t>)</w:t>
      </w:r>
      <w:r w:rsidRPr="006316DF">
        <w:t>. In th</w:t>
      </w:r>
      <w:r>
        <w:t>is trial</w:t>
      </w:r>
      <w:r w:rsidRPr="006316DF">
        <w:t xml:space="preserve">, patients receiving </w:t>
      </w:r>
      <w:r>
        <w:t>combination therapy</w:t>
      </w:r>
      <w:r w:rsidRPr="006316DF">
        <w:t xml:space="preserve"> were </w:t>
      </w:r>
      <w:r>
        <w:t xml:space="preserve">2-times less likely </w:t>
      </w:r>
      <w:r w:rsidRPr="006316DF">
        <w:t xml:space="preserve">to have clinical worsening than patients who received </w:t>
      </w:r>
      <w:r>
        <w:t xml:space="preserve">monotherapy </w:t>
      </w:r>
      <w:r w:rsidRPr="006316DF">
        <w:t xml:space="preserve">over the </w:t>
      </w:r>
      <w:r>
        <w:t>74</w:t>
      </w:r>
      <w:r w:rsidRPr="006316DF">
        <w:t xml:space="preserve">-week study period. </w:t>
      </w:r>
      <w:r>
        <w:t>The Zhuang 2014 RCT reported a statistically significant reduction in the proportion of patients having a clinical worsening event in the combination therapy group compared with the monotherapy group</w:t>
      </w:r>
      <w:r w:rsidR="005267B0">
        <w:t>.</w:t>
      </w:r>
    </w:p>
    <w:p w:rsidR="0075777C" w:rsidRPr="00DD7790" w:rsidRDefault="00272F8F" w:rsidP="00BC5A2B">
      <w:pPr>
        <w:pStyle w:val="Caption"/>
      </w:pPr>
      <w:bookmarkStart w:id="195" w:name="_Ref504392531"/>
      <w:bookmarkStart w:id="196" w:name="_Toc512855465"/>
      <w:r>
        <w:t>Table 4.</w:t>
      </w:r>
      <w:r w:rsidR="00AA722D">
        <w:rPr>
          <w:noProof/>
        </w:rPr>
        <w:t>61</w:t>
      </w:r>
      <w:bookmarkEnd w:id="195"/>
      <w:r w:rsidR="0094293D">
        <w:tab/>
      </w:r>
      <w:r w:rsidR="0075777C" w:rsidRPr="00DD7790">
        <w:t xml:space="preserve">The effectiveness of </w:t>
      </w:r>
      <w:r w:rsidR="00385078">
        <w:t xml:space="preserve">a </w:t>
      </w:r>
      <w:r w:rsidR="0075777C" w:rsidRPr="00DD7790">
        <w:t>PDE-5 inhibitor</w:t>
      </w:r>
      <w:r w:rsidR="0075777C">
        <w:t xml:space="preserve"> </w:t>
      </w:r>
      <w:r w:rsidR="00385078">
        <w:t>in addition to an</w:t>
      </w:r>
      <w:r w:rsidR="0075777C" w:rsidRPr="00DD7790">
        <w:t xml:space="preserve"> ERA compared with ERA</w:t>
      </w:r>
      <w:r w:rsidR="00385078">
        <w:t xml:space="preserve"> monotherapy</w:t>
      </w:r>
      <w:r w:rsidR="0075777C" w:rsidRPr="00DD7790">
        <w:t xml:space="preserve"> in preventing clinical worsening in all PAH patients</w:t>
      </w:r>
      <w:bookmarkEnd w:id="196"/>
    </w:p>
    <w:tbl>
      <w:tblPr>
        <w:tblStyle w:val="TableGrid7"/>
        <w:tblW w:w="9634" w:type="dxa"/>
        <w:tblLayout w:type="fixed"/>
        <w:tblLook w:val="04A0" w:firstRow="1" w:lastRow="0" w:firstColumn="1" w:lastColumn="0" w:noHBand="0" w:noVBand="1"/>
        <w:tblCaption w:val="The effectiveness of a PDE-5 inhibitor in addition to an ERA compared with ERA monotherapy in preventing clinical worsening in all PAH patients"/>
      </w:tblPr>
      <w:tblGrid>
        <w:gridCol w:w="1555"/>
        <w:gridCol w:w="1984"/>
        <w:gridCol w:w="2126"/>
        <w:gridCol w:w="1985"/>
        <w:gridCol w:w="1984"/>
      </w:tblGrid>
      <w:tr w:rsidR="0075777C" w:rsidRPr="00822C52" w:rsidTr="00E1509D">
        <w:trPr>
          <w:trHeight w:val="277"/>
          <w:tblHeader/>
        </w:trPr>
        <w:tc>
          <w:tcPr>
            <w:tcW w:w="1555" w:type="dxa"/>
            <w:vMerge w:val="restart"/>
            <w:shd w:val="clear" w:color="auto" w:fill="BFBFBF" w:themeFill="background1" w:themeFillShade="BF"/>
          </w:tcPr>
          <w:p w:rsidR="0075777C" w:rsidRPr="0094293D" w:rsidRDefault="0075777C" w:rsidP="0094293D">
            <w:pPr>
              <w:pStyle w:val="Tabletext"/>
              <w:rPr>
                <w:b/>
              </w:rPr>
            </w:pPr>
            <w:r w:rsidRPr="0094293D">
              <w:rPr>
                <w:b/>
              </w:rPr>
              <w:t>Study ID</w:t>
            </w:r>
          </w:p>
        </w:tc>
        <w:tc>
          <w:tcPr>
            <w:tcW w:w="1984" w:type="dxa"/>
            <w:vMerge w:val="restart"/>
            <w:shd w:val="clear" w:color="auto" w:fill="BFBFBF" w:themeFill="background1" w:themeFillShade="BF"/>
          </w:tcPr>
          <w:p w:rsidR="0075777C" w:rsidRPr="0094293D" w:rsidRDefault="0075777C" w:rsidP="0094293D">
            <w:pPr>
              <w:pStyle w:val="Tabletext"/>
              <w:rPr>
                <w:b/>
              </w:rPr>
            </w:pPr>
            <w:r w:rsidRPr="0094293D">
              <w:rPr>
                <w:b/>
              </w:rPr>
              <w:t>PDE-5i/ERA</w:t>
            </w:r>
          </w:p>
          <w:p w:rsidR="0075777C" w:rsidRPr="0094293D" w:rsidRDefault="0075777C" w:rsidP="0094293D">
            <w:pPr>
              <w:pStyle w:val="Tabletext"/>
              <w:rPr>
                <w:b/>
              </w:rPr>
            </w:pPr>
            <w:r w:rsidRPr="0094293D">
              <w:rPr>
                <w:b/>
              </w:rPr>
              <w:t>Follow-up period</w:t>
            </w:r>
          </w:p>
        </w:tc>
        <w:tc>
          <w:tcPr>
            <w:tcW w:w="4111" w:type="dxa"/>
            <w:gridSpan w:val="2"/>
            <w:shd w:val="clear" w:color="auto" w:fill="BFBFBF" w:themeFill="background1" w:themeFillShade="BF"/>
          </w:tcPr>
          <w:p w:rsidR="0075777C" w:rsidRPr="0094293D" w:rsidRDefault="0075777C" w:rsidP="0094293D">
            <w:pPr>
              <w:pStyle w:val="Tabletext"/>
              <w:jc w:val="center"/>
              <w:rPr>
                <w:b/>
              </w:rPr>
            </w:pPr>
            <w:r w:rsidRPr="0094293D">
              <w:rPr>
                <w:b/>
              </w:rPr>
              <w:t>n/N (%)</w:t>
            </w:r>
          </w:p>
        </w:tc>
        <w:tc>
          <w:tcPr>
            <w:tcW w:w="1984" w:type="dxa"/>
            <w:vMerge w:val="restart"/>
            <w:shd w:val="clear" w:color="auto" w:fill="BFBFBF" w:themeFill="background1" w:themeFillShade="BF"/>
          </w:tcPr>
          <w:p w:rsidR="0075777C" w:rsidRPr="0094293D" w:rsidRDefault="0075777C" w:rsidP="0094293D">
            <w:pPr>
              <w:pStyle w:val="Tabletext"/>
              <w:rPr>
                <w:b/>
              </w:rPr>
            </w:pPr>
            <w:r w:rsidRPr="0094293D">
              <w:rPr>
                <w:b/>
              </w:rPr>
              <w:t>HR (95% CI)</w:t>
            </w:r>
          </w:p>
        </w:tc>
      </w:tr>
      <w:tr w:rsidR="0075777C" w:rsidRPr="00822C52" w:rsidTr="00E1509D">
        <w:trPr>
          <w:trHeight w:val="202"/>
          <w:tblHeader/>
        </w:trPr>
        <w:tc>
          <w:tcPr>
            <w:tcW w:w="1555" w:type="dxa"/>
            <w:vMerge/>
            <w:shd w:val="clear" w:color="auto" w:fill="BFBFBF" w:themeFill="background1" w:themeFillShade="BF"/>
          </w:tcPr>
          <w:p w:rsidR="0075777C" w:rsidRPr="00822C52" w:rsidRDefault="0075777C" w:rsidP="0094293D">
            <w:pPr>
              <w:pStyle w:val="Tabletext"/>
            </w:pPr>
          </w:p>
        </w:tc>
        <w:tc>
          <w:tcPr>
            <w:tcW w:w="1984" w:type="dxa"/>
            <w:vMerge/>
            <w:shd w:val="clear" w:color="auto" w:fill="BFBFBF" w:themeFill="background1" w:themeFillShade="BF"/>
          </w:tcPr>
          <w:p w:rsidR="0075777C" w:rsidRPr="00822C52" w:rsidRDefault="0075777C" w:rsidP="0094293D">
            <w:pPr>
              <w:pStyle w:val="Tabletext"/>
            </w:pPr>
          </w:p>
        </w:tc>
        <w:tc>
          <w:tcPr>
            <w:tcW w:w="2126" w:type="dxa"/>
            <w:shd w:val="clear" w:color="auto" w:fill="BFBFBF" w:themeFill="background1" w:themeFillShade="BF"/>
          </w:tcPr>
          <w:p w:rsidR="0075777C" w:rsidRPr="0094293D" w:rsidRDefault="0075777C" w:rsidP="0094293D">
            <w:pPr>
              <w:pStyle w:val="Tabletext"/>
              <w:jc w:val="center"/>
              <w:rPr>
                <w:b/>
              </w:rPr>
            </w:pPr>
            <w:r w:rsidRPr="0094293D">
              <w:rPr>
                <w:b/>
              </w:rPr>
              <w:t>PDE-5i + ERA</w:t>
            </w:r>
          </w:p>
        </w:tc>
        <w:tc>
          <w:tcPr>
            <w:tcW w:w="1985" w:type="dxa"/>
            <w:shd w:val="clear" w:color="auto" w:fill="BFBFBF" w:themeFill="background1" w:themeFillShade="BF"/>
          </w:tcPr>
          <w:p w:rsidR="0075777C" w:rsidRPr="0094293D" w:rsidRDefault="0075777C" w:rsidP="0094293D">
            <w:pPr>
              <w:pStyle w:val="Tabletext"/>
              <w:jc w:val="center"/>
              <w:rPr>
                <w:b/>
              </w:rPr>
            </w:pPr>
            <w:r w:rsidRPr="0094293D">
              <w:rPr>
                <w:b/>
              </w:rPr>
              <w:t>ERA</w:t>
            </w:r>
          </w:p>
        </w:tc>
        <w:tc>
          <w:tcPr>
            <w:tcW w:w="1984" w:type="dxa"/>
            <w:vMerge/>
            <w:shd w:val="clear" w:color="auto" w:fill="BFBFBF" w:themeFill="background1" w:themeFillShade="BF"/>
          </w:tcPr>
          <w:p w:rsidR="0075777C" w:rsidRPr="00822C52" w:rsidRDefault="0075777C" w:rsidP="0094293D">
            <w:pPr>
              <w:pStyle w:val="Tabletext"/>
            </w:pPr>
          </w:p>
        </w:tc>
      </w:tr>
      <w:tr w:rsidR="0075777C" w:rsidRPr="00822C52" w:rsidTr="00E1509D">
        <w:trPr>
          <w:trHeight w:val="70"/>
        </w:trPr>
        <w:tc>
          <w:tcPr>
            <w:tcW w:w="1555" w:type="dxa"/>
          </w:tcPr>
          <w:p w:rsidR="0075777C" w:rsidRPr="00822C52" w:rsidRDefault="0075777C" w:rsidP="001D34EE">
            <w:pPr>
              <w:pStyle w:val="Tabletext"/>
              <w:rPr>
                <w:rFonts w:cs="Tahoma"/>
              </w:rPr>
            </w:pPr>
            <w:r w:rsidRPr="00822C52">
              <w:rPr>
                <w:rFonts w:cs="Tahoma"/>
              </w:rPr>
              <w:t>AMBITION</w:t>
            </w:r>
            <w:r w:rsidR="001D34EE" w:rsidRPr="001A1C44">
              <w:rPr>
                <w:rFonts w:cs="Tahoma"/>
                <w:noProof/>
                <w:vertAlign w:val="superscript"/>
              </w:rPr>
              <w:t>30</w:t>
            </w:r>
          </w:p>
        </w:tc>
        <w:tc>
          <w:tcPr>
            <w:tcW w:w="1984" w:type="dxa"/>
          </w:tcPr>
          <w:p w:rsidR="0075777C" w:rsidRPr="00822C52" w:rsidRDefault="0075777C" w:rsidP="0094293D">
            <w:pPr>
              <w:pStyle w:val="Tabletext"/>
              <w:rPr>
                <w:rFonts w:cs="Tahoma"/>
                <w:highlight w:val="yellow"/>
              </w:rPr>
            </w:pPr>
            <w:r w:rsidRPr="00822C52">
              <w:rPr>
                <w:rFonts w:cs="Tahoma"/>
              </w:rPr>
              <w:t>Tadalafil/ambrisentan</w:t>
            </w:r>
          </w:p>
          <w:p w:rsidR="0075777C" w:rsidRDefault="0075777C" w:rsidP="0094293D">
            <w:pPr>
              <w:pStyle w:val="Tabletext"/>
              <w:rPr>
                <w:rFonts w:cs="Tahoma"/>
              </w:rPr>
            </w:pPr>
            <w:r w:rsidRPr="00822C52">
              <w:rPr>
                <w:rFonts w:cs="Tahoma"/>
              </w:rPr>
              <w:t xml:space="preserve">FAV: mean </w:t>
            </w:r>
            <w:r>
              <w:rPr>
                <w:rFonts w:cs="Tahoma"/>
              </w:rPr>
              <w:t>74</w:t>
            </w:r>
            <w:r w:rsidRPr="00822C52">
              <w:rPr>
                <w:rFonts w:cs="Tahoma"/>
              </w:rPr>
              <w:t xml:space="preserve"> weeks</w:t>
            </w:r>
          </w:p>
          <w:p w:rsidR="0075777C" w:rsidRPr="00812EB0" w:rsidRDefault="0075777C" w:rsidP="0038038B">
            <w:pPr>
              <w:pStyle w:val="Tabletext"/>
              <w:rPr>
                <w:rFonts w:cs="Tahoma"/>
              </w:rPr>
            </w:pPr>
            <w:r w:rsidRPr="00822C52">
              <w:rPr>
                <w:rFonts w:cs="Tahoma"/>
              </w:rPr>
              <w:t xml:space="preserve">EOS: </w:t>
            </w:r>
            <w:r>
              <w:rPr>
                <w:rFonts w:cs="Tahoma"/>
              </w:rPr>
              <w:t>me</w:t>
            </w:r>
            <w:r w:rsidR="0038038B">
              <w:rPr>
                <w:rFonts w:cs="Tahoma"/>
              </w:rPr>
              <w:t>an 87 weeks</w:t>
            </w:r>
          </w:p>
        </w:tc>
        <w:tc>
          <w:tcPr>
            <w:tcW w:w="2126" w:type="dxa"/>
          </w:tcPr>
          <w:p w:rsidR="0075777C" w:rsidRPr="00822C52" w:rsidRDefault="0075777C" w:rsidP="0094293D">
            <w:pPr>
              <w:pStyle w:val="Tabletext"/>
              <w:jc w:val="center"/>
              <w:rPr>
                <w:rFonts w:cs="Tahoma"/>
              </w:rPr>
            </w:pPr>
          </w:p>
          <w:p w:rsidR="0075777C" w:rsidRDefault="0050638A" w:rsidP="0094293D">
            <w:pPr>
              <w:pStyle w:val="Tabletext"/>
              <w:jc w:val="center"/>
              <w:rPr>
                <w:rFonts w:cs="Tahoma"/>
              </w:rPr>
            </w:pPr>
            <w:r>
              <w:rPr>
                <w:rFonts w:cs="Tahoma"/>
              </w:rPr>
              <w:t>46/253 (18</w:t>
            </w:r>
            <w:r w:rsidR="0075777C" w:rsidRPr="00822C52">
              <w:rPr>
                <w:rFonts w:cs="Tahoma"/>
              </w:rPr>
              <w:t>%)</w:t>
            </w:r>
          </w:p>
          <w:p w:rsidR="0075777C" w:rsidRPr="00812EB0" w:rsidRDefault="0075777C" w:rsidP="0050638A">
            <w:pPr>
              <w:pStyle w:val="Tabletext"/>
              <w:jc w:val="center"/>
              <w:rPr>
                <w:rFonts w:cs="Tahoma"/>
              </w:rPr>
            </w:pPr>
            <w:r>
              <w:rPr>
                <w:rFonts w:cs="Tahoma"/>
              </w:rPr>
              <w:t>52/253 (2</w:t>
            </w:r>
            <w:r w:rsidR="0050638A">
              <w:rPr>
                <w:rFonts w:cs="Tahoma"/>
              </w:rPr>
              <w:t>1</w:t>
            </w:r>
            <w:r>
              <w:rPr>
                <w:rFonts w:cs="Tahoma"/>
              </w:rPr>
              <w:t>%)</w:t>
            </w:r>
          </w:p>
        </w:tc>
        <w:tc>
          <w:tcPr>
            <w:tcW w:w="1985" w:type="dxa"/>
          </w:tcPr>
          <w:p w:rsidR="0075777C" w:rsidRPr="00822C52" w:rsidRDefault="0075777C" w:rsidP="0094293D">
            <w:pPr>
              <w:pStyle w:val="Tabletext"/>
              <w:jc w:val="center"/>
              <w:rPr>
                <w:rFonts w:cs="Tahoma"/>
              </w:rPr>
            </w:pPr>
          </w:p>
          <w:p w:rsidR="0075777C" w:rsidRDefault="0050638A" w:rsidP="0094293D">
            <w:pPr>
              <w:pStyle w:val="Tabletext"/>
              <w:jc w:val="center"/>
              <w:rPr>
                <w:rFonts w:cs="Tahoma"/>
              </w:rPr>
            </w:pPr>
            <w:r>
              <w:rPr>
                <w:rFonts w:cs="Tahoma"/>
              </w:rPr>
              <w:t>43/126 (34</w:t>
            </w:r>
            <w:r w:rsidR="0075777C" w:rsidRPr="00822C52">
              <w:rPr>
                <w:rFonts w:cs="Tahoma"/>
              </w:rPr>
              <w:t>%)</w:t>
            </w:r>
          </w:p>
          <w:p w:rsidR="0075777C" w:rsidRPr="00812EB0" w:rsidRDefault="0050638A" w:rsidP="0094293D">
            <w:pPr>
              <w:pStyle w:val="Tabletext"/>
              <w:jc w:val="center"/>
              <w:rPr>
                <w:rFonts w:cs="Tahoma"/>
              </w:rPr>
            </w:pPr>
            <w:r>
              <w:rPr>
                <w:rFonts w:cs="Tahoma"/>
              </w:rPr>
              <w:t>47/126 (37</w:t>
            </w:r>
            <w:r w:rsidR="0075777C">
              <w:rPr>
                <w:rFonts w:cs="Tahoma"/>
              </w:rPr>
              <w:t>%)</w:t>
            </w:r>
          </w:p>
        </w:tc>
        <w:tc>
          <w:tcPr>
            <w:tcW w:w="1984" w:type="dxa"/>
          </w:tcPr>
          <w:p w:rsidR="0075777C" w:rsidRPr="00822C52" w:rsidRDefault="0075777C" w:rsidP="0094293D">
            <w:pPr>
              <w:pStyle w:val="Tabletext"/>
              <w:rPr>
                <w:rFonts w:cs="Tahoma"/>
              </w:rPr>
            </w:pPr>
          </w:p>
          <w:p w:rsidR="0075777C" w:rsidRDefault="0095089E" w:rsidP="0094293D">
            <w:pPr>
              <w:pStyle w:val="Tabletext"/>
              <w:rPr>
                <w:rFonts w:cs="Tahoma"/>
              </w:rPr>
            </w:pPr>
            <w:r>
              <w:rPr>
                <w:rFonts w:cs="Tahoma"/>
              </w:rPr>
              <w:t>0.48 (</w:t>
            </w:r>
            <w:r w:rsidR="0075777C" w:rsidRPr="00822C52">
              <w:rPr>
                <w:rFonts w:cs="Tahoma"/>
              </w:rPr>
              <w:t>0.31, 0.72</w:t>
            </w:r>
            <w:r>
              <w:rPr>
                <w:rFonts w:cs="Tahoma"/>
              </w:rPr>
              <w:t>)</w:t>
            </w:r>
            <w:r w:rsidR="0075777C" w:rsidRPr="00822C52">
              <w:rPr>
                <w:rFonts w:cs="Tahoma"/>
              </w:rPr>
              <w:t>, p&lt;0.001</w:t>
            </w:r>
          </w:p>
          <w:p w:rsidR="0075777C" w:rsidRPr="00822C52" w:rsidRDefault="0075777C" w:rsidP="0094293D">
            <w:pPr>
              <w:pStyle w:val="Tabletext"/>
              <w:rPr>
                <w:rFonts w:cs="Tahoma"/>
              </w:rPr>
            </w:pPr>
            <w:r w:rsidRPr="00822C52">
              <w:rPr>
                <w:rFonts w:cs="Tahoma"/>
              </w:rPr>
              <w:t>0</w:t>
            </w:r>
            <w:r w:rsidR="0095089E">
              <w:rPr>
                <w:rFonts w:cs="Tahoma"/>
              </w:rPr>
              <w:t>.48 (0.32, 0.71)</w:t>
            </w:r>
            <w:r>
              <w:rPr>
                <w:rFonts w:cs="Tahoma"/>
              </w:rPr>
              <w:t>, p&lt;0.001</w:t>
            </w:r>
          </w:p>
        </w:tc>
      </w:tr>
      <w:tr w:rsidR="0075777C" w:rsidRPr="00822C52" w:rsidTr="00E1509D">
        <w:trPr>
          <w:trHeight w:val="70"/>
        </w:trPr>
        <w:tc>
          <w:tcPr>
            <w:tcW w:w="1555" w:type="dxa"/>
          </w:tcPr>
          <w:p w:rsidR="0075777C" w:rsidRDefault="0075777C" w:rsidP="0094293D">
            <w:pPr>
              <w:pStyle w:val="Tabletext"/>
            </w:pPr>
            <w:r w:rsidRPr="00822C52">
              <w:t>PHIRST</w:t>
            </w:r>
          </w:p>
          <w:p w:rsidR="0075777C" w:rsidRPr="00822C52" w:rsidRDefault="0075777C" w:rsidP="001D34EE">
            <w:pPr>
              <w:pStyle w:val="Tabletext"/>
            </w:pPr>
            <w:r>
              <w:t>Barst et al</w:t>
            </w:r>
            <w:r w:rsidRPr="00822C52">
              <w:t xml:space="preserve"> (2011)</w:t>
            </w:r>
            <w:r w:rsidR="001D34EE" w:rsidRPr="001A1C44">
              <w:rPr>
                <w:noProof/>
                <w:vertAlign w:val="superscript"/>
              </w:rPr>
              <w:t>45</w:t>
            </w:r>
          </w:p>
        </w:tc>
        <w:tc>
          <w:tcPr>
            <w:tcW w:w="1984" w:type="dxa"/>
          </w:tcPr>
          <w:p w:rsidR="0075777C" w:rsidRPr="00822C52" w:rsidRDefault="0075777C" w:rsidP="0094293D">
            <w:pPr>
              <w:pStyle w:val="Tabletext"/>
            </w:pPr>
            <w:r w:rsidRPr="00822C52">
              <w:t>Tadalafil/bosentan</w:t>
            </w:r>
          </w:p>
          <w:p w:rsidR="0075777C" w:rsidRPr="00822C52" w:rsidRDefault="0075777C" w:rsidP="0094293D">
            <w:pPr>
              <w:pStyle w:val="Tabletext"/>
            </w:pPr>
            <w:r w:rsidRPr="00822C52">
              <w:rPr>
                <w:rFonts w:cs="Tahoma"/>
              </w:rPr>
              <w:t>16 weeks</w:t>
            </w:r>
          </w:p>
        </w:tc>
        <w:tc>
          <w:tcPr>
            <w:tcW w:w="2126" w:type="dxa"/>
          </w:tcPr>
          <w:p w:rsidR="0075777C" w:rsidRPr="00822C52" w:rsidRDefault="0075777C" w:rsidP="0094293D">
            <w:pPr>
              <w:pStyle w:val="Tabletext"/>
              <w:jc w:val="center"/>
              <w:rPr>
                <w:rFonts w:cs="Tahoma"/>
              </w:rPr>
            </w:pPr>
            <w:r w:rsidRPr="00822C52">
              <w:rPr>
                <w:rFonts w:cs="Tahoma"/>
              </w:rPr>
              <w:t>2/42 (5%)</w:t>
            </w:r>
          </w:p>
        </w:tc>
        <w:tc>
          <w:tcPr>
            <w:tcW w:w="1985" w:type="dxa"/>
          </w:tcPr>
          <w:p w:rsidR="0075777C" w:rsidRPr="00822C52" w:rsidRDefault="0075777C" w:rsidP="0094293D">
            <w:pPr>
              <w:pStyle w:val="Tabletext"/>
              <w:jc w:val="center"/>
              <w:rPr>
                <w:rFonts w:cs="Tahoma"/>
              </w:rPr>
            </w:pPr>
            <w:r w:rsidRPr="00822C52">
              <w:rPr>
                <w:rFonts w:cs="Tahoma"/>
              </w:rPr>
              <w:t>5/45 (11%)</w:t>
            </w:r>
          </w:p>
        </w:tc>
        <w:tc>
          <w:tcPr>
            <w:tcW w:w="1984" w:type="dxa"/>
          </w:tcPr>
          <w:p w:rsidR="0075777C" w:rsidRPr="00822C52" w:rsidRDefault="0075777C" w:rsidP="0094293D">
            <w:pPr>
              <w:pStyle w:val="Tabletext"/>
              <w:rPr>
                <w:rFonts w:cs="Tahoma"/>
              </w:rPr>
            </w:pPr>
            <w:r w:rsidRPr="00822C52">
              <w:rPr>
                <w:rFonts w:cs="Tahoma"/>
              </w:rPr>
              <w:t>NR</w:t>
            </w:r>
          </w:p>
        </w:tc>
      </w:tr>
      <w:tr w:rsidR="0075777C" w:rsidRPr="00822C52" w:rsidTr="00E1509D">
        <w:trPr>
          <w:trHeight w:val="70"/>
        </w:trPr>
        <w:tc>
          <w:tcPr>
            <w:tcW w:w="1555" w:type="dxa"/>
          </w:tcPr>
          <w:p w:rsidR="0075777C" w:rsidRPr="00822C52" w:rsidRDefault="0075777C" w:rsidP="001D34EE">
            <w:pPr>
              <w:pStyle w:val="Tabletext"/>
            </w:pPr>
            <w:r w:rsidRPr="00822C52">
              <w:t>Zhuang 2014</w:t>
            </w:r>
            <w:r w:rsidR="001D34EE" w:rsidRPr="001A1C44">
              <w:rPr>
                <w:noProof/>
                <w:vertAlign w:val="superscript"/>
              </w:rPr>
              <w:t>50</w:t>
            </w:r>
          </w:p>
        </w:tc>
        <w:tc>
          <w:tcPr>
            <w:tcW w:w="1984" w:type="dxa"/>
          </w:tcPr>
          <w:p w:rsidR="0075777C" w:rsidRPr="00822C52" w:rsidRDefault="0075777C" w:rsidP="0094293D">
            <w:pPr>
              <w:pStyle w:val="Tabletext"/>
            </w:pPr>
            <w:r w:rsidRPr="00822C52">
              <w:t>Tadalafil/ambrisentan</w:t>
            </w:r>
          </w:p>
          <w:p w:rsidR="0075777C" w:rsidRPr="00822C52" w:rsidRDefault="0075777C" w:rsidP="0094293D">
            <w:pPr>
              <w:pStyle w:val="Tabletext"/>
              <w:rPr>
                <w:rFonts w:cs="Tahoma"/>
              </w:rPr>
            </w:pPr>
            <w:r w:rsidRPr="00822C52">
              <w:rPr>
                <w:rFonts w:cs="Tahoma"/>
              </w:rPr>
              <w:t>16 weeks</w:t>
            </w:r>
          </w:p>
        </w:tc>
        <w:tc>
          <w:tcPr>
            <w:tcW w:w="2126" w:type="dxa"/>
          </w:tcPr>
          <w:p w:rsidR="0075777C" w:rsidRPr="00822C52" w:rsidRDefault="0075777C" w:rsidP="0094293D">
            <w:pPr>
              <w:pStyle w:val="Tabletext"/>
              <w:jc w:val="center"/>
              <w:rPr>
                <w:rFonts w:cs="Tahoma"/>
                <w:highlight w:val="cyan"/>
              </w:rPr>
            </w:pPr>
            <w:r w:rsidRPr="00822C52">
              <w:rPr>
                <w:rFonts w:cs="Tahoma"/>
              </w:rPr>
              <w:t>5/60 (8%)</w:t>
            </w:r>
          </w:p>
        </w:tc>
        <w:tc>
          <w:tcPr>
            <w:tcW w:w="1985" w:type="dxa"/>
          </w:tcPr>
          <w:p w:rsidR="0075777C" w:rsidRPr="00822C52" w:rsidRDefault="0075777C" w:rsidP="0094293D">
            <w:pPr>
              <w:pStyle w:val="Tabletext"/>
              <w:jc w:val="center"/>
              <w:rPr>
                <w:rFonts w:cs="Tahoma"/>
                <w:highlight w:val="cyan"/>
              </w:rPr>
            </w:pPr>
            <w:r w:rsidRPr="00822C52">
              <w:rPr>
                <w:rFonts w:cs="Tahoma"/>
              </w:rPr>
              <w:t>14/64 (22%)</w:t>
            </w:r>
          </w:p>
        </w:tc>
        <w:tc>
          <w:tcPr>
            <w:tcW w:w="1984" w:type="dxa"/>
          </w:tcPr>
          <w:p w:rsidR="0075777C" w:rsidRPr="00822C52" w:rsidRDefault="0075777C" w:rsidP="0094293D">
            <w:pPr>
              <w:pStyle w:val="Tabletext"/>
              <w:rPr>
                <w:rFonts w:cs="Tahoma"/>
                <w:highlight w:val="cyan"/>
              </w:rPr>
            </w:pPr>
            <w:r w:rsidRPr="00822C52">
              <w:rPr>
                <w:rFonts w:cs="Tahoma"/>
              </w:rPr>
              <w:t>NR, p=0.046</w:t>
            </w:r>
          </w:p>
        </w:tc>
      </w:tr>
      <w:tr w:rsidR="0075777C" w:rsidRPr="00822C52" w:rsidTr="00E1509D">
        <w:trPr>
          <w:trHeight w:val="70"/>
        </w:trPr>
        <w:tc>
          <w:tcPr>
            <w:tcW w:w="1555" w:type="dxa"/>
          </w:tcPr>
          <w:p w:rsidR="0075777C" w:rsidRPr="00822C52" w:rsidRDefault="0075777C" w:rsidP="001D34EE">
            <w:pPr>
              <w:pStyle w:val="Tabletext"/>
            </w:pPr>
            <w:r w:rsidRPr="00822C52">
              <w:t>Vizza 2017</w:t>
            </w:r>
            <w:r w:rsidR="001D34EE" w:rsidRPr="001A1C44">
              <w:rPr>
                <w:noProof/>
                <w:vertAlign w:val="superscript"/>
              </w:rPr>
              <w:t>49</w:t>
            </w:r>
          </w:p>
        </w:tc>
        <w:tc>
          <w:tcPr>
            <w:tcW w:w="1984" w:type="dxa"/>
          </w:tcPr>
          <w:p w:rsidR="0075777C" w:rsidRPr="00822C52" w:rsidRDefault="0075777C" w:rsidP="0094293D">
            <w:pPr>
              <w:pStyle w:val="Tabletext"/>
            </w:pPr>
            <w:r w:rsidRPr="00822C52">
              <w:t>Sildenafil/bosentan</w:t>
            </w:r>
          </w:p>
          <w:p w:rsidR="0075777C" w:rsidRPr="00822C52" w:rsidRDefault="0075777C" w:rsidP="0094293D">
            <w:pPr>
              <w:pStyle w:val="Tabletext"/>
            </w:pPr>
            <w:r w:rsidRPr="00822C52">
              <w:t>12 weeks</w:t>
            </w:r>
          </w:p>
        </w:tc>
        <w:tc>
          <w:tcPr>
            <w:tcW w:w="2126" w:type="dxa"/>
          </w:tcPr>
          <w:p w:rsidR="0075777C" w:rsidRPr="00822C52" w:rsidRDefault="0075777C" w:rsidP="0094293D">
            <w:pPr>
              <w:pStyle w:val="Tabletext"/>
              <w:jc w:val="center"/>
              <w:rPr>
                <w:rFonts w:cs="Tahoma"/>
              </w:rPr>
            </w:pPr>
            <w:r w:rsidRPr="00822C52">
              <w:rPr>
                <w:rFonts w:cs="Tahoma"/>
              </w:rPr>
              <w:t>3/51 (6%)</w:t>
            </w:r>
          </w:p>
        </w:tc>
        <w:tc>
          <w:tcPr>
            <w:tcW w:w="1985" w:type="dxa"/>
          </w:tcPr>
          <w:p w:rsidR="0075777C" w:rsidRPr="00822C52" w:rsidRDefault="0075777C" w:rsidP="0094293D">
            <w:pPr>
              <w:pStyle w:val="Tabletext"/>
              <w:jc w:val="center"/>
              <w:rPr>
                <w:rFonts w:cs="Tahoma"/>
              </w:rPr>
            </w:pPr>
            <w:r w:rsidRPr="00822C52">
              <w:rPr>
                <w:rFonts w:cs="Tahoma"/>
              </w:rPr>
              <w:t>2/53 (6%)</w:t>
            </w:r>
          </w:p>
        </w:tc>
        <w:tc>
          <w:tcPr>
            <w:tcW w:w="1984" w:type="dxa"/>
          </w:tcPr>
          <w:p w:rsidR="0075777C" w:rsidRPr="00822C52" w:rsidRDefault="0075777C" w:rsidP="0094293D">
            <w:pPr>
              <w:pStyle w:val="Tabletext"/>
              <w:rPr>
                <w:rFonts w:cs="Tahoma"/>
              </w:rPr>
            </w:pPr>
            <w:r w:rsidRPr="00822C52">
              <w:rPr>
                <w:rFonts w:cs="Tahoma"/>
              </w:rPr>
              <w:t>NR</w:t>
            </w:r>
          </w:p>
        </w:tc>
      </w:tr>
    </w:tbl>
    <w:p w:rsidR="0075777C" w:rsidRDefault="0075777C" w:rsidP="0094293D">
      <w:pPr>
        <w:pStyle w:val="Tablenote"/>
      </w:pPr>
      <w:r w:rsidRPr="00822C52">
        <w:t xml:space="preserve">CI = confidence interval EOS = end of study; ERA = endothelin receptor antagonist; FAV = final assessment visit; HR = hazard ratio; n = number of </w:t>
      </w:r>
      <w:r w:rsidR="007064B3">
        <w:t xml:space="preserve">patients with </w:t>
      </w:r>
      <w:r w:rsidRPr="00822C52">
        <w:t xml:space="preserve">events; N = number of patients; NR = not reported; PAH = pulmonary arterial hypertension; </w:t>
      </w:r>
      <w:r>
        <w:t>PDE-5i</w:t>
      </w:r>
      <w:r w:rsidRPr="00822C52">
        <w:t xml:space="preserve"> = phosphodiesterase type-5 inhibitor</w:t>
      </w:r>
    </w:p>
    <w:p w:rsidR="0075777C" w:rsidRPr="00586718" w:rsidRDefault="0075777C" w:rsidP="0075777C">
      <w:r w:rsidRPr="006316DF">
        <w:t xml:space="preserve">A meta-analysis of the RR of having clinical worsening when being treated with </w:t>
      </w:r>
      <w:r>
        <w:t xml:space="preserve">a </w:t>
      </w:r>
      <w:r w:rsidRPr="002C2E5D">
        <w:t xml:space="preserve">PDE-5 inhibitor plus </w:t>
      </w:r>
      <w:r w:rsidRPr="006316DF">
        <w:t xml:space="preserve">an ERA compared with </w:t>
      </w:r>
      <w:r>
        <w:t>an ERA alone was performed (</w:t>
      </w:r>
      <w:r w:rsidR="00AA722D">
        <w:t>Figure 4.</w:t>
      </w:r>
      <w:r w:rsidR="00AA722D">
        <w:rPr>
          <w:noProof/>
        </w:rPr>
        <w:t>15</w:t>
      </w:r>
      <w:r w:rsidRPr="00586718">
        <w:t>). All</w:t>
      </w:r>
      <w:r w:rsidR="0085196B">
        <w:t xml:space="preserve"> except the Vizza 2017</w:t>
      </w:r>
      <w:r w:rsidR="00A03E34">
        <w:t xml:space="preserve"> </w:t>
      </w:r>
      <w:r w:rsidRPr="00586718">
        <w:t>stud</w:t>
      </w:r>
      <w:r w:rsidR="0085196B">
        <w:t>y</w:t>
      </w:r>
      <w:r w:rsidRPr="00586718">
        <w:t xml:space="preserve"> had a clinically significant point estimate favouring treatment with an ERA over placebo, but only the </w:t>
      </w:r>
      <w:r>
        <w:t>tadalafil plus ambrisenta</w:t>
      </w:r>
      <w:r w:rsidRPr="00586718">
        <w:t>n studies reached statistical significance</w:t>
      </w:r>
      <w:r>
        <w:t>; they were also the two largest studies</w:t>
      </w:r>
      <w:r w:rsidRPr="00586718">
        <w:t xml:space="preserve">. </w:t>
      </w:r>
      <w:r>
        <w:t xml:space="preserve">The wide CIs of the other two studies suggest they were underpowered to detect a significant difference for this outcome. </w:t>
      </w:r>
      <w:r w:rsidRPr="00586718">
        <w:t xml:space="preserve">Overall, patients </w:t>
      </w:r>
      <w:r>
        <w:t>receiving combination therapy had a 2</w:t>
      </w:r>
      <w:r w:rsidRPr="00586718">
        <w:t xml:space="preserve">-fold lower risk of having a clinical worsening event compared </w:t>
      </w:r>
      <w:r>
        <w:t>w</w:t>
      </w:r>
      <w:r w:rsidRPr="00586718">
        <w:t xml:space="preserve">ith those </w:t>
      </w:r>
      <w:r>
        <w:t>receiving ERA monotherapy</w:t>
      </w:r>
      <w:r w:rsidRPr="00586718">
        <w:t>.</w:t>
      </w:r>
    </w:p>
    <w:p w:rsidR="0075777C" w:rsidRDefault="0075777C" w:rsidP="0075777C">
      <w:pPr>
        <w:spacing w:after="40"/>
        <w:jc w:val="center"/>
      </w:pPr>
      <w:r>
        <w:rPr>
          <w:noProof/>
          <w:lang w:eastAsia="en-AU"/>
        </w:rPr>
        <w:lastRenderedPageBreak/>
        <w:drawing>
          <wp:inline distT="0" distB="0" distL="0" distR="0" wp14:anchorId="35DC57B9" wp14:editId="611E1611">
            <wp:extent cx="6141950" cy="2197289"/>
            <wp:effectExtent l="0" t="0" r="0" b="0"/>
            <wp:docPr id="40" name="Picture 40" descr="The estimated RR from the meta-analysis was 0.53 (95% CI 0.38, 0.73)" title="Forest plot showing the RR of having a clinical worsening event while being treated with a PDE-5 inhibitor and an ERA compared with an ERA alone in all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6210565" cy="2221836"/>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795577" w:rsidRDefault="0094293D" w:rsidP="00BC5A2B">
      <w:pPr>
        <w:pStyle w:val="Caption"/>
        <w:rPr>
          <w:rFonts w:ascii="Arial Narrow" w:hAnsi="Arial Narrow" w:cs="Tahoma"/>
          <w:u w:val="single"/>
        </w:rPr>
      </w:pPr>
      <w:bookmarkStart w:id="197" w:name="_Ref506303171"/>
      <w:bookmarkStart w:id="198" w:name="_Toc512855588"/>
      <w:r>
        <w:t>Figure 4.</w:t>
      </w:r>
      <w:r w:rsidR="00AA722D">
        <w:rPr>
          <w:noProof/>
        </w:rPr>
        <w:t>15</w:t>
      </w:r>
      <w:bookmarkEnd w:id="197"/>
      <w:r>
        <w:tab/>
      </w:r>
      <w:r w:rsidR="0075777C" w:rsidRPr="00795577">
        <w:t xml:space="preserve">Forest plot showing the RR of having a clinical worsening event while being treated with </w:t>
      </w:r>
      <w:r w:rsidR="0075777C">
        <w:t xml:space="preserve">a PDE-5 inhibitor and </w:t>
      </w:r>
      <w:r w:rsidR="0075777C" w:rsidRPr="00795577">
        <w:t xml:space="preserve">an ERA compared with </w:t>
      </w:r>
      <w:r w:rsidR="0075777C">
        <w:t>an ERA alone</w:t>
      </w:r>
      <w:r w:rsidR="0075777C" w:rsidRPr="00795577">
        <w:t xml:space="preserve"> in </w:t>
      </w:r>
      <w:r w:rsidR="0075777C">
        <w:t>all PAH patients</w:t>
      </w:r>
      <w:bookmarkEnd w:id="198"/>
    </w:p>
    <w:p w:rsidR="007064B3" w:rsidRPr="006316DF" w:rsidRDefault="0075777C" w:rsidP="0094293D">
      <w:pPr>
        <w:pStyle w:val="Tablenote"/>
      </w:pPr>
      <w:r w:rsidRPr="00795577">
        <w:t>CI = confidence interval; ERA =</w:t>
      </w:r>
      <w:r>
        <w:t xml:space="preserve"> </w:t>
      </w:r>
      <w:r w:rsidR="0006512A">
        <w:t>endothelin receptor</w:t>
      </w:r>
      <w:r>
        <w:t xml:space="preserve"> antagonist</w:t>
      </w:r>
      <w:r w:rsidRPr="00795577">
        <w:t xml:space="preserve">; N = number of patients; </w:t>
      </w:r>
      <w:r w:rsidR="007064B3" w:rsidRPr="00715D78">
        <w:t xml:space="preserve">PAH = pulmonary arterial hypertension; </w:t>
      </w:r>
      <w:r>
        <w:t xml:space="preserve">PDE-5i = </w:t>
      </w:r>
      <w:r w:rsidRPr="002C2E5D">
        <w:t>phosphodiesterase type-5 inhibitor</w:t>
      </w:r>
      <w:r>
        <w:t>;</w:t>
      </w:r>
      <w:r w:rsidRPr="002C2E5D">
        <w:t xml:space="preserve"> </w:t>
      </w:r>
      <w:r w:rsidRPr="00795577">
        <w:t>RR = relative risk</w:t>
      </w:r>
    </w:p>
    <w:p w:rsidR="0075777C" w:rsidRPr="00B607A5" w:rsidRDefault="0077344D" w:rsidP="0077344D">
      <w:pPr>
        <w:pStyle w:val="Heading6"/>
      </w:pPr>
      <w:r w:rsidRPr="00B607A5">
        <w:t>a</w:t>
      </w:r>
      <w:r w:rsidR="0075777C" w:rsidRPr="00B607A5">
        <w:t>.iii</w:t>
      </w:r>
      <w:r w:rsidR="0075777C" w:rsidRPr="00B607A5">
        <w:tab/>
        <w:t>PAH patients with different disease aetiologies</w:t>
      </w:r>
    </w:p>
    <w:p w:rsidR="0075777C" w:rsidRPr="00586718" w:rsidRDefault="0075777C" w:rsidP="00200D9E">
      <w:r w:rsidRPr="00586718">
        <w:t>Coghlan et al (2016)</w:t>
      </w:r>
      <w:r w:rsidR="001D34EE" w:rsidRPr="001A1C44">
        <w:rPr>
          <w:noProof/>
          <w:vertAlign w:val="superscript"/>
        </w:rPr>
        <w:t>31</w:t>
      </w:r>
      <w:r w:rsidRPr="00586718">
        <w:t xml:space="preserve"> </w:t>
      </w:r>
      <w:r>
        <w:t>reported on the proportion of patients with PAH-CTD who had clinical worsening while receiving combination therapy compared to those receiving monotherapy from the AMBITION trial (</w:t>
      </w:r>
      <w:r w:rsidR="00AA722D">
        <w:t xml:space="preserve">Table </w:t>
      </w:r>
      <w:r w:rsidR="00AA722D">
        <w:rPr>
          <w:noProof/>
        </w:rPr>
        <w:t>4.62</w:t>
      </w:r>
      <w:r>
        <w:t xml:space="preserve">). Combination therapy was just as effective for patients with PAH-CTD as it was for patients with any PAH aetiology. PAH-CTD </w:t>
      </w:r>
      <w:r w:rsidRPr="006316DF">
        <w:t xml:space="preserve">patients receiving </w:t>
      </w:r>
      <w:r>
        <w:t>combination therapy</w:t>
      </w:r>
      <w:r w:rsidRPr="006316DF">
        <w:t xml:space="preserve"> were </w:t>
      </w:r>
      <w:r>
        <w:t xml:space="preserve">also 2-times less likely </w:t>
      </w:r>
      <w:r w:rsidRPr="006316DF">
        <w:t xml:space="preserve">to have clinical worsening than patients who received </w:t>
      </w:r>
      <w:r>
        <w:t xml:space="preserve">monotherapy </w:t>
      </w:r>
      <w:r w:rsidRPr="006316DF">
        <w:t xml:space="preserve">over the </w:t>
      </w:r>
      <w:r>
        <w:t>74</w:t>
      </w:r>
      <w:r w:rsidRPr="006316DF">
        <w:t>-week study period.</w:t>
      </w:r>
    </w:p>
    <w:p w:rsidR="0075777C" w:rsidRPr="00DD7790" w:rsidRDefault="00272F8F" w:rsidP="00BC5A2B">
      <w:pPr>
        <w:pStyle w:val="Caption"/>
      </w:pPr>
      <w:bookmarkStart w:id="199" w:name="_Ref505252838"/>
      <w:bookmarkStart w:id="200" w:name="_Toc512855466"/>
      <w:r>
        <w:t>Table 4.</w:t>
      </w:r>
      <w:r w:rsidR="00AA722D">
        <w:rPr>
          <w:noProof/>
        </w:rPr>
        <w:t>62</w:t>
      </w:r>
      <w:bookmarkEnd w:id="199"/>
      <w:r w:rsidR="00200D9E">
        <w:tab/>
      </w:r>
      <w:r w:rsidR="0075777C" w:rsidRPr="00DD7790">
        <w:t xml:space="preserve">The effectiveness of </w:t>
      </w:r>
      <w:r w:rsidR="00385078">
        <w:t xml:space="preserve">a </w:t>
      </w:r>
      <w:r w:rsidR="00385078" w:rsidRPr="00DD7790">
        <w:t>PDE-5 inhibitor</w:t>
      </w:r>
      <w:r w:rsidR="00385078">
        <w:t xml:space="preserve"> in addition to an</w:t>
      </w:r>
      <w:r w:rsidR="00385078" w:rsidRPr="00DD7790">
        <w:t xml:space="preserve"> ERA compared with ERA</w:t>
      </w:r>
      <w:r w:rsidR="00385078">
        <w:t xml:space="preserve"> monotherapy</w:t>
      </w:r>
      <w:r w:rsidR="00385078" w:rsidRPr="00DD7790">
        <w:t xml:space="preserve"> </w:t>
      </w:r>
      <w:r w:rsidR="0075777C" w:rsidRPr="00DD7790">
        <w:t>in preventing clinical worsening in patients with PAH-CTD</w:t>
      </w:r>
      <w:bookmarkEnd w:id="200"/>
    </w:p>
    <w:tbl>
      <w:tblPr>
        <w:tblStyle w:val="TableGrid7"/>
        <w:tblW w:w="9634" w:type="dxa"/>
        <w:tblLayout w:type="fixed"/>
        <w:tblLook w:val="04A0" w:firstRow="1" w:lastRow="0" w:firstColumn="1" w:lastColumn="0" w:noHBand="0" w:noVBand="1"/>
        <w:tblCaption w:val="The effectiveness of a PDE-5 inhibitor in addition to an ERA compared with ERA monotherapy in preventing clinical worsening in patients with PAH-CTD"/>
      </w:tblPr>
      <w:tblGrid>
        <w:gridCol w:w="1696"/>
        <w:gridCol w:w="1985"/>
        <w:gridCol w:w="1842"/>
        <w:gridCol w:w="1843"/>
        <w:gridCol w:w="2268"/>
      </w:tblGrid>
      <w:tr w:rsidR="0075777C" w:rsidRPr="00822C52" w:rsidTr="00200D9E">
        <w:trPr>
          <w:trHeight w:val="126"/>
          <w:tblHeader/>
        </w:trPr>
        <w:tc>
          <w:tcPr>
            <w:tcW w:w="1696" w:type="dxa"/>
            <w:vMerge w:val="restart"/>
            <w:shd w:val="clear" w:color="auto" w:fill="BFBFBF" w:themeFill="background1" w:themeFillShade="BF"/>
          </w:tcPr>
          <w:p w:rsidR="0075777C" w:rsidRPr="00200D9E" w:rsidRDefault="0075777C" w:rsidP="00200D9E">
            <w:pPr>
              <w:pStyle w:val="Tabletext"/>
              <w:rPr>
                <w:b/>
              </w:rPr>
            </w:pPr>
            <w:r w:rsidRPr="00200D9E">
              <w:rPr>
                <w:b/>
              </w:rPr>
              <w:t>Study ID</w:t>
            </w:r>
          </w:p>
          <w:p w:rsidR="0075777C" w:rsidRPr="00200D9E" w:rsidRDefault="0075777C" w:rsidP="00200D9E">
            <w:pPr>
              <w:pStyle w:val="Tabletext"/>
              <w:rPr>
                <w:b/>
              </w:rPr>
            </w:pPr>
            <w:r w:rsidRPr="00200D9E">
              <w:rPr>
                <w:b/>
              </w:rPr>
              <w:t>PAH aetiology</w:t>
            </w:r>
          </w:p>
        </w:tc>
        <w:tc>
          <w:tcPr>
            <w:tcW w:w="1985" w:type="dxa"/>
            <w:vMerge w:val="restart"/>
            <w:shd w:val="clear" w:color="auto" w:fill="BFBFBF" w:themeFill="background1" w:themeFillShade="BF"/>
          </w:tcPr>
          <w:p w:rsidR="0075777C" w:rsidRPr="00200D9E" w:rsidRDefault="0075777C" w:rsidP="00200D9E">
            <w:pPr>
              <w:pStyle w:val="Tabletext"/>
              <w:rPr>
                <w:b/>
              </w:rPr>
            </w:pPr>
            <w:r w:rsidRPr="00200D9E">
              <w:rPr>
                <w:b/>
              </w:rPr>
              <w:t>PDE-5i/ERA</w:t>
            </w:r>
          </w:p>
          <w:p w:rsidR="0075777C" w:rsidRPr="00200D9E" w:rsidRDefault="0075777C" w:rsidP="00200D9E">
            <w:pPr>
              <w:pStyle w:val="Tabletext"/>
              <w:rPr>
                <w:b/>
              </w:rPr>
            </w:pPr>
            <w:r w:rsidRPr="00200D9E">
              <w:rPr>
                <w:b/>
              </w:rPr>
              <w:t>Follow-up period</w:t>
            </w:r>
          </w:p>
        </w:tc>
        <w:tc>
          <w:tcPr>
            <w:tcW w:w="3685" w:type="dxa"/>
            <w:gridSpan w:val="2"/>
            <w:shd w:val="clear" w:color="auto" w:fill="BFBFBF" w:themeFill="background1" w:themeFillShade="BF"/>
          </w:tcPr>
          <w:p w:rsidR="0075777C" w:rsidRPr="00200D9E" w:rsidRDefault="0075777C" w:rsidP="00200D9E">
            <w:pPr>
              <w:pStyle w:val="Tabletext"/>
              <w:jc w:val="center"/>
              <w:rPr>
                <w:b/>
              </w:rPr>
            </w:pPr>
            <w:r w:rsidRPr="00200D9E">
              <w:rPr>
                <w:b/>
              </w:rPr>
              <w:t>n/N (%)</w:t>
            </w:r>
          </w:p>
        </w:tc>
        <w:tc>
          <w:tcPr>
            <w:tcW w:w="2268" w:type="dxa"/>
            <w:vMerge w:val="restart"/>
            <w:shd w:val="clear" w:color="auto" w:fill="BFBFBF" w:themeFill="background1" w:themeFillShade="BF"/>
          </w:tcPr>
          <w:p w:rsidR="0075777C" w:rsidRPr="00200D9E" w:rsidRDefault="0075777C" w:rsidP="00200D9E">
            <w:pPr>
              <w:pStyle w:val="Tabletext"/>
              <w:rPr>
                <w:b/>
              </w:rPr>
            </w:pPr>
            <w:r w:rsidRPr="00200D9E">
              <w:rPr>
                <w:b/>
              </w:rPr>
              <w:t>HR (95% CI)</w:t>
            </w:r>
          </w:p>
        </w:tc>
      </w:tr>
      <w:tr w:rsidR="0075777C" w:rsidRPr="00822C52" w:rsidTr="00200D9E">
        <w:trPr>
          <w:trHeight w:val="202"/>
          <w:tblHeader/>
        </w:trPr>
        <w:tc>
          <w:tcPr>
            <w:tcW w:w="1696" w:type="dxa"/>
            <w:vMerge/>
            <w:shd w:val="clear" w:color="auto" w:fill="BFBFBF" w:themeFill="background1" w:themeFillShade="BF"/>
          </w:tcPr>
          <w:p w:rsidR="0075777C" w:rsidRPr="00822C52" w:rsidRDefault="0075777C" w:rsidP="00200D9E">
            <w:pPr>
              <w:pStyle w:val="Tabletext"/>
            </w:pPr>
          </w:p>
        </w:tc>
        <w:tc>
          <w:tcPr>
            <w:tcW w:w="1985" w:type="dxa"/>
            <w:vMerge/>
            <w:shd w:val="clear" w:color="auto" w:fill="BFBFBF" w:themeFill="background1" w:themeFillShade="BF"/>
          </w:tcPr>
          <w:p w:rsidR="0075777C" w:rsidRPr="00822C52" w:rsidRDefault="0075777C" w:rsidP="00200D9E">
            <w:pPr>
              <w:pStyle w:val="Tabletext"/>
            </w:pPr>
          </w:p>
        </w:tc>
        <w:tc>
          <w:tcPr>
            <w:tcW w:w="1842" w:type="dxa"/>
            <w:shd w:val="clear" w:color="auto" w:fill="BFBFBF" w:themeFill="background1" w:themeFillShade="BF"/>
          </w:tcPr>
          <w:p w:rsidR="0075777C" w:rsidRPr="00200D9E" w:rsidRDefault="0075777C" w:rsidP="00200D9E">
            <w:pPr>
              <w:pStyle w:val="Tabletext"/>
              <w:jc w:val="center"/>
              <w:rPr>
                <w:b/>
              </w:rPr>
            </w:pPr>
            <w:r w:rsidRPr="00200D9E">
              <w:rPr>
                <w:b/>
              </w:rPr>
              <w:t>PDE-5i + ERA</w:t>
            </w:r>
          </w:p>
        </w:tc>
        <w:tc>
          <w:tcPr>
            <w:tcW w:w="1843" w:type="dxa"/>
            <w:shd w:val="clear" w:color="auto" w:fill="BFBFBF" w:themeFill="background1" w:themeFillShade="BF"/>
          </w:tcPr>
          <w:p w:rsidR="0075777C" w:rsidRPr="00200D9E" w:rsidRDefault="0075777C" w:rsidP="00200D9E">
            <w:pPr>
              <w:pStyle w:val="Tabletext"/>
              <w:jc w:val="center"/>
              <w:rPr>
                <w:b/>
              </w:rPr>
            </w:pPr>
            <w:r w:rsidRPr="00200D9E">
              <w:rPr>
                <w:b/>
              </w:rPr>
              <w:t>ERA</w:t>
            </w:r>
          </w:p>
        </w:tc>
        <w:tc>
          <w:tcPr>
            <w:tcW w:w="2268" w:type="dxa"/>
            <w:vMerge/>
            <w:shd w:val="clear" w:color="auto" w:fill="BFBFBF" w:themeFill="background1" w:themeFillShade="BF"/>
          </w:tcPr>
          <w:p w:rsidR="0075777C" w:rsidRPr="00822C52" w:rsidRDefault="0075777C" w:rsidP="00200D9E">
            <w:pPr>
              <w:pStyle w:val="Tabletext"/>
            </w:pPr>
          </w:p>
        </w:tc>
      </w:tr>
      <w:tr w:rsidR="0075777C" w:rsidRPr="00822C52" w:rsidTr="00200D9E">
        <w:trPr>
          <w:trHeight w:val="459"/>
        </w:trPr>
        <w:tc>
          <w:tcPr>
            <w:tcW w:w="1696" w:type="dxa"/>
          </w:tcPr>
          <w:p w:rsidR="0075777C" w:rsidRDefault="0075777C" w:rsidP="00200D9E">
            <w:pPr>
              <w:pStyle w:val="Tabletext"/>
              <w:rPr>
                <w:rFonts w:cs="Tahoma"/>
              </w:rPr>
            </w:pPr>
            <w:r w:rsidRPr="00822C52">
              <w:rPr>
                <w:rFonts w:cs="Tahoma"/>
              </w:rPr>
              <w:t>AMBITION</w:t>
            </w:r>
          </w:p>
          <w:p w:rsidR="0075777C" w:rsidRPr="00822C52" w:rsidRDefault="0075777C" w:rsidP="001D34EE">
            <w:pPr>
              <w:pStyle w:val="Tabletext"/>
              <w:rPr>
                <w:rFonts w:cs="Tahoma"/>
              </w:rPr>
            </w:pPr>
            <w:r w:rsidRPr="004D1DA8">
              <w:rPr>
                <w:rFonts w:cs="Tahoma"/>
              </w:rPr>
              <w:t>Coghlan et al (2016)</w:t>
            </w:r>
            <w:r w:rsidR="001D34EE" w:rsidRPr="001A1C44">
              <w:rPr>
                <w:rFonts w:cs="Tahoma"/>
                <w:noProof/>
                <w:vertAlign w:val="superscript"/>
              </w:rPr>
              <w:t>31</w:t>
            </w:r>
          </w:p>
        </w:tc>
        <w:tc>
          <w:tcPr>
            <w:tcW w:w="1985" w:type="dxa"/>
          </w:tcPr>
          <w:p w:rsidR="0075777C" w:rsidRPr="00822C52" w:rsidRDefault="0075777C" w:rsidP="00200D9E">
            <w:pPr>
              <w:pStyle w:val="Tabletext"/>
              <w:rPr>
                <w:rFonts w:cs="Tahoma"/>
              </w:rPr>
            </w:pPr>
            <w:r w:rsidRPr="00822C52">
              <w:rPr>
                <w:rFonts w:cs="Tahoma"/>
              </w:rPr>
              <w:t>Tadalafil/ambrisentan</w:t>
            </w:r>
          </w:p>
          <w:p w:rsidR="0075777C" w:rsidRPr="00822C52" w:rsidRDefault="0075777C" w:rsidP="00200D9E">
            <w:pPr>
              <w:pStyle w:val="Tabletext"/>
              <w:rPr>
                <w:rFonts w:cs="Tahoma"/>
                <w:highlight w:val="cyan"/>
              </w:rPr>
            </w:pPr>
            <w:r w:rsidRPr="00822C52">
              <w:rPr>
                <w:rFonts w:cs="Tahoma"/>
              </w:rPr>
              <w:t xml:space="preserve">FAV: mean </w:t>
            </w:r>
            <w:r>
              <w:rPr>
                <w:rFonts w:cs="Tahoma"/>
              </w:rPr>
              <w:t>74</w:t>
            </w:r>
            <w:r w:rsidRPr="00822C52">
              <w:rPr>
                <w:rFonts w:cs="Tahoma"/>
              </w:rPr>
              <w:t xml:space="preserve"> weeks</w:t>
            </w:r>
          </w:p>
        </w:tc>
        <w:tc>
          <w:tcPr>
            <w:tcW w:w="1842" w:type="dxa"/>
          </w:tcPr>
          <w:p w:rsidR="0075777C" w:rsidRPr="00822C52" w:rsidRDefault="0050638A" w:rsidP="00200D9E">
            <w:pPr>
              <w:pStyle w:val="Tabletext"/>
              <w:jc w:val="center"/>
              <w:rPr>
                <w:rFonts w:cs="Tahoma"/>
              </w:rPr>
            </w:pPr>
            <w:r>
              <w:rPr>
                <w:rFonts w:cs="Tahoma"/>
              </w:rPr>
              <w:t>2/103 (19</w:t>
            </w:r>
            <w:r w:rsidR="0075777C" w:rsidRPr="00822C52">
              <w:rPr>
                <w:rFonts w:cs="Tahoma"/>
              </w:rPr>
              <w:t>%)</w:t>
            </w:r>
          </w:p>
        </w:tc>
        <w:tc>
          <w:tcPr>
            <w:tcW w:w="1843" w:type="dxa"/>
          </w:tcPr>
          <w:p w:rsidR="0075777C" w:rsidRPr="00822C52" w:rsidRDefault="0075777C" w:rsidP="00200D9E">
            <w:pPr>
              <w:pStyle w:val="Tabletext"/>
              <w:jc w:val="center"/>
              <w:rPr>
                <w:rFonts w:cs="Tahoma"/>
              </w:rPr>
            </w:pPr>
            <w:r w:rsidRPr="00822C52">
              <w:rPr>
                <w:rFonts w:cs="Tahoma"/>
              </w:rPr>
              <w:t>NR/44</w:t>
            </w:r>
          </w:p>
        </w:tc>
        <w:tc>
          <w:tcPr>
            <w:tcW w:w="2268" w:type="dxa"/>
          </w:tcPr>
          <w:p w:rsidR="0075777C" w:rsidRPr="00822C52" w:rsidRDefault="0095089E" w:rsidP="0095089E">
            <w:pPr>
              <w:pStyle w:val="Tabletext"/>
              <w:rPr>
                <w:rFonts w:cs="Tahoma"/>
              </w:rPr>
            </w:pPr>
            <w:r>
              <w:rPr>
                <w:rFonts w:cs="Tahoma"/>
              </w:rPr>
              <w:t>0.51 (</w:t>
            </w:r>
            <w:r w:rsidR="0075777C" w:rsidRPr="00822C52">
              <w:rPr>
                <w:rFonts w:cs="Tahoma"/>
              </w:rPr>
              <w:t>0.25, 1.01</w:t>
            </w:r>
            <w:r>
              <w:rPr>
                <w:rFonts w:cs="Tahoma"/>
              </w:rPr>
              <w:t>)</w:t>
            </w:r>
          </w:p>
        </w:tc>
      </w:tr>
    </w:tbl>
    <w:p w:rsidR="0075777C" w:rsidRPr="00822C52" w:rsidRDefault="0075777C" w:rsidP="00200D9E">
      <w:pPr>
        <w:pStyle w:val="Tablenote"/>
      </w:pPr>
      <w:r w:rsidRPr="00822C52">
        <w:t xml:space="preserve">CI = confidence interval; ERA = endothelin receptor antagonist; FAV = final assessment visit; HR = hazard ratio; n = number of </w:t>
      </w:r>
      <w:r w:rsidR="007064B3">
        <w:t xml:space="preserve">patients with </w:t>
      </w:r>
      <w:r w:rsidRPr="00822C52">
        <w:t>events; N = number of patients; NR = not reported; PAH</w:t>
      </w:r>
      <w:r w:rsidR="00774E89">
        <w:t>-</w:t>
      </w:r>
      <w:r w:rsidR="00774E89" w:rsidRPr="00822C52">
        <w:t xml:space="preserve">CTD </w:t>
      </w:r>
      <w:r w:rsidRPr="00822C52">
        <w:t xml:space="preserve">= pulmonary arterial hypertension </w:t>
      </w:r>
      <w:r w:rsidR="00774E89">
        <w:t xml:space="preserve">associated with </w:t>
      </w:r>
      <w:r w:rsidR="00774E89" w:rsidRPr="00822C52">
        <w:t xml:space="preserve">connective tissue disease; </w:t>
      </w:r>
      <w:r>
        <w:t>PDE-5i</w:t>
      </w:r>
      <w:r w:rsidRPr="00822C52">
        <w:t xml:space="preserve"> = phos</w:t>
      </w:r>
      <w:r>
        <w:t>phodiesterase type-5 inhibitor</w:t>
      </w:r>
    </w:p>
    <w:p w:rsidR="0075777C" w:rsidRPr="00822C52" w:rsidRDefault="0077344D" w:rsidP="0075777C">
      <w:pPr>
        <w:pStyle w:val="Heading5"/>
      </w:pPr>
      <w:r>
        <w:t>b.</w:t>
      </w:r>
      <w:r w:rsidR="007B6C7C">
        <w:tab/>
      </w:r>
      <w:r w:rsidR="00C828F9">
        <w:t>All-cause m</w:t>
      </w:r>
      <w:r w:rsidR="00C828F9" w:rsidRPr="006316DF">
        <w:t>ortality</w:t>
      </w:r>
    </w:p>
    <w:p w:rsidR="0075777C" w:rsidRPr="00B607A5" w:rsidRDefault="0077344D" w:rsidP="0077344D">
      <w:pPr>
        <w:pStyle w:val="Heading6"/>
      </w:pPr>
      <w:r w:rsidRPr="00B607A5">
        <w:t>b</w:t>
      </w:r>
      <w:r w:rsidR="0075777C" w:rsidRPr="00B607A5">
        <w:t>.i</w:t>
      </w:r>
      <w:r w:rsidR="0075777C" w:rsidRPr="00B607A5">
        <w:tab/>
        <w:t>PAH patients, irrespective of disease severity or aetiology</w:t>
      </w:r>
    </w:p>
    <w:p w:rsidR="0075777C" w:rsidRPr="00822C52" w:rsidRDefault="0075777C" w:rsidP="0075777C">
      <w:r>
        <w:t xml:space="preserve">Three RCTs reported on mortality rates for patients receiving </w:t>
      </w:r>
      <w:r w:rsidRPr="00157F57">
        <w:t xml:space="preserve">PDE-5 inhibitor </w:t>
      </w:r>
      <w:r>
        <w:t xml:space="preserve">plus </w:t>
      </w:r>
      <w:r w:rsidRPr="00157F57">
        <w:t xml:space="preserve">ERA </w:t>
      </w:r>
      <w:r>
        <w:t xml:space="preserve">combination therapy </w:t>
      </w:r>
      <w:r w:rsidRPr="00157F57">
        <w:t>compared with ERA</w:t>
      </w:r>
      <w:r>
        <w:t xml:space="preserve"> monotherapy </w:t>
      </w:r>
      <w:r w:rsidRPr="00157F57">
        <w:t>in PAH patients</w:t>
      </w:r>
      <w:r>
        <w:t xml:space="preserve"> of any WHO FC and disease aetiology (</w:t>
      </w:r>
      <w:r w:rsidR="00AA722D">
        <w:t>Table 4.</w:t>
      </w:r>
      <w:r w:rsidR="00AA722D">
        <w:rPr>
          <w:noProof/>
        </w:rPr>
        <w:t>63</w:t>
      </w:r>
      <w:r>
        <w:t xml:space="preserve">). The forest plots and pooled estimate in </w:t>
      </w:r>
      <w:r w:rsidR="00AA722D">
        <w:t>Figure 4.</w:t>
      </w:r>
      <w:r w:rsidR="00AA722D">
        <w:rPr>
          <w:noProof/>
        </w:rPr>
        <w:t>16</w:t>
      </w:r>
      <w:r w:rsidR="00FD5A29">
        <w:t xml:space="preserve"> </w:t>
      </w:r>
      <w:r>
        <w:t xml:space="preserve">show that </w:t>
      </w:r>
      <w:r w:rsidR="00BC4B63" w:rsidRPr="00BC4B63">
        <w:t xml:space="preserve">although the point estimate favoured combination therapy, </w:t>
      </w:r>
      <w:r>
        <w:t xml:space="preserve">there was no statistically significant difference in the risk of dying while receiving combination therapy does not differ significantly to that for patients those receiving monotherapy. </w:t>
      </w:r>
    </w:p>
    <w:p w:rsidR="0075777C" w:rsidRPr="00DD7790" w:rsidRDefault="00272F8F" w:rsidP="00BC5A2B">
      <w:pPr>
        <w:pStyle w:val="Caption"/>
      </w:pPr>
      <w:bookmarkStart w:id="201" w:name="_Ref504397001"/>
      <w:bookmarkStart w:id="202" w:name="_Toc512855467"/>
      <w:r>
        <w:lastRenderedPageBreak/>
        <w:t>Table 4.</w:t>
      </w:r>
      <w:r w:rsidR="00AA722D">
        <w:rPr>
          <w:noProof/>
        </w:rPr>
        <w:t>63</w:t>
      </w:r>
      <w:bookmarkEnd w:id="201"/>
      <w:r w:rsidR="00200D9E">
        <w:tab/>
      </w:r>
      <w:r w:rsidR="0075777C" w:rsidRPr="00DD7790">
        <w:t xml:space="preserve">Mortality rates for </w:t>
      </w:r>
      <w:r w:rsidR="00385078">
        <w:t xml:space="preserve">a </w:t>
      </w:r>
      <w:r w:rsidR="00385078" w:rsidRPr="00DD7790">
        <w:t>PDE-5 inhibitor</w:t>
      </w:r>
      <w:r w:rsidR="00385078">
        <w:t xml:space="preserve"> in addition to an</w:t>
      </w:r>
      <w:r w:rsidR="00385078" w:rsidRPr="00DD7790">
        <w:t xml:space="preserve"> ERA compared with ERA</w:t>
      </w:r>
      <w:r w:rsidR="00385078">
        <w:t xml:space="preserve"> monotherapy</w:t>
      </w:r>
      <w:r w:rsidR="00385078" w:rsidRPr="00DD7790">
        <w:t xml:space="preserve"> </w:t>
      </w:r>
      <w:r w:rsidR="0075777C" w:rsidRPr="00DD7790">
        <w:t>in all PAH patients</w:t>
      </w:r>
      <w:bookmarkEnd w:id="202"/>
    </w:p>
    <w:tbl>
      <w:tblPr>
        <w:tblStyle w:val="TableGrid7"/>
        <w:tblW w:w="9634" w:type="dxa"/>
        <w:tblLayout w:type="fixed"/>
        <w:tblLook w:val="04A0" w:firstRow="1" w:lastRow="0" w:firstColumn="1" w:lastColumn="0" w:noHBand="0" w:noVBand="1"/>
        <w:tblCaption w:val="Mortality rates for a PDE-5 inhibitor in addition to an ERA compared with ERA monotherapy in all PAH patients"/>
      </w:tblPr>
      <w:tblGrid>
        <w:gridCol w:w="1696"/>
        <w:gridCol w:w="1985"/>
        <w:gridCol w:w="1984"/>
        <w:gridCol w:w="1985"/>
        <w:gridCol w:w="1984"/>
      </w:tblGrid>
      <w:tr w:rsidR="0075777C" w:rsidRPr="00822C52" w:rsidTr="00200D9E">
        <w:trPr>
          <w:trHeight w:val="298"/>
          <w:tblHeader/>
        </w:trPr>
        <w:tc>
          <w:tcPr>
            <w:tcW w:w="1696" w:type="dxa"/>
            <w:vMerge w:val="restart"/>
            <w:shd w:val="clear" w:color="auto" w:fill="BFBFBF" w:themeFill="background1" w:themeFillShade="BF"/>
          </w:tcPr>
          <w:p w:rsidR="0075777C" w:rsidRPr="00200D9E" w:rsidRDefault="0075777C" w:rsidP="00200D9E">
            <w:pPr>
              <w:pStyle w:val="Tabletext"/>
              <w:rPr>
                <w:b/>
              </w:rPr>
            </w:pPr>
            <w:r w:rsidRPr="00200D9E">
              <w:rPr>
                <w:b/>
              </w:rPr>
              <w:t>Study ID</w:t>
            </w:r>
          </w:p>
        </w:tc>
        <w:tc>
          <w:tcPr>
            <w:tcW w:w="1985" w:type="dxa"/>
            <w:vMerge w:val="restart"/>
            <w:shd w:val="clear" w:color="auto" w:fill="BFBFBF" w:themeFill="background1" w:themeFillShade="BF"/>
          </w:tcPr>
          <w:p w:rsidR="0075777C" w:rsidRPr="00200D9E" w:rsidRDefault="0075777C" w:rsidP="00200D9E">
            <w:pPr>
              <w:pStyle w:val="Tabletext"/>
              <w:rPr>
                <w:b/>
              </w:rPr>
            </w:pPr>
            <w:r w:rsidRPr="00200D9E">
              <w:rPr>
                <w:b/>
              </w:rPr>
              <w:t>PDE-5i/ERA</w:t>
            </w:r>
          </w:p>
          <w:p w:rsidR="0075777C" w:rsidRPr="00200D9E" w:rsidRDefault="0075777C" w:rsidP="00200D9E">
            <w:pPr>
              <w:pStyle w:val="Tabletext"/>
              <w:rPr>
                <w:b/>
              </w:rPr>
            </w:pPr>
            <w:r w:rsidRPr="00200D9E">
              <w:rPr>
                <w:b/>
              </w:rPr>
              <w:t>Follow-up period</w:t>
            </w:r>
          </w:p>
        </w:tc>
        <w:tc>
          <w:tcPr>
            <w:tcW w:w="3969" w:type="dxa"/>
            <w:gridSpan w:val="2"/>
            <w:shd w:val="clear" w:color="auto" w:fill="BFBFBF" w:themeFill="background1" w:themeFillShade="BF"/>
          </w:tcPr>
          <w:p w:rsidR="0075777C" w:rsidRPr="00200D9E" w:rsidRDefault="0075777C" w:rsidP="00200D9E">
            <w:pPr>
              <w:pStyle w:val="Tabletext"/>
              <w:jc w:val="center"/>
              <w:rPr>
                <w:b/>
              </w:rPr>
            </w:pPr>
            <w:r w:rsidRPr="00200D9E">
              <w:rPr>
                <w:b/>
              </w:rPr>
              <w:t>n/N (%)</w:t>
            </w:r>
          </w:p>
        </w:tc>
        <w:tc>
          <w:tcPr>
            <w:tcW w:w="1984" w:type="dxa"/>
            <w:vMerge w:val="restart"/>
            <w:shd w:val="clear" w:color="auto" w:fill="BFBFBF" w:themeFill="background1" w:themeFillShade="BF"/>
          </w:tcPr>
          <w:p w:rsidR="0075777C" w:rsidRPr="00200D9E" w:rsidRDefault="0075777C" w:rsidP="00200D9E">
            <w:pPr>
              <w:pStyle w:val="Tabletext"/>
              <w:rPr>
                <w:b/>
              </w:rPr>
            </w:pPr>
            <w:r w:rsidRPr="00200D9E">
              <w:rPr>
                <w:b/>
              </w:rPr>
              <w:t>RR (95% CI)</w:t>
            </w:r>
          </w:p>
        </w:tc>
      </w:tr>
      <w:tr w:rsidR="0075777C" w:rsidRPr="00822C52" w:rsidTr="00200D9E">
        <w:trPr>
          <w:trHeight w:val="202"/>
          <w:tblHeader/>
        </w:trPr>
        <w:tc>
          <w:tcPr>
            <w:tcW w:w="1696" w:type="dxa"/>
            <w:vMerge/>
            <w:shd w:val="clear" w:color="auto" w:fill="BFBFBF" w:themeFill="background1" w:themeFillShade="BF"/>
          </w:tcPr>
          <w:p w:rsidR="0075777C" w:rsidRPr="00822C52" w:rsidRDefault="0075777C" w:rsidP="00200D9E">
            <w:pPr>
              <w:pStyle w:val="Tabletext"/>
              <w:rPr>
                <w:b/>
              </w:rPr>
            </w:pPr>
          </w:p>
        </w:tc>
        <w:tc>
          <w:tcPr>
            <w:tcW w:w="1985" w:type="dxa"/>
            <w:vMerge/>
            <w:shd w:val="clear" w:color="auto" w:fill="BFBFBF" w:themeFill="background1" w:themeFillShade="BF"/>
          </w:tcPr>
          <w:p w:rsidR="0075777C" w:rsidRPr="00822C52" w:rsidRDefault="0075777C" w:rsidP="00200D9E">
            <w:pPr>
              <w:pStyle w:val="Tabletext"/>
              <w:rPr>
                <w:b/>
              </w:rPr>
            </w:pPr>
          </w:p>
        </w:tc>
        <w:tc>
          <w:tcPr>
            <w:tcW w:w="1984" w:type="dxa"/>
            <w:shd w:val="clear" w:color="auto" w:fill="BFBFBF" w:themeFill="background1" w:themeFillShade="BF"/>
          </w:tcPr>
          <w:p w:rsidR="0075777C" w:rsidRPr="00822C52" w:rsidRDefault="0075777C" w:rsidP="00200D9E">
            <w:pPr>
              <w:pStyle w:val="Tabletext"/>
              <w:jc w:val="center"/>
            </w:pPr>
            <w:r>
              <w:rPr>
                <w:b/>
              </w:rPr>
              <w:t>PDE-5i</w:t>
            </w:r>
            <w:r w:rsidRPr="00822C52">
              <w:rPr>
                <w:b/>
              </w:rPr>
              <w:t xml:space="preserve"> + ERA</w:t>
            </w:r>
          </w:p>
        </w:tc>
        <w:tc>
          <w:tcPr>
            <w:tcW w:w="1985" w:type="dxa"/>
            <w:shd w:val="clear" w:color="auto" w:fill="BFBFBF" w:themeFill="background1" w:themeFillShade="BF"/>
          </w:tcPr>
          <w:p w:rsidR="0075777C" w:rsidRPr="00822C52" w:rsidRDefault="0075777C" w:rsidP="00200D9E">
            <w:pPr>
              <w:pStyle w:val="Tabletext"/>
              <w:jc w:val="center"/>
              <w:rPr>
                <w:b/>
              </w:rPr>
            </w:pPr>
            <w:r w:rsidRPr="00822C52">
              <w:rPr>
                <w:b/>
              </w:rPr>
              <w:t>ERA</w:t>
            </w:r>
          </w:p>
        </w:tc>
        <w:tc>
          <w:tcPr>
            <w:tcW w:w="1984" w:type="dxa"/>
            <w:vMerge/>
            <w:shd w:val="clear" w:color="auto" w:fill="BFBFBF" w:themeFill="background1" w:themeFillShade="BF"/>
          </w:tcPr>
          <w:p w:rsidR="0075777C" w:rsidRPr="00822C52" w:rsidRDefault="0075777C" w:rsidP="00200D9E">
            <w:pPr>
              <w:pStyle w:val="Tabletext"/>
              <w:rPr>
                <w:b/>
              </w:rPr>
            </w:pPr>
          </w:p>
        </w:tc>
      </w:tr>
      <w:tr w:rsidR="0075777C" w:rsidRPr="00822C52" w:rsidTr="00200D9E">
        <w:trPr>
          <w:trHeight w:val="70"/>
        </w:trPr>
        <w:tc>
          <w:tcPr>
            <w:tcW w:w="1696" w:type="dxa"/>
          </w:tcPr>
          <w:p w:rsidR="0075777C" w:rsidRDefault="0075777C" w:rsidP="00200D9E">
            <w:pPr>
              <w:pStyle w:val="Tabletext"/>
              <w:rPr>
                <w:rFonts w:cs="Tahoma"/>
              </w:rPr>
            </w:pPr>
            <w:r w:rsidRPr="00822C52">
              <w:rPr>
                <w:rFonts w:cs="Tahoma"/>
              </w:rPr>
              <w:t>AMBITION</w:t>
            </w:r>
          </w:p>
          <w:p w:rsidR="0075777C" w:rsidRPr="00822C52" w:rsidRDefault="0075777C" w:rsidP="001D34EE">
            <w:pPr>
              <w:pStyle w:val="Tabletext"/>
              <w:rPr>
                <w:rFonts w:cs="Tahoma"/>
              </w:rPr>
            </w:pPr>
            <w:r w:rsidRPr="004D1DA8">
              <w:rPr>
                <w:rFonts w:cs="Tahoma"/>
              </w:rPr>
              <w:t>Hoeper et al (2016)</w:t>
            </w:r>
            <w:r w:rsidR="001D34EE" w:rsidRPr="001A1C44">
              <w:rPr>
                <w:rFonts w:cs="Tahoma"/>
                <w:noProof/>
                <w:vertAlign w:val="superscript"/>
              </w:rPr>
              <w:t>32</w:t>
            </w:r>
          </w:p>
        </w:tc>
        <w:tc>
          <w:tcPr>
            <w:tcW w:w="1985" w:type="dxa"/>
          </w:tcPr>
          <w:p w:rsidR="0075777C" w:rsidRPr="00822C52" w:rsidRDefault="0075777C" w:rsidP="00200D9E">
            <w:pPr>
              <w:pStyle w:val="Tabletext"/>
              <w:rPr>
                <w:rFonts w:cs="Tahoma"/>
              </w:rPr>
            </w:pPr>
            <w:r w:rsidRPr="00822C52">
              <w:rPr>
                <w:rFonts w:cs="Tahoma"/>
              </w:rPr>
              <w:t>Tadalafil/ambrisentan</w:t>
            </w:r>
          </w:p>
          <w:p w:rsidR="0075777C" w:rsidRDefault="0075777C" w:rsidP="00200D9E">
            <w:pPr>
              <w:pStyle w:val="Tabletext"/>
              <w:rPr>
                <w:rFonts w:cs="Tahoma"/>
              </w:rPr>
            </w:pPr>
            <w:r>
              <w:rPr>
                <w:rFonts w:cs="Tahoma"/>
              </w:rPr>
              <w:t>FAV: mean 74 weeks</w:t>
            </w:r>
          </w:p>
          <w:p w:rsidR="0075777C" w:rsidRPr="00812EB0" w:rsidRDefault="0075777C" w:rsidP="00200D9E">
            <w:pPr>
              <w:pStyle w:val="Tabletext"/>
              <w:rPr>
                <w:rFonts w:cs="Tahoma"/>
              </w:rPr>
            </w:pPr>
            <w:r>
              <w:rPr>
                <w:rFonts w:cs="Tahoma"/>
              </w:rPr>
              <w:t xml:space="preserve">EOS: </w:t>
            </w:r>
            <w:r w:rsidR="0038038B" w:rsidRPr="0038038B">
              <w:rPr>
                <w:rFonts w:cs="Tahoma"/>
              </w:rPr>
              <w:t>mean 87 weeks</w:t>
            </w:r>
          </w:p>
        </w:tc>
        <w:tc>
          <w:tcPr>
            <w:tcW w:w="1984" w:type="dxa"/>
          </w:tcPr>
          <w:p w:rsidR="0075777C" w:rsidRPr="00822C52" w:rsidRDefault="0075777C" w:rsidP="00200D9E">
            <w:pPr>
              <w:pStyle w:val="Tabletext"/>
              <w:jc w:val="center"/>
              <w:rPr>
                <w:rFonts w:cs="Tahoma"/>
              </w:rPr>
            </w:pPr>
          </w:p>
          <w:p w:rsidR="0075777C" w:rsidRDefault="0050638A" w:rsidP="00200D9E">
            <w:pPr>
              <w:pStyle w:val="Tabletext"/>
              <w:jc w:val="center"/>
              <w:rPr>
                <w:rFonts w:cs="Tahoma"/>
              </w:rPr>
            </w:pPr>
            <w:r>
              <w:rPr>
                <w:rFonts w:cs="Tahoma"/>
              </w:rPr>
              <w:t>3/302 (1</w:t>
            </w:r>
            <w:r w:rsidR="0075777C" w:rsidRPr="00822C52">
              <w:rPr>
                <w:rFonts w:cs="Tahoma"/>
              </w:rPr>
              <w:t>%)</w:t>
            </w:r>
          </w:p>
          <w:p w:rsidR="0075777C" w:rsidRPr="00822C52" w:rsidRDefault="0075777C" w:rsidP="0050638A">
            <w:pPr>
              <w:pStyle w:val="Tabletext"/>
              <w:jc w:val="center"/>
              <w:rPr>
                <w:rFonts w:cs="Tahoma"/>
              </w:rPr>
            </w:pPr>
            <w:r>
              <w:rPr>
                <w:rFonts w:cs="Tahoma"/>
              </w:rPr>
              <w:t>29/302 (</w:t>
            </w:r>
            <w:r w:rsidR="0050638A">
              <w:rPr>
                <w:rFonts w:cs="Tahoma"/>
              </w:rPr>
              <w:t>10</w:t>
            </w:r>
            <w:r>
              <w:rPr>
                <w:rFonts w:cs="Tahoma"/>
              </w:rPr>
              <w:t>%)</w:t>
            </w:r>
          </w:p>
        </w:tc>
        <w:tc>
          <w:tcPr>
            <w:tcW w:w="1985" w:type="dxa"/>
          </w:tcPr>
          <w:p w:rsidR="0075777C" w:rsidRPr="00822C52" w:rsidRDefault="0075777C" w:rsidP="00200D9E">
            <w:pPr>
              <w:pStyle w:val="Tabletext"/>
              <w:jc w:val="center"/>
              <w:rPr>
                <w:rFonts w:cs="Tahoma"/>
              </w:rPr>
            </w:pPr>
          </w:p>
          <w:p w:rsidR="0075777C" w:rsidRDefault="0075777C" w:rsidP="00200D9E">
            <w:pPr>
              <w:pStyle w:val="Tabletext"/>
              <w:jc w:val="center"/>
              <w:rPr>
                <w:rFonts w:cs="Tahoma"/>
              </w:rPr>
            </w:pPr>
            <w:r w:rsidRPr="00822C52">
              <w:rPr>
                <w:rFonts w:cs="Tahoma"/>
              </w:rPr>
              <w:t>3/</w:t>
            </w:r>
            <w:r>
              <w:rPr>
                <w:rFonts w:cs="Tahoma"/>
              </w:rPr>
              <w:t>152</w:t>
            </w:r>
            <w:r w:rsidR="0050638A">
              <w:rPr>
                <w:rFonts w:cs="Tahoma"/>
              </w:rPr>
              <w:t xml:space="preserve"> (2</w:t>
            </w:r>
            <w:r w:rsidRPr="00822C52">
              <w:rPr>
                <w:rFonts w:cs="Tahoma"/>
              </w:rPr>
              <w:t>%)</w:t>
            </w:r>
          </w:p>
          <w:p w:rsidR="0075777C" w:rsidRPr="00822C52" w:rsidRDefault="0075777C" w:rsidP="0050638A">
            <w:pPr>
              <w:pStyle w:val="Tabletext"/>
              <w:jc w:val="center"/>
              <w:rPr>
                <w:rFonts w:cs="Tahoma"/>
              </w:rPr>
            </w:pPr>
            <w:r w:rsidRPr="00822C52">
              <w:rPr>
                <w:rFonts w:cs="Tahoma"/>
              </w:rPr>
              <w:t>19/152 (1</w:t>
            </w:r>
            <w:r w:rsidR="0050638A">
              <w:rPr>
                <w:rFonts w:cs="Tahoma"/>
              </w:rPr>
              <w:t>3</w:t>
            </w:r>
            <w:r w:rsidRPr="00822C52">
              <w:rPr>
                <w:rFonts w:cs="Tahoma"/>
              </w:rPr>
              <w:t>%)</w:t>
            </w:r>
          </w:p>
        </w:tc>
        <w:tc>
          <w:tcPr>
            <w:tcW w:w="1984" w:type="dxa"/>
          </w:tcPr>
          <w:p w:rsidR="0075777C" w:rsidRPr="00822C52" w:rsidRDefault="0075777C" w:rsidP="00200D9E">
            <w:pPr>
              <w:pStyle w:val="Tabletext"/>
              <w:rPr>
                <w:rFonts w:cs="Tahoma"/>
              </w:rPr>
            </w:pPr>
          </w:p>
          <w:p w:rsidR="0075777C" w:rsidRDefault="0075777C" w:rsidP="00200D9E">
            <w:pPr>
              <w:pStyle w:val="Tabletext"/>
              <w:rPr>
                <w:rFonts w:cs="Tahoma"/>
              </w:rPr>
            </w:pPr>
            <w:r w:rsidRPr="00822C52">
              <w:rPr>
                <w:rFonts w:cs="Tahoma"/>
              </w:rPr>
              <w:t>0.46 (0.09, 1.08)</w:t>
            </w:r>
          </w:p>
          <w:p w:rsidR="0075777C" w:rsidRPr="00822C52" w:rsidRDefault="0075777C" w:rsidP="00200D9E">
            <w:pPr>
              <w:pStyle w:val="Tabletext"/>
              <w:rPr>
                <w:rFonts w:cs="Tahoma"/>
              </w:rPr>
            </w:pPr>
            <w:r w:rsidRPr="00822C52">
              <w:rPr>
                <w:rFonts w:cs="Tahoma"/>
              </w:rPr>
              <w:t>0.74 (0.41, 1</w:t>
            </w:r>
            <w:r w:rsidR="00200D9E">
              <w:rPr>
                <w:rFonts w:cs="Tahoma"/>
              </w:rPr>
              <w:t>.32)</w:t>
            </w:r>
          </w:p>
        </w:tc>
      </w:tr>
      <w:tr w:rsidR="0075777C" w:rsidRPr="00822C52" w:rsidTr="00200D9E">
        <w:trPr>
          <w:trHeight w:val="70"/>
        </w:trPr>
        <w:tc>
          <w:tcPr>
            <w:tcW w:w="1696" w:type="dxa"/>
          </w:tcPr>
          <w:p w:rsidR="0075777C" w:rsidRPr="00822C52" w:rsidRDefault="0075777C" w:rsidP="001D34EE">
            <w:pPr>
              <w:pStyle w:val="Tabletext"/>
              <w:rPr>
                <w:rFonts w:cs="Tahoma"/>
              </w:rPr>
            </w:pPr>
            <w:r w:rsidRPr="00822C52">
              <w:t>Zhuang 2014</w:t>
            </w:r>
            <w:r w:rsidR="001D34EE" w:rsidRPr="001A1C44">
              <w:rPr>
                <w:noProof/>
                <w:vertAlign w:val="superscript"/>
              </w:rPr>
              <w:t>50</w:t>
            </w:r>
          </w:p>
        </w:tc>
        <w:tc>
          <w:tcPr>
            <w:tcW w:w="1985" w:type="dxa"/>
          </w:tcPr>
          <w:p w:rsidR="0075777C" w:rsidRPr="00822C52" w:rsidRDefault="0075777C" w:rsidP="00200D9E">
            <w:pPr>
              <w:pStyle w:val="Tabletext"/>
              <w:rPr>
                <w:rFonts w:cs="Tahoma"/>
              </w:rPr>
            </w:pPr>
            <w:r w:rsidRPr="00822C52">
              <w:rPr>
                <w:rFonts w:cs="Tahoma"/>
              </w:rPr>
              <w:t>Tadalafil/ambrisentan</w:t>
            </w:r>
          </w:p>
          <w:p w:rsidR="0075777C" w:rsidRPr="00822C52" w:rsidRDefault="0075777C" w:rsidP="00200D9E">
            <w:pPr>
              <w:pStyle w:val="Tabletext"/>
              <w:rPr>
                <w:rFonts w:cs="Tahoma"/>
              </w:rPr>
            </w:pPr>
            <w:r w:rsidRPr="00822C52">
              <w:rPr>
                <w:rFonts w:cs="Tahoma"/>
              </w:rPr>
              <w:t>16 weeks</w:t>
            </w:r>
          </w:p>
        </w:tc>
        <w:tc>
          <w:tcPr>
            <w:tcW w:w="1984" w:type="dxa"/>
          </w:tcPr>
          <w:p w:rsidR="0075777C" w:rsidRPr="00822C52" w:rsidRDefault="0075777C" w:rsidP="00200D9E">
            <w:pPr>
              <w:pStyle w:val="Tabletext"/>
              <w:jc w:val="center"/>
              <w:rPr>
                <w:rFonts w:cs="Tahoma"/>
              </w:rPr>
            </w:pPr>
            <w:r w:rsidRPr="00822C52">
              <w:rPr>
                <w:rFonts w:cs="Tahoma"/>
              </w:rPr>
              <w:t>0/60 (0%)</w:t>
            </w:r>
          </w:p>
        </w:tc>
        <w:tc>
          <w:tcPr>
            <w:tcW w:w="1985" w:type="dxa"/>
          </w:tcPr>
          <w:p w:rsidR="0075777C" w:rsidRPr="00822C52" w:rsidRDefault="0075777C" w:rsidP="00200D9E">
            <w:pPr>
              <w:pStyle w:val="Tabletext"/>
              <w:jc w:val="center"/>
              <w:rPr>
                <w:rFonts w:cs="Tahoma"/>
              </w:rPr>
            </w:pPr>
            <w:r w:rsidRPr="00822C52">
              <w:rPr>
                <w:rFonts w:cs="Tahoma"/>
              </w:rPr>
              <w:t>1/64 (2%)</w:t>
            </w:r>
          </w:p>
        </w:tc>
        <w:tc>
          <w:tcPr>
            <w:tcW w:w="1984" w:type="dxa"/>
          </w:tcPr>
          <w:p w:rsidR="0075777C" w:rsidRPr="00822C52" w:rsidRDefault="00626BE8" w:rsidP="00200D9E">
            <w:pPr>
              <w:pStyle w:val="Tabletext"/>
              <w:rPr>
                <w:rFonts w:cs="Tahoma"/>
              </w:rPr>
            </w:pPr>
            <w:r>
              <w:rPr>
                <w:rFonts w:cs="Tahoma"/>
              </w:rPr>
              <w:t>0</w:t>
            </w:r>
            <w:r w:rsidR="00200D9E">
              <w:rPr>
                <w:rFonts w:cs="Tahoma"/>
              </w:rPr>
              <w:t xml:space="preserve"> (not calculable), </w:t>
            </w:r>
            <w:r w:rsidR="0075777C" w:rsidRPr="00822C52">
              <w:rPr>
                <w:rFonts w:cs="Tahoma"/>
              </w:rPr>
              <w:t>p=1.00</w:t>
            </w:r>
          </w:p>
        </w:tc>
      </w:tr>
      <w:tr w:rsidR="0075777C" w:rsidRPr="00822C52" w:rsidTr="00200D9E">
        <w:trPr>
          <w:trHeight w:val="70"/>
        </w:trPr>
        <w:tc>
          <w:tcPr>
            <w:tcW w:w="1696" w:type="dxa"/>
          </w:tcPr>
          <w:p w:rsidR="0075777C" w:rsidRPr="00822C52" w:rsidRDefault="0075777C" w:rsidP="001D34EE">
            <w:pPr>
              <w:pStyle w:val="Tabletext"/>
            </w:pPr>
            <w:r w:rsidRPr="00822C52">
              <w:t>Vizza 2017</w:t>
            </w:r>
            <w:r w:rsidR="001D34EE" w:rsidRPr="001A1C44">
              <w:rPr>
                <w:noProof/>
                <w:vertAlign w:val="superscript"/>
              </w:rPr>
              <w:t>49</w:t>
            </w:r>
          </w:p>
        </w:tc>
        <w:tc>
          <w:tcPr>
            <w:tcW w:w="1985" w:type="dxa"/>
          </w:tcPr>
          <w:p w:rsidR="0075777C" w:rsidRPr="00822C52" w:rsidRDefault="0075777C" w:rsidP="00200D9E">
            <w:pPr>
              <w:pStyle w:val="Tabletext"/>
            </w:pPr>
            <w:r w:rsidRPr="00822C52">
              <w:rPr>
                <w:rFonts w:cs="Tahoma"/>
              </w:rPr>
              <w:t>Sildenafil/b</w:t>
            </w:r>
            <w:r w:rsidRPr="00822C52">
              <w:t>osentan</w:t>
            </w:r>
          </w:p>
          <w:p w:rsidR="0075777C" w:rsidRPr="00822C52" w:rsidRDefault="0075777C" w:rsidP="00200D9E">
            <w:pPr>
              <w:pStyle w:val="Tabletext"/>
              <w:rPr>
                <w:rFonts w:cs="Tahoma"/>
              </w:rPr>
            </w:pPr>
            <w:r w:rsidRPr="00822C52">
              <w:t>12 weeks</w:t>
            </w:r>
          </w:p>
        </w:tc>
        <w:tc>
          <w:tcPr>
            <w:tcW w:w="1984" w:type="dxa"/>
          </w:tcPr>
          <w:p w:rsidR="0075777C" w:rsidRPr="00822C52" w:rsidRDefault="0075777C" w:rsidP="00200D9E">
            <w:pPr>
              <w:pStyle w:val="Tabletext"/>
              <w:jc w:val="center"/>
              <w:rPr>
                <w:rFonts w:cs="Tahoma"/>
              </w:rPr>
            </w:pPr>
            <w:r w:rsidRPr="00822C52">
              <w:rPr>
                <w:rFonts w:cs="Tahoma"/>
              </w:rPr>
              <w:t>1/51 (2%)</w:t>
            </w:r>
          </w:p>
        </w:tc>
        <w:tc>
          <w:tcPr>
            <w:tcW w:w="1985" w:type="dxa"/>
          </w:tcPr>
          <w:p w:rsidR="0075777C" w:rsidRPr="00822C52" w:rsidRDefault="0075777C" w:rsidP="00200D9E">
            <w:pPr>
              <w:pStyle w:val="Tabletext"/>
              <w:jc w:val="center"/>
              <w:rPr>
                <w:rFonts w:cs="Tahoma"/>
              </w:rPr>
            </w:pPr>
            <w:r w:rsidRPr="00822C52">
              <w:rPr>
                <w:rFonts w:cs="Tahoma"/>
              </w:rPr>
              <w:t>0/53 (0%)</w:t>
            </w:r>
          </w:p>
        </w:tc>
        <w:tc>
          <w:tcPr>
            <w:tcW w:w="1984" w:type="dxa"/>
          </w:tcPr>
          <w:p w:rsidR="0075777C" w:rsidRPr="00822C52" w:rsidRDefault="0075777C" w:rsidP="00200D9E">
            <w:pPr>
              <w:pStyle w:val="Tabletext"/>
              <w:rPr>
                <w:rFonts w:cs="Tahoma"/>
              </w:rPr>
            </w:pPr>
            <w:r>
              <w:rPr>
                <w:rFonts w:cs="Tahoma"/>
              </w:rPr>
              <w:t>Not calculable</w:t>
            </w:r>
          </w:p>
        </w:tc>
      </w:tr>
    </w:tbl>
    <w:p w:rsidR="007064B3" w:rsidRDefault="0075777C" w:rsidP="00200D9E">
      <w:pPr>
        <w:pStyle w:val="Tablenote"/>
      </w:pPr>
      <w:r w:rsidRPr="00822C52">
        <w:t xml:space="preserve">CI = confidence interval; EOS = end of study; ERA = endothelin receptor antagonist; </w:t>
      </w:r>
      <w:r w:rsidR="007064B3" w:rsidRPr="007064B3">
        <w:t xml:space="preserve">FAV = final assessment visit; </w:t>
      </w:r>
      <w:r w:rsidRPr="00822C52">
        <w:t>n = number of</w:t>
      </w:r>
      <w:r w:rsidR="007064B3">
        <w:t xml:space="preserve"> patients with</w:t>
      </w:r>
      <w:r w:rsidRPr="00822C52">
        <w:t xml:space="preserve"> events; N = number of patients; PAH = pulmonary arterial hypertension; </w:t>
      </w:r>
      <w:r w:rsidRPr="00DA6B01">
        <w:t>PDE-5i = phosphodiesterase type-5 inhibitor</w:t>
      </w:r>
      <w:r>
        <w:t>;</w:t>
      </w:r>
      <w:r w:rsidRPr="00DA6B01">
        <w:t xml:space="preserve"> </w:t>
      </w:r>
      <w:r w:rsidRPr="00822C52">
        <w:t>RR = relative risk</w:t>
      </w:r>
    </w:p>
    <w:p w:rsidR="0075777C" w:rsidRDefault="0075777C" w:rsidP="00200D9E">
      <w:pPr>
        <w:spacing w:after="40" w:line="240" w:lineRule="auto"/>
      </w:pPr>
      <w:r>
        <w:rPr>
          <w:noProof/>
          <w:lang w:eastAsia="en-AU"/>
        </w:rPr>
        <w:drawing>
          <wp:inline distT="0" distB="0" distL="0" distR="0" wp14:anchorId="5A417D6A" wp14:editId="1D753349">
            <wp:extent cx="6079387" cy="2122227"/>
            <wp:effectExtent l="0" t="0" r="0" b="0"/>
            <wp:docPr id="42" name="Picture 42" descr="The estimated RR from the meta-analysis was 0.64 (95% CI 0.18, 2.36)" title="Forest plot showing the RR of dying while being treated with a PDE-5 inhibitor and an ERA compared with an ERA alone in all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6154654" cy="2148501"/>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795577" w:rsidRDefault="00200D9E" w:rsidP="00BC5A2B">
      <w:pPr>
        <w:pStyle w:val="Caption"/>
        <w:rPr>
          <w:rFonts w:ascii="Arial Narrow" w:hAnsi="Arial Narrow" w:cs="Tahoma"/>
          <w:u w:val="single"/>
        </w:rPr>
      </w:pPr>
      <w:bookmarkStart w:id="203" w:name="_Ref506477585"/>
      <w:bookmarkStart w:id="204" w:name="_Toc512855589"/>
      <w:r>
        <w:t>Figure 4.</w:t>
      </w:r>
      <w:r w:rsidR="00AA722D">
        <w:rPr>
          <w:noProof/>
        </w:rPr>
        <w:t>16</w:t>
      </w:r>
      <w:bookmarkEnd w:id="203"/>
      <w:r>
        <w:tab/>
      </w:r>
      <w:r w:rsidR="0075777C" w:rsidRPr="00795577">
        <w:t xml:space="preserve">Forest plot showing the RR of </w:t>
      </w:r>
      <w:r w:rsidR="0075777C">
        <w:t>dying</w:t>
      </w:r>
      <w:r w:rsidR="0075777C" w:rsidRPr="00795577">
        <w:t xml:space="preserve"> while being treated with </w:t>
      </w:r>
      <w:r w:rsidR="0075777C">
        <w:t xml:space="preserve">a PDE-5 inhibitor and </w:t>
      </w:r>
      <w:r w:rsidR="0075777C" w:rsidRPr="00795577">
        <w:t xml:space="preserve">an ERA compared with </w:t>
      </w:r>
      <w:r w:rsidR="0075777C">
        <w:t>an ERA alone</w:t>
      </w:r>
      <w:r w:rsidR="0075777C" w:rsidRPr="00795577">
        <w:t xml:space="preserve"> in </w:t>
      </w:r>
      <w:r w:rsidR="0075777C">
        <w:t>all PAH patients</w:t>
      </w:r>
      <w:bookmarkEnd w:id="204"/>
    </w:p>
    <w:p w:rsidR="007064B3" w:rsidRPr="006316DF" w:rsidRDefault="0075777C" w:rsidP="00200D9E">
      <w:pPr>
        <w:pStyle w:val="Tablenote"/>
      </w:pPr>
      <w:r w:rsidRPr="00795577">
        <w:t>CI = confidence interval; ERA =</w:t>
      </w:r>
      <w:r>
        <w:t xml:space="preserve"> </w:t>
      </w:r>
      <w:r w:rsidR="0006512A">
        <w:t>endothelin receptor</w:t>
      </w:r>
      <w:r>
        <w:t xml:space="preserve"> antagonist</w:t>
      </w:r>
      <w:r w:rsidRPr="00795577">
        <w:t xml:space="preserve">; N = number of patients; </w:t>
      </w:r>
      <w:r w:rsidR="007064B3" w:rsidRPr="00715D78">
        <w:t xml:space="preserve">PAH = pulmonary arterial hypertension; </w:t>
      </w:r>
      <w:r>
        <w:t xml:space="preserve">PDE-5i = </w:t>
      </w:r>
      <w:r w:rsidRPr="002C2E5D">
        <w:t>phosphodiesterase type-5 inhibitor</w:t>
      </w:r>
      <w:r>
        <w:t>;</w:t>
      </w:r>
      <w:r w:rsidRPr="002C2E5D">
        <w:t xml:space="preserve"> </w:t>
      </w:r>
      <w:r w:rsidRPr="00795577">
        <w:t>RR = relative risk</w:t>
      </w:r>
    </w:p>
    <w:p w:rsidR="0075777C" w:rsidRPr="00822C52" w:rsidRDefault="0077344D" w:rsidP="0075777C">
      <w:pPr>
        <w:pStyle w:val="Heading5"/>
      </w:pPr>
      <w:r>
        <w:t>c.</w:t>
      </w:r>
      <w:r w:rsidR="007B6C7C">
        <w:tab/>
      </w:r>
      <w:r w:rsidR="00C828F9" w:rsidRPr="006316DF">
        <w:t>Hospitalisation</w:t>
      </w:r>
      <w:r w:rsidR="00C828F9" w:rsidRPr="0046652B">
        <w:t xml:space="preserve"> due to worsening PAH</w:t>
      </w:r>
    </w:p>
    <w:p w:rsidR="0075777C" w:rsidRPr="00B607A5" w:rsidRDefault="0077344D" w:rsidP="0077344D">
      <w:pPr>
        <w:pStyle w:val="Heading6"/>
      </w:pPr>
      <w:r w:rsidRPr="00B607A5">
        <w:t>c</w:t>
      </w:r>
      <w:r w:rsidR="0075777C" w:rsidRPr="00B607A5">
        <w:t>.i</w:t>
      </w:r>
      <w:r w:rsidR="0075777C" w:rsidRPr="00B607A5">
        <w:tab/>
        <w:t>PAH patients, irrespective of disease severity or aetiology</w:t>
      </w:r>
    </w:p>
    <w:p w:rsidR="00F10128" w:rsidRDefault="0075777C" w:rsidP="0075777C">
      <w:r>
        <w:t>Three RCTs reported on hospitalisation</w:t>
      </w:r>
      <w:r w:rsidR="003507C5">
        <w:t>s due to worsening PAH</w:t>
      </w:r>
      <w:r>
        <w:t xml:space="preserve"> for patients receiving </w:t>
      </w:r>
      <w:r w:rsidRPr="00157F57">
        <w:t xml:space="preserve">PDE-5 inhibitor </w:t>
      </w:r>
      <w:r>
        <w:t xml:space="preserve">plus </w:t>
      </w:r>
      <w:r w:rsidRPr="00157F57">
        <w:t xml:space="preserve">ERA </w:t>
      </w:r>
      <w:r>
        <w:t xml:space="preserve">combination therapy </w:t>
      </w:r>
      <w:r w:rsidRPr="00157F57">
        <w:t>compared with ERA</w:t>
      </w:r>
      <w:r>
        <w:t xml:space="preserve"> monotherapy </w:t>
      </w:r>
      <w:r w:rsidRPr="00157F57">
        <w:t>in PAH patients</w:t>
      </w:r>
      <w:r>
        <w:t xml:space="preserve"> of any WHO FC and disease aetiology (</w:t>
      </w:r>
      <w:r w:rsidR="00AA722D">
        <w:t>Table 4.</w:t>
      </w:r>
      <w:r w:rsidR="00AA722D">
        <w:rPr>
          <w:noProof/>
        </w:rPr>
        <w:t>64</w:t>
      </w:r>
      <w:r>
        <w:t>). The forest plot shows that two of the studies had very wide CIs and were underpowered for this outcome (</w:t>
      </w:r>
      <w:r w:rsidR="00AA722D">
        <w:t>Figure 4.</w:t>
      </w:r>
      <w:r w:rsidR="00AA722D">
        <w:rPr>
          <w:noProof/>
        </w:rPr>
        <w:t>17</w:t>
      </w:r>
      <w:r>
        <w:t xml:space="preserve">). </w:t>
      </w:r>
      <w:r w:rsidR="00394D5B">
        <w:t>Nevertheless, t</w:t>
      </w:r>
      <w:r>
        <w:t xml:space="preserve">he pooled RR </w:t>
      </w:r>
      <w:r w:rsidR="00394D5B">
        <w:t xml:space="preserve">significantly </w:t>
      </w:r>
      <w:r>
        <w:t>favoured combination therapy</w:t>
      </w:r>
      <w:r w:rsidR="00394D5B">
        <w:t xml:space="preserve"> over monotherapy</w:t>
      </w:r>
      <w:r>
        <w:t>.</w:t>
      </w:r>
    </w:p>
    <w:p w:rsidR="00F10128" w:rsidRDefault="00F10128">
      <w:pPr>
        <w:spacing w:before="0" w:line="240" w:lineRule="auto"/>
      </w:pPr>
      <w:r>
        <w:br w:type="page"/>
      </w:r>
    </w:p>
    <w:p w:rsidR="0075777C" w:rsidRPr="00DD7790" w:rsidRDefault="00272F8F" w:rsidP="00BC5A2B">
      <w:pPr>
        <w:pStyle w:val="Caption"/>
      </w:pPr>
      <w:bookmarkStart w:id="205" w:name="_Ref504397027"/>
      <w:bookmarkStart w:id="206" w:name="_Toc512855468"/>
      <w:r>
        <w:lastRenderedPageBreak/>
        <w:t>Table 4.</w:t>
      </w:r>
      <w:r w:rsidR="00AA722D">
        <w:rPr>
          <w:noProof/>
        </w:rPr>
        <w:t>64</w:t>
      </w:r>
      <w:bookmarkEnd w:id="205"/>
      <w:r w:rsidR="00200D9E">
        <w:tab/>
      </w:r>
      <w:r w:rsidR="0075777C" w:rsidRPr="00DD7790">
        <w:t xml:space="preserve">Hospitalisation </w:t>
      </w:r>
      <w:r w:rsidR="003507C5">
        <w:t>due to PAH</w:t>
      </w:r>
      <w:r w:rsidR="003507C5" w:rsidRPr="00DD7790">
        <w:t xml:space="preserve"> </w:t>
      </w:r>
      <w:r w:rsidR="0075777C" w:rsidRPr="00DD7790">
        <w:t xml:space="preserve">for </w:t>
      </w:r>
      <w:r w:rsidR="00385078">
        <w:t xml:space="preserve">a </w:t>
      </w:r>
      <w:r w:rsidR="00385078" w:rsidRPr="00DD7790">
        <w:t>PDE-5 inhibitor</w:t>
      </w:r>
      <w:r w:rsidR="00385078">
        <w:t xml:space="preserve"> in addition to an</w:t>
      </w:r>
      <w:r w:rsidR="00385078" w:rsidRPr="00DD7790">
        <w:t xml:space="preserve"> ERA compared with ERA</w:t>
      </w:r>
      <w:r w:rsidR="00385078">
        <w:t xml:space="preserve"> monotherapy</w:t>
      </w:r>
      <w:r w:rsidR="00385078" w:rsidRPr="00DD7790">
        <w:t xml:space="preserve"> </w:t>
      </w:r>
      <w:r w:rsidR="0075777C" w:rsidRPr="00DD7790">
        <w:t>in all patients with PAH</w:t>
      </w:r>
      <w:bookmarkEnd w:id="206"/>
    </w:p>
    <w:tbl>
      <w:tblPr>
        <w:tblStyle w:val="TableGrid7"/>
        <w:tblW w:w="9634" w:type="dxa"/>
        <w:tblLayout w:type="fixed"/>
        <w:tblLook w:val="04A0" w:firstRow="1" w:lastRow="0" w:firstColumn="1" w:lastColumn="0" w:noHBand="0" w:noVBand="1"/>
        <w:tblCaption w:val="Hospitalisation due to PAH for a PDE-5 inhibitor in addition to an ERA compared with ERA monotherapy in all patients with PAH"/>
      </w:tblPr>
      <w:tblGrid>
        <w:gridCol w:w="1413"/>
        <w:gridCol w:w="2126"/>
        <w:gridCol w:w="1559"/>
        <w:gridCol w:w="1985"/>
        <w:gridCol w:w="2551"/>
      </w:tblGrid>
      <w:tr w:rsidR="0075777C" w:rsidRPr="00822C52" w:rsidTr="00200D9E">
        <w:trPr>
          <w:trHeight w:val="170"/>
          <w:tblHeader/>
        </w:trPr>
        <w:tc>
          <w:tcPr>
            <w:tcW w:w="1413" w:type="dxa"/>
            <w:vMerge w:val="restart"/>
            <w:shd w:val="clear" w:color="auto" w:fill="BFBFBF" w:themeFill="background1" w:themeFillShade="BF"/>
          </w:tcPr>
          <w:p w:rsidR="0075777C" w:rsidRPr="00200D9E" w:rsidRDefault="0075777C" w:rsidP="00200D9E">
            <w:pPr>
              <w:pStyle w:val="Tabletext"/>
              <w:rPr>
                <w:b/>
              </w:rPr>
            </w:pPr>
            <w:r w:rsidRPr="00200D9E">
              <w:rPr>
                <w:b/>
              </w:rPr>
              <w:t>Study ID</w:t>
            </w:r>
          </w:p>
        </w:tc>
        <w:tc>
          <w:tcPr>
            <w:tcW w:w="2126" w:type="dxa"/>
            <w:vMerge w:val="restart"/>
            <w:shd w:val="clear" w:color="auto" w:fill="BFBFBF" w:themeFill="background1" w:themeFillShade="BF"/>
          </w:tcPr>
          <w:p w:rsidR="0075777C" w:rsidRPr="00200D9E" w:rsidRDefault="0075777C" w:rsidP="00200D9E">
            <w:pPr>
              <w:pStyle w:val="Tabletext"/>
              <w:rPr>
                <w:b/>
              </w:rPr>
            </w:pPr>
            <w:r w:rsidRPr="00200D9E">
              <w:rPr>
                <w:b/>
              </w:rPr>
              <w:t>PDE-5i/ERA</w:t>
            </w:r>
          </w:p>
          <w:p w:rsidR="0075777C" w:rsidRPr="00200D9E" w:rsidRDefault="00200D9E" w:rsidP="00200D9E">
            <w:pPr>
              <w:pStyle w:val="Tabletext"/>
              <w:rPr>
                <w:b/>
              </w:rPr>
            </w:pPr>
            <w:r w:rsidRPr="00200D9E">
              <w:rPr>
                <w:b/>
              </w:rPr>
              <w:t>Follow-up period</w:t>
            </w:r>
          </w:p>
        </w:tc>
        <w:tc>
          <w:tcPr>
            <w:tcW w:w="3544" w:type="dxa"/>
            <w:gridSpan w:val="2"/>
            <w:shd w:val="clear" w:color="auto" w:fill="BFBFBF" w:themeFill="background1" w:themeFillShade="BF"/>
          </w:tcPr>
          <w:p w:rsidR="0075777C" w:rsidRPr="00200D9E" w:rsidRDefault="0075777C" w:rsidP="00200D9E">
            <w:pPr>
              <w:pStyle w:val="Tabletext"/>
              <w:jc w:val="center"/>
              <w:rPr>
                <w:b/>
              </w:rPr>
            </w:pPr>
            <w:r w:rsidRPr="00200D9E">
              <w:rPr>
                <w:b/>
              </w:rPr>
              <w:t>n/N (%)</w:t>
            </w:r>
          </w:p>
        </w:tc>
        <w:tc>
          <w:tcPr>
            <w:tcW w:w="2551" w:type="dxa"/>
            <w:vMerge w:val="restart"/>
            <w:shd w:val="clear" w:color="auto" w:fill="BFBFBF" w:themeFill="background1" w:themeFillShade="BF"/>
          </w:tcPr>
          <w:p w:rsidR="0075777C" w:rsidRPr="00200D9E" w:rsidRDefault="003507C5" w:rsidP="00200D9E">
            <w:pPr>
              <w:pStyle w:val="Tabletext"/>
              <w:rPr>
                <w:b/>
              </w:rPr>
            </w:pPr>
            <w:r>
              <w:rPr>
                <w:b/>
              </w:rPr>
              <w:t>H</w:t>
            </w:r>
            <w:r w:rsidR="0075777C" w:rsidRPr="00200D9E">
              <w:rPr>
                <w:b/>
              </w:rPr>
              <w:t>R (95% CI)</w:t>
            </w:r>
          </w:p>
        </w:tc>
      </w:tr>
      <w:tr w:rsidR="0075777C" w:rsidRPr="00822C52" w:rsidTr="00200D9E">
        <w:trPr>
          <w:trHeight w:val="202"/>
          <w:tblHeader/>
        </w:trPr>
        <w:tc>
          <w:tcPr>
            <w:tcW w:w="1413" w:type="dxa"/>
            <w:vMerge/>
            <w:shd w:val="clear" w:color="auto" w:fill="BFBFBF" w:themeFill="background1" w:themeFillShade="BF"/>
          </w:tcPr>
          <w:p w:rsidR="0075777C" w:rsidRPr="00D15B28" w:rsidRDefault="0075777C" w:rsidP="00200D9E">
            <w:pPr>
              <w:pStyle w:val="Tabletext"/>
            </w:pPr>
          </w:p>
        </w:tc>
        <w:tc>
          <w:tcPr>
            <w:tcW w:w="2126" w:type="dxa"/>
            <w:vMerge/>
            <w:shd w:val="clear" w:color="auto" w:fill="BFBFBF" w:themeFill="background1" w:themeFillShade="BF"/>
          </w:tcPr>
          <w:p w:rsidR="0075777C" w:rsidRPr="00D15B28" w:rsidRDefault="0075777C" w:rsidP="00200D9E">
            <w:pPr>
              <w:pStyle w:val="Tabletext"/>
            </w:pPr>
          </w:p>
        </w:tc>
        <w:tc>
          <w:tcPr>
            <w:tcW w:w="1559" w:type="dxa"/>
            <w:shd w:val="clear" w:color="auto" w:fill="BFBFBF" w:themeFill="background1" w:themeFillShade="BF"/>
          </w:tcPr>
          <w:p w:rsidR="0075777C" w:rsidRPr="00200D9E" w:rsidRDefault="0075777C" w:rsidP="00200D9E">
            <w:pPr>
              <w:pStyle w:val="Tabletext"/>
              <w:jc w:val="center"/>
              <w:rPr>
                <w:b/>
              </w:rPr>
            </w:pPr>
            <w:r w:rsidRPr="00200D9E">
              <w:rPr>
                <w:b/>
              </w:rPr>
              <w:t>PDE-5i + ERA</w:t>
            </w:r>
          </w:p>
        </w:tc>
        <w:tc>
          <w:tcPr>
            <w:tcW w:w="1985" w:type="dxa"/>
            <w:shd w:val="clear" w:color="auto" w:fill="BFBFBF" w:themeFill="background1" w:themeFillShade="BF"/>
          </w:tcPr>
          <w:p w:rsidR="0075777C" w:rsidRPr="00200D9E" w:rsidRDefault="0075777C" w:rsidP="00200D9E">
            <w:pPr>
              <w:pStyle w:val="Tabletext"/>
              <w:jc w:val="center"/>
              <w:rPr>
                <w:b/>
              </w:rPr>
            </w:pPr>
            <w:r w:rsidRPr="00200D9E">
              <w:rPr>
                <w:b/>
              </w:rPr>
              <w:t>ERA</w:t>
            </w:r>
          </w:p>
        </w:tc>
        <w:tc>
          <w:tcPr>
            <w:tcW w:w="2551" w:type="dxa"/>
            <w:vMerge/>
            <w:shd w:val="clear" w:color="auto" w:fill="BFBFBF" w:themeFill="background1" w:themeFillShade="BF"/>
          </w:tcPr>
          <w:p w:rsidR="0075777C" w:rsidRPr="00D15B28" w:rsidRDefault="0075777C" w:rsidP="00200D9E">
            <w:pPr>
              <w:pStyle w:val="Tabletext"/>
            </w:pPr>
          </w:p>
        </w:tc>
      </w:tr>
      <w:tr w:rsidR="0075777C" w:rsidRPr="00822C52" w:rsidTr="00200D9E">
        <w:trPr>
          <w:trHeight w:val="362"/>
        </w:trPr>
        <w:tc>
          <w:tcPr>
            <w:tcW w:w="1413" w:type="dxa"/>
          </w:tcPr>
          <w:p w:rsidR="0075777C" w:rsidRPr="00D15B28" w:rsidRDefault="0075777C" w:rsidP="001D34EE">
            <w:pPr>
              <w:pStyle w:val="Tabletext"/>
              <w:rPr>
                <w:rFonts w:cs="Tahoma"/>
              </w:rPr>
            </w:pPr>
            <w:r w:rsidRPr="00D15B28">
              <w:rPr>
                <w:rFonts w:cs="Tahoma"/>
              </w:rPr>
              <w:t>AMBITION</w:t>
            </w:r>
            <w:r w:rsidR="001D34EE" w:rsidRPr="001A1C44">
              <w:rPr>
                <w:rFonts w:cs="Tahoma"/>
                <w:noProof/>
                <w:vertAlign w:val="superscript"/>
              </w:rPr>
              <w:t>30</w:t>
            </w:r>
          </w:p>
        </w:tc>
        <w:tc>
          <w:tcPr>
            <w:tcW w:w="2126" w:type="dxa"/>
          </w:tcPr>
          <w:p w:rsidR="0075777C" w:rsidRPr="00D15B28" w:rsidRDefault="0075777C" w:rsidP="00200D9E">
            <w:pPr>
              <w:pStyle w:val="Tabletext"/>
              <w:rPr>
                <w:rFonts w:cs="Tahoma"/>
              </w:rPr>
            </w:pPr>
            <w:r w:rsidRPr="00D15B28">
              <w:rPr>
                <w:rFonts w:cs="Tahoma"/>
              </w:rPr>
              <w:t>Tadalafil/ambrisentan</w:t>
            </w:r>
          </w:p>
          <w:p w:rsidR="0075777C" w:rsidRPr="00D15B28" w:rsidRDefault="0075777C" w:rsidP="00200D9E">
            <w:pPr>
              <w:pStyle w:val="Tabletext"/>
              <w:rPr>
                <w:rFonts w:cs="Tahoma"/>
              </w:rPr>
            </w:pPr>
            <w:r w:rsidRPr="00D15B28">
              <w:rPr>
                <w:rFonts w:cs="Tahoma"/>
              </w:rPr>
              <w:t xml:space="preserve">FAV: mean </w:t>
            </w:r>
            <w:r>
              <w:rPr>
                <w:rFonts w:cs="Tahoma"/>
              </w:rPr>
              <w:t>74</w:t>
            </w:r>
            <w:r w:rsidRPr="00D15B28">
              <w:rPr>
                <w:rFonts w:cs="Tahoma"/>
              </w:rPr>
              <w:t xml:space="preserve"> weeks</w:t>
            </w:r>
          </w:p>
        </w:tc>
        <w:tc>
          <w:tcPr>
            <w:tcW w:w="1559" w:type="dxa"/>
          </w:tcPr>
          <w:p w:rsidR="0075777C" w:rsidRPr="00D15B28" w:rsidRDefault="003507C5" w:rsidP="00200D9E">
            <w:pPr>
              <w:pStyle w:val="Tabletext"/>
              <w:jc w:val="center"/>
              <w:rPr>
                <w:rFonts w:cs="Tahoma"/>
              </w:rPr>
            </w:pPr>
            <w:r>
              <w:rPr>
                <w:rFonts w:cs="Tahoma"/>
              </w:rPr>
              <w:t>19/253 (8%)</w:t>
            </w:r>
          </w:p>
        </w:tc>
        <w:tc>
          <w:tcPr>
            <w:tcW w:w="1985" w:type="dxa"/>
          </w:tcPr>
          <w:p w:rsidR="0075777C" w:rsidRPr="00D15B28" w:rsidRDefault="003507C5" w:rsidP="00200D9E">
            <w:pPr>
              <w:pStyle w:val="Tabletext"/>
              <w:jc w:val="center"/>
              <w:rPr>
                <w:rFonts w:cs="Tahoma"/>
              </w:rPr>
            </w:pPr>
            <w:r>
              <w:rPr>
                <w:rFonts w:cs="Tahoma"/>
              </w:rPr>
              <w:t>27/126 (21%)</w:t>
            </w:r>
          </w:p>
        </w:tc>
        <w:tc>
          <w:tcPr>
            <w:tcW w:w="2551" w:type="dxa"/>
          </w:tcPr>
          <w:p w:rsidR="0075777C" w:rsidRPr="00D15B28" w:rsidRDefault="003507C5" w:rsidP="00200D9E">
            <w:pPr>
              <w:pStyle w:val="Tabletext"/>
              <w:rPr>
                <w:rFonts w:cs="Tahoma"/>
              </w:rPr>
            </w:pPr>
            <w:r w:rsidRPr="003507C5">
              <w:rPr>
                <w:rFonts w:cs="Tahoma"/>
              </w:rPr>
              <w:t>0.32 (0.18, 0.58)</w:t>
            </w:r>
          </w:p>
        </w:tc>
      </w:tr>
      <w:tr w:rsidR="0075777C" w:rsidRPr="00822C52" w:rsidTr="00200D9E">
        <w:trPr>
          <w:trHeight w:val="453"/>
        </w:trPr>
        <w:tc>
          <w:tcPr>
            <w:tcW w:w="1413" w:type="dxa"/>
          </w:tcPr>
          <w:p w:rsidR="0075777C" w:rsidRPr="00D15B28" w:rsidRDefault="0075777C" w:rsidP="001D34EE">
            <w:pPr>
              <w:pStyle w:val="Tabletext"/>
            </w:pPr>
            <w:r w:rsidRPr="00D15B28">
              <w:t>Zhuang 2014</w:t>
            </w:r>
            <w:r w:rsidR="001D34EE" w:rsidRPr="001A1C44">
              <w:rPr>
                <w:noProof/>
                <w:vertAlign w:val="superscript"/>
              </w:rPr>
              <w:t>50</w:t>
            </w:r>
          </w:p>
        </w:tc>
        <w:tc>
          <w:tcPr>
            <w:tcW w:w="2126" w:type="dxa"/>
          </w:tcPr>
          <w:p w:rsidR="00E26A38" w:rsidRPr="00D15B28" w:rsidRDefault="0075777C" w:rsidP="00200D9E">
            <w:pPr>
              <w:pStyle w:val="Tabletext"/>
              <w:rPr>
                <w:rFonts w:cs="Tahoma"/>
              </w:rPr>
            </w:pPr>
            <w:r w:rsidRPr="00D15B28">
              <w:rPr>
                <w:rFonts w:cs="Tahoma"/>
              </w:rPr>
              <w:t>Tadalafil/ambrisentan</w:t>
            </w:r>
          </w:p>
          <w:p w:rsidR="0075777C" w:rsidRPr="00D15B28" w:rsidRDefault="0075777C" w:rsidP="00200D9E">
            <w:pPr>
              <w:pStyle w:val="Tabletext"/>
              <w:rPr>
                <w:rFonts w:cs="Tahoma"/>
              </w:rPr>
            </w:pPr>
            <w:r w:rsidRPr="00D15B28">
              <w:rPr>
                <w:rFonts w:cs="Tahoma"/>
              </w:rPr>
              <w:t>16 weeks</w:t>
            </w:r>
          </w:p>
        </w:tc>
        <w:tc>
          <w:tcPr>
            <w:tcW w:w="1559" w:type="dxa"/>
          </w:tcPr>
          <w:p w:rsidR="0075777C" w:rsidRPr="00D15B28" w:rsidRDefault="0075777C" w:rsidP="00200D9E">
            <w:pPr>
              <w:pStyle w:val="Tabletext"/>
              <w:jc w:val="center"/>
              <w:rPr>
                <w:rFonts w:cs="Tahoma"/>
              </w:rPr>
            </w:pPr>
            <w:r w:rsidRPr="00D15B28">
              <w:rPr>
                <w:rFonts w:cs="Tahoma"/>
              </w:rPr>
              <w:t>0/60 (0%)</w:t>
            </w:r>
          </w:p>
        </w:tc>
        <w:tc>
          <w:tcPr>
            <w:tcW w:w="1985" w:type="dxa"/>
          </w:tcPr>
          <w:p w:rsidR="0075777C" w:rsidRPr="00D15B28" w:rsidRDefault="0075777C" w:rsidP="00200D9E">
            <w:pPr>
              <w:pStyle w:val="Tabletext"/>
              <w:jc w:val="center"/>
              <w:rPr>
                <w:rFonts w:cs="Tahoma"/>
              </w:rPr>
            </w:pPr>
            <w:r w:rsidRPr="00D15B28">
              <w:rPr>
                <w:rFonts w:cs="Tahoma"/>
              </w:rPr>
              <w:t>2/64 (3%)</w:t>
            </w:r>
          </w:p>
        </w:tc>
        <w:tc>
          <w:tcPr>
            <w:tcW w:w="2551" w:type="dxa"/>
          </w:tcPr>
          <w:p w:rsidR="0075777C" w:rsidRPr="00D15B28" w:rsidRDefault="003507C5" w:rsidP="00200D9E">
            <w:pPr>
              <w:pStyle w:val="Tabletext"/>
              <w:rPr>
                <w:rFonts w:cs="Tahoma"/>
              </w:rPr>
            </w:pPr>
            <w:r>
              <w:rPr>
                <w:rFonts w:cs="Tahoma"/>
              </w:rPr>
              <w:t>NR</w:t>
            </w:r>
          </w:p>
        </w:tc>
      </w:tr>
      <w:tr w:rsidR="0075777C" w:rsidRPr="00822C52" w:rsidTr="00200D9E">
        <w:trPr>
          <w:trHeight w:val="389"/>
        </w:trPr>
        <w:tc>
          <w:tcPr>
            <w:tcW w:w="1413" w:type="dxa"/>
          </w:tcPr>
          <w:p w:rsidR="0075777C" w:rsidRPr="00D15B28" w:rsidRDefault="0075777C" w:rsidP="001D34EE">
            <w:pPr>
              <w:pStyle w:val="Tabletext"/>
            </w:pPr>
            <w:r w:rsidRPr="00D15B28">
              <w:t>Vizza 2017</w:t>
            </w:r>
            <w:r w:rsidR="001D34EE" w:rsidRPr="001A1C44">
              <w:rPr>
                <w:noProof/>
                <w:vertAlign w:val="superscript"/>
              </w:rPr>
              <w:t>49</w:t>
            </w:r>
          </w:p>
        </w:tc>
        <w:tc>
          <w:tcPr>
            <w:tcW w:w="2126" w:type="dxa"/>
          </w:tcPr>
          <w:p w:rsidR="0075777C" w:rsidRPr="00D15B28" w:rsidRDefault="0075777C" w:rsidP="00200D9E">
            <w:pPr>
              <w:pStyle w:val="Tabletext"/>
            </w:pPr>
            <w:r w:rsidRPr="00D15B28">
              <w:rPr>
                <w:rFonts w:cs="Tahoma"/>
              </w:rPr>
              <w:t>Sildenafil/b</w:t>
            </w:r>
            <w:r w:rsidRPr="00D15B28">
              <w:t>osentan</w:t>
            </w:r>
          </w:p>
          <w:p w:rsidR="0075777C" w:rsidRPr="00D15B28" w:rsidRDefault="0075777C" w:rsidP="00200D9E">
            <w:pPr>
              <w:pStyle w:val="Tabletext"/>
              <w:rPr>
                <w:rFonts w:cs="Tahoma"/>
              </w:rPr>
            </w:pPr>
            <w:r w:rsidRPr="00D15B28">
              <w:rPr>
                <w:rFonts w:cs="Tahoma"/>
              </w:rPr>
              <w:t>12 weeks</w:t>
            </w:r>
          </w:p>
        </w:tc>
        <w:tc>
          <w:tcPr>
            <w:tcW w:w="1559" w:type="dxa"/>
          </w:tcPr>
          <w:p w:rsidR="0075777C" w:rsidRPr="00D15B28" w:rsidRDefault="0075777C" w:rsidP="00200D9E">
            <w:pPr>
              <w:pStyle w:val="Tabletext"/>
              <w:jc w:val="center"/>
              <w:rPr>
                <w:rFonts w:cs="Tahoma"/>
              </w:rPr>
            </w:pPr>
            <w:r w:rsidRPr="00D15B28">
              <w:rPr>
                <w:rFonts w:cs="Tahoma"/>
              </w:rPr>
              <w:t>2/51 (4%)</w:t>
            </w:r>
          </w:p>
        </w:tc>
        <w:tc>
          <w:tcPr>
            <w:tcW w:w="1985" w:type="dxa"/>
          </w:tcPr>
          <w:p w:rsidR="0075777C" w:rsidRPr="00D15B28" w:rsidRDefault="0075777C" w:rsidP="00200D9E">
            <w:pPr>
              <w:pStyle w:val="Tabletext"/>
              <w:jc w:val="center"/>
              <w:rPr>
                <w:rFonts w:cs="Tahoma"/>
              </w:rPr>
            </w:pPr>
            <w:r w:rsidRPr="00D15B28">
              <w:rPr>
                <w:rFonts w:cs="Tahoma"/>
              </w:rPr>
              <w:t>2/53 (4%)</w:t>
            </w:r>
          </w:p>
        </w:tc>
        <w:tc>
          <w:tcPr>
            <w:tcW w:w="2551" w:type="dxa"/>
          </w:tcPr>
          <w:p w:rsidR="0075777C" w:rsidRPr="00D15B28" w:rsidRDefault="003507C5" w:rsidP="00200D9E">
            <w:pPr>
              <w:pStyle w:val="Tabletext"/>
              <w:rPr>
                <w:rFonts w:cs="Tahoma"/>
              </w:rPr>
            </w:pPr>
            <w:r>
              <w:rPr>
                <w:rFonts w:cs="Tahoma"/>
              </w:rPr>
              <w:t>NR</w:t>
            </w:r>
          </w:p>
        </w:tc>
      </w:tr>
    </w:tbl>
    <w:p w:rsidR="007064B3" w:rsidRDefault="0075777C" w:rsidP="00200D9E">
      <w:pPr>
        <w:pStyle w:val="Tablenote"/>
      </w:pPr>
      <w:r w:rsidRPr="00822C52">
        <w:t xml:space="preserve">CI = confidence interval; ERA = endothelin receptor antagonist; FAV = final assessment visit; n = number of </w:t>
      </w:r>
      <w:r w:rsidR="007064B3">
        <w:t xml:space="preserve">patients with </w:t>
      </w:r>
      <w:r w:rsidRPr="00822C52">
        <w:t xml:space="preserve">events; N = number of patients; </w:t>
      </w:r>
      <w:r w:rsidR="007064B3" w:rsidRPr="00715D78">
        <w:t xml:space="preserve">PAH = pulmonary arterial hypertension; </w:t>
      </w:r>
      <w:r>
        <w:t>PDE-5i</w:t>
      </w:r>
      <w:r w:rsidRPr="00822C52">
        <w:t xml:space="preserve"> = phosphodiesterase type-5 inhibitor; RR = relative risk</w:t>
      </w:r>
    </w:p>
    <w:p w:rsidR="0075777C" w:rsidRDefault="00394D5B" w:rsidP="00200D9E">
      <w:pPr>
        <w:spacing w:after="40" w:line="240" w:lineRule="auto"/>
        <w:jc w:val="center"/>
      </w:pPr>
      <w:r>
        <w:rPr>
          <w:noProof/>
          <w:lang w:eastAsia="en-AU"/>
        </w:rPr>
        <w:drawing>
          <wp:inline distT="0" distB="0" distL="0" distR="0" wp14:anchorId="343D40F3" wp14:editId="2CF1846B">
            <wp:extent cx="6119129" cy="2510103"/>
            <wp:effectExtent l="0" t="0" r="0" b="5080"/>
            <wp:docPr id="1" name="Picture 1" descr="The estimated RR from the meta-analysis was 0.42 (95% CI 0.25, 0.70)" title="Forest plot showing the RR of being hospitalised due to worsening PAH while being treated with a PDE-5 inhibitor and an ERA compared with an ERA alone in all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6132972" cy="2515781"/>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795577" w:rsidRDefault="00200D9E" w:rsidP="00BC5A2B">
      <w:pPr>
        <w:pStyle w:val="Caption"/>
        <w:rPr>
          <w:rFonts w:ascii="Arial Narrow" w:hAnsi="Arial Narrow" w:cs="Tahoma"/>
          <w:u w:val="single"/>
        </w:rPr>
      </w:pPr>
      <w:bookmarkStart w:id="207" w:name="_Ref506303600"/>
      <w:bookmarkStart w:id="208" w:name="_Toc512855590"/>
      <w:r>
        <w:t>Figure 4.</w:t>
      </w:r>
      <w:r w:rsidR="00AA722D">
        <w:rPr>
          <w:noProof/>
        </w:rPr>
        <w:t>17</w:t>
      </w:r>
      <w:bookmarkEnd w:id="207"/>
      <w:r>
        <w:tab/>
      </w:r>
      <w:r w:rsidR="0075777C" w:rsidRPr="00795577">
        <w:t xml:space="preserve">Forest plot showing the RR of </w:t>
      </w:r>
      <w:r w:rsidR="0075777C">
        <w:t>being hospitalised</w:t>
      </w:r>
      <w:r w:rsidR="0075777C" w:rsidRPr="00795577">
        <w:t xml:space="preserve"> </w:t>
      </w:r>
      <w:r w:rsidR="003507C5">
        <w:t xml:space="preserve">due to </w:t>
      </w:r>
      <w:r w:rsidR="007E3E71">
        <w:t xml:space="preserve">worsening </w:t>
      </w:r>
      <w:r w:rsidR="003507C5">
        <w:t xml:space="preserve">PAH </w:t>
      </w:r>
      <w:r w:rsidR="0075777C" w:rsidRPr="00795577">
        <w:t xml:space="preserve">while being treated with </w:t>
      </w:r>
      <w:r w:rsidR="0075777C">
        <w:t xml:space="preserve">a PDE-5 inhibitor and </w:t>
      </w:r>
      <w:r w:rsidR="0075777C" w:rsidRPr="00795577">
        <w:t xml:space="preserve">an ERA compared with </w:t>
      </w:r>
      <w:r w:rsidR="0075777C">
        <w:t>an ERA alone</w:t>
      </w:r>
      <w:r w:rsidR="0075777C" w:rsidRPr="00795577">
        <w:t xml:space="preserve"> in </w:t>
      </w:r>
      <w:r w:rsidR="0075777C">
        <w:t>all PAH patients</w:t>
      </w:r>
      <w:bookmarkEnd w:id="208"/>
    </w:p>
    <w:p w:rsidR="007064B3" w:rsidRPr="006316DF" w:rsidRDefault="0075777C" w:rsidP="00200D9E">
      <w:pPr>
        <w:pStyle w:val="Tablenote"/>
      </w:pPr>
      <w:r w:rsidRPr="00795577">
        <w:t>CI = confidence interval; ERA =</w:t>
      </w:r>
      <w:r>
        <w:t xml:space="preserve"> </w:t>
      </w:r>
      <w:r w:rsidR="0006512A">
        <w:t>endothelin receptor</w:t>
      </w:r>
      <w:r>
        <w:t xml:space="preserve"> antagonist</w:t>
      </w:r>
      <w:r w:rsidRPr="00795577">
        <w:t xml:space="preserve">; N = number of patients; </w:t>
      </w:r>
      <w:r w:rsidR="007064B3" w:rsidRPr="00715D78">
        <w:t xml:space="preserve">PAH = pulmonary arterial hypertension; </w:t>
      </w:r>
      <w:r>
        <w:t xml:space="preserve">PDE-5i = </w:t>
      </w:r>
      <w:r w:rsidRPr="002C2E5D">
        <w:t>phosphodiesterase type-5 inhibitor</w:t>
      </w:r>
      <w:r>
        <w:t>;</w:t>
      </w:r>
      <w:r w:rsidRPr="002C2E5D">
        <w:t xml:space="preserve"> </w:t>
      </w:r>
      <w:r w:rsidRPr="00795577">
        <w:t>RR = relative risk</w:t>
      </w:r>
    </w:p>
    <w:p w:rsidR="0075777C" w:rsidRPr="00822C52" w:rsidRDefault="0077344D" w:rsidP="0075777C">
      <w:pPr>
        <w:pStyle w:val="Heading5"/>
      </w:pPr>
      <w:r>
        <w:t>d.</w:t>
      </w:r>
      <w:r w:rsidR="007B6C7C">
        <w:tab/>
      </w:r>
      <w:r w:rsidR="0075777C" w:rsidRPr="00822C52">
        <w:t xml:space="preserve">Change in WHO </w:t>
      </w:r>
      <w:r w:rsidR="0075777C">
        <w:t>FC</w:t>
      </w:r>
      <w:r w:rsidR="007B6C7C">
        <w:t xml:space="preserve"> from baseline</w:t>
      </w:r>
    </w:p>
    <w:p w:rsidR="0075777C" w:rsidRPr="00822C52" w:rsidRDefault="0075777C" w:rsidP="0075777C">
      <w:r>
        <w:t xml:space="preserve">Four RCTs reported on the effectiveness of a </w:t>
      </w:r>
      <w:r w:rsidRPr="00157F57">
        <w:t xml:space="preserve">PDE-5 inhibitor </w:t>
      </w:r>
      <w:r>
        <w:t>and an</w:t>
      </w:r>
      <w:r w:rsidRPr="00157F57">
        <w:t xml:space="preserve"> ERA compared with </w:t>
      </w:r>
      <w:r>
        <w:t xml:space="preserve">an </w:t>
      </w:r>
      <w:r w:rsidRPr="00157F57">
        <w:t>ERA</w:t>
      </w:r>
      <w:r>
        <w:t xml:space="preserve"> alone</w:t>
      </w:r>
      <w:r w:rsidRPr="00157F57">
        <w:t xml:space="preserve"> in </w:t>
      </w:r>
      <w:r>
        <w:t>improving WHO FC</w:t>
      </w:r>
      <w:r w:rsidRPr="00157F57">
        <w:t xml:space="preserve"> in PAH patients</w:t>
      </w:r>
      <w:r>
        <w:t xml:space="preserve"> of any WHO FC and disease aetiology. The PHIRST trial also rep</w:t>
      </w:r>
      <w:r w:rsidR="00302512">
        <w:t>orted clinical worsening in I</w:t>
      </w:r>
      <w:r>
        <w:t>PAH</w:t>
      </w:r>
      <w:r w:rsidR="00302512">
        <w:t>/HPAH</w:t>
      </w:r>
      <w:r>
        <w:t xml:space="preserve"> and PAH-CTD patient subgroups.</w:t>
      </w:r>
    </w:p>
    <w:p w:rsidR="0075777C" w:rsidRPr="00B607A5" w:rsidRDefault="0077344D" w:rsidP="0077344D">
      <w:pPr>
        <w:pStyle w:val="Heading6"/>
      </w:pPr>
      <w:r w:rsidRPr="00B607A5">
        <w:t>d</w:t>
      </w:r>
      <w:r w:rsidR="0075777C" w:rsidRPr="00B607A5">
        <w:t>.i</w:t>
      </w:r>
      <w:r w:rsidR="0075777C" w:rsidRPr="00B607A5">
        <w:tab/>
        <w:t>PAH patients, irrespective of disease severity or aetiology</w:t>
      </w:r>
    </w:p>
    <w:p w:rsidR="0075777C" w:rsidRDefault="0075777C" w:rsidP="0075777C">
      <w:r>
        <w:t>In three RCTs a greater proportion of patients receiving combination therapy improved their WHO FC over the study period compared with patients receiving monotherapy. However, in the PHIRST trial more patients in the monotherapy group improved compared to those in the combination therapy group (</w:t>
      </w:r>
      <w:r w:rsidR="00AA722D">
        <w:t>Table 4.</w:t>
      </w:r>
      <w:r w:rsidR="00AA722D">
        <w:rPr>
          <w:noProof/>
        </w:rPr>
        <w:t>65</w:t>
      </w:r>
      <w:r>
        <w:t xml:space="preserve">). More patients in the monotherapy group worsened compared with the combination therapy group in all four studies. Meta-analysis </w:t>
      </w:r>
      <w:r w:rsidRPr="006316DF">
        <w:t xml:space="preserve">of the RR of </w:t>
      </w:r>
      <w:r>
        <w:t>improving the WHO FC</w:t>
      </w:r>
      <w:r w:rsidRPr="006316DF">
        <w:t xml:space="preserve"> when being treated with </w:t>
      </w:r>
      <w:r>
        <w:t xml:space="preserve">a </w:t>
      </w:r>
      <w:r w:rsidRPr="002C2E5D">
        <w:t xml:space="preserve">PDE-5 inhibitor plus </w:t>
      </w:r>
      <w:r w:rsidRPr="006316DF">
        <w:t xml:space="preserve">an ERA compared with </w:t>
      </w:r>
      <w:r>
        <w:t xml:space="preserve">an ERA alone showed no </w:t>
      </w:r>
      <w:r>
        <w:lastRenderedPageBreak/>
        <w:t>significant difference between the two treatment groups (</w:t>
      </w:r>
      <w:r w:rsidR="00AA722D">
        <w:t>Figure 4.</w:t>
      </w:r>
      <w:r w:rsidR="00AA722D">
        <w:rPr>
          <w:noProof/>
        </w:rPr>
        <w:t>18</w:t>
      </w:r>
      <w:r>
        <w:t xml:space="preserve">). However, the pooled RR for worsening of WHO FC favoured combination therapy over monotherapy with a 40% reduction in risk but did not quite reach statistical significance. </w:t>
      </w:r>
    </w:p>
    <w:p w:rsidR="0075777C" w:rsidRPr="00DD7790" w:rsidRDefault="00272F8F" w:rsidP="00BC5A2B">
      <w:pPr>
        <w:pStyle w:val="Caption"/>
      </w:pPr>
      <w:bookmarkStart w:id="209" w:name="_Ref504398880"/>
      <w:bookmarkStart w:id="210" w:name="_Toc512855469"/>
      <w:r>
        <w:t>Table 4.</w:t>
      </w:r>
      <w:r w:rsidR="00AA722D">
        <w:rPr>
          <w:noProof/>
        </w:rPr>
        <w:t>65</w:t>
      </w:r>
      <w:bookmarkEnd w:id="209"/>
      <w:r w:rsidR="00200D9E">
        <w:tab/>
      </w:r>
      <w:r w:rsidR="0075777C" w:rsidRPr="00DD7790">
        <w:t xml:space="preserve">The effectiveness of </w:t>
      </w:r>
      <w:r w:rsidR="00385078">
        <w:t xml:space="preserve">a </w:t>
      </w:r>
      <w:r w:rsidR="00385078" w:rsidRPr="00DD7790">
        <w:t>PDE-5 inhibitor</w:t>
      </w:r>
      <w:r w:rsidR="00385078">
        <w:t xml:space="preserve"> in addition to an</w:t>
      </w:r>
      <w:r w:rsidR="00385078" w:rsidRPr="00DD7790">
        <w:t xml:space="preserve"> ERA compared with ERA</w:t>
      </w:r>
      <w:r w:rsidR="00385078">
        <w:t xml:space="preserve"> monotherapy</w:t>
      </w:r>
      <w:r w:rsidR="00385078" w:rsidRPr="00DD7790">
        <w:t xml:space="preserve"> </w:t>
      </w:r>
      <w:r w:rsidR="0075777C" w:rsidRPr="00DD7790">
        <w:t>in improving WHO FC in all patients with PAH</w:t>
      </w:r>
      <w:bookmarkEnd w:id="210"/>
    </w:p>
    <w:tbl>
      <w:tblPr>
        <w:tblStyle w:val="TableGrid7"/>
        <w:tblW w:w="9634" w:type="dxa"/>
        <w:tblLayout w:type="fixed"/>
        <w:tblLook w:val="04A0" w:firstRow="1" w:lastRow="0" w:firstColumn="1" w:lastColumn="0" w:noHBand="0" w:noVBand="1"/>
        <w:tblCaption w:val="The effectiveness of a PDE-5 inhibitor in addition to an ERA compared with ERA monotherapy in improving WHO FC in all patients with PAH"/>
      </w:tblPr>
      <w:tblGrid>
        <w:gridCol w:w="2122"/>
        <w:gridCol w:w="1417"/>
        <w:gridCol w:w="2126"/>
        <w:gridCol w:w="1985"/>
        <w:gridCol w:w="1984"/>
      </w:tblGrid>
      <w:tr w:rsidR="0075777C" w:rsidRPr="00822C52" w:rsidTr="00200D9E">
        <w:trPr>
          <w:trHeight w:val="365"/>
          <w:tblHeader/>
        </w:trPr>
        <w:tc>
          <w:tcPr>
            <w:tcW w:w="2122" w:type="dxa"/>
            <w:vMerge w:val="restart"/>
            <w:shd w:val="clear" w:color="auto" w:fill="BFBFBF" w:themeFill="background1" w:themeFillShade="BF"/>
          </w:tcPr>
          <w:p w:rsidR="0075777C" w:rsidRPr="00200D9E" w:rsidRDefault="0075777C" w:rsidP="00200D9E">
            <w:pPr>
              <w:pStyle w:val="Tabletext"/>
              <w:rPr>
                <w:b/>
              </w:rPr>
            </w:pPr>
            <w:r w:rsidRPr="00200D9E">
              <w:rPr>
                <w:b/>
              </w:rPr>
              <w:t>Study ID</w:t>
            </w:r>
          </w:p>
          <w:p w:rsidR="0075777C" w:rsidRPr="00200D9E" w:rsidRDefault="0075777C" w:rsidP="00200D9E">
            <w:pPr>
              <w:pStyle w:val="Tabletext"/>
              <w:rPr>
                <w:b/>
              </w:rPr>
            </w:pPr>
            <w:r w:rsidRPr="00200D9E">
              <w:rPr>
                <w:b/>
              </w:rPr>
              <w:t>Follow-up period</w:t>
            </w:r>
          </w:p>
          <w:p w:rsidR="0075777C" w:rsidRPr="00200D9E" w:rsidRDefault="0075777C" w:rsidP="00200D9E">
            <w:pPr>
              <w:pStyle w:val="Tabletext"/>
              <w:rPr>
                <w:b/>
              </w:rPr>
            </w:pPr>
            <w:r w:rsidRPr="00200D9E">
              <w:rPr>
                <w:b/>
              </w:rPr>
              <w:t>PDE-5i/ERA</w:t>
            </w:r>
          </w:p>
        </w:tc>
        <w:tc>
          <w:tcPr>
            <w:tcW w:w="1417" w:type="dxa"/>
            <w:vMerge w:val="restart"/>
            <w:shd w:val="clear" w:color="auto" w:fill="BFBFBF" w:themeFill="background1" w:themeFillShade="BF"/>
          </w:tcPr>
          <w:p w:rsidR="0075777C" w:rsidRPr="00200D9E" w:rsidRDefault="0075777C" w:rsidP="00200D9E">
            <w:pPr>
              <w:pStyle w:val="Tabletext"/>
              <w:rPr>
                <w:b/>
              </w:rPr>
            </w:pPr>
            <w:r w:rsidRPr="00200D9E">
              <w:rPr>
                <w:b/>
              </w:rPr>
              <w:t>Change in WHO FC</w:t>
            </w:r>
          </w:p>
        </w:tc>
        <w:tc>
          <w:tcPr>
            <w:tcW w:w="4111" w:type="dxa"/>
            <w:gridSpan w:val="2"/>
            <w:shd w:val="clear" w:color="auto" w:fill="BFBFBF" w:themeFill="background1" w:themeFillShade="BF"/>
          </w:tcPr>
          <w:p w:rsidR="0075777C" w:rsidRPr="00200D9E" w:rsidRDefault="0075777C" w:rsidP="00200D9E">
            <w:pPr>
              <w:pStyle w:val="Tabletext"/>
              <w:jc w:val="center"/>
              <w:rPr>
                <w:b/>
              </w:rPr>
            </w:pPr>
            <w:r w:rsidRPr="00200D9E">
              <w:rPr>
                <w:b/>
              </w:rPr>
              <w:t>n/N (%)</w:t>
            </w:r>
          </w:p>
        </w:tc>
        <w:tc>
          <w:tcPr>
            <w:tcW w:w="1984" w:type="dxa"/>
            <w:vMerge w:val="restart"/>
            <w:shd w:val="clear" w:color="auto" w:fill="BFBFBF" w:themeFill="background1" w:themeFillShade="BF"/>
          </w:tcPr>
          <w:p w:rsidR="0075777C" w:rsidRPr="00200D9E" w:rsidRDefault="0075777C" w:rsidP="00200D9E">
            <w:pPr>
              <w:pStyle w:val="Tabletext"/>
              <w:rPr>
                <w:b/>
              </w:rPr>
            </w:pPr>
            <w:r w:rsidRPr="00200D9E">
              <w:rPr>
                <w:b/>
              </w:rPr>
              <w:t>RR (95% CI)</w:t>
            </w:r>
          </w:p>
        </w:tc>
      </w:tr>
      <w:tr w:rsidR="0075777C" w:rsidRPr="00822C52" w:rsidTr="00200D9E">
        <w:trPr>
          <w:trHeight w:val="202"/>
          <w:tblHeader/>
        </w:trPr>
        <w:tc>
          <w:tcPr>
            <w:tcW w:w="2122" w:type="dxa"/>
            <w:vMerge/>
            <w:shd w:val="clear" w:color="auto" w:fill="BFBFBF" w:themeFill="background1" w:themeFillShade="BF"/>
          </w:tcPr>
          <w:p w:rsidR="0075777C" w:rsidRPr="00822C52" w:rsidRDefault="0075777C" w:rsidP="00200D9E">
            <w:pPr>
              <w:pStyle w:val="Tabletext"/>
            </w:pPr>
          </w:p>
        </w:tc>
        <w:tc>
          <w:tcPr>
            <w:tcW w:w="1417" w:type="dxa"/>
            <w:vMerge/>
            <w:shd w:val="clear" w:color="auto" w:fill="BFBFBF" w:themeFill="background1" w:themeFillShade="BF"/>
          </w:tcPr>
          <w:p w:rsidR="0075777C" w:rsidRPr="00822C52" w:rsidRDefault="0075777C" w:rsidP="00200D9E">
            <w:pPr>
              <w:pStyle w:val="Tabletext"/>
            </w:pPr>
          </w:p>
        </w:tc>
        <w:tc>
          <w:tcPr>
            <w:tcW w:w="2126" w:type="dxa"/>
            <w:shd w:val="clear" w:color="auto" w:fill="BFBFBF" w:themeFill="background1" w:themeFillShade="BF"/>
          </w:tcPr>
          <w:p w:rsidR="0075777C" w:rsidRPr="00200D9E" w:rsidRDefault="0075777C" w:rsidP="00200D9E">
            <w:pPr>
              <w:pStyle w:val="Tabletext"/>
              <w:jc w:val="center"/>
              <w:rPr>
                <w:b/>
              </w:rPr>
            </w:pPr>
            <w:r w:rsidRPr="00200D9E">
              <w:rPr>
                <w:b/>
              </w:rPr>
              <w:t>PDE-5i + ERA</w:t>
            </w:r>
          </w:p>
        </w:tc>
        <w:tc>
          <w:tcPr>
            <w:tcW w:w="1985" w:type="dxa"/>
            <w:shd w:val="clear" w:color="auto" w:fill="BFBFBF" w:themeFill="background1" w:themeFillShade="BF"/>
          </w:tcPr>
          <w:p w:rsidR="0075777C" w:rsidRPr="00200D9E" w:rsidRDefault="0075777C" w:rsidP="00200D9E">
            <w:pPr>
              <w:pStyle w:val="Tabletext"/>
              <w:jc w:val="center"/>
              <w:rPr>
                <w:b/>
              </w:rPr>
            </w:pPr>
            <w:r w:rsidRPr="00200D9E">
              <w:rPr>
                <w:b/>
              </w:rPr>
              <w:t>ERA</w:t>
            </w:r>
          </w:p>
        </w:tc>
        <w:tc>
          <w:tcPr>
            <w:tcW w:w="1984" w:type="dxa"/>
            <w:vMerge/>
            <w:shd w:val="clear" w:color="auto" w:fill="BFBFBF" w:themeFill="background1" w:themeFillShade="BF"/>
          </w:tcPr>
          <w:p w:rsidR="0075777C" w:rsidRPr="00822C52" w:rsidRDefault="0075777C" w:rsidP="00200D9E">
            <w:pPr>
              <w:pStyle w:val="Tabletext"/>
            </w:pPr>
          </w:p>
        </w:tc>
      </w:tr>
      <w:tr w:rsidR="0075777C" w:rsidRPr="00822C52" w:rsidTr="00200D9E">
        <w:trPr>
          <w:trHeight w:val="70"/>
        </w:trPr>
        <w:tc>
          <w:tcPr>
            <w:tcW w:w="2122" w:type="dxa"/>
            <w:vMerge w:val="restart"/>
          </w:tcPr>
          <w:p w:rsidR="0075777C" w:rsidRPr="00822C52" w:rsidRDefault="0075777C" w:rsidP="00200D9E">
            <w:pPr>
              <w:pStyle w:val="Tabletext"/>
            </w:pPr>
            <w:r w:rsidRPr="00822C52">
              <w:t>AMBITION</w:t>
            </w:r>
            <w:r w:rsidR="001D34EE" w:rsidRPr="001A1C44">
              <w:rPr>
                <w:noProof/>
                <w:vertAlign w:val="superscript"/>
              </w:rPr>
              <w:t>30</w:t>
            </w:r>
          </w:p>
          <w:p w:rsidR="0075777C" w:rsidRPr="00822C52" w:rsidRDefault="0075777C" w:rsidP="00200D9E">
            <w:pPr>
              <w:pStyle w:val="Tabletext"/>
            </w:pPr>
            <w:r w:rsidRPr="00822C52">
              <w:t>24 weeks</w:t>
            </w:r>
          </w:p>
          <w:p w:rsidR="0075777C" w:rsidRPr="00822C52" w:rsidRDefault="0075777C" w:rsidP="00200D9E">
            <w:pPr>
              <w:pStyle w:val="Tabletext"/>
              <w:rPr>
                <w:rFonts w:cs="Tahoma"/>
              </w:rPr>
            </w:pPr>
            <w:r w:rsidRPr="00822C52">
              <w:rPr>
                <w:rFonts w:cs="Tahoma"/>
              </w:rPr>
              <w:t>Tadalafil/ambrisentan</w:t>
            </w:r>
          </w:p>
        </w:tc>
        <w:tc>
          <w:tcPr>
            <w:tcW w:w="1417" w:type="dxa"/>
          </w:tcPr>
          <w:p w:rsidR="0075777C" w:rsidRPr="00822C52" w:rsidRDefault="0075777C" w:rsidP="00200D9E">
            <w:pPr>
              <w:pStyle w:val="Tabletext"/>
              <w:rPr>
                <w:rFonts w:cs="Tahoma"/>
              </w:rPr>
            </w:pPr>
            <w:r w:rsidRPr="00822C52">
              <w:rPr>
                <w:rFonts w:cs="Tahoma"/>
              </w:rPr>
              <w:t>Improved</w:t>
            </w:r>
          </w:p>
        </w:tc>
        <w:tc>
          <w:tcPr>
            <w:tcW w:w="2126" w:type="dxa"/>
          </w:tcPr>
          <w:p w:rsidR="0075777C" w:rsidRPr="00822C52" w:rsidRDefault="0075777C" w:rsidP="00200D9E">
            <w:pPr>
              <w:pStyle w:val="Tabletext"/>
              <w:jc w:val="center"/>
              <w:rPr>
                <w:rFonts w:cs="Tahoma"/>
              </w:rPr>
            </w:pPr>
            <w:r w:rsidRPr="00822C52">
              <w:rPr>
                <w:rFonts w:cs="Tahoma"/>
              </w:rPr>
              <w:t>94/252 (37%)</w:t>
            </w:r>
          </w:p>
        </w:tc>
        <w:tc>
          <w:tcPr>
            <w:tcW w:w="1985" w:type="dxa"/>
          </w:tcPr>
          <w:p w:rsidR="0075777C" w:rsidRPr="00822C52" w:rsidRDefault="0075777C" w:rsidP="00200D9E">
            <w:pPr>
              <w:pStyle w:val="Tabletext"/>
              <w:jc w:val="center"/>
              <w:rPr>
                <w:rFonts w:cs="Tahoma"/>
              </w:rPr>
            </w:pPr>
            <w:r w:rsidRPr="00822C52">
              <w:rPr>
                <w:rFonts w:cs="Tahoma"/>
              </w:rPr>
              <w:t>42/124 (34%)</w:t>
            </w:r>
          </w:p>
        </w:tc>
        <w:tc>
          <w:tcPr>
            <w:tcW w:w="1984" w:type="dxa"/>
          </w:tcPr>
          <w:p w:rsidR="0075777C" w:rsidRPr="00822C52" w:rsidRDefault="0075777C" w:rsidP="00200D9E">
            <w:pPr>
              <w:pStyle w:val="Tabletext"/>
              <w:rPr>
                <w:rFonts w:cs="Tahoma"/>
              </w:rPr>
            </w:pPr>
            <w:r>
              <w:rPr>
                <w:rFonts w:cs="Tahoma"/>
              </w:rPr>
              <w:t>1.10 (0.82, 1.48)</w:t>
            </w:r>
          </w:p>
        </w:tc>
      </w:tr>
      <w:tr w:rsidR="0075777C" w:rsidRPr="00822C52" w:rsidTr="00200D9E">
        <w:trPr>
          <w:trHeight w:val="70"/>
        </w:trPr>
        <w:tc>
          <w:tcPr>
            <w:tcW w:w="2122" w:type="dxa"/>
            <w:vMerge/>
          </w:tcPr>
          <w:p w:rsidR="0075777C" w:rsidRPr="00822C52" w:rsidRDefault="0075777C" w:rsidP="00200D9E">
            <w:pPr>
              <w:pStyle w:val="Tabletext"/>
              <w:rPr>
                <w:rFonts w:cs="Tahoma"/>
              </w:rPr>
            </w:pPr>
          </w:p>
        </w:tc>
        <w:tc>
          <w:tcPr>
            <w:tcW w:w="1417" w:type="dxa"/>
          </w:tcPr>
          <w:p w:rsidR="0075777C" w:rsidRPr="00822C52" w:rsidRDefault="0075777C" w:rsidP="00200D9E">
            <w:pPr>
              <w:pStyle w:val="Tabletext"/>
              <w:rPr>
                <w:rFonts w:cs="Tahoma"/>
              </w:rPr>
            </w:pPr>
            <w:r w:rsidRPr="00822C52">
              <w:rPr>
                <w:rFonts w:cs="Tahoma"/>
              </w:rPr>
              <w:t>Worsened</w:t>
            </w:r>
          </w:p>
        </w:tc>
        <w:tc>
          <w:tcPr>
            <w:tcW w:w="2126" w:type="dxa"/>
          </w:tcPr>
          <w:p w:rsidR="0075777C" w:rsidRPr="00822C52" w:rsidRDefault="0075777C" w:rsidP="00200D9E">
            <w:pPr>
              <w:pStyle w:val="Tabletext"/>
              <w:jc w:val="center"/>
              <w:rPr>
                <w:rFonts w:cs="Tahoma"/>
              </w:rPr>
            </w:pPr>
            <w:r w:rsidRPr="00822C52">
              <w:rPr>
                <w:rFonts w:cs="Tahoma"/>
              </w:rPr>
              <w:t>12/252 (5%)</w:t>
            </w:r>
          </w:p>
        </w:tc>
        <w:tc>
          <w:tcPr>
            <w:tcW w:w="1985" w:type="dxa"/>
          </w:tcPr>
          <w:p w:rsidR="0075777C" w:rsidRPr="00822C52" w:rsidRDefault="0075777C" w:rsidP="00200D9E">
            <w:pPr>
              <w:pStyle w:val="Tabletext"/>
              <w:jc w:val="center"/>
              <w:rPr>
                <w:rFonts w:cs="Tahoma"/>
              </w:rPr>
            </w:pPr>
            <w:r w:rsidRPr="00822C52">
              <w:rPr>
                <w:rFonts w:cs="Tahoma"/>
              </w:rPr>
              <w:t>9/124 (7%)</w:t>
            </w:r>
          </w:p>
        </w:tc>
        <w:tc>
          <w:tcPr>
            <w:tcW w:w="1984" w:type="dxa"/>
          </w:tcPr>
          <w:p w:rsidR="0075777C" w:rsidRPr="00822C52" w:rsidRDefault="0075777C" w:rsidP="00200D9E">
            <w:pPr>
              <w:pStyle w:val="Tabletext"/>
              <w:rPr>
                <w:rFonts w:cs="Tahoma"/>
              </w:rPr>
            </w:pPr>
            <w:r>
              <w:rPr>
                <w:rFonts w:cs="Tahoma"/>
              </w:rPr>
              <w:t>0.66 (0.28, 1.52)</w:t>
            </w:r>
          </w:p>
        </w:tc>
      </w:tr>
      <w:tr w:rsidR="0075777C" w:rsidRPr="00822C52" w:rsidTr="00200D9E">
        <w:trPr>
          <w:trHeight w:val="70"/>
        </w:trPr>
        <w:tc>
          <w:tcPr>
            <w:tcW w:w="2122" w:type="dxa"/>
            <w:vMerge w:val="restart"/>
          </w:tcPr>
          <w:p w:rsidR="0075777C" w:rsidRDefault="0075777C" w:rsidP="00200D9E">
            <w:pPr>
              <w:pStyle w:val="Tabletext"/>
            </w:pPr>
            <w:r>
              <w:t>PHIRST</w:t>
            </w:r>
          </w:p>
          <w:p w:rsidR="0075777C" w:rsidRPr="00822C52" w:rsidRDefault="0075777C" w:rsidP="00200D9E">
            <w:pPr>
              <w:pStyle w:val="Tabletext"/>
            </w:pPr>
            <w:r>
              <w:t>Barst et al</w:t>
            </w:r>
            <w:r w:rsidRPr="00822C52">
              <w:t xml:space="preserve"> (2011)</w:t>
            </w:r>
            <w:r w:rsidR="001D34EE" w:rsidRPr="001A1C44">
              <w:rPr>
                <w:noProof/>
                <w:vertAlign w:val="superscript"/>
              </w:rPr>
              <w:t>45</w:t>
            </w:r>
          </w:p>
          <w:p w:rsidR="0075777C" w:rsidRPr="00822C52" w:rsidRDefault="0075777C" w:rsidP="00200D9E">
            <w:pPr>
              <w:pStyle w:val="Tabletext"/>
            </w:pPr>
            <w:r w:rsidRPr="00822C52">
              <w:t>16 weeks</w:t>
            </w:r>
          </w:p>
          <w:p w:rsidR="0075777C" w:rsidRPr="00822C52" w:rsidRDefault="0075777C" w:rsidP="00200D9E">
            <w:pPr>
              <w:pStyle w:val="Tabletext"/>
              <w:rPr>
                <w:rFonts w:cs="Tahoma"/>
              </w:rPr>
            </w:pPr>
            <w:r w:rsidRPr="00822C52">
              <w:t>Tadalafil/bosentan</w:t>
            </w:r>
          </w:p>
        </w:tc>
        <w:tc>
          <w:tcPr>
            <w:tcW w:w="1417" w:type="dxa"/>
          </w:tcPr>
          <w:p w:rsidR="0075777C" w:rsidRPr="00822C52" w:rsidRDefault="0075777C" w:rsidP="00200D9E">
            <w:pPr>
              <w:pStyle w:val="Tabletext"/>
              <w:rPr>
                <w:rFonts w:cs="Tahoma"/>
              </w:rPr>
            </w:pPr>
            <w:r w:rsidRPr="00822C52">
              <w:rPr>
                <w:rFonts w:cs="Tahoma"/>
              </w:rPr>
              <w:t>Improved</w:t>
            </w:r>
          </w:p>
        </w:tc>
        <w:tc>
          <w:tcPr>
            <w:tcW w:w="2126" w:type="dxa"/>
          </w:tcPr>
          <w:p w:rsidR="0075777C" w:rsidRPr="00822C52" w:rsidRDefault="0075777C" w:rsidP="00200D9E">
            <w:pPr>
              <w:pStyle w:val="Tabletext"/>
              <w:jc w:val="center"/>
              <w:rPr>
                <w:rFonts w:cs="Tahoma"/>
              </w:rPr>
            </w:pPr>
            <w:r w:rsidRPr="00822C52">
              <w:rPr>
                <w:rFonts w:cs="Tahoma"/>
              </w:rPr>
              <w:t>4/42 (10%)</w:t>
            </w:r>
          </w:p>
        </w:tc>
        <w:tc>
          <w:tcPr>
            <w:tcW w:w="1985" w:type="dxa"/>
          </w:tcPr>
          <w:p w:rsidR="0075777C" w:rsidRPr="00822C52" w:rsidRDefault="0075777C" w:rsidP="00200D9E">
            <w:pPr>
              <w:pStyle w:val="Tabletext"/>
              <w:jc w:val="center"/>
              <w:rPr>
                <w:rFonts w:cs="Tahoma"/>
              </w:rPr>
            </w:pPr>
            <w:r w:rsidRPr="00822C52">
              <w:rPr>
                <w:rFonts w:cs="Tahoma"/>
              </w:rPr>
              <w:t>11/45 (24%)</w:t>
            </w:r>
          </w:p>
        </w:tc>
        <w:tc>
          <w:tcPr>
            <w:tcW w:w="1984" w:type="dxa"/>
          </w:tcPr>
          <w:p w:rsidR="0075777C" w:rsidRPr="00822C52" w:rsidRDefault="0075777C" w:rsidP="00200D9E">
            <w:pPr>
              <w:pStyle w:val="Tabletext"/>
              <w:rPr>
                <w:rFonts w:cs="Tahoma"/>
              </w:rPr>
            </w:pPr>
            <w:r>
              <w:rPr>
                <w:rFonts w:cs="Tahoma"/>
              </w:rPr>
              <w:t>0.39 (0.13, 1.13)</w:t>
            </w:r>
          </w:p>
        </w:tc>
      </w:tr>
      <w:tr w:rsidR="0075777C" w:rsidRPr="00822C52" w:rsidTr="00200D9E">
        <w:trPr>
          <w:trHeight w:val="70"/>
        </w:trPr>
        <w:tc>
          <w:tcPr>
            <w:tcW w:w="2122" w:type="dxa"/>
            <w:vMerge/>
          </w:tcPr>
          <w:p w:rsidR="0075777C" w:rsidRPr="00822C52" w:rsidRDefault="0075777C" w:rsidP="00200D9E">
            <w:pPr>
              <w:pStyle w:val="Tabletext"/>
              <w:rPr>
                <w:rFonts w:cs="Tahoma"/>
              </w:rPr>
            </w:pPr>
          </w:p>
        </w:tc>
        <w:tc>
          <w:tcPr>
            <w:tcW w:w="1417" w:type="dxa"/>
          </w:tcPr>
          <w:p w:rsidR="0075777C" w:rsidRPr="00822C52" w:rsidRDefault="0075777C" w:rsidP="00200D9E">
            <w:pPr>
              <w:pStyle w:val="Tabletext"/>
              <w:rPr>
                <w:rFonts w:cs="Tahoma"/>
              </w:rPr>
            </w:pPr>
            <w:r w:rsidRPr="00822C52">
              <w:rPr>
                <w:rFonts w:cs="Tahoma"/>
              </w:rPr>
              <w:t>Worsened</w:t>
            </w:r>
          </w:p>
        </w:tc>
        <w:tc>
          <w:tcPr>
            <w:tcW w:w="2126" w:type="dxa"/>
          </w:tcPr>
          <w:p w:rsidR="0075777C" w:rsidRPr="00822C52" w:rsidRDefault="0075777C" w:rsidP="00200D9E">
            <w:pPr>
              <w:pStyle w:val="Tabletext"/>
              <w:jc w:val="center"/>
              <w:rPr>
                <w:rFonts w:cs="Tahoma"/>
              </w:rPr>
            </w:pPr>
            <w:r w:rsidRPr="00822C52">
              <w:rPr>
                <w:rFonts w:cs="Tahoma"/>
              </w:rPr>
              <w:t>4/42 (10%)</w:t>
            </w:r>
          </w:p>
        </w:tc>
        <w:tc>
          <w:tcPr>
            <w:tcW w:w="1985" w:type="dxa"/>
          </w:tcPr>
          <w:p w:rsidR="0075777C" w:rsidRPr="00822C52" w:rsidRDefault="0075777C" w:rsidP="00200D9E">
            <w:pPr>
              <w:pStyle w:val="Tabletext"/>
              <w:jc w:val="center"/>
              <w:rPr>
                <w:rFonts w:cs="Tahoma"/>
              </w:rPr>
            </w:pPr>
            <w:r w:rsidRPr="00822C52">
              <w:rPr>
                <w:rFonts w:cs="Tahoma"/>
              </w:rPr>
              <w:t>5/45 (11%)</w:t>
            </w:r>
          </w:p>
        </w:tc>
        <w:tc>
          <w:tcPr>
            <w:tcW w:w="1984" w:type="dxa"/>
          </w:tcPr>
          <w:p w:rsidR="0075777C" w:rsidRPr="00822C52" w:rsidRDefault="0075777C" w:rsidP="00200D9E">
            <w:pPr>
              <w:pStyle w:val="Tabletext"/>
              <w:rPr>
                <w:rFonts w:cs="Tahoma"/>
              </w:rPr>
            </w:pPr>
            <w:r>
              <w:rPr>
                <w:rFonts w:cs="Tahoma"/>
              </w:rPr>
              <w:t>0.86 (0.25, 2.98)</w:t>
            </w:r>
          </w:p>
        </w:tc>
      </w:tr>
      <w:tr w:rsidR="0075777C" w:rsidRPr="00822C52" w:rsidTr="00200D9E">
        <w:trPr>
          <w:trHeight w:val="70"/>
        </w:trPr>
        <w:tc>
          <w:tcPr>
            <w:tcW w:w="2122" w:type="dxa"/>
            <w:vMerge w:val="restart"/>
          </w:tcPr>
          <w:p w:rsidR="0075777C" w:rsidRPr="00822C52" w:rsidRDefault="0075777C" w:rsidP="00200D9E">
            <w:pPr>
              <w:pStyle w:val="Tabletext"/>
            </w:pPr>
            <w:r w:rsidRPr="00822C52">
              <w:t>Zhuang 2014</w:t>
            </w:r>
            <w:r w:rsidR="001D34EE" w:rsidRPr="001A1C44">
              <w:rPr>
                <w:noProof/>
                <w:vertAlign w:val="superscript"/>
              </w:rPr>
              <w:t>50</w:t>
            </w:r>
          </w:p>
          <w:p w:rsidR="0075777C" w:rsidRPr="00822C52" w:rsidRDefault="0075777C" w:rsidP="00200D9E">
            <w:pPr>
              <w:pStyle w:val="Tabletext"/>
            </w:pPr>
            <w:r w:rsidRPr="00822C52">
              <w:t>16 weeks</w:t>
            </w:r>
          </w:p>
          <w:p w:rsidR="0075777C" w:rsidRPr="00822C52" w:rsidRDefault="0075777C" w:rsidP="00200D9E">
            <w:pPr>
              <w:pStyle w:val="Tabletext"/>
              <w:rPr>
                <w:rFonts w:cs="Tahoma"/>
              </w:rPr>
            </w:pPr>
            <w:r w:rsidRPr="00822C52">
              <w:t>Tadalafil/ambrisentan</w:t>
            </w:r>
          </w:p>
        </w:tc>
        <w:tc>
          <w:tcPr>
            <w:tcW w:w="1417" w:type="dxa"/>
          </w:tcPr>
          <w:p w:rsidR="0075777C" w:rsidRPr="00822C52" w:rsidRDefault="0075777C" w:rsidP="00200D9E">
            <w:pPr>
              <w:pStyle w:val="Tabletext"/>
              <w:rPr>
                <w:rFonts w:cs="Tahoma"/>
              </w:rPr>
            </w:pPr>
            <w:r w:rsidRPr="00822C52">
              <w:rPr>
                <w:rFonts w:cs="Tahoma"/>
              </w:rPr>
              <w:t>Improved</w:t>
            </w:r>
          </w:p>
        </w:tc>
        <w:tc>
          <w:tcPr>
            <w:tcW w:w="2126" w:type="dxa"/>
          </w:tcPr>
          <w:p w:rsidR="0075777C" w:rsidRPr="00822C52" w:rsidRDefault="0075777C" w:rsidP="00200D9E">
            <w:pPr>
              <w:pStyle w:val="Tabletext"/>
              <w:jc w:val="center"/>
              <w:rPr>
                <w:rFonts w:cs="Tahoma"/>
              </w:rPr>
            </w:pPr>
            <w:r w:rsidRPr="00822C52">
              <w:rPr>
                <w:rFonts w:cs="Tahoma"/>
              </w:rPr>
              <w:t>26/60 (43%)</w:t>
            </w:r>
          </w:p>
        </w:tc>
        <w:tc>
          <w:tcPr>
            <w:tcW w:w="1985" w:type="dxa"/>
          </w:tcPr>
          <w:p w:rsidR="0075777C" w:rsidRPr="00822C52" w:rsidRDefault="0075777C" w:rsidP="00200D9E">
            <w:pPr>
              <w:pStyle w:val="Tabletext"/>
              <w:jc w:val="center"/>
              <w:rPr>
                <w:rFonts w:cs="Tahoma"/>
              </w:rPr>
            </w:pPr>
            <w:r w:rsidRPr="00822C52">
              <w:rPr>
                <w:rFonts w:cs="Tahoma"/>
              </w:rPr>
              <w:t>20/64 (31%)</w:t>
            </w:r>
          </w:p>
        </w:tc>
        <w:tc>
          <w:tcPr>
            <w:tcW w:w="1984" w:type="dxa"/>
          </w:tcPr>
          <w:p w:rsidR="0075777C" w:rsidRPr="00822C52" w:rsidRDefault="0075777C" w:rsidP="00200D9E">
            <w:pPr>
              <w:pStyle w:val="Tabletext"/>
              <w:rPr>
                <w:rFonts w:cs="Tahoma"/>
              </w:rPr>
            </w:pPr>
            <w:r>
              <w:rPr>
                <w:rFonts w:cs="Tahoma"/>
              </w:rPr>
              <w:t>1.39 (0.87, 2.21)</w:t>
            </w:r>
          </w:p>
        </w:tc>
      </w:tr>
      <w:tr w:rsidR="0075777C" w:rsidRPr="00822C52" w:rsidTr="00200D9E">
        <w:trPr>
          <w:trHeight w:val="70"/>
        </w:trPr>
        <w:tc>
          <w:tcPr>
            <w:tcW w:w="2122" w:type="dxa"/>
            <w:vMerge/>
          </w:tcPr>
          <w:p w:rsidR="0075777C" w:rsidRPr="00822C52" w:rsidRDefault="0075777C" w:rsidP="00200D9E">
            <w:pPr>
              <w:pStyle w:val="Tabletext"/>
              <w:rPr>
                <w:rFonts w:cs="Tahoma"/>
              </w:rPr>
            </w:pPr>
          </w:p>
        </w:tc>
        <w:tc>
          <w:tcPr>
            <w:tcW w:w="1417" w:type="dxa"/>
          </w:tcPr>
          <w:p w:rsidR="0075777C" w:rsidRPr="00822C52" w:rsidRDefault="0075777C" w:rsidP="00200D9E">
            <w:pPr>
              <w:pStyle w:val="Tabletext"/>
              <w:rPr>
                <w:rFonts w:cs="Tahoma"/>
              </w:rPr>
            </w:pPr>
            <w:r w:rsidRPr="00822C52">
              <w:rPr>
                <w:rFonts w:cs="Tahoma"/>
              </w:rPr>
              <w:t>Worsened</w:t>
            </w:r>
          </w:p>
        </w:tc>
        <w:tc>
          <w:tcPr>
            <w:tcW w:w="2126" w:type="dxa"/>
          </w:tcPr>
          <w:p w:rsidR="0075777C" w:rsidRPr="00822C52" w:rsidRDefault="0075777C" w:rsidP="00200D9E">
            <w:pPr>
              <w:pStyle w:val="Tabletext"/>
              <w:jc w:val="center"/>
              <w:rPr>
                <w:rFonts w:cs="Tahoma"/>
              </w:rPr>
            </w:pPr>
            <w:r w:rsidRPr="00822C52">
              <w:rPr>
                <w:rFonts w:cs="Tahoma"/>
              </w:rPr>
              <w:t>5/60 (8%)</w:t>
            </w:r>
          </w:p>
        </w:tc>
        <w:tc>
          <w:tcPr>
            <w:tcW w:w="1985" w:type="dxa"/>
          </w:tcPr>
          <w:p w:rsidR="0075777C" w:rsidRPr="00822C52" w:rsidRDefault="0075777C" w:rsidP="00200D9E">
            <w:pPr>
              <w:pStyle w:val="Tabletext"/>
              <w:jc w:val="center"/>
              <w:rPr>
                <w:rFonts w:cs="Tahoma"/>
              </w:rPr>
            </w:pPr>
            <w:r w:rsidRPr="00822C52">
              <w:rPr>
                <w:rFonts w:cs="Tahoma"/>
              </w:rPr>
              <w:t>12/64 (19%)</w:t>
            </w:r>
          </w:p>
        </w:tc>
        <w:tc>
          <w:tcPr>
            <w:tcW w:w="1984" w:type="dxa"/>
          </w:tcPr>
          <w:p w:rsidR="0075777C" w:rsidRPr="00822C52" w:rsidRDefault="0075777C" w:rsidP="00200D9E">
            <w:pPr>
              <w:pStyle w:val="Tabletext"/>
              <w:rPr>
                <w:rFonts w:cs="Tahoma"/>
              </w:rPr>
            </w:pPr>
            <w:r>
              <w:rPr>
                <w:rFonts w:cs="Tahoma"/>
              </w:rPr>
              <w:t>0.44 (0.17, 1.19)</w:t>
            </w:r>
          </w:p>
        </w:tc>
      </w:tr>
      <w:tr w:rsidR="0075777C" w:rsidRPr="00822C52" w:rsidTr="00200D9E">
        <w:trPr>
          <w:trHeight w:val="70"/>
        </w:trPr>
        <w:tc>
          <w:tcPr>
            <w:tcW w:w="2122" w:type="dxa"/>
            <w:vMerge w:val="restart"/>
          </w:tcPr>
          <w:p w:rsidR="0075777C" w:rsidRPr="00822C52" w:rsidRDefault="0075777C" w:rsidP="00200D9E">
            <w:pPr>
              <w:pStyle w:val="Tabletext"/>
            </w:pPr>
            <w:r w:rsidRPr="00822C52">
              <w:t>Vizza 2017</w:t>
            </w:r>
            <w:r w:rsidR="001D34EE" w:rsidRPr="001A1C44">
              <w:rPr>
                <w:noProof/>
                <w:vertAlign w:val="superscript"/>
              </w:rPr>
              <w:t>49</w:t>
            </w:r>
          </w:p>
          <w:p w:rsidR="0075777C" w:rsidRPr="00822C52" w:rsidRDefault="0075777C" w:rsidP="00200D9E">
            <w:pPr>
              <w:pStyle w:val="Tabletext"/>
            </w:pPr>
            <w:r w:rsidRPr="00822C52">
              <w:t>12 weeks</w:t>
            </w:r>
          </w:p>
          <w:p w:rsidR="0075777C" w:rsidRPr="00822C52" w:rsidRDefault="0075777C" w:rsidP="00200D9E">
            <w:pPr>
              <w:pStyle w:val="Tabletext"/>
              <w:rPr>
                <w:rFonts w:cs="Tahoma"/>
              </w:rPr>
            </w:pPr>
            <w:r w:rsidRPr="00822C52">
              <w:t>Sildenafil/bosentan</w:t>
            </w:r>
          </w:p>
        </w:tc>
        <w:tc>
          <w:tcPr>
            <w:tcW w:w="1417" w:type="dxa"/>
          </w:tcPr>
          <w:p w:rsidR="0075777C" w:rsidRPr="00822C52" w:rsidRDefault="0075777C" w:rsidP="00200D9E">
            <w:pPr>
              <w:pStyle w:val="Tabletext"/>
              <w:rPr>
                <w:rFonts w:cs="Tahoma"/>
              </w:rPr>
            </w:pPr>
            <w:r w:rsidRPr="00822C52">
              <w:rPr>
                <w:rFonts w:cs="Tahoma"/>
              </w:rPr>
              <w:t>Improved</w:t>
            </w:r>
          </w:p>
        </w:tc>
        <w:tc>
          <w:tcPr>
            <w:tcW w:w="2126" w:type="dxa"/>
          </w:tcPr>
          <w:p w:rsidR="0075777C" w:rsidRPr="00822C52" w:rsidRDefault="0075777C" w:rsidP="00200D9E">
            <w:pPr>
              <w:pStyle w:val="Tabletext"/>
              <w:jc w:val="center"/>
              <w:rPr>
                <w:rFonts w:cs="Tahoma"/>
              </w:rPr>
            </w:pPr>
            <w:r w:rsidRPr="00822C52">
              <w:rPr>
                <w:rFonts w:cs="Tahoma"/>
              </w:rPr>
              <w:t>10/51 (20%)</w:t>
            </w:r>
          </w:p>
        </w:tc>
        <w:tc>
          <w:tcPr>
            <w:tcW w:w="1985" w:type="dxa"/>
          </w:tcPr>
          <w:p w:rsidR="0075777C" w:rsidRPr="00822C52" w:rsidRDefault="0075777C" w:rsidP="00200D9E">
            <w:pPr>
              <w:pStyle w:val="Tabletext"/>
              <w:jc w:val="center"/>
              <w:rPr>
                <w:rFonts w:cs="Tahoma"/>
              </w:rPr>
            </w:pPr>
            <w:r w:rsidRPr="00822C52">
              <w:rPr>
                <w:rFonts w:cs="Tahoma"/>
              </w:rPr>
              <w:t>7/53 (13%)</w:t>
            </w:r>
          </w:p>
        </w:tc>
        <w:tc>
          <w:tcPr>
            <w:tcW w:w="1984" w:type="dxa"/>
          </w:tcPr>
          <w:p w:rsidR="0075777C" w:rsidRPr="00822C52" w:rsidRDefault="0075777C" w:rsidP="00200D9E">
            <w:pPr>
              <w:pStyle w:val="Tabletext"/>
              <w:rPr>
                <w:rFonts w:cs="Tahoma"/>
              </w:rPr>
            </w:pPr>
            <w:r>
              <w:rPr>
                <w:rFonts w:cs="Tahoma"/>
              </w:rPr>
              <w:t>1.48 (0.61, 3.60)</w:t>
            </w:r>
          </w:p>
        </w:tc>
      </w:tr>
      <w:tr w:rsidR="0075777C" w:rsidRPr="00822C52" w:rsidTr="00200D9E">
        <w:trPr>
          <w:trHeight w:val="70"/>
        </w:trPr>
        <w:tc>
          <w:tcPr>
            <w:tcW w:w="2122" w:type="dxa"/>
            <w:vMerge/>
          </w:tcPr>
          <w:p w:rsidR="0075777C" w:rsidRPr="00822C52" w:rsidRDefault="0075777C" w:rsidP="00200D9E">
            <w:pPr>
              <w:pStyle w:val="Tabletext"/>
              <w:rPr>
                <w:rFonts w:cs="Tahoma"/>
              </w:rPr>
            </w:pPr>
          </w:p>
        </w:tc>
        <w:tc>
          <w:tcPr>
            <w:tcW w:w="1417" w:type="dxa"/>
          </w:tcPr>
          <w:p w:rsidR="0075777C" w:rsidRPr="00822C52" w:rsidRDefault="0075777C" w:rsidP="00200D9E">
            <w:pPr>
              <w:pStyle w:val="Tabletext"/>
              <w:rPr>
                <w:rFonts w:cs="Tahoma"/>
              </w:rPr>
            </w:pPr>
            <w:r w:rsidRPr="00822C52">
              <w:rPr>
                <w:rFonts w:cs="Tahoma"/>
              </w:rPr>
              <w:t>Worsened</w:t>
            </w:r>
          </w:p>
        </w:tc>
        <w:tc>
          <w:tcPr>
            <w:tcW w:w="2126" w:type="dxa"/>
          </w:tcPr>
          <w:p w:rsidR="0075777C" w:rsidRPr="00822C52" w:rsidRDefault="0075777C" w:rsidP="00200D9E">
            <w:pPr>
              <w:pStyle w:val="Tabletext"/>
              <w:jc w:val="center"/>
              <w:rPr>
                <w:rFonts w:cs="Tahoma"/>
              </w:rPr>
            </w:pPr>
            <w:r w:rsidRPr="00822C52">
              <w:rPr>
                <w:rFonts w:cs="Tahoma"/>
              </w:rPr>
              <w:t>0/51 (0%)</w:t>
            </w:r>
          </w:p>
        </w:tc>
        <w:tc>
          <w:tcPr>
            <w:tcW w:w="1985" w:type="dxa"/>
          </w:tcPr>
          <w:p w:rsidR="0075777C" w:rsidRPr="00822C52" w:rsidRDefault="0075777C" w:rsidP="00200D9E">
            <w:pPr>
              <w:pStyle w:val="Tabletext"/>
              <w:jc w:val="center"/>
              <w:rPr>
                <w:rFonts w:cs="Tahoma"/>
              </w:rPr>
            </w:pPr>
            <w:r w:rsidRPr="00822C52">
              <w:rPr>
                <w:rFonts w:cs="Tahoma"/>
              </w:rPr>
              <w:t>1/53 (2%)</w:t>
            </w:r>
          </w:p>
        </w:tc>
        <w:tc>
          <w:tcPr>
            <w:tcW w:w="1984" w:type="dxa"/>
          </w:tcPr>
          <w:p w:rsidR="0075777C" w:rsidRPr="00822C52" w:rsidRDefault="0075777C" w:rsidP="00200D9E">
            <w:pPr>
              <w:pStyle w:val="Tabletext"/>
              <w:rPr>
                <w:rFonts w:cs="Tahoma"/>
              </w:rPr>
            </w:pPr>
            <w:r>
              <w:rPr>
                <w:rFonts w:cs="Tahoma"/>
              </w:rPr>
              <w:t>0 (not calculable)</w:t>
            </w:r>
          </w:p>
        </w:tc>
      </w:tr>
    </w:tbl>
    <w:p w:rsidR="005035F1" w:rsidRDefault="0075777C" w:rsidP="00A03E34">
      <w:pPr>
        <w:pStyle w:val="Tablenote"/>
      </w:pPr>
      <w:r w:rsidRPr="00822C52">
        <w:t>CI = confidence interval; ERA = endothelin receptor antagonist; FC = functional class; n = number of</w:t>
      </w:r>
      <w:r w:rsidR="00575ECF">
        <w:t xml:space="preserve"> patients with</w:t>
      </w:r>
      <w:r w:rsidRPr="00822C52">
        <w:t xml:space="preserve"> events; N = number of patients; PAH = pulmonary arterial hypertension; </w:t>
      </w:r>
      <w:r>
        <w:t>PDE-5i</w:t>
      </w:r>
      <w:r w:rsidRPr="00822C52">
        <w:t xml:space="preserve"> = phosphodiesterase type-5 inhibitor; </w:t>
      </w:r>
      <w:r w:rsidR="007064B3" w:rsidRPr="00822C52">
        <w:t xml:space="preserve">RR = relative risk; </w:t>
      </w:r>
      <w:r w:rsidRPr="00822C52">
        <w:t>WHO = World Health Organization</w:t>
      </w:r>
    </w:p>
    <w:p w:rsidR="005035F1" w:rsidRDefault="005035F1">
      <w:pPr>
        <w:spacing w:before="0" w:line="240" w:lineRule="auto"/>
        <w:rPr>
          <w:rFonts w:ascii="Arial" w:eastAsiaTheme="minorEastAsia" w:hAnsi="Arial" w:cs="Baskerville"/>
          <w:sz w:val="18"/>
          <w:szCs w:val="20"/>
          <w:lang w:eastAsia="en-AU"/>
        </w:rPr>
      </w:pPr>
      <w:r>
        <w:br w:type="page"/>
      </w:r>
    </w:p>
    <w:p w:rsidR="0075777C" w:rsidRDefault="003B436F" w:rsidP="00200D9E">
      <w:pPr>
        <w:spacing w:after="40" w:line="240" w:lineRule="auto"/>
        <w:jc w:val="center"/>
      </w:pPr>
      <w:r>
        <w:rPr>
          <w:noProof/>
          <w:lang w:eastAsia="en-AU"/>
        </w:rPr>
        <w:lastRenderedPageBreak/>
        <w:drawing>
          <wp:inline distT="0" distB="0" distL="0" distR="0" wp14:anchorId="4871C40E" wp14:editId="4F7B15FE">
            <wp:extent cx="6080078" cy="3569995"/>
            <wp:effectExtent l="0" t="0" r="0" b="0"/>
            <wp:docPr id="28" name="Picture 28" descr="The estimated RR for improved WHO FC from the meta-analysis was 1.11 (95% CI 0.77, 1.60). The estimated RR for worsened WHO FC from the meta-analysis was 0.60 (95% CI 0.34, 1.05). " title="Forest plot showing the RR of improving or worsening the PAH WHO FC while being treated with a PDE-5 inhibitor and an ERA compared with an ERA alone in all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6098469" cy="3580793"/>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795577" w:rsidRDefault="00200D9E" w:rsidP="00BC5A2B">
      <w:pPr>
        <w:pStyle w:val="Caption"/>
        <w:rPr>
          <w:rFonts w:ascii="Arial Narrow" w:hAnsi="Arial Narrow" w:cs="Tahoma"/>
          <w:u w:val="single"/>
        </w:rPr>
      </w:pPr>
      <w:bookmarkStart w:id="211" w:name="_Ref506477607"/>
      <w:bookmarkStart w:id="212" w:name="_Toc512855591"/>
      <w:r>
        <w:t>Figure 4.</w:t>
      </w:r>
      <w:r w:rsidR="00AA722D">
        <w:rPr>
          <w:noProof/>
        </w:rPr>
        <w:t>18</w:t>
      </w:r>
      <w:bookmarkEnd w:id="211"/>
      <w:r>
        <w:tab/>
      </w:r>
      <w:r w:rsidR="0075777C" w:rsidRPr="00795577">
        <w:t xml:space="preserve">Forest plot showing the RR of </w:t>
      </w:r>
      <w:r w:rsidR="0075777C">
        <w:t>improving or worsening the PAH WHO FC</w:t>
      </w:r>
      <w:r w:rsidR="0075777C" w:rsidRPr="00795577">
        <w:t xml:space="preserve"> while being treated with </w:t>
      </w:r>
      <w:r w:rsidR="0075777C">
        <w:t xml:space="preserve">a PDE-5 inhibitor and </w:t>
      </w:r>
      <w:r w:rsidR="0075777C" w:rsidRPr="00795577">
        <w:t xml:space="preserve">an ERA compared with </w:t>
      </w:r>
      <w:r w:rsidR="0075777C">
        <w:t>an ERA alone</w:t>
      </w:r>
      <w:r w:rsidR="0075777C" w:rsidRPr="00795577">
        <w:t xml:space="preserve"> in </w:t>
      </w:r>
      <w:r w:rsidR="0075777C">
        <w:t>all PAH patients</w:t>
      </w:r>
      <w:bookmarkEnd w:id="212"/>
    </w:p>
    <w:p w:rsidR="00575ECF" w:rsidRPr="006316DF" w:rsidRDefault="0075777C" w:rsidP="00200D9E">
      <w:pPr>
        <w:pStyle w:val="Tablenote"/>
      </w:pPr>
      <w:r w:rsidRPr="00795577">
        <w:t>CI = confidence interval; ERA =</w:t>
      </w:r>
      <w:r>
        <w:t xml:space="preserve"> </w:t>
      </w:r>
      <w:r w:rsidR="0006512A">
        <w:t>endothelin receptor</w:t>
      </w:r>
      <w:r>
        <w:t xml:space="preserve"> antagonist</w:t>
      </w:r>
      <w:r w:rsidRPr="00795577">
        <w:t xml:space="preserve">; </w:t>
      </w:r>
      <w:r w:rsidR="00575ECF" w:rsidRPr="006F774E">
        <w:t xml:space="preserve">FC = functional class; </w:t>
      </w:r>
      <w:r w:rsidRPr="00795577">
        <w:t xml:space="preserve">N = number of patients; </w:t>
      </w:r>
      <w:r w:rsidR="00575ECF" w:rsidRPr="00715D78">
        <w:t xml:space="preserve">PAH = pulmonary arterial hypertension; </w:t>
      </w:r>
      <w:r>
        <w:t xml:space="preserve">PDE-5i = </w:t>
      </w:r>
      <w:r w:rsidRPr="002C2E5D">
        <w:t>phosphodiesterase type-5 inhibitor</w:t>
      </w:r>
      <w:r>
        <w:t>;</w:t>
      </w:r>
      <w:r w:rsidRPr="002C2E5D">
        <w:t xml:space="preserve"> </w:t>
      </w:r>
      <w:r w:rsidRPr="00795577">
        <w:t>RR = relative risk</w:t>
      </w:r>
      <w:r w:rsidR="00575ECF" w:rsidRPr="00F20C66">
        <w:t xml:space="preserve">; </w:t>
      </w:r>
      <w:r w:rsidR="00575ECF" w:rsidRPr="009E3B52">
        <w:t>WHO = World Health Organization</w:t>
      </w:r>
    </w:p>
    <w:p w:rsidR="0075777C" w:rsidRPr="00822C52" w:rsidRDefault="007B6C7C" w:rsidP="0075777C">
      <w:pPr>
        <w:pStyle w:val="Heading5"/>
      </w:pPr>
      <w:r>
        <w:t>e</w:t>
      </w:r>
      <w:r w:rsidR="002E4833">
        <w:t>.</w:t>
      </w:r>
      <w:r>
        <w:tab/>
      </w:r>
      <w:r w:rsidR="0075777C" w:rsidRPr="00822C52">
        <w:t>Change in 6MWD from baseline</w:t>
      </w:r>
    </w:p>
    <w:p w:rsidR="0075777C" w:rsidRPr="00822C52" w:rsidRDefault="0075777C" w:rsidP="0075777C">
      <w:r>
        <w:t xml:space="preserve">Five RCTs reported on the effectiveness of </w:t>
      </w:r>
      <w:r w:rsidRPr="00157F57">
        <w:t xml:space="preserve">PDE-5 inhibitor </w:t>
      </w:r>
      <w:r>
        <w:t>plus an</w:t>
      </w:r>
      <w:r w:rsidRPr="00157F57">
        <w:t xml:space="preserve"> ERA compared with placebo </w:t>
      </w:r>
      <w:r>
        <w:t>plus</w:t>
      </w:r>
      <w:r w:rsidRPr="00157F57">
        <w:t xml:space="preserve"> ERA in </w:t>
      </w:r>
      <w:r>
        <w:t>improving 6MWD</w:t>
      </w:r>
      <w:r w:rsidRPr="00157F57">
        <w:t xml:space="preserve"> in PAH patients</w:t>
      </w:r>
      <w:r>
        <w:t xml:space="preserve"> of any WHO FC and disease aetiology. Two RCTs reported on the change in 6MWD for the WHO FC III/IV subgroup and two RCTs reported </w:t>
      </w:r>
      <w:r w:rsidRPr="00A8723A">
        <w:t xml:space="preserve">on the change in 6MWD </w:t>
      </w:r>
      <w:r w:rsidR="00302512">
        <w:t>in the I</w:t>
      </w:r>
      <w:r>
        <w:t>PAH</w:t>
      </w:r>
      <w:r w:rsidR="00302512">
        <w:t>/HPAH</w:t>
      </w:r>
      <w:r>
        <w:t xml:space="preserve"> and PAH-CTD patient subgroups.</w:t>
      </w:r>
    </w:p>
    <w:p w:rsidR="0075777C" w:rsidRPr="00B607A5" w:rsidRDefault="007B6C7C" w:rsidP="0077344D">
      <w:pPr>
        <w:pStyle w:val="Heading6"/>
      </w:pPr>
      <w:r w:rsidRPr="00B607A5">
        <w:t>e</w:t>
      </w:r>
      <w:r w:rsidR="0075777C" w:rsidRPr="00B607A5">
        <w:t>.i</w:t>
      </w:r>
      <w:r w:rsidR="0075777C" w:rsidRPr="00B607A5">
        <w:tab/>
        <w:t>PAH patients, irrespective of disease severity or aetiology</w:t>
      </w:r>
    </w:p>
    <w:p w:rsidR="0075777C" w:rsidRDefault="0075777C" w:rsidP="0075777C">
      <w:r>
        <w:t xml:space="preserve">Three RCTs reported the mean or median change from baseline in 6MWD. All three of these studies showed a clinically significant improvement in the combination therapy group (over 40 m; </w:t>
      </w:r>
      <w:r w:rsidR="00AA722D">
        <w:t>Table 4.</w:t>
      </w:r>
      <w:r w:rsidR="00AA722D">
        <w:rPr>
          <w:noProof/>
        </w:rPr>
        <w:t>66</w:t>
      </w:r>
      <w:r>
        <w:t>) but not in the monotherapy group (18–27</w:t>
      </w:r>
      <w:r w:rsidR="00B60655">
        <w:t> </w:t>
      </w:r>
      <w:r>
        <w:t>m improvement). The mean difference between the combination therapy and monotherapy groups was statistically significant in two studies but only clinically significant in the Zhuang 2014 RCT.</w:t>
      </w:r>
    </w:p>
    <w:p w:rsidR="0075777C" w:rsidRPr="00822C52" w:rsidRDefault="0075777C" w:rsidP="0075777C">
      <w:r>
        <w:t xml:space="preserve">The remaining two studies only reported the mean difference in 6MWD between the combination therapy and monotherapy groups. Only the </w:t>
      </w:r>
      <w:r w:rsidRPr="00EC6477">
        <w:t>Mainguy 2013</w:t>
      </w:r>
      <w:r>
        <w:t xml:space="preserve"> RCT showed a statistically significant difference </w:t>
      </w:r>
      <w:r w:rsidRPr="00EC6477">
        <w:t xml:space="preserve">in 6MWD </w:t>
      </w:r>
      <w:r>
        <w:t xml:space="preserve">favouring </w:t>
      </w:r>
      <w:r w:rsidRPr="00EC6477">
        <w:t xml:space="preserve">combination therapy </w:t>
      </w:r>
      <w:r>
        <w:t xml:space="preserve">over </w:t>
      </w:r>
      <w:r w:rsidRPr="00EC6477">
        <w:t>monotherapy</w:t>
      </w:r>
      <w:r>
        <w:t xml:space="preserve"> but the distance was not clinically significant</w:t>
      </w:r>
      <w:r w:rsidRPr="00EC6477">
        <w:t>.</w:t>
      </w:r>
      <w:r>
        <w:t xml:space="preserve"> The other study showed no difference in change in 6MWD for combination therapy compared with monotherapy over the 12 week study period.</w:t>
      </w:r>
    </w:p>
    <w:p w:rsidR="0075777C" w:rsidRDefault="00272F8F" w:rsidP="00BC5A2B">
      <w:pPr>
        <w:pStyle w:val="Caption"/>
      </w:pPr>
      <w:bookmarkStart w:id="213" w:name="_Ref504401925"/>
      <w:bookmarkStart w:id="214" w:name="_Toc512855470"/>
      <w:r>
        <w:lastRenderedPageBreak/>
        <w:t>Table 4.</w:t>
      </w:r>
      <w:r w:rsidR="00AA722D">
        <w:rPr>
          <w:noProof/>
        </w:rPr>
        <w:t>66</w:t>
      </w:r>
      <w:bookmarkEnd w:id="213"/>
      <w:r w:rsidR="00757507">
        <w:tab/>
      </w:r>
      <w:r w:rsidR="0075777C" w:rsidRPr="00DD7790">
        <w:t xml:space="preserve">The effectiveness of </w:t>
      </w:r>
      <w:r w:rsidR="00385078">
        <w:t xml:space="preserve">a </w:t>
      </w:r>
      <w:r w:rsidR="00385078" w:rsidRPr="00DD7790">
        <w:t>PDE-5 inhibitor</w:t>
      </w:r>
      <w:r w:rsidR="00385078">
        <w:t xml:space="preserve"> in addition to an</w:t>
      </w:r>
      <w:r w:rsidR="00385078" w:rsidRPr="00DD7790">
        <w:t xml:space="preserve"> ERA compared with ERA</w:t>
      </w:r>
      <w:r w:rsidR="00385078">
        <w:t xml:space="preserve"> monotherapy</w:t>
      </w:r>
      <w:r w:rsidR="00385078" w:rsidRPr="00DD7790">
        <w:t xml:space="preserve"> </w:t>
      </w:r>
      <w:r w:rsidR="0075777C" w:rsidRPr="00DD7790">
        <w:t>in improving 6MWD in all PAH patients</w:t>
      </w:r>
      <w:bookmarkEnd w:id="214"/>
    </w:p>
    <w:tbl>
      <w:tblPr>
        <w:tblStyle w:val="TableGrid"/>
        <w:tblW w:w="9634" w:type="dxa"/>
        <w:tblLayout w:type="fixed"/>
        <w:tblLook w:val="04A0" w:firstRow="1" w:lastRow="0" w:firstColumn="1" w:lastColumn="0" w:noHBand="0" w:noVBand="1"/>
        <w:tblCaption w:val="The effectiveness of a PDE-5 inhibitor in addition to an ERA compared with ERA monotherapy in improving 6MWD in all PAH patients"/>
      </w:tblPr>
      <w:tblGrid>
        <w:gridCol w:w="1555"/>
        <w:gridCol w:w="992"/>
        <w:gridCol w:w="1204"/>
        <w:gridCol w:w="1347"/>
        <w:gridCol w:w="1276"/>
        <w:gridCol w:w="1559"/>
        <w:gridCol w:w="1701"/>
      </w:tblGrid>
      <w:tr w:rsidR="0075777C" w:rsidTr="00757507">
        <w:trPr>
          <w:cnfStyle w:val="100000000000" w:firstRow="1" w:lastRow="0" w:firstColumn="0" w:lastColumn="0" w:oddVBand="0" w:evenVBand="0" w:oddHBand="0" w:evenHBand="0" w:firstRowFirstColumn="0" w:firstRowLastColumn="0" w:lastRowFirstColumn="0" w:lastRowLastColumn="0"/>
        </w:trPr>
        <w:tc>
          <w:tcPr>
            <w:tcW w:w="1555" w:type="dxa"/>
            <w:vMerge w:val="restart"/>
            <w:shd w:val="clear" w:color="auto" w:fill="BFBFBF" w:themeFill="background1" w:themeFillShade="BF"/>
          </w:tcPr>
          <w:p w:rsidR="0075777C" w:rsidRPr="00757507" w:rsidRDefault="0075777C" w:rsidP="00757507">
            <w:pPr>
              <w:pStyle w:val="Tabletext"/>
              <w:rPr>
                <w:b/>
              </w:rPr>
            </w:pPr>
            <w:r w:rsidRPr="00757507">
              <w:rPr>
                <w:b/>
              </w:rPr>
              <w:t>Study ID</w:t>
            </w:r>
          </w:p>
          <w:p w:rsidR="0075777C" w:rsidRPr="00757507" w:rsidRDefault="0075777C" w:rsidP="00757507">
            <w:pPr>
              <w:pStyle w:val="Tabletext"/>
              <w:rPr>
                <w:b/>
              </w:rPr>
            </w:pPr>
            <w:r w:rsidRPr="00757507">
              <w:rPr>
                <w:b/>
              </w:rPr>
              <w:t>PDE-5i/ERA</w:t>
            </w:r>
          </w:p>
        </w:tc>
        <w:tc>
          <w:tcPr>
            <w:tcW w:w="992" w:type="dxa"/>
            <w:vMerge w:val="restart"/>
            <w:shd w:val="clear" w:color="auto" w:fill="BFBFBF" w:themeFill="background1" w:themeFillShade="BF"/>
          </w:tcPr>
          <w:p w:rsidR="0075777C" w:rsidRPr="00757507" w:rsidRDefault="0075777C" w:rsidP="00757507">
            <w:pPr>
              <w:pStyle w:val="Tabletext"/>
              <w:rPr>
                <w:b/>
              </w:rPr>
            </w:pPr>
            <w:r w:rsidRPr="00757507">
              <w:rPr>
                <w:b/>
              </w:rPr>
              <w:t>N</w:t>
            </w:r>
          </w:p>
          <w:p w:rsidR="0075777C" w:rsidRPr="00757507" w:rsidRDefault="0075777C" w:rsidP="00757507">
            <w:pPr>
              <w:pStyle w:val="Tabletext"/>
              <w:rPr>
                <w:b/>
              </w:rPr>
            </w:pPr>
            <w:r w:rsidRPr="00757507">
              <w:rPr>
                <w:b/>
              </w:rPr>
              <w:t>Follow-up period</w:t>
            </w:r>
          </w:p>
        </w:tc>
        <w:tc>
          <w:tcPr>
            <w:tcW w:w="2551" w:type="dxa"/>
            <w:gridSpan w:val="2"/>
            <w:shd w:val="clear" w:color="auto" w:fill="BFBFBF" w:themeFill="background1" w:themeFillShade="BF"/>
          </w:tcPr>
          <w:p w:rsidR="0075777C" w:rsidRPr="00757507" w:rsidRDefault="00AE77DC" w:rsidP="00AE77DC">
            <w:pPr>
              <w:pStyle w:val="Tabletext"/>
              <w:jc w:val="center"/>
              <w:rPr>
                <w:b/>
              </w:rPr>
            </w:pPr>
            <w:r>
              <w:rPr>
                <w:b/>
              </w:rPr>
              <w:t>M</w:t>
            </w:r>
            <w:r w:rsidR="0075777C" w:rsidRPr="00757507">
              <w:rPr>
                <w:b/>
              </w:rPr>
              <w:t xml:space="preserve">ean ± SD or median [IQR] </w:t>
            </w:r>
            <w:r>
              <w:rPr>
                <w:b/>
              </w:rPr>
              <w:t>b</w:t>
            </w:r>
            <w:r w:rsidRPr="00757507">
              <w:rPr>
                <w:b/>
              </w:rPr>
              <w:t>aseline</w:t>
            </w:r>
            <w:r>
              <w:rPr>
                <w:b/>
              </w:rPr>
              <w:t xml:space="preserve"> 6MWD,</w:t>
            </w:r>
            <w:r w:rsidRPr="00EC2524">
              <w:rPr>
                <w:b/>
              </w:rPr>
              <w:t xml:space="preserve"> </w:t>
            </w:r>
            <w:r w:rsidR="00EC2524" w:rsidRPr="00EC2524">
              <w:rPr>
                <w:b/>
              </w:rPr>
              <w:t>meters</w:t>
            </w:r>
          </w:p>
        </w:tc>
        <w:tc>
          <w:tcPr>
            <w:tcW w:w="2835" w:type="dxa"/>
            <w:gridSpan w:val="2"/>
            <w:shd w:val="clear" w:color="auto" w:fill="BFBFBF" w:themeFill="background1" w:themeFillShade="BF"/>
          </w:tcPr>
          <w:p w:rsidR="0075777C" w:rsidRPr="00757507" w:rsidRDefault="0075777C" w:rsidP="00242BA3">
            <w:pPr>
              <w:pStyle w:val="Tabletext"/>
              <w:jc w:val="center"/>
              <w:rPr>
                <w:b/>
              </w:rPr>
            </w:pPr>
            <w:r w:rsidRPr="00757507">
              <w:rPr>
                <w:b/>
              </w:rPr>
              <w:t>Mean</w:t>
            </w:r>
            <w:r w:rsidR="00242BA3">
              <w:rPr>
                <w:b/>
              </w:rPr>
              <w:t xml:space="preserve"> ± SD </w:t>
            </w:r>
            <w:r w:rsidRPr="00757507">
              <w:rPr>
                <w:b/>
              </w:rPr>
              <w:t>(95% CI) or median [IQR] c</w:t>
            </w:r>
            <w:r w:rsidRPr="00757507">
              <w:rPr>
                <w:rFonts w:asciiTheme="minorHAnsi" w:hAnsiTheme="minorHAnsi"/>
                <w:b/>
              </w:rPr>
              <w:t>hange from baseline,</w:t>
            </w:r>
            <w:r w:rsidRPr="00757507">
              <w:rPr>
                <w:b/>
              </w:rPr>
              <w:t xml:space="preserve"> </w:t>
            </w:r>
            <w:r w:rsidR="00EC2524" w:rsidRPr="00EC2524">
              <w:rPr>
                <w:b/>
              </w:rPr>
              <w:t>meters</w:t>
            </w:r>
          </w:p>
        </w:tc>
        <w:tc>
          <w:tcPr>
            <w:tcW w:w="1701" w:type="dxa"/>
            <w:vMerge w:val="restart"/>
            <w:shd w:val="clear" w:color="auto" w:fill="BFBFBF" w:themeFill="background1" w:themeFillShade="BF"/>
          </w:tcPr>
          <w:p w:rsidR="0075777C" w:rsidRPr="00757507" w:rsidRDefault="0075777C" w:rsidP="00757507">
            <w:pPr>
              <w:pStyle w:val="Tabletext"/>
              <w:rPr>
                <w:b/>
              </w:rPr>
            </w:pPr>
            <w:r w:rsidRPr="00757507">
              <w:rPr>
                <w:rFonts w:asciiTheme="minorHAnsi" w:hAnsiTheme="minorHAnsi"/>
                <w:b/>
              </w:rPr>
              <w:t xml:space="preserve">Mean difference </w:t>
            </w:r>
            <w:r w:rsidRPr="00757507">
              <w:rPr>
                <w:b/>
              </w:rPr>
              <w:t xml:space="preserve">(95% CI), </w:t>
            </w:r>
            <w:r w:rsidR="00EC2524" w:rsidRPr="00EC2524">
              <w:rPr>
                <w:b/>
              </w:rPr>
              <w:t>meters</w:t>
            </w:r>
          </w:p>
        </w:tc>
      </w:tr>
      <w:tr w:rsidR="0075777C" w:rsidTr="00757507">
        <w:tc>
          <w:tcPr>
            <w:tcW w:w="1555" w:type="dxa"/>
            <w:vMerge/>
          </w:tcPr>
          <w:p w:rsidR="0075777C" w:rsidRDefault="0075777C" w:rsidP="00757507">
            <w:pPr>
              <w:pStyle w:val="Tabletext"/>
            </w:pPr>
          </w:p>
        </w:tc>
        <w:tc>
          <w:tcPr>
            <w:tcW w:w="992" w:type="dxa"/>
            <w:vMerge/>
          </w:tcPr>
          <w:p w:rsidR="0075777C" w:rsidRDefault="0075777C" w:rsidP="00757507">
            <w:pPr>
              <w:pStyle w:val="Tabletext"/>
            </w:pPr>
          </w:p>
        </w:tc>
        <w:tc>
          <w:tcPr>
            <w:tcW w:w="1204"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PDE-5i + ERA</w:t>
            </w:r>
          </w:p>
        </w:tc>
        <w:tc>
          <w:tcPr>
            <w:tcW w:w="1347"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ERA</w:t>
            </w:r>
          </w:p>
        </w:tc>
        <w:tc>
          <w:tcPr>
            <w:tcW w:w="1276"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PDE-5i + ERA</w:t>
            </w:r>
          </w:p>
        </w:tc>
        <w:tc>
          <w:tcPr>
            <w:tcW w:w="1559"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ERA</w:t>
            </w:r>
          </w:p>
        </w:tc>
        <w:tc>
          <w:tcPr>
            <w:tcW w:w="1701" w:type="dxa"/>
            <w:vMerge/>
          </w:tcPr>
          <w:p w:rsidR="0075777C" w:rsidRDefault="0075777C" w:rsidP="00757507">
            <w:pPr>
              <w:pStyle w:val="Tabletext"/>
            </w:pPr>
          </w:p>
        </w:tc>
      </w:tr>
      <w:tr w:rsidR="0075777C" w:rsidTr="00757507">
        <w:tc>
          <w:tcPr>
            <w:tcW w:w="1555" w:type="dxa"/>
          </w:tcPr>
          <w:p w:rsidR="0075777C" w:rsidRPr="00757507" w:rsidRDefault="0075777C" w:rsidP="00757507">
            <w:pPr>
              <w:pStyle w:val="Tabletext"/>
            </w:pPr>
            <w:r w:rsidRPr="00757507">
              <w:t>AMBITION</w:t>
            </w:r>
            <w:r w:rsidR="001D34EE">
              <w:rPr>
                <w:noProof/>
                <w:vertAlign w:val="superscript"/>
              </w:rPr>
              <w:t>30</w:t>
            </w:r>
          </w:p>
          <w:p w:rsidR="0075777C" w:rsidRPr="00757507" w:rsidRDefault="00757507" w:rsidP="00757507">
            <w:pPr>
              <w:pStyle w:val="Tabletext"/>
            </w:pPr>
            <w:r>
              <w:t>Tadalafil/</w:t>
            </w:r>
            <w:r w:rsidR="0075777C" w:rsidRPr="00757507">
              <w:t>ambrisentan</w:t>
            </w:r>
          </w:p>
        </w:tc>
        <w:tc>
          <w:tcPr>
            <w:tcW w:w="992" w:type="dxa"/>
          </w:tcPr>
          <w:p w:rsidR="0075777C" w:rsidRPr="00757507" w:rsidRDefault="0075777C" w:rsidP="00757507">
            <w:pPr>
              <w:pStyle w:val="Tabletext"/>
            </w:pPr>
            <w:r w:rsidRPr="00757507">
              <w:t>N=379</w:t>
            </w:r>
          </w:p>
          <w:p w:rsidR="0075777C" w:rsidRPr="00757507" w:rsidRDefault="0075777C" w:rsidP="00757507">
            <w:pPr>
              <w:pStyle w:val="Tabletext"/>
            </w:pPr>
            <w:r w:rsidRPr="00757507">
              <w:t xml:space="preserve">24 weeks </w:t>
            </w:r>
          </w:p>
        </w:tc>
        <w:tc>
          <w:tcPr>
            <w:tcW w:w="1204" w:type="dxa"/>
          </w:tcPr>
          <w:p w:rsidR="0075777C" w:rsidRPr="00757507" w:rsidRDefault="0075777C" w:rsidP="00757507">
            <w:pPr>
              <w:pStyle w:val="Tabletext"/>
              <w:jc w:val="center"/>
            </w:pPr>
            <w:r w:rsidRPr="00757507">
              <w:t>357.0</w:t>
            </w:r>
            <w:r w:rsidRPr="00757507">
              <w:br/>
              <w:t>[292.0, 425.3]</w:t>
            </w:r>
          </w:p>
        </w:tc>
        <w:tc>
          <w:tcPr>
            <w:tcW w:w="1347" w:type="dxa"/>
          </w:tcPr>
          <w:p w:rsidR="0075777C" w:rsidRPr="00757507" w:rsidRDefault="0075777C" w:rsidP="00757507">
            <w:pPr>
              <w:pStyle w:val="Tabletext"/>
              <w:jc w:val="center"/>
            </w:pPr>
            <w:r w:rsidRPr="00757507">
              <w:t>368.5</w:t>
            </w:r>
            <w:r w:rsidRPr="00757507">
              <w:br/>
              <w:t>[310.0, 427.5]</w:t>
            </w:r>
          </w:p>
        </w:tc>
        <w:tc>
          <w:tcPr>
            <w:tcW w:w="1276" w:type="dxa"/>
          </w:tcPr>
          <w:p w:rsidR="0075777C" w:rsidRPr="00757507" w:rsidRDefault="0075777C" w:rsidP="00757507">
            <w:pPr>
              <w:pStyle w:val="Tabletext"/>
              <w:jc w:val="center"/>
            </w:pPr>
            <w:r w:rsidRPr="00757507">
              <w:t>49.0</w:t>
            </w:r>
            <w:r w:rsidRPr="00757507">
              <w:br/>
              <w:t>[4.6, 85.8]</w:t>
            </w:r>
          </w:p>
        </w:tc>
        <w:tc>
          <w:tcPr>
            <w:tcW w:w="1559" w:type="dxa"/>
          </w:tcPr>
          <w:p w:rsidR="0075777C" w:rsidRPr="00757507" w:rsidRDefault="0075777C" w:rsidP="00757507">
            <w:pPr>
              <w:pStyle w:val="Tabletext"/>
              <w:jc w:val="center"/>
            </w:pPr>
            <w:r w:rsidRPr="00757507">
              <w:t>27.0</w:t>
            </w:r>
            <w:r w:rsidRPr="00757507">
              <w:br/>
              <w:t>[-14.0, 63.3]</w:t>
            </w:r>
          </w:p>
        </w:tc>
        <w:tc>
          <w:tcPr>
            <w:tcW w:w="1701" w:type="dxa"/>
          </w:tcPr>
          <w:p w:rsidR="0075777C" w:rsidRPr="00757507" w:rsidRDefault="0075777C" w:rsidP="00242BA3">
            <w:pPr>
              <w:pStyle w:val="Tabletext"/>
            </w:pPr>
            <w:r w:rsidRPr="00757507">
              <w:t>22.0, p&lt;0.001</w:t>
            </w:r>
          </w:p>
        </w:tc>
      </w:tr>
      <w:tr w:rsidR="0075777C" w:rsidTr="00757507">
        <w:tc>
          <w:tcPr>
            <w:tcW w:w="1555" w:type="dxa"/>
          </w:tcPr>
          <w:p w:rsidR="0075777C" w:rsidRPr="00757507" w:rsidRDefault="0075777C" w:rsidP="00757507">
            <w:pPr>
              <w:pStyle w:val="Tabletext"/>
            </w:pPr>
            <w:r w:rsidRPr="00757507">
              <w:t>PHIRST</w:t>
            </w:r>
            <w:r w:rsidR="001D34EE">
              <w:rPr>
                <w:noProof/>
                <w:vertAlign w:val="superscript"/>
              </w:rPr>
              <w:t>12</w:t>
            </w:r>
          </w:p>
          <w:p w:rsidR="0075777C" w:rsidRPr="00757507" w:rsidRDefault="0075777C" w:rsidP="00757507">
            <w:pPr>
              <w:pStyle w:val="Tabletext"/>
            </w:pPr>
            <w:r w:rsidRPr="00757507">
              <w:t>Tadalafil/ bosentan</w:t>
            </w:r>
          </w:p>
        </w:tc>
        <w:tc>
          <w:tcPr>
            <w:tcW w:w="992" w:type="dxa"/>
          </w:tcPr>
          <w:p w:rsidR="0075777C" w:rsidRPr="00757507" w:rsidRDefault="0075777C" w:rsidP="00757507">
            <w:pPr>
              <w:pStyle w:val="Tabletext"/>
            </w:pPr>
            <w:r w:rsidRPr="00757507">
              <w:t>N=87</w:t>
            </w:r>
          </w:p>
          <w:p w:rsidR="0075777C" w:rsidRPr="00757507" w:rsidRDefault="0075777C" w:rsidP="00757507">
            <w:pPr>
              <w:pStyle w:val="Tabletext"/>
            </w:pPr>
            <w:r w:rsidRPr="00757507">
              <w:t>16 weeks</w:t>
            </w:r>
          </w:p>
        </w:tc>
        <w:tc>
          <w:tcPr>
            <w:tcW w:w="1204" w:type="dxa"/>
          </w:tcPr>
          <w:p w:rsidR="0075777C" w:rsidRPr="00757507" w:rsidRDefault="0075777C" w:rsidP="00757507">
            <w:pPr>
              <w:pStyle w:val="Tabletext"/>
              <w:jc w:val="center"/>
            </w:pPr>
            <w:r w:rsidRPr="00757507">
              <w:t>348.5 ± 84.9</w:t>
            </w:r>
          </w:p>
        </w:tc>
        <w:tc>
          <w:tcPr>
            <w:tcW w:w="1347" w:type="dxa"/>
          </w:tcPr>
          <w:p w:rsidR="0075777C" w:rsidRPr="00757507" w:rsidRDefault="0075777C" w:rsidP="00757507">
            <w:pPr>
              <w:pStyle w:val="Tabletext"/>
              <w:jc w:val="center"/>
            </w:pPr>
            <w:r w:rsidRPr="00757507">
              <w:t>360.9 ± 75.3</w:t>
            </w:r>
          </w:p>
        </w:tc>
        <w:tc>
          <w:tcPr>
            <w:tcW w:w="1276" w:type="dxa"/>
          </w:tcPr>
          <w:p w:rsidR="0075777C" w:rsidRPr="00757507" w:rsidRDefault="0075777C" w:rsidP="00757507">
            <w:pPr>
              <w:pStyle w:val="Tabletext"/>
              <w:jc w:val="center"/>
            </w:pPr>
            <w:r w:rsidRPr="00757507">
              <w:t>40.2</w:t>
            </w:r>
            <w:r w:rsidRPr="00757507">
              <w:br/>
              <w:t>(23.1, 57.2)</w:t>
            </w:r>
          </w:p>
        </w:tc>
        <w:tc>
          <w:tcPr>
            <w:tcW w:w="1559" w:type="dxa"/>
          </w:tcPr>
          <w:p w:rsidR="0075777C" w:rsidRPr="00757507" w:rsidRDefault="0075777C" w:rsidP="00757507">
            <w:pPr>
              <w:pStyle w:val="Tabletext"/>
              <w:jc w:val="center"/>
            </w:pPr>
            <w:r w:rsidRPr="00757507">
              <w:t>18.8</w:t>
            </w:r>
            <w:r w:rsidRPr="00757507">
              <w:br/>
              <w:t>(0.5, 37.2)</w:t>
            </w:r>
          </w:p>
        </w:tc>
        <w:tc>
          <w:tcPr>
            <w:tcW w:w="1701" w:type="dxa"/>
          </w:tcPr>
          <w:p w:rsidR="0075777C" w:rsidRPr="00757507" w:rsidRDefault="0075777C" w:rsidP="00757507">
            <w:pPr>
              <w:pStyle w:val="Tabletext"/>
            </w:pPr>
            <w:r w:rsidRPr="00757507">
              <w:t>22.7 (–2.4, 47.8), p=0.076</w:t>
            </w:r>
          </w:p>
        </w:tc>
      </w:tr>
      <w:tr w:rsidR="0075777C" w:rsidTr="00757507">
        <w:tc>
          <w:tcPr>
            <w:tcW w:w="1555" w:type="dxa"/>
          </w:tcPr>
          <w:p w:rsidR="0075777C" w:rsidRPr="00757507" w:rsidRDefault="0075777C" w:rsidP="00757507">
            <w:pPr>
              <w:pStyle w:val="Tabletext"/>
            </w:pPr>
            <w:r w:rsidRPr="00757507">
              <w:t>Zhuang 2014</w:t>
            </w:r>
            <w:r w:rsidR="001D34EE">
              <w:rPr>
                <w:noProof/>
                <w:vertAlign w:val="superscript"/>
              </w:rPr>
              <w:t>50</w:t>
            </w:r>
          </w:p>
          <w:p w:rsidR="0075777C" w:rsidRPr="00757507" w:rsidRDefault="00757507" w:rsidP="00757507">
            <w:pPr>
              <w:pStyle w:val="Tabletext"/>
            </w:pPr>
            <w:r>
              <w:t>Tadalafil/</w:t>
            </w:r>
            <w:r w:rsidR="0075777C" w:rsidRPr="00757507">
              <w:t>ambrisentan</w:t>
            </w:r>
          </w:p>
        </w:tc>
        <w:tc>
          <w:tcPr>
            <w:tcW w:w="992" w:type="dxa"/>
          </w:tcPr>
          <w:p w:rsidR="0075777C" w:rsidRPr="00757507" w:rsidRDefault="0075777C" w:rsidP="00757507">
            <w:pPr>
              <w:pStyle w:val="Tabletext"/>
            </w:pPr>
            <w:r w:rsidRPr="00757507">
              <w:t>N=124</w:t>
            </w:r>
          </w:p>
          <w:p w:rsidR="0075777C" w:rsidRPr="00757507" w:rsidRDefault="0075777C" w:rsidP="00757507">
            <w:pPr>
              <w:pStyle w:val="Tabletext"/>
            </w:pPr>
            <w:r w:rsidRPr="00757507">
              <w:t>16 weeks</w:t>
            </w:r>
          </w:p>
        </w:tc>
        <w:tc>
          <w:tcPr>
            <w:tcW w:w="1204" w:type="dxa"/>
          </w:tcPr>
          <w:p w:rsidR="0075777C" w:rsidRPr="00757507" w:rsidRDefault="0075777C" w:rsidP="00757507">
            <w:pPr>
              <w:pStyle w:val="Tabletext"/>
              <w:jc w:val="center"/>
            </w:pPr>
            <w:r w:rsidRPr="00757507">
              <w:t>NR</w:t>
            </w:r>
          </w:p>
        </w:tc>
        <w:tc>
          <w:tcPr>
            <w:tcW w:w="1347" w:type="dxa"/>
          </w:tcPr>
          <w:p w:rsidR="0075777C" w:rsidRPr="00757507" w:rsidRDefault="0075777C" w:rsidP="00757507">
            <w:pPr>
              <w:pStyle w:val="Tabletext"/>
              <w:jc w:val="center"/>
            </w:pPr>
            <w:r w:rsidRPr="00757507">
              <w:t>NR</w:t>
            </w:r>
          </w:p>
        </w:tc>
        <w:tc>
          <w:tcPr>
            <w:tcW w:w="1276" w:type="dxa"/>
          </w:tcPr>
          <w:p w:rsidR="0075777C" w:rsidRPr="00757507" w:rsidRDefault="0075777C" w:rsidP="00757507">
            <w:pPr>
              <w:pStyle w:val="Tabletext"/>
              <w:jc w:val="center"/>
            </w:pPr>
            <w:r w:rsidRPr="00757507">
              <w:t>54.4</w:t>
            </w:r>
            <w:r w:rsidRPr="00757507">
              <w:br/>
              <w:t>[30.2, 90.1]</w:t>
            </w:r>
          </w:p>
        </w:tc>
        <w:tc>
          <w:tcPr>
            <w:tcW w:w="1559" w:type="dxa"/>
          </w:tcPr>
          <w:p w:rsidR="0075777C" w:rsidRPr="00757507" w:rsidRDefault="0075777C" w:rsidP="00757507">
            <w:pPr>
              <w:pStyle w:val="Tabletext"/>
              <w:jc w:val="center"/>
            </w:pPr>
            <w:r w:rsidRPr="00757507">
              <w:t>18.3</w:t>
            </w:r>
            <w:r w:rsidRPr="00757507">
              <w:br/>
              <w:t>[4.3, 34.8]</w:t>
            </w:r>
          </w:p>
        </w:tc>
        <w:tc>
          <w:tcPr>
            <w:tcW w:w="1701" w:type="dxa"/>
          </w:tcPr>
          <w:p w:rsidR="0075777C" w:rsidRPr="00757507" w:rsidRDefault="0075777C" w:rsidP="00757507">
            <w:pPr>
              <w:pStyle w:val="Tabletext"/>
            </w:pPr>
            <w:r w:rsidRPr="00757507">
              <w:t>36.1, p&lt;0.05</w:t>
            </w:r>
          </w:p>
        </w:tc>
      </w:tr>
      <w:tr w:rsidR="0075777C" w:rsidTr="00757507">
        <w:tc>
          <w:tcPr>
            <w:tcW w:w="1555" w:type="dxa"/>
          </w:tcPr>
          <w:p w:rsidR="0075777C" w:rsidRPr="00757507" w:rsidRDefault="0075777C" w:rsidP="00757507">
            <w:pPr>
              <w:pStyle w:val="Tabletext"/>
            </w:pPr>
            <w:r w:rsidRPr="00757507">
              <w:t>Mainguy 2013</w:t>
            </w:r>
            <w:r w:rsidR="001D34EE">
              <w:rPr>
                <w:noProof/>
                <w:vertAlign w:val="superscript"/>
              </w:rPr>
              <w:t>39</w:t>
            </w:r>
            <w:r w:rsidRPr="00757507">
              <w:rPr>
                <w:vertAlign w:val="superscript"/>
              </w:rPr>
              <w:t xml:space="preserve"> a</w:t>
            </w:r>
          </w:p>
          <w:p w:rsidR="0075777C" w:rsidRPr="00757507" w:rsidRDefault="0075777C" w:rsidP="00757507">
            <w:pPr>
              <w:pStyle w:val="Tabletext"/>
            </w:pPr>
            <w:r w:rsidRPr="00757507">
              <w:t>Sildenafil/ERA</w:t>
            </w:r>
          </w:p>
        </w:tc>
        <w:tc>
          <w:tcPr>
            <w:tcW w:w="992" w:type="dxa"/>
          </w:tcPr>
          <w:p w:rsidR="0075777C" w:rsidRPr="00757507" w:rsidRDefault="0075777C" w:rsidP="00757507">
            <w:pPr>
              <w:pStyle w:val="Tabletext"/>
            </w:pPr>
            <w:r w:rsidRPr="00757507">
              <w:t>N=20</w:t>
            </w:r>
          </w:p>
          <w:p w:rsidR="0075777C" w:rsidRPr="00757507" w:rsidRDefault="0075777C" w:rsidP="00757507">
            <w:pPr>
              <w:pStyle w:val="Tabletext"/>
            </w:pPr>
            <w:r w:rsidRPr="00757507">
              <w:t>4 weeks</w:t>
            </w:r>
          </w:p>
        </w:tc>
        <w:tc>
          <w:tcPr>
            <w:tcW w:w="1204" w:type="dxa"/>
          </w:tcPr>
          <w:p w:rsidR="0075777C" w:rsidRPr="00757507" w:rsidRDefault="0075777C" w:rsidP="00757507">
            <w:pPr>
              <w:pStyle w:val="Tabletext"/>
              <w:jc w:val="center"/>
            </w:pPr>
            <w:r w:rsidRPr="00757507">
              <w:t>NR</w:t>
            </w:r>
          </w:p>
        </w:tc>
        <w:tc>
          <w:tcPr>
            <w:tcW w:w="1347" w:type="dxa"/>
          </w:tcPr>
          <w:p w:rsidR="0075777C" w:rsidRPr="00757507" w:rsidRDefault="0075777C" w:rsidP="00757507">
            <w:pPr>
              <w:pStyle w:val="Tabletext"/>
              <w:jc w:val="center"/>
            </w:pPr>
            <w:r w:rsidRPr="00757507">
              <w:t>NR</w:t>
            </w:r>
          </w:p>
        </w:tc>
        <w:tc>
          <w:tcPr>
            <w:tcW w:w="1276" w:type="dxa"/>
          </w:tcPr>
          <w:p w:rsidR="0075777C" w:rsidRPr="00757507" w:rsidRDefault="0075777C" w:rsidP="00757507">
            <w:pPr>
              <w:pStyle w:val="Tabletext"/>
              <w:jc w:val="center"/>
            </w:pPr>
            <w:r w:rsidRPr="00757507">
              <w:t>NR</w:t>
            </w:r>
          </w:p>
        </w:tc>
        <w:tc>
          <w:tcPr>
            <w:tcW w:w="1559" w:type="dxa"/>
          </w:tcPr>
          <w:p w:rsidR="0075777C" w:rsidRPr="00757507" w:rsidRDefault="0075777C" w:rsidP="00757507">
            <w:pPr>
              <w:pStyle w:val="Tabletext"/>
              <w:jc w:val="center"/>
            </w:pPr>
            <w:r w:rsidRPr="00757507">
              <w:t>NR</w:t>
            </w:r>
          </w:p>
        </w:tc>
        <w:tc>
          <w:tcPr>
            <w:tcW w:w="1701" w:type="dxa"/>
          </w:tcPr>
          <w:p w:rsidR="0075777C" w:rsidRPr="00757507" w:rsidRDefault="0075777C" w:rsidP="00757507">
            <w:pPr>
              <w:pStyle w:val="Tabletext"/>
            </w:pPr>
            <w:r w:rsidRPr="00757507">
              <w:t>18 (1, 24), p=0.02</w:t>
            </w:r>
          </w:p>
        </w:tc>
      </w:tr>
      <w:tr w:rsidR="0075777C" w:rsidTr="00757507">
        <w:tc>
          <w:tcPr>
            <w:tcW w:w="1555" w:type="dxa"/>
          </w:tcPr>
          <w:p w:rsidR="0075777C" w:rsidRPr="00757507" w:rsidRDefault="0075777C" w:rsidP="00757507">
            <w:pPr>
              <w:pStyle w:val="Tabletext"/>
            </w:pPr>
            <w:r w:rsidRPr="00757507">
              <w:t>Vizza 2017</w:t>
            </w:r>
            <w:r w:rsidR="001D34EE">
              <w:rPr>
                <w:noProof/>
                <w:vertAlign w:val="superscript"/>
              </w:rPr>
              <w:t>49</w:t>
            </w:r>
          </w:p>
          <w:p w:rsidR="0075777C" w:rsidRPr="00757507" w:rsidRDefault="00757507" w:rsidP="00757507">
            <w:pPr>
              <w:pStyle w:val="Tabletext"/>
            </w:pPr>
            <w:r>
              <w:t>Sildenafil/</w:t>
            </w:r>
            <w:r w:rsidR="0075777C" w:rsidRPr="00757507">
              <w:t>bosentan</w:t>
            </w:r>
          </w:p>
        </w:tc>
        <w:tc>
          <w:tcPr>
            <w:tcW w:w="992" w:type="dxa"/>
          </w:tcPr>
          <w:p w:rsidR="0075777C" w:rsidRPr="00757507" w:rsidRDefault="0075777C" w:rsidP="00757507">
            <w:pPr>
              <w:pStyle w:val="Tabletext"/>
            </w:pPr>
            <w:r w:rsidRPr="00757507">
              <w:t>N=104</w:t>
            </w:r>
          </w:p>
          <w:p w:rsidR="0075777C" w:rsidRPr="00757507" w:rsidRDefault="0075777C" w:rsidP="00757507">
            <w:pPr>
              <w:pStyle w:val="Tabletext"/>
            </w:pPr>
            <w:r w:rsidRPr="00757507">
              <w:t>12 weeks</w:t>
            </w:r>
          </w:p>
        </w:tc>
        <w:tc>
          <w:tcPr>
            <w:tcW w:w="1204" w:type="dxa"/>
          </w:tcPr>
          <w:p w:rsidR="0075777C" w:rsidRPr="00757507" w:rsidRDefault="0075777C" w:rsidP="00757507">
            <w:pPr>
              <w:pStyle w:val="Tabletext"/>
              <w:jc w:val="center"/>
            </w:pPr>
            <w:r w:rsidRPr="00757507">
              <w:t>NR</w:t>
            </w:r>
          </w:p>
        </w:tc>
        <w:tc>
          <w:tcPr>
            <w:tcW w:w="1347" w:type="dxa"/>
          </w:tcPr>
          <w:p w:rsidR="0075777C" w:rsidRPr="00757507" w:rsidRDefault="0075777C" w:rsidP="00757507">
            <w:pPr>
              <w:pStyle w:val="Tabletext"/>
              <w:jc w:val="center"/>
            </w:pPr>
            <w:r w:rsidRPr="00757507">
              <w:t>445 ± 97</w:t>
            </w:r>
          </w:p>
        </w:tc>
        <w:tc>
          <w:tcPr>
            <w:tcW w:w="1276" w:type="dxa"/>
          </w:tcPr>
          <w:p w:rsidR="0075777C" w:rsidRPr="00757507" w:rsidRDefault="0075777C" w:rsidP="00757507">
            <w:pPr>
              <w:pStyle w:val="Tabletext"/>
              <w:jc w:val="center"/>
            </w:pPr>
            <w:r w:rsidRPr="00757507">
              <w:t>NR</w:t>
            </w:r>
          </w:p>
        </w:tc>
        <w:tc>
          <w:tcPr>
            <w:tcW w:w="1559" w:type="dxa"/>
          </w:tcPr>
          <w:p w:rsidR="0075777C" w:rsidRPr="00757507" w:rsidRDefault="0075777C" w:rsidP="00757507">
            <w:pPr>
              <w:pStyle w:val="Tabletext"/>
              <w:jc w:val="center"/>
            </w:pPr>
            <w:r w:rsidRPr="00757507">
              <w:t>440 ± 98</w:t>
            </w:r>
          </w:p>
        </w:tc>
        <w:tc>
          <w:tcPr>
            <w:tcW w:w="1701" w:type="dxa"/>
          </w:tcPr>
          <w:p w:rsidR="0075777C" w:rsidRPr="00757507" w:rsidRDefault="0075777C" w:rsidP="00757507">
            <w:pPr>
              <w:pStyle w:val="Tabletext"/>
            </w:pPr>
            <w:r w:rsidRPr="00757507">
              <w:t>–2.4, p=0.6</w:t>
            </w:r>
          </w:p>
          <w:p w:rsidR="0075777C" w:rsidRPr="00757507" w:rsidRDefault="0075777C" w:rsidP="00757507">
            <w:pPr>
              <w:pStyle w:val="Tabletext"/>
            </w:pPr>
            <w:r w:rsidRPr="00757507">
              <w:t>(90% CI –21.8, 17.1)</w:t>
            </w:r>
          </w:p>
        </w:tc>
      </w:tr>
    </w:tbl>
    <w:p w:rsidR="0075777C" w:rsidRPr="00822C52" w:rsidRDefault="0075777C" w:rsidP="00757507">
      <w:pPr>
        <w:pStyle w:val="Tablenote"/>
      </w:pPr>
      <w:r w:rsidRPr="00635C22">
        <w:rPr>
          <w:vertAlign w:val="superscript"/>
        </w:rPr>
        <w:t xml:space="preserve">a </w:t>
      </w:r>
      <w:r w:rsidRPr="00822C52">
        <w:t xml:space="preserve">2 patients </w:t>
      </w:r>
      <w:r>
        <w:t xml:space="preserve">in the cross-over study </w:t>
      </w:r>
      <w:r w:rsidRPr="00822C52">
        <w:t>had epoprostenol background therapy</w:t>
      </w:r>
    </w:p>
    <w:p w:rsidR="0075777C" w:rsidRPr="00822C52" w:rsidRDefault="0075777C" w:rsidP="00757507">
      <w:pPr>
        <w:pStyle w:val="Tablenote"/>
      </w:pPr>
      <w:r w:rsidRPr="00822C52">
        <w:t xml:space="preserve">6MWD = 6-minute </w:t>
      </w:r>
      <w:r w:rsidR="0082368E">
        <w:t>walk distance</w:t>
      </w:r>
      <w:r w:rsidRPr="00822C52">
        <w:t xml:space="preserve">; CI = confidence interval; ERA = endothelin receptor antagonist; IQR = interquartile range; N = number of patients; NR = not reported; PAH = pulmonary arterial hypertension; </w:t>
      </w:r>
      <w:r>
        <w:t>PDE-5i</w:t>
      </w:r>
      <w:r w:rsidRPr="00822C52">
        <w:t xml:space="preserve"> = phosphodiesterase type-5 inhibitor; SD = standard deviation</w:t>
      </w:r>
    </w:p>
    <w:p w:rsidR="0075777C" w:rsidRPr="00B607A5" w:rsidRDefault="007B6C7C" w:rsidP="0077344D">
      <w:pPr>
        <w:pStyle w:val="Heading6"/>
      </w:pPr>
      <w:r w:rsidRPr="00B607A5">
        <w:t>e</w:t>
      </w:r>
      <w:r w:rsidR="0075777C" w:rsidRPr="00B607A5">
        <w:t>.ii</w:t>
      </w:r>
      <w:r w:rsidR="0075777C" w:rsidRPr="00B607A5">
        <w:tab/>
        <w:t>PAH patients with FC III or IV</w:t>
      </w:r>
    </w:p>
    <w:p w:rsidR="0075777C" w:rsidRPr="00822C52" w:rsidRDefault="0075777C" w:rsidP="0075777C">
      <w:r>
        <w:t>Two studies reported on the change in 6MWD for patients with WHO FC III/IV PAH from baseline (</w:t>
      </w:r>
      <w:r w:rsidR="00AA722D">
        <w:t>Table 4.</w:t>
      </w:r>
      <w:r w:rsidR="00AA722D">
        <w:rPr>
          <w:noProof/>
        </w:rPr>
        <w:t>67</w:t>
      </w:r>
      <w:r>
        <w:t>). In both studies patients receiving either combination therapy or monotherapy showed an improvement in 6MWD, and although the median improvement was larger for those receiving combination therapy, the distance did not quite reach clinically importance (35</w:t>
      </w:r>
      <w:r w:rsidR="00B60655">
        <w:t> </w:t>
      </w:r>
      <w:r>
        <w:t>m, see Section 4.</w:t>
      </w:r>
      <w:r w:rsidR="0002253F">
        <w:t>3.5</w:t>
      </w:r>
      <w:r>
        <w:t>).</w:t>
      </w:r>
    </w:p>
    <w:p w:rsidR="0075777C" w:rsidRDefault="00272F8F" w:rsidP="00BC5A2B">
      <w:pPr>
        <w:pStyle w:val="Caption"/>
      </w:pPr>
      <w:bookmarkStart w:id="215" w:name="_Ref504656495"/>
      <w:bookmarkStart w:id="216" w:name="_Toc512855471"/>
      <w:r>
        <w:t>Table 4.</w:t>
      </w:r>
      <w:r w:rsidR="00AA722D">
        <w:rPr>
          <w:noProof/>
        </w:rPr>
        <w:t>67</w:t>
      </w:r>
      <w:bookmarkEnd w:id="215"/>
      <w:r w:rsidR="00757507">
        <w:tab/>
      </w:r>
      <w:r w:rsidR="0075777C" w:rsidRPr="00DD7790">
        <w:t xml:space="preserve">The effectiveness of </w:t>
      </w:r>
      <w:r w:rsidR="00385078">
        <w:t xml:space="preserve">a </w:t>
      </w:r>
      <w:r w:rsidR="00385078" w:rsidRPr="00DD7790">
        <w:t>PDE-5 inhibitor</w:t>
      </w:r>
      <w:r w:rsidR="00385078">
        <w:t xml:space="preserve"> in addition to an</w:t>
      </w:r>
      <w:r w:rsidR="00385078" w:rsidRPr="00DD7790">
        <w:t xml:space="preserve"> ERA compared with ERA</w:t>
      </w:r>
      <w:r w:rsidR="00385078">
        <w:t xml:space="preserve"> monotherapy</w:t>
      </w:r>
      <w:r w:rsidR="0075777C" w:rsidRPr="00DD7790">
        <w:t xml:space="preserve"> in improving 6MWD in patients with FC III/IV PAH</w:t>
      </w:r>
      <w:bookmarkEnd w:id="216"/>
    </w:p>
    <w:tbl>
      <w:tblPr>
        <w:tblStyle w:val="TableGrid"/>
        <w:tblW w:w="9634" w:type="dxa"/>
        <w:tblLook w:val="04A0" w:firstRow="1" w:lastRow="0" w:firstColumn="1" w:lastColumn="0" w:noHBand="0" w:noVBand="1"/>
        <w:tblCaption w:val="The effectiveness of a PDE-5 inhibitor in addition to an ERA compared with ERA monotherapy in improving 6MWD in patients with FC III/IV PAH"/>
      </w:tblPr>
      <w:tblGrid>
        <w:gridCol w:w="2027"/>
        <w:gridCol w:w="1368"/>
        <w:gridCol w:w="1213"/>
        <w:gridCol w:w="1207"/>
        <w:gridCol w:w="1222"/>
        <w:gridCol w:w="1218"/>
        <w:gridCol w:w="1379"/>
      </w:tblGrid>
      <w:tr w:rsidR="0075777C" w:rsidTr="00757507">
        <w:trPr>
          <w:cnfStyle w:val="100000000000" w:firstRow="1" w:lastRow="0" w:firstColumn="0" w:lastColumn="0" w:oddVBand="0" w:evenVBand="0" w:oddHBand="0" w:evenHBand="0" w:firstRowFirstColumn="0" w:firstRowLastColumn="0" w:lastRowFirstColumn="0" w:lastRowLastColumn="0"/>
        </w:trPr>
        <w:tc>
          <w:tcPr>
            <w:tcW w:w="1696" w:type="dxa"/>
            <w:vMerge w:val="restart"/>
            <w:shd w:val="clear" w:color="auto" w:fill="BFBFBF" w:themeFill="background1" w:themeFillShade="BF"/>
          </w:tcPr>
          <w:p w:rsidR="0075777C" w:rsidRPr="00757507" w:rsidRDefault="0075777C" w:rsidP="00757507">
            <w:pPr>
              <w:pStyle w:val="Tabletext"/>
              <w:rPr>
                <w:b/>
              </w:rPr>
            </w:pPr>
            <w:r w:rsidRPr="00757507">
              <w:rPr>
                <w:b/>
              </w:rPr>
              <w:t>Study ID</w:t>
            </w:r>
          </w:p>
          <w:p w:rsidR="0075777C" w:rsidRPr="00757507" w:rsidRDefault="0075777C" w:rsidP="00757507">
            <w:pPr>
              <w:pStyle w:val="Tabletext"/>
              <w:rPr>
                <w:b/>
              </w:rPr>
            </w:pPr>
            <w:r w:rsidRPr="00757507">
              <w:rPr>
                <w:b/>
              </w:rPr>
              <w:t>PDE-5i/ERA</w:t>
            </w:r>
          </w:p>
        </w:tc>
        <w:tc>
          <w:tcPr>
            <w:tcW w:w="1418" w:type="dxa"/>
            <w:vMerge w:val="restart"/>
            <w:shd w:val="clear" w:color="auto" w:fill="BFBFBF" w:themeFill="background1" w:themeFillShade="BF"/>
          </w:tcPr>
          <w:p w:rsidR="0075777C" w:rsidRPr="00757507" w:rsidRDefault="0075777C" w:rsidP="00757507">
            <w:pPr>
              <w:pStyle w:val="Tabletext"/>
              <w:rPr>
                <w:b/>
              </w:rPr>
            </w:pPr>
            <w:r w:rsidRPr="00757507">
              <w:rPr>
                <w:b/>
              </w:rPr>
              <w:t>N</w:t>
            </w:r>
          </w:p>
          <w:p w:rsidR="0075777C" w:rsidRPr="00757507" w:rsidRDefault="0075777C" w:rsidP="00757507">
            <w:pPr>
              <w:pStyle w:val="Tabletext"/>
              <w:rPr>
                <w:b/>
              </w:rPr>
            </w:pPr>
            <w:r w:rsidRPr="00757507">
              <w:rPr>
                <w:b/>
              </w:rPr>
              <w:t>Follow-up period</w:t>
            </w:r>
          </w:p>
        </w:tc>
        <w:tc>
          <w:tcPr>
            <w:tcW w:w="2551" w:type="dxa"/>
            <w:gridSpan w:val="2"/>
            <w:shd w:val="clear" w:color="auto" w:fill="BFBFBF" w:themeFill="background1" w:themeFillShade="BF"/>
          </w:tcPr>
          <w:p w:rsidR="0075777C" w:rsidRPr="00757507" w:rsidRDefault="00242BA3" w:rsidP="00242BA3">
            <w:pPr>
              <w:pStyle w:val="Tabletext"/>
              <w:jc w:val="center"/>
              <w:rPr>
                <w:b/>
              </w:rPr>
            </w:pPr>
            <w:r w:rsidRPr="00242BA3">
              <w:rPr>
                <w:b/>
              </w:rPr>
              <w:t>Me</w:t>
            </w:r>
            <w:r>
              <w:rPr>
                <w:b/>
              </w:rPr>
              <w:t>di</w:t>
            </w:r>
            <w:r w:rsidRPr="00242BA3">
              <w:rPr>
                <w:b/>
              </w:rPr>
              <w:t>an baseline 6MWD, meters</w:t>
            </w:r>
          </w:p>
        </w:tc>
        <w:tc>
          <w:tcPr>
            <w:tcW w:w="2552" w:type="dxa"/>
            <w:gridSpan w:val="2"/>
            <w:shd w:val="clear" w:color="auto" w:fill="BFBFBF" w:themeFill="background1" w:themeFillShade="BF"/>
          </w:tcPr>
          <w:p w:rsidR="0075777C" w:rsidRPr="00757507" w:rsidRDefault="0075777C" w:rsidP="00757507">
            <w:pPr>
              <w:pStyle w:val="Tabletext"/>
              <w:jc w:val="center"/>
              <w:rPr>
                <w:b/>
              </w:rPr>
            </w:pPr>
            <w:r w:rsidRPr="00757507">
              <w:rPr>
                <w:b/>
              </w:rPr>
              <w:t>Median c</w:t>
            </w:r>
            <w:r w:rsidRPr="00757507">
              <w:rPr>
                <w:rFonts w:asciiTheme="minorHAnsi" w:hAnsiTheme="minorHAnsi"/>
                <w:b/>
              </w:rPr>
              <w:t xml:space="preserve">hange from baseline </w:t>
            </w:r>
            <w:r w:rsidRPr="00757507">
              <w:rPr>
                <w:b/>
              </w:rPr>
              <w:t>(95% CI)</w:t>
            </w:r>
            <w:r w:rsidRPr="00757507">
              <w:rPr>
                <w:rFonts w:asciiTheme="minorHAnsi" w:hAnsiTheme="minorHAnsi"/>
                <w:b/>
              </w:rPr>
              <w:t>,</w:t>
            </w:r>
            <w:r w:rsidRPr="00757507">
              <w:rPr>
                <w:b/>
              </w:rPr>
              <w:t xml:space="preserve"> </w:t>
            </w:r>
            <w:r w:rsidR="00EC2524" w:rsidRPr="00EC2524">
              <w:rPr>
                <w:b/>
              </w:rPr>
              <w:t>meters</w:t>
            </w:r>
          </w:p>
        </w:tc>
        <w:tc>
          <w:tcPr>
            <w:tcW w:w="1417" w:type="dxa"/>
            <w:vMerge w:val="restart"/>
            <w:shd w:val="clear" w:color="auto" w:fill="BFBFBF" w:themeFill="background1" w:themeFillShade="BF"/>
          </w:tcPr>
          <w:p w:rsidR="0075777C" w:rsidRPr="00757507" w:rsidRDefault="0075777C" w:rsidP="00757507">
            <w:pPr>
              <w:pStyle w:val="Tabletext"/>
              <w:rPr>
                <w:b/>
              </w:rPr>
            </w:pPr>
            <w:r w:rsidRPr="00757507">
              <w:rPr>
                <w:rFonts w:asciiTheme="minorHAnsi" w:hAnsiTheme="minorHAnsi"/>
                <w:b/>
              </w:rPr>
              <w:t>Mean difference</w:t>
            </w:r>
            <w:r w:rsidRPr="00757507">
              <w:rPr>
                <w:b/>
              </w:rPr>
              <w:t xml:space="preserve"> (95% CI), </w:t>
            </w:r>
            <w:r w:rsidR="00EC2524" w:rsidRPr="00EC2524">
              <w:rPr>
                <w:b/>
              </w:rPr>
              <w:t>meters</w:t>
            </w:r>
          </w:p>
        </w:tc>
      </w:tr>
      <w:tr w:rsidR="0075777C" w:rsidTr="00757507">
        <w:tc>
          <w:tcPr>
            <w:tcW w:w="1696" w:type="dxa"/>
            <w:vMerge/>
          </w:tcPr>
          <w:p w:rsidR="0075777C" w:rsidRDefault="0075777C" w:rsidP="00757507">
            <w:pPr>
              <w:pStyle w:val="Tabletext"/>
            </w:pPr>
          </w:p>
        </w:tc>
        <w:tc>
          <w:tcPr>
            <w:tcW w:w="1418" w:type="dxa"/>
            <w:vMerge/>
          </w:tcPr>
          <w:p w:rsidR="0075777C" w:rsidRDefault="0075777C" w:rsidP="00757507">
            <w:pPr>
              <w:pStyle w:val="Tabletext"/>
            </w:pPr>
          </w:p>
        </w:tc>
        <w:tc>
          <w:tcPr>
            <w:tcW w:w="1276"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PDE-5i + ERA</w:t>
            </w:r>
          </w:p>
        </w:tc>
        <w:tc>
          <w:tcPr>
            <w:tcW w:w="1275"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ERA</w:t>
            </w:r>
          </w:p>
        </w:tc>
        <w:tc>
          <w:tcPr>
            <w:tcW w:w="1276"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PDE-5i + ERA</w:t>
            </w:r>
          </w:p>
        </w:tc>
        <w:tc>
          <w:tcPr>
            <w:tcW w:w="1276"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ERA</w:t>
            </w:r>
          </w:p>
        </w:tc>
        <w:tc>
          <w:tcPr>
            <w:tcW w:w="1417" w:type="dxa"/>
            <w:vMerge/>
          </w:tcPr>
          <w:p w:rsidR="0075777C" w:rsidRDefault="0075777C" w:rsidP="00757507">
            <w:pPr>
              <w:pStyle w:val="Tabletext"/>
            </w:pPr>
          </w:p>
        </w:tc>
      </w:tr>
      <w:tr w:rsidR="0075777C" w:rsidTr="00757507">
        <w:tc>
          <w:tcPr>
            <w:tcW w:w="1696" w:type="dxa"/>
          </w:tcPr>
          <w:p w:rsidR="0075777C" w:rsidRPr="00757507" w:rsidRDefault="0075777C" w:rsidP="00757507">
            <w:pPr>
              <w:pStyle w:val="Tabletext"/>
            </w:pPr>
            <w:r w:rsidRPr="00757507">
              <w:t>PHIRST</w:t>
            </w:r>
          </w:p>
          <w:p w:rsidR="0075777C" w:rsidRPr="00757507" w:rsidRDefault="0075777C" w:rsidP="00757507">
            <w:pPr>
              <w:pStyle w:val="Tabletext"/>
            </w:pPr>
            <w:r w:rsidRPr="00757507">
              <w:t>Barst et al (2011)</w:t>
            </w:r>
            <w:r w:rsidR="001D34EE">
              <w:rPr>
                <w:noProof/>
                <w:vertAlign w:val="superscript"/>
              </w:rPr>
              <w:t>45</w:t>
            </w:r>
          </w:p>
          <w:p w:rsidR="0075777C" w:rsidRPr="00757507" w:rsidRDefault="00757507" w:rsidP="00757507">
            <w:pPr>
              <w:pStyle w:val="Tabletext"/>
            </w:pPr>
            <w:r>
              <w:t>Tadalafil/</w:t>
            </w:r>
            <w:r w:rsidR="0075777C" w:rsidRPr="00757507">
              <w:t>bosentan</w:t>
            </w:r>
          </w:p>
        </w:tc>
        <w:tc>
          <w:tcPr>
            <w:tcW w:w="1418" w:type="dxa"/>
          </w:tcPr>
          <w:p w:rsidR="0075777C" w:rsidRPr="00757507" w:rsidRDefault="0075777C" w:rsidP="00757507">
            <w:pPr>
              <w:pStyle w:val="Tabletext"/>
            </w:pPr>
            <w:r w:rsidRPr="00757507">
              <w:t>N=54</w:t>
            </w:r>
          </w:p>
          <w:p w:rsidR="0075777C" w:rsidRPr="00757507" w:rsidRDefault="0075777C" w:rsidP="00757507">
            <w:pPr>
              <w:pStyle w:val="Tabletext"/>
            </w:pPr>
            <w:r w:rsidRPr="00757507">
              <w:t>16 weeks</w:t>
            </w:r>
          </w:p>
        </w:tc>
        <w:tc>
          <w:tcPr>
            <w:tcW w:w="1276" w:type="dxa"/>
          </w:tcPr>
          <w:p w:rsidR="0075777C" w:rsidRPr="00757507" w:rsidRDefault="0075777C" w:rsidP="00757507">
            <w:pPr>
              <w:pStyle w:val="Tabletext"/>
              <w:jc w:val="center"/>
            </w:pPr>
            <w:r w:rsidRPr="00757507">
              <w:t>NR</w:t>
            </w:r>
          </w:p>
        </w:tc>
        <w:tc>
          <w:tcPr>
            <w:tcW w:w="1275" w:type="dxa"/>
          </w:tcPr>
          <w:p w:rsidR="0075777C" w:rsidRPr="00757507" w:rsidRDefault="0075777C" w:rsidP="00757507">
            <w:pPr>
              <w:pStyle w:val="Tabletext"/>
              <w:jc w:val="center"/>
            </w:pPr>
            <w:r w:rsidRPr="00757507">
              <w:t>NR</w:t>
            </w:r>
          </w:p>
        </w:tc>
        <w:tc>
          <w:tcPr>
            <w:tcW w:w="1276" w:type="dxa"/>
          </w:tcPr>
          <w:p w:rsidR="0075777C" w:rsidRPr="00757507" w:rsidRDefault="0075777C" w:rsidP="00757507">
            <w:pPr>
              <w:pStyle w:val="Tabletext"/>
              <w:jc w:val="center"/>
            </w:pPr>
            <w:r w:rsidRPr="00757507">
              <w:t>30.0</w:t>
            </w:r>
            <w:r w:rsidRPr="00757507">
              <w:br/>
              <w:t>(12.7, 68.5)</w:t>
            </w:r>
          </w:p>
        </w:tc>
        <w:tc>
          <w:tcPr>
            <w:tcW w:w="1276" w:type="dxa"/>
          </w:tcPr>
          <w:p w:rsidR="0075777C" w:rsidRPr="00757507" w:rsidRDefault="0075777C" w:rsidP="00757507">
            <w:pPr>
              <w:pStyle w:val="Tabletext"/>
              <w:jc w:val="center"/>
            </w:pPr>
            <w:r w:rsidRPr="00757507">
              <w:t>16.5</w:t>
            </w:r>
            <w:r w:rsidRPr="00757507">
              <w:br/>
              <w:t>(–5.6, 43.0)</w:t>
            </w:r>
          </w:p>
        </w:tc>
        <w:tc>
          <w:tcPr>
            <w:tcW w:w="1417" w:type="dxa"/>
          </w:tcPr>
          <w:p w:rsidR="0075777C" w:rsidRPr="00757507" w:rsidRDefault="0075777C" w:rsidP="00757507">
            <w:pPr>
              <w:pStyle w:val="Tabletext"/>
            </w:pPr>
            <w:r w:rsidRPr="00757507">
              <w:t>13.5</w:t>
            </w:r>
          </w:p>
        </w:tc>
      </w:tr>
      <w:tr w:rsidR="0075777C" w:rsidTr="00757507">
        <w:tc>
          <w:tcPr>
            <w:tcW w:w="1696" w:type="dxa"/>
          </w:tcPr>
          <w:p w:rsidR="0075777C" w:rsidRPr="00757507" w:rsidRDefault="0075777C" w:rsidP="00757507">
            <w:pPr>
              <w:pStyle w:val="Tabletext"/>
            </w:pPr>
            <w:r w:rsidRPr="00757507">
              <w:t>Zhuang 2014</w:t>
            </w:r>
            <w:r w:rsidR="001D34EE">
              <w:rPr>
                <w:noProof/>
                <w:vertAlign w:val="superscript"/>
              </w:rPr>
              <w:t>50</w:t>
            </w:r>
          </w:p>
          <w:p w:rsidR="0075777C" w:rsidRPr="00757507" w:rsidRDefault="00757507" w:rsidP="00757507">
            <w:pPr>
              <w:pStyle w:val="Tabletext"/>
            </w:pPr>
            <w:r>
              <w:t>Tadalafil/</w:t>
            </w:r>
            <w:r w:rsidR="0075777C" w:rsidRPr="00757507">
              <w:t>ambrisentan</w:t>
            </w:r>
          </w:p>
        </w:tc>
        <w:tc>
          <w:tcPr>
            <w:tcW w:w="1418" w:type="dxa"/>
          </w:tcPr>
          <w:p w:rsidR="0075777C" w:rsidRPr="00757507" w:rsidRDefault="0075777C" w:rsidP="00757507">
            <w:pPr>
              <w:pStyle w:val="Tabletext"/>
            </w:pPr>
            <w:r w:rsidRPr="00757507">
              <w:t>N=53</w:t>
            </w:r>
          </w:p>
          <w:p w:rsidR="0075777C" w:rsidRPr="00757507" w:rsidRDefault="0075777C" w:rsidP="00757507">
            <w:pPr>
              <w:pStyle w:val="Tabletext"/>
            </w:pPr>
            <w:r w:rsidRPr="00757507">
              <w:t>16 weeks</w:t>
            </w:r>
          </w:p>
        </w:tc>
        <w:tc>
          <w:tcPr>
            <w:tcW w:w="1276" w:type="dxa"/>
          </w:tcPr>
          <w:p w:rsidR="0075777C" w:rsidRPr="00757507" w:rsidRDefault="0075777C" w:rsidP="00757507">
            <w:pPr>
              <w:pStyle w:val="Tabletext"/>
              <w:jc w:val="center"/>
            </w:pPr>
            <w:r w:rsidRPr="00757507">
              <w:t>NR</w:t>
            </w:r>
          </w:p>
        </w:tc>
        <w:tc>
          <w:tcPr>
            <w:tcW w:w="1275" w:type="dxa"/>
          </w:tcPr>
          <w:p w:rsidR="0075777C" w:rsidRPr="00757507" w:rsidRDefault="0075777C" w:rsidP="00757507">
            <w:pPr>
              <w:pStyle w:val="Tabletext"/>
              <w:jc w:val="center"/>
            </w:pPr>
            <w:r w:rsidRPr="00757507">
              <w:t>NR</w:t>
            </w:r>
          </w:p>
        </w:tc>
        <w:tc>
          <w:tcPr>
            <w:tcW w:w="1276" w:type="dxa"/>
          </w:tcPr>
          <w:p w:rsidR="0075777C" w:rsidRPr="00757507" w:rsidRDefault="0075777C" w:rsidP="00757507">
            <w:pPr>
              <w:pStyle w:val="Tabletext"/>
              <w:jc w:val="center"/>
            </w:pPr>
            <w:r w:rsidRPr="00757507">
              <w:t>33.8</w:t>
            </w:r>
          </w:p>
          <w:p w:rsidR="0075777C" w:rsidRPr="00757507" w:rsidRDefault="0075777C" w:rsidP="00757507">
            <w:pPr>
              <w:pStyle w:val="Tabletext"/>
              <w:jc w:val="center"/>
            </w:pPr>
            <w:r w:rsidRPr="00757507">
              <w:t>(10.9, 57.5)</w:t>
            </w:r>
          </w:p>
        </w:tc>
        <w:tc>
          <w:tcPr>
            <w:tcW w:w="1276" w:type="dxa"/>
          </w:tcPr>
          <w:p w:rsidR="0075777C" w:rsidRPr="00757507" w:rsidRDefault="0075777C" w:rsidP="00757507">
            <w:pPr>
              <w:pStyle w:val="Tabletext"/>
              <w:jc w:val="center"/>
            </w:pPr>
            <w:r w:rsidRPr="00757507">
              <w:t>13.7</w:t>
            </w:r>
          </w:p>
          <w:p w:rsidR="0075777C" w:rsidRPr="00757507" w:rsidRDefault="0075777C" w:rsidP="00757507">
            <w:pPr>
              <w:pStyle w:val="Tabletext"/>
              <w:jc w:val="center"/>
            </w:pPr>
            <w:r w:rsidRPr="00757507">
              <w:t>(–8.7, 47.3)</w:t>
            </w:r>
          </w:p>
        </w:tc>
        <w:tc>
          <w:tcPr>
            <w:tcW w:w="1417" w:type="dxa"/>
          </w:tcPr>
          <w:p w:rsidR="0075777C" w:rsidRPr="00757507" w:rsidRDefault="0075777C" w:rsidP="00757507">
            <w:pPr>
              <w:pStyle w:val="Tabletext"/>
            </w:pPr>
            <w:r w:rsidRPr="00757507">
              <w:t>20.1, p=0.136</w:t>
            </w:r>
          </w:p>
        </w:tc>
      </w:tr>
    </w:tbl>
    <w:p w:rsidR="0075777C" w:rsidRPr="00822C52" w:rsidRDefault="0075777C" w:rsidP="00757507">
      <w:pPr>
        <w:pStyle w:val="Tablenote"/>
      </w:pPr>
      <w:r w:rsidRPr="00822C52">
        <w:t xml:space="preserve">6MWD = 6-minute </w:t>
      </w:r>
      <w:r w:rsidR="0082368E">
        <w:t>walk distance</w:t>
      </w:r>
      <w:r w:rsidRPr="00822C52">
        <w:t xml:space="preserve">; CI = confidence interval; ERA = endothelin receptor antagonist; FC = functional class; N = number of patients; NR = not reported; PAH = pulmonary arterial hypertension; </w:t>
      </w:r>
      <w:r>
        <w:t xml:space="preserve">PDE-5i </w:t>
      </w:r>
      <w:r w:rsidRPr="00822C52">
        <w:t>= phosphodiesterase type-5 inhibitor; SD = standard deviation; WHO = World Health Organization</w:t>
      </w:r>
    </w:p>
    <w:p w:rsidR="0075777C" w:rsidRPr="00B607A5" w:rsidRDefault="007B6C7C" w:rsidP="0077344D">
      <w:pPr>
        <w:pStyle w:val="Heading6"/>
      </w:pPr>
      <w:r w:rsidRPr="00B607A5">
        <w:lastRenderedPageBreak/>
        <w:t>e</w:t>
      </w:r>
      <w:r w:rsidR="0075777C" w:rsidRPr="00B607A5">
        <w:t>.iii</w:t>
      </w:r>
      <w:r w:rsidR="0075777C" w:rsidRPr="00B607A5">
        <w:tab/>
        <w:t>PAH patients with different disease aetiologies</w:t>
      </w:r>
    </w:p>
    <w:p w:rsidR="0075777C" w:rsidRDefault="0075777C" w:rsidP="0075777C">
      <w:r>
        <w:t>Two studies reported on the change in 6MWD for patients with either IPAH/HPAH or PAH-CTD from baseline (</w:t>
      </w:r>
      <w:r w:rsidR="00AA722D">
        <w:t>Table 4.</w:t>
      </w:r>
      <w:r w:rsidR="00AA722D">
        <w:rPr>
          <w:noProof/>
        </w:rPr>
        <w:t>68</w:t>
      </w:r>
      <w:r>
        <w:t>), but Vizza 2017 only depicted the change in 6MWD in a gra</w:t>
      </w:r>
      <w:r w:rsidR="00B60655">
        <w:t>p</w:t>
      </w:r>
      <w:r>
        <w:t>h (</w:t>
      </w:r>
      <w:r w:rsidR="00AA722D">
        <w:t>Figure 4.</w:t>
      </w:r>
      <w:r w:rsidR="00AA722D">
        <w:rPr>
          <w:noProof/>
        </w:rPr>
        <w:t>19</w:t>
      </w:r>
      <w:r>
        <w:t>). Patients with IPAH/HPAH receiving combination therapy had a greater improvement in 6MWD than those receiving monotherapy in both studies, but the difference was not clinically important. In the PHIRST trial. Patients with PAH-CTD receiving combination therapy also improved their 6MWD by more than those receiving monotherapy. However, in the Vizza 2017 study, patients with PAH-CTD receiving combination therapy performed poorly, with a decreased 6MWD, compared to an increase in those receiving monotherapy (</w:t>
      </w:r>
      <w:r w:rsidR="00AA722D">
        <w:t>Figure 4.</w:t>
      </w:r>
      <w:r w:rsidR="00AA722D">
        <w:rPr>
          <w:noProof/>
        </w:rPr>
        <w:t>19</w:t>
      </w:r>
      <w:r>
        <w:t>).</w:t>
      </w:r>
    </w:p>
    <w:p w:rsidR="0075777C" w:rsidRDefault="00272F8F" w:rsidP="00BC5A2B">
      <w:pPr>
        <w:pStyle w:val="Caption"/>
      </w:pPr>
      <w:bookmarkStart w:id="217" w:name="_Ref504563778"/>
      <w:bookmarkStart w:id="218" w:name="_Toc512855472"/>
      <w:r>
        <w:t>Table 4.</w:t>
      </w:r>
      <w:r w:rsidR="00AA722D">
        <w:rPr>
          <w:noProof/>
        </w:rPr>
        <w:t>68</w:t>
      </w:r>
      <w:bookmarkEnd w:id="217"/>
      <w:r w:rsidR="00757507">
        <w:tab/>
      </w:r>
      <w:r w:rsidR="0075777C" w:rsidRPr="00DD7790">
        <w:t xml:space="preserve">The effectiveness of </w:t>
      </w:r>
      <w:r w:rsidR="00385078">
        <w:t xml:space="preserve">a </w:t>
      </w:r>
      <w:r w:rsidR="00385078" w:rsidRPr="00DD7790">
        <w:t>PDE-5 inhibitor</w:t>
      </w:r>
      <w:r w:rsidR="00385078">
        <w:t xml:space="preserve"> in addition to an</w:t>
      </w:r>
      <w:r w:rsidR="00385078" w:rsidRPr="00DD7790">
        <w:t xml:space="preserve"> ERA compared with ERA</w:t>
      </w:r>
      <w:r w:rsidR="00385078">
        <w:t xml:space="preserve"> monotherapy</w:t>
      </w:r>
      <w:r w:rsidR="00385078" w:rsidRPr="00DD7790">
        <w:t xml:space="preserve"> </w:t>
      </w:r>
      <w:r w:rsidR="0075777C" w:rsidRPr="00DD7790">
        <w:t>in improving 6MWD in patients with different PAH aetiologies</w:t>
      </w:r>
      <w:bookmarkEnd w:id="218"/>
    </w:p>
    <w:tbl>
      <w:tblPr>
        <w:tblStyle w:val="TableGrid"/>
        <w:tblW w:w="9634" w:type="dxa"/>
        <w:tblLook w:val="04A0" w:firstRow="1" w:lastRow="0" w:firstColumn="1" w:lastColumn="0" w:noHBand="0" w:noVBand="1"/>
        <w:tblCaption w:val="The effectiveness of a PDE-5 inhibitor in addition to an ERA compared with ERA monotherapy in improving 6MWD in patients with different PAH aetiologies"/>
      </w:tblPr>
      <w:tblGrid>
        <w:gridCol w:w="1413"/>
        <w:gridCol w:w="1418"/>
        <w:gridCol w:w="1133"/>
        <w:gridCol w:w="1205"/>
        <w:gridCol w:w="1276"/>
        <w:gridCol w:w="1276"/>
        <w:gridCol w:w="1913"/>
      </w:tblGrid>
      <w:tr w:rsidR="0075777C" w:rsidTr="00302512">
        <w:trPr>
          <w:cnfStyle w:val="100000000000" w:firstRow="1" w:lastRow="0" w:firstColumn="0" w:lastColumn="0" w:oddVBand="0" w:evenVBand="0" w:oddHBand="0" w:evenHBand="0" w:firstRowFirstColumn="0" w:firstRowLastColumn="0" w:lastRowFirstColumn="0" w:lastRowLastColumn="0"/>
        </w:trPr>
        <w:tc>
          <w:tcPr>
            <w:tcW w:w="1413" w:type="dxa"/>
            <w:vMerge w:val="restart"/>
            <w:shd w:val="clear" w:color="auto" w:fill="BFBFBF" w:themeFill="background1" w:themeFillShade="BF"/>
          </w:tcPr>
          <w:p w:rsidR="0075777C" w:rsidRPr="00757507" w:rsidRDefault="0075777C" w:rsidP="00757507">
            <w:pPr>
              <w:pStyle w:val="Tabletext"/>
              <w:rPr>
                <w:b/>
              </w:rPr>
            </w:pPr>
            <w:r w:rsidRPr="00757507">
              <w:rPr>
                <w:b/>
              </w:rPr>
              <w:t>Study ID</w:t>
            </w:r>
          </w:p>
          <w:p w:rsidR="0075777C" w:rsidRPr="00757507" w:rsidRDefault="0075777C" w:rsidP="00757507">
            <w:pPr>
              <w:pStyle w:val="Tabletext"/>
              <w:rPr>
                <w:b/>
              </w:rPr>
            </w:pPr>
            <w:r w:rsidRPr="00757507">
              <w:rPr>
                <w:b/>
              </w:rPr>
              <w:t>PDE-5i/ERA</w:t>
            </w:r>
          </w:p>
        </w:tc>
        <w:tc>
          <w:tcPr>
            <w:tcW w:w="1418" w:type="dxa"/>
            <w:vMerge w:val="restart"/>
            <w:shd w:val="clear" w:color="auto" w:fill="BFBFBF" w:themeFill="background1" w:themeFillShade="BF"/>
          </w:tcPr>
          <w:p w:rsidR="0075777C" w:rsidRPr="00757507" w:rsidRDefault="0075777C" w:rsidP="00757507">
            <w:pPr>
              <w:pStyle w:val="Tabletext"/>
              <w:rPr>
                <w:b/>
              </w:rPr>
            </w:pPr>
            <w:r w:rsidRPr="00757507">
              <w:rPr>
                <w:b/>
              </w:rPr>
              <w:t>N</w:t>
            </w:r>
          </w:p>
          <w:p w:rsidR="0075777C" w:rsidRPr="00757507" w:rsidRDefault="0075777C" w:rsidP="00757507">
            <w:pPr>
              <w:pStyle w:val="Tabletext"/>
              <w:rPr>
                <w:b/>
              </w:rPr>
            </w:pPr>
            <w:r w:rsidRPr="00757507">
              <w:rPr>
                <w:b/>
              </w:rPr>
              <w:t>Follow-up period</w:t>
            </w:r>
          </w:p>
        </w:tc>
        <w:tc>
          <w:tcPr>
            <w:tcW w:w="2338" w:type="dxa"/>
            <w:gridSpan w:val="2"/>
            <w:shd w:val="clear" w:color="auto" w:fill="BFBFBF" w:themeFill="background1" w:themeFillShade="BF"/>
          </w:tcPr>
          <w:p w:rsidR="0075777C" w:rsidRPr="00757507" w:rsidRDefault="00EC2524" w:rsidP="00242BA3">
            <w:pPr>
              <w:pStyle w:val="Tabletext"/>
              <w:jc w:val="center"/>
              <w:rPr>
                <w:b/>
              </w:rPr>
            </w:pPr>
            <w:r>
              <w:rPr>
                <w:b/>
              </w:rPr>
              <w:t>M</w:t>
            </w:r>
            <w:r w:rsidR="0075777C" w:rsidRPr="00757507">
              <w:rPr>
                <w:b/>
              </w:rPr>
              <w:t>ean</w:t>
            </w:r>
            <w:r w:rsidRPr="00757507">
              <w:rPr>
                <w:b/>
              </w:rPr>
              <w:t xml:space="preserve"> </w:t>
            </w:r>
            <w:r>
              <w:rPr>
                <w:b/>
              </w:rPr>
              <w:t>b</w:t>
            </w:r>
            <w:r w:rsidRPr="00757507">
              <w:rPr>
                <w:b/>
              </w:rPr>
              <w:t>aseline</w:t>
            </w:r>
            <w:r>
              <w:rPr>
                <w:b/>
              </w:rPr>
              <w:t xml:space="preserve"> 6MWD</w:t>
            </w:r>
            <w:r w:rsidR="0075777C" w:rsidRPr="00757507">
              <w:rPr>
                <w:b/>
              </w:rPr>
              <w:t xml:space="preserve">, </w:t>
            </w:r>
            <w:r w:rsidRPr="00887161">
              <w:rPr>
                <w:b/>
              </w:rPr>
              <w:t>met</w:t>
            </w:r>
            <w:r>
              <w:rPr>
                <w:b/>
              </w:rPr>
              <w:t>e</w:t>
            </w:r>
            <w:r w:rsidRPr="00887161">
              <w:rPr>
                <w:b/>
              </w:rPr>
              <w:t>rs</w:t>
            </w:r>
          </w:p>
        </w:tc>
        <w:tc>
          <w:tcPr>
            <w:tcW w:w="2552" w:type="dxa"/>
            <w:gridSpan w:val="2"/>
            <w:shd w:val="clear" w:color="auto" w:fill="BFBFBF" w:themeFill="background1" w:themeFillShade="BF"/>
          </w:tcPr>
          <w:p w:rsidR="0075777C" w:rsidRPr="00757507" w:rsidRDefault="0075777C" w:rsidP="00757507">
            <w:pPr>
              <w:pStyle w:val="Tabletext"/>
              <w:jc w:val="center"/>
              <w:rPr>
                <w:b/>
              </w:rPr>
            </w:pPr>
            <w:r w:rsidRPr="00757507">
              <w:rPr>
                <w:b/>
              </w:rPr>
              <w:t>Median c</w:t>
            </w:r>
            <w:r w:rsidRPr="00757507">
              <w:rPr>
                <w:rFonts w:asciiTheme="minorHAnsi" w:hAnsiTheme="minorHAnsi"/>
                <w:b/>
              </w:rPr>
              <w:t xml:space="preserve">hange from baseline </w:t>
            </w:r>
            <w:r w:rsidRPr="00757507">
              <w:rPr>
                <w:b/>
              </w:rPr>
              <w:t>(95% CI)</w:t>
            </w:r>
            <w:r w:rsidRPr="00757507">
              <w:rPr>
                <w:rFonts w:asciiTheme="minorHAnsi" w:hAnsiTheme="minorHAnsi"/>
                <w:b/>
              </w:rPr>
              <w:t>,</w:t>
            </w:r>
            <w:r w:rsidRPr="00757507">
              <w:rPr>
                <w:b/>
              </w:rPr>
              <w:t xml:space="preserve"> </w:t>
            </w:r>
            <w:r w:rsidR="00EC2524" w:rsidRPr="00887161">
              <w:rPr>
                <w:b/>
              </w:rPr>
              <w:t>met</w:t>
            </w:r>
            <w:r w:rsidR="00EC2524">
              <w:rPr>
                <w:b/>
              </w:rPr>
              <w:t>e</w:t>
            </w:r>
            <w:r w:rsidR="00EC2524" w:rsidRPr="00887161">
              <w:rPr>
                <w:b/>
              </w:rPr>
              <w:t>rs</w:t>
            </w:r>
          </w:p>
        </w:tc>
        <w:tc>
          <w:tcPr>
            <w:tcW w:w="1913" w:type="dxa"/>
            <w:vMerge w:val="restart"/>
            <w:shd w:val="clear" w:color="auto" w:fill="BFBFBF" w:themeFill="background1" w:themeFillShade="BF"/>
          </w:tcPr>
          <w:p w:rsidR="0075777C" w:rsidRPr="00757507" w:rsidRDefault="0075777C" w:rsidP="00575ECF">
            <w:pPr>
              <w:pStyle w:val="Tabletext"/>
              <w:rPr>
                <w:b/>
              </w:rPr>
            </w:pPr>
            <w:r w:rsidRPr="00757507">
              <w:rPr>
                <w:rFonts w:asciiTheme="minorHAnsi" w:hAnsiTheme="minorHAnsi"/>
                <w:b/>
              </w:rPr>
              <w:t>Mean difference</w:t>
            </w:r>
            <w:r w:rsidRPr="00757507">
              <w:rPr>
                <w:b/>
              </w:rPr>
              <w:t xml:space="preserve">, </w:t>
            </w:r>
            <w:r w:rsidR="00EC2524" w:rsidRPr="00887161">
              <w:rPr>
                <w:b/>
              </w:rPr>
              <w:t>met</w:t>
            </w:r>
            <w:r w:rsidR="00EC2524">
              <w:rPr>
                <w:b/>
              </w:rPr>
              <w:t>e</w:t>
            </w:r>
            <w:r w:rsidR="00EC2524" w:rsidRPr="00887161">
              <w:rPr>
                <w:b/>
              </w:rPr>
              <w:t>rs</w:t>
            </w:r>
          </w:p>
        </w:tc>
      </w:tr>
      <w:tr w:rsidR="0075777C" w:rsidTr="00302512">
        <w:tc>
          <w:tcPr>
            <w:tcW w:w="1413" w:type="dxa"/>
            <w:vMerge/>
          </w:tcPr>
          <w:p w:rsidR="0075777C" w:rsidRDefault="0075777C" w:rsidP="00757507">
            <w:pPr>
              <w:pStyle w:val="Tabletext"/>
            </w:pPr>
          </w:p>
        </w:tc>
        <w:tc>
          <w:tcPr>
            <w:tcW w:w="1418" w:type="dxa"/>
            <w:vMerge/>
          </w:tcPr>
          <w:p w:rsidR="0075777C" w:rsidRDefault="0075777C" w:rsidP="00757507">
            <w:pPr>
              <w:pStyle w:val="Tabletext"/>
            </w:pPr>
          </w:p>
        </w:tc>
        <w:tc>
          <w:tcPr>
            <w:tcW w:w="1133"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PDE-5i + ERA</w:t>
            </w:r>
          </w:p>
        </w:tc>
        <w:tc>
          <w:tcPr>
            <w:tcW w:w="1205"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ERA</w:t>
            </w:r>
          </w:p>
        </w:tc>
        <w:tc>
          <w:tcPr>
            <w:tcW w:w="1276"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PDE-5i + ERA</w:t>
            </w:r>
          </w:p>
        </w:tc>
        <w:tc>
          <w:tcPr>
            <w:tcW w:w="1276"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ERA</w:t>
            </w:r>
          </w:p>
        </w:tc>
        <w:tc>
          <w:tcPr>
            <w:tcW w:w="1913" w:type="dxa"/>
            <w:vMerge/>
          </w:tcPr>
          <w:p w:rsidR="0075777C" w:rsidRDefault="0075777C" w:rsidP="00757507">
            <w:pPr>
              <w:pStyle w:val="Tabletext"/>
            </w:pPr>
          </w:p>
        </w:tc>
      </w:tr>
      <w:tr w:rsidR="0075777C" w:rsidTr="00302512">
        <w:tc>
          <w:tcPr>
            <w:tcW w:w="1413" w:type="dxa"/>
          </w:tcPr>
          <w:p w:rsidR="0075777C" w:rsidRPr="00757507" w:rsidRDefault="0075777C" w:rsidP="00757507">
            <w:pPr>
              <w:pStyle w:val="Tabletext"/>
            </w:pPr>
            <w:r w:rsidRPr="00757507">
              <w:t>PHIRST</w:t>
            </w:r>
          </w:p>
          <w:p w:rsidR="0075777C" w:rsidRPr="00757507" w:rsidRDefault="0075777C" w:rsidP="00757507">
            <w:pPr>
              <w:pStyle w:val="Tabletext"/>
            </w:pPr>
            <w:r w:rsidRPr="00757507">
              <w:t>Barst et al (2011)</w:t>
            </w:r>
            <w:r w:rsidR="001D34EE">
              <w:rPr>
                <w:noProof/>
                <w:vertAlign w:val="superscript"/>
              </w:rPr>
              <w:t>45</w:t>
            </w:r>
          </w:p>
          <w:p w:rsidR="0075777C" w:rsidRPr="00757507" w:rsidRDefault="0075777C" w:rsidP="00757507">
            <w:pPr>
              <w:pStyle w:val="Tabletext"/>
            </w:pPr>
            <w:r w:rsidRPr="00757507">
              <w:t>Tadalafil/ bosentan</w:t>
            </w:r>
          </w:p>
        </w:tc>
        <w:tc>
          <w:tcPr>
            <w:tcW w:w="1418" w:type="dxa"/>
          </w:tcPr>
          <w:p w:rsidR="0075777C" w:rsidRPr="00757507" w:rsidRDefault="0075777C" w:rsidP="00757507">
            <w:pPr>
              <w:pStyle w:val="Tabletext"/>
            </w:pPr>
            <w:r w:rsidRPr="00757507">
              <w:t>16 weeks</w:t>
            </w:r>
          </w:p>
          <w:p w:rsidR="0075777C" w:rsidRPr="00757507" w:rsidRDefault="00302512" w:rsidP="00757507">
            <w:pPr>
              <w:pStyle w:val="Tabletext"/>
            </w:pPr>
            <w:r>
              <w:t>I</w:t>
            </w:r>
            <w:r w:rsidR="0075777C" w:rsidRPr="00757507">
              <w:t>PAH</w:t>
            </w:r>
            <w:r>
              <w:t>/HPAH</w:t>
            </w:r>
            <w:r w:rsidR="004C1FAC">
              <w:t xml:space="preserve"> </w:t>
            </w:r>
            <w:r w:rsidR="0075777C" w:rsidRPr="00757507">
              <w:t>(N=53)</w:t>
            </w:r>
          </w:p>
          <w:p w:rsidR="0075777C" w:rsidRPr="00757507" w:rsidRDefault="0075777C" w:rsidP="004C1FAC">
            <w:pPr>
              <w:pStyle w:val="Tabletext"/>
            </w:pPr>
            <w:r w:rsidRPr="00757507">
              <w:t>PAH-CTD</w:t>
            </w:r>
            <w:r w:rsidR="004C1FAC">
              <w:t xml:space="preserve"> </w:t>
            </w:r>
            <w:r w:rsidRPr="00757507">
              <w:t>(N=17)</w:t>
            </w:r>
          </w:p>
        </w:tc>
        <w:tc>
          <w:tcPr>
            <w:tcW w:w="1133" w:type="dxa"/>
          </w:tcPr>
          <w:p w:rsidR="0075777C" w:rsidRPr="00757507" w:rsidRDefault="0075777C" w:rsidP="00757507">
            <w:pPr>
              <w:pStyle w:val="Tabletext"/>
              <w:jc w:val="center"/>
            </w:pPr>
          </w:p>
          <w:p w:rsidR="0075777C" w:rsidRPr="00757507" w:rsidRDefault="0075777C" w:rsidP="00757507">
            <w:pPr>
              <w:pStyle w:val="Tabletext"/>
              <w:jc w:val="center"/>
            </w:pPr>
            <w:r w:rsidRPr="00757507">
              <w:t>NR</w:t>
            </w:r>
          </w:p>
          <w:p w:rsidR="0075777C" w:rsidRPr="00757507" w:rsidRDefault="0075777C" w:rsidP="00757507">
            <w:pPr>
              <w:pStyle w:val="Tabletext"/>
              <w:jc w:val="center"/>
            </w:pPr>
            <w:r w:rsidRPr="00757507">
              <w:t>NR</w:t>
            </w:r>
          </w:p>
        </w:tc>
        <w:tc>
          <w:tcPr>
            <w:tcW w:w="1205" w:type="dxa"/>
          </w:tcPr>
          <w:p w:rsidR="0075777C" w:rsidRPr="00757507" w:rsidRDefault="0075777C" w:rsidP="00757507">
            <w:pPr>
              <w:pStyle w:val="Tabletext"/>
              <w:jc w:val="center"/>
            </w:pPr>
          </w:p>
          <w:p w:rsidR="0075777C" w:rsidRPr="00757507" w:rsidRDefault="0075777C" w:rsidP="00757507">
            <w:pPr>
              <w:pStyle w:val="Tabletext"/>
              <w:jc w:val="center"/>
            </w:pPr>
            <w:r w:rsidRPr="00757507">
              <w:t>NR</w:t>
            </w:r>
          </w:p>
          <w:p w:rsidR="0075777C" w:rsidRPr="00757507" w:rsidRDefault="0075777C" w:rsidP="00757507">
            <w:pPr>
              <w:pStyle w:val="Tabletext"/>
              <w:jc w:val="center"/>
            </w:pPr>
            <w:r w:rsidRPr="00757507">
              <w:t>NR</w:t>
            </w:r>
          </w:p>
        </w:tc>
        <w:tc>
          <w:tcPr>
            <w:tcW w:w="1276" w:type="dxa"/>
          </w:tcPr>
          <w:p w:rsidR="0075777C" w:rsidRPr="00757507" w:rsidRDefault="0075777C" w:rsidP="00757507">
            <w:pPr>
              <w:pStyle w:val="Tabletext"/>
              <w:jc w:val="center"/>
            </w:pPr>
          </w:p>
          <w:p w:rsidR="0075777C" w:rsidRPr="00757507" w:rsidRDefault="0075777C" w:rsidP="00757507">
            <w:pPr>
              <w:pStyle w:val="Tabletext"/>
              <w:jc w:val="center"/>
            </w:pPr>
            <w:r w:rsidRPr="00757507">
              <w:t>32.1 (7.4, 56.0)</w:t>
            </w:r>
          </w:p>
          <w:p w:rsidR="0075777C" w:rsidRPr="00757507" w:rsidRDefault="0075777C" w:rsidP="00757507">
            <w:pPr>
              <w:pStyle w:val="Tabletext"/>
              <w:jc w:val="center"/>
            </w:pPr>
            <w:r w:rsidRPr="00757507">
              <w:t>22.0 (−8.0, 70.9)</w:t>
            </w:r>
          </w:p>
        </w:tc>
        <w:tc>
          <w:tcPr>
            <w:tcW w:w="1276" w:type="dxa"/>
          </w:tcPr>
          <w:p w:rsidR="0075777C" w:rsidRPr="00757507" w:rsidRDefault="0075777C" w:rsidP="00757507">
            <w:pPr>
              <w:pStyle w:val="Tabletext"/>
              <w:jc w:val="center"/>
            </w:pPr>
          </w:p>
          <w:p w:rsidR="0075777C" w:rsidRPr="00757507" w:rsidRDefault="0075777C" w:rsidP="00757507">
            <w:pPr>
              <w:pStyle w:val="Tabletext"/>
              <w:jc w:val="center"/>
            </w:pPr>
            <w:r w:rsidRPr="00757507">
              <w:t>23.5 (−1.6, 46.1)</w:t>
            </w:r>
          </w:p>
          <w:p w:rsidR="0075777C" w:rsidRPr="00757507" w:rsidRDefault="0075777C" w:rsidP="00757507">
            <w:pPr>
              <w:pStyle w:val="Tabletext"/>
              <w:jc w:val="center"/>
            </w:pPr>
            <w:r w:rsidRPr="00757507">
              <w:t>1.3 (−49.6, 40.0)</w:t>
            </w:r>
          </w:p>
        </w:tc>
        <w:tc>
          <w:tcPr>
            <w:tcW w:w="1913" w:type="dxa"/>
          </w:tcPr>
          <w:p w:rsidR="0075777C" w:rsidRPr="00757507" w:rsidRDefault="0075777C" w:rsidP="00757507">
            <w:pPr>
              <w:pStyle w:val="Tabletext"/>
            </w:pPr>
          </w:p>
          <w:p w:rsidR="0075777C" w:rsidRPr="00757507" w:rsidRDefault="0075777C" w:rsidP="00757507">
            <w:pPr>
              <w:pStyle w:val="Tabletext"/>
            </w:pPr>
            <w:r w:rsidRPr="00757507">
              <w:t>8.6</w:t>
            </w:r>
          </w:p>
          <w:p w:rsidR="0075777C" w:rsidRPr="00757507" w:rsidRDefault="0075777C" w:rsidP="00757507">
            <w:pPr>
              <w:pStyle w:val="Tabletext"/>
            </w:pPr>
            <w:r w:rsidRPr="00757507">
              <w:t>20.7</w:t>
            </w:r>
          </w:p>
        </w:tc>
      </w:tr>
      <w:tr w:rsidR="0075777C" w:rsidTr="00302512">
        <w:tc>
          <w:tcPr>
            <w:tcW w:w="1413" w:type="dxa"/>
          </w:tcPr>
          <w:p w:rsidR="0075777C" w:rsidRPr="00757507" w:rsidRDefault="0075777C" w:rsidP="00757507">
            <w:pPr>
              <w:pStyle w:val="Tabletext"/>
            </w:pPr>
            <w:r w:rsidRPr="00757507">
              <w:t>Vizza 2017</w:t>
            </w:r>
            <w:r w:rsidR="001D34EE">
              <w:rPr>
                <w:noProof/>
                <w:vertAlign w:val="superscript"/>
              </w:rPr>
              <w:t>49</w:t>
            </w:r>
          </w:p>
          <w:p w:rsidR="0075777C" w:rsidRPr="00757507" w:rsidRDefault="0075777C" w:rsidP="00757507">
            <w:pPr>
              <w:pStyle w:val="Tabletext"/>
            </w:pPr>
            <w:r w:rsidRPr="00757507">
              <w:t>Sildenafil/ bosentan</w:t>
            </w:r>
          </w:p>
        </w:tc>
        <w:tc>
          <w:tcPr>
            <w:tcW w:w="1418" w:type="dxa"/>
          </w:tcPr>
          <w:p w:rsidR="0075777C" w:rsidRPr="00757507" w:rsidRDefault="0075777C" w:rsidP="00757507">
            <w:pPr>
              <w:pStyle w:val="Tabletext"/>
            </w:pPr>
            <w:r w:rsidRPr="00757507">
              <w:t>12 weeks</w:t>
            </w:r>
          </w:p>
          <w:p w:rsidR="0075777C" w:rsidRPr="00757507" w:rsidRDefault="00302512" w:rsidP="00757507">
            <w:pPr>
              <w:pStyle w:val="Tabletext"/>
            </w:pPr>
            <w:r>
              <w:t>I</w:t>
            </w:r>
            <w:r w:rsidRPr="00757507">
              <w:t>PAH</w:t>
            </w:r>
            <w:r>
              <w:t xml:space="preserve">/HPAH </w:t>
            </w:r>
            <w:r w:rsidR="0075777C" w:rsidRPr="00757507">
              <w:t>(n=67)</w:t>
            </w:r>
          </w:p>
          <w:p w:rsidR="0075777C" w:rsidRPr="00757507" w:rsidRDefault="0075777C" w:rsidP="00757507">
            <w:pPr>
              <w:pStyle w:val="Tabletext"/>
            </w:pPr>
            <w:r w:rsidRPr="00757507">
              <w:t>PAH-CTD (n=35)</w:t>
            </w:r>
          </w:p>
        </w:tc>
        <w:tc>
          <w:tcPr>
            <w:tcW w:w="1133" w:type="dxa"/>
          </w:tcPr>
          <w:p w:rsidR="0075777C" w:rsidRPr="00757507" w:rsidRDefault="0075777C" w:rsidP="00757507">
            <w:pPr>
              <w:pStyle w:val="Tabletext"/>
              <w:jc w:val="center"/>
            </w:pPr>
          </w:p>
          <w:p w:rsidR="0075777C" w:rsidRPr="00757507" w:rsidRDefault="0075777C" w:rsidP="00757507">
            <w:pPr>
              <w:pStyle w:val="Tabletext"/>
              <w:jc w:val="center"/>
            </w:pPr>
            <w:r w:rsidRPr="00757507">
              <w:t>NR</w:t>
            </w:r>
          </w:p>
          <w:p w:rsidR="0075777C" w:rsidRPr="00757507" w:rsidRDefault="0075777C" w:rsidP="00757507">
            <w:pPr>
              <w:pStyle w:val="Tabletext"/>
              <w:jc w:val="center"/>
            </w:pPr>
            <w:r w:rsidRPr="00757507">
              <w:t>NR</w:t>
            </w:r>
          </w:p>
        </w:tc>
        <w:tc>
          <w:tcPr>
            <w:tcW w:w="1205" w:type="dxa"/>
          </w:tcPr>
          <w:p w:rsidR="0075777C" w:rsidRPr="00757507" w:rsidRDefault="0075777C" w:rsidP="00757507">
            <w:pPr>
              <w:pStyle w:val="Tabletext"/>
              <w:jc w:val="center"/>
            </w:pPr>
          </w:p>
          <w:p w:rsidR="0075777C" w:rsidRPr="00757507" w:rsidRDefault="0075777C" w:rsidP="00757507">
            <w:pPr>
              <w:pStyle w:val="Tabletext"/>
              <w:jc w:val="center"/>
            </w:pPr>
            <w:r w:rsidRPr="00757507">
              <w:t>NR</w:t>
            </w:r>
          </w:p>
          <w:p w:rsidR="0075777C" w:rsidRPr="00757507" w:rsidRDefault="0075777C" w:rsidP="00757507">
            <w:pPr>
              <w:pStyle w:val="Tabletext"/>
              <w:jc w:val="center"/>
            </w:pPr>
            <w:r w:rsidRPr="00757507">
              <w:t>NR</w:t>
            </w:r>
          </w:p>
        </w:tc>
        <w:tc>
          <w:tcPr>
            <w:tcW w:w="1276" w:type="dxa"/>
          </w:tcPr>
          <w:p w:rsidR="0075777C" w:rsidRPr="00757507" w:rsidRDefault="0075777C" w:rsidP="00757507">
            <w:pPr>
              <w:pStyle w:val="Tabletext"/>
              <w:jc w:val="center"/>
            </w:pPr>
          </w:p>
          <w:p w:rsidR="0075777C" w:rsidRPr="00757507" w:rsidRDefault="0075777C" w:rsidP="00757507">
            <w:pPr>
              <w:pStyle w:val="Tabletext"/>
              <w:jc w:val="center"/>
            </w:pPr>
            <w:r w:rsidRPr="00757507">
              <w:t>NR</w:t>
            </w:r>
          </w:p>
          <w:p w:rsidR="0075777C" w:rsidRPr="00757507" w:rsidRDefault="0075777C" w:rsidP="00757507">
            <w:pPr>
              <w:pStyle w:val="Tabletext"/>
              <w:jc w:val="center"/>
            </w:pPr>
            <w:r w:rsidRPr="00757507">
              <w:t>NR</w:t>
            </w:r>
          </w:p>
        </w:tc>
        <w:tc>
          <w:tcPr>
            <w:tcW w:w="1276" w:type="dxa"/>
          </w:tcPr>
          <w:p w:rsidR="0075777C" w:rsidRPr="00757507" w:rsidRDefault="0075777C" w:rsidP="00757507">
            <w:pPr>
              <w:pStyle w:val="Tabletext"/>
              <w:jc w:val="center"/>
            </w:pPr>
          </w:p>
          <w:p w:rsidR="0075777C" w:rsidRPr="00757507" w:rsidRDefault="0075777C" w:rsidP="00757507">
            <w:pPr>
              <w:pStyle w:val="Tabletext"/>
              <w:jc w:val="center"/>
            </w:pPr>
            <w:r w:rsidRPr="00757507">
              <w:t>NR</w:t>
            </w:r>
          </w:p>
          <w:p w:rsidR="0075777C" w:rsidRPr="00757507" w:rsidRDefault="0075777C" w:rsidP="00757507">
            <w:pPr>
              <w:pStyle w:val="Tabletext"/>
              <w:jc w:val="center"/>
            </w:pPr>
            <w:r w:rsidRPr="00757507">
              <w:t>NR</w:t>
            </w:r>
          </w:p>
        </w:tc>
        <w:tc>
          <w:tcPr>
            <w:tcW w:w="1913" w:type="dxa"/>
          </w:tcPr>
          <w:p w:rsidR="0075777C" w:rsidRPr="00757507" w:rsidRDefault="0075777C" w:rsidP="00757507">
            <w:pPr>
              <w:pStyle w:val="Tabletext"/>
            </w:pPr>
          </w:p>
          <w:p w:rsidR="0075777C" w:rsidRPr="00757507" w:rsidRDefault="0075777C" w:rsidP="00757507">
            <w:pPr>
              <w:pStyle w:val="Tabletext"/>
            </w:pPr>
            <w:r w:rsidRPr="00757507">
              <w:t>13.6 (90% CI −10.0, 37.1)</w:t>
            </w:r>
          </w:p>
          <w:p w:rsidR="0075777C" w:rsidRPr="00757507" w:rsidRDefault="0075777C" w:rsidP="00757507">
            <w:pPr>
              <w:pStyle w:val="Tabletext"/>
            </w:pPr>
            <w:r w:rsidRPr="00757507">
              <w:t>−34.1 (90% CI −67.4, −0.8)</w:t>
            </w:r>
          </w:p>
        </w:tc>
      </w:tr>
    </w:tbl>
    <w:p w:rsidR="0075777C" w:rsidRDefault="0075777C" w:rsidP="00757507">
      <w:pPr>
        <w:pStyle w:val="Tablenote"/>
      </w:pPr>
      <w:r w:rsidRPr="00822C52">
        <w:t xml:space="preserve">6MWD = 6-minute </w:t>
      </w:r>
      <w:r w:rsidR="0082368E">
        <w:t>walk distance</w:t>
      </w:r>
      <w:r w:rsidRPr="00822C52">
        <w:t xml:space="preserve">; CI = confidence interval; ERA = endothelin receptor antagonist; </w:t>
      </w:r>
      <w:r w:rsidR="00302512">
        <w:t>HPAH =</w:t>
      </w:r>
      <w:r w:rsidR="00302512" w:rsidRPr="00822C52">
        <w:t xml:space="preserve"> heritable</w:t>
      </w:r>
      <w:r w:rsidR="00302512">
        <w:t xml:space="preserve"> PAH; </w:t>
      </w:r>
      <w:r w:rsidRPr="00822C52">
        <w:t>I</w:t>
      </w:r>
      <w:r w:rsidR="00774E89">
        <w:t>PAH</w:t>
      </w:r>
      <w:r w:rsidRPr="00822C52">
        <w:t xml:space="preserve"> = idiopathic </w:t>
      </w:r>
      <w:r w:rsidR="00774E89">
        <w:t>PAH</w:t>
      </w:r>
      <w:r w:rsidRPr="00822C52">
        <w:t xml:space="preserve">; NR = not reported; PAH = pulmonary arterial hypertension; </w:t>
      </w:r>
      <w:r w:rsidR="00774E89">
        <w:t>PAH-</w:t>
      </w:r>
      <w:r w:rsidR="00774E89" w:rsidRPr="00822C52">
        <w:t xml:space="preserve">CTD = </w:t>
      </w:r>
      <w:r w:rsidR="00774E89">
        <w:t xml:space="preserve">PAH associated with </w:t>
      </w:r>
      <w:r w:rsidR="00774E89" w:rsidRPr="00822C52">
        <w:t xml:space="preserve">connective tissue disease; </w:t>
      </w:r>
      <w:r>
        <w:t>PDE-5i</w:t>
      </w:r>
      <w:r w:rsidRPr="00822C52">
        <w:t xml:space="preserve"> = phosphodiesterase type-5 inhibitor</w:t>
      </w:r>
    </w:p>
    <w:p w:rsidR="0075777C" w:rsidRDefault="0075777C" w:rsidP="00757507">
      <w:pPr>
        <w:spacing w:after="40" w:line="240" w:lineRule="auto"/>
        <w:jc w:val="center"/>
      </w:pPr>
      <w:r>
        <w:rPr>
          <w:noProof/>
          <w:lang w:eastAsia="en-AU"/>
        </w:rPr>
        <w:drawing>
          <wp:inline distT="0" distB="0" distL="0" distR="0" wp14:anchorId="400780FF" wp14:editId="7AEC9AAA">
            <wp:extent cx="3864792" cy="2108579"/>
            <wp:effectExtent l="0" t="0" r="0" b="6350"/>
            <wp:docPr id="49" name="Picture 49" descr="Results showed that patients with PAH-CTD receiving combination therapy had a decreased 6MWD, compared to an increased 6MWD in those receiving monotherapy. However, patients with IPAH/HPAH receiving combination therapy had a greater improvement in 6MWD than those receiving monotherapy." title="Mean (±SE) change from baseline to week 12 in 6MWD by PAH aet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22606" cy="2140122"/>
                    </a:xfrm>
                    <a:prstGeom prst="rect">
                      <a:avLst/>
                    </a:prstGeom>
                    <a:noFill/>
                  </pic:spPr>
                </pic:pic>
              </a:graphicData>
            </a:graphic>
          </wp:inline>
        </w:drawing>
      </w:r>
    </w:p>
    <w:p w:rsidR="0075777C" w:rsidRPr="00795577" w:rsidRDefault="00757507" w:rsidP="00BC5A2B">
      <w:pPr>
        <w:pStyle w:val="Caption"/>
        <w:rPr>
          <w:rFonts w:ascii="Arial Narrow" w:hAnsi="Arial Narrow" w:cs="Tahoma"/>
          <w:u w:val="single"/>
        </w:rPr>
      </w:pPr>
      <w:bookmarkStart w:id="219" w:name="_Ref506304622"/>
      <w:bookmarkStart w:id="220" w:name="_Toc512855592"/>
      <w:r>
        <w:t>Figure 4.</w:t>
      </w:r>
      <w:r w:rsidR="00AA722D">
        <w:rPr>
          <w:noProof/>
        </w:rPr>
        <w:t>19</w:t>
      </w:r>
      <w:bookmarkEnd w:id="219"/>
      <w:r>
        <w:tab/>
      </w:r>
      <w:r w:rsidR="0075777C">
        <w:t>Mean (±SE) change from baseline to week 12 in 6MWD by PAH aetiology</w:t>
      </w:r>
      <w:bookmarkEnd w:id="220"/>
    </w:p>
    <w:p w:rsidR="0075777C" w:rsidRDefault="0075777C" w:rsidP="00757507">
      <w:pPr>
        <w:pStyle w:val="Tablenote"/>
      </w:pPr>
      <w:r>
        <w:t xml:space="preserve">6MWD = 6-minute </w:t>
      </w:r>
      <w:r w:rsidR="0082368E">
        <w:t>walk distance</w:t>
      </w:r>
      <w:r>
        <w:t xml:space="preserve">; </w:t>
      </w:r>
      <w:r w:rsidRPr="00795577">
        <w:t>CI = confidence interval; ERA =</w:t>
      </w:r>
      <w:r>
        <w:t xml:space="preserve"> </w:t>
      </w:r>
      <w:r w:rsidR="0006512A">
        <w:t>endothelin receptor</w:t>
      </w:r>
      <w:r>
        <w:t xml:space="preserve"> antagonist</w:t>
      </w:r>
      <w:r w:rsidRPr="00795577">
        <w:t xml:space="preserve">; </w:t>
      </w:r>
      <w:r>
        <w:t xml:space="preserve">HPAH = heritable </w:t>
      </w:r>
      <w:r w:rsidR="00774E89">
        <w:t>PAH</w:t>
      </w:r>
      <w:r>
        <w:t xml:space="preserve">; IPAH = idiopathic </w:t>
      </w:r>
      <w:r w:rsidR="00774E89">
        <w:t>PAH</w:t>
      </w:r>
      <w:r>
        <w:t>; LS = least square; n</w:t>
      </w:r>
      <w:r w:rsidRPr="00795577">
        <w:t xml:space="preserve"> = number of patients; </w:t>
      </w:r>
      <w:r w:rsidRPr="00C83BF7">
        <w:t>PAH</w:t>
      </w:r>
      <w:r>
        <w:t xml:space="preserve"> = p</w:t>
      </w:r>
      <w:r w:rsidRPr="00C83BF7">
        <w:t xml:space="preserve">ulmonary </w:t>
      </w:r>
      <w:r>
        <w:t>a</w:t>
      </w:r>
      <w:r w:rsidRPr="00C83BF7">
        <w:t xml:space="preserve">rterial </w:t>
      </w:r>
      <w:r>
        <w:t>h</w:t>
      </w:r>
      <w:r w:rsidRPr="00C83BF7">
        <w:t>ypertension</w:t>
      </w:r>
      <w:r w:rsidR="00774E89">
        <w:t>; PAH-CTD =</w:t>
      </w:r>
      <w:r w:rsidRPr="00C83BF7">
        <w:t xml:space="preserve"> </w:t>
      </w:r>
      <w:r w:rsidR="00774E89">
        <w:t xml:space="preserve">PAH </w:t>
      </w:r>
      <w:r w:rsidRPr="00C83BF7">
        <w:t xml:space="preserve">associated with </w:t>
      </w:r>
      <w:r>
        <w:t>c</w:t>
      </w:r>
      <w:r w:rsidRPr="00C83BF7">
        <w:t xml:space="preserve">onnective </w:t>
      </w:r>
      <w:r>
        <w:t>t</w:t>
      </w:r>
      <w:r w:rsidRPr="00C83BF7">
        <w:t xml:space="preserve">issue </w:t>
      </w:r>
      <w:r>
        <w:t>d</w:t>
      </w:r>
      <w:r w:rsidRPr="00C83BF7">
        <w:t>isease</w:t>
      </w:r>
      <w:r w:rsidR="00575ECF">
        <w:t>; SE = standard error</w:t>
      </w:r>
    </w:p>
    <w:p w:rsidR="00AD3645" w:rsidRDefault="00AD3645" w:rsidP="00757507">
      <w:pPr>
        <w:pStyle w:val="Tablenote"/>
      </w:pPr>
      <w:r>
        <w:t>Source: Vizza et al (2017)</w:t>
      </w:r>
      <w:r w:rsidR="001D34EE" w:rsidRPr="001A1C44">
        <w:rPr>
          <w:noProof/>
          <w:vertAlign w:val="superscript"/>
        </w:rPr>
        <w:t>49</w:t>
      </w:r>
    </w:p>
    <w:p w:rsidR="0075777C" w:rsidRDefault="007B6C7C" w:rsidP="0075777C">
      <w:pPr>
        <w:pStyle w:val="Heading5"/>
      </w:pPr>
      <w:r>
        <w:lastRenderedPageBreak/>
        <w:t>f.</w:t>
      </w:r>
      <w:r>
        <w:tab/>
        <w:t>Change in QoL from baseline</w:t>
      </w:r>
    </w:p>
    <w:p w:rsidR="0075777C" w:rsidRPr="00822C52" w:rsidRDefault="0075777C" w:rsidP="0075777C">
      <w:r w:rsidRPr="008320AC">
        <w:t xml:space="preserve">None of the RCTs reported on the </w:t>
      </w:r>
      <w:r>
        <w:t>change in QoL for patients treated with a PDE-5 inhibitor and an ERA compared with those treated with an ERA alone.</w:t>
      </w:r>
    </w:p>
    <w:p w:rsidR="007B6C7C" w:rsidRPr="006316DF" w:rsidRDefault="007B6C7C" w:rsidP="007B6C7C">
      <w:pPr>
        <w:pStyle w:val="Heading5"/>
      </w:pPr>
      <w:r>
        <w:t>g.</w:t>
      </w:r>
      <w:r>
        <w:tab/>
      </w:r>
      <w:r w:rsidRPr="006316DF">
        <w:t xml:space="preserve">Change in </w:t>
      </w:r>
      <w:r>
        <w:t>haemodynamic parameters</w:t>
      </w:r>
      <w:r w:rsidRPr="006316DF">
        <w:t xml:space="preserve"> from baseline</w:t>
      </w:r>
    </w:p>
    <w:p w:rsidR="007B6C7C" w:rsidRPr="00B607A5" w:rsidRDefault="007B6C7C" w:rsidP="007B6C7C">
      <w:pPr>
        <w:pStyle w:val="Heading6"/>
      </w:pPr>
      <w:r w:rsidRPr="00B607A5">
        <w:t>g.i</w:t>
      </w:r>
      <w:r w:rsidRPr="00B607A5">
        <w:tab/>
        <w:t>PAH patients, irrespective of disease severity or aetiology</w:t>
      </w:r>
    </w:p>
    <w:p w:rsidR="007B6C7C" w:rsidRDefault="007B6C7C" w:rsidP="007B6C7C">
      <w:r>
        <w:t>The Zhuang 2014 study reported the change in PVR and mPAP over the 16-week study period (</w:t>
      </w:r>
      <w:r w:rsidR="00AA722D">
        <w:t>Table 4.</w:t>
      </w:r>
      <w:r w:rsidR="00AA722D">
        <w:rPr>
          <w:noProof/>
        </w:rPr>
        <w:t>69</w:t>
      </w:r>
      <w:r>
        <w:t>). In this study, patients receiving combination therapy showed twice the improvement compared to those in the monotherapy group, but this difference was not statistical significance and is unlikely to be clinically important.</w:t>
      </w:r>
    </w:p>
    <w:p w:rsidR="007B6C7C" w:rsidRDefault="007B6C7C" w:rsidP="007B6C7C">
      <w:pPr>
        <w:pStyle w:val="Caption"/>
      </w:pPr>
      <w:bookmarkStart w:id="221" w:name="_Ref505354707"/>
      <w:bookmarkStart w:id="222" w:name="_Toc512855473"/>
      <w:r>
        <w:t>Table 4.</w:t>
      </w:r>
      <w:r w:rsidR="00AA722D">
        <w:rPr>
          <w:noProof/>
        </w:rPr>
        <w:t>69</w:t>
      </w:r>
      <w:bookmarkEnd w:id="221"/>
      <w:r>
        <w:tab/>
      </w:r>
      <w:r w:rsidRPr="006316DF">
        <w:t xml:space="preserve">The effectiveness of </w:t>
      </w:r>
      <w:r w:rsidR="00385078">
        <w:t xml:space="preserve">a </w:t>
      </w:r>
      <w:r w:rsidR="00385078" w:rsidRPr="00DD7790">
        <w:t>PDE-5 inhibitor</w:t>
      </w:r>
      <w:r w:rsidR="00385078">
        <w:t xml:space="preserve"> in addition to an</w:t>
      </w:r>
      <w:r w:rsidR="00385078" w:rsidRPr="00DD7790">
        <w:t xml:space="preserve"> ERA compared with ERA</w:t>
      </w:r>
      <w:r w:rsidR="00385078">
        <w:t xml:space="preserve"> monotherapy</w:t>
      </w:r>
      <w:r w:rsidR="00385078" w:rsidRPr="006316DF">
        <w:t xml:space="preserve"> </w:t>
      </w:r>
      <w:r w:rsidRPr="006316DF">
        <w:t xml:space="preserve">in improving </w:t>
      </w:r>
      <w:r>
        <w:t>haemodynamic parameters</w:t>
      </w:r>
      <w:r w:rsidRPr="00B642BB">
        <w:t xml:space="preserve"> in </w:t>
      </w:r>
      <w:r>
        <w:t>all PAH patients</w:t>
      </w:r>
      <w:bookmarkEnd w:id="222"/>
    </w:p>
    <w:tbl>
      <w:tblPr>
        <w:tblStyle w:val="TableGrid"/>
        <w:tblW w:w="9776" w:type="dxa"/>
        <w:tblLayout w:type="fixed"/>
        <w:tblLook w:val="04A0" w:firstRow="1" w:lastRow="0" w:firstColumn="1" w:lastColumn="0" w:noHBand="0" w:noVBand="1"/>
        <w:tblCaption w:val="The effectiveness of a PDE-5 inhibitor in addition to an ERA compared with ERA monotherapy in improving haemodynamic parameters in all PAH patients"/>
      </w:tblPr>
      <w:tblGrid>
        <w:gridCol w:w="1475"/>
        <w:gridCol w:w="1639"/>
        <w:gridCol w:w="1382"/>
        <w:gridCol w:w="1382"/>
        <w:gridCol w:w="1382"/>
        <w:gridCol w:w="1382"/>
        <w:gridCol w:w="1134"/>
      </w:tblGrid>
      <w:tr w:rsidR="007B6C7C" w:rsidTr="00C8682A">
        <w:trPr>
          <w:cnfStyle w:val="100000000000" w:firstRow="1" w:lastRow="0" w:firstColumn="0" w:lastColumn="0" w:oddVBand="0" w:evenVBand="0" w:oddHBand="0" w:evenHBand="0" w:firstRowFirstColumn="0" w:firstRowLastColumn="0" w:lastRowFirstColumn="0" w:lastRowLastColumn="0"/>
        </w:trPr>
        <w:tc>
          <w:tcPr>
            <w:tcW w:w="1475" w:type="dxa"/>
            <w:vMerge w:val="restart"/>
            <w:shd w:val="clear" w:color="auto" w:fill="BFBFBF" w:themeFill="background1" w:themeFillShade="BF"/>
          </w:tcPr>
          <w:p w:rsidR="007B6C7C" w:rsidRPr="00757507" w:rsidRDefault="007B6C7C" w:rsidP="007B6C7C">
            <w:pPr>
              <w:pStyle w:val="Tabletext"/>
              <w:rPr>
                <w:b/>
              </w:rPr>
            </w:pPr>
            <w:r w:rsidRPr="00757507">
              <w:rPr>
                <w:b/>
              </w:rPr>
              <w:t>Study ID</w:t>
            </w:r>
          </w:p>
          <w:p w:rsidR="007B6C7C" w:rsidRPr="00757507" w:rsidRDefault="001A599C" w:rsidP="007B6C7C">
            <w:pPr>
              <w:pStyle w:val="Tabletext"/>
              <w:rPr>
                <w:b/>
              </w:rPr>
            </w:pPr>
            <w:r w:rsidRPr="001A599C">
              <w:rPr>
                <w:b/>
              </w:rPr>
              <w:t>PDE-5 inhibitor</w:t>
            </w:r>
            <w:r>
              <w:rPr>
                <w:b/>
              </w:rPr>
              <w:t>/</w:t>
            </w:r>
            <w:r w:rsidR="007B6C7C" w:rsidRPr="00757507">
              <w:rPr>
                <w:b/>
              </w:rPr>
              <w:t>ERA</w:t>
            </w:r>
          </w:p>
          <w:p w:rsidR="007B6C7C" w:rsidRPr="00757507" w:rsidRDefault="007B6C7C" w:rsidP="007B6C7C">
            <w:pPr>
              <w:pStyle w:val="Tabletext"/>
              <w:rPr>
                <w:b/>
              </w:rPr>
            </w:pPr>
            <w:r w:rsidRPr="00757507">
              <w:rPr>
                <w:b/>
              </w:rPr>
              <w:t>Study period</w:t>
            </w:r>
          </w:p>
          <w:p w:rsidR="007B6C7C" w:rsidRPr="00757507" w:rsidRDefault="007B6C7C" w:rsidP="007B6C7C">
            <w:pPr>
              <w:pStyle w:val="Tabletext"/>
              <w:rPr>
                <w:b/>
              </w:rPr>
            </w:pPr>
            <w:r w:rsidRPr="00757507">
              <w:rPr>
                <w:b/>
              </w:rPr>
              <w:t xml:space="preserve">N </w:t>
            </w:r>
          </w:p>
        </w:tc>
        <w:tc>
          <w:tcPr>
            <w:tcW w:w="1639" w:type="dxa"/>
            <w:vMerge w:val="restart"/>
            <w:shd w:val="clear" w:color="auto" w:fill="BFBFBF" w:themeFill="background1" w:themeFillShade="BF"/>
          </w:tcPr>
          <w:p w:rsidR="007B6C7C" w:rsidRPr="00757507" w:rsidRDefault="007B6C7C" w:rsidP="007B6C7C">
            <w:pPr>
              <w:pStyle w:val="Tabletext"/>
              <w:rPr>
                <w:b/>
              </w:rPr>
            </w:pPr>
            <w:r w:rsidRPr="00757507">
              <w:rPr>
                <w:b/>
              </w:rPr>
              <w:t>Haemodynamic parameter</w:t>
            </w:r>
            <w:r w:rsidR="005E70D3" w:rsidRPr="005E70D3">
              <w:rPr>
                <w:b/>
                <w:vertAlign w:val="superscript"/>
              </w:rPr>
              <w:t>a</w:t>
            </w:r>
          </w:p>
        </w:tc>
        <w:tc>
          <w:tcPr>
            <w:tcW w:w="2764" w:type="dxa"/>
            <w:gridSpan w:val="2"/>
            <w:shd w:val="clear" w:color="auto" w:fill="BFBFBF" w:themeFill="background1" w:themeFillShade="BF"/>
          </w:tcPr>
          <w:p w:rsidR="007B6C7C" w:rsidRPr="00757507" w:rsidRDefault="007B6C7C" w:rsidP="007B6C7C">
            <w:pPr>
              <w:pStyle w:val="Tabletext"/>
              <w:jc w:val="center"/>
              <w:rPr>
                <w:b/>
              </w:rPr>
            </w:pPr>
            <w:r w:rsidRPr="00757507">
              <w:rPr>
                <w:b/>
              </w:rPr>
              <w:t>Mean ± SD baseline haemodynamic parameter</w:t>
            </w:r>
            <w:r w:rsidR="00242BA3">
              <w:rPr>
                <w:b/>
              </w:rPr>
              <w:t>s</w:t>
            </w:r>
          </w:p>
        </w:tc>
        <w:tc>
          <w:tcPr>
            <w:tcW w:w="2764" w:type="dxa"/>
            <w:gridSpan w:val="2"/>
            <w:shd w:val="clear" w:color="auto" w:fill="BFBFBF" w:themeFill="background1" w:themeFillShade="BF"/>
          </w:tcPr>
          <w:p w:rsidR="007B6C7C" w:rsidRPr="00757507" w:rsidRDefault="007B6C7C" w:rsidP="007B6C7C">
            <w:pPr>
              <w:pStyle w:val="Tabletext"/>
              <w:jc w:val="center"/>
              <w:rPr>
                <w:b/>
              </w:rPr>
            </w:pPr>
            <w:r w:rsidRPr="00757507">
              <w:rPr>
                <w:b/>
              </w:rPr>
              <w:t xml:space="preserve">Mean ± SD value at 16 weeks </w:t>
            </w:r>
            <w:r w:rsidR="00E6350D">
              <w:rPr>
                <w:b/>
              </w:rPr>
              <w:br/>
              <w:t>(</w:t>
            </w:r>
            <w:r w:rsidRPr="00757507">
              <w:rPr>
                <w:b/>
              </w:rPr>
              <w:t xml:space="preserve">% </w:t>
            </w:r>
            <w:r w:rsidRPr="00C8682A">
              <w:rPr>
                <w:rFonts w:cs="Arial"/>
                <w:b/>
              </w:rPr>
              <w:t>c</w:t>
            </w:r>
            <w:r w:rsidR="00E6350D" w:rsidRPr="00C8682A">
              <w:rPr>
                <w:rFonts w:cs="Arial"/>
                <w:b/>
              </w:rPr>
              <w:t>hange from baseline)</w:t>
            </w:r>
          </w:p>
        </w:tc>
        <w:tc>
          <w:tcPr>
            <w:tcW w:w="1134" w:type="dxa"/>
            <w:vMerge w:val="restart"/>
            <w:shd w:val="clear" w:color="auto" w:fill="BFBFBF" w:themeFill="background1" w:themeFillShade="BF"/>
          </w:tcPr>
          <w:p w:rsidR="007B6C7C" w:rsidRPr="00757507" w:rsidRDefault="007B6C7C" w:rsidP="00575ECF">
            <w:pPr>
              <w:pStyle w:val="Tabletext"/>
              <w:rPr>
                <w:b/>
              </w:rPr>
            </w:pPr>
            <w:r w:rsidRPr="00757507">
              <w:rPr>
                <w:b/>
              </w:rPr>
              <w:t>Mean % d</w:t>
            </w:r>
            <w:r w:rsidRPr="00757507">
              <w:rPr>
                <w:rFonts w:asciiTheme="minorHAnsi" w:hAnsiTheme="minorHAnsi"/>
                <w:b/>
              </w:rPr>
              <w:t>iff</w:t>
            </w:r>
            <w:r w:rsidRPr="00C8682A">
              <w:rPr>
                <w:b/>
              </w:rPr>
              <w:t xml:space="preserve">erence </w:t>
            </w:r>
          </w:p>
        </w:tc>
      </w:tr>
      <w:tr w:rsidR="007B6C7C" w:rsidTr="00C8682A">
        <w:tc>
          <w:tcPr>
            <w:tcW w:w="1475" w:type="dxa"/>
            <w:vMerge/>
          </w:tcPr>
          <w:p w:rsidR="007B6C7C" w:rsidRDefault="007B6C7C" w:rsidP="007B6C7C">
            <w:pPr>
              <w:pStyle w:val="Tabletext"/>
            </w:pPr>
          </w:p>
        </w:tc>
        <w:tc>
          <w:tcPr>
            <w:tcW w:w="1639" w:type="dxa"/>
            <w:vMerge/>
          </w:tcPr>
          <w:p w:rsidR="007B6C7C" w:rsidRDefault="007B6C7C" w:rsidP="007B6C7C">
            <w:pPr>
              <w:pStyle w:val="Tabletext"/>
            </w:pPr>
          </w:p>
        </w:tc>
        <w:tc>
          <w:tcPr>
            <w:tcW w:w="1382" w:type="dxa"/>
            <w:shd w:val="clear" w:color="auto" w:fill="BFBFBF" w:themeFill="background1" w:themeFillShade="BF"/>
          </w:tcPr>
          <w:p w:rsidR="007B6C7C" w:rsidRPr="00757507" w:rsidRDefault="007B6C7C" w:rsidP="007B6C7C">
            <w:pPr>
              <w:pStyle w:val="Tabletext"/>
              <w:jc w:val="center"/>
              <w:rPr>
                <w:b/>
              </w:rPr>
            </w:pPr>
            <w:r w:rsidRPr="00757507">
              <w:rPr>
                <w:rFonts w:asciiTheme="minorHAnsi" w:hAnsiTheme="minorHAnsi"/>
                <w:b/>
              </w:rPr>
              <w:t>PDE-5i + ERA</w:t>
            </w:r>
          </w:p>
        </w:tc>
        <w:tc>
          <w:tcPr>
            <w:tcW w:w="1382" w:type="dxa"/>
            <w:shd w:val="clear" w:color="auto" w:fill="BFBFBF" w:themeFill="background1" w:themeFillShade="BF"/>
          </w:tcPr>
          <w:p w:rsidR="007B6C7C" w:rsidRPr="00757507" w:rsidRDefault="007B6C7C" w:rsidP="007B6C7C">
            <w:pPr>
              <w:pStyle w:val="Tabletext"/>
              <w:jc w:val="center"/>
              <w:rPr>
                <w:b/>
              </w:rPr>
            </w:pPr>
            <w:r w:rsidRPr="00757507">
              <w:rPr>
                <w:rFonts w:asciiTheme="minorHAnsi" w:hAnsiTheme="minorHAnsi"/>
                <w:b/>
              </w:rPr>
              <w:t>ERA</w:t>
            </w:r>
          </w:p>
        </w:tc>
        <w:tc>
          <w:tcPr>
            <w:tcW w:w="1382" w:type="dxa"/>
            <w:shd w:val="clear" w:color="auto" w:fill="BFBFBF" w:themeFill="background1" w:themeFillShade="BF"/>
          </w:tcPr>
          <w:p w:rsidR="007B6C7C" w:rsidRPr="00757507" w:rsidRDefault="007B6C7C" w:rsidP="007B6C7C">
            <w:pPr>
              <w:pStyle w:val="Tabletext"/>
              <w:jc w:val="center"/>
              <w:rPr>
                <w:b/>
              </w:rPr>
            </w:pPr>
            <w:r w:rsidRPr="00757507">
              <w:rPr>
                <w:rFonts w:asciiTheme="minorHAnsi" w:hAnsiTheme="minorHAnsi"/>
                <w:b/>
              </w:rPr>
              <w:t>PDE-5i + ERA</w:t>
            </w:r>
          </w:p>
        </w:tc>
        <w:tc>
          <w:tcPr>
            <w:tcW w:w="1382" w:type="dxa"/>
            <w:shd w:val="clear" w:color="auto" w:fill="BFBFBF" w:themeFill="background1" w:themeFillShade="BF"/>
          </w:tcPr>
          <w:p w:rsidR="007B6C7C" w:rsidRPr="00757507" w:rsidRDefault="007B6C7C" w:rsidP="007B6C7C">
            <w:pPr>
              <w:pStyle w:val="Tabletext"/>
              <w:jc w:val="center"/>
              <w:rPr>
                <w:b/>
              </w:rPr>
            </w:pPr>
            <w:r w:rsidRPr="00757507">
              <w:rPr>
                <w:rFonts w:asciiTheme="minorHAnsi" w:hAnsiTheme="minorHAnsi"/>
                <w:b/>
              </w:rPr>
              <w:t>ERA</w:t>
            </w:r>
          </w:p>
        </w:tc>
        <w:tc>
          <w:tcPr>
            <w:tcW w:w="1134" w:type="dxa"/>
            <w:vMerge/>
          </w:tcPr>
          <w:p w:rsidR="007B6C7C" w:rsidRDefault="007B6C7C" w:rsidP="007B6C7C">
            <w:pPr>
              <w:pStyle w:val="Tabletext"/>
            </w:pPr>
          </w:p>
        </w:tc>
      </w:tr>
      <w:tr w:rsidR="007B6C7C" w:rsidTr="00C8682A">
        <w:tc>
          <w:tcPr>
            <w:tcW w:w="1475" w:type="dxa"/>
          </w:tcPr>
          <w:p w:rsidR="007B6C7C" w:rsidRPr="00822C52" w:rsidRDefault="007B6C7C" w:rsidP="007B6C7C">
            <w:pPr>
              <w:pStyle w:val="Tabletext"/>
              <w:rPr>
                <w:rFonts w:asciiTheme="minorHAnsi" w:hAnsiTheme="minorHAnsi"/>
              </w:rPr>
            </w:pPr>
            <w:r w:rsidRPr="001C295E">
              <w:t>Zhuang 2014</w:t>
            </w:r>
            <w:r w:rsidR="001D34EE" w:rsidRPr="001A1C44">
              <w:rPr>
                <w:rFonts w:asciiTheme="minorHAnsi" w:hAnsiTheme="minorHAnsi"/>
                <w:noProof/>
                <w:vertAlign w:val="superscript"/>
              </w:rPr>
              <w:t>50</w:t>
            </w:r>
          </w:p>
          <w:p w:rsidR="007B6C7C" w:rsidRDefault="007B6C7C" w:rsidP="007B6C7C">
            <w:pPr>
              <w:pStyle w:val="Tabletext"/>
            </w:pPr>
            <w:r>
              <w:t>Tadalafil/ambrisentan</w:t>
            </w:r>
          </w:p>
          <w:p w:rsidR="007B6C7C" w:rsidRDefault="007B6C7C" w:rsidP="007B6C7C">
            <w:pPr>
              <w:pStyle w:val="Tabletext"/>
            </w:pPr>
            <w:r>
              <w:t>16 weeks</w:t>
            </w:r>
          </w:p>
          <w:p w:rsidR="007B6C7C" w:rsidRDefault="007B6C7C" w:rsidP="007B6C7C">
            <w:pPr>
              <w:pStyle w:val="Tabletext"/>
            </w:pPr>
            <w:r>
              <w:t>N=124</w:t>
            </w:r>
          </w:p>
        </w:tc>
        <w:tc>
          <w:tcPr>
            <w:tcW w:w="1639" w:type="dxa"/>
          </w:tcPr>
          <w:p w:rsidR="007B6C7C" w:rsidRDefault="007B6C7C" w:rsidP="007B6C7C">
            <w:pPr>
              <w:pStyle w:val="Tabletext"/>
            </w:pPr>
            <w:r>
              <w:t>PVR (</w:t>
            </w:r>
            <w:r w:rsidR="001424AA" w:rsidRPr="001424AA">
              <w:t>dyn*sec*cm</w:t>
            </w:r>
            <w:r w:rsidR="001424AA" w:rsidRPr="001424AA">
              <w:rPr>
                <w:vertAlign w:val="superscript"/>
              </w:rPr>
              <w:t>-5</w:t>
            </w:r>
            <w:r>
              <w:t>)</w:t>
            </w:r>
          </w:p>
          <w:p w:rsidR="007B6C7C" w:rsidRDefault="007B6C7C" w:rsidP="007B6C7C">
            <w:pPr>
              <w:pStyle w:val="Tabletext"/>
            </w:pPr>
          </w:p>
          <w:p w:rsidR="007B6C7C" w:rsidRDefault="007B6C7C" w:rsidP="007B6C7C">
            <w:pPr>
              <w:pStyle w:val="Tabletext"/>
            </w:pPr>
            <w:r>
              <w:t>mPAP (mmHg)</w:t>
            </w:r>
          </w:p>
        </w:tc>
        <w:tc>
          <w:tcPr>
            <w:tcW w:w="1382" w:type="dxa"/>
          </w:tcPr>
          <w:p w:rsidR="007B6C7C" w:rsidRDefault="007B6C7C" w:rsidP="007B6C7C">
            <w:pPr>
              <w:pStyle w:val="Tabletext"/>
              <w:jc w:val="center"/>
              <w:rPr>
                <w:rFonts w:cs="Tahoma"/>
              </w:rPr>
            </w:pPr>
            <w:r w:rsidRPr="00B155D9">
              <w:rPr>
                <w:rFonts w:cs="Tahoma"/>
              </w:rPr>
              <w:t>837</w:t>
            </w:r>
            <w:r>
              <w:rPr>
                <w:rFonts w:cs="Tahoma"/>
              </w:rPr>
              <w:t xml:space="preserve"> </w:t>
            </w:r>
            <w:r w:rsidRPr="00B155D9">
              <w:rPr>
                <w:rFonts w:cs="Tahoma"/>
              </w:rPr>
              <w:t>±</w:t>
            </w:r>
            <w:r>
              <w:rPr>
                <w:rFonts w:cs="Tahoma"/>
              </w:rPr>
              <w:t xml:space="preserve"> </w:t>
            </w:r>
            <w:r w:rsidRPr="00B155D9">
              <w:rPr>
                <w:rFonts w:cs="Tahoma"/>
              </w:rPr>
              <w:t>389</w:t>
            </w:r>
          </w:p>
          <w:p w:rsidR="007B6C7C" w:rsidRDefault="007B6C7C" w:rsidP="007B6C7C">
            <w:pPr>
              <w:pStyle w:val="Tabletext"/>
              <w:jc w:val="center"/>
              <w:rPr>
                <w:rFonts w:cs="Tahoma"/>
              </w:rPr>
            </w:pPr>
          </w:p>
          <w:p w:rsidR="007B6C7C" w:rsidRPr="00C444C0" w:rsidRDefault="007B6C7C" w:rsidP="007B6C7C">
            <w:pPr>
              <w:pStyle w:val="Tabletext"/>
              <w:jc w:val="center"/>
            </w:pPr>
            <w:r w:rsidRPr="00202AD4">
              <w:t>5</w:t>
            </w:r>
            <w:r>
              <w:t>0 ± 12</w:t>
            </w:r>
          </w:p>
        </w:tc>
        <w:tc>
          <w:tcPr>
            <w:tcW w:w="1382" w:type="dxa"/>
          </w:tcPr>
          <w:p w:rsidR="007B6C7C" w:rsidRDefault="007B6C7C" w:rsidP="007B6C7C">
            <w:pPr>
              <w:pStyle w:val="Tabletext"/>
              <w:jc w:val="center"/>
              <w:rPr>
                <w:rFonts w:cs="Tahoma"/>
              </w:rPr>
            </w:pPr>
            <w:r w:rsidRPr="00B155D9">
              <w:rPr>
                <w:rFonts w:cs="Tahoma"/>
              </w:rPr>
              <w:t>843</w:t>
            </w:r>
            <w:r>
              <w:rPr>
                <w:rFonts w:cs="Tahoma"/>
              </w:rPr>
              <w:t xml:space="preserve"> </w:t>
            </w:r>
            <w:r w:rsidRPr="00B155D9">
              <w:rPr>
                <w:rFonts w:cs="Tahoma"/>
              </w:rPr>
              <w:t>±</w:t>
            </w:r>
            <w:r>
              <w:rPr>
                <w:rFonts w:cs="Tahoma"/>
              </w:rPr>
              <w:t xml:space="preserve"> </w:t>
            </w:r>
            <w:r w:rsidRPr="00B155D9">
              <w:rPr>
                <w:rFonts w:cs="Tahoma"/>
              </w:rPr>
              <w:t>423</w:t>
            </w:r>
          </w:p>
          <w:p w:rsidR="007B6C7C" w:rsidRDefault="007B6C7C" w:rsidP="007B6C7C">
            <w:pPr>
              <w:pStyle w:val="Tabletext"/>
              <w:jc w:val="center"/>
              <w:rPr>
                <w:rFonts w:cs="Tahoma"/>
              </w:rPr>
            </w:pPr>
          </w:p>
          <w:p w:rsidR="007B6C7C" w:rsidRPr="00C444C0" w:rsidRDefault="007B6C7C" w:rsidP="007B6C7C">
            <w:pPr>
              <w:pStyle w:val="Tabletext"/>
              <w:jc w:val="center"/>
            </w:pPr>
            <w:r>
              <w:t xml:space="preserve">53 ± </w:t>
            </w:r>
            <w:r w:rsidRPr="00202AD4">
              <w:t>9</w:t>
            </w:r>
          </w:p>
        </w:tc>
        <w:tc>
          <w:tcPr>
            <w:tcW w:w="1382" w:type="dxa"/>
          </w:tcPr>
          <w:p w:rsidR="007B6C7C" w:rsidRDefault="007B6C7C" w:rsidP="007B6C7C">
            <w:pPr>
              <w:pStyle w:val="Tabletext"/>
              <w:jc w:val="center"/>
            </w:pPr>
            <w:r w:rsidRPr="00B155D9">
              <w:rPr>
                <w:rFonts w:cs="Tahoma"/>
              </w:rPr>
              <w:t>623</w:t>
            </w:r>
            <w:r>
              <w:rPr>
                <w:rFonts w:cs="Tahoma"/>
              </w:rPr>
              <w:t xml:space="preserve"> </w:t>
            </w:r>
            <w:r w:rsidRPr="00B155D9">
              <w:rPr>
                <w:rFonts w:cs="Tahoma"/>
              </w:rPr>
              <w:t>±</w:t>
            </w:r>
            <w:r>
              <w:rPr>
                <w:rFonts w:cs="Tahoma"/>
              </w:rPr>
              <w:t xml:space="preserve"> </w:t>
            </w:r>
            <w:r w:rsidRPr="00B155D9">
              <w:rPr>
                <w:rFonts w:cs="Tahoma"/>
              </w:rPr>
              <w:t>365</w:t>
            </w:r>
          </w:p>
          <w:p w:rsidR="007B6C7C" w:rsidRDefault="00E6350D" w:rsidP="007B6C7C">
            <w:pPr>
              <w:pStyle w:val="Tabletext"/>
              <w:jc w:val="center"/>
            </w:pPr>
            <w:r>
              <w:t>(</w:t>
            </w:r>
            <w:r w:rsidR="007B6C7C">
              <w:t>−26.7%</w:t>
            </w:r>
            <w:r>
              <w:t>)</w:t>
            </w:r>
          </w:p>
          <w:p w:rsidR="007B6C7C" w:rsidRDefault="007B6C7C" w:rsidP="007B6C7C">
            <w:pPr>
              <w:pStyle w:val="Tabletext"/>
              <w:jc w:val="center"/>
            </w:pPr>
            <w:r>
              <w:t>43 ± 8</w:t>
            </w:r>
          </w:p>
          <w:p w:rsidR="007B6C7C" w:rsidRPr="00C444C0" w:rsidRDefault="00E6350D" w:rsidP="00E6350D">
            <w:pPr>
              <w:pStyle w:val="Tabletext"/>
              <w:jc w:val="center"/>
            </w:pPr>
            <w:r>
              <w:t>(</w:t>
            </w:r>
            <w:r w:rsidR="007B6C7C">
              <w:t>−14.2%</w:t>
            </w:r>
            <w:r>
              <w:t>)</w:t>
            </w:r>
          </w:p>
        </w:tc>
        <w:tc>
          <w:tcPr>
            <w:tcW w:w="1382" w:type="dxa"/>
          </w:tcPr>
          <w:p w:rsidR="007B6C7C" w:rsidRDefault="007B6C7C" w:rsidP="007B6C7C">
            <w:pPr>
              <w:pStyle w:val="Tabletext"/>
              <w:jc w:val="center"/>
            </w:pPr>
            <w:r w:rsidRPr="00B155D9">
              <w:t>735</w:t>
            </w:r>
            <w:r>
              <w:t xml:space="preserve"> </w:t>
            </w:r>
            <w:r w:rsidRPr="00B155D9">
              <w:t>±</w:t>
            </w:r>
            <w:r>
              <w:t xml:space="preserve"> </w:t>
            </w:r>
            <w:r w:rsidRPr="00B155D9">
              <w:t>375</w:t>
            </w:r>
          </w:p>
          <w:p w:rsidR="007B6C7C" w:rsidRDefault="00E6350D" w:rsidP="007B6C7C">
            <w:pPr>
              <w:pStyle w:val="Tabletext"/>
              <w:jc w:val="center"/>
            </w:pPr>
            <w:r>
              <w:t>(−12.8%)</w:t>
            </w:r>
          </w:p>
          <w:p w:rsidR="007B6C7C" w:rsidRDefault="007B6C7C" w:rsidP="007B6C7C">
            <w:pPr>
              <w:pStyle w:val="Tabletext"/>
              <w:jc w:val="center"/>
            </w:pPr>
            <w:r>
              <w:t>50 ± 10</w:t>
            </w:r>
          </w:p>
          <w:p w:rsidR="007B6C7C" w:rsidRPr="00C444C0" w:rsidRDefault="00E6350D" w:rsidP="00E6350D">
            <w:pPr>
              <w:pStyle w:val="Tabletext"/>
              <w:jc w:val="center"/>
            </w:pPr>
            <w:r>
              <w:t>(</w:t>
            </w:r>
            <w:r w:rsidR="007B6C7C">
              <w:t>−5.7%</w:t>
            </w:r>
            <w:r>
              <w:t>)</w:t>
            </w:r>
          </w:p>
        </w:tc>
        <w:tc>
          <w:tcPr>
            <w:tcW w:w="1134" w:type="dxa"/>
          </w:tcPr>
          <w:p w:rsidR="007B6C7C" w:rsidRDefault="007B6C7C" w:rsidP="007B6C7C">
            <w:pPr>
              <w:pStyle w:val="Tabletext"/>
            </w:pPr>
            <w:r>
              <w:t>−13.9%</w:t>
            </w:r>
          </w:p>
          <w:p w:rsidR="007B6C7C" w:rsidRDefault="007B6C7C" w:rsidP="007B6C7C">
            <w:pPr>
              <w:pStyle w:val="Tabletext"/>
            </w:pPr>
          </w:p>
          <w:p w:rsidR="007B6C7C" w:rsidRPr="00C444C0" w:rsidRDefault="007B6C7C" w:rsidP="007B6C7C">
            <w:pPr>
              <w:pStyle w:val="Tabletext"/>
            </w:pPr>
            <w:r>
              <w:t>−8.5%</w:t>
            </w:r>
          </w:p>
        </w:tc>
      </w:tr>
    </w:tbl>
    <w:p w:rsidR="005E70D3" w:rsidRDefault="005E70D3" w:rsidP="007B6C7C">
      <w:pPr>
        <w:pStyle w:val="Tablenote"/>
      </w:pPr>
      <w:r>
        <w:rPr>
          <w:vertAlign w:val="superscript"/>
        </w:rPr>
        <w:t>a</w:t>
      </w:r>
      <w:r>
        <w:t xml:space="preserve"> A decrease in PVR or mPAP indicates improvement in </w:t>
      </w:r>
      <w:r w:rsidR="007E658F">
        <w:t>haemodynamic parameters</w:t>
      </w:r>
    </w:p>
    <w:p w:rsidR="00575ECF" w:rsidRPr="006316DF" w:rsidRDefault="00575ECF" w:rsidP="007B6C7C">
      <w:pPr>
        <w:pStyle w:val="Tablenote"/>
      </w:pPr>
      <w:r w:rsidRPr="009E3B52">
        <w:t xml:space="preserve">ERA = endothelin receptor antagonist; </w:t>
      </w:r>
      <w:r w:rsidR="007B6C7C">
        <w:t xml:space="preserve">mPAP = mean pulmonary artery pressure; </w:t>
      </w:r>
      <w:r w:rsidR="007B6C7C" w:rsidRPr="006316DF">
        <w:t>N = number of patients</w:t>
      </w:r>
      <w:r w:rsidR="007B6C7C">
        <w:t xml:space="preserve">; </w:t>
      </w:r>
      <w:r w:rsidRPr="00715D78">
        <w:t>PAH = pulmonary arterial hypertension;</w:t>
      </w:r>
      <w:r>
        <w:t xml:space="preserve"> </w:t>
      </w:r>
      <w:r w:rsidRPr="00BE3517">
        <w:t>PDE-5</w:t>
      </w:r>
      <w:r>
        <w:t>i</w:t>
      </w:r>
      <w:r w:rsidRPr="00BE3517">
        <w:t xml:space="preserve"> = phosphodiesterase type-5</w:t>
      </w:r>
      <w:r>
        <w:t xml:space="preserve"> inhibitor</w:t>
      </w:r>
      <w:r w:rsidRPr="00BE3517">
        <w:t xml:space="preserve">; </w:t>
      </w:r>
      <w:r w:rsidR="007B6C7C">
        <w:t xml:space="preserve">PVR = </w:t>
      </w:r>
      <w:r w:rsidR="007B6C7C" w:rsidRPr="007A4F5B">
        <w:t>pulmonary vascular resistance</w:t>
      </w:r>
      <w:r w:rsidR="007B6C7C" w:rsidRPr="00C51FB4">
        <w:t>;</w:t>
      </w:r>
      <w:r w:rsidR="007B6C7C">
        <w:t xml:space="preserve"> SD = standard deviation</w:t>
      </w:r>
    </w:p>
    <w:p w:rsidR="0075777C" w:rsidRPr="00150BDE" w:rsidRDefault="002E4833" w:rsidP="0075777C">
      <w:pPr>
        <w:pStyle w:val="Heading5"/>
      </w:pPr>
      <w:r>
        <w:t>h.</w:t>
      </w:r>
      <w:r w:rsidR="007B6C7C">
        <w:tab/>
      </w:r>
      <w:r w:rsidR="0075777C" w:rsidRPr="00150BDE">
        <w:t>Comparative safety</w:t>
      </w:r>
    </w:p>
    <w:p w:rsidR="0075777C" w:rsidRPr="00822C52" w:rsidRDefault="0075777C" w:rsidP="0075777C">
      <w:r>
        <w:t xml:space="preserve">Four RCTs reported on the comparative safety of </w:t>
      </w:r>
      <w:r w:rsidRPr="00157F57">
        <w:t xml:space="preserve">PDE-5 inhibitor </w:t>
      </w:r>
      <w:r>
        <w:t>plus an</w:t>
      </w:r>
      <w:r w:rsidRPr="00157F57">
        <w:t xml:space="preserve"> ERA </w:t>
      </w:r>
      <w:r>
        <w:t xml:space="preserve">combination therapy </w:t>
      </w:r>
      <w:r w:rsidRPr="00157F57">
        <w:t xml:space="preserve">compared with ERA </w:t>
      </w:r>
      <w:r>
        <w:t xml:space="preserve">monotherapy </w:t>
      </w:r>
      <w:r w:rsidRPr="00157F57">
        <w:t>in PAH patients</w:t>
      </w:r>
      <w:r>
        <w:t xml:space="preserve"> of any WHO FC and disease aetiology. The AMBITION trial also reported </w:t>
      </w:r>
      <w:r w:rsidRPr="00A8723A">
        <w:t xml:space="preserve">on the </w:t>
      </w:r>
      <w:r>
        <w:t>comparative safety of dual and mono therapy</w:t>
      </w:r>
      <w:r w:rsidRPr="00A8723A">
        <w:t xml:space="preserve"> </w:t>
      </w:r>
      <w:r>
        <w:t>in the PAH-CTD patient subgroup.</w:t>
      </w:r>
    </w:p>
    <w:p w:rsidR="0075777C" w:rsidRPr="00B607A5" w:rsidRDefault="002E4833" w:rsidP="0077344D">
      <w:pPr>
        <w:pStyle w:val="Heading6"/>
      </w:pPr>
      <w:r w:rsidRPr="00B607A5">
        <w:t>h</w:t>
      </w:r>
      <w:r w:rsidR="0075777C" w:rsidRPr="00B607A5">
        <w:t>.i</w:t>
      </w:r>
      <w:r w:rsidR="0075777C" w:rsidRPr="00B607A5">
        <w:tab/>
        <w:t>PAH patients, irrespective of disease severity or aetiology</w:t>
      </w:r>
    </w:p>
    <w:p w:rsidR="0075777C" w:rsidRPr="00822C52" w:rsidRDefault="0075777C" w:rsidP="0075777C">
      <w:r>
        <w:t>Four studies reported on the proportion of any AE, serious AEs, AEs leading to discontinuation of study treatment and/or t</w:t>
      </w:r>
      <w:r w:rsidRPr="00DF7A46">
        <w:t>reatment-related AEs</w:t>
      </w:r>
      <w:r>
        <w:t xml:space="preserve"> occurring in patients receiving combination therapy with compared with those on monotherapy (</w:t>
      </w:r>
      <w:r w:rsidR="00AA722D">
        <w:t>Table 4.</w:t>
      </w:r>
      <w:r w:rsidR="00AA722D">
        <w:rPr>
          <w:noProof/>
        </w:rPr>
        <w:t>70</w:t>
      </w:r>
      <w:r>
        <w:t>). There were no statistically significant differences between the two treatment arms in any study (</w:t>
      </w:r>
      <w:r w:rsidR="00AA722D">
        <w:t>Figure 4.</w:t>
      </w:r>
      <w:r w:rsidR="00AA722D">
        <w:rPr>
          <w:noProof/>
        </w:rPr>
        <w:t>20</w:t>
      </w:r>
      <w:r>
        <w:t>). All AEs reported by these studies have been previously noted to occur among patients taking either a PDE-5 inhibitor or an ERA.</w:t>
      </w:r>
    </w:p>
    <w:p w:rsidR="0075777C" w:rsidRPr="00DD7790" w:rsidRDefault="00272F8F" w:rsidP="00BC5A2B">
      <w:pPr>
        <w:pStyle w:val="Caption"/>
      </w:pPr>
      <w:bookmarkStart w:id="223" w:name="_Ref504656544"/>
      <w:bookmarkStart w:id="224" w:name="_Toc512855474"/>
      <w:r>
        <w:lastRenderedPageBreak/>
        <w:t>Table 4.</w:t>
      </w:r>
      <w:r w:rsidR="00AA722D">
        <w:rPr>
          <w:noProof/>
        </w:rPr>
        <w:t>70</w:t>
      </w:r>
      <w:bookmarkEnd w:id="223"/>
      <w:r w:rsidR="004C1FAC">
        <w:tab/>
      </w:r>
      <w:r w:rsidR="0075777C" w:rsidRPr="00DD7790">
        <w:t xml:space="preserve">The comparative safety of </w:t>
      </w:r>
      <w:r w:rsidR="00385078">
        <w:t xml:space="preserve">a </w:t>
      </w:r>
      <w:r w:rsidR="00385078" w:rsidRPr="00DD7790">
        <w:t>PDE-5 inhibitor</w:t>
      </w:r>
      <w:r w:rsidR="00385078">
        <w:t xml:space="preserve"> in addition to an</w:t>
      </w:r>
      <w:r w:rsidR="00385078" w:rsidRPr="00DD7790">
        <w:t xml:space="preserve"> ERA compared with ERA</w:t>
      </w:r>
      <w:r w:rsidR="00385078">
        <w:t xml:space="preserve"> monotherapy</w:t>
      </w:r>
      <w:r w:rsidR="00385078" w:rsidRPr="00DD7790">
        <w:t xml:space="preserve"> </w:t>
      </w:r>
      <w:r w:rsidR="0075777C" w:rsidRPr="00DD7790">
        <w:t>in all patients with PAH</w:t>
      </w:r>
      <w:bookmarkEnd w:id="224"/>
    </w:p>
    <w:tbl>
      <w:tblPr>
        <w:tblStyle w:val="TableGrid7"/>
        <w:tblW w:w="9634" w:type="dxa"/>
        <w:tblLayout w:type="fixed"/>
        <w:tblLook w:val="04A0" w:firstRow="1" w:lastRow="0" w:firstColumn="1" w:lastColumn="0" w:noHBand="0" w:noVBand="1"/>
        <w:tblCaption w:val="The comparative safety of a PDE-5 inhibitor in addition to an ERA compared with ERA monotherapy in all patients with PAH"/>
      </w:tblPr>
      <w:tblGrid>
        <w:gridCol w:w="1696"/>
        <w:gridCol w:w="2268"/>
        <w:gridCol w:w="1914"/>
        <w:gridCol w:w="1914"/>
        <w:gridCol w:w="1842"/>
      </w:tblGrid>
      <w:tr w:rsidR="0075777C" w:rsidRPr="00822C52" w:rsidTr="004C1FAC">
        <w:trPr>
          <w:trHeight w:val="416"/>
          <w:tblHeader/>
        </w:trPr>
        <w:tc>
          <w:tcPr>
            <w:tcW w:w="1696" w:type="dxa"/>
            <w:vMerge w:val="restart"/>
            <w:shd w:val="clear" w:color="auto" w:fill="BFBFBF" w:themeFill="background1" w:themeFillShade="BF"/>
          </w:tcPr>
          <w:p w:rsidR="0075777C" w:rsidRPr="004C1FAC" w:rsidRDefault="0075777C" w:rsidP="004C1FAC">
            <w:pPr>
              <w:pStyle w:val="Tabletext"/>
              <w:rPr>
                <w:b/>
              </w:rPr>
            </w:pPr>
            <w:r w:rsidRPr="004C1FAC">
              <w:rPr>
                <w:b/>
              </w:rPr>
              <w:t>Study ID</w:t>
            </w:r>
          </w:p>
          <w:p w:rsidR="0075777C" w:rsidRPr="004C1FAC" w:rsidRDefault="0075777C" w:rsidP="004C1FAC">
            <w:pPr>
              <w:pStyle w:val="Tabletext"/>
              <w:rPr>
                <w:b/>
              </w:rPr>
            </w:pPr>
            <w:r w:rsidRPr="004C1FAC">
              <w:rPr>
                <w:b/>
              </w:rPr>
              <w:t>Follow-up period</w:t>
            </w:r>
          </w:p>
          <w:p w:rsidR="0075777C" w:rsidRPr="004C1FAC" w:rsidRDefault="0075777C" w:rsidP="004C1FAC">
            <w:pPr>
              <w:pStyle w:val="Tabletext"/>
              <w:rPr>
                <w:b/>
              </w:rPr>
            </w:pPr>
            <w:r w:rsidRPr="004C1FAC">
              <w:rPr>
                <w:b/>
              </w:rPr>
              <w:t>PDE-5i/ERA</w:t>
            </w:r>
          </w:p>
        </w:tc>
        <w:tc>
          <w:tcPr>
            <w:tcW w:w="2268" w:type="dxa"/>
            <w:vMerge w:val="restart"/>
            <w:shd w:val="clear" w:color="auto" w:fill="BFBFBF" w:themeFill="background1" w:themeFillShade="BF"/>
          </w:tcPr>
          <w:p w:rsidR="0075777C" w:rsidRPr="004C1FAC" w:rsidRDefault="0075777C" w:rsidP="004C1FAC">
            <w:pPr>
              <w:pStyle w:val="Tabletext"/>
              <w:rPr>
                <w:b/>
              </w:rPr>
            </w:pPr>
            <w:r w:rsidRPr="004C1FAC">
              <w:rPr>
                <w:b/>
              </w:rPr>
              <w:t>AE</w:t>
            </w:r>
          </w:p>
        </w:tc>
        <w:tc>
          <w:tcPr>
            <w:tcW w:w="3828" w:type="dxa"/>
            <w:gridSpan w:val="2"/>
            <w:shd w:val="clear" w:color="auto" w:fill="BFBFBF" w:themeFill="background1" w:themeFillShade="BF"/>
          </w:tcPr>
          <w:p w:rsidR="0075777C" w:rsidRPr="004C1FAC" w:rsidRDefault="0075777C" w:rsidP="004C1FAC">
            <w:pPr>
              <w:pStyle w:val="Tabletext"/>
              <w:jc w:val="center"/>
              <w:rPr>
                <w:b/>
              </w:rPr>
            </w:pPr>
            <w:r w:rsidRPr="004C1FAC">
              <w:rPr>
                <w:b/>
              </w:rPr>
              <w:t>n/N (%)</w:t>
            </w:r>
          </w:p>
        </w:tc>
        <w:tc>
          <w:tcPr>
            <w:tcW w:w="1842" w:type="dxa"/>
            <w:vMerge w:val="restart"/>
            <w:shd w:val="clear" w:color="auto" w:fill="BFBFBF" w:themeFill="background1" w:themeFillShade="BF"/>
          </w:tcPr>
          <w:p w:rsidR="0075777C" w:rsidRPr="004C1FAC" w:rsidRDefault="0075777C" w:rsidP="004C1FAC">
            <w:pPr>
              <w:pStyle w:val="Tabletext"/>
              <w:rPr>
                <w:b/>
              </w:rPr>
            </w:pPr>
            <w:r w:rsidRPr="004C1FAC">
              <w:rPr>
                <w:b/>
              </w:rPr>
              <w:t>RR (95% CI)</w:t>
            </w:r>
          </w:p>
        </w:tc>
      </w:tr>
      <w:tr w:rsidR="0075777C" w:rsidRPr="00822C52" w:rsidTr="004C1FAC">
        <w:trPr>
          <w:trHeight w:val="202"/>
          <w:tblHeader/>
        </w:trPr>
        <w:tc>
          <w:tcPr>
            <w:tcW w:w="1696" w:type="dxa"/>
            <w:vMerge/>
            <w:shd w:val="clear" w:color="auto" w:fill="BFBFBF" w:themeFill="background1" w:themeFillShade="BF"/>
          </w:tcPr>
          <w:p w:rsidR="0075777C" w:rsidRPr="00822C52" w:rsidRDefault="0075777C" w:rsidP="004C1FAC">
            <w:pPr>
              <w:pStyle w:val="Tabletext"/>
            </w:pPr>
          </w:p>
        </w:tc>
        <w:tc>
          <w:tcPr>
            <w:tcW w:w="2268" w:type="dxa"/>
            <w:vMerge/>
            <w:shd w:val="clear" w:color="auto" w:fill="BFBFBF" w:themeFill="background1" w:themeFillShade="BF"/>
          </w:tcPr>
          <w:p w:rsidR="0075777C" w:rsidRPr="00822C52" w:rsidRDefault="0075777C" w:rsidP="004C1FAC">
            <w:pPr>
              <w:pStyle w:val="Tabletext"/>
            </w:pPr>
          </w:p>
        </w:tc>
        <w:tc>
          <w:tcPr>
            <w:tcW w:w="1914" w:type="dxa"/>
            <w:shd w:val="clear" w:color="auto" w:fill="BFBFBF" w:themeFill="background1" w:themeFillShade="BF"/>
          </w:tcPr>
          <w:p w:rsidR="0075777C" w:rsidRPr="004C1FAC" w:rsidRDefault="0075777C" w:rsidP="004C1FAC">
            <w:pPr>
              <w:pStyle w:val="Tabletext"/>
              <w:jc w:val="center"/>
              <w:rPr>
                <w:b/>
              </w:rPr>
            </w:pPr>
            <w:r w:rsidRPr="004C1FAC">
              <w:rPr>
                <w:b/>
              </w:rPr>
              <w:t>PDE-5i + ERA</w:t>
            </w:r>
          </w:p>
        </w:tc>
        <w:tc>
          <w:tcPr>
            <w:tcW w:w="1914" w:type="dxa"/>
            <w:shd w:val="clear" w:color="auto" w:fill="BFBFBF" w:themeFill="background1" w:themeFillShade="BF"/>
          </w:tcPr>
          <w:p w:rsidR="0075777C" w:rsidRPr="004C1FAC" w:rsidRDefault="0075777C" w:rsidP="004C1FAC">
            <w:pPr>
              <w:pStyle w:val="Tabletext"/>
              <w:jc w:val="center"/>
              <w:rPr>
                <w:b/>
              </w:rPr>
            </w:pPr>
            <w:r w:rsidRPr="004C1FAC">
              <w:rPr>
                <w:b/>
              </w:rPr>
              <w:t>ERA</w:t>
            </w:r>
          </w:p>
        </w:tc>
        <w:tc>
          <w:tcPr>
            <w:tcW w:w="1842" w:type="dxa"/>
            <w:vMerge/>
            <w:shd w:val="clear" w:color="auto" w:fill="BFBFBF" w:themeFill="background1" w:themeFillShade="BF"/>
          </w:tcPr>
          <w:p w:rsidR="0075777C" w:rsidRPr="00822C52" w:rsidRDefault="0075777C" w:rsidP="004C1FAC">
            <w:pPr>
              <w:pStyle w:val="Tabletext"/>
            </w:pPr>
          </w:p>
        </w:tc>
      </w:tr>
      <w:tr w:rsidR="0075777C" w:rsidRPr="00822C52" w:rsidTr="004C1FAC">
        <w:trPr>
          <w:trHeight w:val="70"/>
        </w:trPr>
        <w:tc>
          <w:tcPr>
            <w:tcW w:w="1696" w:type="dxa"/>
          </w:tcPr>
          <w:p w:rsidR="0075777C" w:rsidRPr="00822C52" w:rsidRDefault="0075777C" w:rsidP="004C1FAC">
            <w:pPr>
              <w:pStyle w:val="Tabletext"/>
              <w:rPr>
                <w:rFonts w:cs="Tahoma"/>
              </w:rPr>
            </w:pPr>
            <w:r w:rsidRPr="00822C52">
              <w:rPr>
                <w:rFonts w:cs="Tahoma"/>
              </w:rPr>
              <w:t>AMBITION</w:t>
            </w:r>
            <w:r w:rsidR="001D34EE" w:rsidRPr="001A1C44">
              <w:rPr>
                <w:rFonts w:cs="Tahoma"/>
                <w:noProof/>
                <w:vertAlign w:val="superscript"/>
              </w:rPr>
              <w:t>30</w:t>
            </w:r>
          </w:p>
          <w:p w:rsidR="0075777C" w:rsidRPr="00822C52" w:rsidRDefault="0075777C" w:rsidP="004C1FAC">
            <w:pPr>
              <w:pStyle w:val="Tabletext"/>
              <w:rPr>
                <w:rFonts w:cs="Tahoma"/>
              </w:rPr>
            </w:pPr>
            <w:r w:rsidRPr="00822C52">
              <w:rPr>
                <w:rFonts w:cs="Tahoma"/>
              </w:rPr>
              <w:t xml:space="preserve">FAV: mean </w:t>
            </w:r>
            <w:r>
              <w:rPr>
                <w:rFonts w:cs="Tahoma"/>
              </w:rPr>
              <w:t>74</w:t>
            </w:r>
            <w:r w:rsidRPr="00822C52">
              <w:rPr>
                <w:rFonts w:cs="Tahoma"/>
              </w:rPr>
              <w:t xml:space="preserve"> weeks</w:t>
            </w:r>
          </w:p>
          <w:p w:rsidR="0075777C" w:rsidRPr="00822C52" w:rsidRDefault="004C1FAC" w:rsidP="004C1FAC">
            <w:pPr>
              <w:pStyle w:val="Tabletext"/>
              <w:rPr>
                <w:rFonts w:cs="Tahoma"/>
              </w:rPr>
            </w:pPr>
            <w:r>
              <w:rPr>
                <w:rFonts w:cs="Tahoma"/>
              </w:rPr>
              <w:t>Tadalafil/</w:t>
            </w:r>
            <w:r w:rsidR="0075777C" w:rsidRPr="00822C52">
              <w:rPr>
                <w:rFonts w:cs="Tahoma"/>
              </w:rPr>
              <w:t>ambrisentan</w:t>
            </w:r>
          </w:p>
        </w:tc>
        <w:tc>
          <w:tcPr>
            <w:tcW w:w="2268" w:type="dxa"/>
          </w:tcPr>
          <w:p w:rsidR="0075777C" w:rsidRPr="00822C52" w:rsidRDefault="0075777C" w:rsidP="004C1FAC">
            <w:pPr>
              <w:pStyle w:val="Tabletext"/>
              <w:rPr>
                <w:rFonts w:cs="Tahoma"/>
              </w:rPr>
            </w:pPr>
            <w:r w:rsidRPr="00822C52">
              <w:rPr>
                <w:rFonts w:cs="Tahoma"/>
              </w:rPr>
              <w:t>Serious AEs</w:t>
            </w:r>
          </w:p>
          <w:p w:rsidR="0075777C" w:rsidRPr="00822C52" w:rsidRDefault="0075777C" w:rsidP="004C1FAC">
            <w:pPr>
              <w:pStyle w:val="Tabletext"/>
              <w:rPr>
                <w:rFonts w:cs="Tahoma"/>
              </w:rPr>
            </w:pPr>
            <w:r w:rsidRPr="00822C52">
              <w:rPr>
                <w:rFonts w:cs="Tahoma"/>
              </w:rPr>
              <w:t>Discontinuation due to AE</w:t>
            </w:r>
            <w:r w:rsidR="00730401">
              <w:rPr>
                <w:rFonts w:cs="Tahoma"/>
              </w:rPr>
              <w:t>s</w:t>
            </w:r>
          </w:p>
        </w:tc>
        <w:tc>
          <w:tcPr>
            <w:tcW w:w="1914" w:type="dxa"/>
            <w:shd w:val="clear" w:color="auto" w:fill="auto"/>
          </w:tcPr>
          <w:p w:rsidR="0075777C" w:rsidRPr="00822C52" w:rsidRDefault="0075777C" w:rsidP="004C1FAC">
            <w:pPr>
              <w:pStyle w:val="Tabletext"/>
              <w:jc w:val="center"/>
              <w:rPr>
                <w:rFonts w:cs="Tahoma"/>
              </w:rPr>
            </w:pPr>
            <w:r w:rsidRPr="00822C52">
              <w:rPr>
                <w:rFonts w:cs="Tahoma"/>
              </w:rPr>
              <w:t>92/253 (36%)</w:t>
            </w:r>
          </w:p>
          <w:p w:rsidR="0075777C" w:rsidRPr="00822C52" w:rsidRDefault="0075777C" w:rsidP="004C1FAC">
            <w:pPr>
              <w:pStyle w:val="Tabletext"/>
              <w:jc w:val="center"/>
              <w:rPr>
                <w:rFonts w:cs="Tahoma"/>
              </w:rPr>
            </w:pPr>
            <w:r w:rsidRPr="00822C52">
              <w:rPr>
                <w:rFonts w:cs="Tahoma"/>
              </w:rPr>
              <w:t>31/253 (12%)</w:t>
            </w:r>
          </w:p>
        </w:tc>
        <w:tc>
          <w:tcPr>
            <w:tcW w:w="1914" w:type="dxa"/>
            <w:shd w:val="clear" w:color="auto" w:fill="auto"/>
          </w:tcPr>
          <w:p w:rsidR="0075777C" w:rsidRPr="00822C52" w:rsidRDefault="0075777C" w:rsidP="004C1FAC">
            <w:pPr>
              <w:pStyle w:val="Tabletext"/>
              <w:jc w:val="center"/>
              <w:rPr>
                <w:rFonts w:cs="Tahoma"/>
              </w:rPr>
            </w:pPr>
            <w:r w:rsidRPr="00822C52">
              <w:rPr>
                <w:rFonts w:cs="Tahoma"/>
              </w:rPr>
              <w:t>45/126 (36%)</w:t>
            </w:r>
          </w:p>
          <w:p w:rsidR="0075777C" w:rsidRPr="00822C52" w:rsidRDefault="0075777C" w:rsidP="004C1FAC">
            <w:pPr>
              <w:pStyle w:val="Tabletext"/>
              <w:jc w:val="center"/>
              <w:rPr>
                <w:rFonts w:cs="Tahoma"/>
              </w:rPr>
            </w:pPr>
            <w:r w:rsidRPr="00822C52">
              <w:rPr>
                <w:rFonts w:cs="Tahoma"/>
              </w:rPr>
              <w:t>14/126 (11%)</w:t>
            </w:r>
          </w:p>
        </w:tc>
        <w:tc>
          <w:tcPr>
            <w:tcW w:w="1842" w:type="dxa"/>
          </w:tcPr>
          <w:p w:rsidR="0075777C" w:rsidRDefault="0075777C" w:rsidP="004C1FAC">
            <w:pPr>
              <w:pStyle w:val="Tabletext"/>
              <w:rPr>
                <w:rFonts w:cs="Tahoma"/>
              </w:rPr>
            </w:pPr>
            <w:r>
              <w:rPr>
                <w:rFonts w:cs="Tahoma"/>
              </w:rPr>
              <w:t>1.02 (0.77, 1.35)</w:t>
            </w:r>
          </w:p>
          <w:p w:rsidR="0075777C" w:rsidRPr="00822C52" w:rsidRDefault="0075777C" w:rsidP="004C1FAC">
            <w:pPr>
              <w:pStyle w:val="Tabletext"/>
              <w:rPr>
                <w:rFonts w:cs="Tahoma"/>
              </w:rPr>
            </w:pPr>
            <w:r>
              <w:rPr>
                <w:rFonts w:cs="Tahoma"/>
              </w:rPr>
              <w:t>1.10 (0.61, 2.00)</w:t>
            </w:r>
          </w:p>
        </w:tc>
      </w:tr>
      <w:tr w:rsidR="0075777C" w:rsidRPr="00822C52" w:rsidTr="00BC4B63">
        <w:trPr>
          <w:cantSplit/>
          <w:trHeight w:val="70"/>
        </w:trPr>
        <w:tc>
          <w:tcPr>
            <w:tcW w:w="1696" w:type="dxa"/>
          </w:tcPr>
          <w:p w:rsidR="0075777C" w:rsidRDefault="0075777C" w:rsidP="004C1FAC">
            <w:pPr>
              <w:pStyle w:val="Tabletext"/>
              <w:rPr>
                <w:rFonts w:cs="Tahoma"/>
              </w:rPr>
            </w:pPr>
            <w:r w:rsidRPr="00822C52">
              <w:rPr>
                <w:rFonts w:cs="Tahoma"/>
              </w:rPr>
              <w:t>PHIRST</w:t>
            </w:r>
          </w:p>
          <w:p w:rsidR="0075777C" w:rsidRPr="00822C52" w:rsidRDefault="0075777C" w:rsidP="004C1FAC">
            <w:pPr>
              <w:pStyle w:val="Tabletext"/>
              <w:rPr>
                <w:rFonts w:cs="Tahoma"/>
              </w:rPr>
            </w:pPr>
            <w:r>
              <w:rPr>
                <w:rFonts w:cs="Tahoma"/>
              </w:rPr>
              <w:t>Barst et al (2011)</w:t>
            </w:r>
            <w:r w:rsidR="001D34EE" w:rsidRPr="001A1C44">
              <w:rPr>
                <w:rFonts w:cs="Tahoma"/>
                <w:noProof/>
                <w:vertAlign w:val="superscript"/>
              </w:rPr>
              <w:t>45</w:t>
            </w:r>
          </w:p>
          <w:p w:rsidR="0075777C" w:rsidRPr="00822C52" w:rsidRDefault="0075777C" w:rsidP="004C1FAC">
            <w:pPr>
              <w:pStyle w:val="Tabletext"/>
              <w:rPr>
                <w:rFonts w:cs="Tahoma"/>
              </w:rPr>
            </w:pPr>
            <w:r w:rsidRPr="00822C52">
              <w:rPr>
                <w:rFonts w:cs="Tahoma"/>
              </w:rPr>
              <w:t>16 weeks</w:t>
            </w:r>
          </w:p>
          <w:p w:rsidR="0075777C" w:rsidRPr="00822C52" w:rsidRDefault="0075777C" w:rsidP="004C1FAC">
            <w:pPr>
              <w:pStyle w:val="Tabletext"/>
              <w:rPr>
                <w:rFonts w:cs="Tahoma"/>
              </w:rPr>
            </w:pPr>
            <w:r w:rsidRPr="00822C52">
              <w:rPr>
                <w:rFonts w:cs="Tahoma"/>
              </w:rPr>
              <w:t>Tadalafil/bosentan</w:t>
            </w:r>
          </w:p>
        </w:tc>
        <w:tc>
          <w:tcPr>
            <w:tcW w:w="2268" w:type="dxa"/>
          </w:tcPr>
          <w:p w:rsidR="0075777C" w:rsidRPr="00822C52" w:rsidRDefault="0075777C" w:rsidP="004C1FAC">
            <w:pPr>
              <w:pStyle w:val="Tabletext"/>
              <w:rPr>
                <w:rFonts w:cs="Tahoma"/>
              </w:rPr>
            </w:pPr>
            <w:r w:rsidRPr="00822C52">
              <w:rPr>
                <w:rFonts w:cs="Tahoma"/>
              </w:rPr>
              <w:t>A</w:t>
            </w:r>
            <w:r>
              <w:rPr>
                <w:rFonts w:cs="Tahoma"/>
              </w:rPr>
              <w:t>ny</w:t>
            </w:r>
            <w:r w:rsidRPr="00822C52">
              <w:rPr>
                <w:rFonts w:cs="Tahoma"/>
              </w:rPr>
              <w:t xml:space="preserve"> AE</w:t>
            </w:r>
            <w:r w:rsidR="00730401">
              <w:rPr>
                <w:rFonts w:cs="Tahoma"/>
              </w:rPr>
              <w:t>s</w:t>
            </w:r>
          </w:p>
        </w:tc>
        <w:tc>
          <w:tcPr>
            <w:tcW w:w="1914" w:type="dxa"/>
            <w:shd w:val="clear" w:color="auto" w:fill="auto"/>
          </w:tcPr>
          <w:p w:rsidR="0075777C" w:rsidRPr="00822C52" w:rsidRDefault="0075777C" w:rsidP="004C1FAC">
            <w:pPr>
              <w:pStyle w:val="Tabletext"/>
              <w:jc w:val="center"/>
              <w:rPr>
                <w:rFonts w:cs="Tahoma"/>
              </w:rPr>
            </w:pPr>
            <w:r w:rsidRPr="00822C52">
              <w:rPr>
                <w:rFonts w:cs="Tahoma"/>
              </w:rPr>
              <w:t>39/42 (93%)</w:t>
            </w:r>
          </w:p>
        </w:tc>
        <w:tc>
          <w:tcPr>
            <w:tcW w:w="1914" w:type="dxa"/>
            <w:shd w:val="clear" w:color="auto" w:fill="auto"/>
          </w:tcPr>
          <w:p w:rsidR="0075777C" w:rsidRPr="00822C52" w:rsidRDefault="0075777C" w:rsidP="004C1FAC">
            <w:pPr>
              <w:pStyle w:val="Tabletext"/>
              <w:jc w:val="center"/>
              <w:rPr>
                <w:rFonts w:cs="Tahoma"/>
              </w:rPr>
            </w:pPr>
            <w:r w:rsidRPr="00822C52">
              <w:rPr>
                <w:rFonts w:cs="Tahoma"/>
              </w:rPr>
              <w:t>38/45 (84%)</w:t>
            </w:r>
          </w:p>
        </w:tc>
        <w:tc>
          <w:tcPr>
            <w:tcW w:w="1842" w:type="dxa"/>
          </w:tcPr>
          <w:p w:rsidR="0075777C" w:rsidRPr="00822C52" w:rsidRDefault="0075777C" w:rsidP="004C1FAC">
            <w:pPr>
              <w:pStyle w:val="Tabletext"/>
              <w:rPr>
                <w:rFonts w:cs="Tahoma"/>
              </w:rPr>
            </w:pPr>
            <w:r>
              <w:rPr>
                <w:rFonts w:cs="Tahoma"/>
              </w:rPr>
              <w:t>1.10 (0.95, 1.28)</w:t>
            </w:r>
          </w:p>
        </w:tc>
      </w:tr>
      <w:tr w:rsidR="0075777C" w:rsidRPr="00822C52" w:rsidTr="004C1FAC">
        <w:trPr>
          <w:trHeight w:val="70"/>
        </w:trPr>
        <w:tc>
          <w:tcPr>
            <w:tcW w:w="1696" w:type="dxa"/>
          </w:tcPr>
          <w:p w:rsidR="0075777C" w:rsidRPr="00822C52" w:rsidRDefault="0075777C" w:rsidP="004C1FAC">
            <w:pPr>
              <w:pStyle w:val="Tabletext"/>
              <w:rPr>
                <w:rFonts w:cs="Tahoma"/>
              </w:rPr>
            </w:pPr>
            <w:r w:rsidRPr="00822C52">
              <w:rPr>
                <w:rFonts w:cs="Tahoma"/>
              </w:rPr>
              <w:t>Zhuang 2014</w:t>
            </w:r>
            <w:r w:rsidR="001D34EE" w:rsidRPr="001A1C44">
              <w:rPr>
                <w:rFonts w:cs="Tahoma"/>
                <w:noProof/>
                <w:vertAlign w:val="superscript"/>
              </w:rPr>
              <w:t>50</w:t>
            </w:r>
          </w:p>
          <w:p w:rsidR="0075777C" w:rsidRPr="00822C52" w:rsidRDefault="0075777C" w:rsidP="004C1FAC">
            <w:pPr>
              <w:pStyle w:val="Tabletext"/>
              <w:rPr>
                <w:rFonts w:cs="Tahoma"/>
              </w:rPr>
            </w:pPr>
            <w:r w:rsidRPr="00822C52">
              <w:rPr>
                <w:rFonts w:cs="Tahoma"/>
              </w:rPr>
              <w:t>16 weeks</w:t>
            </w:r>
          </w:p>
          <w:p w:rsidR="0075777C" w:rsidRPr="00822C52" w:rsidRDefault="004C1FAC" w:rsidP="004C1FAC">
            <w:pPr>
              <w:pStyle w:val="Tabletext"/>
              <w:rPr>
                <w:rFonts w:cs="Tahoma"/>
              </w:rPr>
            </w:pPr>
            <w:r>
              <w:t>Tadalafil/</w:t>
            </w:r>
            <w:r w:rsidR="0075777C" w:rsidRPr="00822C52">
              <w:t>ambrisentan</w:t>
            </w:r>
          </w:p>
        </w:tc>
        <w:tc>
          <w:tcPr>
            <w:tcW w:w="2268" w:type="dxa"/>
          </w:tcPr>
          <w:p w:rsidR="0075777C" w:rsidRPr="00822C52" w:rsidRDefault="0075777C" w:rsidP="004C1FAC">
            <w:pPr>
              <w:pStyle w:val="Tabletext"/>
              <w:rPr>
                <w:rFonts w:cs="Tahoma"/>
              </w:rPr>
            </w:pPr>
            <w:r w:rsidRPr="00822C52">
              <w:rPr>
                <w:rFonts w:cs="Tahoma"/>
              </w:rPr>
              <w:t>Discontinuation due to AE</w:t>
            </w:r>
            <w:r w:rsidR="00730401">
              <w:rPr>
                <w:rFonts w:cs="Tahoma"/>
              </w:rPr>
              <w:t>s</w:t>
            </w:r>
          </w:p>
        </w:tc>
        <w:tc>
          <w:tcPr>
            <w:tcW w:w="1914" w:type="dxa"/>
            <w:shd w:val="clear" w:color="auto" w:fill="auto"/>
          </w:tcPr>
          <w:p w:rsidR="0075777C" w:rsidRPr="00822C52" w:rsidRDefault="0075777C" w:rsidP="004C1FAC">
            <w:pPr>
              <w:pStyle w:val="Tabletext"/>
              <w:jc w:val="center"/>
              <w:rPr>
                <w:rFonts w:cs="Tahoma"/>
              </w:rPr>
            </w:pPr>
            <w:r w:rsidRPr="00822C52">
              <w:rPr>
                <w:rFonts w:cs="Tahoma"/>
              </w:rPr>
              <w:t>3/60 (5%)</w:t>
            </w:r>
          </w:p>
        </w:tc>
        <w:tc>
          <w:tcPr>
            <w:tcW w:w="1914" w:type="dxa"/>
            <w:shd w:val="clear" w:color="auto" w:fill="auto"/>
          </w:tcPr>
          <w:p w:rsidR="0075777C" w:rsidRPr="00822C52" w:rsidRDefault="0075777C" w:rsidP="004C1FAC">
            <w:pPr>
              <w:pStyle w:val="Tabletext"/>
              <w:jc w:val="center"/>
              <w:rPr>
                <w:rFonts w:cs="Tahoma"/>
              </w:rPr>
            </w:pPr>
            <w:r w:rsidRPr="00822C52">
              <w:rPr>
                <w:rFonts w:cs="Tahoma"/>
              </w:rPr>
              <w:t>0/64 (0%)</w:t>
            </w:r>
          </w:p>
        </w:tc>
        <w:tc>
          <w:tcPr>
            <w:tcW w:w="1842" w:type="dxa"/>
          </w:tcPr>
          <w:p w:rsidR="0075777C" w:rsidRPr="00822C52" w:rsidRDefault="0075777C" w:rsidP="004C1FAC">
            <w:pPr>
              <w:pStyle w:val="Tabletext"/>
              <w:rPr>
                <w:rFonts w:cs="Tahoma"/>
              </w:rPr>
            </w:pPr>
            <w:r>
              <w:rPr>
                <w:rFonts w:cs="Tahoma"/>
              </w:rPr>
              <w:t>Not calculable</w:t>
            </w:r>
          </w:p>
        </w:tc>
      </w:tr>
      <w:tr w:rsidR="0075777C" w:rsidRPr="00822C52" w:rsidTr="004C1FAC">
        <w:trPr>
          <w:trHeight w:val="70"/>
        </w:trPr>
        <w:tc>
          <w:tcPr>
            <w:tcW w:w="1696" w:type="dxa"/>
          </w:tcPr>
          <w:p w:rsidR="0075777C" w:rsidRPr="00822C52" w:rsidRDefault="0075777C" w:rsidP="004C1FAC">
            <w:pPr>
              <w:pStyle w:val="Tabletext"/>
              <w:rPr>
                <w:rFonts w:cs="Tahoma"/>
              </w:rPr>
            </w:pPr>
            <w:r w:rsidRPr="00822C52">
              <w:rPr>
                <w:rFonts w:cs="Tahoma"/>
              </w:rPr>
              <w:t>Vizza 2017</w:t>
            </w:r>
            <w:r w:rsidR="001D34EE" w:rsidRPr="001A1C44">
              <w:rPr>
                <w:rFonts w:cs="Tahoma"/>
                <w:noProof/>
                <w:vertAlign w:val="superscript"/>
              </w:rPr>
              <w:t>49</w:t>
            </w:r>
          </w:p>
          <w:p w:rsidR="0075777C" w:rsidRPr="00822C52" w:rsidRDefault="0075777C" w:rsidP="004C1FAC">
            <w:pPr>
              <w:pStyle w:val="Tabletext"/>
              <w:rPr>
                <w:rFonts w:cs="Tahoma"/>
              </w:rPr>
            </w:pPr>
            <w:r w:rsidRPr="00822C52">
              <w:rPr>
                <w:rFonts w:cs="Tahoma"/>
              </w:rPr>
              <w:t>12 weeks</w:t>
            </w:r>
          </w:p>
          <w:p w:rsidR="0075777C" w:rsidRPr="00822C52" w:rsidRDefault="0075777C" w:rsidP="004C1FAC">
            <w:pPr>
              <w:pStyle w:val="Tabletext"/>
              <w:rPr>
                <w:rFonts w:cs="Tahoma"/>
              </w:rPr>
            </w:pPr>
            <w:r w:rsidRPr="00822C52">
              <w:rPr>
                <w:rFonts w:cs="Tahoma"/>
              </w:rPr>
              <w:t>Sildenafil/bosentan</w:t>
            </w:r>
          </w:p>
        </w:tc>
        <w:tc>
          <w:tcPr>
            <w:tcW w:w="2268" w:type="dxa"/>
          </w:tcPr>
          <w:p w:rsidR="0075777C" w:rsidRPr="00822C52" w:rsidRDefault="0075777C" w:rsidP="004C1FAC">
            <w:pPr>
              <w:pStyle w:val="Tabletext"/>
              <w:rPr>
                <w:rFonts w:cs="Tahoma"/>
              </w:rPr>
            </w:pPr>
            <w:r w:rsidRPr="00822C52">
              <w:rPr>
                <w:rFonts w:cs="Tahoma"/>
              </w:rPr>
              <w:t>Any AE</w:t>
            </w:r>
          </w:p>
          <w:p w:rsidR="0075777C" w:rsidRPr="00822C52" w:rsidRDefault="0075777C" w:rsidP="004C1FAC">
            <w:pPr>
              <w:pStyle w:val="Tabletext"/>
              <w:rPr>
                <w:rFonts w:cs="Tahoma"/>
              </w:rPr>
            </w:pPr>
            <w:r w:rsidRPr="00822C52">
              <w:rPr>
                <w:rFonts w:cs="Tahoma"/>
              </w:rPr>
              <w:t>Treatment-related AEs</w:t>
            </w:r>
          </w:p>
          <w:p w:rsidR="0075777C" w:rsidRPr="00822C52" w:rsidRDefault="00730401" w:rsidP="004C1FAC">
            <w:pPr>
              <w:pStyle w:val="Tabletext"/>
              <w:rPr>
                <w:rFonts w:cs="Tahoma"/>
              </w:rPr>
            </w:pPr>
            <w:r>
              <w:rPr>
                <w:rFonts w:cs="Tahoma"/>
              </w:rPr>
              <w:t>S</w:t>
            </w:r>
            <w:r w:rsidR="0075777C" w:rsidRPr="00822C52">
              <w:rPr>
                <w:rFonts w:cs="Tahoma"/>
              </w:rPr>
              <w:t>erious AEs</w:t>
            </w:r>
          </w:p>
          <w:p w:rsidR="0075777C" w:rsidRPr="00822C52" w:rsidRDefault="0075777C" w:rsidP="004C1FAC">
            <w:pPr>
              <w:pStyle w:val="Tabletext"/>
              <w:rPr>
                <w:rFonts w:cs="Tahoma"/>
              </w:rPr>
            </w:pPr>
            <w:r w:rsidRPr="00822C52">
              <w:rPr>
                <w:rFonts w:cs="Tahoma"/>
              </w:rPr>
              <w:t>Treatment-related serious AEs</w:t>
            </w:r>
          </w:p>
        </w:tc>
        <w:tc>
          <w:tcPr>
            <w:tcW w:w="1914" w:type="dxa"/>
            <w:shd w:val="clear" w:color="auto" w:fill="auto"/>
          </w:tcPr>
          <w:p w:rsidR="0075777C" w:rsidRPr="00822C52" w:rsidRDefault="0075777C" w:rsidP="004C1FAC">
            <w:pPr>
              <w:pStyle w:val="Tabletext"/>
              <w:jc w:val="center"/>
              <w:rPr>
                <w:rFonts w:cs="Tahoma"/>
              </w:rPr>
            </w:pPr>
            <w:r w:rsidRPr="00822C52">
              <w:rPr>
                <w:rFonts w:cs="Tahoma"/>
              </w:rPr>
              <w:t>34/50 (68%)</w:t>
            </w:r>
          </w:p>
          <w:p w:rsidR="0075777C" w:rsidRPr="00822C52" w:rsidRDefault="0075777C" w:rsidP="004C1FAC">
            <w:pPr>
              <w:pStyle w:val="Tabletext"/>
              <w:jc w:val="center"/>
              <w:rPr>
                <w:rFonts w:cs="Tahoma"/>
              </w:rPr>
            </w:pPr>
            <w:r w:rsidRPr="00822C52">
              <w:rPr>
                <w:rFonts w:cs="Tahoma"/>
              </w:rPr>
              <w:t>17/50 (34%)</w:t>
            </w:r>
          </w:p>
          <w:p w:rsidR="0075777C" w:rsidRPr="00822C52" w:rsidRDefault="0075777C" w:rsidP="004C1FAC">
            <w:pPr>
              <w:pStyle w:val="Tabletext"/>
              <w:jc w:val="center"/>
              <w:rPr>
                <w:rFonts w:cs="Tahoma"/>
              </w:rPr>
            </w:pPr>
            <w:r w:rsidRPr="00822C52">
              <w:rPr>
                <w:rFonts w:cs="Tahoma"/>
              </w:rPr>
              <w:t>9/50 (18%)</w:t>
            </w:r>
          </w:p>
          <w:p w:rsidR="0075777C" w:rsidRPr="00822C52" w:rsidRDefault="0075777C" w:rsidP="004C1FAC">
            <w:pPr>
              <w:pStyle w:val="Tabletext"/>
              <w:jc w:val="center"/>
              <w:rPr>
                <w:rFonts w:cs="Tahoma"/>
              </w:rPr>
            </w:pPr>
            <w:r w:rsidRPr="00822C52">
              <w:rPr>
                <w:rFonts w:cs="Tahoma"/>
              </w:rPr>
              <w:t>1/50 (2%)</w:t>
            </w:r>
          </w:p>
        </w:tc>
        <w:tc>
          <w:tcPr>
            <w:tcW w:w="1914" w:type="dxa"/>
            <w:shd w:val="clear" w:color="auto" w:fill="auto"/>
          </w:tcPr>
          <w:p w:rsidR="0075777C" w:rsidRPr="00822C52" w:rsidRDefault="0075777C" w:rsidP="004C1FAC">
            <w:pPr>
              <w:pStyle w:val="Tabletext"/>
              <w:jc w:val="center"/>
              <w:rPr>
                <w:rFonts w:cs="Tahoma"/>
              </w:rPr>
            </w:pPr>
            <w:r w:rsidRPr="00822C52">
              <w:rPr>
                <w:rFonts w:cs="Tahoma"/>
              </w:rPr>
              <w:t>41/53 (77%)</w:t>
            </w:r>
          </w:p>
          <w:p w:rsidR="0075777C" w:rsidRPr="00822C52" w:rsidRDefault="0075777C" w:rsidP="004C1FAC">
            <w:pPr>
              <w:pStyle w:val="Tabletext"/>
              <w:jc w:val="center"/>
              <w:rPr>
                <w:rFonts w:cs="Tahoma"/>
              </w:rPr>
            </w:pPr>
            <w:r w:rsidRPr="00822C52">
              <w:rPr>
                <w:rFonts w:cs="Tahoma"/>
              </w:rPr>
              <w:t>13/53 (25%)</w:t>
            </w:r>
          </w:p>
          <w:p w:rsidR="0075777C" w:rsidRPr="00822C52" w:rsidRDefault="0075777C" w:rsidP="004C1FAC">
            <w:pPr>
              <w:pStyle w:val="Tabletext"/>
              <w:jc w:val="center"/>
              <w:rPr>
                <w:rFonts w:cs="Tahoma"/>
              </w:rPr>
            </w:pPr>
            <w:r w:rsidRPr="00822C52">
              <w:rPr>
                <w:rFonts w:cs="Tahoma"/>
              </w:rPr>
              <w:t>12/53 (23%)</w:t>
            </w:r>
          </w:p>
          <w:p w:rsidR="0075777C" w:rsidRPr="00822C52" w:rsidRDefault="0075777C" w:rsidP="004C1FAC">
            <w:pPr>
              <w:pStyle w:val="Tabletext"/>
              <w:jc w:val="center"/>
              <w:rPr>
                <w:rFonts w:cs="Tahoma"/>
              </w:rPr>
            </w:pPr>
            <w:r w:rsidRPr="00822C52">
              <w:rPr>
                <w:rFonts w:cs="Tahoma"/>
              </w:rPr>
              <w:t>0/53 (0%)</w:t>
            </w:r>
          </w:p>
        </w:tc>
        <w:tc>
          <w:tcPr>
            <w:tcW w:w="1842" w:type="dxa"/>
          </w:tcPr>
          <w:p w:rsidR="0075777C" w:rsidRDefault="0075777C" w:rsidP="004C1FAC">
            <w:pPr>
              <w:pStyle w:val="Tabletext"/>
              <w:rPr>
                <w:rFonts w:cs="Tahoma"/>
              </w:rPr>
            </w:pPr>
            <w:r>
              <w:rPr>
                <w:rFonts w:cs="Tahoma"/>
              </w:rPr>
              <w:t>0.88 (0.69, 1.12)</w:t>
            </w:r>
          </w:p>
          <w:p w:rsidR="0075777C" w:rsidRDefault="0075777C" w:rsidP="004C1FAC">
            <w:pPr>
              <w:pStyle w:val="Tabletext"/>
              <w:rPr>
                <w:rFonts w:cs="Tahoma"/>
              </w:rPr>
            </w:pPr>
            <w:r>
              <w:rPr>
                <w:rFonts w:cs="Tahoma"/>
              </w:rPr>
              <w:t>1.39 (0.75, 2.55)</w:t>
            </w:r>
          </w:p>
          <w:p w:rsidR="0075777C" w:rsidRDefault="0075777C" w:rsidP="004C1FAC">
            <w:pPr>
              <w:pStyle w:val="Tabletext"/>
              <w:rPr>
                <w:rFonts w:cs="Tahoma"/>
              </w:rPr>
            </w:pPr>
            <w:r>
              <w:rPr>
                <w:rFonts w:cs="Tahoma"/>
              </w:rPr>
              <w:t>0.80 (0.37, 1.72)</w:t>
            </w:r>
          </w:p>
          <w:p w:rsidR="0075777C" w:rsidRPr="00822C52" w:rsidRDefault="0075777C" w:rsidP="004C1FAC">
            <w:pPr>
              <w:pStyle w:val="Tabletext"/>
              <w:rPr>
                <w:rFonts w:cs="Tahoma"/>
              </w:rPr>
            </w:pPr>
            <w:r>
              <w:rPr>
                <w:rFonts w:cs="Tahoma"/>
              </w:rPr>
              <w:t>Not calculable</w:t>
            </w:r>
          </w:p>
        </w:tc>
      </w:tr>
    </w:tbl>
    <w:p w:rsidR="00575ECF" w:rsidRDefault="0075777C" w:rsidP="004C1FAC">
      <w:pPr>
        <w:pStyle w:val="Tablenote"/>
      </w:pPr>
      <w:r w:rsidRPr="00822C52">
        <w:t xml:space="preserve">AE = adverse event; CI = confidence interval; ERA = endothelin receptor antagonist; FAV = final assessment visit; n = number of </w:t>
      </w:r>
      <w:r w:rsidR="00575ECF">
        <w:t xml:space="preserve">patients with </w:t>
      </w:r>
      <w:r w:rsidRPr="00822C52">
        <w:t xml:space="preserve">events; N = number of patients; PAH = pulmonary arterial hypertension; </w:t>
      </w:r>
      <w:r>
        <w:t>PDE-5i</w:t>
      </w:r>
      <w:r w:rsidRPr="00822C52">
        <w:t xml:space="preserve"> = phosphodiesterase type-5 inhibitor; RR = relative risk</w:t>
      </w:r>
    </w:p>
    <w:p w:rsidR="0075777C" w:rsidRDefault="0075777C" w:rsidP="004C1FAC">
      <w:pPr>
        <w:spacing w:after="40" w:line="240" w:lineRule="auto"/>
      </w:pPr>
      <w:r>
        <w:rPr>
          <w:noProof/>
          <w:lang w:eastAsia="en-AU"/>
        </w:rPr>
        <w:drawing>
          <wp:inline distT="0" distB="0" distL="0" distR="0" wp14:anchorId="61F65867" wp14:editId="42AA4FCB">
            <wp:extent cx="6148317" cy="3443284"/>
            <wp:effectExtent l="0" t="0" r="5080" b="5080"/>
            <wp:docPr id="51" name="Picture 51" descr="The estimated RR for any AE from the meta-analysis was 1.00 (95% CI 0.79, 1.27). The estimated RR for serious AEs was 0.99 (95% CI 0.76, 1.29). The estimated RR for AEs leading to treatment discontinuation was 1.65 (95% CI 0.35, 7.81). " title="Forest plot showing the RR of having an AE, serious AE or an AE leading to treatment discontinuation while being treated with a PDE-5 inhibitor and an ERA compared with ERA alone in all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6154155" cy="3446554"/>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DD7790" w:rsidRDefault="004C1FAC" w:rsidP="00BC5A2B">
      <w:pPr>
        <w:pStyle w:val="Caption"/>
        <w:rPr>
          <w:rFonts w:ascii="Arial Narrow" w:hAnsi="Arial Narrow" w:cs="Tahoma"/>
          <w:u w:val="single"/>
        </w:rPr>
      </w:pPr>
      <w:bookmarkStart w:id="225" w:name="_Ref506304886"/>
      <w:bookmarkStart w:id="226" w:name="_Toc512855593"/>
      <w:r>
        <w:lastRenderedPageBreak/>
        <w:t>Figure 4.</w:t>
      </w:r>
      <w:r w:rsidR="00AA722D">
        <w:rPr>
          <w:noProof/>
        </w:rPr>
        <w:t>20</w:t>
      </w:r>
      <w:bookmarkEnd w:id="225"/>
      <w:r>
        <w:tab/>
      </w:r>
      <w:r w:rsidR="0075777C" w:rsidRPr="00DD7790">
        <w:t xml:space="preserve">Forest plot showing the RR of </w:t>
      </w:r>
      <w:r w:rsidR="0075777C">
        <w:t>having an AE, serious AE or an AE leading to treatment discontinuation</w:t>
      </w:r>
      <w:r w:rsidR="0075777C" w:rsidRPr="00DD7790">
        <w:t xml:space="preserve"> while being treated with </w:t>
      </w:r>
      <w:r w:rsidR="0075777C">
        <w:t xml:space="preserve">a </w:t>
      </w:r>
      <w:r w:rsidR="0075777C" w:rsidRPr="00DD7790">
        <w:t xml:space="preserve">PDE-5 inhibitor and an ERA compared with </w:t>
      </w:r>
      <w:r w:rsidR="0075777C">
        <w:t>ERA</w:t>
      </w:r>
      <w:r w:rsidR="0075777C" w:rsidRPr="00DD7790">
        <w:t xml:space="preserve"> alone in all PAH patients</w:t>
      </w:r>
      <w:bookmarkEnd w:id="226"/>
    </w:p>
    <w:p w:rsidR="001E16B8" w:rsidRPr="00822C52" w:rsidRDefault="001E16B8" w:rsidP="004C1FAC">
      <w:pPr>
        <w:pStyle w:val="Tablenote"/>
      </w:pPr>
      <w:r>
        <w:t xml:space="preserve">AE = adverse event; </w:t>
      </w:r>
      <w:r w:rsidR="0075777C" w:rsidRPr="00822C52">
        <w:t xml:space="preserve">CI = confidence interval; ERA = </w:t>
      </w:r>
      <w:r w:rsidR="0006512A">
        <w:t>endothelin receptor</w:t>
      </w:r>
      <w:r w:rsidR="0075777C" w:rsidRPr="00822C52">
        <w:t xml:space="preserve"> antagonists; N = number of patients; </w:t>
      </w:r>
      <w:r w:rsidRPr="00715D78">
        <w:t xml:space="preserve">PAH = pulmonary arterial hypertension; </w:t>
      </w:r>
      <w:r w:rsidR="0075777C">
        <w:t>PDE-5i</w:t>
      </w:r>
      <w:r w:rsidR="0075777C" w:rsidRPr="00822C52">
        <w:t xml:space="preserve"> = phosphodiesterase type-5 inhibitor; RR = relative risk</w:t>
      </w:r>
    </w:p>
    <w:p w:rsidR="0075777C" w:rsidRPr="00B607A5" w:rsidRDefault="002E4833" w:rsidP="0077344D">
      <w:pPr>
        <w:pStyle w:val="Heading6"/>
      </w:pPr>
      <w:r w:rsidRPr="00B607A5">
        <w:t>h</w:t>
      </w:r>
      <w:r w:rsidR="0075777C" w:rsidRPr="00B607A5">
        <w:t>.iii</w:t>
      </w:r>
      <w:r w:rsidR="0075777C" w:rsidRPr="00B607A5">
        <w:tab/>
        <w:t>PAH patients with different disease aetiologies</w:t>
      </w:r>
    </w:p>
    <w:p w:rsidR="0075777C" w:rsidRPr="00822C52" w:rsidRDefault="0075777C" w:rsidP="0075777C">
      <w:r>
        <w:t xml:space="preserve">The AMBITION trial reported no </w:t>
      </w:r>
      <w:r w:rsidR="00972E50">
        <w:t xml:space="preserve">statistically significant </w:t>
      </w:r>
      <w:r>
        <w:t>difference in the proportion of patients with PAH-CTD receiving combination therapy who had an AE, serious AE or an A</w:t>
      </w:r>
      <w:r w:rsidR="00B60655">
        <w:t>E</w:t>
      </w:r>
      <w:r>
        <w:t xml:space="preserve"> leading to discontinuation of study treatment compared with those on monotherapy</w:t>
      </w:r>
      <w:r w:rsidR="00972E50">
        <w:t xml:space="preserve">, although the point estimate of RR for serious AEs (1.28; 95% CI 0.80, 2.04) suggests possible safety concerns in the use of combination therapy </w:t>
      </w:r>
      <w:r w:rsidR="00972E50" w:rsidRPr="00972E50">
        <w:t xml:space="preserve">in patients with PAH-CTD </w:t>
      </w:r>
      <w:r>
        <w:t>(</w:t>
      </w:r>
      <w:r w:rsidR="00AA722D">
        <w:t>Table 4.</w:t>
      </w:r>
      <w:r w:rsidR="00AA722D">
        <w:rPr>
          <w:noProof/>
        </w:rPr>
        <w:t>71</w:t>
      </w:r>
      <w:r>
        <w:t>).</w:t>
      </w:r>
    </w:p>
    <w:p w:rsidR="0075777C" w:rsidRPr="00DD7790" w:rsidRDefault="00272F8F" w:rsidP="00BC5A2B">
      <w:pPr>
        <w:pStyle w:val="Caption"/>
      </w:pPr>
      <w:bookmarkStart w:id="227" w:name="_Ref504656573"/>
      <w:bookmarkStart w:id="228" w:name="_Toc512855475"/>
      <w:r>
        <w:t>Table 4.</w:t>
      </w:r>
      <w:r w:rsidR="00AA722D">
        <w:rPr>
          <w:noProof/>
        </w:rPr>
        <w:t>71</w:t>
      </w:r>
      <w:bookmarkEnd w:id="227"/>
      <w:r w:rsidR="004C1FAC">
        <w:tab/>
      </w:r>
      <w:r w:rsidR="0075777C" w:rsidRPr="00DD7790">
        <w:t xml:space="preserve">The comparative safety of </w:t>
      </w:r>
      <w:r w:rsidR="00385078">
        <w:t xml:space="preserve">a </w:t>
      </w:r>
      <w:r w:rsidR="00385078" w:rsidRPr="00DD7790">
        <w:t>PDE-5 inhibitor</w:t>
      </w:r>
      <w:r w:rsidR="00385078">
        <w:t xml:space="preserve"> in addition to an</w:t>
      </w:r>
      <w:r w:rsidR="00385078" w:rsidRPr="00DD7790">
        <w:t xml:space="preserve"> ERA compared with ERA</w:t>
      </w:r>
      <w:r w:rsidR="00385078">
        <w:t xml:space="preserve"> monotherapy</w:t>
      </w:r>
      <w:r w:rsidR="00385078" w:rsidRPr="00DD7790">
        <w:t xml:space="preserve"> </w:t>
      </w:r>
      <w:r w:rsidR="0075777C" w:rsidRPr="00DD7790">
        <w:t>in patients with different PAH aetiologies</w:t>
      </w:r>
      <w:bookmarkEnd w:id="228"/>
    </w:p>
    <w:tbl>
      <w:tblPr>
        <w:tblStyle w:val="TableGrid7"/>
        <w:tblW w:w="9634" w:type="dxa"/>
        <w:tblLayout w:type="fixed"/>
        <w:tblLook w:val="04A0" w:firstRow="1" w:lastRow="0" w:firstColumn="1" w:lastColumn="0" w:noHBand="0" w:noVBand="1"/>
        <w:tblCaption w:val="The comparative safety of a PDE-5 inhibitor in addition to an ERA compared with ERA monotherapy in patients with different PAH aetiologies"/>
      </w:tblPr>
      <w:tblGrid>
        <w:gridCol w:w="1838"/>
        <w:gridCol w:w="1985"/>
        <w:gridCol w:w="1842"/>
        <w:gridCol w:w="1843"/>
        <w:gridCol w:w="2126"/>
      </w:tblGrid>
      <w:tr w:rsidR="0075777C" w:rsidRPr="00822C52" w:rsidTr="00345789">
        <w:trPr>
          <w:trHeight w:val="200"/>
          <w:tblHeader/>
        </w:trPr>
        <w:tc>
          <w:tcPr>
            <w:tcW w:w="1838" w:type="dxa"/>
            <w:vMerge w:val="restart"/>
            <w:shd w:val="clear" w:color="auto" w:fill="BFBFBF" w:themeFill="background1" w:themeFillShade="BF"/>
          </w:tcPr>
          <w:p w:rsidR="0075777C" w:rsidRPr="00345789" w:rsidRDefault="0075777C" w:rsidP="00345789">
            <w:pPr>
              <w:pStyle w:val="Tabletext"/>
              <w:rPr>
                <w:b/>
              </w:rPr>
            </w:pPr>
            <w:r w:rsidRPr="00345789">
              <w:rPr>
                <w:b/>
              </w:rPr>
              <w:t>Study ID</w:t>
            </w:r>
          </w:p>
          <w:p w:rsidR="0075777C" w:rsidRPr="00345789" w:rsidRDefault="0075777C" w:rsidP="00345789">
            <w:pPr>
              <w:pStyle w:val="Tabletext"/>
              <w:rPr>
                <w:b/>
              </w:rPr>
            </w:pPr>
            <w:r w:rsidRPr="00345789">
              <w:rPr>
                <w:b/>
              </w:rPr>
              <w:t>Follow-up period</w:t>
            </w:r>
          </w:p>
          <w:p w:rsidR="0075777C" w:rsidRPr="00345789" w:rsidRDefault="0075777C" w:rsidP="00345789">
            <w:pPr>
              <w:pStyle w:val="Tabletext"/>
              <w:rPr>
                <w:b/>
              </w:rPr>
            </w:pPr>
            <w:r w:rsidRPr="00345789">
              <w:rPr>
                <w:b/>
              </w:rPr>
              <w:t>PDE-5i/ERA</w:t>
            </w:r>
          </w:p>
        </w:tc>
        <w:tc>
          <w:tcPr>
            <w:tcW w:w="1985" w:type="dxa"/>
            <w:vMerge w:val="restart"/>
            <w:shd w:val="clear" w:color="auto" w:fill="BFBFBF" w:themeFill="background1" w:themeFillShade="BF"/>
          </w:tcPr>
          <w:p w:rsidR="0075777C" w:rsidRPr="00345789" w:rsidRDefault="0075777C" w:rsidP="00345789">
            <w:pPr>
              <w:pStyle w:val="Tabletext"/>
              <w:rPr>
                <w:b/>
              </w:rPr>
            </w:pPr>
            <w:r w:rsidRPr="00345789">
              <w:rPr>
                <w:b/>
              </w:rPr>
              <w:t>AE</w:t>
            </w:r>
          </w:p>
        </w:tc>
        <w:tc>
          <w:tcPr>
            <w:tcW w:w="3685" w:type="dxa"/>
            <w:gridSpan w:val="2"/>
            <w:shd w:val="clear" w:color="auto" w:fill="BFBFBF" w:themeFill="background1" w:themeFillShade="BF"/>
          </w:tcPr>
          <w:p w:rsidR="0075777C" w:rsidRPr="00345789" w:rsidRDefault="0075777C" w:rsidP="00345789">
            <w:pPr>
              <w:pStyle w:val="Tabletext"/>
              <w:jc w:val="center"/>
              <w:rPr>
                <w:b/>
              </w:rPr>
            </w:pPr>
            <w:r w:rsidRPr="00345789">
              <w:rPr>
                <w:b/>
              </w:rPr>
              <w:t>n/N (%)</w:t>
            </w:r>
          </w:p>
        </w:tc>
        <w:tc>
          <w:tcPr>
            <w:tcW w:w="2126" w:type="dxa"/>
            <w:vMerge w:val="restart"/>
            <w:shd w:val="clear" w:color="auto" w:fill="BFBFBF" w:themeFill="background1" w:themeFillShade="BF"/>
          </w:tcPr>
          <w:p w:rsidR="0075777C" w:rsidRPr="00345789" w:rsidRDefault="0075777C" w:rsidP="00345789">
            <w:pPr>
              <w:pStyle w:val="Tabletext"/>
              <w:rPr>
                <w:b/>
              </w:rPr>
            </w:pPr>
            <w:r w:rsidRPr="00345789">
              <w:rPr>
                <w:b/>
              </w:rPr>
              <w:t>RR (95% CI)</w:t>
            </w:r>
          </w:p>
        </w:tc>
      </w:tr>
      <w:tr w:rsidR="0075777C" w:rsidRPr="00822C52" w:rsidTr="00345789">
        <w:trPr>
          <w:trHeight w:val="202"/>
          <w:tblHeader/>
        </w:trPr>
        <w:tc>
          <w:tcPr>
            <w:tcW w:w="1838" w:type="dxa"/>
            <w:vMerge/>
            <w:shd w:val="clear" w:color="auto" w:fill="BFBFBF" w:themeFill="background1" w:themeFillShade="BF"/>
          </w:tcPr>
          <w:p w:rsidR="0075777C" w:rsidRPr="00822C52" w:rsidRDefault="0075777C" w:rsidP="00345789">
            <w:pPr>
              <w:pStyle w:val="Tabletext"/>
            </w:pPr>
          </w:p>
        </w:tc>
        <w:tc>
          <w:tcPr>
            <w:tcW w:w="1985" w:type="dxa"/>
            <w:vMerge/>
            <w:shd w:val="clear" w:color="auto" w:fill="BFBFBF" w:themeFill="background1" w:themeFillShade="BF"/>
          </w:tcPr>
          <w:p w:rsidR="0075777C" w:rsidRPr="00822C52" w:rsidRDefault="0075777C" w:rsidP="00345789">
            <w:pPr>
              <w:pStyle w:val="Tabletext"/>
            </w:pPr>
          </w:p>
        </w:tc>
        <w:tc>
          <w:tcPr>
            <w:tcW w:w="1842" w:type="dxa"/>
            <w:shd w:val="clear" w:color="auto" w:fill="BFBFBF" w:themeFill="background1" w:themeFillShade="BF"/>
          </w:tcPr>
          <w:p w:rsidR="0075777C" w:rsidRPr="00345789" w:rsidRDefault="0075777C" w:rsidP="00345789">
            <w:pPr>
              <w:pStyle w:val="Tabletext"/>
              <w:jc w:val="center"/>
              <w:rPr>
                <w:b/>
              </w:rPr>
            </w:pPr>
            <w:r w:rsidRPr="00345789">
              <w:rPr>
                <w:b/>
              </w:rPr>
              <w:t>PDE-5i + ERA</w:t>
            </w:r>
          </w:p>
        </w:tc>
        <w:tc>
          <w:tcPr>
            <w:tcW w:w="1843" w:type="dxa"/>
            <w:shd w:val="clear" w:color="auto" w:fill="BFBFBF" w:themeFill="background1" w:themeFillShade="BF"/>
          </w:tcPr>
          <w:p w:rsidR="0075777C" w:rsidRPr="00345789" w:rsidRDefault="0075777C" w:rsidP="00345789">
            <w:pPr>
              <w:pStyle w:val="Tabletext"/>
              <w:jc w:val="center"/>
              <w:rPr>
                <w:b/>
              </w:rPr>
            </w:pPr>
            <w:r w:rsidRPr="00345789">
              <w:rPr>
                <w:b/>
              </w:rPr>
              <w:t>ERA</w:t>
            </w:r>
          </w:p>
        </w:tc>
        <w:tc>
          <w:tcPr>
            <w:tcW w:w="2126" w:type="dxa"/>
            <w:vMerge/>
            <w:shd w:val="clear" w:color="auto" w:fill="BFBFBF" w:themeFill="background1" w:themeFillShade="BF"/>
          </w:tcPr>
          <w:p w:rsidR="0075777C" w:rsidRPr="00822C52" w:rsidRDefault="0075777C" w:rsidP="00345789">
            <w:pPr>
              <w:pStyle w:val="Tabletext"/>
            </w:pPr>
          </w:p>
        </w:tc>
      </w:tr>
      <w:tr w:rsidR="0075777C" w:rsidRPr="00822C52" w:rsidTr="00345789">
        <w:trPr>
          <w:trHeight w:val="70"/>
        </w:trPr>
        <w:tc>
          <w:tcPr>
            <w:tcW w:w="1838" w:type="dxa"/>
          </w:tcPr>
          <w:p w:rsidR="0075777C" w:rsidRDefault="0075777C" w:rsidP="00345789">
            <w:pPr>
              <w:pStyle w:val="Tabletext"/>
              <w:rPr>
                <w:rFonts w:cs="Tahoma"/>
              </w:rPr>
            </w:pPr>
            <w:r w:rsidRPr="00822C52">
              <w:rPr>
                <w:rFonts w:cs="Tahoma"/>
              </w:rPr>
              <w:t>AMBITION</w:t>
            </w:r>
          </w:p>
          <w:p w:rsidR="0075777C" w:rsidRPr="00822C52" w:rsidRDefault="0075777C" w:rsidP="00345789">
            <w:pPr>
              <w:pStyle w:val="Tabletext"/>
              <w:rPr>
                <w:rFonts w:cs="Tahoma"/>
              </w:rPr>
            </w:pPr>
            <w:r w:rsidRPr="004D1DA8">
              <w:rPr>
                <w:rFonts w:cs="Tahoma"/>
              </w:rPr>
              <w:t>Coghlan et al (2016)</w:t>
            </w:r>
            <w:r w:rsidR="001D34EE" w:rsidRPr="001A1C44">
              <w:rPr>
                <w:rFonts w:cs="Tahoma"/>
                <w:noProof/>
                <w:vertAlign w:val="superscript"/>
              </w:rPr>
              <w:t>31</w:t>
            </w:r>
          </w:p>
          <w:p w:rsidR="0075777C" w:rsidRPr="00822C52" w:rsidRDefault="0075777C" w:rsidP="00345789">
            <w:pPr>
              <w:pStyle w:val="Tabletext"/>
              <w:rPr>
                <w:rFonts w:cs="Tahoma"/>
              </w:rPr>
            </w:pPr>
            <w:r w:rsidRPr="00822C52">
              <w:rPr>
                <w:rFonts w:cs="Tahoma"/>
              </w:rPr>
              <w:t xml:space="preserve">FAV: mean </w:t>
            </w:r>
            <w:r>
              <w:rPr>
                <w:rFonts w:cs="Tahoma"/>
              </w:rPr>
              <w:t>74</w:t>
            </w:r>
            <w:r w:rsidRPr="00822C52">
              <w:rPr>
                <w:rFonts w:cs="Tahoma"/>
              </w:rPr>
              <w:t xml:space="preserve"> weeks</w:t>
            </w:r>
          </w:p>
          <w:p w:rsidR="0075777C" w:rsidRPr="00822C52" w:rsidRDefault="00345789" w:rsidP="00345789">
            <w:pPr>
              <w:pStyle w:val="Tabletext"/>
              <w:rPr>
                <w:rFonts w:cs="Tahoma"/>
              </w:rPr>
            </w:pPr>
            <w:r>
              <w:rPr>
                <w:rFonts w:cs="Tahoma"/>
              </w:rPr>
              <w:t>Tadalafil/</w:t>
            </w:r>
            <w:r w:rsidR="0075777C" w:rsidRPr="00822C52">
              <w:rPr>
                <w:rFonts w:cs="Tahoma"/>
              </w:rPr>
              <w:t>ambrisentan</w:t>
            </w:r>
          </w:p>
        </w:tc>
        <w:tc>
          <w:tcPr>
            <w:tcW w:w="1985" w:type="dxa"/>
          </w:tcPr>
          <w:p w:rsidR="0075777C" w:rsidRPr="00822C52" w:rsidRDefault="0075777C" w:rsidP="00345789">
            <w:pPr>
              <w:pStyle w:val="Tabletext"/>
              <w:rPr>
                <w:rFonts w:cs="Tahoma"/>
              </w:rPr>
            </w:pPr>
            <w:r w:rsidRPr="00822C52">
              <w:rPr>
                <w:rFonts w:cs="Tahoma"/>
              </w:rPr>
              <w:t>PAH-CTD</w:t>
            </w:r>
          </w:p>
          <w:p w:rsidR="0075777C" w:rsidRPr="00822C52" w:rsidRDefault="0075777C" w:rsidP="00345789">
            <w:pPr>
              <w:pStyle w:val="Tabletext"/>
              <w:rPr>
                <w:rFonts w:cs="Tahoma"/>
              </w:rPr>
            </w:pPr>
            <w:r w:rsidRPr="00822C52">
              <w:rPr>
                <w:rFonts w:cs="Tahoma"/>
              </w:rPr>
              <w:t>Any AE</w:t>
            </w:r>
          </w:p>
          <w:p w:rsidR="0075777C" w:rsidRPr="00822C52" w:rsidRDefault="0075777C" w:rsidP="00345789">
            <w:pPr>
              <w:pStyle w:val="Tabletext"/>
              <w:rPr>
                <w:rFonts w:cs="Tahoma"/>
              </w:rPr>
            </w:pPr>
            <w:r w:rsidRPr="00822C52">
              <w:rPr>
                <w:rFonts w:cs="Tahoma"/>
              </w:rPr>
              <w:t>Serious AEs</w:t>
            </w:r>
          </w:p>
          <w:p w:rsidR="0075777C" w:rsidRPr="00822C52" w:rsidRDefault="0075777C" w:rsidP="00345789">
            <w:pPr>
              <w:pStyle w:val="Tabletext"/>
              <w:rPr>
                <w:rFonts w:cs="Tahoma"/>
              </w:rPr>
            </w:pPr>
            <w:r>
              <w:rPr>
                <w:rFonts w:cs="Tahoma"/>
              </w:rPr>
              <w:t>Discontinuation due to AE</w:t>
            </w:r>
          </w:p>
        </w:tc>
        <w:tc>
          <w:tcPr>
            <w:tcW w:w="1842" w:type="dxa"/>
            <w:shd w:val="clear" w:color="auto" w:fill="auto"/>
          </w:tcPr>
          <w:p w:rsidR="0075777C" w:rsidRPr="00822C52" w:rsidRDefault="0075777C" w:rsidP="00345789">
            <w:pPr>
              <w:pStyle w:val="Tabletext"/>
              <w:jc w:val="center"/>
              <w:rPr>
                <w:rFonts w:cs="Tahoma"/>
              </w:rPr>
            </w:pPr>
          </w:p>
          <w:p w:rsidR="0075777C" w:rsidRPr="00822C52" w:rsidRDefault="0075777C" w:rsidP="00345789">
            <w:pPr>
              <w:pStyle w:val="Tabletext"/>
              <w:jc w:val="center"/>
              <w:rPr>
                <w:rFonts w:cs="Tahoma"/>
              </w:rPr>
            </w:pPr>
            <w:r w:rsidRPr="00822C52">
              <w:rPr>
                <w:rFonts w:cs="Tahoma"/>
              </w:rPr>
              <w:t>102/103 (99%)</w:t>
            </w:r>
          </w:p>
          <w:p w:rsidR="0075777C" w:rsidRPr="00822C52" w:rsidRDefault="0075777C" w:rsidP="00345789">
            <w:pPr>
              <w:pStyle w:val="Tabletext"/>
              <w:jc w:val="center"/>
              <w:rPr>
                <w:rFonts w:cs="Tahoma"/>
              </w:rPr>
            </w:pPr>
            <w:r w:rsidRPr="00822C52">
              <w:rPr>
                <w:rFonts w:cs="Tahoma"/>
              </w:rPr>
              <w:t>45/103 (44%)</w:t>
            </w:r>
          </w:p>
          <w:p w:rsidR="0075777C" w:rsidRPr="00822C52" w:rsidRDefault="0075777C" w:rsidP="00345789">
            <w:pPr>
              <w:pStyle w:val="Tabletext"/>
              <w:jc w:val="center"/>
              <w:rPr>
                <w:rFonts w:cs="Tahoma"/>
              </w:rPr>
            </w:pPr>
            <w:r>
              <w:rPr>
                <w:rFonts w:cs="Tahoma"/>
              </w:rPr>
              <w:t>14/103 (14%)</w:t>
            </w:r>
          </w:p>
        </w:tc>
        <w:tc>
          <w:tcPr>
            <w:tcW w:w="1843" w:type="dxa"/>
            <w:shd w:val="clear" w:color="auto" w:fill="auto"/>
          </w:tcPr>
          <w:p w:rsidR="0075777C" w:rsidRPr="00822C52" w:rsidRDefault="0075777C" w:rsidP="00345789">
            <w:pPr>
              <w:pStyle w:val="Tabletext"/>
              <w:jc w:val="center"/>
              <w:rPr>
                <w:rFonts w:cs="Tahoma"/>
              </w:rPr>
            </w:pPr>
          </w:p>
          <w:p w:rsidR="0075777C" w:rsidRPr="00822C52" w:rsidRDefault="0075777C" w:rsidP="00345789">
            <w:pPr>
              <w:pStyle w:val="Tabletext"/>
              <w:jc w:val="center"/>
              <w:rPr>
                <w:rFonts w:cs="Tahoma"/>
              </w:rPr>
            </w:pPr>
            <w:r w:rsidRPr="00822C52">
              <w:rPr>
                <w:rFonts w:cs="Tahoma"/>
              </w:rPr>
              <w:t>42/44 (95%)</w:t>
            </w:r>
          </w:p>
          <w:p w:rsidR="0075777C" w:rsidRPr="00822C52" w:rsidRDefault="0075777C" w:rsidP="00345789">
            <w:pPr>
              <w:pStyle w:val="Tabletext"/>
              <w:jc w:val="center"/>
              <w:rPr>
                <w:rFonts w:cs="Tahoma"/>
              </w:rPr>
            </w:pPr>
            <w:r w:rsidRPr="00822C52">
              <w:rPr>
                <w:rFonts w:cs="Tahoma"/>
              </w:rPr>
              <w:t>15/44 (34%)</w:t>
            </w:r>
          </w:p>
          <w:p w:rsidR="0075777C" w:rsidRPr="00822C52" w:rsidRDefault="0075777C" w:rsidP="00345789">
            <w:pPr>
              <w:pStyle w:val="Tabletext"/>
              <w:jc w:val="center"/>
              <w:rPr>
                <w:rFonts w:cs="Tahoma"/>
              </w:rPr>
            </w:pPr>
            <w:r>
              <w:rPr>
                <w:rFonts w:cs="Tahoma"/>
              </w:rPr>
              <w:t>8/44 (18%)</w:t>
            </w:r>
          </w:p>
        </w:tc>
        <w:tc>
          <w:tcPr>
            <w:tcW w:w="2126" w:type="dxa"/>
          </w:tcPr>
          <w:p w:rsidR="0075777C" w:rsidRDefault="0075777C" w:rsidP="00345789">
            <w:pPr>
              <w:pStyle w:val="Tabletext"/>
              <w:rPr>
                <w:rFonts w:cs="Tahoma"/>
              </w:rPr>
            </w:pPr>
          </w:p>
          <w:p w:rsidR="0075777C" w:rsidRDefault="0075777C" w:rsidP="00345789">
            <w:pPr>
              <w:pStyle w:val="Tabletext"/>
              <w:rPr>
                <w:rFonts w:cs="Tahoma"/>
              </w:rPr>
            </w:pPr>
            <w:r>
              <w:rPr>
                <w:rFonts w:cs="Tahoma"/>
              </w:rPr>
              <w:t>1.04 (0.97, 1.11)</w:t>
            </w:r>
          </w:p>
          <w:p w:rsidR="0075777C" w:rsidRDefault="0075777C" w:rsidP="00345789">
            <w:pPr>
              <w:pStyle w:val="Tabletext"/>
              <w:rPr>
                <w:rFonts w:cs="Tahoma"/>
              </w:rPr>
            </w:pPr>
            <w:r>
              <w:rPr>
                <w:rFonts w:cs="Tahoma"/>
              </w:rPr>
              <w:t>1.28 (0.80, 2.04)</w:t>
            </w:r>
          </w:p>
          <w:p w:rsidR="0075777C" w:rsidRPr="00822C52" w:rsidRDefault="0075777C" w:rsidP="00345789">
            <w:pPr>
              <w:pStyle w:val="Tabletext"/>
              <w:rPr>
                <w:rFonts w:cs="Tahoma"/>
              </w:rPr>
            </w:pPr>
            <w:r>
              <w:rPr>
                <w:rFonts w:cs="Tahoma"/>
              </w:rPr>
              <w:t>0.75 (0.34, 1.65)</w:t>
            </w:r>
          </w:p>
        </w:tc>
      </w:tr>
    </w:tbl>
    <w:p w:rsidR="0075777C" w:rsidRDefault="0075777C" w:rsidP="004C1FAC">
      <w:pPr>
        <w:pStyle w:val="Tablenote"/>
      </w:pPr>
      <w:r w:rsidRPr="00822C52">
        <w:t xml:space="preserve">AE = adverse event; CI = confidence interval; ERA = endothelin receptor antagonist; FAV = final assessment visit; n = number of </w:t>
      </w:r>
      <w:r w:rsidR="001E16B8">
        <w:t xml:space="preserve">patients with </w:t>
      </w:r>
      <w:r w:rsidRPr="00822C52">
        <w:t xml:space="preserve">events; N = number of patients; PAH = pulmonary arterial hypertension; </w:t>
      </w:r>
      <w:r w:rsidR="00774E89">
        <w:t>PAH-</w:t>
      </w:r>
      <w:r w:rsidR="00774E89" w:rsidRPr="00822C52">
        <w:t xml:space="preserve">CTD = </w:t>
      </w:r>
      <w:r w:rsidR="00774E89">
        <w:t xml:space="preserve">PAH associated with </w:t>
      </w:r>
      <w:r w:rsidR="00774E89" w:rsidRPr="00822C52">
        <w:t xml:space="preserve">connective tissue disease; </w:t>
      </w:r>
      <w:r>
        <w:t>PDE-5i</w:t>
      </w:r>
      <w:r w:rsidRPr="00822C52">
        <w:t xml:space="preserve"> = phosphodiesterase type-5 inhibitor; RR</w:t>
      </w:r>
      <w:r w:rsidR="00345789">
        <w:t xml:space="preserve"> = relative risk</w:t>
      </w:r>
    </w:p>
    <w:p w:rsidR="0075777C" w:rsidRPr="00822C52" w:rsidRDefault="00761752" w:rsidP="0017012F">
      <w:pPr>
        <w:pStyle w:val="Heading4"/>
      </w:pPr>
      <w:r>
        <w:t>4.4.3.</w:t>
      </w:r>
      <w:r w:rsidR="00441F08">
        <w:t>4</w:t>
      </w:r>
      <w:r>
        <w:tab/>
      </w:r>
      <w:r w:rsidR="005035F1">
        <w:tab/>
      </w:r>
      <w:r w:rsidR="0075777C">
        <w:t>PDE-5 inhibitor</w:t>
      </w:r>
      <w:r w:rsidR="0075777C" w:rsidRPr="00822C52">
        <w:t xml:space="preserve"> in addition to </w:t>
      </w:r>
      <w:r w:rsidR="0017012F" w:rsidRPr="0017012F">
        <w:t>prostanoid</w:t>
      </w:r>
    </w:p>
    <w:p w:rsidR="0075777C" w:rsidRPr="006316DF" w:rsidRDefault="0075777C" w:rsidP="0075777C">
      <w:r w:rsidRPr="00822C52">
        <w:t>The PACES</w:t>
      </w:r>
      <w:r>
        <w:t>-1</w:t>
      </w:r>
      <w:r w:rsidR="001D34EE" w:rsidRPr="001A1C44">
        <w:rPr>
          <w:noProof/>
          <w:vertAlign w:val="superscript"/>
        </w:rPr>
        <w:t>41</w:t>
      </w:r>
      <w:r>
        <w:t xml:space="preserve"> </w:t>
      </w:r>
      <w:r w:rsidRPr="00822C52">
        <w:t xml:space="preserve">double-blind trial </w:t>
      </w:r>
      <w:r>
        <w:t xml:space="preserve">reported on </w:t>
      </w:r>
      <w:r w:rsidRPr="00DE5444">
        <w:t xml:space="preserve">the effectiveness of a PDE-5 inhibitor in addition to </w:t>
      </w:r>
      <w:r>
        <w:t xml:space="preserve">a </w:t>
      </w:r>
      <w:r w:rsidR="0017012F" w:rsidRPr="0017012F">
        <w:t xml:space="preserve">prostanoid </w:t>
      </w:r>
      <w:r w:rsidRPr="00DE5444">
        <w:t xml:space="preserve">in treating PAH compared with placebo plus </w:t>
      </w:r>
      <w:r>
        <w:t xml:space="preserve">a </w:t>
      </w:r>
      <w:r w:rsidR="0017012F" w:rsidRPr="0017012F">
        <w:t>prostanoid</w:t>
      </w:r>
      <w:r w:rsidRPr="00DE5444">
        <w:t>.</w:t>
      </w:r>
      <w:r>
        <w:t xml:space="preserve"> Patients with IPAH, PAH-CTD, PAH-CHD or PAH associated with anorexigen use who were receiving long-term intravenous epoprostenol therapy were </w:t>
      </w:r>
      <w:r w:rsidRPr="00822C52">
        <w:t xml:space="preserve">randomised to receive combination therapy with </w:t>
      </w:r>
      <w:r>
        <w:t>sildenafil</w:t>
      </w:r>
      <w:r w:rsidRPr="00822C52">
        <w:t xml:space="preserve"> plus </w:t>
      </w:r>
      <w:r w:rsidRPr="00ED6F18">
        <w:t>epoprostenol</w:t>
      </w:r>
      <w:r w:rsidRPr="00822C52">
        <w:t>, or monotherapy with placebo</w:t>
      </w:r>
      <w:r w:rsidRPr="00ED6F18">
        <w:t xml:space="preserve"> </w:t>
      </w:r>
      <w:r w:rsidRPr="00822C52">
        <w:t>plus</w:t>
      </w:r>
      <w:r>
        <w:t xml:space="preserve"> epoprostenol for 16 weeks.</w:t>
      </w:r>
      <w:r w:rsidRPr="00ED6F18">
        <w:t xml:space="preserve"> </w:t>
      </w:r>
      <w:r>
        <w:t>Randomisation was stratified by the baseline 6MWD (&lt;325 m or ≥325 m) and aetiology of PAH (IPAH or other causes). T</w:t>
      </w:r>
      <w:r w:rsidRPr="006316DF">
        <w:t xml:space="preserve">he baseline characteristics for the </w:t>
      </w:r>
      <w:r>
        <w:t>two treatment groups were similar for demographic, WHO FC and haemodynamic assessments. The trial had a low risk of bias.</w:t>
      </w:r>
    </w:p>
    <w:p w:rsidR="0075777C" w:rsidRDefault="002E4833" w:rsidP="0075777C">
      <w:pPr>
        <w:pStyle w:val="Heading5"/>
      </w:pPr>
      <w:r>
        <w:t>a.</w:t>
      </w:r>
      <w:r w:rsidR="00761752">
        <w:tab/>
      </w:r>
      <w:r w:rsidR="0075777C" w:rsidRPr="00822C52">
        <w:t>Study-defined clinical worsening</w:t>
      </w:r>
    </w:p>
    <w:p w:rsidR="0075777C" w:rsidRPr="00822C52" w:rsidRDefault="0075777C" w:rsidP="0075777C">
      <w:r>
        <w:t>In the PACES-1 trial, c</w:t>
      </w:r>
      <w:r w:rsidRPr="007271D5">
        <w:t xml:space="preserve">linical worsening </w:t>
      </w:r>
      <w:r>
        <w:t xml:space="preserve">was </w:t>
      </w:r>
      <w:r w:rsidRPr="007271D5">
        <w:t>defined as death, lung transplantation, hospitali</w:t>
      </w:r>
      <w:r>
        <w:t>s</w:t>
      </w:r>
      <w:r w:rsidRPr="007271D5">
        <w:t>ation</w:t>
      </w:r>
      <w:r>
        <w:t xml:space="preserve"> </w:t>
      </w:r>
      <w:r w:rsidRPr="007271D5">
        <w:t xml:space="preserve">due to </w:t>
      </w:r>
      <w:r>
        <w:t>PAH</w:t>
      </w:r>
      <w:r w:rsidRPr="007271D5">
        <w:t>, initiation</w:t>
      </w:r>
      <w:r>
        <w:t xml:space="preserve"> </w:t>
      </w:r>
      <w:r w:rsidRPr="007271D5">
        <w:t>of bosentan therapy, or change in epoprostenol dose</w:t>
      </w:r>
      <w:r>
        <w:t xml:space="preserve"> </w:t>
      </w:r>
      <w:r w:rsidRPr="007271D5">
        <w:t xml:space="preserve">of </w:t>
      </w:r>
      <w:r>
        <w:t>&gt;</w:t>
      </w:r>
      <w:r w:rsidRPr="007271D5">
        <w:t>10% due to clinical deterioration.</w:t>
      </w:r>
    </w:p>
    <w:p w:rsidR="0075777C" w:rsidRPr="00B607A5" w:rsidRDefault="002E4833" w:rsidP="0077344D">
      <w:pPr>
        <w:pStyle w:val="Heading6"/>
      </w:pPr>
      <w:r w:rsidRPr="00B607A5">
        <w:lastRenderedPageBreak/>
        <w:t>a</w:t>
      </w:r>
      <w:r w:rsidR="0075777C" w:rsidRPr="00B607A5">
        <w:t>.i</w:t>
      </w:r>
      <w:r w:rsidR="0075777C" w:rsidRPr="00B607A5">
        <w:tab/>
        <w:t>PAH patients, irrespective of disease severity or aetiology</w:t>
      </w:r>
    </w:p>
    <w:p w:rsidR="0075777C" w:rsidRPr="00822C52" w:rsidRDefault="0075777C" w:rsidP="0075777C">
      <w:r>
        <w:t>Patients receiving epoprostenol monotherapy had a statistically significant 3-fold greater risk of experiencing a clinical worsening event than those receiving s</w:t>
      </w:r>
      <w:r w:rsidRPr="007271D5">
        <w:t>ildenafil</w:t>
      </w:r>
      <w:r>
        <w:t xml:space="preserve"> plus </w:t>
      </w:r>
      <w:r w:rsidRPr="007271D5">
        <w:t>epoprostenol</w:t>
      </w:r>
      <w:r>
        <w:t xml:space="preserve"> combination therapy (</w:t>
      </w:r>
      <w:r w:rsidR="00AA722D">
        <w:t>Table 4.</w:t>
      </w:r>
      <w:r w:rsidR="00AA722D">
        <w:rPr>
          <w:noProof/>
        </w:rPr>
        <w:t>72</w:t>
      </w:r>
      <w:r>
        <w:t xml:space="preserve">; </w:t>
      </w:r>
      <w:r w:rsidR="00B21201">
        <w:t>ARD</w:t>
      </w:r>
      <w:r w:rsidR="00B60655">
        <w:t> </w:t>
      </w:r>
      <w:r>
        <w:t>=</w:t>
      </w:r>
      <w:r w:rsidR="00B60655">
        <w:t> </w:t>
      </w:r>
      <w:r w:rsidR="004C1FAC">
        <w:t>−</w:t>
      </w:r>
      <w:r w:rsidRPr="001277F0">
        <w:t>1</w:t>
      </w:r>
      <w:r>
        <w:t>2.4</w:t>
      </w:r>
      <w:r w:rsidRPr="001277F0">
        <w:t xml:space="preserve">%; 95% CI </w:t>
      </w:r>
      <w:r w:rsidR="004C1FAC">
        <w:t>−2</w:t>
      </w:r>
      <w:r w:rsidR="004C1FAC" w:rsidRPr="001277F0">
        <w:t>0.</w:t>
      </w:r>
      <w:r w:rsidR="004C1FAC">
        <w:t>1, −</w:t>
      </w:r>
      <w:r>
        <w:t>4</w:t>
      </w:r>
      <w:r w:rsidRPr="001277F0">
        <w:t>.</w:t>
      </w:r>
      <w:r>
        <w:t>6</w:t>
      </w:r>
      <w:r w:rsidR="004C1FAC">
        <w:t>; p</w:t>
      </w:r>
      <w:r w:rsidR="00B60655">
        <w:t> </w:t>
      </w:r>
      <w:r w:rsidR="004C1FAC">
        <w:t>=</w:t>
      </w:r>
      <w:r w:rsidR="00B60655">
        <w:t> </w:t>
      </w:r>
      <w:r w:rsidR="004C1FAC">
        <w:t>0.002</w:t>
      </w:r>
      <w:r w:rsidRPr="001277F0">
        <w:t>)</w:t>
      </w:r>
      <w:r>
        <w:t>. The NNT</w:t>
      </w:r>
      <w:r w:rsidRPr="001277F0">
        <w:t xml:space="preserve"> indicates that for every </w:t>
      </w:r>
      <w:r w:rsidR="00BD3EF5">
        <w:t>nine</w:t>
      </w:r>
      <w:r w:rsidRPr="001277F0">
        <w:t xml:space="preserve"> patients treated with </w:t>
      </w:r>
      <w:r>
        <w:t>PDE-5 inhibitor</w:t>
      </w:r>
      <w:r w:rsidRPr="001277F0">
        <w:t xml:space="preserve"> plus </w:t>
      </w:r>
      <w:r w:rsidR="004C1FAC" w:rsidRPr="001277F0">
        <w:t>prostanoid</w:t>
      </w:r>
      <w:r w:rsidRPr="001277F0">
        <w:t xml:space="preserve"> combination therapy one additional </w:t>
      </w:r>
      <w:r>
        <w:t>clinical worsening event</w:t>
      </w:r>
      <w:r w:rsidRPr="001277F0">
        <w:t xml:space="preserve"> was prevented compared with </w:t>
      </w:r>
      <w:r w:rsidR="004C1FAC">
        <w:t>prostanoid</w:t>
      </w:r>
      <w:r>
        <w:t xml:space="preserve"> </w:t>
      </w:r>
      <w:r w:rsidRPr="001277F0">
        <w:t>monotherapy.</w:t>
      </w:r>
    </w:p>
    <w:p w:rsidR="0075777C" w:rsidRPr="00DD7790" w:rsidRDefault="00272F8F" w:rsidP="00BC5A2B">
      <w:pPr>
        <w:pStyle w:val="Caption"/>
      </w:pPr>
      <w:bookmarkStart w:id="229" w:name="_Ref504656608"/>
      <w:bookmarkStart w:id="230" w:name="_Toc512855476"/>
      <w:r>
        <w:t>Table 4.</w:t>
      </w:r>
      <w:r w:rsidR="00AA722D">
        <w:rPr>
          <w:noProof/>
        </w:rPr>
        <w:t>72</w:t>
      </w:r>
      <w:bookmarkEnd w:id="229"/>
      <w:r w:rsidR="004C1FAC">
        <w:tab/>
      </w:r>
      <w:r w:rsidR="0075777C" w:rsidRPr="00DD7790">
        <w:t xml:space="preserve">The effectiveness of </w:t>
      </w:r>
      <w:r w:rsidR="007E59EC">
        <w:t xml:space="preserve">a </w:t>
      </w:r>
      <w:r w:rsidR="0075777C" w:rsidRPr="00DD7790">
        <w:t xml:space="preserve">PDE-5 inhibitor </w:t>
      </w:r>
      <w:r w:rsidR="007E59EC">
        <w:t>in addition to a</w:t>
      </w:r>
      <w:r w:rsidR="0075777C" w:rsidRPr="00DD7790">
        <w:t xml:space="preserve"> pr</w:t>
      </w:r>
      <w:r w:rsidR="0075777C">
        <w:t xml:space="preserve">ostanoid compared with </w:t>
      </w:r>
      <w:r w:rsidR="0075777C" w:rsidRPr="00DD7790">
        <w:t xml:space="preserve">prostanoid </w:t>
      </w:r>
      <w:r w:rsidR="007E59EC">
        <w:t xml:space="preserve">monotherapy </w:t>
      </w:r>
      <w:r w:rsidR="0075777C" w:rsidRPr="00DD7790">
        <w:t>in preventing clinical worsening in all PAH patients</w:t>
      </w:r>
      <w:bookmarkEnd w:id="230"/>
    </w:p>
    <w:tbl>
      <w:tblPr>
        <w:tblStyle w:val="TableGrid7"/>
        <w:tblW w:w="9634" w:type="dxa"/>
        <w:tblLayout w:type="fixed"/>
        <w:tblLook w:val="04A0" w:firstRow="1" w:lastRow="0" w:firstColumn="1" w:lastColumn="0" w:noHBand="0" w:noVBand="1"/>
        <w:tblCaption w:val="The effectiveness of a PDE-5 inhibitor in addition to a prostanoid compared with prostanoid monotherapy in preventing clinical worsening in all PAH patients"/>
      </w:tblPr>
      <w:tblGrid>
        <w:gridCol w:w="1129"/>
        <w:gridCol w:w="2268"/>
        <w:gridCol w:w="1985"/>
        <w:gridCol w:w="1984"/>
        <w:gridCol w:w="2268"/>
      </w:tblGrid>
      <w:tr w:rsidR="0075777C" w:rsidRPr="00822C52" w:rsidTr="00345789">
        <w:trPr>
          <w:trHeight w:val="203"/>
          <w:tblHeader/>
        </w:trPr>
        <w:tc>
          <w:tcPr>
            <w:tcW w:w="1129" w:type="dxa"/>
            <w:vMerge w:val="restart"/>
            <w:shd w:val="clear" w:color="auto" w:fill="BFBFBF" w:themeFill="background1" w:themeFillShade="BF"/>
          </w:tcPr>
          <w:p w:rsidR="0075777C" w:rsidRPr="004C1FAC" w:rsidRDefault="0075777C" w:rsidP="004C1FAC">
            <w:pPr>
              <w:pStyle w:val="Tabletext"/>
              <w:rPr>
                <w:b/>
              </w:rPr>
            </w:pPr>
            <w:r w:rsidRPr="004C1FAC">
              <w:rPr>
                <w:b/>
              </w:rPr>
              <w:t>Study ID</w:t>
            </w:r>
          </w:p>
        </w:tc>
        <w:tc>
          <w:tcPr>
            <w:tcW w:w="2268" w:type="dxa"/>
            <w:vMerge w:val="restart"/>
            <w:shd w:val="clear" w:color="auto" w:fill="BFBFBF" w:themeFill="background1" w:themeFillShade="BF"/>
          </w:tcPr>
          <w:p w:rsidR="0075777C" w:rsidRPr="004C1FAC" w:rsidRDefault="0075777C" w:rsidP="004C1FAC">
            <w:pPr>
              <w:pStyle w:val="Tabletext"/>
              <w:rPr>
                <w:b/>
              </w:rPr>
            </w:pPr>
            <w:r w:rsidRPr="004C1FAC">
              <w:rPr>
                <w:b/>
              </w:rPr>
              <w:t>Follow-up period</w:t>
            </w:r>
          </w:p>
          <w:p w:rsidR="0075777C" w:rsidRPr="004C1FAC" w:rsidRDefault="0075777C" w:rsidP="004C1FAC">
            <w:pPr>
              <w:pStyle w:val="Tabletext"/>
              <w:rPr>
                <w:b/>
              </w:rPr>
            </w:pPr>
            <w:r w:rsidRPr="004C1FAC">
              <w:rPr>
                <w:b/>
              </w:rPr>
              <w:t>PDE-5i/</w:t>
            </w:r>
            <w:r w:rsidR="004C1FAC" w:rsidRPr="004C1FAC">
              <w:rPr>
                <w:b/>
              </w:rPr>
              <w:t>prostanoid</w:t>
            </w:r>
          </w:p>
        </w:tc>
        <w:tc>
          <w:tcPr>
            <w:tcW w:w="3969" w:type="dxa"/>
            <w:gridSpan w:val="2"/>
            <w:shd w:val="clear" w:color="auto" w:fill="BFBFBF" w:themeFill="background1" w:themeFillShade="BF"/>
          </w:tcPr>
          <w:p w:rsidR="0075777C" w:rsidRPr="004C1FAC" w:rsidRDefault="0075777C" w:rsidP="004C1FAC">
            <w:pPr>
              <w:pStyle w:val="Tabletext"/>
              <w:jc w:val="center"/>
              <w:rPr>
                <w:b/>
              </w:rPr>
            </w:pPr>
            <w:r w:rsidRPr="004C1FAC">
              <w:rPr>
                <w:b/>
              </w:rPr>
              <w:t>n/N (%)</w:t>
            </w:r>
          </w:p>
        </w:tc>
        <w:tc>
          <w:tcPr>
            <w:tcW w:w="2268" w:type="dxa"/>
            <w:vMerge w:val="restart"/>
            <w:shd w:val="clear" w:color="auto" w:fill="BFBFBF" w:themeFill="background1" w:themeFillShade="BF"/>
          </w:tcPr>
          <w:p w:rsidR="0075777C" w:rsidRPr="004C1FAC" w:rsidRDefault="0075777C" w:rsidP="004C1FAC">
            <w:pPr>
              <w:pStyle w:val="Tabletext"/>
              <w:rPr>
                <w:b/>
              </w:rPr>
            </w:pPr>
            <w:r w:rsidRPr="004C1FAC">
              <w:rPr>
                <w:b/>
              </w:rPr>
              <w:t>RR (95% CI)</w:t>
            </w:r>
          </w:p>
        </w:tc>
      </w:tr>
      <w:tr w:rsidR="0075777C" w:rsidRPr="00822C52" w:rsidTr="004C1FAC">
        <w:trPr>
          <w:trHeight w:val="202"/>
          <w:tblHeader/>
        </w:trPr>
        <w:tc>
          <w:tcPr>
            <w:tcW w:w="1129" w:type="dxa"/>
            <w:vMerge/>
            <w:shd w:val="clear" w:color="auto" w:fill="BFBFBF" w:themeFill="background1" w:themeFillShade="BF"/>
          </w:tcPr>
          <w:p w:rsidR="0075777C" w:rsidRPr="00822C52" w:rsidRDefault="0075777C" w:rsidP="004C1FAC">
            <w:pPr>
              <w:pStyle w:val="Tabletext"/>
            </w:pPr>
          </w:p>
        </w:tc>
        <w:tc>
          <w:tcPr>
            <w:tcW w:w="2268" w:type="dxa"/>
            <w:vMerge/>
            <w:shd w:val="clear" w:color="auto" w:fill="BFBFBF" w:themeFill="background1" w:themeFillShade="BF"/>
          </w:tcPr>
          <w:p w:rsidR="0075777C" w:rsidRPr="00822C52" w:rsidRDefault="0075777C" w:rsidP="004C1FAC">
            <w:pPr>
              <w:pStyle w:val="Tabletext"/>
            </w:pPr>
          </w:p>
        </w:tc>
        <w:tc>
          <w:tcPr>
            <w:tcW w:w="1985" w:type="dxa"/>
            <w:shd w:val="clear" w:color="auto" w:fill="BFBFBF" w:themeFill="background1" w:themeFillShade="BF"/>
          </w:tcPr>
          <w:p w:rsidR="0075777C" w:rsidRPr="004C1FAC" w:rsidRDefault="0075777C" w:rsidP="004C1FAC">
            <w:pPr>
              <w:pStyle w:val="Tabletext"/>
              <w:jc w:val="center"/>
              <w:rPr>
                <w:b/>
              </w:rPr>
            </w:pPr>
            <w:r w:rsidRPr="004C1FAC">
              <w:rPr>
                <w:b/>
              </w:rPr>
              <w:t>PDE-5i + prostanoid</w:t>
            </w:r>
          </w:p>
        </w:tc>
        <w:tc>
          <w:tcPr>
            <w:tcW w:w="1984" w:type="dxa"/>
            <w:shd w:val="clear" w:color="auto" w:fill="BFBFBF" w:themeFill="background1" w:themeFillShade="BF"/>
          </w:tcPr>
          <w:p w:rsidR="0075777C" w:rsidRPr="004C1FAC" w:rsidRDefault="0075777C" w:rsidP="00EF4CF6">
            <w:pPr>
              <w:pStyle w:val="Tabletext"/>
              <w:jc w:val="center"/>
              <w:rPr>
                <w:b/>
              </w:rPr>
            </w:pPr>
            <w:r w:rsidRPr="004C1FAC">
              <w:rPr>
                <w:b/>
              </w:rPr>
              <w:t>Prostanoid</w:t>
            </w:r>
          </w:p>
        </w:tc>
        <w:tc>
          <w:tcPr>
            <w:tcW w:w="2268" w:type="dxa"/>
            <w:vMerge/>
            <w:shd w:val="clear" w:color="auto" w:fill="BFBFBF" w:themeFill="background1" w:themeFillShade="BF"/>
          </w:tcPr>
          <w:p w:rsidR="0075777C" w:rsidRPr="00822C52" w:rsidRDefault="0075777C" w:rsidP="004C1FAC">
            <w:pPr>
              <w:pStyle w:val="Tabletext"/>
            </w:pPr>
          </w:p>
        </w:tc>
      </w:tr>
      <w:tr w:rsidR="0075777C" w:rsidRPr="00822C52" w:rsidTr="004C1FAC">
        <w:trPr>
          <w:trHeight w:val="70"/>
        </w:trPr>
        <w:tc>
          <w:tcPr>
            <w:tcW w:w="1129" w:type="dxa"/>
          </w:tcPr>
          <w:p w:rsidR="0075777C" w:rsidRPr="00822C52" w:rsidRDefault="0075777C" w:rsidP="001D34EE">
            <w:pPr>
              <w:pStyle w:val="Tabletext"/>
              <w:rPr>
                <w:rFonts w:cs="Tahoma"/>
              </w:rPr>
            </w:pPr>
            <w:r w:rsidRPr="00822C52">
              <w:rPr>
                <w:rFonts w:cs="Tahoma"/>
              </w:rPr>
              <w:t>PACES</w:t>
            </w:r>
            <w:r>
              <w:rPr>
                <w:rFonts w:cs="Tahoma"/>
              </w:rPr>
              <w:t>-1</w:t>
            </w:r>
            <w:r w:rsidR="001D34EE" w:rsidRPr="001A1C44">
              <w:rPr>
                <w:rFonts w:cs="Tahoma"/>
                <w:noProof/>
                <w:vertAlign w:val="superscript"/>
              </w:rPr>
              <w:t>41</w:t>
            </w:r>
          </w:p>
        </w:tc>
        <w:tc>
          <w:tcPr>
            <w:tcW w:w="2268" w:type="dxa"/>
          </w:tcPr>
          <w:p w:rsidR="0075777C" w:rsidRPr="00822C52" w:rsidRDefault="0075777C" w:rsidP="004C1FAC">
            <w:pPr>
              <w:pStyle w:val="Tabletext"/>
              <w:rPr>
                <w:rFonts w:cs="Tahoma"/>
              </w:rPr>
            </w:pPr>
            <w:r w:rsidRPr="00822C52">
              <w:rPr>
                <w:rFonts w:cs="Tahoma"/>
              </w:rPr>
              <w:t>16 weeks</w:t>
            </w:r>
          </w:p>
          <w:p w:rsidR="0075777C" w:rsidRPr="00822C52" w:rsidRDefault="0075777C" w:rsidP="004C1FAC">
            <w:pPr>
              <w:pStyle w:val="Tabletext"/>
              <w:rPr>
                <w:rFonts w:cs="Tahoma"/>
              </w:rPr>
            </w:pPr>
            <w:r w:rsidRPr="00822C52">
              <w:rPr>
                <w:rFonts w:cs="Tahoma"/>
              </w:rPr>
              <w:t>Sildenafil/epoprostenol</w:t>
            </w:r>
          </w:p>
        </w:tc>
        <w:tc>
          <w:tcPr>
            <w:tcW w:w="1985" w:type="dxa"/>
          </w:tcPr>
          <w:p w:rsidR="0075777C" w:rsidRPr="00822C52" w:rsidRDefault="0075777C" w:rsidP="004C1FAC">
            <w:pPr>
              <w:pStyle w:val="Tabletext"/>
              <w:jc w:val="center"/>
              <w:rPr>
                <w:rFonts w:cs="Tahoma"/>
                <w:highlight w:val="cyan"/>
              </w:rPr>
            </w:pPr>
            <w:r w:rsidRPr="00822C52">
              <w:rPr>
                <w:rFonts w:cs="Tahoma"/>
              </w:rPr>
              <w:t>8/134 (6%)</w:t>
            </w:r>
          </w:p>
        </w:tc>
        <w:tc>
          <w:tcPr>
            <w:tcW w:w="1984" w:type="dxa"/>
          </w:tcPr>
          <w:p w:rsidR="0075777C" w:rsidRPr="00822C52" w:rsidRDefault="0075777C" w:rsidP="004C1FAC">
            <w:pPr>
              <w:pStyle w:val="Tabletext"/>
              <w:jc w:val="center"/>
              <w:rPr>
                <w:rFonts w:cs="Tahoma"/>
                <w:highlight w:val="cyan"/>
              </w:rPr>
            </w:pPr>
            <w:r w:rsidRPr="00822C52">
              <w:rPr>
                <w:rFonts w:cs="Tahoma"/>
              </w:rPr>
              <w:t>24/131 (18%)</w:t>
            </w:r>
          </w:p>
        </w:tc>
        <w:tc>
          <w:tcPr>
            <w:tcW w:w="2268" w:type="dxa"/>
          </w:tcPr>
          <w:p w:rsidR="0075777C" w:rsidRPr="00822C52" w:rsidRDefault="0075777C" w:rsidP="004C1FAC">
            <w:pPr>
              <w:pStyle w:val="Tabletext"/>
              <w:rPr>
                <w:rFonts w:cs="Tahoma"/>
                <w:highlight w:val="cyan"/>
              </w:rPr>
            </w:pPr>
            <w:r w:rsidRPr="00AF1B55">
              <w:rPr>
                <w:rFonts w:cs="Tahoma"/>
              </w:rPr>
              <w:t>0.33 (0.15, 0.70)</w:t>
            </w:r>
          </w:p>
        </w:tc>
      </w:tr>
    </w:tbl>
    <w:p w:rsidR="0075777C" w:rsidRPr="00822C52" w:rsidRDefault="0075777C" w:rsidP="004C1FAC">
      <w:pPr>
        <w:pStyle w:val="Tablenote"/>
      </w:pPr>
      <w:r w:rsidRPr="00822C52">
        <w:t xml:space="preserve">CI = confidence interval; n = number of </w:t>
      </w:r>
      <w:r w:rsidR="001E16B8">
        <w:t xml:space="preserve">patients with </w:t>
      </w:r>
      <w:r w:rsidRPr="00822C52">
        <w:t xml:space="preserve">events; N = number of patients; PAH = pulmonary arterial hypertension; </w:t>
      </w:r>
      <w:r>
        <w:t>PDE-5i</w:t>
      </w:r>
      <w:r w:rsidRPr="00822C52">
        <w:t xml:space="preserve"> = phosphodiesterase type-5 inhibitor; RR = relative risk</w:t>
      </w:r>
    </w:p>
    <w:p w:rsidR="0075777C" w:rsidRPr="00822C52" w:rsidRDefault="002E4833" w:rsidP="0075777C">
      <w:pPr>
        <w:pStyle w:val="Heading5"/>
      </w:pPr>
      <w:r>
        <w:t>b.</w:t>
      </w:r>
      <w:r w:rsidR="00761752">
        <w:tab/>
      </w:r>
      <w:r w:rsidR="00C828F9">
        <w:t>All-cause m</w:t>
      </w:r>
      <w:r w:rsidR="00C828F9" w:rsidRPr="006316DF">
        <w:t>ortality</w:t>
      </w:r>
    </w:p>
    <w:p w:rsidR="0075777C" w:rsidRPr="00822C52" w:rsidRDefault="002E4833" w:rsidP="0077344D">
      <w:pPr>
        <w:pStyle w:val="Heading6"/>
      </w:pPr>
      <w:r>
        <w:t>b</w:t>
      </w:r>
      <w:r w:rsidR="0075777C" w:rsidRPr="00822C52">
        <w:t>.i</w:t>
      </w:r>
      <w:r w:rsidR="0075777C" w:rsidRPr="00822C52">
        <w:tab/>
        <w:t>PAH patients, irrespective of disease severity or aetiology</w:t>
      </w:r>
    </w:p>
    <w:p w:rsidR="00F10128" w:rsidRDefault="0075777C" w:rsidP="0075777C">
      <w:r w:rsidRPr="006316DF">
        <w:t xml:space="preserve">The </w:t>
      </w:r>
      <w:r>
        <w:t>patients in the combination therapy group were less likely to die</w:t>
      </w:r>
      <w:r w:rsidRPr="006316DF">
        <w:t xml:space="preserve"> </w:t>
      </w:r>
      <w:r>
        <w:t xml:space="preserve">than those receiving monotherapy but the </w:t>
      </w:r>
      <w:r w:rsidRPr="006316DF">
        <w:t xml:space="preserve">RR </w:t>
      </w:r>
      <w:r>
        <w:t>was not calculable (</w:t>
      </w:r>
      <w:r w:rsidR="00AA722D">
        <w:t>Table 4.</w:t>
      </w:r>
      <w:r w:rsidR="00AA722D">
        <w:rPr>
          <w:noProof/>
        </w:rPr>
        <w:t>73</w:t>
      </w:r>
      <w:r>
        <w:t xml:space="preserve">; </w:t>
      </w:r>
      <w:r w:rsidR="00B21201">
        <w:t>ARD</w:t>
      </w:r>
      <w:r w:rsidR="00B60655">
        <w:t> </w:t>
      </w:r>
      <w:r>
        <w:t>=</w:t>
      </w:r>
      <w:r w:rsidR="00B60655">
        <w:t> </w:t>
      </w:r>
      <w:r>
        <w:t>−5.3%; 95% CI −9.2, −1.5; p</w:t>
      </w:r>
      <w:r w:rsidR="00B60655">
        <w:t> </w:t>
      </w:r>
      <w:r>
        <w:t>=</w:t>
      </w:r>
      <w:r w:rsidR="00B60655">
        <w:t> </w:t>
      </w:r>
      <w:r>
        <w:t xml:space="preserve">0.007). The NNT indicates that for every 19 patients treated with ERA plus </w:t>
      </w:r>
      <w:r w:rsidR="00345789">
        <w:t>prostanoid</w:t>
      </w:r>
      <w:r>
        <w:t xml:space="preserve"> combination therapy one additional death was prevented compared with </w:t>
      </w:r>
      <w:r w:rsidR="00345789" w:rsidRPr="00487932">
        <w:t>prostanoid</w:t>
      </w:r>
      <w:r w:rsidRPr="00487932">
        <w:t xml:space="preserve"> </w:t>
      </w:r>
      <w:r>
        <w:t>monotherapy.</w:t>
      </w:r>
    </w:p>
    <w:p w:rsidR="0075777C" w:rsidRPr="00DD7790" w:rsidRDefault="00272F8F" w:rsidP="00BC5A2B">
      <w:pPr>
        <w:pStyle w:val="Caption"/>
      </w:pPr>
      <w:bookmarkStart w:id="231" w:name="_Ref504656633"/>
      <w:bookmarkStart w:id="232" w:name="_Toc512855477"/>
      <w:r>
        <w:t>Table 4.</w:t>
      </w:r>
      <w:r w:rsidR="00AA722D">
        <w:rPr>
          <w:noProof/>
        </w:rPr>
        <w:t>73</w:t>
      </w:r>
      <w:bookmarkEnd w:id="231"/>
      <w:r w:rsidR="004C1FAC">
        <w:tab/>
      </w:r>
      <w:r w:rsidR="0075777C" w:rsidRPr="00DD7790">
        <w:t xml:space="preserve">Mortality rates for </w:t>
      </w:r>
      <w:r w:rsidR="007E59EC">
        <w:t xml:space="preserve">a </w:t>
      </w:r>
      <w:r w:rsidR="007E59EC" w:rsidRPr="00DD7790">
        <w:t xml:space="preserve">PDE-5 inhibitor </w:t>
      </w:r>
      <w:r w:rsidR="007E59EC">
        <w:t>in addition to a</w:t>
      </w:r>
      <w:r w:rsidR="007E59EC" w:rsidRPr="00DD7790">
        <w:t xml:space="preserve"> pr</w:t>
      </w:r>
      <w:r w:rsidR="007E59EC">
        <w:t xml:space="preserve">ostanoid compared with </w:t>
      </w:r>
      <w:r w:rsidR="007E59EC" w:rsidRPr="00DD7790">
        <w:t xml:space="preserve">prostanoid </w:t>
      </w:r>
      <w:r w:rsidR="007E59EC">
        <w:t>monotherapy</w:t>
      </w:r>
      <w:r w:rsidR="0075777C" w:rsidRPr="00DD7790">
        <w:t xml:space="preserve"> in all PAH patients</w:t>
      </w:r>
      <w:bookmarkEnd w:id="232"/>
    </w:p>
    <w:tbl>
      <w:tblPr>
        <w:tblStyle w:val="TableGrid7"/>
        <w:tblW w:w="9634" w:type="dxa"/>
        <w:tblLayout w:type="fixed"/>
        <w:tblLook w:val="04A0" w:firstRow="1" w:lastRow="0" w:firstColumn="1" w:lastColumn="0" w:noHBand="0" w:noVBand="1"/>
        <w:tblCaption w:val="Mortality rates for a PDE-5 inhibitor in addition to a prostanoid compared with prostanoid monotherapy in all PAH patients"/>
      </w:tblPr>
      <w:tblGrid>
        <w:gridCol w:w="1129"/>
        <w:gridCol w:w="2268"/>
        <w:gridCol w:w="1985"/>
        <w:gridCol w:w="1984"/>
        <w:gridCol w:w="2268"/>
      </w:tblGrid>
      <w:tr w:rsidR="0075777C" w:rsidRPr="00822C52" w:rsidTr="00345789">
        <w:trPr>
          <w:trHeight w:val="221"/>
          <w:tblHeader/>
        </w:trPr>
        <w:tc>
          <w:tcPr>
            <w:tcW w:w="1129" w:type="dxa"/>
            <w:vMerge w:val="restart"/>
            <w:shd w:val="clear" w:color="auto" w:fill="BFBFBF" w:themeFill="background1" w:themeFillShade="BF"/>
          </w:tcPr>
          <w:p w:rsidR="0075777C" w:rsidRPr="00345789" w:rsidRDefault="0075777C" w:rsidP="00345789">
            <w:pPr>
              <w:pStyle w:val="Tabletext"/>
              <w:rPr>
                <w:b/>
              </w:rPr>
            </w:pPr>
            <w:r w:rsidRPr="00345789">
              <w:rPr>
                <w:b/>
              </w:rPr>
              <w:t>Study ID</w:t>
            </w:r>
          </w:p>
        </w:tc>
        <w:tc>
          <w:tcPr>
            <w:tcW w:w="2268" w:type="dxa"/>
            <w:vMerge w:val="restart"/>
            <w:shd w:val="clear" w:color="auto" w:fill="BFBFBF" w:themeFill="background1" w:themeFillShade="BF"/>
          </w:tcPr>
          <w:p w:rsidR="0075777C" w:rsidRPr="00345789" w:rsidRDefault="0075777C" w:rsidP="00345789">
            <w:pPr>
              <w:pStyle w:val="Tabletext"/>
              <w:rPr>
                <w:b/>
              </w:rPr>
            </w:pPr>
            <w:r w:rsidRPr="00345789">
              <w:rPr>
                <w:b/>
              </w:rPr>
              <w:t>Follow-up period</w:t>
            </w:r>
          </w:p>
          <w:p w:rsidR="0075777C" w:rsidRPr="00345789" w:rsidRDefault="0075777C" w:rsidP="00345789">
            <w:pPr>
              <w:pStyle w:val="Tabletext"/>
              <w:rPr>
                <w:b/>
              </w:rPr>
            </w:pPr>
            <w:r w:rsidRPr="00345789">
              <w:rPr>
                <w:b/>
              </w:rPr>
              <w:t>PDE-5i/prostanoid</w:t>
            </w:r>
          </w:p>
        </w:tc>
        <w:tc>
          <w:tcPr>
            <w:tcW w:w="3969" w:type="dxa"/>
            <w:gridSpan w:val="2"/>
            <w:shd w:val="clear" w:color="auto" w:fill="BFBFBF" w:themeFill="background1" w:themeFillShade="BF"/>
          </w:tcPr>
          <w:p w:rsidR="0075777C" w:rsidRPr="00345789" w:rsidRDefault="0075777C" w:rsidP="00345789">
            <w:pPr>
              <w:pStyle w:val="Tabletext"/>
              <w:jc w:val="center"/>
              <w:rPr>
                <w:b/>
              </w:rPr>
            </w:pPr>
            <w:r w:rsidRPr="00345789">
              <w:rPr>
                <w:b/>
              </w:rPr>
              <w:t>n/N (%)</w:t>
            </w:r>
          </w:p>
        </w:tc>
        <w:tc>
          <w:tcPr>
            <w:tcW w:w="2268" w:type="dxa"/>
            <w:vMerge w:val="restart"/>
            <w:shd w:val="clear" w:color="auto" w:fill="BFBFBF" w:themeFill="background1" w:themeFillShade="BF"/>
          </w:tcPr>
          <w:p w:rsidR="0075777C" w:rsidRPr="00345789" w:rsidRDefault="0075777C" w:rsidP="00345789">
            <w:pPr>
              <w:pStyle w:val="Tabletext"/>
              <w:rPr>
                <w:b/>
              </w:rPr>
            </w:pPr>
            <w:r w:rsidRPr="00345789">
              <w:rPr>
                <w:b/>
              </w:rPr>
              <w:t>RR (95% CI)</w:t>
            </w:r>
          </w:p>
        </w:tc>
      </w:tr>
      <w:tr w:rsidR="0075777C" w:rsidRPr="00822C52" w:rsidTr="00345789">
        <w:trPr>
          <w:trHeight w:val="202"/>
          <w:tblHeader/>
        </w:trPr>
        <w:tc>
          <w:tcPr>
            <w:tcW w:w="1129" w:type="dxa"/>
            <w:vMerge/>
            <w:shd w:val="clear" w:color="auto" w:fill="BFBFBF" w:themeFill="background1" w:themeFillShade="BF"/>
          </w:tcPr>
          <w:p w:rsidR="0075777C" w:rsidRPr="00822C52" w:rsidRDefault="0075777C" w:rsidP="00345789">
            <w:pPr>
              <w:pStyle w:val="Tabletext"/>
            </w:pPr>
          </w:p>
        </w:tc>
        <w:tc>
          <w:tcPr>
            <w:tcW w:w="2268" w:type="dxa"/>
            <w:vMerge/>
            <w:shd w:val="clear" w:color="auto" w:fill="BFBFBF" w:themeFill="background1" w:themeFillShade="BF"/>
          </w:tcPr>
          <w:p w:rsidR="0075777C" w:rsidRPr="00822C52" w:rsidRDefault="0075777C" w:rsidP="00345789">
            <w:pPr>
              <w:pStyle w:val="Tabletext"/>
            </w:pPr>
          </w:p>
        </w:tc>
        <w:tc>
          <w:tcPr>
            <w:tcW w:w="1985" w:type="dxa"/>
            <w:shd w:val="clear" w:color="auto" w:fill="BFBFBF" w:themeFill="background1" w:themeFillShade="BF"/>
          </w:tcPr>
          <w:p w:rsidR="0075777C" w:rsidRPr="00345789" w:rsidRDefault="0075777C" w:rsidP="00345789">
            <w:pPr>
              <w:pStyle w:val="Tabletext"/>
              <w:jc w:val="center"/>
              <w:rPr>
                <w:b/>
              </w:rPr>
            </w:pPr>
            <w:r w:rsidRPr="00345789">
              <w:rPr>
                <w:b/>
              </w:rPr>
              <w:t xml:space="preserve">PDE-5i + </w:t>
            </w:r>
            <w:r w:rsidR="00345789" w:rsidRPr="00345789">
              <w:rPr>
                <w:b/>
              </w:rPr>
              <w:t>prostanoid</w:t>
            </w:r>
          </w:p>
        </w:tc>
        <w:tc>
          <w:tcPr>
            <w:tcW w:w="1984" w:type="dxa"/>
            <w:shd w:val="clear" w:color="auto" w:fill="BFBFBF" w:themeFill="background1" w:themeFillShade="BF"/>
          </w:tcPr>
          <w:p w:rsidR="0075777C" w:rsidRPr="00345789" w:rsidRDefault="0075777C" w:rsidP="00534ADA">
            <w:pPr>
              <w:pStyle w:val="Tabletext"/>
              <w:jc w:val="center"/>
              <w:rPr>
                <w:b/>
              </w:rPr>
            </w:pPr>
            <w:r w:rsidRPr="00345789">
              <w:rPr>
                <w:b/>
              </w:rPr>
              <w:t>P</w:t>
            </w:r>
            <w:r w:rsidR="00345789" w:rsidRPr="00345789">
              <w:rPr>
                <w:b/>
              </w:rPr>
              <w:t>rostanoid</w:t>
            </w:r>
          </w:p>
        </w:tc>
        <w:tc>
          <w:tcPr>
            <w:tcW w:w="2268" w:type="dxa"/>
            <w:vMerge/>
            <w:shd w:val="clear" w:color="auto" w:fill="BFBFBF" w:themeFill="background1" w:themeFillShade="BF"/>
          </w:tcPr>
          <w:p w:rsidR="0075777C" w:rsidRPr="00822C52" w:rsidRDefault="0075777C" w:rsidP="00345789">
            <w:pPr>
              <w:pStyle w:val="Tabletext"/>
            </w:pPr>
          </w:p>
        </w:tc>
      </w:tr>
      <w:tr w:rsidR="0075777C" w:rsidRPr="00822C52" w:rsidTr="00345789">
        <w:trPr>
          <w:trHeight w:val="70"/>
        </w:trPr>
        <w:tc>
          <w:tcPr>
            <w:tcW w:w="1129" w:type="dxa"/>
          </w:tcPr>
          <w:p w:rsidR="0075777C" w:rsidRPr="00822C52" w:rsidRDefault="0075777C" w:rsidP="001D34EE">
            <w:pPr>
              <w:pStyle w:val="Tabletext"/>
              <w:rPr>
                <w:rFonts w:cs="Tahoma"/>
              </w:rPr>
            </w:pPr>
            <w:r w:rsidRPr="00822C52">
              <w:rPr>
                <w:rFonts w:cs="Tahoma"/>
              </w:rPr>
              <w:t>PACES</w:t>
            </w:r>
            <w:r>
              <w:rPr>
                <w:rFonts w:cs="Tahoma"/>
              </w:rPr>
              <w:t>-1</w:t>
            </w:r>
            <w:r w:rsidR="001D34EE" w:rsidRPr="001A1C44">
              <w:rPr>
                <w:rFonts w:cs="Tahoma"/>
                <w:noProof/>
                <w:vertAlign w:val="superscript"/>
              </w:rPr>
              <w:t>41</w:t>
            </w:r>
          </w:p>
        </w:tc>
        <w:tc>
          <w:tcPr>
            <w:tcW w:w="2268" w:type="dxa"/>
          </w:tcPr>
          <w:p w:rsidR="0075777C" w:rsidRPr="00822C52" w:rsidRDefault="0075777C" w:rsidP="00345789">
            <w:pPr>
              <w:pStyle w:val="Tabletext"/>
              <w:rPr>
                <w:rFonts w:cs="Tahoma"/>
              </w:rPr>
            </w:pPr>
            <w:r w:rsidRPr="00822C52">
              <w:rPr>
                <w:rFonts w:cs="Tahoma"/>
              </w:rPr>
              <w:t>16 weeks</w:t>
            </w:r>
          </w:p>
          <w:p w:rsidR="0075777C" w:rsidRPr="00822C52" w:rsidRDefault="0075777C" w:rsidP="00345789">
            <w:pPr>
              <w:pStyle w:val="Tabletext"/>
              <w:rPr>
                <w:rFonts w:cs="Tahoma"/>
                <w:highlight w:val="cyan"/>
              </w:rPr>
            </w:pPr>
            <w:r w:rsidRPr="00822C52">
              <w:rPr>
                <w:rFonts w:cs="Tahoma"/>
              </w:rPr>
              <w:t>Sildenafil/epoprostenol</w:t>
            </w:r>
          </w:p>
        </w:tc>
        <w:tc>
          <w:tcPr>
            <w:tcW w:w="1985" w:type="dxa"/>
          </w:tcPr>
          <w:p w:rsidR="0075777C" w:rsidRPr="00822C52" w:rsidRDefault="0075777C" w:rsidP="00345789">
            <w:pPr>
              <w:pStyle w:val="Tabletext"/>
              <w:jc w:val="center"/>
              <w:rPr>
                <w:rFonts w:cs="Tahoma"/>
              </w:rPr>
            </w:pPr>
            <w:r w:rsidRPr="00822C52">
              <w:rPr>
                <w:rFonts w:cs="Tahoma"/>
              </w:rPr>
              <w:t>0/134 (0%)</w:t>
            </w:r>
          </w:p>
        </w:tc>
        <w:tc>
          <w:tcPr>
            <w:tcW w:w="1984" w:type="dxa"/>
          </w:tcPr>
          <w:p w:rsidR="0075777C" w:rsidRPr="00822C52" w:rsidRDefault="0075777C" w:rsidP="00345789">
            <w:pPr>
              <w:pStyle w:val="Tabletext"/>
              <w:jc w:val="center"/>
              <w:rPr>
                <w:rFonts w:cs="Tahoma"/>
              </w:rPr>
            </w:pPr>
            <w:r w:rsidRPr="00822C52">
              <w:rPr>
                <w:rFonts w:cs="Tahoma"/>
              </w:rPr>
              <w:t>7/131 (5%)</w:t>
            </w:r>
          </w:p>
        </w:tc>
        <w:tc>
          <w:tcPr>
            <w:tcW w:w="2268" w:type="dxa"/>
          </w:tcPr>
          <w:p w:rsidR="0075777C" w:rsidRPr="00822C52" w:rsidRDefault="0075777C" w:rsidP="00345789">
            <w:pPr>
              <w:pStyle w:val="Tabletext"/>
              <w:rPr>
                <w:rFonts w:cs="Tahoma"/>
              </w:rPr>
            </w:pPr>
            <w:r>
              <w:rPr>
                <w:rFonts w:cs="Tahoma"/>
              </w:rPr>
              <w:t>0 (not calculable)</w:t>
            </w:r>
          </w:p>
        </w:tc>
      </w:tr>
    </w:tbl>
    <w:p w:rsidR="0075777C" w:rsidRPr="00822C52" w:rsidRDefault="0075777C" w:rsidP="00345789">
      <w:pPr>
        <w:pStyle w:val="Tablenote"/>
      </w:pPr>
      <w:r w:rsidRPr="00822C52">
        <w:t xml:space="preserve">CI = confidence interval; n = number of </w:t>
      </w:r>
      <w:r w:rsidR="001E16B8">
        <w:t xml:space="preserve">patients with </w:t>
      </w:r>
      <w:r w:rsidRPr="00822C52">
        <w:t xml:space="preserve">events; N = number of patients; PAH = pulmonary arterial hypertension; </w:t>
      </w:r>
      <w:r>
        <w:t>PDE-5i</w:t>
      </w:r>
      <w:r w:rsidRPr="00822C52">
        <w:t xml:space="preserve"> = phosphodiesterase type-5 inhibitor; RR = relative risk</w:t>
      </w:r>
    </w:p>
    <w:p w:rsidR="0075777C" w:rsidRPr="00822C52" w:rsidRDefault="00761752" w:rsidP="0075777C">
      <w:pPr>
        <w:pStyle w:val="Heading5"/>
      </w:pPr>
      <w:r>
        <w:t>c.</w:t>
      </w:r>
      <w:r>
        <w:tab/>
      </w:r>
      <w:r w:rsidR="00C828F9" w:rsidRPr="006316DF">
        <w:t>Hospitalisation</w:t>
      </w:r>
      <w:r w:rsidR="00C828F9" w:rsidRPr="0046652B">
        <w:t xml:space="preserve"> due to worsening PAH</w:t>
      </w:r>
    </w:p>
    <w:p w:rsidR="0075777C" w:rsidRPr="00822C52" w:rsidRDefault="002E4833" w:rsidP="0077344D">
      <w:pPr>
        <w:pStyle w:val="Heading6"/>
      </w:pPr>
      <w:r>
        <w:t>c</w:t>
      </w:r>
      <w:r w:rsidR="0075777C" w:rsidRPr="00822C52">
        <w:t>.i</w:t>
      </w:r>
      <w:r w:rsidR="0075777C" w:rsidRPr="00822C52">
        <w:tab/>
        <w:t>PAH patients, irrespective of disease severity or aetiology</w:t>
      </w:r>
    </w:p>
    <w:p w:rsidR="0075777C" w:rsidRPr="00822C52" w:rsidRDefault="0075777C" w:rsidP="0075777C">
      <w:r>
        <w:t xml:space="preserve">There was no significant difference in hospitalisation rates </w:t>
      </w:r>
      <w:r w:rsidR="00881371">
        <w:t xml:space="preserve">due to PAH </w:t>
      </w:r>
      <w:r>
        <w:t>between patients receiving combination therapy and those receiving monotherapy</w:t>
      </w:r>
      <w:r w:rsidR="00863ADB">
        <w:t>, although the point estimate favoured combination therapy</w:t>
      </w:r>
      <w:r>
        <w:t xml:space="preserve"> (</w:t>
      </w:r>
      <w:r w:rsidR="00AA722D">
        <w:t>Table 4.</w:t>
      </w:r>
      <w:r w:rsidR="00AA722D">
        <w:rPr>
          <w:noProof/>
        </w:rPr>
        <w:t>74</w:t>
      </w:r>
      <w:r>
        <w:t xml:space="preserve">; </w:t>
      </w:r>
      <w:r w:rsidR="00B21201">
        <w:t>ARD</w:t>
      </w:r>
      <w:r w:rsidR="00B60655">
        <w:t> </w:t>
      </w:r>
      <w:r>
        <w:t>=</w:t>
      </w:r>
      <w:r w:rsidR="00B60655">
        <w:t> </w:t>
      </w:r>
      <w:r>
        <w:t>−</w:t>
      </w:r>
      <w:r w:rsidR="00863ADB">
        <w:t>2.4</w:t>
      </w:r>
      <w:r>
        <w:t>%; 95% CI −</w:t>
      </w:r>
      <w:r w:rsidR="00863ADB">
        <w:t>8.6</w:t>
      </w:r>
      <w:r>
        <w:t>, −</w:t>
      </w:r>
      <w:r w:rsidR="00863ADB">
        <w:t>3.8</w:t>
      </w:r>
      <w:r>
        <w:t>; p</w:t>
      </w:r>
      <w:r w:rsidR="00B60655">
        <w:t> </w:t>
      </w:r>
      <w:r>
        <w:t>=</w:t>
      </w:r>
      <w:r w:rsidR="00B60655">
        <w:t> </w:t>
      </w:r>
      <w:r>
        <w:t>0.</w:t>
      </w:r>
      <w:r w:rsidR="00863ADB">
        <w:t>44</w:t>
      </w:r>
      <w:r>
        <w:t xml:space="preserve">). </w:t>
      </w:r>
      <w:r w:rsidR="000D36D2">
        <w:t>The NNT indicates that 42 patients would need to be treated with combination therapy to prevent one additional death compared to monotherapy.</w:t>
      </w:r>
    </w:p>
    <w:p w:rsidR="0075777C" w:rsidRPr="00DD7790" w:rsidRDefault="00272F8F" w:rsidP="00BC5A2B">
      <w:pPr>
        <w:pStyle w:val="Caption"/>
      </w:pPr>
      <w:bookmarkStart w:id="233" w:name="_Ref504656652"/>
      <w:bookmarkStart w:id="234" w:name="_Toc512855478"/>
      <w:r>
        <w:lastRenderedPageBreak/>
        <w:t>Table 4.</w:t>
      </w:r>
      <w:r w:rsidR="00AA722D">
        <w:rPr>
          <w:noProof/>
        </w:rPr>
        <w:t>74</w:t>
      </w:r>
      <w:bookmarkEnd w:id="233"/>
      <w:r w:rsidR="00345789">
        <w:tab/>
      </w:r>
      <w:r w:rsidR="0075777C" w:rsidRPr="00DD7790">
        <w:t xml:space="preserve">Hospitalisation </w:t>
      </w:r>
      <w:r w:rsidR="00881371">
        <w:t>due to PAH</w:t>
      </w:r>
      <w:r w:rsidR="00881371" w:rsidRPr="00DD7790">
        <w:t xml:space="preserve"> </w:t>
      </w:r>
      <w:r w:rsidR="0075777C" w:rsidRPr="00DD7790">
        <w:t xml:space="preserve">for </w:t>
      </w:r>
      <w:r w:rsidR="007E59EC">
        <w:t xml:space="preserve">a </w:t>
      </w:r>
      <w:r w:rsidR="007E59EC" w:rsidRPr="00DD7790">
        <w:t xml:space="preserve">PDE-5 inhibitor </w:t>
      </w:r>
      <w:r w:rsidR="007E59EC">
        <w:t>in addition to a</w:t>
      </w:r>
      <w:r w:rsidR="007E59EC" w:rsidRPr="00DD7790">
        <w:t xml:space="preserve"> pr</w:t>
      </w:r>
      <w:r w:rsidR="007E59EC">
        <w:t xml:space="preserve">ostanoid compared with </w:t>
      </w:r>
      <w:r w:rsidR="007E59EC" w:rsidRPr="00DD7790">
        <w:t xml:space="preserve">prostanoid </w:t>
      </w:r>
      <w:r w:rsidR="007E59EC">
        <w:t xml:space="preserve">monotherapy </w:t>
      </w:r>
      <w:r w:rsidR="0075777C" w:rsidRPr="00DD7790">
        <w:t>in all patients with PAH</w:t>
      </w:r>
      <w:bookmarkEnd w:id="234"/>
    </w:p>
    <w:tbl>
      <w:tblPr>
        <w:tblStyle w:val="TableGrid7"/>
        <w:tblW w:w="9634" w:type="dxa"/>
        <w:tblLayout w:type="fixed"/>
        <w:tblLook w:val="04A0" w:firstRow="1" w:lastRow="0" w:firstColumn="1" w:lastColumn="0" w:noHBand="0" w:noVBand="1"/>
        <w:tblCaption w:val="Hospitalisation due to PAH for a PDE-5 inhibitor in addition to a prostanoid compared with prostanoid monotherapy in all patients with PAH"/>
      </w:tblPr>
      <w:tblGrid>
        <w:gridCol w:w="1129"/>
        <w:gridCol w:w="2268"/>
        <w:gridCol w:w="1985"/>
        <w:gridCol w:w="1984"/>
        <w:gridCol w:w="2268"/>
      </w:tblGrid>
      <w:tr w:rsidR="0075777C" w:rsidRPr="00822C52" w:rsidTr="00345789">
        <w:trPr>
          <w:trHeight w:val="194"/>
          <w:tblHeader/>
        </w:trPr>
        <w:tc>
          <w:tcPr>
            <w:tcW w:w="1129" w:type="dxa"/>
            <w:vMerge w:val="restart"/>
            <w:shd w:val="clear" w:color="auto" w:fill="BFBFBF" w:themeFill="background1" w:themeFillShade="BF"/>
          </w:tcPr>
          <w:p w:rsidR="0075777C" w:rsidRPr="00345789" w:rsidRDefault="0075777C" w:rsidP="00345789">
            <w:pPr>
              <w:pStyle w:val="Tabletext"/>
              <w:rPr>
                <w:b/>
              </w:rPr>
            </w:pPr>
            <w:r w:rsidRPr="00345789">
              <w:rPr>
                <w:b/>
              </w:rPr>
              <w:t>Study ID</w:t>
            </w:r>
          </w:p>
        </w:tc>
        <w:tc>
          <w:tcPr>
            <w:tcW w:w="2268" w:type="dxa"/>
            <w:vMerge w:val="restart"/>
            <w:shd w:val="clear" w:color="auto" w:fill="BFBFBF" w:themeFill="background1" w:themeFillShade="BF"/>
          </w:tcPr>
          <w:p w:rsidR="0075777C" w:rsidRPr="00345789" w:rsidRDefault="0075777C" w:rsidP="00345789">
            <w:pPr>
              <w:pStyle w:val="Tabletext"/>
              <w:rPr>
                <w:b/>
              </w:rPr>
            </w:pPr>
            <w:r w:rsidRPr="00345789">
              <w:rPr>
                <w:b/>
              </w:rPr>
              <w:t>PDE-5i/prostanoid</w:t>
            </w:r>
          </w:p>
          <w:p w:rsidR="0075777C" w:rsidRPr="00345789" w:rsidRDefault="0075777C" w:rsidP="00345789">
            <w:pPr>
              <w:pStyle w:val="Tabletext"/>
              <w:rPr>
                <w:b/>
              </w:rPr>
            </w:pPr>
            <w:r w:rsidRPr="00345789">
              <w:rPr>
                <w:b/>
              </w:rPr>
              <w:t>Follow-up period</w:t>
            </w:r>
          </w:p>
        </w:tc>
        <w:tc>
          <w:tcPr>
            <w:tcW w:w="3969" w:type="dxa"/>
            <w:gridSpan w:val="2"/>
            <w:shd w:val="clear" w:color="auto" w:fill="BFBFBF" w:themeFill="background1" w:themeFillShade="BF"/>
          </w:tcPr>
          <w:p w:rsidR="0075777C" w:rsidRPr="00345789" w:rsidRDefault="0075777C" w:rsidP="00345789">
            <w:pPr>
              <w:pStyle w:val="Tabletext"/>
              <w:jc w:val="center"/>
              <w:rPr>
                <w:b/>
              </w:rPr>
            </w:pPr>
            <w:r w:rsidRPr="00345789">
              <w:rPr>
                <w:b/>
              </w:rPr>
              <w:t>n/N (%)</w:t>
            </w:r>
          </w:p>
        </w:tc>
        <w:tc>
          <w:tcPr>
            <w:tcW w:w="2268" w:type="dxa"/>
            <w:vMerge w:val="restart"/>
            <w:shd w:val="clear" w:color="auto" w:fill="BFBFBF" w:themeFill="background1" w:themeFillShade="BF"/>
          </w:tcPr>
          <w:p w:rsidR="0075777C" w:rsidRPr="00345789" w:rsidRDefault="0075777C" w:rsidP="00345789">
            <w:pPr>
              <w:pStyle w:val="Tabletext"/>
              <w:rPr>
                <w:b/>
              </w:rPr>
            </w:pPr>
            <w:r w:rsidRPr="00345789">
              <w:rPr>
                <w:b/>
              </w:rPr>
              <w:t>RR (95% CI)</w:t>
            </w:r>
          </w:p>
        </w:tc>
      </w:tr>
      <w:tr w:rsidR="0075777C" w:rsidRPr="00822C52" w:rsidTr="00345789">
        <w:trPr>
          <w:trHeight w:val="202"/>
          <w:tblHeader/>
        </w:trPr>
        <w:tc>
          <w:tcPr>
            <w:tcW w:w="1129" w:type="dxa"/>
            <w:vMerge/>
            <w:shd w:val="clear" w:color="auto" w:fill="BFBFBF" w:themeFill="background1" w:themeFillShade="BF"/>
          </w:tcPr>
          <w:p w:rsidR="0075777C" w:rsidRPr="00822C52" w:rsidRDefault="0075777C" w:rsidP="00345789">
            <w:pPr>
              <w:pStyle w:val="Tabletext"/>
            </w:pPr>
          </w:p>
        </w:tc>
        <w:tc>
          <w:tcPr>
            <w:tcW w:w="2268" w:type="dxa"/>
            <w:vMerge/>
            <w:shd w:val="clear" w:color="auto" w:fill="BFBFBF" w:themeFill="background1" w:themeFillShade="BF"/>
          </w:tcPr>
          <w:p w:rsidR="0075777C" w:rsidRPr="00822C52" w:rsidRDefault="0075777C" w:rsidP="00345789">
            <w:pPr>
              <w:pStyle w:val="Tabletext"/>
            </w:pPr>
          </w:p>
        </w:tc>
        <w:tc>
          <w:tcPr>
            <w:tcW w:w="1985" w:type="dxa"/>
            <w:shd w:val="clear" w:color="auto" w:fill="BFBFBF" w:themeFill="background1" w:themeFillShade="BF"/>
          </w:tcPr>
          <w:p w:rsidR="0075777C" w:rsidRPr="00345789" w:rsidRDefault="0075777C" w:rsidP="00345789">
            <w:pPr>
              <w:pStyle w:val="Tabletext"/>
              <w:jc w:val="center"/>
              <w:rPr>
                <w:b/>
              </w:rPr>
            </w:pPr>
            <w:r w:rsidRPr="00345789">
              <w:rPr>
                <w:b/>
              </w:rPr>
              <w:t>PDE-5i + prostanoid</w:t>
            </w:r>
          </w:p>
        </w:tc>
        <w:tc>
          <w:tcPr>
            <w:tcW w:w="1984" w:type="dxa"/>
            <w:shd w:val="clear" w:color="auto" w:fill="BFBFBF" w:themeFill="background1" w:themeFillShade="BF"/>
          </w:tcPr>
          <w:p w:rsidR="0075777C" w:rsidRPr="00345789" w:rsidRDefault="0075777C" w:rsidP="00534ADA">
            <w:pPr>
              <w:pStyle w:val="Tabletext"/>
              <w:jc w:val="center"/>
              <w:rPr>
                <w:b/>
              </w:rPr>
            </w:pPr>
            <w:r w:rsidRPr="00345789">
              <w:rPr>
                <w:b/>
              </w:rPr>
              <w:t>Prostanoid</w:t>
            </w:r>
          </w:p>
        </w:tc>
        <w:tc>
          <w:tcPr>
            <w:tcW w:w="2268" w:type="dxa"/>
            <w:vMerge/>
            <w:shd w:val="clear" w:color="auto" w:fill="BFBFBF" w:themeFill="background1" w:themeFillShade="BF"/>
          </w:tcPr>
          <w:p w:rsidR="0075777C" w:rsidRPr="00822C52" w:rsidRDefault="0075777C" w:rsidP="00345789">
            <w:pPr>
              <w:pStyle w:val="Tabletext"/>
            </w:pPr>
          </w:p>
        </w:tc>
      </w:tr>
      <w:tr w:rsidR="0075777C" w:rsidRPr="00822C52" w:rsidTr="00345789">
        <w:trPr>
          <w:trHeight w:val="330"/>
        </w:trPr>
        <w:tc>
          <w:tcPr>
            <w:tcW w:w="1129" w:type="dxa"/>
          </w:tcPr>
          <w:p w:rsidR="0075777C" w:rsidRPr="00822C52" w:rsidRDefault="0075777C" w:rsidP="001D34EE">
            <w:pPr>
              <w:pStyle w:val="Tabletext"/>
              <w:rPr>
                <w:rFonts w:cs="Tahoma"/>
              </w:rPr>
            </w:pPr>
            <w:r w:rsidRPr="00822C52">
              <w:rPr>
                <w:rFonts w:cs="Tahoma"/>
              </w:rPr>
              <w:t>PACES</w:t>
            </w:r>
            <w:r>
              <w:rPr>
                <w:rFonts w:cs="Tahoma"/>
              </w:rPr>
              <w:t>-1</w:t>
            </w:r>
            <w:r w:rsidR="001D34EE" w:rsidRPr="001A1C44">
              <w:rPr>
                <w:rFonts w:cs="Tahoma"/>
                <w:noProof/>
                <w:vertAlign w:val="superscript"/>
              </w:rPr>
              <w:t>41</w:t>
            </w:r>
          </w:p>
        </w:tc>
        <w:tc>
          <w:tcPr>
            <w:tcW w:w="2268" w:type="dxa"/>
          </w:tcPr>
          <w:p w:rsidR="0075777C" w:rsidRPr="00822C52" w:rsidRDefault="0075777C" w:rsidP="00345789">
            <w:pPr>
              <w:pStyle w:val="Tabletext"/>
              <w:rPr>
                <w:rFonts w:cs="Tahoma"/>
              </w:rPr>
            </w:pPr>
            <w:r w:rsidRPr="00822C52">
              <w:rPr>
                <w:rFonts w:cs="Tahoma"/>
              </w:rPr>
              <w:t>Sildenafil/epoprostenol</w:t>
            </w:r>
          </w:p>
          <w:p w:rsidR="0075777C" w:rsidRPr="00822C52" w:rsidRDefault="0075777C" w:rsidP="00345789">
            <w:pPr>
              <w:pStyle w:val="Tabletext"/>
              <w:rPr>
                <w:rFonts w:cs="Tahoma"/>
              </w:rPr>
            </w:pPr>
            <w:r w:rsidRPr="00822C52">
              <w:rPr>
                <w:rFonts w:cs="Tahoma"/>
              </w:rPr>
              <w:t>16 weeks</w:t>
            </w:r>
          </w:p>
        </w:tc>
        <w:tc>
          <w:tcPr>
            <w:tcW w:w="1985" w:type="dxa"/>
          </w:tcPr>
          <w:p w:rsidR="0075777C" w:rsidRPr="00822C52" w:rsidRDefault="0075777C" w:rsidP="00345789">
            <w:pPr>
              <w:pStyle w:val="Tabletext"/>
              <w:jc w:val="center"/>
              <w:rPr>
                <w:rFonts w:cs="Tahoma"/>
              </w:rPr>
            </w:pPr>
            <w:r w:rsidRPr="00822C52">
              <w:rPr>
                <w:rFonts w:cs="Tahoma"/>
              </w:rPr>
              <w:t>8/134 (6%)</w:t>
            </w:r>
          </w:p>
        </w:tc>
        <w:tc>
          <w:tcPr>
            <w:tcW w:w="1984" w:type="dxa"/>
          </w:tcPr>
          <w:p w:rsidR="0075777C" w:rsidRPr="00822C52" w:rsidRDefault="00863ADB" w:rsidP="00345789">
            <w:pPr>
              <w:pStyle w:val="Tabletext"/>
              <w:jc w:val="center"/>
              <w:rPr>
                <w:rFonts w:cs="Tahoma"/>
              </w:rPr>
            </w:pPr>
            <w:r>
              <w:rPr>
                <w:rFonts w:cs="Tahoma"/>
              </w:rPr>
              <w:t>11</w:t>
            </w:r>
            <w:r w:rsidR="0075777C" w:rsidRPr="00822C52">
              <w:rPr>
                <w:rFonts w:cs="Tahoma"/>
              </w:rPr>
              <w:t>/131 (</w:t>
            </w:r>
            <w:r>
              <w:rPr>
                <w:rFonts w:cs="Tahoma"/>
              </w:rPr>
              <w:t>8</w:t>
            </w:r>
            <w:r w:rsidR="0075777C" w:rsidRPr="00822C52">
              <w:rPr>
                <w:rFonts w:cs="Tahoma"/>
              </w:rPr>
              <w:t>%)</w:t>
            </w:r>
          </w:p>
        </w:tc>
        <w:tc>
          <w:tcPr>
            <w:tcW w:w="2268" w:type="dxa"/>
          </w:tcPr>
          <w:p w:rsidR="0075777C" w:rsidRPr="00822C52" w:rsidRDefault="0075777C" w:rsidP="00863ADB">
            <w:pPr>
              <w:pStyle w:val="Tabletext"/>
              <w:rPr>
                <w:rFonts w:cs="Tahoma"/>
              </w:rPr>
            </w:pPr>
            <w:r>
              <w:rPr>
                <w:rFonts w:cs="Tahoma"/>
              </w:rPr>
              <w:t>0.</w:t>
            </w:r>
            <w:r w:rsidR="00863ADB">
              <w:rPr>
                <w:rFonts w:cs="Tahoma"/>
              </w:rPr>
              <w:t>71</w:t>
            </w:r>
            <w:r>
              <w:rPr>
                <w:rFonts w:cs="Tahoma"/>
              </w:rPr>
              <w:t xml:space="preserve"> (0.</w:t>
            </w:r>
            <w:r w:rsidR="00863ADB">
              <w:rPr>
                <w:rFonts w:cs="Tahoma"/>
              </w:rPr>
              <w:t>30</w:t>
            </w:r>
            <w:r>
              <w:rPr>
                <w:rFonts w:cs="Tahoma"/>
              </w:rPr>
              <w:t xml:space="preserve">, </w:t>
            </w:r>
            <w:r w:rsidR="00863ADB">
              <w:rPr>
                <w:rFonts w:cs="Tahoma"/>
              </w:rPr>
              <w:t>1.71</w:t>
            </w:r>
            <w:r>
              <w:rPr>
                <w:rFonts w:cs="Tahoma"/>
              </w:rPr>
              <w:t>)</w:t>
            </w:r>
          </w:p>
        </w:tc>
      </w:tr>
    </w:tbl>
    <w:p w:rsidR="0075777C" w:rsidRPr="00822C52" w:rsidRDefault="0075777C" w:rsidP="00345789">
      <w:pPr>
        <w:pStyle w:val="Tablenote"/>
      </w:pPr>
      <w:r w:rsidRPr="00822C52">
        <w:t xml:space="preserve">CI = confidence interval; n = number of </w:t>
      </w:r>
      <w:r w:rsidR="001E16B8">
        <w:t xml:space="preserve">patients with </w:t>
      </w:r>
      <w:r w:rsidRPr="00822C52">
        <w:t xml:space="preserve">events; N = number of patients; PAH = pulmonary arterial hypertension; </w:t>
      </w:r>
      <w:r>
        <w:t>PDE-5i</w:t>
      </w:r>
      <w:r w:rsidRPr="00822C52">
        <w:t xml:space="preserve"> = phosphodiesterase type-5 inhibitor; RR = relative risk</w:t>
      </w:r>
    </w:p>
    <w:p w:rsidR="0075777C" w:rsidRPr="00822C52" w:rsidRDefault="00761752" w:rsidP="007B6C7C">
      <w:pPr>
        <w:pStyle w:val="Heading5"/>
      </w:pPr>
      <w:r>
        <w:t>d.</w:t>
      </w:r>
      <w:r>
        <w:tab/>
      </w:r>
      <w:r w:rsidR="0075777C" w:rsidRPr="00822C52">
        <w:t xml:space="preserve">Change in WHO </w:t>
      </w:r>
      <w:r w:rsidR="0075777C">
        <w:t>FC</w:t>
      </w:r>
      <w:r w:rsidR="007B6C7C" w:rsidRPr="007B6C7C">
        <w:t xml:space="preserve"> from baseline</w:t>
      </w:r>
    </w:p>
    <w:p w:rsidR="0075777C" w:rsidRPr="00822C52" w:rsidRDefault="0075777C" w:rsidP="0075777C">
      <w:r>
        <w:t xml:space="preserve">The </w:t>
      </w:r>
      <w:r w:rsidRPr="008320AC">
        <w:t xml:space="preserve">number of patients </w:t>
      </w:r>
      <w:r>
        <w:t>who</w:t>
      </w:r>
      <w:r w:rsidR="00345789">
        <w:t xml:space="preserve"> had a</w:t>
      </w:r>
      <w:r>
        <w:t xml:space="preserve"> </w:t>
      </w:r>
      <w:r w:rsidR="00345789">
        <w:t xml:space="preserve">change in their </w:t>
      </w:r>
      <w:r>
        <w:t>WHO FC after combination treatment compared with monotherapy was not reported for the PACES-1 trial</w:t>
      </w:r>
      <w:r w:rsidRPr="008320AC">
        <w:t>.</w:t>
      </w:r>
    </w:p>
    <w:p w:rsidR="0075777C" w:rsidRPr="00822C52" w:rsidRDefault="00761752" w:rsidP="0075777C">
      <w:pPr>
        <w:pStyle w:val="Heading5"/>
      </w:pPr>
      <w:r>
        <w:t>e</w:t>
      </w:r>
      <w:r w:rsidR="002E4833">
        <w:t>.</w:t>
      </w:r>
      <w:r>
        <w:tab/>
      </w:r>
      <w:r w:rsidR="0075777C" w:rsidRPr="00822C52">
        <w:t>Change in 6MWD from baseline</w:t>
      </w:r>
    </w:p>
    <w:p w:rsidR="0075777C" w:rsidRPr="00822C52" w:rsidRDefault="00761752" w:rsidP="0077344D">
      <w:pPr>
        <w:pStyle w:val="Heading6"/>
      </w:pPr>
      <w:r>
        <w:t>e</w:t>
      </w:r>
      <w:r w:rsidR="0075777C" w:rsidRPr="00822C52">
        <w:t>.i</w:t>
      </w:r>
      <w:r w:rsidR="0075777C" w:rsidRPr="00822C52">
        <w:tab/>
        <w:t>PAH patients, irrespective of disease severity or aetiology</w:t>
      </w:r>
    </w:p>
    <w:p w:rsidR="0075777C" w:rsidRPr="00822C52" w:rsidRDefault="0075777C" w:rsidP="0075777C">
      <w:r>
        <w:t>Patients receiving combination therapy improved their 6MWD by 30</w:t>
      </w:r>
      <w:r w:rsidR="00B60655">
        <w:t> </w:t>
      </w:r>
      <w:r>
        <w:t>m compared to a 1</w:t>
      </w:r>
      <w:r w:rsidR="00B60655">
        <w:t> </w:t>
      </w:r>
      <w:r>
        <w:t>m improvement in the monotherapy group. However, the improvement in 6MWD was not clinically important (</w:t>
      </w:r>
      <w:r w:rsidR="00AA722D">
        <w:t>Table 4.</w:t>
      </w:r>
      <w:r w:rsidR="00AA722D">
        <w:rPr>
          <w:noProof/>
        </w:rPr>
        <w:t>75</w:t>
      </w:r>
      <w:r>
        <w:t>).</w:t>
      </w:r>
    </w:p>
    <w:p w:rsidR="0075777C" w:rsidRDefault="00272F8F" w:rsidP="00BC5A2B">
      <w:pPr>
        <w:pStyle w:val="Caption"/>
      </w:pPr>
      <w:bookmarkStart w:id="235" w:name="_Ref504656670"/>
      <w:bookmarkStart w:id="236" w:name="_Toc512855479"/>
      <w:r>
        <w:t>Table 4.</w:t>
      </w:r>
      <w:r w:rsidR="00AA722D">
        <w:rPr>
          <w:noProof/>
        </w:rPr>
        <w:t>75</w:t>
      </w:r>
      <w:bookmarkEnd w:id="235"/>
      <w:r w:rsidR="00022B7B">
        <w:tab/>
      </w:r>
      <w:r w:rsidR="0075777C" w:rsidRPr="00DD7790">
        <w:t xml:space="preserve">The effectiveness of </w:t>
      </w:r>
      <w:r w:rsidR="007E59EC">
        <w:t xml:space="preserve">a </w:t>
      </w:r>
      <w:r w:rsidR="007E59EC" w:rsidRPr="00DD7790">
        <w:t xml:space="preserve">PDE-5 inhibitor </w:t>
      </w:r>
      <w:r w:rsidR="007E59EC">
        <w:t>in addition to a</w:t>
      </w:r>
      <w:r w:rsidR="007E59EC" w:rsidRPr="00DD7790">
        <w:t xml:space="preserve"> pr</w:t>
      </w:r>
      <w:r w:rsidR="007E59EC">
        <w:t xml:space="preserve">ostanoid compared with </w:t>
      </w:r>
      <w:r w:rsidR="007E59EC" w:rsidRPr="00DD7790">
        <w:t xml:space="preserve">prostanoid </w:t>
      </w:r>
      <w:r w:rsidR="007E59EC">
        <w:t xml:space="preserve">monotherapy </w:t>
      </w:r>
      <w:r w:rsidR="0075777C" w:rsidRPr="00DD7790">
        <w:t>in improving 6MWD in all PAH patients</w:t>
      </w:r>
      <w:bookmarkEnd w:id="236"/>
    </w:p>
    <w:tbl>
      <w:tblPr>
        <w:tblStyle w:val="TableGrid"/>
        <w:tblW w:w="9634" w:type="dxa"/>
        <w:tblLook w:val="04A0" w:firstRow="1" w:lastRow="0" w:firstColumn="1" w:lastColumn="0" w:noHBand="0" w:noVBand="1"/>
        <w:tblCaption w:val="The effectiveness of a PDE-5 inhibitor in addition to a prostanoid compared with prostanoid monotherapy in improving 6MWD in all PAH patients"/>
      </w:tblPr>
      <w:tblGrid>
        <w:gridCol w:w="2138"/>
        <w:gridCol w:w="839"/>
        <w:gridCol w:w="1518"/>
        <w:gridCol w:w="1159"/>
        <w:gridCol w:w="1614"/>
        <w:gridCol w:w="1159"/>
        <w:gridCol w:w="1207"/>
      </w:tblGrid>
      <w:tr w:rsidR="0075777C" w:rsidTr="00534ADA">
        <w:trPr>
          <w:cnfStyle w:val="100000000000" w:firstRow="1" w:lastRow="0" w:firstColumn="0" w:lastColumn="0" w:oddVBand="0" w:evenVBand="0" w:oddHBand="0" w:evenHBand="0" w:firstRowFirstColumn="0" w:firstRowLastColumn="0" w:lastRowFirstColumn="0" w:lastRowLastColumn="0"/>
        </w:trPr>
        <w:tc>
          <w:tcPr>
            <w:tcW w:w="1696" w:type="dxa"/>
            <w:vMerge w:val="restart"/>
            <w:shd w:val="clear" w:color="auto" w:fill="BFBFBF" w:themeFill="background1" w:themeFillShade="BF"/>
          </w:tcPr>
          <w:p w:rsidR="0075777C" w:rsidRPr="00022B7B" w:rsidRDefault="0075777C" w:rsidP="00022B7B">
            <w:pPr>
              <w:pStyle w:val="Tabletext"/>
              <w:rPr>
                <w:b/>
              </w:rPr>
            </w:pPr>
            <w:r w:rsidRPr="00022B7B">
              <w:rPr>
                <w:b/>
              </w:rPr>
              <w:t>Study ID</w:t>
            </w:r>
          </w:p>
          <w:p w:rsidR="0075777C" w:rsidRPr="00022B7B" w:rsidRDefault="0075777C" w:rsidP="00022B7B">
            <w:pPr>
              <w:pStyle w:val="Tabletext"/>
              <w:rPr>
                <w:b/>
              </w:rPr>
            </w:pPr>
            <w:r w:rsidRPr="00022B7B">
              <w:rPr>
                <w:b/>
              </w:rPr>
              <w:t>PDE-5i/</w:t>
            </w:r>
            <w:r w:rsidR="00022B7B" w:rsidRPr="00022B7B">
              <w:rPr>
                <w:b/>
              </w:rPr>
              <w:t>prostanoid</w:t>
            </w:r>
          </w:p>
        </w:tc>
        <w:tc>
          <w:tcPr>
            <w:tcW w:w="851" w:type="dxa"/>
            <w:vMerge w:val="restart"/>
            <w:shd w:val="clear" w:color="auto" w:fill="BFBFBF" w:themeFill="background1" w:themeFillShade="BF"/>
          </w:tcPr>
          <w:p w:rsidR="0075777C" w:rsidRPr="00022B7B" w:rsidRDefault="0075777C" w:rsidP="00022B7B">
            <w:pPr>
              <w:pStyle w:val="Tabletext"/>
              <w:rPr>
                <w:b/>
              </w:rPr>
            </w:pPr>
            <w:r w:rsidRPr="00022B7B">
              <w:rPr>
                <w:b/>
              </w:rPr>
              <w:t>N</w:t>
            </w:r>
          </w:p>
          <w:p w:rsidR="0075777C" w:rsidRPr="00022B7B" w:rsidRDefault="0075777C" w:rsidP="00022B7B">
            <w:pPr>
              <w:pStyle w:val="Tabletext"/>
              <w:rPr>
                <w:b/>
              </w:rPr>
            </w:pPr>
            <w:r w:rsidRPr="00022B7B">
              <w:rPr>
                <w:b/>
              </w:rPr>
              <w:t>Follow-up period</w:t>
            </w:r>
          </w:p>
        </w:tc>
        <w:tc>
          <w:tcPr>
            <w:tcW w:w="2835" w:type="dxa"/>
            <w:gridSpan w:val="2"/>
            <w:shd w:val="clear" w:color="auto" w:fill="BFBFBF" w:themeFill="background1" w:themeFillShade="BF"/>
          </w:tcPr>
          <w:p w:rsidR="0075777C" w:rsidRPr="00022B7B" w:rsidRDefault="00EC2524" w:rsidP="00EC2524">
            <w:pPr>
              <w:pStyle w:val="Tabletext"/>
              <w:jc w:val="center"/>
              <w:rPr>
                <w:b/>
              </w:rPr>
            </w:pPr>
            <w:r>
              <w:rPr>
                <w:b/>
              </w:rPr>
              <w:t>M</w:t>
            </w:r>
            <w:r w:rsidR="0075777C" w:rsidRPr="00022B7B">
              <w:rPr>
                <w:b/>
              </w:rPr>
              <w:t>ean ± SD</w:t>
            </w:r>
            <w:r w:rsidRPr="00022B7B">
              <w:rPr>
                <w:b/>
              </w:rPr>
              <w:t xml:space="preserve"> </w:t>
            </w:r>
            <w:r>
              <w:rPr>
                <w:b/>
              </w:rPr>
              <w:t>b</w:t>
            </w:r>
            <w:r w:rsidRPr="00022B7B">
              <w:rPr>
                <w:b/>
              </w:rPr>
              <w:t>aseline</w:t>
            </w:r>
            <w:r>
              <w:rPr>
                <w:b/>
              </w:rPr>
              <w:t xml:space="preserve"> 6MWD</w:t>
            </w:r>
            <w:r w:rsidR="0075777C" w:rsidRPr="00022B7B">
              <w:rPr>
                <w:b/>
              </w:rPr>
              <w:t xml:space="preserve">, </w:t>
            </w:r>
            <w:r w:rsidRPr="00EC2524">
              <w:rPr>
                <w:b/>
              </w:rPr>
              <w:t>meters</w:t>
            </w:r>
          </w:p>
        </w:tc>
        <w:tc>
          <w:tcPr>
            <w:tcW w:w="2977" w:type="dxa"/>
            <w:gridSpan w:val="2"/>
            <w:shd w:val="clear" w:color="auto" w:fill="BFBFBF" w:themeFill="background1" w:themeFillShade="BF"/>
          </w:tcPr>
          <w:p w:rsidR="0075777C" w:rsidRPr="00022B7B" w:rsidRDefault="0075777C" w:rsidP="00022B7B">
            <w:pPr>
              <w:pStyle w:val="Tabletext"/>
              <w:jc w:val="center"/>
              <w:rPr>
                <w:b/>
              </w:rPr>
            </w:pPr>
            <w:r w:rsidRPr="00022B7B">
              <w:rPr>
                <w:b/>
              </w:rPr>
              <w:t xml:space="preserve">Mean change from baseline (95% CI), </w:t>
            </w:r>
            <w:r w:rsidR="00EC2524" w:rsidRPr="00EC2524">
              <w:rPr>
                <w:b/>
              </w:rPr>
              <w:t>meters</w:t>
            </w:r>
          </w:p>
        </w:tc>
        <w:tc>
          <w:tcPr>
            <w:tcW w:w="1275" w:type="dxa"/>
            <w:vMerge w:val="restart"/>
            <w:shd w:val="clear" w:color="auto" w:fill="BFBFBF" w:themeFill="background1" w:themeFillShade="BF"/>
          </w:tcPr>
          <w:p w:rsidR="0075777C" w:rsidRPr="00022B7B" w:rsidRDefault="0075777C" w:rsidP="00022B7B">
            <w:pPr>
              <w:pStyle w:val="Tabletext"/>
              <w:rPr>
                <w:b/>
              </w:rPr>
            </w:pPr>
            <w:r w:rsidRPr="00022B7B">
              <w:rPr>
                <w:b/>
              </w:rPr>
              <w:t xml:space="preserve">Mean difference (95% CI), </w:t>
            </w:r>
            <w:r w:rsidR="00EC2524" w:rsidRPr="00EC2524">
              <w:rPr>
                <w:b/>
              </w:rPr>
              <w:t>meters</w:t>
            </w:r>
          </w:p>
        </w:tc>
      </w:tr>
      <w:tr w:rsidR="0075777C" w:rsidTr="00534ADA">
        <w:tc>
          <w:tcPr>
            <w:tcW w:w="1696" w:type="dxa"/>
            <w:vMerge/>
          </w:tcPr>
          <w:p w:rsidR="0075777C" w:rsidRPr="00022B7B" w:rsidRDefault="0075777C" w:rsidP="00022B7B">
            <w:pPr>
              <w:pStyle w:val="Tabletext"/>
            </w:pPr>
          </w:p>
        </w:tc>
        <w:tc>
          <w:tcPr>
            <w:tcW w:w="851" w:type="dxa"/>
            <w:vMerge/>
          </w:tcPr>
          <w:p w:rsidR="0075777C" w:rsidRPr="00022B7B" w:rsidRDefault="0075777C" w:rsidP="00022B7B">
            <w:pPr>
              <w:pStyle w:val="Tabletext"/>
            </w:pPr>
          </w:p>
        </w:tc>
        <w:tc>
          <w:tcPr>
            <w:tcW w:w="1701" w:type="dxa"/>
            <w:shd w:val="clear" w:color="auto" w:fill="BFBFBF" w:themeFill="background1" w:themeFillShade="BF"/>
          </w:tcPr>
          <w:p w:rsidR="0075777C" w:rsidRPr="00022B7B" w:rsidRDefault="0075777C" w:rsidP="00022B7B">
            <w:pPr>
              <w:pStyle w:val="Tabletext"/>
              <w:jc w:val="center"/>
              <w:rPr>
                <w:b/>
              </w:rPr>
            </w:pPr>
            <w:r w:rsidRPr="00022B7B">
              <w:rPr>
                <w:b/>
              </w:rPr>
              <w:t>PDE-5i +  prostanoid</w:t>
            </w:r>
          </w:p>
        </w:tc>
        <w:tc>
          <w:tcPr>
            <w:tcW w:w="1134" w:type="dxa"/>
            <w:shd w:val="clear" w:color="auto" w:fill="BFBFBF" w:themeFill="background1" w:themeFillShade="BF"/>
          </w:tcPr>
          <w:p w:rsidR="0075777C" w:rsidRPr="00022B7B" w:rsidRDefault="0075777C" w:rsidP="00534ADA">
            <w:pPr>
              <w:pStyle w:val="Tabletext"/>
              <w:jc w:val="center"/>
              <w:rPr>
                <w:b/>
              </w:rPr>
            </w:pPr>
            <w:r w:rsidRPr="00022B7B">
              <w:rPr>
                <w:b/>
              </w:rPr>
              <w:t>Prostanoid</w:t>
            </w:r>
          </w:p>
        </w:tc>
        <w:tc>
          <w:tcPr>
            <w:tcW w:w="1843" w:type="dxa"/>
            <w:shd w:val="clear" w:color="auto" w:fill="BFBFBF" w:themeFill="background1" w:themeFillShade="BF"/>
          </w:tcPr>
          <w:p w:rsidR="0075777C" w:rsidRPr="00022B7B" w:rsidRDefault="002A66C2" w:rsidP="00022B7B">
            <w:pPr>
              <w:pStyle w:val="Tabletext"/>
              <w:jc w:val="center"/>
              <w:rPr>
                <w:b/>
              </w:rPr>
            </w:pPr>
            <w:r>
              <w:rPr>
                <w:b/>
              </w:rPr>
              <w:t xml:space="preserve">PDE-5i + </w:t>
            </w:r>
            <w:r w:rsidR="0075777C" w:rsidRPr="00022B7B">
              <w:rPr>
                <w:b/>
              </w:rPr>
              <w:t>prostanoid</w:t>
            </w:r>
          </w:p>
        </w:tc>
        <w:tc>
          <w:tcPr>
            <w:tcW w:w="1134" w:type="dxa"/>
            <w:shd w:val="clear" w:color="auto" w:fill="BFBFBF" w:themeFill="background1" w:themeFillShade="BF"/>
          </w:tcPr>
          <w:p w:rsidR="0075777C" w:rsidRPr="00022B7B" w:rsidRDefault="0075777C" w:rsidP="00534ADA">
            <w:pPr>
              <w:pStyle w:val="Tabletext"/>
              <w:jc w:val="center"/>
              <w:rPr>
                <w:b/>
              </w:rPr>
            </w:pPr>
            <w:r w:rsidRPr="00022B7B">
              <w:rPr>
                <w:b/>
              </w:rPr>
              <w:t>Prostanoid</w:t>
            </w:r>
          </w:p>
        </w:tc>
        <w:tc>
          <w:tcPr>
            <w:tcW w:w="1275" w:type="dxa"/>
            <w:vMerge/>
          </w:tcPr>
          <w:p w:rsidR="0075777C" w:rsidRPr="00022B7B" w:rsidRDefault="0075777C" w:rsidP="00022B7B">
            <w:pPr>
              <w:pStyle w:val="Tabletext"/>
            </w:pPr>
          </w:p>
        </w:tc>
      </w:tr>
      <w:tr w:rsidR="0075777C" w:rsidTr="00534ADA">
        <w:tc>
          <w:tcPr>
            <w:tcW w:w="1696" w:type="dxa"/>
          </w:tcPr>
          <w:p w:rsidR="0075777C" w:rsidRPr="00022B7B" w:rsidRDefault="0075777C" w:rsidP="00022B7B">
            <w:pPr>
              <w:pStyle w:val="Tabletext"/>
            </w:pPr>
            <w:r w:rsidRPr="00022B7B">
              <w:t>PACES-1</w:t>
            </w:r>
            <w:r w:rsidR="001D34EE">
              <w:rPr>
                <w:noProof/>
                <w:vertAlign w:val="superscript"/>
              </w:rPr>
              <w:t>41</w:t>
            </w:r>
          </w:p>
          <w:p w:rsidR="0075777C" w:rsidRPr="00022B7B" w:rsidRDefault="00022B7B" w:rsidP="00022B7B">
            <w:pPr>
              <w:pStyle w:val="Tabletext"/>
            </w:pPr>
            <w:r>
              <w:t>Sildenafil/</w:t>
            </w:r>
            <w:r w:rsidR="0075777C" w:rsidRPr="00022B7B">
              <w:t>epoprostenol</w:t>
            </w:r>
          </w:p>
        </w:tc>
        <w:tc>
          <w:tcPr>
            <w:tcW w:w="851" w:type="dxa"/>
          </w:tcPr>
          <w:p w:rsidR="0075777C" w:rsidRPr="00022B7B" w:rsidRDefault="0075777C" w:rsidP="00022B7B">
            <w:pPr>
              <w:pStyle w:val="Tabletext"/>
            </w:pPr>
            <w:r w:rsidRPr="00022B7B">
              <w:t>N=267</w:t>
            </w:r>
          </w:p>
          <w:p w:rsidR="0075777C" w:rsidRPr="00022B7B" w:rsidRDefault="0075777C" w:rsidP="00022B7B">
            <w:pPr>
              <w:pStyle w:val="Tabletext"/>
            </w:pPr>
            <w:r w:rsidRPr="00022B7B">
              <w:t>16 weeks</w:t>
            </w:r>
          </w:p>
        </w:tc>
        <w:tc>
          <w:tcPr>
            <w:tcW w:w="1701" w:type="dxa"/>
          </w:tcPr>
          <w:p w:rsidR="0075777C" w:rsidRPr="00022B7B" w:rsidRDefault="0075777C" w:rsidP="00022B7B">
            <w:pPr>
              <w:pStyle w:val="Tabletext"/>
              <w:jc w:val="center"/>
            </w:pPr>
            <w:r w:rsidRPr="00022B7B">
              <w:t>348.9 ± 71.4</w:t>
            </w:r>
          </w:p>
        </w:tc>
        <w:tc>
          <w:tcPr>
            <w:tcW w:w="1134" w:type="dxa"/>
          </w:tcPr>
          <w:p w:rsidR="0075777C" w:rsidRPr="00022B7B" w:rsidRDefault="0075777C" w:rsidP="00022B7B">
            <w:pPr>
              <w:pStyle w:val="Tabletext"/>
              <w:jc w:val="center"/>
            </w:pPr>
            <w:r w:rsidRPr="00022B7B">
              <w:t>341.6 ± 77.3</w:t>
            </w:r>
          </w:p>
        </w:tc>
        <w:tc>
          <w:tcPr>
            <w:tcW w:w="1843" w:type="dxa"/>
          </w:tcPr>
          <w:p w:rsidR="0075777C" w:rsidRPr="00022B7B" w:rsidRDefault="0075777C" w:rsidP="00022B7B">
            <w:pPr>
              <w:pStyle w:val="Tabletext"/>
              <w:jc w:val="center"/>
            </w:pPr>
            <w:r w:rsidRPr="00022B7B">
              <w:t>29.8</w:t>
            </w:r>
            <w:r w:rsidR="00022B7B">
              <w:t xml:space="preserve"> </w:t>
            </w:r>
            <w:r w:rsidRPr="00022B7B">
              <w:t>(18.5, 41.2)</w:t>
            </w:r>
          </w:p>
        </w:tc>
        <w:tc>
          <w:tcPr>
            <w:tcW w:w="1134" w:type="dxa"/>
          </w:tcPr>
          <w:p w:rsidR="0075777C" w:rsidRPr="00022B7B" w:rsidRDefault="0075777C" w:rsidP="00022B7B">
            <w:pPr>
              <w:pStyle w:val="Tabletext"/>
              <w:jc w:val="center"/>
            </w:pPr>
            <w:r w:rsidRPr="00022B7B">
              <w:t>1</w:t>
            </w:r>
            <w:r w:rsidR="00022B7B">
              <w:t xml:space="preserve"> </w:t>
            </w:r>
            <w:r w:rsidRPr="00022B7B">
              <w:t>(−10.9, 12.9)</w:t>
            </w:r>
          </w:p>
        </w:tc>
        <w:tc>
          <w:tcPr>
            <w:tcW w:w="1275" w:type="dxa"/>
          </w:tcPr>
          <w:p w:rsidR="0075777C" w:rsidRPr="00022B7B" w:rsidRDefault="0075777C" w:rsidP="00022B7B">
            <w:pPr>
              <w:pStyle w:val="Tabletext"/>
            </w:pPr>
            <w:r w:rsidRPr="00022B7B">
              <w:t>28.8</w:t>
            </w:r>
            <w:r w:rsidR="00022B7B">
              <w:t xml:space="preserve"> </w:t>
            </w:r>
            <w:r w:rsidRPr="00022B7B">
              <w:t>(13.9, 43.8), p&lt;0.001</w:t>
            </w:r>
          </w:p>
        </w:tc>
      </w:tr>
    </w:tbl>
    <w:p w:rsidR="0075777C" w:rsidRPr="00822C52" w:rsidRDefault="0075777C" w:rsidP="00022B7B">
      <w:pPr>
        <w:pStyle w:val="Tablenote"/>
      </w:pPr>
      <w:r w:rsidRPr="00822C52">
        <w:t xml:space="preserve">6MWD = 6-minute </w:t>
      </w:r>
      <w:r w:rsidR="0082368E">
        <w:t>walk distance</w:t>
      </w:r>
      <w:r w:rsidRPr="00822C52">
        <w:t xml:space="preserve">; CI = confidence interval; N = number of patients; PAH = pulmonary arterial hypertension; </w:t>
      </w:r>
      <w:r>
        <w:t>PDE-5i</w:t>
      </w:r>
      <w:r w:rsidRPr="00822C52">
        <w:t xml:space="preserve"> = phosphodiesterase type-5 inhibitor; SD = standard deviation</w:t>
      </w:r>
    </w:p>
    <w:p w:rsidR="0075777C" w:rsidRPr="00822C52" w:rsidRDefault="00761752" w:rsidP="007B6C7C">
      <w:pPr>
        <w:pStyle w:val="Heading5"/>
      </w:pPr>
      <w:r>
        <w:t>f</w:t>
      </w:r>
      <w:r w:rsidR="002E4833">
        <w:t>.</w:t>
      </w:r>
      <w:r w:rsidR="007B6C7C">
        <w:tab/>
      </w:r>
      <w:r w:rsidR="007B6C7C" w:rsidRPr="007B6C7C">
        <w:t>Change in QoL from baseline</w:t>
      </w:r>
    </w:p>
    <w:p w:rsidR="0075777C" w:rsidRPr="00822C52" w:rsidRDefault="0075777C" w:rsidP="0075777C">
      <w:r>
        <w:t xml:space="preserve">The </w:t>
      </w:r>
      <w:r w:rsidRPr="008320AC">
        <w:t xml:space="preserve">number of patients </w:t>
      </w:r>
      <w:r>
        <w:t>whose QoL changed after combination treatment compared with monotherapy was not reported for the PACES-1 trial</w:t>
      </w:r>
      <w:r w:rsidRPr="008320AC">
        <w:t>.</w:t>
      </w:r>
    </w:p>
    <w:p w:rsidR="00761752" w:rsidRPr="006316DF" w:rsidRDefault="00761752" w:rsidP="00761752">
      <w:pPr>
        <w:pStyle w:val="Heading5"/>
      </w:pPr>
      <w:r>
        <w:t>g.</w:t>
      </w:r>
      <w:r>
        <w:tab/>
      </w:r>
      <w:r w:rsidRPr="006316DF">
        <w:t xml:space="preserve">Change in </w:t>
      </w:r>
      <w:r>
        <w:t>haemodynamic parameters</w:t>
      </w:r>
      <w:r w:rsidRPr="006316DF">
        <w:t xml:space="preserve"> from baseline</w:t>
      </w:r>
    </w:p>
    <w:p w:rsidR="00761752" w:rsidRPr="00822C52" w:rsidRDefault="00761752" w:rsidP="00761752">
      <w:pPr>
        <w:pStyle w:val="Heading6"/>
      </w:pPr>
      <w:r>
        <w:t>g</w:t>
      </w:r>
      <w:r w:rsidRPr="00822C52">
        <w:t>.i</w:t>
      </w:r>
      <w:r w:rsidRPr="00822C52">
        <w:tab/>
        <w:t>PAH patients, irrespective of disease severity or aetiology</w:t>
      </w:r>
    </w:p>
    <w:p w:rsidR="00761752" w:rsidRDefault="00761752" w:rsidP="00761752">
      <w:r w:rsidRPr="00125ABB">
        <w:t xml:space="preserve">The </w:t>
      </w:r>
      <w:r>
        <w:t>PACES-1 trial</w:t>
      </w:r>
      <w:r w:rsidRPr="00125ABB">
        <w:t xml:space="preserve"> reported the change in PVR</w:t>
      </w:r>
      <w:r>
        <w:t>,</w:t>
      </w:r>
      <w:r w:rsidRPr="00125ABB">
        <w:t xml:space="preserve"> mPAP and </w:t>
      </w:r>
      <w:r>
        <w:t xml:space="preserve">mRAP </w:t>
      </w:r>
      <w:r w:rsidRPr="00125ABB">
        <w:t xml:space="preserve">over the </w:t>
      </w:r>
      <w:r>
        <w:t>6-month</w:t>
      </w:r>
      <w:r w:rsidRPr="00125ABB">
        <w:t xml:space="preserve"> study period (</w:t>
      </w:r>
      <w:r w:rsidR="00AA722D">
        <w:t>Table 4.</w:t>
      </w:r>
      <w:r w:rsidR="00AA722D">
        <w:rPr>
          <w:noProof/>
        </w:rPr>
        <w:t>76</w:t>
      </w:r>
      <w:r w:rsidRPr="00125ABB">
        <w:t xml:space="preserve">). </w:t>
      </w:r>
      <w:r>
        <w:t>P</w:t>
      </w:r>
      <w:r w:rsidRPr="00125ABB">
        <w:t xml:space="preserve">atients receiving combination therapy showed improvement </w:t>
      </w:r>
      <w:r>
        <w:t xml:space="preserve">in all three parameters </w:t>
      </w:r>
      <w:r w:rsidRPr="00125ABB">
        <w:t xml:space="preserve">compared </w:t>
      </w:r>
      <w:r>
        <w:t>with no improvement or worsening in</w:t>
      </w:r>
      <w:r w:rsidRPr="00125ABB">
        <w:t xml:space="preserve"> those </w:t>
      </w:r>
      <w:r>
        <w:t>receiving</w:t>
      </w:r>
      <w:r w:rsidRPr="00125ABB">
        <w:t xml:space="preserve"> monotherapy</w:t>
      </w:r>
      <w:r>
        <w:t>. The difference was s</w:t>
      </w:r>
      <w:r w:rsidRPr="00125ABB">
        <w:t>tatistical</w:t>
      </w:r>
      <w:r>
        <w:t>ly</w:t>
      </w:r>
      <w:r w:rsidRPr="00125ABB">
        <w:t xml:space="preserve"> significan</w:t>
      </w:r>
      <w:r>
        <w:t>t (non-overlapping 95% CIs) for all three parameters and may be</w:t>
      </w:r>
      <w:r w:rsidRPr="00125ABB">
        <w:t xml:space="preserve"> clinically important</w:t>
      </w:r>
      <w:r>
        <w:t xml:space="preserve"> for PVR and mRAP</w:t>
      </w:r>
      <w:r w:rsidRPr="00125ABB">
        <w:t>.</w:t>
      </w:r>
    </w:p>
    <w:p w:rsidR="00761752" w:rsidRDefault="00761752" w:rsidP="00761752">
      <w:pPr>
        <w:pStyle w:val="Caption"/>
      </w:pPr>
      <w:bookmarkStart w:id="237" w:name="_Ref505594518"/>
      <w:bookmarkStart w:id="238" w:name="_Toc512855480"/>
      <w:r>
        <w:lastRenderedPageBreak/>
        <w:t>Table 4.</w:t>
      </w:r>
      <w:r w:rsidR="00AA722D">
        <w:rPr>
          <w:noProof/>
        </w:rPr>
        <w:t>76</w:t>
      </w:r>
      <w:bookmarkEnd w:id="237"/>
      <w:r>
        <w:tab/>
      </w:r>
      <w:r w:rsidRPr="006316DF">
        <w:t xml:space="preserve">The effectiveness of </w:t>
      </w:r>
      <w:r w:rsidR="007E59EC">
        <w:t xml:space="preserve">a </w:t>
      </w:r>
      <w:r w:rsidR="007E59EC" w:rsidRPr="00DD7790">
        <w:t xml:space="preserve">PDE-5 inhibitor </w:t>
      </w:r>
      <w:r w:rsidR="007E59EC">
        <w:t>in addition to a</w:t>
      </w:r>
      <w:r w:rsidR="007E59EC" w:rsidRPr="00DD7790">
        <w:t xml:space="preserve"> pr</w:t>
      </w:r>
      <w:r w:rsidR="007E59EC">
        <w:t xml:space="preserve">ostanoid compared with </w:t>
      </w:r>
      <w:r w:rsidR="007E59EC" w:rsidRPr="00DD7790">
        <w:t xml:space="preserve">prostanoid </w:t>
      </w:r>
      <w:r w:rsidR="007E59EC">
        <w:t>monotherapy</w:t>
      </w:r>
      <w:r w:rsidRPr="009B4D64">
        <w:t xml:space="preserve"> </w:t>
      </w:r>
      <w:r w:rsidRPr="006316DF">
        <w:t xml:space="preserve">in improving </w:t>
      </w:r>
      <w:r w:rsidR="001E16B8">
        <w:t>haemodynamic parameters</w:t>
      </w:r>
      <w:r w:rsidR="001E16B8" w:rsidRPr="00B642BB">
        <w:t xml:space="preserve"> </w:t>
      </w:r>
      <w:r w:rsidRPr="00B642BB">
        <w:t xml:space="preserve">in </w:t>
      </w:r>
      <w:r>
        <w:t>all PAH patients</w:t>
      </w:r>
      <w:bookmarkEnd w:id="238"/>
    </w:p>
    <w:tbl>
      <w:tblPr>
        <w:tblStyle w:val="TableGrid"/>
        <w:tblW w:w="9634" w:type="dxa"/>
        <w:tblLayout w:type="fixed"/>
        <w:tblLook w:val="04A0" w:firstRow="1" w:lastRow="0" w:firstColumn="1" w:lastColumn="0" w:noHBand="0" w:noVBand="1"/>
        <w:tblCaption w:val="The effectiveness of a PDE-5 inhibitor in addition to a prostanoid compared with prostanoid monotherapy in improving haemodynamic parameters in all PAH patients"/>
      </w:tblPr>
      <w:tblGrid>
        <w:gridCol w:w="1191"/>
        <w:gridCol w:w="1639"/>
        <w:gridCol w:w="1560"/>
        <w:gridCol w:w="1134"/>
        <w:gridCol w:w="1701"/>
        <w:gridCol w:w="1134"/>
        <w:gridCol w:w="1275"/>
      </w:tblGrid>
      <w:tr w:rsidR="00761752" w:rsidTr="002A66C2">
        <w:trPr>
          <w:cnfStyle w:val="100000000000" w:firstRow="1" w:lastRow="0" w:firstColumn="0" w:lastColumn="0" w:oddVBand="0" w:evenVBand="0" w:oddHBand="0" w:evenHBand="0" w:firstRowFirstColumn="0" w:firstRowLastColumn="0" w:lastRowFirstColumn="0" w:lastRowLastColumn="0"/>
        </w:trPr>
        <w:tc>
          <w:tcPr>
            <w:tcW w:w="1191" w:type="dxa"/>
            <w:vMerge w:val="restart"/>
            <w:shd w:val="clear" w:color="auto" w:fill="BFBFBF" w:themeFill="background1" w:themeFillShade="BF"/>
          </w:tcPr>
          <w:p w:rsidR="00761752" w:rsidRPr="00345789" w:rsidRDefault="00761752" w:rsidP="00973227">
            <w:pPr>
              <w:pStyle w:val="Tabletext"/>
              <w:rPr>
                <w:b/>
              </w:rPr>
            </w:pPr>
            <w:r w:rsidRPr="00345789">
              <w:rPr>
                <w:b/>
              </w:rPr>
              <w:t>Study ID</w:t>
            </w:r>
          </w:p>
          <w:p w:rsidR="00761752" w:rsidRPr="00345789" w:rsidRDefault="00761752" w:rsidP="00973227">
            <w:pPr>
              <w:pStyle w:val="Tabletext"/>
              <w:rPr>
                <w:b/>
              </w:rPr>
            </w:pPr>
            <w:r w:rsidRPr="00345789">
              <w:rPr>
                <w:b/>
              </w:rPr>
              <w:t>PDE-5i/ prostanoid</w:t>
            </w:r>
          </w:p>
          <w:p w:rsidR="00761752" w:rsidRPr="00345789" w:rsidRDefault="00761752" w:rsidP="00973227">
            <w:pPr>
              <w:pStyle w:val="Tabletext"/>
              <w:rPr>
                <w:b/>
              </w:rPr>
            </w:pPr>
            <w:r w:rsidRPr="00345789">
              <w:rPr>
                <w:b/>
              </w:rPr>
              <w:t>Study period</w:t>
            </w:r>
            <w:r>
              <w:rPr>
                <w:b/>
              </w:rPr>
              <w:t>/</w:t>
            </w:r>
            <w:r w:rsidRPr="00345789">
              <w:rPr>
                <w:b/>
              </w:rPr>
              <w:t>N</w:t>
            </w:r>
          </w:p>
        </w:tc>
        <w:tc>
          <w:tcPr>
            <w:tcW w:w="1639" w:type="dxa"/>
            <w:vMerge w:val="restart"/>
            <w:shd w:val="clear" w:color="auto" w:fill="BFBFBF" w:themeFill="background1" w:themeFillShade="BF"/>
          </w:tcPr>
          <w:p w:rsidR="00761752" w:rsidRPr="00345789" w:rsidRDefault="00761752" w:rsidP="00973227">
            <w:pPr>
              <w:pStyle w:val="Tabletext"/>
              <w:rPr>
                <w:b/>
              </w:rPr>
            </w:pPr>
            <w:r w:rsidRPr="00345789">
              <w:rPr>
                <w:b/>
              </w:rPr>
              <w:t>Haemodynamic parameter</w:t>
            </w:r>
            <w:r w:rsidR="000B12FE" w:rsidRPr="000B12FE">
              <w:rPr>
                <w:b/>
                <w:vertAlign w:val="superscript"/>
              </w:rPr>
              <w:t>a</w:t>
            </w:r>
          </w:p>
        </w:tc>
        <w:tc>
          <w:tcPr>
            <w:tcW w:w="2694" w:type="dxa"/>
            <w:gridSpan w:val="2"/>
            <w:shd w:val="clear" w:color="auto" w:fill="BFBFBF" w:themeFill="background1" w:themeFillShade="BF"/>
          </w:tcPr>
          <w:p w:rsidR="00761752" w:rsidRPr="00345789" w:rsidRDefault="00761752" w:rsidP="00973227">
            <w:pPr>
              <w:pStyle w:val="Tabletext"/>
              <w:jc w:val="center"/>
              <w:rPr>
                <w:b/>
              </w:rPr>
            </w:pPr>
            <w:r w:rsidRPr="00345789">
              <w:rPr>
                <w:b/>
              </w:rPr>
              <w:t>Mean baseline haemodynamic parameters (95% CI)</w:t>
            </w:r>
          </w:p>
        </w:tc>
        <w:tc>
          <w:tcPr>
            <w:tcW w:w="2835" w:type="dxa"/>
            <w:gridSpan w:val="2"/>
            <w:shd w:val="clear" w:color="auto" w:fill="BFBFBF" w:themeFill="background1" w:themeFillShade="BF"/>
          </w:tcPr>
          <w:p w:rsidR="00761752" w:rsidRPr="00345789" w:rsidRDefault="00761752" w:rsidP="00242BA3">
            <w:pPr>
              <w:pStyle w:val="Tabletext"/>
              <w:jc w:val="center"/>
              <w:rPr>
                <w:b/>
              </w:rPr>
            </w:pPr>
            <w:r w:rsidRPr="00345789">
              <w:rPr>
                <w:b/>
              </w:rPr>
              <w:t>Mean c</w:t>
            </w:r>
            <w:r w:rsidRPr="00345789">
              <w:rPr>
                <w:rFonts w:asciiTheme="minorHAnsi" w:hAnsiTheme="minorHAnsi"/>
                <w:b/>
              </w:rPr>
              <w:t xml:space="preserve">hange from baseline </w:t>
            </w:r>
            <w:r w:rsidRPr="00345789">
              <w:rPr>
                <w:b/>
              </w:rPr>
              <w:t>(95% CI)</w:t>
            </w:r>
            <w:r w:rsidR="0095089E">
              <w:rPr>
                <w:b/>
              </w:rPr>
              <w:t xml:space="preserve"> [%</w:t>
            </w:r>
            <w:r w:rsidR="00E6350D">
              <w:rPr>
                <w:b/>
              </w:rPr>
              <w:t xml:space="preserve"> change from baseline</w:t>
            </w:r>
            <w:r w:rsidR="0095089E">
              <w:rPr>
                <w:b/>
              </w:rPr>
              <w:t>]</w:t>
            </w:r>
          </w:p>
        </w:tc>
        <w:tc>
          <w:tcPr>
            <w:tcW w:w="1275" w:type="dxa"/>
            <w:vMerge w:val="restart"/>
            <w:shd w:val="clear" w:color="auto" w:fill="BFBFBF" w:themeFill="background1" w:themeFillShade="BF"/>
          </w:tcPr>
          <w:p w:rsidR="00761752" w:rsidRPr="00345789" w:rsidRDefault="00761752" w:rsidP="00973227">
            <w:pPr>
              <w:pStyle w:val="Tabletext"/>
              <w:rPr>
                <w:b/>
              </w:rPr>
            </w:pPr>
            <w:r w:rsidRPr="00345789">
              <w:rPr>
                <w:b/>
              </w:rPr>
              <w:t>Mean % d</w:t>
            </w:r>
            <w:r w:rsidRPr="00345789">
              <w:rPr>
                <w:rFonts w:asciiTheme="minorHAnsi" w:hAnsiTheme="minorHAnsi"/>
                <w:b/>
              </w:rPr>
              <w:t xml:space="preserve">ifference </w:t>
            </w:r>
            <w:r w:rsidRPr="00345789">
              <w:rPr>
                <w:b/>
              </w:rPr>
              <w:t>(95% CI)</w:t>
            </w:r>
          </w:p>
        </w:tc>
      </w:tr>
      <w:tr w:rsidR="00761752" w:rsidTr="002A66C2">
        <w:tc>
          <w:tcPr>
            <w:tcW w:w="1191" w:type="dxa"/>
            <w:vMerge/>
          </w:tcPr>
          <w:p w:rsidR="00761752" w:rsidRDefault="00761752" w:rsidP="00973227">
            <w:pPr>
              <w:pStyle w:val="Tabletext"/>
            </w:pPr>
          </w:p>
        </w:tc>
        <w:tc>
          <w:tcPr>
            <w:tcW w:w="1639" w:type="dxa"/>
            <w:vMerge/>
            <w:tcBorders>
              <w:bottom w:val="single" w:sz="4" w:space="0" w:color="auto"/>
            </w:tcBorders>
          </w:tcPr>
          <w:p w:rsidR="00761752" w:rsidRDefault="00761752" w:rsidP="00973227">
            <w:pPr>
              <w:pStyle w:val="Tabletext"/>
            </w:pPr>
          </w:p>
        </w:tc>
        <w:tc>
          <w:tcPr>
            <w:tcW w:w="1560" w:type="dxa"/>
            <w:tcBorders>
              <w:bottom w:val="single" w:sz="4" w:space="0" w:color="auto"/>
            </w:tcBorders>
            <w:shd w:val="clear" w:color="auto" w:fill="BFBFBF" w:themeFill="background1" w:themeFillShade="BF"/>
          </w:tcPr>
          <w:p w:rsidR="00761752" w:rsidRPr="00345789" w:rsidRDefault="00761752" w:rsidP="00973227">
            <w:pPr>
              <w:pStyle w:val="Tabletext"/>
              <w:jc w:val="center"/>
              <w:rPr>
                <w:b/>
              </w:rPr>
            </w:pPr>
            <w:r>
              <w:rPr>
                <w:b/>
              </w:rPr>
              <w:t>PDE-5i</w:t>
            </w:r>
            <w:r w:rsidRPr="00345789">
              <w:rPr>
                <w:b/>
              </w:rPr>
              <w:t xml:space="preserve"> + prostanoid</w:t>
            </w:r>
          </w:p>
        </w:tc>
        <w:tc>
          <w:tcPr>
            <w:tcW w:w="1134" w:type="dxa"/>
            <w:tcBorders>
              <w:bottom w:val="single" w:sz="4" w:space="0" w:color="auto"/>
            </w:tcBorders>
            <w:shd w:val="clear" w:color="auto" w:fill="BFBFBF" w:themeFill="background1" w:themeFillShade="BF"/>
          </w:tcPr>
          <w:p w:rsidR="00761752" w:rsidRPr="00345789" w:rsidRDefault="00761752" w:rsidP="00534ADA">
            <w:pPr>
              <w:pStyle w:val="Tabletext"/>
              <w:jc w:val="center"/>
              <w:rPr>
                <w:b/>
              </w:rPr>
            </w:pPr>
            <w:r w:rsidRPr="00345789">
              <w:rPr>
                <w:b/>
              </w:rPr>
              <w:t>Prostanoid</w:t>
            </w:r>
          </w:p>
        </w:tc>
        <w:tc>
          <w:tcPr>
            <w:tcW w:w="1701" w:type="dxa"/>
            <w:tcBorders>
              <w:bottom w:val="single" w:sz="4" w:space="0" w:color="auto"/>
            </w:tcBorders>
            <w:shd w:val="clear" w:color="auto" w:fill="BFBFBF" w:themeFill="background1" w:themeFillShade="BF"/>
          </w:tcPr>
          <w:p w:rsidR="00761752" w:rsidRPr="00345789" w:rsidRDefault="00761752" w:rsidP="00973227">
            <w:pPr>
              <w:pStyle w:val="Tabletext"/>
              <w:jc w:val="center"/>
              <w:rPr>
                <w:b/>
              </w:rPr>
            </w:pPr>
            <w:r>
              <w:rPr>
                <w:b/>
              </w:rPr>
              <w:t>PDE-5i</w:t>
            </w:r>
            <w:r w:rsidRPr="00345789">
              <w:rPr>
                <w:b/>
              </w:rPr>
              <w:t xml:space="preserve"> + prostanoid</w:t>
            </w:r>
          </w:p>
        </w:tc>
        <w:tc>
          <w:tcPr>
            <w:tcW w:w="1134" w:type="dxa"/>
            <w:tcBorders>
              <w:bottom w:val="single" w:sz="4" w:space="0" w:color="auto"/>
            </w:tcBorders>
            <w:shd w:val="clear" w:color="auto" w:fill="BFBFBF" w:themeFill="background1" w:themeFillShade="BF"/>
          </w:tcPr>
          <w:p w:rsidR="00761752" w:rsidRPr="00345789" w:rsidRDefault="00761752" w:rsidP="00534ADA">
            <w:pPr>
              <w:pStyle w:val="Tabletext"/>
              <w:jc w:val="center"/>
              <w:rPr>
                <w:b/>
              </w:rPr>
            </w:pPr>
            <w:r w:rsidRPr="00345789">
              <w:rPr>
                <w:b/>
              </w:rPr>
              <w:t>Prostanoid</w:t>
            </w:r>
          </w:p>
        </w:tc>
        <w:tc>
          <w:tcPr>
            <w:tcW w:w="1275" w:type="dxa"/>
            <w:vMerge/>
            <w:tcBorders>
              <w:bottom w:val="single" w:sz="4" w:space="0" w:color="auto"/>
            </w:tcBorders>
          </w:tcPr>
          <w:p w:rsidR="00761752" w:rsidRDefault="00761752" w:rsidP="00973227">
            <w:pPr>
              <w:pStyle w:val="Tabletext"/>
            </w:pPr>
          </w:p>
        </w:tc>
      </w:tr>
      <w:tr w:rsidR="00747709" w:rsidTr="002A66C2">
        <w:tc>
          <w:tcPr>
            <w:tcW w:w="1191" w:type="dxa"/>
            <w:vMerge w:val="restart"/>
          </w:tcPr>
          <w:p w:rsidR="00747709" w:rsidRPr="00345789" w:rsidRDefault="00747709" w:rsidP="00973227">
            <w:pPr>
              <w:pStyle w:val="Tabletext"/>
            </w:pPr>
            <w:r w:rsidRPr="00345789">
              <w:t>PACES-1</w:t>
            </w:r>
            <w:r w:rsidR="001D34EE">
              <w:rPr>
                <w:noProof/>
                <w:vertAlign w:val="superscript"/>
              </w:rPr>
              <w:t>41</w:t>
            </w:r>
          </w:p>
          <w:p w:rsidR="00747709" w:rsidRPr="00345789" w:rsidRDefault="00747709" w:rsidP="00973227">
            <w:pPr>
              <w:pStyle w:val="Tabletext"/>
            </w:pPr>
            <w:r w:rsidRPr="00345789">
              <w:t>Sildenafil/</w:t>
            </w:r>
            <w:r>
              <w:t xml:space="preserve"> </w:t>
            </w:r>
            <w:r w:rsidRPr="00345789">
              <w:t>epoprostenol</w:t>
            </w:r>
          </w:p>
          <w:p w:rsidR="00747709" w:rsidRPr="00345789" w:rsidRDefault="00747709" w:rsidP="00973227">
            <w:pPr>
              <w:pStyle w:val="Tabletext"/>
            </w:pPr>
            <w:r w:rsidRPr="00345789">
              <w:t>16 weeks</w:t>
            </w:r>
            <w:r>
              <w:t>/</w:t>
            </w:r>
            <w:r w:rsidRPr="00345789">
              <w:t>N=265</w:t>
            </w:r>
          </w:p>
        </w:tc>
        <w:tc>
          <w:tcPr>
            <w:tcW w:w="1639" w:type="dxa"/>
            <w:tcBorders>
              <w:bottom w:val="nil"/>
            </w:tcBorders>
          </w:tcPr>
          <w:p w:rsidR="00747709" w:rsidRPr="00345789" w:rsidRDefault="00747709" w:rsidP="00973227">
            <w:pPr>
              <w:pStyle w:val="Tabletext"/>
            </w:pPr>
            <w:r w:rsidRPr="00345789">
              <w:t>PVR (</w:t>
            </w:r>
            <w:r w:rsidRPr="001424AA">
              <w:t>dyn*sec*cm</w:t>
            </w:r>
            <w:r w:rsidRPr="001424AA">
              <w:rPr>
                <w:vertAlign w:val="superscript"/>
              </w:rPr>
              <w:t>-5</w:t>
            </w:r>
            <w:r w:rsidRPr="00345789">
              <w:t>)</w:t>
            </w:r>
          </w:p>
          <w:p w:rsidR="00747709" w:rsidRPr="00345789" w:rsidRDefault="00747709" w:rsidP="00973227">
            <w:pPr>
              <w:pStyle w:val="Tabletext"/>
            </w:pPr>
          </w:p>
        </w:tc>
        <w:tc>
          <w:tcPr>
            <w:tcW w:w="1560" w:type="dxa"/>
            <w:tcBorders>
              <w:bottom w:val="nil"/>
            </w:tcBorders>
          </w:tcPr>
          <w:p w:rsidR="00747709" w:rsidRPr="00345789" w:rsidRDefault="00747709" w:rsidP="00973227">
            <w:pPr>
              <w:pStyle w:val="Tabletext"/>
              <w:jc w:val="center"/>
            </w:pPr>
            <w:r w:rsidRPr="00345789">
              <w:t>850</w:t>
            </w:r>
          </w:p>
          <w:p w:rsidR="00747709" w:rsidRPr="00345789" w:rsidRDefault="00747709" w:rsidP="00747709">
            <w:pPr>
              <w:pStyle w:val="Tabletext"/>
              <w:jc w:val="center"/>
            </w:pPr>
            <w:r>
              <w:t>(778, 922)</w:t>
            </w:r>
          </w:p>
        </w:tc>
        <w:tc>
          <w:tcPr>
            <w:tcW w:w="1134" w:type="dxa"/>
            <w:tcBorders>
              <w:bottom w:val="nil"/>
            </w:tcBorders>
          </w:tcPr>
          <w:p w:rsidR="00747709" w:rsidRPr="00345789" w:rsidRDefault="00747709" w:rsidP="00973227">
            <w:pPr>
              <w:pStyle w:val="Tabletext"/>
              <w:jc w:val="center"/>
            </w:pPr>
            <w:r w:rsidRPr="00345789">
              <w:t>712</w:t>
            </w:r>
          </w:p>
          <w:p w:rsidR="00747709" w:rsidRPr="00345789" w:rsidRDefault="00747709" w:rsidP="00747709">
            <w:pPr>
              <w:pStyle w:val="Tabletext"/>
              <w:jc w:val="center"/>
            </w:pPr>
            <w:r w:rsidRPr="00345789">
              <w:t>(6</w:t>
            </w:r>
            <w:r>
              <w:t>35, 790)</w:t>
            </w:r>
          </w:p>
        </w:tc>
        <w:tc>
          <w:tcPr>
            <w:tcW w:w="1701" w:type="dxa"/>
            <w:tcBorders>
              <w:bottom w:val="nil"/>
            </w:tcBorders>
          </w:tcPr>
          <w:p w:rsidR="00747709" w:rsidRDefault="00747709" w:rsidP="00973227">
            <w:pPr>
              <w:pStyle w:val="Tabletext"/>
              <w:jc w:val="center"/>
            </w:pPr>
            <w:r w:rsidRPr="00345789">
              <w:t>−151 (−208, −93)</w:t>
            </w:r>
          </w:p>
          <w:p w:rsidR="00747709" w:rsidRPr="00345789" w:rsidRDefault="00747709" w:rsidP="00747709">
            <w:pPr>
              <w:pStyle w:val="Tabletext"/>
              <w:jc w:val="center"/>
            </w:pPr>
            <w:r>
              <w:t>[−17.8%]</w:t>
            </w:r>
          </w:p>
        </w:tc>
        <w:tc>
          <w:tcPr>
            <w:tcW w:w="1134" w:type="dxa"/>
            <w:tcBorders>
              <w:bottom w:val="nil"/>
            </w:tcBorders>
          </w:tcPr>
          <w:p w:rsidR="00747709" w:rsidRDefault="00747709" w:rsidP="00973227">
            <w:pPr>
              <w:pStyle w:val="Tabletext"/>
              <w:jc w:val="center"/>
            </w:pPr>
            <w:r w:rsidRPr="00345789">
              <w:t>22 (−37, 81)</w:t>
            </w:r>
          </w:p>
          <w:p w:rsidR="00747709" w:rsidRPr="00345789" w:rsidRDefault="00747709" w:rsidP="00747709">
            <w:pPr>
              <w:pStyle w:val="Tabletext"/>
              <w:jc w:val="center"/>
            </w:pPr>
            <w:r>
              <w:t>[3.1%]</w:t>
            </w:r>
          </w:p>
        </w:tc>
        <w:tc>
          <w:tcPr>
            <w:tcW w:w="1275" w:type="dxa"/>
            <w:tcBorders>
              <w:bottom w:val="nil"/>
            </w:tcBorders>
          </w:tcPr>
          <w:p w:rsidR="00747709" w:rsidRPr="00345789" w:rsidRDefault="00747709" w:rsidP="00973227">
            <w:pPr>
              <w:pStyle w:val="Tabletext"/>
            </w:pPr>
            <w:r w:rsidRPr="00345789">
              <w:t>−20.8%</w:t>
            </w:r>
          </w:p>
        </w:tc>
      </w:tr>
      <w:tr w:rsidR="00747709" w:rsidTr="002A66C2">
        <w:tc>
          <w:tcPr>
            <w:tcW w:w="1191" w:type="dxa"/>
            <w:vMerge/>
          </w:tcPr>
          <w:p w:rsidR="00747709" w:rsidRPr="00345789" w:rsidRDefault="00747709" w:rsidP="00973227">
            <w:pPr>
              <w:pStyle w:val="Tabletext"/>
            </w:pPr>
          </w:p>
        </w:tc>
        <w:tc>
          <w:tcPr>
            <w:tcW w:w="1639" w:type="dxa"/>
            <w:tcBorders>
              <w:top w:val="nil"/>
              <w:bottom w:val="nil"/>
            </w:tcBorders>
          </w:tcPr>
          <w:p w:rsidR="00747709" w:rsidRPr="00345789" w:rsidRDefault="00747709" w:rsidP="00973227">
            <w:pPr>
              <w:pStyle w:val="Tabletext"/>
            </w:pPr>
            <w:r>
              <w:t>mPAP (mmHg)</w:t>
            </w:r>
          </w:p>
        </w:tc>
        <w:tc>
          <w:tcPr>
            <w:tcW w:w="1560" w:type="dxa"/>
            <w:tcBorders>
              <w:top w:val="nil"/>
              <w:bottom w:val="nil"/>
            </w:tcBorders>
          </w:tcPr>
          <w:p w:rsidR="00747709" w:rsidRPr="00345789" w:rsidRDefault="00747709" w:rsidP="00747709">
            <w:pPr>
              <w:pStyle w:val="Tabletext"/>
              <w:jc w:val="center"/>
            </w:pPr>
            <w:r w:rsidRPr="00345789">
              <w:t>52.5</w:t>
            </w:r>
          </w:p>
          <w:p w:rsidR="00747709" w:rsidRPr="00345789" w:rsidRDefault="00747709" w:rsidP="00747709">
            <w:pPr>
              <w:pStyle w:val="Tabletext"/>
              <w:jc w:val="center"/>
            </w:pPr>
            <w:r w:rsidRPr="00345789">
              <w:t>(50.5, 54.4)</w:t>
            </w:r>
          </w:p>
        </w:tc>
        <w:tc>
          <w:tcPr>
            <w:tcW w:w="1134" w:type="dxa"/>
            <w:tcBorders>
              <w:top w:val="nil"/>
              <w:bottom w:val="nil"/>
            </w:tcBorders>
          </w:tcPr>
          <w:p w:rsidR="00747709" w:rsidRPr="00345789" w:rsidRDefault="00747709" w:rsidP="00747709">
            <w:pPr>
              <w:pStyle w:val="Tabletext"/>
              <w:jc w:val="center"/>
            </w:pPr>
            <w:r w:rsidRPr="00345789">
              <w:t>50.4</w:t>
            </w:r>
          </w:p>
          <w:p w:rsidR="00747709" w:rsidRPr="00345789" w:rsidRDefault="00747709" w:rsidP="00747709">
            <w:pPr>
              <w:pStyle w:val="Tabletext"/>
              <w:jc w:val="center"/>
            </w:pPr>
            <w:r w:rsidRPr="00345789">
              <w:t>(48.0, 52.9)</w:t>
            </w:r>
          </w:p>
        </w:tc>
        <w:tc>
          <w:tcPr>
            <w:tcW w:w="1701" w:type="dxa"/>
            <w:tcBorders>
              <w:top w:val="nil"/>
              <w:bottom w:val="nil"/>
            </w:tcBorders>
          </w:tcPr>
          <w:p w:rsidR="00747709" w:rsidRPr="00345789" w:rsidRDefault="00747709" w:rsidP="00747709">
            <w:pPr>
              <w:pStyle w:val="Tabletext"/>
              <w:jc w:val="center"/>
            </w:pPr>
            <w:r w:rsidRPr="00345789">
              <w:t>−2.8 (−4.2, −1.4)</w:t>
            </w:r>
          </w:p>
          <w:p w:rsidR="00747709" w:rsidRPr="00345789" w:rsidRDefault="00747709" w:rsidP="00747709">
            <w:pPr>
              <w:pStyle w:val="Tabletext"/>
              <w:jc w:val="center"/>
            </w:pPr>
            <w:r w:rsidRPr="00345789">
              <w:t>[−5.3%]</w:t>
            </w:r>
          </w:p>
        </w:tc>
        <w:tc>
          <w:tcPr>
            <w:tcW w:w="1134" w:type="dxa"/>
            <w:tcBorders>
              <w:top w:val="nil"/>
              <w:bottom w:val="nil"/>
            </w:tcBorders>
          </w:tcPr>
          <w:p w:rsidR="00747709" w:rsidRDefault="00747709" w:rsidP="00747709">
            <w:pPr>
              <w:pStyle w:val="Tabletext"/>
              <w:jc w:val="center"/>
            </w:pPr>
            <w:r w:rsidRPr="00345789">
              <w:t>1.1 (−0.4, 2.6)</w:t>
            </w:r>
          </w:p>
          <w:p w:rsidR="00747709" w:rsidRPr="00345789" w:rsidRDefault="00747709" w:rsidP="00747709">
            <w:pPr>
              <w:pStyle w:val="Tabletext"/>
              <w:jc w:val="center"/>
            </w:pPr>
            <w:r w:rsidRPr="00345789">
              <w:t>[2.2%]</w:t>
            </w:r>
          </w:p>
        </w:tc>
        <w:tc>
          <w:tcPr>
            <w:tcW w:w="1275" w:type="dxa"/>
            <w:tcBorders>
              <w:top w:val="nil"/>
              <w:bottom w:val="nil"/>
            </w:tcBorders>
          </w:tcPr>
          <w:p w:rsidR="00747709" w:rsidRPr="00345789" w:rsidRDefault="00747709" w:rsidP="00973227">
            <w:pPr>
              <w:pStyle w:val="Tabletext"/>
            </w:pPr>
            <w:r w:rsidRPr="00345789">
              <w:t>−7.5%</w:t>
            </w:r>
          </w:p>
        </w:tc>
      </w:tr>
      <w:tr w:rsidR="00747709" w:rsidTr="002A66C2">
        <w:tc>
          <w:tcPr>
            <w:tcW w:w="1191" w:type="dxa"/>
            <w:vMerge/>
          </w:tcPr>
          <w:p w:rsidR="00747709" w:rsidRPr="00345789" w:rsidRDefault="00747709" w:rsidP="00973227">
            <w:pPr>
              <w:pStyle w:val="Tabletext"/>
            </w:pPr>
          </w:p>
        </w:tc>
        <w:tc>
          <w:tcPr>
            <w:tcW w:w="1639" w:type="dxa"/>
            <w:tcBorders>
              <w:top w:val="nil"/>
            </w:tcBorders>
          </w:tcPr>
          <w:p w:rsidR="00747709" w:rsidRPr="00345789" w:rsidRDefault="00747709" w:rsidP="00973227">
            <w:pPr>
              <w:pStyle w:val="Tabletext"/>
            </w:pPr>
            <w:r w:rsidRPr="00345789">
              <w:t>mRAP (mmHg)</w:t>
            </w:r>
          </w:p>
        </w:tc>
        <w:tc>
          <w:tcPr>
            <w:tcW w:w="1560" w:type="dxa"/>
            <w:tcBorders>
              <w:top w:val="nil"/>
            </w:tcBorders>
          </w:tcPr>
          <w:p w:rsidR="00747709" w:rsidRPr="00345789" w:rsidRDefault="00747709" w:rsidP="00747709">
            <w:pPr>
              <w:pStyle w:val="Tabletext"/>
              <w:jc w:val="center"/>
            </w:pPr>
            <w:r w:rsidRPr="00345789">
              <w:t>8.9</w:t>
            </w:r>
          </w:p>
          <w:p w:rsidR="00747709" w:rsidRPr="00345789" w:rsidRDefault="00747709" w:rsidP="00747709">
            <w:pPr>
              <w:pStyle w:val="Tabletext"/>
              <w:jc w:val="center"/>
            </w:pPr>
            <w:r w:rsidRPr="00345789">
              <w:t>(7.9, 9.9)</w:t>
            </w:r>
          </w:p>
        </w:tc>
        <w:tc>
          <w:tcPr>
            <w:tcW w:w="1134" w:type="dxa"/>
            <w:tcBorders>
              <w:top w:val="nil"/>
            </w:tcBorders>
          </w:tcPr>
          <w:p w:rsidR="00747709" w:rsidRPr="00345789" w:rsidRDefault="00747709" w:rsidP="00747709">
            <w:pPr>
              <w:pStyle w:val="Tabletext"/>
              <w:jc w:val="center"/>
            </w:pPr>
            <w:r w:rsidRPr="00345789">
              <w:t>7.9</w:t>
            </w:r>
          </w:p>
          <w:p w:rsidR="00747709" w:rsidRPr="00345789" w:rsidRDefault="00747709" w:rsidP="00747709">
            <w:pPr>
              <w:pStyle w:val="Tabletext"/>
              <w:jc w:val="center"/>
            </w:pPr>
            <w:r w:rsidRPr="00345789">
              <w:t>(7.0, 8.8)</w:t>
            </w:r>
          </w:p>
        </w:tc>
        <w:tc>
          <w:tcPr>
            <w:tcW w:w="1701" w:type="dxa"/>
            <w:tcBorders>
              <w:top w:val="nil"/>
            </w:tcBorders>
          </w:tcPr>
          <w:p w:rsidR="00747709" w:rsidRPr="00345789" w:rsidRDefault="00747709" w:rsidP="00973227">
            <w:pPr>
              <w:pStyle w:val="Tabletext"/>
              <w:jc w:val="center"/>
            </w:pPr>
            <w:r w:rsidRPr="00345789">
              <w:t>−0.8 (−1.8, 0.1)</w:t>
            </w:r>
          </w:p>
        </w:tc>
        <w:tc>
          <w:tcPr>
            <w:tcW w:w="1134" w:type="dxa"/>
            <w:tcBorders>
              <w:top w:val="nil"/>
            </w:tcBorders>
          </w:tcPr>
          <w:p w:rsidR="00747709" w:rsidRPr="00345789" w:rsidRDefault="00747709" w:rsidP="00973227">
            <w:pPr>
              <w:pStyle w:val="Tabletext"/>
              <w:jc w:val="center"/>
            </w:pPr>
            <w:r w:rsidRPr="00345789">
              <w:t>1.2 (0.2, 2.2)</w:t>
            </w:r>
          </w:p>
        </w:tc>
        <w:tc>
          <w:tcPr>
            <w:tcW w:w="1275" w:type="dxa"/>
            <w:tcBorders>
              <w:top w:val="nil"/>
            </w:tcBorders>
          </w:tcPr>
          <w:p w:rsidR="00747709" w:rsidRPr="00345789" w:rsidRDefault="00747709" w:rsidP="00973227">
            <w:pPr>
              <w:pStyle w:val="Tabletext"/>
            </w:pPr>
            <w:r w:rsidRPr="00345789">
              <w:t>−2.1 mmHg</w:t>
            </w:r>
            <w:r>
              <w:t xml:space="preserve"> </w:t>
            </w:r>
            <w:r w:rsidRPr="00345789">
              <w:t>(−3.3, −0.9)</w:t>
            </w:r>
          </w:p>
        </w:tc>
      </w:tr>
    </w:tbl>
    <w:p w:rsidR="000B12FE" w:rsidRDefault="000B12FE" w:rsidP="000B12FE">
      <w:pPr>
        <w:pStyle w:val="Tablenote"/>
      </w:pPr>
      <w:r w:rsidRPr="00DE3429">
        <w:rPr>
          <w:vertAlign w:val="superscript"/>
        </w:rPr>
        <w:t>a</w:t>
      </w:r>
      <w:r w:rsidRPr="00822C52">
        <w:t xml:space="preserve"> </w:t>
      </w:r>
      <w:r>
        <w:t xml:space="preserve">A decrease in PVR, mPAP or mRAP indicates improvement in </w:t>
      </w:r>
      <w:r w:rsidR="007E658F">
        <w:t>haemodynamic parameters</w:t>
      </w:r>
      <w:r>
        <w:t xml:space="preserve">. </w:t>
      </w:r>
    </w:p>
    <w:p w:rsidR="001E16B8" w:rsidRPr="006316DF" w:rsidRDefault="00761752" w:rsidP="00761752">
      <w:pPr>
        <w:pStyle w:val="Tablenote"/>
      </w:pPr>
      <w:r w:rsidRPr="006316DF">
        <w:t xml:space="preserve">CI = confidence interval; CSR = clinical study report; </w:t>
      </w:r>
      <w:r>
        <w:t>mPAP = me</w:t>
      </w:r>
      <w:r w:rsidR="004510DE">
        <w:t>an pulmonary artery</w:t>
      </w:r>
      <w:r>
        <w:t xml:space="preserve"> pressure; mRAP = mean right atrial pressure; </w:t>
      </w:r>
      <w:r w:rsidRPr="006316DF">
        <w:t>N = number of patients</w:t>
      </w:r>
      <w:r>
        <w:t xml:space="preserve">; </w:t>
      </w:r>
      <w:r w:rsidR="001E16B8" w:rsidRPr="00715D78">
        <w:t xml:space="preserve">PAH = pulmonary arterial hypertension; </w:t>
      </w:r>
      <w:r w:rsidRPr="00022B7B">
        <w:t xml:space="preserve">PDE-5i = phosphodiesterase type-5 inhibitor; </w:t>
      </w:r>
      <w:r>
        <w:t xml:space="preserve">PVR = </w:t>
      </w:r>
      <w:r w:rsidRPr="007A4F5B">
        <w:t>pulmonary vascular resistance</w:t>
      </w:r>
      <w:r w:rsidRPr="00C51FB4">
        <w:t>; SD = standard deviation</w:t>
      </w:r>
    </w:p>
    <w:p w:rsidR="0075777C" w:rsidRPr="00822C52" w:rsidRDefault="002E4833" w:rsidP="0075777C">
      <w:pPr>
        <w:pStyle w:val="Heading5"/>
      </w:pPr>
      <w:r>
        <w:t>h.</w:t>
      </w:r>
      <w:r w:rsidR="00761752">
        <w:tab/>
      </w:r>
      <w:r w:rsidR="0075777C">
        <w:t>Comparative s</w:t>
      </w:r>
      <w:r w:rsidR="0075777C" w:rsidRPr="00822C52">
        <w:t>afety</w:t>
      </w:r>
    </w:p>
    <w:p w:rsidR="0075777C" w:rsidRPr="00822C52" w:rsidRDefault="002E4833" w:rsidP="0077344D">
      <w:pPr>
        <w:pStyle w:val="Heading6"/>
      </w:pPr>
      <w:r>
        <w:t>h</w:t>
      </w:r>
      <w:r w:rsidR="0075777C" w:rsidRPr="00822C52">
        <w:t>.i</w:t>
      </w:r>
      <w:r w:rsidR="0075777C" w:rsidRPr="00822C52">
        <w:tab/>
        <w:t>PAH patients, irrespective of disease severity or aetiology</w:t>
      </w:r>
    </w:p>
    <w:p w:rsidR="0075777C" w:rsidRPr="00822C52" w:rsidRDefault="0075777C" w:rsidP="0075777C">
      <w:r>
        <w:t>The proportion of patients who has an AE, a serious AE or an AE leading to discontinuation of study treatment did not differ between the combination therapy and monotherapy groups (</w:t>
      </w:r>
      <w:r w:rsidR="00AA722D">
        <w:t>Table 4.</w:t>
      </w:r>
      <w:r w:rsidR="00AA722D">
        <w:rPr>
          <w:noProof/>
        </w:rPr>
        <w:t>77</w:t>
      </w:r>
      <w:r>
        <w:t xml:space="preserve">). Although 3-times more patients receiving sildenafil as part of the combination therapy had blurred vision compared to patients in the epoprostenol monotherapy group, the difference did not reach statistical significance. </w:t>
      </w:r>
    </w:p>
    <w:p w:rsidR="0075777C" w:rsidRPr="00DD7790" w:rsidRDefault="00272F8F" w:rsidP="00BC5A2B">
      <w:pPr>
        <w:pStyle w:val="Caption"/>
      </w:pPr>
      <w:bookmarkStart w:id="239" w:name="_Ref504656689"/>
      <w:bookmarkStart w:id="240" w:name="_Toc512855481"/>
      <w:r>
        <w:t>Table 4.</w:t>
      </w:r>
      <w:r w:rsidR="00AA722D">
        <w:rPr>
          <w:noProof/>
        </w:rPr>
        <w:t>77</w:t>
      </w:r>
      <w:bookmarkEnd w:id="239"/>
      <w:r w:rsidR="00022B7B">
        <w:tab/>
      </w:r>
      <w:r w:rsidR="0075777C" w:rsidRPr="00DD7790">
        <w:t xml:space="preserve">The comparative safety of </w:t>
      </w:r>
      <w:r w:rsidR="007E59EC">
        <w:t xml:space="preserve">a </w:t>
      </w:r>
      <w:r w:rsidR="007E59EC" w:rsidRPr="00DD7790">
        <w:t xml:space="preserve">PDE-5 inhibitor </w:t>
      </w:r>
      <w:r w:rsidR="007E59EC">
        <w:t>in addition to a</w:t>
      </w:r>
      <w:r w:rsidR="007E59EC" w:rsidRPr="00DD7790">
        <w:t xml:space="preserve"> pr</w:t>
      </w:r>
      <w:r w:rsidR="007E59EC">
        <w:t xml:space="preserve">ostanoid compared with </w:t>
      </w:r>
      <w:r w:rsidR="007E59EC" w:rsidRPr="00DD7790">
        <w:t xml:space="preserve">prostanoid </w:t>
      </w:r>
      <w:r w:rsidR="007E59EC">
        <w:t>monotherapy</w:t>
      </w:r>
      <w:r w:rsidR="0075777C" w:rsidRPr="00DD7790">
        <w:t xml:space="preserve"> in all patients with PAH</w:t>
      </w:r>
      <w:bookmarkEnd w:id="240"/>
    </w:p>
    <w:tbl>
      <w:tblPr>
        <w:tblStyle w:val="TableGrid7"/>
        <w:tblW w:w="9776" w:type="dxa"/>
        <w:tblLayout w:type="fixed"/>
        <w:tblLook w:val="04A0" w:firstRow="1" w:lastRow="0" w:firstColumn="1" w:lastColumn="0" w:noHBand="0" w:noVBand="1"/>
        <w:tblCaption w:val="The comparative safety of a PDE-5 inhibitor in addition to a prostanoid compared with prostanoid monotherapy in all patients with PAH"/>
      </w:tblPr>
      <w:tblGrid>
        <w:gridCol w:w="1838"/>
        <w:gridCol w:w="2410"/>
        <w:gridCol w:w="1984"/>
        <w:gridCol w:w="1843"/>
        <w:gridCol w:w="1701"/>
      </w:tblGrid>
      <w:tr w:rsidR="0075777C" w:rsidRPr="00822C52" w:rsidTr="00022B7B">
        <w:trPr>
          <w:trHeight w:val="165"/>
          <w:tblHeader/>
        </w:trPr>
        <w:tc>
          <w:tcPr>
            <w:tcW w:w="1838" w:type="dxa"/>
            <w:vMerge w:val="restart"/>
            <w:shd w:val="clear" w:color="auto" w:fill="BFBFBF" w:themeFill="background1" w:themeFillShade="BF"/>
          </w:tcPr>
          <w:p w:rsidR="0075777C" w:rsidRPr="00022B7B" w:rsidRDefault="0075777C" w:rsidP="00022B7B">
            <w:pPr>
              <w:pStyle w:val="Tabletext"/>
              <w:rPr>
                <w:b/>
              </w:rPr>
            </w:pPr>
            <w:r w:rsidRPr="00022B7B">
              <w:rPr>
                <w:b/>
              </w:rPr>
              <w:t>Study ID</w:t>
            </w:r>
          </w:p>
          <w:p w:rsidR="0075777C" w:rsidRPr="00022B7B" w:rsidRDefault="0075777C" w:rsidP="00022B7B">
            <w:pPr>
              <w:pStyle w:val="Tabletext"/>
              <w:rPr>
                <w:b/>
              </w:rPr>
            </w:pPr>
            <w:r w:rsidRPr="00022B7B">
              <w:rPr>
                <w:b/>
              </w:rPr>
              <w:t>Follow-up period</w:t>
            </w:r>
          </w:p>
          <w:p w:rsidR="0075777C" w:rsidRPr="00022B7B" w:rsidRDefault="0075777C" w:rsidP="00022B7B">
            <w:pPr>
              <w:pStyle w:val="Tabletext"/>
              <w:rPr>
                <w:b/>
              </w:rPr>
            </w:pPr>
            <w:r w:rsidRPr="00022B7B">
              <w:rPr>
                <w:b/>
              </w:rPr>
              <w:t>PDE-5i/</w:t>
            </w:r>
            <w:r w:rsidR="00022B7B" w:rsidRPr="00022B7B">
              <w:rPr>
                <w:b/>
              </w:rPr>
              <w:t>prostanoid</w:t>
            </w:r>
          </w:p>
        </w:tc>
        <w:tc>
          <w:tcPr>
            <w:tcW w:w="2410" w:type="dxa"/>
            <w:vMerge w:val="restart"/>
            <w:shd w:val="clear" w:color="auto" w:fill="BFBFBF" w:themeFill="background1" w:themeFillShade="BF"/>
          </w:tcPr>
          <w:p w:rsidR="0075777C" w:rsidRPr="00022B7B" w:rsidRDefault="0075777C" w:rsidP="00022B7B">
            <w:pPr>
              <w:pStyle w:val="Tabletext"/>
              <w:rPr>
                <w:b/>
              </w:rPr>
            </w:pPr>
            <w:r w:rsidRPr="00022B7B">
              <w:rPr>
                <w:b/>
              </w:rPr>
              <w:t>AE</w:t>
            </w:r>
          </w:p>
        </w:tc>
        <w:tc>
          <w:tcPr>
            <w:tcW w:w="3827" w:type="dxa"/>
            <w:gridSpan w:val="2"/>
            <w:shd w:val="clear" w:color="auto" w:fill="BFBFBF" w:themeFill="background1" w:themeFillShade="BF"/>
          </w:tcPr>
          <w:p w:rsidR="0075777C" w:rsidRPr="00022B7B" w:rsidRDefault="0075777C" w:rsidP="00022B7B">
            <w:pPr>
              <w:pStyle w:val="Tabletext"/>
              <w:jc w:val="center"/>
              <w:rPr>
                <w:b/>
              </w:rPr>
            </w:pPr>
            <w:r w:rsidRPr="00022B7B">
              <w:rPr>
                <w:b/>
              </w:rPr>
              <w:t>n/N (%)</w:t>
            </w:r>
          </w:p>
        </w:tc>
        <w:tc>
          <w:tcPr>
            <w:tcW w:w="1701" w:type="dxa"/>
            <w:vMerge w:val="restart"/>
            <w:shd w:val="clear" w:color="auto" w:fill="BFBFBF" w:themeFill="background1" w:themeFillShade="BF"/>
          </w:tcPr>
          <w:p w:rsidR="0075777C" w:rsidRPr="00022B7B" w:rsidRDefault="0075777C" w:rsidP="00022B7B">
            <w:pPr>
              <w:pStyle w:val="Tabletext"/>
              <w:rPr>
                <w:b/>
              </w:rPr>
            </w:pPr>
            <w:r w:rsidRPr="00022B7B">
              <w:rPr>
                <w:b/>
              </w:rPr>
              <w:t>RR (95% CI)</w:t>
            </w:r>
          </w:p>
        </w:tc>
      </w:tr>
      <w:tr w:rsidR="0075777C" w:rsidRPr="00822C52" w:rsidTr="00022B7B">
        <w:trPr>
          <w:trHeight w:val="202"/>
          <w:tblHeader/>
        </w:trPr>
        <w:tc>
          <w:tcPr>
            <w:tcW w:w="1838" w:type="dxa"/>
            <w:vMerge/>
            <w:shd w:val="clear" w:color="auto" w:fill="BFBFBF" w:themeFill="background1" w:themeFillShade="BF"/>
          </w:tcPr>
          <w:p w:rsidR="0075777C" w:rsidRPr="00822C52" w:rsidRDefault="0075777C" w:rsidP="00022B7B">
            <w:pPr>
              <w:pStyle w:val="Tabletext"/>
            </w:pPr>
          </w:p>
        </w:tc>
        <w:tc>
          <w:tcPr>
            <w:tcW w:w="2410" w:type="dxa"/>
            <w:vMerge/>
            <w:shd w:val="clear" w:color="auto" w:fill="BFBFBF" w:themeFill="background1" w:themeFillShade="BF"/>
          </w:tcPr>
          <w:p w:rsidR="0075777C" w:rsidRPr="00822C52" w:rsidRDefault="0075777C" w:rsidP="00022B7B">
            <w:pPr>
              <w:pStyle w:val="Tabletext"/>
            </w:pPr>
          </w:p>
        </w:tc>
        <w:tc>
          <w:tcPr>
            <w:tcW w:w="1984" w:type="dxa"/>
            <w:shd w:val="clear" w:color="auto" w:fill="BFBFBF" w:themeFill="background1" w:themeFillShade="BF"/>
          </w:tcPr>
          <w:p w:rsidR="0075777C" w:rsidRPr="00022B7B" w:rsidRDefault="0075777C" w:rsidP="00022B7B">
            <w:pPr>
              <w:pStyle w:val="Tabletext"/>
              <w:jc w:val="center"/>
              <w:rPr>
                <w:b/>
              </w:rPr>
            </w:pPr>
            <w:r w:rsidRPr="00022B7B">
              <w:rPr>
                <w:b/>
              </w:rPr>
              <w:t>PDE-5i + prostanoid</w:t>
            </w:r>
          </w:p>
        </w:tc>
        <w:tc>
          <w:tcPr>
            <w:tcW w:w="1843" w:type="dxa"/>
            <w:shd w:val="clear" w:color="auto" w:fill="BFBFBF" w:themeFill="background1" w:themeFillShade="BF"/>
          </w:tcPr>
          <w:p w:rsidR="0075777C" w:rsidRPr="00022B7B" w:rsidRDefault="0075777C" w:rsidP="00534ADA">
            <w:pPr>
              <w:pStyle w:val="Tabletext"/>
              <w:jc w:val="center"/>
              <w:rPr>
                <w:b/>
              </w:rPr>
            </w:pPr>
            <w:r w:rsidRPr="00022B7B">
              <w:rPr>
                <w:b/>
              </w:rPr>
              <w:t>Prostanoid</w:t>
            </w:r>
          </w:p>
        </w:tc>
        <w:tc>
          <w:tcPr>
            <w:tcW w:w="1701" w:type="dxa"/>
            <w:vMerge/>
            <w:shd w:val="clear" w:color="auto" w:fill="BFBFBF" w:themeFill="background1" w:themeFillShade="BF"/>
          </w:tcPr>
          <w:p w:rsidR="0075777C" w:rsidRPr="00822C52" w:rsidRDefault="0075777C" w:rsidP="00022B7B">
            <w:pPr>
              <w:pStyle w:val="Tabletext"/>
            </w:pPr>
          </w:p>
        </w:tc>
      </w:tr>
      <w:tr w:rsidR="0075777C" w:rsidRPr="00822C52" w:rsidTr="00022B7B">
        <w:trPr>
          <w:trHeight w:val="70"/>
        </w:trPr>
        <w:tc>
          <w:tcPr>
            <w:tcW w:w="1838" w:type="dxa"/>
          </w:tcPr>
          <w:p w:rsidR="0075777C" w:rsidRPr="00822C52" w:rsidRDefault="0075777C" w:rsidP="00022B7B">
            <w:pPr>
              <w:pStyle w:val="Tabletext"/>
              <w:rPr>
                <w:rFonts w:cs="Tahoma"/>
              </w:rPr>
            </w:pPr>
            <w:r w:rsidRPr="00822C52">
              <w:rPr>
                <w:rFonts w:cs="Tahoma"/>
              </w:rPr>
              <w:t>PACES</w:t>
            </w:r>
            <w:r>
              <w:rPr>
                <w:rFonts w:cs="Tahoma"/>
              </w:rPr>
              <w:t>-1</w:t>
            </w:r>
            <w:r w:rsidR="001D34EE" w:rsidRPr="001A1C44">
              <w:rPr>
                <w:rFonts w:cs="Tahoma"/>
                <w:noProof/>
                <w:vertAlign w:val="superscript"/>
              </w:rPr>
              <w:t>41</w:t>
            </w:r>
          </w:p>
          <w:p w:rsidR="0075777C" w:rsidRDefault="0075777C" w:rsidP="00022B7B">
            <w:pPr>
              <w:pStyle w:val="Tabletext"/>
              <w:rPr>
                <w:rFonts w:cs="Tahoma"/>
              </w:rPr>
            </w:pPr>
            <w:r w:rsidRPr="00822C52">
              <w:rPr>
                <w:rFonts w:cs="Tahoma"/>
              </w:rPr>
              <w:t>16 weeks</w:t>
            </w:r>
          </w:p>
          <w:p w:rsidR="0075777C" w:rsidRPr="00822C52" w:rsidRDefault="00022B7B" w:rsidP="00022B7B">
            <w:pPr>
              <w:pStyle w:val="Tabletext"/>
              <w:rPr>
                <w:rFonts w:cs="Tahoma"/>
              </w:rPr>
            </w:pPr>
            <w:r>
              <w:rPr>
                <w:rFonts w:cs="Tahoma"/>
              </w:rPr>
              <w:t xml:space="preserve">Sildenafil/ </w:t>
            </w:r>
            <w:r w:rsidR="0075777C" w:rsidRPr="004C6002">
              <w:rPr>
                <w:rFonts w:cs="Tahoma"/>
              </w:rPr>
              <w:t>epoprostenol</w:t>
            </w:r>
          </w:p>
        </w:tc>
        <w:tc>
          <w:tcPr>
            <w:tcW w:w="2410" w:type="dxa"/>
          </w:tcPr>
          <w:p w:rsidR="0075777C" w:rsidRPr="00822C52" w:rsidRDefault="0075777C" w:rsidP="00022B7B">
            <w:pPr>
              <w:pStyle w:val="Tabletext"/>
              <w:rPr>
                <w:rFonts w:cs="Tahoma"/>
              </w:rPr>
            </w:pPr>
            <w:r w:rsidRPr="00822C52">
              <w:rPr>
                <w:rFonts w:cs="Tahoma"/>
              </w:rPr>
              <w:t>Any AE</w:t>
            </w:r>
          </w:p>
          <w:p w:rsidR="0075777C" w:rsidRPr="00822C52" w:rsidRDefault="0075777C" w:rsidP="00022B7B">
            <w:pPr>
              <w:pStyle w:val="Tabletext"/>
              <w:rPr>
                <w:rFonts w:cs="Tahoma"/>
              </w:rPr>
            </w:pPr>
            <w:r w:rsidRPr="00822C52">
              <w:rPr>
                <w:rFonts w:cs="Tahoma"/>
              </w:rPr>
              <w:t>Serious AEs</w:t>
            </w:r>
          </w:p>
          <w:p w:rsidR="0075777C" w:rsidRPr="00822C52" w:rsidRDefault="0075777C" w:rsidP="00022B7B">
            <w:pPr>
              <w:pStyle w:val="Tabletext"/>
              <w:rPr>
                <w:rFonts w:cs="Tahoma"/>
              </w:rPr>
            </w:pPr>
            <w:r w:rsidRPr="00822C52">
              <w:rPr>
                <w:rFonts w:cs="Tahoma"/>
              </w:rPr>
              <w:t>Discontinuation due to AE</w:t>
            </w:r>
          </w:p>
          <w:p w:rsidR="0075777C" w:rsidRPr="00822C52" w:rsidRDefault="0075777C" w:rsidP="00022B7B">
            <w:pPr>
              <w:pStyle w:val="Tabletext"/>
              <w:rPr>
                <w:rFonts w:cs="Tahoma"/>
              </w:rPr>
            </w:pPr>
            <w:r w:rsidRPr="00822C52">
              <w:rPr>
                <w:rFonts w:cs="Tahoma"/>
              </w:rPr>
              <w:t>Relate to sildenafil: blurred vision</w:t>
            </w:r>
          </w:p>
        </w:tc>
        <w:tc>
          <w:tcPr>
            <w:tcW w:w="1984" w:type="dxa"/>
            <w:shd w:val="clear" w:color="auto" w:fill="auto"/>
          </w:tcPr>
          <w:p w:rsidR="0075777C" w:rsidRPr="00822C52" w:rsidRDefault="0075777C" w:rsidP="00022B7B">
            <w:pPr>
              <w:pStyle w:val="Tabletext"/>
              <w:jc w:val="center"/>
              <w:rPr>
                <w:rFonts w:cs="Tahoma"/>
              </w:rPr>
            </w:pPr>
            <w:r w:rsidRPr="00822C52">
              <w:rPr>
                <w:rFonts w:cs="Tahoma"/>
              </w:rPr>
              <w:t>124/134 (93%)</w:t>
            </w:r>
          </w:p>
          <w:p w:rsidR="0075777C" w:rsidRPr="00822C52" w:rsidRDefault="0075777C" w:rsidP="00022B7B">
            <w:pPr>
              <w:pStyle w:val="Tabletext"/>
              <w:jc w:val="center"/>
              <w:rPr>
                <w:rFonts w:cs="Tahoma"/>
              </w:rPr>
            </w:pPr>
            <w:r w:rsidRPr="00822C52">
              <w:rPr>
                <w:rFonts w:cs="Tahoma"/>
              </w:rPr>
              <w:t>29/134 (22%)</w:t>
            </w:r>
          </w:p>
          <w:p w:rsidR="0075777C" w:rsidRPr="00822C52" w:rsidRDefault="0075777C" w:rsidP="00022B7B">
            <w:pPr>
              <w:pStyle w:val="Tabletext"/>
              <w:jc w:val="center"/>
              <w:rPr>
                <w:rFonts w:cs="Tahoma"/>
              </w:rPr>
            </w:pPr>
            <w:r w:rsidRPr="00822C52">
              <w:rPr>
                <w:rFonts w:cs="Tahoma"/>
              </w:rPr>
              <w:t>7/134 (5%)</w:t>
            </w:r>
          </w:p>
          <w:p w:rsidR="0075777C" w:rsidRPr="00822C52" w:rsidRDefault="0075777C" w:rsidP="00022B7B">
            <w:pPr>
              <w:pStyle w:val="Tabletext"/>
              <w:jc w:val="center"/>
              <w:rPr>
                <w:rFonts w:cs="Tahoma"/>
              </w:rPr>
            </w:pPr>
            <w:r w:rsidRPr="00822C52">
              <w:rPr>
                <w:rFonts w:cs="Tahoma"/>
              </w:rPr>
              <w:t>6/13</w:t>
            </w:r>
            <w:r>
              <w:rPr>
                <w:rFonts w:cs="Tahoma"/>
              </w:rPr>
              <w:t>4</w:t>
            </w:r>
            <w:r w:rsidRPr="00822C52">
              <w:rPr>
                <w:rFonts w:cs="Tahoma"/>
              </w:rPr>
              <w:t xml:space="preserve"> (5%)</w:t>
            </w:r>
          </w:p>
        </w:tc>
        <w:tc>
          <w:tcPr>
            <w:tcW w:w="1843" w:type="dxa"/>
            <w:shd w:val="clear" w:color="auto" w:fill="auto"/>
          </w:tcPr>
          <w:p w:rsidR="0075777C" w:rsidRPr="00822C52" w:rsidRDefault="0075777C" w:rsidP="00022B7B">
            <w:pPr>
              <w:pStyle w:val="Tabletext"/>
              <w:jc w:val="center"/>
              <w:rPr>
                <w:rFonts w:cs="Tahoma"/>
              </w:rPr>
            </w:pPr>
            <w:r w:rsidRPr="00822C52">
              <w:rPr>
                <w:rFonts w:cs="Tahoma"/>
              </w:rPr>
              <w:t>128/131 (98%)</w:t>
            </w:r>
          </w:p>
          <w:p w:rsidR="0075777C" w:rsidRPr="00822C52" w:rsidRDefault="0075777C" w:rsidP="00022B7B">
            <w:pPr>
              <w:pStyle w:val="Tabletext"/>
              <w:jc w:val="center"/>
              <w:rPr>
                <w:rFonts w:cs="Tahoma"/>
              </w:rPr>
            </w:pPr>
            <w:r w:rsidRPr="00822C52">
              <w:rPr>
                <w:rFonts w:cs="Tahoma"/>
              </w:rPr>
              <w:t>39/131 (30%)</w:t>
            </w:r>
          </w:p>
          <w:p w:rsidR="0075777C" w:rsidRPr="00822C52" w:rsidRDefault="0075777C" w:rsidP="00022B7B">
            <w:pPr>
              <w:pStyle w:val="Tabletext"/>
              <w:jc w:val="center"/>
              <w:rPr>
                <w:rFonts w:cs="Tahoma"/>
              </w:rPr>
            </w:pPr>
            <w:r w:rsidRPr="00822C52">
              <w:rPr>
                <w:rFonts w:cs="Tahoma"/>
              </w:rPr>
              <w:t>14/131 (11%)</w:t>
            </w:r>
          </w:p>
          <w:p w:rsidR="0075777C" w:rsidRPr="00822C52" w:rsidRDefault="0075777C" w:rsidP="00022B7B">
            <w:pPr>
              <w:pStyle w:val="Tabletext"/>
              <w:jc w:val="center"/>
              <w:rPr>
                <w:rFonts w:cs="Tahoma"/>
              </w:rPr>
            </w:pPr>
            <w:r w:rsidRPr="00822C52">
              <w:rPr>
                <w:rFonts w:cs="Tahoma"/>
              </w:rPr>
              <w:t>2/13</w:t>
            </w:r>
            <w:r>
              <w:rPr>
                <w:rFonts w:cs="Tahoma"/>
              </w:rPr>
              <w:t>1</w:t>
            </w:r>
            <w:r w:rsidRPr="00822C52">
              <w:rPr>
                <w:rFonts w:cs="Tahoma"/>
              </w:rPr>
              <w:t xml:space="preserve"> (2%)</w:t>
            </w:r>
          </w:p>
        </w:tc>
        <w:tc>
          <w:tcPr>
            <w:tcW w:w="1701" w:type="dxa"/>
          </w:tcPr>
          <w:p w:rsidR="0075777C" w:rsidRDefault="0075777C" w:rsidP="00022B7B">
            <w:pPr>
              <w:pStyle w:val="Tabletext"/>
              <w:rPr>
                <w:rFonts w:cs="Tahoma"/>
              </w:rPr>
            </w:pPr>
            <w:r>
              <w:rPr>
                <w:rFonts w:cs="Tahoma"/>
              </w:rPr>
              <w:t>0.95 (0.90, 1.00)</w:t>
            </w:r>
          </w:p>
          <w:p w:rsidR="0075777C" w:rsidRDefault="0075777C" w:rsidP="00022B7B">
            <w:pPr>
              <w:pStyle w:val="Tabletext"/>
              <w:rPr>
                <w:rFonts w:cs="Tahoma"/>
              </w:rPr>
            </w:pPr>
            <w:r>
              <w:rPr>
                <w:rFonts w:cs="Tahoma"/>
              </w:rPr>
              <w:t>0.73 (0.48, 1.10)</w:t>
            </w:r>
          </w:p>
          <w:p w:rsidR="0075777C" w:rsidRDefault="0075777C" w:rsidP="00022B7B">
            <w:pPr>
              <w:pStyle w:val="Tabletext"/>
              <w:rPr>
                <w:rFonts w:cs="Tahoma"/>
              </w:rPr>
            </w:pPr>
            <w:r>
              <w:rPr>
                <w:rFonts w:cs="Tahoma"/>
              </w:rPr>
              <w:t>0.49 (0.20, 1.17)</w:t>
            </w:r>
          </w:p>
          <w:p w:rsidR="0075777C" w:rsidRPr="00822C52" w:rsidRDefault="0075777C" w:rsidP="00022B7B">
            <w:pPr>
              <w:pStyle w:val="Tabletext"/>
              <w:rPr>
                <w:rFonts w:cs="Tahoma"/>
              </w:rPr>
            </w:pPr>
            <w:r>
              <w:rPr>
                <w:rFonts w:cs="Tahoma"/>
              </w:rPr>
              <w:t>2.93 (0.60, 14.27)</w:t>
            </w:r>
          </w:p>
        </w:tc>
      </w:tr>
    </w:tbl>
    <w:p w:rsidR="0075777C" w:rsidRPr="00822C52" w:rsidRDefault="0075777C" w:rsidP="00022B7B">
      <w:pPr>
        <w:pStyle w:val="Tablenote"/>
      </w:pPr>
      <w:r w:rsidRPr="00822C52">
        <w:t xml:space="preserve">AE = adverse event; CI = confidence interval; n = number of </w:t>
      </w:r>
      <w:r w:rsidR="001E16B8">
        <w:t xml:space="preserve">patients with </w:t>
      </w:r>
      <w:r w:rsidRPr="00822C52">
        <w:t xml:space="preserve">events; N = number of patients; PAH = pulmonary arterial hypertension; </w:t>
      </w:r>
      <w:r>
        <w:t>PDE-5i</w:t>
      </w:r>
      <w:r w:rsidRPr="00822C52">
        <w:t xml:space="preserve"> = phosphodiesterase type-5 inhibitor; RR = relative risk; SD = standard deviation; WHO = World Health Organization</w:t>
      </w:r>
    </w:p>
    <w:p w:rsidR="0075777C" w:rsidRPr="00822C52" w:rsidRDefault="00761752" w:rsidP="0017012F">
      <w:pPr>
        <w:pStyle w:val="Heading4"/>
      </w:pPr>
      <w:r>
        <w:t>4.4.3.</w:t>
      </w:r>
      <w:r w:rsidR="00441F08">
        <w:t>5</w:t>
      </w:r>
      <w:r>
        <w:tab/>
      </w:r>
      <w:r w:rsidR="0017012F">
        <w:t>P</w:t>
      </w:r>
      <w:r w:rsidR="0017012F" w:rsidRPr="0017012F">
        <w:t xml:space="preserve">rostanoid </w:t>
      </w:r>
      <w:r w:rsidR="0075777C" w:rsidRPr="00822C52">
        <w:t>in addition to ERA</w:t>
      </w:r>
    </w:p>
    <w:p w:rsidR="0075777C" w:rsidRDefault="0075777C" w:rsidP="0075777C">
      <w:r>
        <w:t xml:space="preserve">Two RCTs reported on the </w:t>
      </w:r>
      <w:r w:rsidRPr="00741EF9">
        <w:t xml:space="preserve">effectiveness of a </w:t>
      </w:r>
      <w:r w:rsidR="0017012F" w:rsidRPr="0017012F">
        <w:t xml:space="preserve">prostanoid </w:t>
      </w:r>
      <w:r w:rsidRPr="00741EF9">
        <w:t>in addition to a</w:t>
      </w:r>
      <w:r>
        <w:t>n ERA</w:t>
      </w:r>
      <w:r w:rsidRPr="00741EF9">
        <w:t xml:space="preserve"> in treating PAH compared with plac</w:t>
      </w:r>
      <w:r>
        <w:t>ebo plus an ERA.</w:t>
      </w:r>
    </w:p>
    <w:p w:rsidR="0075777C" w:rsidRPr="00822C52" w:rsidRDefault="0075777C" w:rsidP="0075777C">
      <w:r>
        <w:lastRenderedPageBreak/>
        <w:t xml:space="preserve">The </w:t>
      </w:r>
      <w:r w:rsidRPr="00822C52">
        <w:t>COMBI</w:t>
      </w:r>
      <w:r w:rsidR="001D34EE" w:rsidRPr="001A1C44">
        <w:rPr>
          <w:noProof/>
          <w:vertAlign w:val="superscript"/>
        </w:rPr>
        <w:t>36</w:t>
      </w:r>
      <w:r w:rsidRPr="00D772AE">
        <w:t xml:space="preserve"> </w:t>
      </w:r>
      <w:r>
        <w:t>open-label, RCT was performed to assess the safety and efficacy of inhaled iloprost in patients with WHO FC III IPAH who were already being treated with bosentan</w:t>
      </w:r>
      <w:r w:rsidRPr="00D772AE">
        <w:t xml:space="preserve"> </w:t>
      </w:r>
      <w:r>
        <w:t xml:space="preserve">for a 12-week period. The trial was terminated early after a futility analysis predicted failure with respect to the pre-determined sample size. </w:t>
      </w:r>
      <w:r w:rsidRPr="000B5733">
        <w:t xml:space="preserve">The baseline characteristics for the two treatment groups were similar </w:t>
      </w:r>
      <w:r>
        <w:t>for demographic</w:t>
      </w:r>
      <w:r w:rsidRPr="000B5733">
        <w:t xml:space="preserve"> and haemodynamic </w:t>
      </w:r>
      <w:r>
        <w:t>parameters</w:t>
      </w:r>
      <w:r w:rsidRPr="000B5733">
        <w:t>.</w:t>
      </w:r>
      <w:r>
        <w:t xml:space="preserve"> This study had a high risk of bias, mainly due to the lack of blinding. </w:t>
      </w:r>
    </w:p>
    <w:p w:rsidR="0075777C" w:rsidRDefault="0075777C" w:rsidP="0075777C">
      <w:r>
        <w:t xml:space="preserve">The </w:t>
      </w:r>
      <w:r w:rsidRPr="00822C52">
        <w:t>STEP</w:t>
      </w:r>
      <w:r w:rsidR="001D34EE" w:rsidRPr="001A1C44">
        <w:rPr>
          <w:noProof/>
          <w:vertAlign w:val="superscript"/>
        </w:rPr>
        <w:t>48</w:t>
      </w:r>
      <w:r>
        <w:t xml:space="preserve"> </w:t>
      </w:r>
      <w:r w:rsidRPr="00822C52">
        <w:t xml:space="preserve">double-blind trial </w:t>
      </w:r>
      <w:r>
        <w:t>randomised patients with PAH already receiving treatment with bosentan to either iloprost inhalation or placebo for a 12-week period.</w:t>
      </w:r>
      <w:r w:rsidRPr="003D426A">
        <w:t xml:space="preserve"> </w:t>
      </w:r>
      <w:r>
        <w:t>Randomisation was stratified according to PAH aetiology (IPAH or PAH associated with CTD, CHD, HIV or anorexigen use).</w:t>
      </w:r>
      <w:r w:rsidRPr="003D426A">
        <w:t xml:space="preserve"> </w:t>
      </w:r>
      <w:r>
        <w:t xml:space="preserve">Nearly all included patients had NYHA FC III/IV </w:t>
      </w:r>
      <w:r w:rsidR="006B4B22">
        <w:t xml:space="preserve">(generally equivalent to WHO FC III/IV) </w:t>
      </w:r>
      <w:r>
        <w:t xml:space="preserve">PAH; one patient randomised to monotherapy had NYHA FC II </w:t>
      </w:r>
      <w:r w:rsidR="006B4B22">
        <w:t xml:space="preserve">(generally equivalent to WHO FC II) </w:t>
      </w:r>
      <w:r>
        <w:t>PAH. T</w:t>
      </w:r>
      <w:r w:rsidRPr="006316DF">
        <w:t xml:space="preserve">he baseline characteristics for the </w:t>
      </w:r>
      <w:r>
        <w:t>two treatment groups were similar for demographic, FC and haemodynamic assessments. However, the monotherapy group had more patients with IPAH (61% v</w:t>
      </w:r>
      <w:r w:rsidR="0095089E">
        <w:t>ersu</w:t>
      </w:r>
      <w:r>
        <w:t xml:space="preserve">s 50%) and fewer patients with </w:t>
      </w:r>
      <w:r w:rsidRPr="003D426A">
        <w:t>PAH associated with CTD, CHD, HIV or anorexigen use</w:t>
      </w:r>
      <w:r>
        <w:t xml:space="preserve"> (39% v</w:t>
      </w:r>
      <w:r w:rsidR="0095089E">
        <w:t>ersu</w:t>
      </w:r>
      <w:r>
        <w:t>s 50%</w:t>
      </w:r>
      <w:r w:rsidRPr="003D426A">
        <w:t>).</w:t>
      </w:r>
      <w:r>
        <w:t xml:space="preserve"> The trial had a low risk of bias.</w:t>
      </w:r>
    </w:p>
    <w:p w:rsidR="0075777C" w:rsidRDefault="0075777C" w:rsidP="0075777C">
      <w:r w:rsidRPr="00C65C33">
        <w:t>As, both studies only enrolled patients with FC III/IV PAH, all reported outcomes are relevant to this patient subgroup.</w:t>
      </w:r>
    </w:p>
    <w:p w:rsidR="0075777C" w:rsidRDefault="002E4833" w:rsidP="0075777C">
      <w:pPr>
        <w:pStyle w:val="Heading5"/>
      </w:pPr>
      <w:r>
        <w:t xml:space="preserve">a. </w:t>
      </w:r>
      <w:r w:rsidR="0075777C" w:rsidRPr="00822C52">
        <w:tab/>
        <w:t>Study-defined clinical worsening</w:t>
      </w:r>
    </w:p>
    <w:p w:rsidR="0075777C" w:rsidRDefault="00C87EC4" w:rsidP="0075777C">
      <w:r>
        <w:t xml:space="preserve">Although the composite endpoint of </w:t>
      </w:r>
      <w:r w:rsidR="0075777C" w:rsidRPr="00555BEA">
        <w:t xml:space="preserve">clinical worsening </w:t>
      </w:r>
      <w:r>
        <w:t xml:space="preserve">in both RCTs </w:t>
      </w:r>
      <w:r w:rsidR="0075777C" w:rsidRPr="00555BEA">
        <w:t xml:space="preserve">included death, hospitalisation </w:t>
      </w:r>
      <w:r>
        <w:t xml:space="preserve">and symptomatic progression of PAH, the definition of these components differed (eg all-cause mortality vs PAH-related mortality and hospitalisation due to right-heart failure vs any hospitalisation) </w:t>
      </w:r>
      <w:r w:rsidR="0075777C" w:rsidRPr="00555BEA">
        <w:t>(see Section 4.</w:t>
      </w:r>
      <w:r>
        <w:t xml:space="preserve">3.5 </w:t>
      </w:r>
      <w:r w:rsidR="0075777C" w:rsidRPr="00555BEA">
        <w:t>for further details).</w:t>
      </w:r>
    </w:p>
    <w:p w:rsidR="0075777C" w:rsidRPr="00822C52" w:rsidRDefault="002E4833" w:rsidP="0077344D">
      <w:pPr>
        <w:pStyle w:val="Heading6"/>
      </w:pPr>
      <w:r>
        <w:t>a</w:t>
      </w:r>
      <w:r w:rsidR="0075777C" w:rsidRPr="00822C52">
        <w:t>.ii</w:t>
      </w:r>
      <w:r w:rsidR="0075777C" w:rsidRPr="00822C52">
        <w:tab/>
        <w:t xml:space="preserve">PAH patients with </w:t>
      </w:r>
      <w:r w:rsidR="0075777C">
        <w:t xml:space="preserve">WHO </w:t>
      </w:r>
      <w:r w:rsidR="0075777C" w:rsidRPr="00822C52">
        <w:t>FC III or IV</w:t>
      </w:r>
    </w:p>
    <w:p w:rsidR="0075777C" w:rsidRDefault="0075777C" w:rsidP="00760D71">
      <w:r>
        <w:t>In the COMBI trial, the proportion of patients receiving combination therapy who experienced clinical worsening did not differ significantly from those receiving</w:t>
      </w:r>
      <w:r w:rsidRPr="00555BEA">
        <w:t xml:space="preserve"> </w:t>
      </w:r>
      <w:r>
        <w:t>monotherapy (</w:t>
      </w:r>
      <w:r w:rsidR="00B40790">
        <w:t>Table 4.78</w:t>
      </w:r>
      <w:r>
        <w:t xml:space="preserve">; </w:t>
      </w:r>
      <w:r w:rsidR="00B21201">
        <w:t>ARD</w:t>
      </w:r>
      <w:r w:rsidR="00B60655">
        <w:t> </w:t>
      </w:r>
      <w:r>
        <w:t>=</w:t>
      </w:r>
      <w:r w:rsidR="00B60655">
        <w:t> </w:t>
      </w:r>
      <w:r>
        <w:t>−3.3%; 95% CI −26.7, 20.2; p</w:t>
      </w:r>
      <w:r w:rsidR="00B60655">
        <w:t> </w:t>
      </w:r>
      <w:r>
        <w:t>=</w:t>
      </w:r>
      <w:r w:rsidR="00B60655">
        <w:t> </w:t>
      </w:r>
      <w:r>
        <w:t xml:space="preserve">0.79). </w:t>
      </w:r>
      <w:r w:rsidR="00B20F94">
        <w:t>M</w:t>
      </w:r>
      <w:r>
        <w:t>ore patients in the monotherapy group experienced clinical worsening in the monotherapy group compared to the combination therapy group in the STEP trial but the RR could not be calculated (</w:t>
      </w:r>
      <w:r w:rsidR="00B21201">
        <w:t>ARD</w:t>
      </w:r>
      <w:r w:rsidR="00B60655">
        <w:t> </w:t>
      </w:r>
      <w:r w:rsidRPr="00707847">
        <w:t>=</w:t>
      </w:r>
      <w:r w:rsidR="00B60655">
        <w:t> </w:t>
      </w:r>
      <w:r>
        <w:t>−15.2%; 95% CI −27.4, −2.9; p</w:t>
      </w:r>
      <w:r w:rsidR="00B60655">
        <w:t> </w:t>
      </w:r>
      <w:r>
        <w:t>=</w:t>
      </w:r>
      <w:r w:rsidR="00B60655">
        <w:t> </w:t>
      </w:r>
      <w:r>
        <w:t xml:space="preserve">0.02). Thus, between </w:t>
      </w:r>
      <w:r w:rsidR="00BD3EF5">
        <w:t>seven (STEP) and 31</w:t>
      </w:r>
      <w:r>
        <w:t xml:space="preserve"> (COMBI) patients </w:t>
      </w:r>
      <w:r w:rsidRPr="00763A20">
        <w:t xml:space="preserve">with WHO FC III/IV PAH </w:t>
      </w:r>
      <w:r>
        <w:t>need to be treated with p</w:t>
      </w:r>
      <w:r w:rsidRPr="00763A20">
        <w:t xml:space="preserve">rostanoid </w:t>
      </w:r>
      <w:r>
        <w:t>plus</w:t>
      </w:r>
      <w:r w:rsidRPr="00763A20">
        <w:t xml:space="preserve"> ERA</w:t>
      </w:r>
      <w:r>
        <w:t xml:space="preserve"> combination therapy to prevent clinical worsening in one additional patient compared with ERA monotherapy. The pooled RR point estimate favoured combination therapy </w:t>
      </w:r>
      <w:r w:rsidR="00D84687">
        <w:t>over monotherapy</w:t>
      </w:r>
      <w:r w:rsidR="000D36D2">
        <w:t>, with a 60% reduction in clinical worsening events,</w:t>
      </w:r>
      <w:r w:rsidR="00D84687">
        <w:t xml:space="preserve"> but the 95% CI</w:t>
      </w:r>
      <w:r>
        <w:t xml:space="preserve"> indicate</w:t>
      </w:r>
      <w:r w:rsidR="003E736B">
        <w:t>d</w:t>
      </w:r>
      <w:r>
        <w:t xml:space="preserve"> that there could also be the opposite effect (</w:t>
      </w:r>
      <w:r w:rsidR="00AA722D">
        <w:t>Figure 4.21</w:t>
      </w:r>
      <w:r>
        <w:t xml:space="preserve">). </w:t>
      </w:r>
    </w:p>
    <w:p w:rsidR="005035F1" w:rsidRDefault="005035F1">
      <w:pPr>
        <w:spacing w:before="0" w:line="240" w:lineRule="auto"/>
        <w:rPr>
          <w:b/>
          <w:iCs/>
          <w:szCs w:val="18"/>
        </w:rPr>
      </w:pPr>
      <w:bookmarkStart w:id="241" w:name="_Ref504656715"/>
      <w:r>
        <w:br w:type="page"/>
      </w:r>
    </w:p>
    <w:p w:rsidR="0075777C" w:rsidRPr="00DD7790" w:rsidRDefault="00272F8F" w:rsidP="00BC5A2B">
      <w:pPr>
        <w:pStyle w:val="Caption"/>
      </w:pPr>
      <w:bookmarkStart w:id="242" w:name="_Toc512855482"/>
      <w:r>
        <w:lastRenderedPageBreak/>
        <w:t>Table 4.</w:t>
      </w:r>
      <w:r w:rsidR="00AA722D">
        <w:rPr>
          <w:noProof/>
        </w:rPr>
        <w:t>78</w:t>
      </w:r>
      <w:bookmarkEnd w:id="241"/>
      <w:r w:rsidR="00022B7B">
        <w:tab/>
      </w:r>
      <w:r w:rsidR="0075777C" w:rsidRPr="00DD7790">
        <w:t>T</w:t>
      </w:r>
      <w:r w:rsidR="0075777C">
        <w:t xml:space="preserve">he effectiveness of </w:t>
      </w:r>
      <w:r w:rsidR="007E59EC">
        <w:t xml:space="preserve">a </w:t>
      </w:r>
      <w:r w:rsidR="0075777C">
        <w:t xml:space="preserve">prostanoid </w:t>
      </w:r>
      <w:r w:rsidR="007E59EC">
        <w:t>in addition to an</w:t>
      </w:r>
      <w:r w:rsidR="0075777C">
        <w:t xml:space="preserve"> ERA compared with </w:t>
      </w:r>
      <w:r w:rsidR="0075777C" w:rsidRPr="00DD7790">
        <w:t xml:space="preserve">ERA </w:t>
      </w:r>
      <w:r w:rsidR="007E59EC">
        <w:t xml:space="preserve">monotherapy </w:t>
      </w:r>
      <w:r w:rsidR="0075777C" w:rsidRPr="00DD7790">
        <w:t>in preventing clinical worsening in patients with WHO FC III/IV PAH</w:t>
      </w:r>
      <w:bookmarkEnd w:id="242"/>
    </w:p>
    <w:tbl>
      <w:tblPr>
        <w:tblStyle w:val="TableGrid7"/>
        <w:tblW w:w="9634" w:type="dxa"/>
        <w:tblLayout w:type="fixed"/>
        <w:tblLook w:val="04A0" w:firstRow="1" w:lastRow="0" w:firstColumn="1" w:lastColumn="0" w:noHBand="0" w:noVBand="1"/>
        <w:tblCaption w:val="The effectiveness of a prostanoid in addition to an ERA compared with ERA monotherapy in preventing clinical worsening in patients with WHO FC III/IV PAH"/>
      </w:tblPr>
      <w:tblGrid>
        <w:gridCol w:w="1555"/>
        <w:gridCol w:w="1984"/>
        <w:gridCol w:w="2055"/>
        <w:gridCol w:w="2056"/>
        <w:gridCol w:w="1984"/>
      </w:tblGrid>
      <w:tr w:rsidR="0075777C" w:rsidRPr="00822C52" w:rsidTr="00DF0DAE">
        <w:trPr>
          <w:trHeight w:val="203"/>
          <w:tblHeader/>
        </w:trPr>
        <w:tc>
          <w:tcPr>
            <w:tcW w:w="1555" w:type="dxa"/>
            <w:vMerge w:val="restart"/>
            <w:shd w:val="clear" w:color="auto" w:fill="BFBFBF" w:themeFill="background1" w:themeFillShade="BF"/>
          </w:tcPr>
          <w:p w:rsidR="0075777C" w:rsidRPr="00DF0DAE" w:rsidRDefault="0075777C" w:rsidP="00DF0DAE">
            <w:pPr>
              <w:pStyle w:val="Tabletext"/>
              <w:rPr>
                <w:b/>
              </w:rPr>
            </w:pPr>
            <w:r w:rsidRPr="00DF0DAE">
              <w:rPr>
                <w:b/>
              </w:rPr>
              <w:t>Study ID</w:t>
            </w:r>
          </w:p>
        </w:tc>
        <w:tc>
          <w:tcPr>
            <w:tcW w:w="1984" w:type="dxa"/>
            <w:vMerge w:val="restart"/>
            <w:shd w:val="clear" w:color="auto" w:fill="BFBFBF" w:themeFill="background1" w:themeFillShade="BF"/>
          </w:tcPr>
          <w:p w:rsidR="0075777C" w:rsidRPr="00DF0DAE" w:rsidRDefault="0075777C" w:rsidP="00DF0DAE">
            <w:pPr>
              <w:pStyle w:val="Tabletext"/>
              <w:rPr>
                <w:b/>
              </w:rPr>
            </w:pPr>
            <w:r w:rsidRPr="00DF0DAE">
              <w:rPr>
                <w:b/>
              </w:rPr>
              <w:t>Follow-up period</w:t>
            </w:r>
          </w:p>
          <w:p w:rsidR="0075777C" w:rsidRPr="00DF0DAE" w:rsidRDefault="0075777C" w:rsidP="00DF0DAE">
            <w:pPr>
              <w:pStyle w:val="Tabletext"/>
              <w:rPr>
                <w:b/>
              </w:rPr>
            </w:pPr>
            <w:r w:rsidRPr="00DF0DAE">
              <w:rPr>
                <w:b/>
              </w:rPr>
              <w:t>Prostanoid/ERA</w:t>
            </w:r>
          </w:p>
        </w:tc>
        <w:tc>
          <w:tcPr>
            <w:tcW w:w="4111" w:type="dxa"/>
            <w:gridSpan w:val="2"/>
            <w:shd w:val="clear" w:color="auto" w:fill="BFBFBF" w:themeFill="background1" w:themeFillShade="BF"/>
          </w:tcPr>
          <w:p w:rsidR="0075777C" w:rsidRPr="00DF0DAE" w:rsidRDefault="0075777C" w:rsidP="00DF0DAE">
            <w:pPr>
              <w:pStyle w:val="Tabletext"/>
              <w:jc w:val="center"/>
              <w:rPr>
                <w:b/>
              </w:rPr>
            </w:pPr>
            <w:r w:rsidRPr="00DF0DAE">
              <w:rPr>
                <w:b/>
              </w:rPr>
              <w:t>n/N (%)</w:t>
            </w:r>
          </w:p>
        </w:tc>
        <w:tc>
          <w:tcPr>
            <w:tcW w:w="1984" w:type="dxa"/>
            <w:vMerge w:val="restart"/>
            <w:shd w:val="clear" w:color="auto" w:fill="BFBFBF" w:themeFill="background1" w:themeFillShade="BF"/>
          </w:tcPr>
          <w:p w:rsidR="0075777C" w:rsidRPr="00DF0DAE" w:rsidRDefault="0075777C" w:rsidP="00DF0DAE">
            <w:pPr>
              <w:pStyle w:val="Tabletext"/>
              <w:rPr>
                <w:b/>
              </w:rPr>
            </w:pPr>
            <w:r w:rsidRPr="00DF0DAE">
              <w:rPr>
                <w:b/>
              </w:rPr>
              <w:t>RR (95% CI)</w:t>
            </w:r>
          </w:p>
        </w:tc>
      </w:tr>
      <w:tr w:rsidR="0075777C" w:rsidRPr="00822C52" w:rsidTr="00DF0DAE">
        <w:trPr>
          <w:trHeight w:val="202"/>
          <w:tblHeader/>
        </w:trPr>
        <w:tc>
          <w:tcPr>
            <w:tcW w:w="1555" w:type="dxa"/>
            <w:vMerge/>
            <w:shd w:val="clear" w:color="auto" w:fill="BFBFBF" w:themeFill="background1" w:themeFillShade="BF"/>
          </w:tcPr>
          <w:p w:rsidR="0075777C" w:rsidRPr="00822C52" w:rsidRDefault="0075777C" w:rsidP="00DF0DAE">
            <w:pPr>
              <w:pStyle w:val="Tabletext"/>
            </w:pPr>
          </w:p>
        </w:tc>
        <w:tc>
          <w:tcPr>
            <w:tcW w:w="1984" w:type="dxa"/>
            <w:vMerge/>
            <w:shd w:val="clear" w:color="auto" w:fill="BFBFBF" w:themeFill="background1" w:themeFillShade="BF"/>
          </w:tcPr>
          <w:p w:rsidR="0075777C" w:rsidRPr="00822C52" w:rsidRDefault="0075777C" w:rsidP="00DF0DAE">
            <w:pPr>
              <w:pStyle w:val="Tabletext"/>
            </w:pPr>
          </w:p>
        </w:tc>
        <w:tc>
          <w:tcPr>
            <w:tcW w:w="2055" w:type="dxa"/>
            <w:shd w:val="clear" w:color="auto" w:fill="BFBFBF" w:themeFill="background1" w:themeFillShade="BF"/>
          </w:tcPr>
          <w:p w:rsidR="0075777C" w:rsidRPr="00DF0DAE" w:rsidRDefault="0075777C" w:rsidP="00DF0DAE">
            <w:pPr>
              <w:pStyle w:val="Tabletext"/>
              <w:jc w:val="center"/>
              <w:rPr>
                <w:b/>
              </w:rPr>
            </w:pPr>
            <w:r w:rsidRPr="00DF0DAE">
              <w:rPr>
                <w:b/>
              </w:rPr>
              <w:t>Prostanoid + ERA</w:t>
            </w:r>
          </w:p>
        </w:tc>
        <w:tc>
          <w:tcPr>
            <w:tcW w:w="2056" w:type="dxa"/>
            <w:shd w:val="clear" w:color="auto" w:fill="BFBFBF" w:themeFill="background1" w:themeFillShade="BF"/>
          </w:tcPr>
          <w:p w:rsidR="0075777C" w:rsidRPr="00DF0DAE" w:rsidRDefault="00534ADA" w:rsidP="00534ADA">
            <w:pPr>
              <w:pStyle w:val="Tabletext"/>
              <w:jc w:val="center"/>
              <w:rPr>
                <w:b/>
              </w:rPr>
            </w:pPr>
            <w:r>
              <w:rPr>
                <w:b/>
              </w:rPr>
              <w:t>ERA</w:t>
            </w:r>
          </w:p>
        </w:tc>
        <w:tc>
          <w:tcPr>
            <w:tcW w:w="1984" w:type="dxa"/>
            <w:vMerge/>
            <w:shd w:val="clear" w:color="auto" w:fill="BFBFBF" w:themeFill="background1" w:themeFillShade="BF"/>
          </w:tcPr>
          <w:p w:rsidR="0075777C" w:rsidRPr="00822C52" w:rsidRDefault="0075777C" w:rsidP="00DF0DAE">
            <w:pPr>
              <w:pStyle w:val="Tabletext"/>
            </w:pPr>
          </w:p>
        </w:tc>
      </w:tr>
      <w:tr w:rsidR="0075777C" w:rsidRPr="00822C52" w:rsidTr="00DF0DAE">
        <w:trPr>
          <w:trHeight w:val="70"/>
        </w:trPr>
        <w:tc>
          <w:tcPr>
            <w:tcW w:w="1555" w:type="dxa"/>
          </w:tcPr>
          <w:p w:rsidR="0075777C" w:rsidRDefault="0075777C" w:rsidP="00DF0DAE">
            <w:pPr>
              <w:pStyle w:val="Tabletext"/>
            </w:pPr>
            <w:r w:rsidRPr="00822C52">
              <w:t>COMBI</w:t>
            </w:r>
            <w:r w:rsidR="001D34EE" w:rsidRPr="001A1C44">
              <w:rPr>
                <w:noProof/>
                <w:vertAlign w:val="superscript"/>
              </w:rPr>
              <w:t>36</w:t>
            </w:r>
          </w:p>
          <w:p w:rsidR="00DF0DAE" w:rsidRPr="00822C52" w:rsidRDefault="00DF0DAE" w:rsidP="00DF0DAE">
            <w:pPr>
              <w:pStyle w:val="Tabletext"/>
              <w:rPr>
                <w:rFonts w:cs="Tahoma"/>
              </w:rPr>
            </w:pPr>
            <w:r>
              <w:t>(</w:t>
            </w:r>
            <w:r w:rsidRPr="00822C52">
              <w:t>WHO FC III</w:t>
            </w:r>
            <w:r>
              <w:t>)</w:t>
            </w:r>
          </w:p>
        </w:tc>
        <w:tc>
          <w:tcPr>
            <w:tcW w:w="1984" w:type="dxa"/>
          </w:tcPr>
          <w:p w:rsidR="0075777C" w:rsidRPr="00822C52" w:rsidRDefault="0075777C" w:rsidP="00DF0DAE">
            <w:pPr>
              <w:pStyle w:val="Tabletext"/>
            </w:pPr>
            <w:r w:rsidRPr="00822C52">
              <w:t>Iloprost/bosentan</w:t>
            </w:r>
          </w:p>
          <w:p w:rsidR="0075777C" w:rsidRPr="00DF0DAE" w:rsidRDefault="00DF0DAE" w:rsidP="00DF0DAE">
            <w:pPr>
              <w:pStyle w:val="Tabletext"/>
            </w:pPr>
            <w:r>
              <w:t>16 weeks</w:t>
            </w:r>
          </w:p>
        </w:tc>
        <w:tc>
          <w:tcPr>
            <w:tcW w:w="2055" w:type="dxa"/>
          </w:tcPr>
          <w:p w:rsidR="0075777C" w:rsidRPr="00822C52" w:rsidRDefault="0075777C" w:rsidP="00DF0DAE">
            <w:pPr>
              <w:pStyle w:val="Tabletext"/>
              <w:jc w:val="center"/>
              <w:rPr>
                <w:rFonts w:cs="Tahoma"/>
                <w:highlight w:val="cyan"/>
              </w:rPr>
            </w:pPr>
            <w:r w:rsidRPr="00822C52">
              <w:rPr>
                <w:rFonts w:cs="Tahoma"/>
              </w:rPr>
              <w:t>3/19 (16%)</w:t>
            </w:r>
          </w:p>
        </w:tc>
        <w:tc>
          <w:tcPr>
            <w:tcW w:w="2056" w:type="dxa"/>
          </w:tcPr>
          <w:p w:rsidR="0075777C" w:rsidRPr="00822C52" w:rsidRDefault="0075777C" w:rsidP="00DF0DAE">
            <w:pPr>
              <w:pStyle w:val="Tabletext"/>
              <w:jc w:val="center"/>
              <w:rPr>
                <w:rFonts w:cs="Tahoma"/>
                <w:highlight w:val="cyan"/>
              </w:rPr>
            </w:pPr>
            <w:r w:rsidRPr="00822C52">
              <w:rPr>
                <w:rFonts w:cs="Tahoma"/>
              </w:rPr>
              <w:t>4/21 (19%)</w:t>
            </w:r>
          </w:p>
        </w:tc>
        <w:tc>
          <w:tcPr>
            <w:tcW w:w="1984" w:type="dxa"/>
          </w:tcPr>
          <w:p w:rsidR="0075777C" w:rsidRPr="00822C52" w:rsidRDefault="0075777C" w:rsidP="00DF0DAE">
            <w:pPr>
              <w:pStyle w:val="Tabletext"/>
              <w:rPr>
                <w:rFonts w:cs="Tahoma"/>
                <w:highlight w:val="cyan"/>
              </w:rPr>
            </w:pPr>
            <w:r w:rsidRPr="000C1B31">
              <w:rPr>
                <w:rFonts w:cs="Tahoma"/>
              </w:rPr>
              <w:t>0.83 (0.21, 3.24)</w:t>
            </w:r>
          </w:p>
        </w:tc>
      </w:tr>
      <w:tr w:rsidR="0075777C" w:rsidRPr="00822C52" w:rsidTr="00DF0DAE">
        <w:trPr>
          <w:trHeight w:val="70"/>
        </w:trPr>
        <w:tc>
          <w:tcPr>
            <w:tcW w:w="1555" w:type="dxa"/>
          </w:tcPr>
          <w:p w:rsidR="0075777C" w:rsidRDefault="0075777C" w:rsidP="00DF0DAE">
            <w:pPr>
              <w:pStyle w:val="Tabletext"/>
            </w:pPr>
            <w:r w:rsidRPr="00822C52">
              <w:t>STEP</w:t>
            </w:r>
            <w:r w:rsidR="001D34EE" w:rsidRPr="001A1C44">
              <w:rPr>
                <w:noProof/>
                <w:vertAlign w:val="superscript"/>
              </w:rPr>
              <w:t>48</w:t>
            </w:r>
          </w:p>
          <w:p w:rsidR="00DF0DAE" w:rsidRPr="00822C52" w:rsidRDefault="00DF0DAE" w:rsidP="006B4B22">
            <w:pPr>
              <w:pStyle w:val="Tabletext"/>
              <w:rPr>
                <w:rFonts w:cs="Tahoma"/>
              </w:rPr>
            </w:pPr>
            <w:r>
              <w:t>(</w:t>
            </w:r>
            <w:r w:rsidR="006B4B22">
              <w:t>WHO</w:t>
            </w:r>
            <w:r>
              <w:t xml:space="preserve"> FC III/IV)</w:t>
            </w:r>
          </w:p>
        </w:tc>
        <w:tc>
          <w:tcPr>
            <w:tcW w:w="1984" w:type="dxa"/>
          </w:tcPr>
          <w:p w:rsidR="0075777C" w:rsidRPr="00822C52" w:rsidRDefault="0075777C" w:rsidP="00DF0DAE">
            <w:pPr>
              <w:pStyle w:val="Tabletext"/>
            </w:pPr>
            <w:r w:rsidRPr="00822C52">
              <w:t>Iloprost/bosentan</w:t>
            </w:r>
          </w:p>
          <w:p w:rsidR="0075777C" w:rsidRPr="00DF0DAE" w:rsidRDefault="0075777C" w:rsidP="00DF0DAE">
            <w:pPr>
              <w:pStyle w:val="Tabletext"/>
            </w:pPr>
            <w:r w:rsidRPr="00822C52">
              <w:t>12 weeks</w:t>
            </w:r>
          </w:p>
        </w:tc>
        <w:tc>
          <w:tcPr>
            <w:tcW w:w="2055" w:type="dxa"/>
          </w:tcPr>
          <w:p w:rsidR="0075777C" w:rsidRPr="00822C52" w:rsidRDefault="0075777C" w:rsidP="00DF0DAE">
            <w:pPr>
              <w:pStyle w:val="Tabletext"/>
              <w:jc w:val="center"/>
              <w:rPr>
                <w:rFonts w:cs="Tahoma"/>
                <w:highlight w:val="cyan"/>
              </w:rPr>
            </w:pPr>
            <w:r w:rsidRPr="00822C52">
              <w:rPr>
                <w:rFonts w:cs="Tahoma"/>
              </w:rPr>
              <w:t>0/32 (0%)</w:t>
            </w:r>
          </w:p>
        </w:tc>
        <w:tc>
          <w:tcPr>
            <w:tcW w:w="2056" w:type="dxa"/>
          </w:tcPr>
          <w:p w:rsidR="0075777C" w:rsidRPr="00822C52" w:rsidRDefault="0075777C" w:rsidP="00DF0DAE">
            <w:pPr>
              <w:pStyle w:val="Tabletext"/>
              <w:jc w:val="center"/>
              <w:rPr>
                <w:rFonts w:cs="Tahoma"/>
                <w:highlight w:val="cyan"/>
              </w:rPr>
            </w:pPr>
            <w:r w:rsidRPr="00822C52">
              <w:rPr>
                <w:rFonts w:cs="Tahoma"/>
              </w:rPr>
              <w:t>5/33 (15%)</w:t>
            </w:r>
            <w:r w:rsidRPr="00E03CA3">
              <w:rPr>
                <w:rFonts w:cs="Tahoma"/>
                <w:vertAlign w:val="superscript"/>
              </w:rPr>
              <w:t>a</w:t>
            </w:r>
          </w:p>
        </w:tc>
        <w:tc>
          <w:tcPr>
            <w:tcW w:w="1984" w:type="dxa"/>
          </w:tcPr>
          <w:p w:rsidR="0075777C" w:rsidRPr="00822C52" w:rsidRDefault="0075777C" w:rsidP="00DF0DAE">
            <w:pPr>
              <w:pStyle w:val="Tabletext"/>
              <w:rPr>
                <w:rFonts w:cs="Tahoma"/>
                <w:highlight w:val="cyan"/>
              </w:rPr>
            </w:pPr>
            <w:r w:rsidRPr="00AF1B55">
              <w:rPr>
                <w:rFonts w:cs="Tahoma"/>
              </w:rPr>
              <w:t>0 (not calculable)</w:t>
            </w:r>
          </w:p>
        </w:tc>
      </w:tr>
    </w:tbl>
    <w:p w:rsidR="0075777C" w:rsidRDefault="0075777C" w:rsidP="00DF0DAE">
      <w:pPr>
        <w:pStyle w:val="Tablenote"/>
      </w:pPr>
      <w:r w:rsidRPr="00E03CA3">
        <w:rPr>
          <w:vertAlign w:val="superscript"/>
        </w:rPr>
        <w:t>a</w:t>
      </w:r>
      <w:r>
        <w:rPr>
          <w:vertAlign w:val="superscript"/>
        </w:rPr>
        <w:t xml:space="preserve"> </w:t>
      </w:r>
      <w:r>
        <w:t xml:space="preserve">One patient in the monotherapy group had </w:t>
      </w:r>
      <w:r w:rsidR="006B4B22">
        <w:t xml:space="preserve">WHO </w:t>
      </w:r>
      <w:r>
        <w:t>FC II PAH</w:t>
      </w:r>
    </w:p>
    <w:p w:rsidR="0075777C" w:rsidRDefault="0075777C" w:rsidP="00DF0DAE">
      <w:pPr>
        <w:pStyle w:val="Tablenote"/>
      </w:pPr>
      <w:r w:rsidRPr="00822C52">
        <w:t>CI = confidence interval; ERA = endothelin receptor antagonist; FC = functional class; n = number of</w:t>
      </w:r>
      <w:r w:rsidR="001E16B8">
        <w:t xml:space="preserve"> patients with</w:t>
      </w:r>
      <w:r w:rsidRPr="00822C52">
        <w:t xml:space="preserve"> events; N = number of patients; PAH = pulmonary arterial hypertension; RR = relative risk; </w:t>
      </w:r>
      <w:r>
        <w:t>WHO = World Health Organisation</w:t>
      </w:r>
    </w:p>
    <w:p w:rsidR="0075777C" w:rsidRDefault="0075777C" w:rsidP="00DF0DAE">
      <w:pPr>
        <w:spacing w:after="40" w:line="240" w:lineRule="auto"/>
        <w:jc w:val="center"/>
      </w:pPr>
      <w:r>
        <w:rPr>
          <w:noProof/>
          <w:lang w:eastAsia="en-AU"/>
        </w:rPr>
        <w:drawing>
          <wp:inline distT="0" distB="0" distL="0" distR="0" wp14:anchorId="1AC3F990" wp14:editId="6B49C27B">
            <wp:extent cx="6143810" cy="2750024"/>
            <wp:effectExtent l="0" t="0" r="0" b="0"/>
            <wp:docPr id="54" name="Picture 54" descr="The estimated RR from the meta-analysis was 0.39 (95% CI 0.04, 3.45)" title="Forest plot showing the RR of having a clinical worsening event while being treated with a prostanoid and an ERA compared with an ERA alone in all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177606" cy="2765152"/>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795577" w:rsidRDefault="00DF0DAE" w:rsidP="00BC5A2B">
      <w:pPr>
        <w:pStyle w:val="Caption"/>
        <w:rPr>
          <w:rFonts w:ascii="Arial Narrow" w:hAnsi="Arial Narrow" w:cs="Tahoma"/>
          <w:u w:val="single"/>
        </w:rPr>
      </w:pPr>
      <w:bookmarkStart w:id="243" w:name="_Ref506306431"/>
      <w:bookmarkStart w:id="244" w:name="_Toc512855594"/>
      <w:r>
        <w:t>Figure 4.</w:t>
      </w:r>
      <w:r w:rsidR="00AA722D">
        <w:rPr>
          <w:noProof/>
        </w:rPr>
        <w:t>21</w:t>
      </w:r>
      <w:bookmarkEnd w:id="243"/>
      <w:r>
        <w:tab/>
      </w:r>
      <w:r w:rsidR="0075777C" w:rsidRPr="00795577">
        <w:t xml:space="preserve">Forest plot showing the RR of having a clinical worsening event while being treated with </w:t>
      </w:r>
      <w:r w:rsidR="0075777C">
        <w:t xml:space="preserve">a </w:t>
      </w:r>
      <w:r>
        <w:t>prostanoid</w:t>
      </w:r>
      <w:r w:rsidR="0075777C">
        <w:t xml:space="preserve"> and </w:t>
      </w:r>
      <w:r w:rsidR="0075777C" w:rsidRPr="00795577">
        <w:t xml:space="preserve">an ERA compared with </w:t>
      </w:r>
      <w:r w:rsidR="0075777C">
        <w:t>an ERA alone</w:t>
      </w:r>
      <w:r w:rsidR="0075777C" w:rsidRPr="00795577">
        <w:t xml:space="preserve"> in </w:t>
      </w:r>
      <w:r w:rsidR="0075777C">
        <w:t>all PAH patients</w:t>
      </w:r>
      <w:bookmarkEnd w:id="244"/>
    </w:p>
    <w:p w:rsidR="001E16B8" w:rsidRPr="006316DF" w:rsidRDefault="0075777C" w:rsidP="00DF0DAE">
      <w:pPr>
        <w:pStyle w:val="Tablenote"/>
      </w:pPr>
      <w:r w:rsidRPr="00795577">
        <w:t>CI = confidence interval; ERA =</w:t>
      </w:r>
      <w:r>
        <w:t xml:space="preserve"> </w:t>
      </w:r>
      <w:r w:rsidR="0006512A">
        <w:t>endothelin receptor</w:t>
      </w:r>
      <w:r>
        <w:t xml:space="preserve"> antagonist</w:t>
      </w:r>
      <w:r w:rsidRPr="00795577">
        <w:t xml:space="preserve">; N = number of patients; </w:t>
      </w:r>
      <w:r w:rsidR="001E16B8" w:rsidRPr="00715D78">
        <w:t xml:space="preserve">PAH = pulmonary arterial hypertension; </w:t>
      </w:r>
      <w:r w:rsidRPr="00795577">
        <w:t>RR = relative risk</w:t>
      </w:r>
    </w:p>
    <w:p w:rsidR="0075777C" w:rsidRPr="00822C52" w:rsidRDefault="002E4833" w:rsidP="0075777C">
      <w:pPr>
        <w:pStyle w:val="Heading5"/>
      </w:pPr>
      <w:r>
        <w:t xml:space="preserve">b. </w:t>
      </w:r>
      <w:r w:rsidR="0075777C" w:rsidRPr="00822C52">
        <w:tab/>
      </w:r>
      <w:r w:rsidR="00C828F9">
        <w:t>All-cause m</w:t>
      </w:r>
      <w:r w:rsidR="00C828F9" w:rsidRPr="006316DF">
        <w:t>ortality</w:t>
      </w:r>
    </w:p>
    <w:p w:rsidR="0075777C" w:rsidRPr="00822C52" w:rsidRDefault="002E4833" w:rsidP="0077344D">
      <w:pPr>
        <w:pStyle w:val="Heading6"/>
      </w:pPr>
      <w:r>
        <w:t>b</w:t>
      </w:r>
      <w:r w:rsidR="0075777C" w:rsidRPr="00822C52">
        <w:t>.ii</w:t>
      </w:r>
      <w:r w:rsidR="0075777C" w:rsidRPr="00822C52">
        <w:tab/>
        <w:t>PAH patients with FC III or IV</w:t>
      </w:r>
    </w:p>
    <w:p w:rsidR="0075777C" w:rsidRDefault="003E736B" w:rsidP="00B40790">
      <w:pPr>
        <w:spacing w:before="0" w:line="240" w:lineRule="auto"/>
      </w:pPr>
      <w:r>
        <w:t>In both COMBI and STEP, n</w:t>
      </w:r>
      <w:r w:rsidR="0075777C">
        <w:t>o patients died during the study period (</w:t>
      </w:r>
      <w:r w:rsidR="00B40790">
        <w:t>Table 4.79</w:t>
      </w:r>
      <w:r w:rsidR="0075777C">
        <w:t>). Thus, the effect of prostanoid plus</w:t>
      </w:r>
      <w:r w:rsidR="0075777C" w:rsidRPr="00197602">
        <w:t xml:space="preserve"> ERA </w:t>
      </w:r>
      <w:r w:rsidR="0075777C">
        <w:t>combination therapy compared with ERA monotherapy on mortality rates cannot be determined.</w:t>
      </w:r>
    </w:p>
    <w:p w:rsidR="0075777C" w:rsidRPr="00DD7790" w:rsidRDefault="00272F8F" w:rsidP="00BC5A2B">
      <w:pPr>
        <w:pStyle w:val="Caption"/>
      </w:pPr>
      <w:bookmarkStart w:id="245" w:name="_Ref504656732"/>
      <w:bookmarkStart w:id="246" w:name="_Toc512855483"/>
      <w:r>
        <w:t>Table 4.</w:t>
      </w:r>
      <w:r w:rsidR="00AA722D">
        <w:rPr>
          <w:noProof/>
        </w:rPr>
        <w:t>79</w:t>
      </w:r>
      <w:bookmarkEnd w:id="245"/>
      <w:r w:rsidR="00DF0DAE">
        <w:tab/>
      </w:r>
      <w:r w:rsidR="0075777C" w:rsidRPr="00DD7790">
        <w:t xml:space="preserve">Mortality rates for </w:t>
      </w:r>
      <w:r w:rsidR="007E59EC">
        <w:t xml:space="preserve">a prostanoid in addition to an ERA compared with </w:t>
      </w:r>
      <w:r w:rsidR="007E59EC" w:rsidRPr="00DD7790">
        <w:t xml:space="preserve">ERA </w:t>
      </w:r>
      <w:r w:rsidR="007E59EC">
        <w:t>monotherapy</w:t>
      </w:r>
      <w:r w:rsidR="007E59EC" w:rsidRPr="000B5733">
        <w:t xml:space="preserve"> </w:t>
      </w:r>
      <w:r w:rsidR="0075777C" w:rsidRPr="000B5733">
        <w:t>in patients with WHO FC III/IV PAH</w:t>
      </w:r>
      <w:bookmarkEnd w:id="246"/>
    </w:p>
    <w:tbl>
      <w:tblPr>
        <w:tblStyle w:val="TableGrid7"/>
        <w:tblW w:w="9634" w:type="dxa"/>
        <w:tblLayout w:type="fixed"/>
        <w:tblLook w:val="04A0" w:firstRow="1" w:lastRow="0" w:firstColumn="1" w:lastColumn="0" w:noHBand="0" w:noVBand="1"/>
        <w:tblCaption w:val="Mortality rates for a prostanoid in addition to an ERA compared with ERA monotherapy in patients with WHO FC III/IV PAH"/>
      </w:tblPr>
      <w:tblGrid>
        <w:gridCol w:w="1555"/>
        <w:gridCol w:w="2268"/>
        <w:gridCol w:w="2055"/>
        <w:gridCol w:w="2055"/>
        <w:gridCol w:w="1701"/>
      </w:tblGrid>
      <w:tr w:rsidR="0075777C" w:rsidRPr="00822C52" w:rsidTr="00DF0DAE">
        <w:trPr>
          <w:trHeight w:val="282"/>
          <w:tblHeader/>
        </w:trPr>
        <w:tc>
          <w:tcPr>
            <w:tcW w:w="1555" w:type="dxa"/>
            <w:vMerge w:val="restart"/>
            <w:shd w:val="clear" w:color="auto" w:fill="BFBFBF" w:themeFill="background1" w:themeFillShade="BF"/>
          </w:tcPr>
          <w:p w:rsidR="0075777C" w:rsidRPr="00DF0DAE" w:rsidRDefault="0075777C" w:rsidP="00DF0DAE">
            <w:pPr>
              <w:pStyle w:val="Tabletext"/>
              <w:rPr>
                <w:b/>
              </w:rPr>
            </w:pPr>
            <w:r w:rsidRPr="00DF0DAE">
              <w:rPr>
                <w:b/>
              </w:rPr>
              <w:t>Study ID</w:t>
            </w:r>
          </w:p>
        </w:tc>
        <w:tc>
          <w:tcPr>
            <w:tcW w:w="2268" w:type="dxa"/>
            <w:vMerge w:val="restart"/>
            <w:shd w:val="clear" w:color="auto" w:fill="BFBFBF" w:themeFill="background1" w:themeFillShade="BF"/>
          </w:tcPr>
          <w:p w:rsidR="0075777C" w:rsidRPr="00DF0DAE" w:rsidRDefault="0075777C" w:rsidP="00DF0DAE">
            <w:pPr>
              <w:pStyle w:val="Tabletext"/>
              <w:rPr>
                <w:b/>
              </w:rPr>
            </w:pPr>
            <w:r w:rsidRPr="00DF0DAE">
              <w:rPr>
                <w:b/>
              </w:rPr>
              <w:t>Follow-up period</w:t>
            </w:r>
          </w:p>
          <w:p w:rsidR="0075777C" w:rsidRPr="00DF0DAE" w:rsidRDefault="0075777C" w:rsidP="00DF0DAE">
            <w:pPr>
              <w:pStyle w:val="Tabletext"/>
              <w:rPr>
                <w:b/>
              </w:rPr>
            </w:pPr>
            <w:r w:rsidRPr="00DF0DAE">
              <w:rPr>
                <w:b/>
              </w:rPr>
              <w:t>Prostanoid/ERA</w:t>
            </w:r>
          </w:p>
        </w:tc>
        <w:tc>
          <w:tcPr>
            <w:tcW w:w="4110" w:type="dxa"/>
            <w:gridSpan w:val="2"/>
            <w:shd w:val="clear" w:color="auto" w:fill="BFBFBF" w:themeFill="background1" w:themeFillShade="BF"/>
          </w:tcPr>
          <w:p w:rsidR="0075777C" w:rsidRPr="00DF0DAE" w:rsidRDefault="0075777C" w:rsidP="00DF0DAE">
            <w:pPr>
              <w:pStyle w:val="Tabletext"/>
              <w:jc w:val="center"/>
              <w:rPr>
                <w:b/>
              </w:rPr>
            </w:pPr>
            <w:r w:rsidRPr="00DF0DAE">
              <w:rPr>
                <w:b/>
              </w:rPr>
              <w:t>n/N (%)</w:t>
            </w:r>
          </w:p>
        </w:tc>
        <w:tc>
          <w:tcPr>
            <w:tcW w:w="1701" w:type="dxa"/>
            <w:vMerge w:val="restart"/>
            <w:shd w:val="clear" w:color="auto" w:fill="BFBFBF" w:themeFill="background1" w:themeFillShade="BF"/>
          </w:tcPr>
          <w:p w:rsidR="0075777C" w:rsidRPr="00DF0DAE" w:rsidRDefault="0075777C" w:rsidP="00DF0DAE">
            <w:pPr>
              <w:pStyle w:val="Tabletext"/>
              <w:rPr>
                <w:b/>
              </w:rPr>
            </w:pPr>
            <w:r w:rsidRPr="00DF0DAE">
              <w:rPr>
                <w:b/>
              </w:rPr>
              <w:t>RR (95% CI)</w:t>
            </w:r>
          </w:p>
        </w:tc>
      </w:tr>
      <w:tr w:rsidR="0075777C" w:rsidRPr="00822C52" w:rsidTr="00DF0DAE">
        <w:trPr>
          <w:trHeight w:val="202"/>
          <w:tblHeader/>
        </w:trPr>
        <w:tc>
          <w:tcPr>
            <w:tcW w:w="1555" w:type="dxa"/>
            <w:vMerge/>
            <w:shd w:val="clear" w:color="auto" w:fill="BFBFBF" w:themeFill="background1" w:themeFillShade="BF"/>
          </w:tcPr>
          <w:p w:rsidR="0075777C" w:rsidRPr="00822C52" w:rsidRDefault="0075777C" w:rsidP="00DF0DAE">
            <w:pPr>
              <w:pStyle w:val="Tabletext"/>
            </w:pPr>
          </w:p>
        </w:tc>
        <w:tc>
          <w:tcPr>
            <w:tcW w:w="2268" w:type="dxa"/>
            <w:vMerge/>
            <w:shd w:val="clear" w:color="auto" w:fill="BFBFBF" w:themeFill="background1" w:themeFillShade="BF"/>
          </w:tcPr>
          <w:p w:rsidR="0075777C" w:rsidRPr="00822C52" w:rsidRDefault="0075777C" w:rsidP="00DF0DAE">
            <w:pPr>
              <w:pStyle w:val="Tabletext"/>
            </w:pPr>
          </w:p>
        </w:tc>
        <w:tc>
          <w:tcPr>
            <w:tcW w:w="2055" w:type="dxa"/>
            <w:shd w:val="clear" w:color="auto" w:fill="BFBFBF" w:themeFill="background1" w:themeFillShade="BF"/>
          </w:tcPr>
          <w:p w:rsidR="0075777C" w:rsidRPr="00DF0DAE" w:rsidRDefault="0075777C" w:rsidP="00DF0DAE">
            <w:pPr>
              <w:pStyle w:val="Tabletext"/>
              <w:jc w:val="center"/>
              <w:rPr>
                <w:b/>
              </w:rPr>
            </w:pPr>
            <w:r w:rsidRPr="00DF0DAE">
              <w:rPr>
                <w:b/>
              </w:rPr>
              <w:t>Prostanoid + ERA</w:t>
            </w:r>
          </w:p>
        </w:tc>
        <w:tc>
          <w:tcPr>
            <w:tcW w:w="2055" w:type="dxa"/>
            <w:shd w:val="clear" w:color="auto" w:fill="BFBFBF" w:themeFill="background1" w:themeFillShade="BF"/>
          </w:tcPr>
          <w:p w:rsidR="0075777C" w:rsidRPr="00DF0DAE" w:rsidRDefault="0075777C" w:rsidP="00DF0DAE">
            <w:pPr>
              <w:pStyle w:val="Tabletext"/>
              <w:jc w:val="center"/>
              <w:rPr>
                <w:b/>
              </w:rPr>
            </w:pPr>
            <w:r w:rsidRPr="00DF0DAE">
              <w:rPr>
                <w:b/>
              </w:rPr>
              <w:t>ERA</w:t>
            </w:r>
          </w:p>
        </w:tc>
        <w:tc>
          <w:tcPr>
            <w:tcW w:w="1701" w:type="dxa"/>
            <w:vMerge/>
            <w:shd w:val="clear" w:color="auto" w:fill="BFBFBF" w:themeFill="background1" w:themeFillShade="BF"/>
          </w:tcPr>
          <w:p w:rsidR="0075777C" w:rsidRPr="00822C52" w:rsidRDefault="0075777C" w:rsidP="00DF0DAE">
            <w:pPr>
              <w:pStyle w:val="Tabletext"/>
            </w:pPr>
          </w:p>
        </w:tc>
      </w:tr>
      <w:tr w:rsidR="0075777C" w:rsidRPr="00822C52" w:rsidTr="00534ADA">
        <w:trPr>
          <w:cantSplit/>
          <w:trHeight w:val="70"/>
        </w:trPr>
        <w:tc>
          <w:tcPr>
            <w:tcW w:w="1555" w:type="dxa"/>
          </w:tcPr>
          <w:p w:rsidR="0075777C" w:rsidRDefault="0075777C" w:rsidP="00DF0DAE">
            <w:pPr>
              <w:pStyle w:val="Tabletext"/>
            </w:pPr>
            <w:r w:rsidRPr="00822C52">
              <w:t>COMBI</w:t>
            </w:r>
            <w:r w:rsidR="001D34EE" w:rsidRPr="001A1C44">
              <w:rPr>
                <w:noProof/>
                <w:vertAlign w:val="superscript"/>
              </w:rPr>
              <w:t>36</w:t>
            </w:r>
          </w:p>
          <w:p w:rsidR="00DF0DAE" w:rsidRPr="00822C52" w:rsidRDefault="00DF0DAE" w:rsidP="00DF0DAE">
            <w:pPr>
              <w:pStyle w:val="Tabletext"/>
              <w:rPr>
                <w:rFonts w:cs="Tahoma"/>
              </w:rPr>
            </w:pPr>
            <w:r>
              <w:t>(</w:t>
            </w:r>
            <w:r w:rsidRPr="00822C52">
              <w:t>WHO FC III</w:t>
            </w:r>
            <w:r>
              <w:t>)</w:t>
            </w:r>
          </w:p>
        </w:tc>
        <w:tc>
          <w:tcPr>
            <w:tcW w:w="2268" w:type="dxa"/>
          </w:tcPr>
          <w:p w:rsidR="0075777C" w:rsidRPr="00822C52" w:rsidRDefault="0075777C" w:rsidP="00DF0DAE">
            <w:pPr>
              <w:pStyle w:val="Tabletext"/>
            </w:pPr>
            <w:r w:rsidRPr="00822C52">
              <w:t>Iloprost/bosentan</w:t>
            </w:r>
          </w:p>
          <w:p w:rsidR="0075777C" w:rsidRPr="00DF0DAE" w:rsidRDefault="00DF0DAE" w:rsidP="00DF0DAE">
            <w:pPr>
              <w:pStyle w:val="Tabletext"/>
            </w:pPr>
            <w:r>
              <w:t>16 weeks</w:t>
            </w:r>
          </w:p>
        </w:tc>
        <w:tc>
          <w:tcPr>
            <w:tcW w:w="2055" w:type="dxa"/>
          </w:tcPr>
          <w:p w:rsidR="0075777C" w:rsidRPr="00822C52" w:rsidRDefault="0075777C" w:rsidP="00DF0DAE">
            <w:pPr>
              <w:pStyle w:val="Tabletext"/>
              <w:jc w:val="center"/>
              <w:rPr>
                <w:rFonts w:cs="Tahoma"/>
              </w:rPr>
            </w:pPr>
            <w:r w:rsidRPr="00822C52">
              <w:rPr>
                <w:rFonts w:cs="Tahoma"/>
              </w:rPr>
              <w:t>0/1</w:t>
            </w:r>
            <w:r>
              <w:rPr>
                <w:rFonts w:cs="Tahoma"/>
              </w:rPr>
              <w:t>9</w:t>
            </w:r>
            <w:r w:rsidRPr="00822C52">
              <w:rPr>
                <w:rFonts w:cs="Tahoma"/>
              </w:rPr>
              <w:t xml:space="preserve"> (0%)</w:t>
            </w:r>
          </w:p>
        </w:tc>
        <w:tc>
          <w:tcPr>
            <w:tcW w:w="2055" w:type="dxa"/>
          </w:tcPr>
          <w:p w:rsidR="0075777C" w:rsidRPr="00822C52" w:rsidRDefault="0075777C" w:rsidP="00DF0DAE">
            <w:pPr>
              <w:pStyle w:val="Tabletext"/>
              <w:jc w:val="center"/>
              <w:rPr>
                <w:rFonts w:cs="Tahoma"/>
              </w:rPr>
            </w:pPr>
            <w:r>
              <w:rPr>
                <w:rFonts w:cs="Tahoma"/>
              </w:rPr>
              <w:t>0</w:t>
            </w:r>
            <w:r w:rsidRPr="00822C52">
              <w:rPr>
                <w:rFonts w:cs="Tahoma"/>
              </w:rPr>
              <w:t>/</w:t>
            </w:r>
            <w:r>
              <w:rPr>
                <w:rFonts w:cs="Tahoma"/>
              </w:rPr>
              <w:t>2</w:t>
            </w:r>
            <w:r w:rsidRPr="00822C52">
              <w:rPr>
                <w:rFonts w:cs="Tahoma"/>
              </w:rPr>
              <w:t>1 (</w:t>
            </w:r>
            <w:r>
              <w:rPr>
                <w:rFonts w:cs="Tahoma"/>
              </w:rPr>
              <w:t>0</w:t>
            </w:r>
            <w:r w:rsidRPr="00822C52">
              <w:rPr>
                <w:rFonts w:cs="Tahoma"/>
              </w:rPr>
              <w:t>%)</w:t>
            </w:r>
          </w:p>
        </w:tc>
        <w:tc>
          <w:tcPr>
            <w:tcW w:w="1701" w:type="dxa"/>
          </w:tcPr>
          <w:p w:rsidR="0075777C" w:rsidRPr="00822C52" w:rsidRDefault="0075777C" w:rsidP="00DF0DAE">
            <w:pPr>
              <w:pStyle w:val="Tabletext"/>
              <w:rPr>
                <w:rFonts w:cs="Tahoma"/>
              </w:rPr>
            </w:pPr>
            <w:r>
              <w:rPr>
                <w:rFonts w:cs="Tahoma"/>
              </w:rPr>
              <w:t>Not calculable</w:t>
            </w:r>
          </w:p>
        </w:tc>
      </w:tr>
      <w:tr w:rsidR="0075777C" w:rsidRPr="00822C52" w:rsidTr="00DF0DAE">
        <w:trPr>
          <w:trHeight w:val="70"/>
        </w:trPr>
        <w:tc>
          <w:tcPr>
            <w:tcW w:w="1555" w:type="dxa"/>
          </w:tcPr>
          <w:p w:rsidR="0075777C" w:rsidRDefault="0075777C" w:rsidP="00DF0DAE">
            <w:pPr>
              <w:pStyle w:val="Tabletext"/>
            </w:pPr>
            <w:r w:rsidRPr="00822C52">
              <w:t>STEP</w:t>
            </w:r>
            <w:r w:rsidR="001D34EE" w:rsidRPr="001A1C44">
              <w:rPr>
                <w:noProof/>
                <w:vertAlign w:val="superscript"/>
              </w:rPr>
              <w:t>48</w:t>
            </w:r>
            <w:r w:rsidR="004B50B3" w:rsidRPr="00E03CA3">
              <w:rPr>
                <w:rFonts w:cs="Tahoma"/>
                <w:vertAlign w:val="superscript"/>
              </w:rPr>
              <w:t xml:space="preserve"> a</w:t>
            </w:r>
          </w:p>
          <w:p w:rsidR="00DF0DAE" w:rsidRPr="00822C52" w:rsidRDefault="00DF0DAE" w:rsidP="006B4B22">
            <w:pPr>
              <w:pStyle w:val="Tabletext"/>
              <w:rPr>
                <w:rFonts w:cs="Tahoma"/>
              </w:rPr>
            </w:pPr>
            <w:r>
              <w:t>(</w:t>
            </w:r>
            <w:r w:rsidR="006B4B22">
              <w:t>WHO</w:t>
            </w:r>
            <w:r>
              <w:t xml:space="preserve"> FC III/IV)</w:t>
            </w:r>
          </w:p>
        </w:tc>
        <w:tc>
          <w:tcPr>
            <w:tcW w:w="2268" w:type="dxa"/>
          </w:tcPr>
          <w:p w:rsidR="0075777C" w:rsidRPr="00822C52" w:rsidRDefault="0075777C" w:rsidP="00DF0DAE">
            <w:pPr>
              <w:pStyle w:val="Tabletext"/>
            </w:pPr>
            <w:r w:rsidRPr="00822C52">
              <w:t>Iloprost/bosentan</w:t>
            </w:r>
          </w:p>
          <w:p w:rsidR="0075777C" w:rsidRPr="00DF0DAE" w:rsidRDefault="0075777C" w:rsidP="00DF0DAE">
            <w:pPr>
              <w:pStyle w:val="Tabletext"/>
            </w:pPr>
            <w:r w:rsidRPr="00822C52">
              <w:t>12 weeks</w:t>
            </w:r>
          </w:p>
        </w:tc>
        <w:tc>
          <w:tcPr>
            <w:tcW w:w="2055" w:type="dxa"/>
          </w:tcPr>
          <w:p w:rsidR="0075777C" w:rsidRPr="00822C52" w:rsidRDefault="0075777C" w:rsidP="00DF0DAE">
            <w:pPr>
              <w:pStyle w:val="Tabletext"/>
              <w:jc w:val="center"/>
              <w:rPr>
                <w:rFonts w:cs="Tahoma"/>
                <w:highlight w:val="cyan"/>
              </w:rPr>
            </w:pPr>
            <w:r w:rsidRPr="00822C52">
              <w:rPr>
                <w:rFonts w:cs="Tahoma"/>
              </w:rPr>
              <w:t>0/32 (0%)</w:t>
            </w:r>
          </w:p>
        </w:tc>
        <w:tc>
          <w:tcPr>
            <w:tcW w:w="2055" w:type="dxa"/>
          </w:tcPr>
          <w:p w:rsidR="0075777C" w:rsidRPr="00822C52" w:rsidRDefault="0075777C" w:rsidP="004B50B3">
            <w:pPr>
              <w:pStyle w:val="Tabletext"/>
              <w:jc w:val="center"/>
              <w:rPr>
                <w:rFonts w:cs="Tahoma"/>
                <w:highlight w:val="cyan"/>
              </w:rPr>
            </w:pPr>
            <w:r>
              <w:rPr>
                <w:rFonts w:cs="Tahoma"/>
              </w:rPr>
              <w:t>0</w:t>
            </w:r>
            <w:r w:rsidRPr="00822C52">
              <w:rPr>
                <w:rFonts w:cs="Tahoma"/>
              </w:rPr>
              <w:t>/33 (</w:t>
            </w:r>
            <w:r>
              <w:rPr>
                <w:rFonts w:cs="Tahoma"/>
              </w:rPr>
              <w:t>0</w:t>
            </w:r>
            <w:r w:rsidRPr="00822C52">
              <w:rPr>
                <w:rFonts w:cs="Tahoma"/>
              </w:rPr>
              <w:t>%)</w:t>
            </w:r>
          </w:p>
        </w:tc>
        <w:tc>
          <w:tcPr>
            <w:tcW w:w="1701" w:type="dxa"/>
          </w:tcPr>
          <w:p w:rsidR="0075777C" w:rsidRPr="00822C52" w:rsidRDefault="0075777C" w:rsidP="00DF0DAE">
            <w:pPr>
              <w:pStyle w:val="Tabletext"/>
              <w:rPr>
                <w:rFonts w:cs="Tahoma"/>
                <w:highlight w:val="cyan"/>
              </w:rPr>
            </w:pPr>
            <w:r>
              <w:rPr>
                <w:rFonts w:cs="Tahoma"/>
              </w:rPr>
              <w:t>Not calculable</w:t>
            </w:r>
          </w:p>
        </w:tc>
      </w:tr>
    </w:tbl>
    <w:p w:rsidR="0075777C" w:rsidRDefault="0075777C" w:rsidP="00DF0DAE">
      <w:pPr>
        <w:pStyle w:val="Tablenote"/>
      </w:pPr>
      <w:r w:rsidRPr="00E03CA3">
        <w:rPr>
          <w:vertAlign w:val="superscript"/>
        </w:rPr>
        <w:t>a</w:t>
      </w:r>
      <w:r>
        <w:rPr>
          <w:vertAlign w:val="superscript"/>
        </w:rPr>
        <w:t xml:space="preserve"> </w:t>
      </w:r>
      <w:r>
        <w:t xml:space="preserve">One patient in the monotherapy group had </w:t>
      </w:r>
      <w:r w:rsidR="006B4B22">
        <w:t>WHO</w:t>
      </w:r>
      <w:r>
        <w:t xml:space="preserve"> FC II PAH</w:t>
      </w:r>
    </w:p>
    <w:p w:rsidR="0075777C" w:rsidRPr="00822C52" w:rsidRDefault="0075777C" w:rsidP="00DF0DAE">
      <w:pPr>
        <w:pStyle w:val="Tablenote"/>
      </w:pPr>
      <w:r w:rsidRPr="00822C52">
        <w:lastRenderedPageBreak/>
        <w:t xml:space="preserve">CI = confidence interval; </w:t>
      </w:r>
      <w:r w:rsidRPr="007973E4">
        <w:t xml:space="preserve">ERA = endothelin receptor antagonist; </w:t>
      </w:r>
      <w:r w:rsidR="001E16B8">
        <w:t xml:space="preserve">FC = functional class; </w:t>
      </w:r>
      <w:r w:rsidRPr="00822C52">
        <w:t xml:space="preserve">n = number of </w:t>
      </w:r>
      <w:r w:rsidR="001E16B8">
        <w:t xml:space="preserve">patients with </w:t>
      </w:r>
      <w:r w:rsidRPr="00822C52">
        <w:t>events; N = number of patients; PAH = pulmonary arterial hypertension; RR = relative risk</w:t>
      </w:r>
      <w:r>
        <w:t>; WHO = World Health Organization</w:t>
      </w:r>
    </w:p>
    <w:p w:rsidR="0075777C" w:rsidRPr="00822C52" w:rsidRDefault="002E4833" w:rsidP="0075777C">
      <w:pPr>
        <w:pStyle w:val="Heading5"/>
      </w:pPr>
      <w:r>
        <w:t>c.</w:t>
      </w:r>
      <w:r w:rsidR="00761752">
        <w:tab/>
      </w:r>
      <w:r w:rsidR="00C828F9" w:rsidRPr="006316DF">
        <w:t>Hospitalisation</w:t>
      </w:r>
      <w:r w:rsidR="00C828F9" w:rsidRPr="0046652B">
        <w:t xml:space="preserve"> due to worsening PAH</w:t>
      </w:r>
    </w:p>
    <w:p w:rsidR="0075777C" w:rsidRPr="00822C52" w:rsidRDefault="002E4833" w:rsidP="0077344D">
      <w:pPr>
        <w:pStyle w:val="Heading6"/>
      </w:pPr>
      <w:r>
        <w:t>c</w:t>
      </w:r>
      <w:r w:rsidR="0075777C" w:rsidRPr="00822C52">
        <w:t>.ii</w:t>
      </w:r>
      <w:r w:rsidR="0075777C" w:rsidRPr="00822C52">
        <w:tab/>
        <w:t>PAH patients with FC III or IV</w:t>
      </w:r>
    </w:p>
    <w:p w:rsidR="0075777C" w:rsidRDefault="0075777C" w:rsidP="0075777C">
      <w:r w:rsidRPr="00197602">
        <w:t xml:space="preserve">The COMBI trial reported that no patients </w:t>
      </w:r>
      <w:r>
        <w:t xml:space="preserve">were hospitalised for </w:t>
      </w:r>
      <w:r w:rsidR="000D36D2">
        <w:t xml:space="preserve">worsening </w:t>
      </w:r>
      <w:r>
        <w:t>PAH</w:t>
      </w:r>
      <w:r w:rsidRPr="00197602">
        <w:t xml:space="preserve"> during the study period and the STEP study </w:t>
      </w:r>
      <w:r>
        <w:t>reported that four patients in the monotherapy group were hospitalised for worsening PAH (</w:t>
      </w:r>
      <w:r w:rsidR="00AA722D">
        <w:t>Table 4.</w:t>
      </w:r>
      <w:r w:rsidR="00AA722D">
        <w:rPr>
          <w:noProof/>
        </w:rPr>
        <w:t>80</w:t>
      </w:r>
      <w:r>
        <w:t>). As no patients in the combination therapy group died, the RR could not be calculated (</w:t>
      </w:r>
      <w:r w:rsidR="00C035C0">
        <w:t xml:space="preserve">pooled </w:t>
      </w:r>
      <w:r w:rsidR="00B21201">
        <w:t>ARD</w:t>
      </w:r>
      <w:r w:rsidR="00B60655">
        <w:t> </w:t>
      </w:r>
      <w:r w:rsidRPr="00707847">
        <w:t>=</w:t>
      </w:r>
      <w:r w:rsidR="00B60655">
        <w:t> </w:t>
      </w:r>
      <w:r>
        <w:t>−</w:t>
      </w:r>
      <w:r w:rsidR="00C035C0">
        <w:t>5.5</w:t>
      </w:r>
      <w:r>
        <w:t>%; 95% CI −</w:t>
      </w:r>
      <w:r w:rsidR="00C035C0">
        <w:t>18.9</w:t>
      </w:r>
      <w:r>
        <w:t xml:space="preserve">, </w:t>
      </w:r>
      <w:r w:rsidR="00C035C0">
        <w:t>7.8</w:t>
      </w:r>
      <w:r>
        <w:t>; p</w:t>
      </w:r>
      <w:r w:rsidR="00B60655">
        <w:t> </w:t>
      </w:r>
      <w:r>
        <w:t>=</w:t>
      </w:r>
      <w:r w:rsidR="00B60655">
        <w:t> </w:t>
      </w:r>
      <w:r>
        <w:t>0.0</w:t>
      </w:r>
      <w:r w:rsidR="00C035C0">
        <w:t>8</w:t>
      </w:r>
      <w:r>
        <w:t xml:space="preserve">). Thus, </w:t>
      </w:r>
      <w:r w:rsidR="004510DE">
        <w:t>19</w:t>
      </w:r>
      <w:r>
        <w:t xml:space="preserve"> patients with WHO FC III/IV PAH need to be treated with </w:t>
      </w:r>
      <w:r w:rsidR="00DF0DAE">
        <w:t>prostanoid</w:t>
      </w:r>
      <w:r>
        <w:t xml:space="preserve"> plus ERA combination therapy to avoid hospitalisation in one additional patient compared with ERA monotherapy.</w:t>
      </w:r>
    </w:p>
    <w:p w:rsidR="0075777C" w:rsidRPr="00DD7790" w:rsidRDefault="00272F8F" w:rsidP="00BC5A2B">
      <w:pPr>
        <w:pStyle w:val="Caption"/>
      </w:pPr>
      <w:bookmarkStart w:id="247" w:name="_Ref504656759"/>
      <w:bookmarkStart w:id="248" w:name="_Toc512855484"/>
      <w:r>
        <w:t>Table 4.</w:t>
      </w:r>
      <w:r w:rsidR="00AA722D">
        <w:rPr>
          <w:noProof/>
        </w:rPr>
        <w:t>80</w:t>
      </w:r>
      <w:bookmarkEnd w:id="247"/>
      <w:r w:rsidR="00DF0DAE">
        <w:tab/>
      </w:r>
      <w:r w:rsidR="0075777C">
        <w:t xml:space="preserve">Hospitalisation </w:t>
      </w:r>
      <w:r w:rsidR="00881371">
        <w:t>due to PAH</w:t>
      </w:r>
      <w:r w:rsidR="00881371" w:rsidRPr="00DD7790">
        <w:t xml:space="preserve"> </w:t>
      </w:r>
      <w:r w:rsidR="0075777C" w:rsidRPr="00DD7790">
        <w:t xml:space="preserve">for </w:t>
      </w:r>
      <w:r w:rsidR="007E59EC">
        <w:t xml:space="preserve">a prostanoid in addition to an ERA compared with </w:t>
      </w:r>
      <w:r w:rsidR="007E59EC" w:rsidRPr="00DD7790">
        <w:t xml:space="preserve">ERA </w:t>
      </w:r>
      <w:r w:rsidR="007E59EC">
        <w:t>monotherapy</w:t>
      </w:r>
      <w:r w:rsidR="007E59EC" w:rsidRPr="000B5733">
        <w:t xml:space="preserve"> </w:t>
      </w:r>
      <w:r w:rsidR="0075777C" w:rsidRPr="000B5733">
        <w:t>in patients with WHO FC III/IV PAH</w:t>
      </w:r>
      <w:bookmarkEnd w:id="248"/>
    </w:p>
    <w:tbl>
      <w:tblPr>
        <w:tblStyle w:val="TableGrid7"/>
        <w:tblW w:w="9634" w:type="dxa"/>
        <w:tblLayout w:type="fixed"/>
        <w:tblLook w:val="04A0" w:firstRow="1" w:lastRow="0" w:firstColumn="1" w:lastColumn="0" w:noHBand="0" w:noVBand="1"/>
        <w:tblCaption w:val="Hospitalisation due to PAH for a prostanoid in addition to an ERA compared with ERA monotherapy in patients with WHO FC III/IV PAH"/>
      </w:tblPr>
      <w:tblGrid>
        <w:gridCol w:w="1413"/>
        <w:gridCol w:w="1843"/>
        <w:gridCol w:w="2197"/>
        <w:gridCol w:w="2197"/>
        <w:gridCol w:w="1984"/>
      </w:tblGrid>
      <w:tr w:rsidR="0075777C" w:rsidRPr="00822C52" w:rsidTr="00DF0DAE">
        <w:trPr>
          <w:trHeight w:val="298"/>
          <w:tblHeader/>
        </w:trPr>
        <w:tc>
          <w:tcPr>
            <w:tcW w:w="1413" w:type="dxa"/>
            <w:vMerge w:val="restart"/>
            <w:shd w:val="clear" w:color="auto" w:fill="BFBFBF" w:themeFill="background1" w:themeFillShade="BF"/>
          </w:tcPr>
          <w:p w:rsidR="0075777C" w:rsidRPr="00DF0DAE" w:rsidRDefault="0075777C" w:rsidP="00DF0DAE">
            <w:pPr>
              <w:pStyle w:val="Tabletext"/>
              <w:rPr>
                <w:b/>
              </w:rPr>
            </w:pPr>
            <w:r w:rsidRPr="00DF0DAE">
              <w:rPr>
                <w:b/>
              </w:rPr>
              <w:t>Study ID</w:t>
            </w:r>
          </w:p>
        </w:tc>
        <w:tc>
          <w:tcPr>
            <w:tcW w:w="1843" w:type="dxa"/>
            <w:vMerge w:val="restart"/>
            <w:shd w:val="clear" w:color="auto" w:fill="BFBFBF" w:themeFill="background1" w:themeFillShade="BF"/>
          </w:tcPr>
          <w:p w:rsidR="0075777C" w:rsidRPr="00DF0DAE" w:rsidRDefault="0075777C" w:rsidP="00DF0DAE">
            <w:pPr>
              <w:pStyle w:val="Tabletext"/>
              <w:rPr>
                <w:b/>
              </w:rPr>
            </w:pPr>
            <w:r w:rsidRPr="00DF0DAE">
              <w:rPr>
                <w:b/>
              </w:rPr>
              <w:t>Follow-up period</w:t>
            </w:r>
          </w:p>
          <w:p w:rsidR="0075777C" w:rsidRPr="00DF0DAE" w:rsidRDefault="0075777C" w:rsidP="00DF0DAE">
            <w:pPr>
              <w:pStyle w:val="Tabletext"/>
              <w:rPr>
                <w:b/>
              </w:rPr>
            </w:pPr>
            <w:r w:rsidRPr="00DF0DAE">
              <w:rPr>
                <w:b/>
              </w:rPr>
              <w:t>Prostanoid/ERA</w:t>
            </w:r>
          </w:p>
        </w:tc>
        <w:tc>
          <w:tcPr>
            <w:tcW w:w="4394" w:type="dxa"/>
            <w:gridSpan w:val="2"/>
            <w:shd w:val="clear" w:color="auto" w:fill="BFBFBF" w:themeFill="background1" w:themeFillShade="BF"/>
          </w:tcPr>
          <w:p w:rsidR="0075777C" w:rsidRPr="00DF0DAE" w:rsidRDefault="0075777C" w:rsidP="00DF0DAE">
            <w:pPr>
              <w:pStyle w:val="Tabletext"/>
              <w:jc w:val="center"/>
              <w:rPr>
                <w:b/>
              </w:rPr>
            </w:pPr>
            <w:r w:rsidRPr="00DF0DAE">
              <w:rPr>
                <w:b/>
              </w:rPr>
              <w:t>n/N (%)</w:t>
            </w:r>
          </w:p>
        </w:tc>
        <w:tc>
          <w:tcPr>
            <w:tcW w:w="1984" w:type="dxa"/>
            <w:vMerge w:val="restart"/>
            <w:shd w:val="clear" w:color="auto" w:fill="BFBFBF" w:themeFill="background1" w:themeFillShade="BF"/>
          </w:tcPr>
          <w:p w:rsidR="0075777C" w:rsidRPr="00DF0DAE" w:rsidRDefault="0075777C" w:rsidP="00DF0DAE">
            <w:pPr>
              <w:pStyle w:val="Tabletext"/>
              <w:rPr>
                <w:b/>
              </w:rPr>
            </w:pPr>
            <w:r w:rsidRPr="00DF0DAE">
              <w:rPr>
                <w:b/>
              </w:rPr>
              <w:t>RR (95% CI)</w:t>
            </w:r>
          </w:p>
        </w:tc>
      </w:tr>
      <w:tr w:rsidR="0075777C" w:rsidRPr="00822C52" w:rsidTr="00DF0DAE">
        <w:trPr>
          <w:trHeight w:val="202"/>
          <w:tblHeader/>
        </w:trPr>
        <w:tc>
          <w:tcPr>
            <w:tcW w:w="1413" w:type="dxa"/>
            <w:vMerge/>
            <w:shd w:val="clear" w:color="auto" w:fill="BFBFBF" w:themeFill="background1" w:themeFillShade="BF"/>
          </w:tcPr>
          <w:p w:rsidR="0075777C" w:rsidRPr="00822C52" w:rsidRDefault="0075777C" w:rsidP="00DF0DAE">
            <w:pPr>
              <w:pStyle w:val="Tabletext"/>
            </w:pPr>
          </w:p>
        </w:tc>
        <w:tc>
          <w:tcPr>
            <w:tcW w:w="1843" w:type="dxa"/>
            <w:vMerge/>
            <w:shd w:val="clear" w:color="auto" w:fill="BFBFBF" w:themeFill="background1" w:themeFillShade="BF"/>
          </w:tcPr>
          <w:p w:rsidR="0075777C" w:rsidRPr="00822C52" w:rsidRDefault="0075777C" w:rsidP="00DF0DAE">
            <w:pPr>
              <w:pStyle w:val="Tabletext"/>
            </w:pPr>
          </w:p>
        </w:tc>
        <w:tc>
          <w:tcPr>
            <w:tcW w:w="2197" w:type="dxa"/>
            <w:shd w:val="clear" w:color="auto" w:fill="BFBFBF" w:themeFill="background1" w:themeFillShade="BF"/>
          </w:tcPr>
          <w:p w:rsidR="0075777C" w:rsidRPr="00DF0DAE" w:rsidRDefault="0075777C" w:rsidP="00DF0DAE">
            <w:pPr>
              <w:pStyle w:val="Tabletext"/>
              <w:jc w:val="center"/>
              <w:rPr>
                <w:b/>
              </w:rPr>
            </w:pPr>
            <w:r w:rsidRPr="00DF0DAE">
              <w:rPr>
                <w:b/>
              </w:rPr>
              <w:t>Prostanoid + ERA</w:t>
            </w:r>
          </w:p>
        </w:tc>
        <w:tc>
          <w:tcPr>
            <w:tcW w:w="2197" w:type="dxa"/>
            <w:shd w:val="clear" w:color="auto" w:fill="BFBFBF" w:themeFill="background1" w:themeFillShade="BF"/>
          </w:tcPr>
          <w:p w:rsidR="0075777C" w:rsidRPr="00DF0DAE" w:rsidRDefault="0075777C" w:rsidP="00DF0DAE">
            <w:pPr>
              <w:pStyle w:val="Tabletext"/>
              <w:jc w:val="center"/>
              <w:rPr>
                <w:b/>
              </w:rPr>
            </w:pPr>
            <w:r w:rsidRPr="00DF0DAE">
              <w:rPr>
                <w:b/>
              </w:rPr>
              <w:t>ERA</w:t>
            </w:r>
          </w:p>
        </w:tc>
        <w:tc>
          <w:tcPr>
            <w:tcW w:w="1984" w:type="dxa"/>
            <w:vMerge/>
            <w:shd w:val="clear" w:color="auto" w:fill="BFBFBF" w:themeFill="background1" w:themeFillShade="BF"/>
          </w:tcPr>
          <w:p w:rsidR="0075777C" w:rsidRPr="00822C52" w:rsidRDefault="0075777C" w:rsidP="00DF0DAE">
            <w:pPr>
              <w:pStyle w:val="Tabletext"/>
            </w:pPr>
          </w:p>
        </w:tc>
      </w:tr>
      <w:tr w:rsidR="00DF0DAE" w:rsidRPr="00822C52" w:rsidTr="00DF0DAE">
        <w:trPr>
          <w:trHeight w:val="70"/>
        </w:trPr>
        <w:tc>
          <w:tcPr>
            <w:tcW w:w="1413" w:type="dxa"/>
          </w:tcPr>
          <w:p w:rsidR="00DF0DAE" w:rsidRDefault="00DF0DAE" w:rsidP="00DF0DAE">
            <w:pPr>
              <w:pStyle w:val="Tabletext"/>
            </w:pPr>
            <w:r w:rsidRPr="00822C52">
              <w:t>COMBI</w:t>
            </w:r>
            <w:r w:rsidR="001D34EE" w:rsidRPr="001A1C44">
              <w:rPr>
                <w:noProof/>
                <w:vertAlign w:val="superscript"/>
              </w:rPr>
              <w:t>36</w:t>
            </w:r>
          </w:p>
          <w:p w:rsidR="00DF0DAE" w:rsidRPr="00822C52" w:rsidRDefault="00DF0DAE" w:rsidP="00DF0DAE">
            <w:pPr>
              <w:pStyle w:val="Tabletext"/>
              <w:rPr>
                <w:rFonts w:cs="Tahoma"/>
              </w:rPr>
            </w:pPr>
            <w:r>
              <w:t>(</w:t>
            </w:r>
            <w:r w:rsidRPr="00822C52">
              <w:t>WHO FC III</w:t>
            </w:r>
            <w:r>
              <w:t>)</w:t>
            </w:r>
          </w:p>
        </w:tc>
        <w:tc>
          <w:tcPr>
            <w:tcW w:w="1843" w:type="dxa"/>
          </w:tcPr>
          <w:p w:rsidR="00DF0DAE" w:rsidRPr="00822C52" w:rsidRDefault="00DF0DAE" w:rsidP="00DF0DAE">
            <w:pPr>
              <w:pStyle w:val="Tabletext"/>
            </w:pPr>
            <w:r w:rsidRPr="00822C52">
              <w:t>Iloprost/bosentan</w:t>
            </w:r>
          </w:p>
          <w:p w:rsidR="00DF0DAE" w:rsidRPr="00DF0DAE" w:rsidRDefault="00DF0DAE" w:rsidP="00DF0DAE">
            <w:pPr>
              <w:pStyle w:val="Tabletext"/>
            </w:pPr>
            <w:r>
              <w:t>16 weeks</w:t>
            </w:r>
          </w:p>
        </w:tc>
        <w:tc>
          <w:tcPr>
            <w:tcW w:w="2197" w:type="dxa"/>
          </w:tcPr>
          <w:p w:rsidR="00DF0DAE" w:rsidRPr="00822C52" w:rsidRDefault="00DF0DAE" w:rsidP="00DF0DAE">
            <w:pPr>
              <w:pStyle w:val="Tabletext"/>
              <w:jc w:val="center"/>
              <w:rPr>
                <w:rFonts w:cs="Tahoma"/>
              </w:rPr>
            </w:pPr>
            <w:r w:rsidRPr="00822C52">
              <w:rPr>
                <w:rFonts w:cs="Tahoma"/>
              </w:rPr>
              <w:t>0/1</w:t>
            </w:r>
            <w:r>
              <w:rPr>
                <w:rFonts w:cs="Tahoma"/>
              </w:rPr>
              <w:t>9</w:t>
            </w:r>
            <w:r w:rsidRPr="00822C52">
              <w:rPr>
                <w:rFonts w:cs="Tahoma"/>
              </w:rPr>
              <w:t xml:space="preserve"> (0%)</w:t>
            </w:r>
          </w:p>
        </w:tc>
        <w:tc>
          <w:tcPr>
            <w:tcW w:w="2197" w:type="dxa"/>
          </w:tcPr>
          <w:p w:rsidR="00DF0DAE" w:rsidRPr="00822C52" w:rsidRDefault="00DF0DAE" w:rsidP="00DF0DAE">
            <w:pPr>
              <w:pStyle w:val="Tabletext"/>
              <w:jc w:val="center"/>
              <w:rPr>
                <w:rFonts w:cs="Tahoma"/>
              </w:rPr>
            </w:pPr>
            <w:r>
              <w:rPr>
                <w:rFonts w:cs="Tahoma"/>
              </w:rPr>
              <w:t>0</w:t>
            </w:r>
            <w:r w:rsidRPr="00822C52">
              <w:rPr>
                <w:rFonts w:cs="Tahoma"/>
              </w:rPr>
              <w:t>/</w:t>
            </w:r>
            <w:r>
              <w:rPr>
                <w:rFonts w:cs="Tahoma"/>
              </w:rPr>
              <w:t>2</w:t>
            </w:r>
            <w:r w:rsidRPr="00822C52">
              <w:rPr>
                <w:rFonts w:cs="Tahoma"/>
              </w:rPr>
              <w:t>1 (</w:t>
            </w:r>
            <w:r>
              <w:rPr>
                <w:rFonts w:cs="Tahoma"/>
              </w:rPr>
              <w:t>0</w:t>
            </w:r>
            <w:r w:rsidRPr="00822C52">
              <w:rPr>
                <w:rFonts w:cs="Tahoma"/>
              </w:rPr>
              <w:t>%)</w:t>
            </w:r>
          </w:p>
        </w:tc>
        <w:tc>
          <w:tcPr>
            <w:tcW w:w="1984" w:type="dxa"/>
          </w:tcPr>
          <w:p w:rsidR="00DF0DAE" w:rsidRPr="00822C52" w:rsidRDefault="00DF0DAE" w:rsidP="00DF0DAE">
            <w:pPr>
              <w:pStyle w:val="Tabletext"/>
              <w:rPr>
                <w:rFonts w:cs="Tahoma"/>
              </w:rPr>
            </w:pPr>
            <w:r>
              <w:rPr>
                <w:rFonts w:cs="Tahoma"/>
              </w:rPr>
              <w:t>Not calculable</w:t>
            </w:r>
          </w:p>
        </w:tc>
      </w:tr>
      <w:tr w:rsidR="00DF0DAE" w:rsidRPr="00822C52" w:rsidTr="00DF0DAE">
        <w:trPr>
          <w:trHeight w:val="70"/>
        </w:trPr>
        <w:tc>
          <w:tcPr>
            <w:tcW w:w="1413" w:type="dxa"/>
          </w:tcPr>
          <w:p w:rsidR="00DF0DAE" w:rsidRDefault="00DF0DAE" w:rsidP="00DF0DAE">
            <w:pPr>
              <w:pStyle w:val="Tabletext"/>
            </w:pPr>
            <w:r w:rsidRPr="00822C52">
              <w:t>STEP</w:t>
            </w:r>
            <w:r w:rsidR="001D34EE" w:rsidRPr="001A1C44">
              <w:rPr>
                <w:noProof/>
                <w:vertAlign w:val="superscript"/>
              </w:rPr>
              <w:t>48</w:t>
            </w:r>
          </w:p>
          <w:p w:rsidR="00DF0DAE" w:rsidRPr="00822C52" w:rsidRDefault="00DF0DAE" w:rsidP="006B4B22">
            <w:pPr>
              <w:pStyle w:val="Tabletext"/>
            </w:pPr>
            <w:r>
              <w:t>(</w:t>
            </w:r>
            <w:r w:rsidR="006B4B22">
              <w:t xml:space="preserve">WHO </w:t>
            </w:r>
            <w:r>
              <w:t>FC III/IV)</w:t>
            </w:r>
          </w:p>
        </w:tc>
        <w:tc>
          <w:tcPr>
            <w:tcW w:w="1843" w:type="dxa"/>
          </w:tcPr>
          <w:p w:rsidR="00DF0DAE" w:rsidRPr="00822C52" w:rsidRDefault="00DF0DAE" w:rsidP="00DF0DAE">
            <w:pPr>
              <w:pStyle w:val="Tabletext"/>
            </w:pPr>
            <w:r w:rsidRPr="00822C52">
              <w:t>Iloprost/bosentan</w:t>
            </w:r>
          </w:p>
          <w:p w:rsidR="00DF0DAE" w:rsidRPr="00822C52" w:rsidRDefault="00DF0DAE" w:rsidP="00DF0DAE">
            <w:pPr>
              <w:pStyle w:val="Tabletext"/>
            </w:pPr>
            <w:r w:rsidRPr="00822C52">
              <w:t>12 weeks</w:t>
            </w:r>
          </w:p>
        </w:tc>
        <w:tc>
          <w:tcPr>
            <w:tcW w:w="2197" w:type="dxa"/>
          </w:tcPr>
          <w:p w:rsidR="00DF0DAE" w:rsidRPr="00822C52" w:rsidRDefault="00DF0DAE" w:rsidP="00DF0DAE">
            <w:pPr>
              <w:pStyle w:val="Tabletext"/>
              <w:jc w:val="center"/>
              <w:rPr>
                <w:rFonts w:cs="Tahoma"/>
              </w:rPr>
            </w:pPr>
            <w:r w:rsidRPr="00822C52">
              <w:rPr>
                <w:rFonts w:cs="Tahoma"/>
              </w:rPr>
              <w:t>0/32 (0%)</w:t>
            </w:r>
          </w:p>
        </w:tc>
        <w:tc>
          <w:tcPr>
            <w:tcW w:w="2197" w:type="dxa"/>
          </w:tcPr>
          <w:p w:rsidR="00DF0DAE" w:rsidRDefault="00DF0DAE" w:rsidP="00DF0DAE">
            <w:pPr>
              <w:pStyle w:val="Tabletext"/>
              <w:jc w:val="center"/>
              <w:rPr>
                <w:rFonts w:cs="Tahoma"/>
              </w:rPr>
            </w:pPr>
            <w:r>
              <w:rPr>
                <w:rFonts w:cs="Tahoma"/>
              </w:rPr>
              <w:t>4</w:t>
            </w:r>
            <w:r w:rsidRPr="00822C52">
              <w:rPr>
                <w:rFonts w:cs="Tahoma"/>
              </w:rPr>
              <w:t>/33 (</w:t>
            </w:r>
            <w:r>
              <w:rPr>
                <w:rFonts w:cs="Tahoma"/>
              </w:rPr>
              <w:t>12</w:t>
            </w:r>
            <w:r w:rsidRPr="00822C52">
              <w:rPr>
                <w:rFonts w:cs="Tahoma"/>
              </w:rPr>
              <w:t>%)</w:t>
            </w:r>
            <w:r w:rsidRPr="00E03CA3">
              <w:rPr>
                <w:rFonts w:cs="Tahoma"/>
                <w:vertAlign w:val="superscript"/>
              </w:rPr>
              <w:t>a</w:t>
            </w:r>
          </w:p>
        </w:tc>
        <w:tc>
          <w:tcPr>
            <w:tcW w:w="1984" w:type="dxa"/>
          </w:tcPr>
          <w:p w:rsidR="00DF0DAE" w:rsidRDefault="00DF0DAE" w:rsidP="00DF0DAE">
            <w:pPr>
              <w:pStyle w:val="Tabletext"/>
              <w:rPr>
                <w:rFonts w:cs="Tahoma"/>
              </w:rPr>
            </w:pPr>
            <w:r>
              <w:rPr>
                <w:rFonts w:cs="Tahoma"/>
              </w:rPr>
              <w:t>0 (not calculable)</w:t>
            </w:r>
          </w:p>
        </w:tc>
      </w:tr>
    </w:tbl>
    <w:p w:rsidR="0075777C" w:rsidRDefault="0075777C" w:rsidP="00DF0DAE">
      <w:pPr>
        <w:pStyle w:val="Tablenote"/>
      </w:pPr>
      <w:r w:rsidRPr="00E03CA3">
        <w:rPr>
          <w:vertAlign w:val="superscript"/>
        </w:rPr>
        <w:t>a</w:t>
      </w:r>
      <w:r>
        <w:rPr>
          <w:vertAlign w:val="superscript"/>
        </w:rPr>
        <w:t xml:space="preserve"> </w:t>
      </w:r>
      <w:r>
        <w:t xml:space="preserve">One patient in the monotherapy group had </w:t>
      </w:r>
      <w:r w:rsidR="006B4B22">
        <w:t>WHO</w:t>
      </w:r>
      <w:r>
        <w:t xml:space="preserve"> FC II PAH</w:t>
      </w:r>
    </w:p>
    <w:p w:rsidR="0075777C" w:rsidRPr="00822C52" w:rsidRDefault="0075777C" w:rsidP="00DF0DAE">
      <w:pPr>
        <w:pStyle w:val="Tablenote"/>
      </w:pPr>
      <w:r w:rsidRPr="00822C52">
        <w:t xml:space="preserve">CI = confidence interval; ERA = endothelin receptor antagonist; </w:t>
      </w:r>
      <w:r w:rsidR="001E16B8">
        <w:t xml:space="preserve">FC = functional class; </w:t>
      </w:r>
      <w:r w:rsidRPr="00822C52">
        <w:t xml:space="preserve">n = number of </w:t>
      </w:r>
      <w:r w:rsidR="001E16B8">
        <w:t xml:space="preserve">patients with </w:t>
      </w:r>
      <w:r w:rsidRPr="00822C52">
        <w:t>events; N = number of patients; PAH = pulmonary arterial hypertension; RR = relative risk</w:t>
      </w:r>
      <w:r>
        <w:t xml:space="preserve">; </w:t>
      </w:r>
      <w:r w:rsidRPr="007973E4">
        <w:t>WHO = World Health Organization</w:t>
      </w:r>
    </w:p>
    <w:p w:rsidR="0075777C" w:rsidRPr="00822C52" w:rsidRDefault="002E4833" w:rsidP="007B6C7C">
      <w:pPr>
        <w:pStyle w:val="Heading5"/>
      </w:pPr>
      <w:r>
        <w:t>d.</w:t>
      </w:r>
      <w:r w:rsidR="00761752">
        <w:tab/>
      </w:r>
      <w:r w:rsidR="0075777C" w:rsidRPr="00822C52">
        <w:t xml:space="preserve">Change in WHO </w:t>
      </w:r>
      <w:r w:rsidR="0075777C">
        <w:t>FC</w:t>
      </w:r>
      <w:r w:rsidR="007B6C7C" w:rsidRPr="007B6C7C">
        <w:t xml:space="preserve"> from baseline</w:t>
      </w:r>
    </w:p>
    <w:p w:rsidR="0075777C" w:rsidRPr="00822C52" w:rsidRDefault="002E4833" w:rsidP="0077344D">
      <w:pPr>
        <w:pStyle w:val="Heading6"/>
      </w:pPr>
      <w:r>
        <w:t>d</w:t>
      </w:r>
      <w:r w:rsidR="0075777C" w:rsidRPr="00822C52">
        <w:t>.ii</w:t>
      </w:r>
      <w:r w:rsidR="0075777C" w:rsidRPr="00822C52">
        <w:tab/>
        <w:t>PAH patients with FC III or IV</w:t>
      </w:r>
    </w:p>
    <w:p w:rsidR="0075777C" w:rsidRPr="00822C52" w:rsidRDefault="0075777C" w:rsidP="0075777C">
      <w:r>
        <w:t xml:space="preserve">The results from the STEP trial indicate that patients receiving </w:t>
      </w:r>
      <w:r w:rsidR="00DF0DAE">
        <w:t>prostanoid</w:t>
      </w:r>
      <w:r>
        <w:t xml:space="preserve"> plus ERA combination therapy are almost 6 times more likely to improve in WHO FC than those receiving ERA monotherapy (</w:t>
      </w:r>
      <w:r w:rsidR="00AA722D">
        <w:t>Table 4.</w:t>
      </w:r>
      <w:r w:rsidR="00AA722D">
        <w:rPr>
          <w:noProof/>
        </w:rPr>
        <w:t>81</w:t>
      </w:r>
      <w:r>
        <w:t xml:space="preserve">; </w:t>
      </w:r>
      <w:r w:rsidR="00B21201">
        <w:t>ARD</w:t>
      </w:r>
      <w:r w:rsidR="00B60655">
        <w:t> </w:t>
      </w:r>
      <w:r w:rsidRPr="00707847">
        <w:t>=</w:t>
      </w:r>
      <w:r w:rsidR="00B60655">
        <w:t> </w:t>
      </w:r>
      <w:r>
        <w:t>28.3%; 95% CI 1.0, 46.7</w:t>
      </w:r>
      <w:r w:rsidR="00DF0DAE">
        <w:t>; p</w:t>
      </w:r>
      <w:r w:rsidR="00B60655">
        <w:t> </w:t>
      </w:r>
      <w:r w:rsidR="00DF0DAE">
        <w:t>=</w:t>
      </w:r>
      <w:r w:rsidR="00B60655">
        <w:t> </w:t>
      </w:r>
      <w:r w:rsidR="00DF0DAE">
        <w:t>0.004</w:t>
      </w:r>
      <w:r>
        <w:t>). Only one patient, who was in the monotherapy group, worsened in WHO FC during the study period. Thus, the RR of clinical worsening could not be calculated (</w:t>
      </w:r>
      <w:r w:rsidR="00B21201">
        <w:t>ARD</w:t>
      </w:r>
      <w:r w:rsidR="00DB6ACB">
        <w:t> </w:t>
      </w:r>
      <w:r w:rsidRPr="00707847">
        <w:t>=</w:t>
      </w:r>
      <w:r w:rsidR="00DB6ACB">
        <w:t> </w:t>
      </w:r>
      <w:r>
        <w:t>−3.0%; 95% CI −8.9, 2.8; p</w:t>
      </w:r>
      <w:r w:rsidR="00DB6ACB">
        <w:t> </w:t>
      </w:r>
      <w:r>
        <w:t>=</w:t>
      </w:r>
      <w:r w:rsidR="00DB6ACB">
        <w:t> </w:t>
      </w:r>
      <w:r>
        <w:t xml:space="preserve">0.32). Overall, </w:t>
      </w:r>
      <w:r w:rsidR="00BD3EF5">
        <w:t>four</w:t>
      </w:r>
      <w:r>
        <w:t xml:space="preserve"> patients </w:t>
      </w:r>
      <w:r w:rsidRPr="00763A20">
        <w:t>with WHO FC III/IV PAH</w:t>
      </w:r>
      <w:r>
        <w:t xml:space="preserve"> need to be treated with </w:t>
      </w:r>
      <w:r w:rsidR="00DF0DAE" w:rsidRPr="002C47B4">
        <w:t>prostanoid</w:t>
      </w:r>
      <w:r w:rsidRPr="002C47B4">
        <w:t xml:space="preserve"> plus ERA combination therapy</w:t>
      </w:r>
      <w:r>
        <w:t xml:space="preserve"> for one additional patient to improve their WHO FC compared with </w:t>
      </w:r>
      <w:r w:rsidRPr="002C47B4">
        <w:t>ERA monotherapy</w:t>
      </w:r>
      <w:r>
        <w:t>, and 3</w:t>
      </w:r>
      <w:r w:rsidR="00BD3EF5">
        <w:t>4</w:t>
      </w:r>
      <w:r>
        <w:t xml:space="preserve"> need to be treated to prevent worsening of WHO FC in one additional patient.</w:t>
      </w:r>
    </w:p>
    <w:p w:rsidR="0075777C" w:rsidRPr="00DD7790" w:rsidRDefault="00272F8F" w:rsidP="00BC5A2B">
      <w:pPr>
        <w:pStyle w:val="Caption"/>
      </w:pPr>
      <w:bookmarkStart w:id="249" w:name="_Ref504656805"/>
      <w:bookmarkStart w:id="250" w:name="_Toc512855485"/>
      <w:r>
        <w:t>Table 4.</w:t>
      </w:r>
      <w:r w:rsidR="00AA722D">
        <w:rPr>
          <w:noProof/>
        </w:rPr>
        <w:t>81</w:t>
      </w:r>
      <w:bookmarkEnd w:id="249"/>
      <w:r w:rsidR="00DF0DAE">
        <w:tab/>
      </w:r>
      <w:r w:rsidR="0075777C" w:rsidRPr="00DD7790">
        <w:t>The effect</w:t>
      </w:r>
      <w:r w:rsidR="0075777C">
        <w:t xml:space="preserve">iveness of </w:t>
      </w:r>
      <w:r w:rsidR="007E59EC">
        <w:t xml:space="preserve">a prostanoid in addition to an ERA compared with </w:t>
      </w:r>
      <w:r w:rsidR="007E59EC" w:rsidRPr="00DD7790">
        <w:t xml:space="preserve">ERA </w:t>
      </w:r>
      <w:r w:rsidR="007E59EC">
        <w:t>monotherapy</w:t>
      </w:r>
      <w:r w:rsidR="007E59EC" w:rsidRPr="00DD7790">
        <w:t xml:space="preserve"> </w:t>
      </w:r>
      <w:r w:rsidR="0075777C" w:rsidRPr="00DD7790">
        <w:t>in improving WHO FC in patients with WHO FC III/IV PAH</w:t>
      </w:r>
      <w:bookmarkEnd w:id="250"/>
    </w:p>
    <w:tbl>
      <w:tblPr>
        <w:tblStyle w:val="TableGrid7"/>
        <w:tblW w:w="9634" w:type="dxa"/>
        <w:tblLayout w:type="fixed"/>
        <w:tblLook w:val="04A0" w:firstRow="1" w:lastRow="0" w:firstColumn="1" w:lastColumn="0" w:noHBand="0" w:noVBand="1"/>
        <w:tblCaption w:val="The effectiveness of a prostanoid in addition to an ERA compared with ERA monotherapy in improving WHO FC in patients with WHO FC III/IV PAH"/>
      </w:tblPr>
      <w:tblGrid>
        <w:gridCol w:w="1838"/>
        <w:gridCol w:w="1701"/>
        <w:gridCol w:w="1984"/>
        <w:gridCol w:w="1985"/>
        <w:gridCol w:w="2126"/>
      </w:tblGrid>
      <w:tr w:rsidR="0075777C" w:rsidRPr="00822C52" w:rsidTr="00DF0DAE">
        <w:trPr>
          <w:trHeight w:val="416"/>
          <w:tblHeader/>
        </w:trPr>
        <w:tc>
          <w:tcPr>
            <w:tcW w:w="1838" w:type="dxa"/>
            <w:vMerge w:val="restart"/>
            <w:shd w:val="clear" w:color="auto" w:fill="BFBFBF" w:themeFill="background1" w:themeFillShade="BF"/>
          </w:tcPr>
          <w:p w:rsidR="0075777C" w:rsidRPr="00DF0DAE" w:rsidRDefault="0075777C" w:rsidP="00DF0DAE">
            <w:pPr>
              <w:pStyle w:val="Tabletext"/>
              <w:rPr>
                <w:b/>
              </w:rPr>
            </w:pPr>
            <w:r w:rsidRPr="00DF0DAE">
              <w:rPr>
                <w:b/>
              </w:rPr>
              <w:t>Study ID</w:t>
            </w:r>
          </w:p>
          <w:p w:rsidR="0075777C" w:rsidRPr="00DF0DAE" w:rsidRDefault="0075777C" w:rsidP="00DF0DAE">
            <w:pPr>
              <w:pStyle w:val="Tabletext"/>
              <w:rPr>
                <w:b/>
              </w:rPr>
            </w:pPr>
            <w:r w:rsidRPr="00DF0DAE">
              <w:rPr>
                <w:b/>
              </w:rPr>
              <w:t>Follow-up period</w:t>
            </w:r>
          </w:p>
          <w:p w:rsidR="0075777C" w:rsidRPr="00DF0DAE" w:rsidRDefault="0017012F" w:rsidP="00DF0DAE">
            <w:pPr>
              <w:pStyle w:val="Tabletext"/>
              <w:rPr>
                <w:b/>
              </w:rPr>
            </w:pPr>
            <w:r w:rsidRPr="00DF0DAE">
              <w:rPr>
                <w:b/>
              </w:rPr>
              <w:t>Prostanoid</w:t>
            </w:r>
            <w:r w:rsidR="0075777C" w:rsidRPr="00DF0DAE">
              <w:rPr>
                <w:b/>
              </w:rPr>
              <w:t>/ERA</w:t>
            </w:r>
          </w:p>
        </w:tc>
        <w:tc>
          <w:tcPr>
            <w:tcW w:w="1701" w:type="dxa"/>
            <w:vMerge w:val="restart"/>
            <w:shd w:val="clear" w:color="auto" w:fill="BFBFBF" w:themeFill="background1" w:themeFillShade="BF"/>
          </w:tcPr>
          <w:p w:rsidR="0075777C" w:rsidRPr="00DF0DAE" w:rsidRDefault="0075777C" w:rsidP="00DF0DAE">
            <w:pPr>
              <w:pStyle w:val="Tabletext"/>
              <w:rPr>
                <w:b/>
              </w:rPr>
            </w:pPr>
            <w:r w:rsidRPr="00DF0DAE">
              <w:rPr>
                <w:b/>
              </w:rPr>
              <w:t>Change in WHO FC</w:t>
            </w:r>
          </w:p>
        </w:tc>
        <w:tc>
          <w:tcPr>
            <w:tcW w:w="3969" w:type="dxa"/>
            <w:gridSpan w:val="2"/>
            <w:shd w:val="clear" w:color="auto" w:fill="BFBFBF" w:themeFill="background1" w:themeFillShade="BF"/>
          </w:tcPr>
          <w:p w:rsidR="0075777C" w:rsidRPr="00DF0DAE" w:rsidRDefault="0075777C" w:rsidP="00DF0DAE">
            <w:pPr>
              <w:pStyle w:val="Tabletext"/>
              <w:jc w:val="center"/>
              <w:rPr>
                <w:b/>
              </w:rPr>
            </w:pPr>
            <w:r w:rsidRPr="00DF0DAE">
              <w:rPr>
                <w:b/>
              </w:rPr>
              <w:t>n/N (%)</w:t>
            </w:r>
          </w:p>
        </w:tc>
        <w:tc>
          <w:tcPr>
            <w:tcW w:w="2126" w:type="dxa"/>
            <w:vMerge w:val="restart"/>
            <w:shd w:val="clear" w:color="auto" w:fill="BFBFBF" w:themeFill="background1" w:themeFillShade="BF"/>
          </w:tcPr>
          <w:p w:rsidR="0075777C" w:rsidRPr="00DF0DAE" w:rsidRDefault="0075777C" w:rsidP="00DF0DAE">
            <w:pPr>
              <w:pStyle w:val="Tabletext"/>
              <w:rPr>
                <w:b/>
              </w:rPr>
            </w:pPr>
            <w:r w:rsidRPr="00DF0DAE">
              <w:rPr>
                <w:b/>
              </w:rPr>
              <w:t>RR (95% CI)</w:t>
            </w:r>
          </w:p>
        </w:tc>
      </w:tr>
      <w:tr w:rsidR="0075777C" w:rsidRPr="00822C52" w:rsidTr="00DF0DAE">
        <w:trPr>
          <w:trHeight w:val="202"/>
          <w:tblHeader/>
        </w:trPr>
        <w:tc>
          <w:tcPr>
            <w:tcW w:w="1838" w:type="dxa"/>
            <w:vMerge/>
            <w:tcBorders>
              <w:bottom w:val="single" w:sz="4" w:space="0" w:color="auto"/>
            </w:tcBorders>
            <w:shd w:val="clear" w:color="auto" w:fill="BFBFBF" w:themeFill="background1" w:themeFillShade="BF"/>
          </w:tcPr>
          <w:p w:rsidR="0075777C" w:rsidRPr="00822C52" w:rsidRDefault="0075777C" w:rsidP="00DF0DAE">
            <w:pPr>
              <w:pStyle w:val="Tabletext"/>
            </w:pPr>
          </w:p>
        </w:tc>
        <w:tc>
          <w:tcPr>
            <w:tcW w:w="1701" w:type="dxa"/>
            <w:vMerge/>
            <w:tcBorders>
              <w:bottom w:val="single" w:sz="4" w:space="0" w:color="auto"/>
            </w:tcBorders>
            <w:shd w:val="clear" w:color="auto" w:fill="BFBFBF" w:themeFill="background1" w:themeFillShade="BF"/>
          </w:tcPr>
          <w:p w:rsidR="0075777C" w:rsidRPr="00822C52" w:rsidRDefault="0075777C" w:rsidP="00DF0DAE">
            <w:pPr>
              <w:pStyle w:val="Tabletext"/>
            </w:pPr>
          </w:p>
        </w:tc>
        <w:tc>
          <w:tcPr>
            <w:tcW w:w="1984" w:type="dxa"/>
            <w:tcBorders>
              <w:bottom w:val="single" w:sz="4" w:space="0" w:color="auto"/>
            </w:tcBorders>
            <w:shd w:val="clear" w:color="auto" w:fill="BFBFBF" w:themeFill="background1" w:themeFillShade="BF"/>
          </w:tcPr>
          <w:p w:rsidR="0075777C" w:rsidRPr="00DF0DAE" w:rsidRDefault="0075777C" w:rsidP="00DF0DAE">
            <w:pPr>
              <w:pStyle w:val="Tabletext"/>
              <w:jc w:val="center"/>
              <w:rPr>
                <w:b/>
              </w:rPr>
            </w:pPr>
            <w:r w:rsidRPr="00DF0DAE">
              <w:rPr>
                <w:b/>
              </w:rPr>
              <w:t>Prostanoid + ERA</w:t>
            </w:r>
          </w:p>
        </w:tc>
        <w:tc>
          <w:tcPr>
            <w:tcW w:w="1985" w:type="dxa"/>
            <w:tcBorders>
              <w:bottom w:val="single" w:sz="4" w:space="0" w:color="auto"/>
            </w:tcBorders>
            <w:shd w:val="clear" w:color="auto" w:fill="BFBFBF" w:themeFill="background1" w:themeFillShade="BF"/>
          </w:tcPr>
          <w:p w:rsidR="0075777C" w:rsidRPr="00DF0DAE" w:rsidRDefault="0075777C" w:rsidP="00F30334">
            <w:pPr>
              <w:pStyle w:val="Tabletext"/>
              <w:jc w:val="center"/>
              <w:rPr>
                <w:b/>
              </w:rPr>
            </w:pPr>
            <w:r w:rsidRPr="00DF0DAE">
              <w:rPr>
                <w:b/>
              </w:rPr>
              <w:t>ERA</w:t>
            </w:r>
          </w:p>
        </w:tc>
        <w:tc>
          <w:tcPr>
            <w:tcW w:w="2126" w:type="dxa"/>
            <w:vMerge/>
            <w:tcBorders>
              <w:bottom w:val="single" w:sz="4" w:space="0" w:color="auto"/>
            </w:tcBorders>
            <w:shd w:val="clear" w:color="auto" w:fill="BFBFBF" w:themeFill="background1" w:themeFillShade="BF"/>
          </w:tcPr>
          <w:p w:rsidR="0075777C" w:rsidRPr="00822C52" w:rsidRDefault="0075777C" w:rsidP="00DF0DAE">
            <w:pPr>
              <w:pStyle w:val="Tabletext"/>
            </w:pPr>
          </w:p>
        </w:tc>
      </w:tr>
      <w:tr w:rsidR="0075777C" w:rsidRPr="00822C52" w:rsidTr="00DF0DAE">
        <w:trPr>
          <w:trHeight w:val="70"/>
        </w:trPr>
        <w:tc>
          <w:tcPr>
            <w:tcW w:w="1838" w:type="dxa"/>
            <w:vMerge w:val="restart"/>
            <w:tcBorders>
              <w:bottom w:val="nil"/>
            </w:tcBorders>
          </w:tcPr>
          <w:p w:rsidR="0075777C" w:rsidRPr="00822C52" w:rsidRDefault="0075777C" w:rsidP="00DF0DAE">
            <w:pPr>
              <w:pStyle w:val="Tabletext"/>
              <w:rPr>
                <w:rFonts w:cs="Tahoma"/>
              </w:rPr>
            </w:pPr>
            <w:r w:rsidRPr="00822C52">
              <w:rPr>
                <w:rFonts w:cs="Tahoma"/>
              </w:rPr>
              <w:t>STEP</w:t>
            </w:r>
            <w:r w:rsidR="001D34EE" w:rsidRPr="001A1C44">
              <w:rPr>
                <w:rFonts w:cs="Tahoma"/>
                <w:noProof/>
                <w:vertAlign w:val="superscript"/>
              </w:rPr>
              <w:t>48</w:t>
            </w:r>
            <w:r w:rsidR="00F30334">
              <w:rPr>
                <w:rFonts w:cs="Tahoma"/>
              </w:rPr>
              <w:t xml:space="preserve"> </w:t>
            </w:r>
            <w:r w:rsidR="00F30334" w:rsidRPr="00E03CA3">
              <w:rPr>
                <w:rFonts w:cs="Tahoma"/>
                <w:vertAlign w:val="superscript"/>
              </w:rPr>
              <w:t>a</w:t>
            </w:r>
          </w:p>
          <w:p w:rsidR="0075777C" w:rsidRPr="00822C52" w:rsidRDefault="0075777C" w:rsidP="00DF0DAE">
            <w:pPr>
              <w:pStyle w:val="Tabletext"/>
              <w:rPr>
                <w:rFonts w:cs="Tahoma"/>
              </w:rPr>
            </w:pPr>
            <w:r w:rsidRPr="00822C52">
              <w:rPr>
                <w:rFonts w:cs="Tahoma"/>
              </w:rPr>
              <w:t>12 weeks</w:t>
            </w:r>
          </w:p>
          <w:p w:rsidR="0075777C" w:rsidRPr="00822C52" w:rsidRDefault="0075777C" w:rsidP="00DF0DAE">
            <w:pPr>
              <w:pStyle w:val="Tabletext"/>
              <w:rPr>
                <w:rFonts w:cs="Tahoma"/>
              </w:rPr>
            </w:pPr>
            <w:r w:rsidRPr="00822C52">
              <w:rPr>
                <w:rFonts w:cs="Tahoma"/>
              </w:rPr>
              <w:t>Iloprost/bosentan</w:t>
            </w:r>
          </w:p>
        </w:tc>
        <w:tc>
          <w:tcPr>
            <w:tcW w:w="1701" w:type="dxa"/>
            <w:tcBorders>
              <w:bottom w:val="nil"/>
            </w:tcBorders>
          </w:tcPr>
          <w:p w:rsidR="0075777C" w:rsidRPr="00822C52" w:rsidRDefault="0075777C" w:rsidP="00DF0DAE">
            <w:pPr>
              <w:pStyle w:val="Tabletext"/>
              <w:rPr>
                <w:rFonts w:cs="Tahoma"/>
              </w:rPr>
            </w:pPr>
            <w:r w:rsidRPr="00822C52">
              <w:rPr>
                <w:rFonts w:cs="Tahoma"/>
              </w:rPr>
              <w:t>Improved</w:t>
            </w:r>
          </w:p>
        </w:tc>
        <w:tc>
          <w:tcPr>
            <w:tcW w:w="1984" w:type="dxa"/>
            <w:tcBorders>
              <w:bottom w:val="nil"/>
            </w:tcBorders>
          </w:tcPr>
          <w:p w:rsidR="0075777C" w:rsidRPr="00822C52" w:rsidRDefault="0075777C" w:rsidP="00DF0DAE">
            <w:pPr>
              <w:pStyle w:val="Tabletext"/>
              <w:jc w:val="center"/>
              <w:rPr>
                <w:rFonts w:cs="Tahoma"/>
              </w:rPr>
            </w:pPr>
            <w:r w:rsidRPr="00822C52">
              <w:rPr>
                <w:rFonts w:cs="Tahoma"/>
              </w:rPr>
              <w:t>11/32 (34%)</w:t>
            </w:r>
          </w:p>
        </w:tc>
        <w:tc>
          <w:tcPr>
            <w:tcW w:w="1985" w:type="dxa"/>
            <w:tcBorders>
              <w:bottom w:val="nil"/>
            </w:tcBorders>
          </w:tcPr>
          <w:p w:rsidR="0075777C" w:rsidRPr="00822C52" w:rsidRDefault="0075777C" w:rsidP="00DF0DAE">
            <w:pPr>
              <w:pStyle w:val="Tabletext"/>
              <w:jc w:val="center"/>
              <w:rPr>
                <w:rFonts w:cs="Tahoma"/>
              </w:rPr>
            </w:pPr>
            <w:r w:rsidRPr="00822C52">
              <w:rPr>
                <w:rFonts w:cs="Tahoma"/>
              </w:rPr>
              <w:t>2/33 (6%)</w:t>
            </w:r>
          </w:p>
        </w:tc>
        <w:tc>
          <w:tcPr>
            <w:tcW w:w="2126" w:type="dxa"/>
            <w:tcBorders>
              <w:bottom w:val="nil"/>
            </w:tcBorders>
          </w:tcPr>
          <w:p w:rsidR="0075777C" w:rsidRPr="00822C52" w:rsidRDefault="0075777C" w:rsidP="00DF0DAE">
            <w:pPr>
              <w:pStyle w:val="Tabletext"/>
              <w:rPr>
                <w:rFonts w:cs="Tahoma"/>
              </w:rPr>
            </w:pPr>
            <w:r>
              <w:rPr>
                <w:rFonts w:cs="Tahoma"/>
              </w:rPr>
              <w:t>5.67 (1.36, 23.61)</w:t>
            </w:r>
          </w:p>
        </w:tc>
      </w:tr>
      <w:tr w:rsidR="0075777C" w:rsidRPr="00822C52" w:rsidTr="00DF0DAE">
        <w:trPr>
          <w:trHeight w:val="70"/>
        </w:trPr>
        <w:tc>
          <w:tcPr>
            <w:tcW w:w="1838" w:type="dxa"/>
            <w:vMerge/>
            <w:tcBorders>
              <w:top w:val="nil"/>
              <w:bottom w:val="single" w:sz="4" w:space="0" w:color="auto"/>
            </w:tcBorders>
          </w:tcPr>
          <w:p w:rsidR="0075777C" w:rsidRPr="00822C52" w:rsidRDefault="0075777C" w:rsidP="00DF0DAE">
            <w:pPr>
              <w:pStyle w:val="Tabletext"/>
              <w:rPr>
                <w:rFonts w:cs="Tahoma"/>
              </w:rPr>
            </w:pPr>
          </w:p>
        </w:tc>
        <w:tc>
          <w:tcPr>
            <w:tcW w:w="1701" w:type="dxa"/>
            <w:tcBorders>
              <w:top w:val="nil"/>
              <w:bottom w:val="single" w:sz="4" w:space="0" w:color="auto"/>
            </w:tcBorders>
          </w:tcPr>
          <w:p w:rsidR="0075777C" w:rsidRPr="00822C52" w:rsidRDefault="0075777C" w:rsidP="00DF0DAE">
            <w:pPr>
              <w:pStyle w:val="Tabletext"/>
              <w:rPr>
                <w:rFonts w:cs="Tahoma"/>
              </w:rPr>
            </w:pPr>
            <w:r w:rsidRPr="00822C52">
              <w:rPr>
                <w:rFonts w:cs="Tahoma"/>
              </w:rPr>
              <w:t>Worsened</w:t>
            </w:r>
          </w:p>
        </w:tc>
        <w:tc>
          <w:tcPr>
            <w:tcW w:w="1984" w:type="dxa"/>
            <w:tcBorders>
              <w:top w:val="nil"/>
              <w:bottom w:val="single" w:sz="4" w:space="0" w:color="auto"/>
            </w:tcBorders>
          </w:tcPr>
          <w:p w:rsidR="0075777C" w:rsidRPr="00822C52" w:rsidRDefault="0075777C" w:rsidP="00DF0DAE">
            <w:pPr>
              <w:pStyle w:val="Tabletext"/>
              <w:jc w:val="center"/>
              <w:rPr>
                <w:rFonts w:cs="Tahoma"/>
              </w:rPr>
            </w:pPr>
            <w:r w:rsidRPr="00822C52">
              <w:rPr>
                <w:rFonts w:cs="Tahoma"/>
              </w:rPr>
              <w:t>0/32 (0%)</w:t>
            </w:r>
          </w:p>
        </w:tc>
        <w:tc>
          <w:tcPr>
            <w:tcW w:w="1985" w:type="dxa"/>
            <w:tcBorders>
              <w:top w:val="nil"/>
              <w:bottom w:val="single" w:sz="4" w:space="0" w:color="auto"/>
            </w:tcBorders>
          </w:tcPr>
          <w:p w:rsidR="0075777C" w:rsidRPr="00822C52" w:rsidRDefault="0075777C" w:rsidP="00F30334">
            <w:pPr>
              <w:pStyle w:val="Tabletext"/>
              <w:jc w:val="center"/>
              <w:rPr>
                <w:rFonts w:cs="Tahoma"/>
              </w:rPr>
            </w:pPr>
            <w:r w:rsidRPr="00822C52">
              <w:rPr>
                <w:rFonts w:cs="Tahoma"/>
              </w:rPr>
              <w:t>1/33 (3%)</w:t>
            </w:r>
          </w:p>
        </w:tc>
        <w:tc>
          <w:tcPr>
            <w:tcW w:w="2126" w:type="dxa"/>
            <w:tcBorders>
              <w:top w:val="nil"/>
              <w:bottom w:val="single" w:sz="4" w:space="0" w:color="auto"/>
            </w:tcBorders>
          </w:tcPr>
          <w:p w:rsidR="0075777C" w:rsidRPr="00822C52" w:rsidRDefault="0075777C" w:rsidP="00DF0DAE">
            <w:pPr>
              <w:pStyle w:val="Tabletext"/>
              <w:rPr>
                <w:rFonts w:cs="Tahoma"/>
              </w:rPr>
            </w:pPr>
            <w:r>
              <w:rPr>
                <w:rFonts w:cs="Tahoma"/>
              </w:rPr>
              <w:t>0 (not calculable)</w:t>
            </w:r>
          </w:p>
        </w:tc>
      </w:tr>
    </w:tbl>
    <w:p w:rsidR="0075777C" w:rsidRDefault="0075777C" w:rsidP="00DF0DAE">
      <w:pPr>
        <w:pStyle w:val="Tablenote"/>
      </w:pPr>
      <w:r w:rsidRPr="00E03CA3">
        <w:rPr>
          <w:vertAlign w:val="superscript"/>
        </w:rPr>
        <w:t>a</w:t>
      </w:r>
      <w:r>
        <w:rPr>
          <w:vertAlign w:val="superscript"/>
        </w:rPr>
        <w:t xml:space="preserve"> </w:t>
      </w:r>
      <w:r>
        <w:t xml:space="preserve">One patient in the monotherapy group had </w:t>
      </w:r>
      <w:r w:rsidR="006B4B22">
        <w:t>WHO</w:t>
      </w:r>
      <w:r>
        <w:t xml:space="preserve"> FC II PAH</w:t>
      </w:r>
    </w:p>
    <w:p w:rsidR="0075777C" w:rsidRPr="00822C52" w:rsidRDefault="0075777C" w:rsidP="00DF0DAE">
      <w:pPr>
        <w:pStyle w:val="Tablenote"/>
      </w:pPr>
      <w:r w:rsidRPr="00822C52">
        <w:lastRenderedPageBreak/>
        <w:t xml:space="preserve">CI = confidence interval; ERA = endothelin receptor antagonist; FC = functional class; n = number of </w:t>
      </w:r>
      <w:r w:rsidR="00561DAB">
        <w:t xml:space="preserve">patients with </w:t>
      </w:r>
      <w:r w:rsidRPr="00822C52">
        <w:t>events; N = number of patients; PAH = pulmonary arterial hypertension; RR = relative risk; WHO = World Health Organization</w:t>
      </w:r>
    </w:p>
    <w:p w:rsidR="0075777C" w:rsidRPr="00822C52" w:rsidRDefault="00761752" w:rsidP="0075777C">
      <w:pPr>
        <w:pStyle w:val="Heading5"/>
      </w:pPr>
      <w:r>
        <w:t>e</w:t>
      </w:r>
      <w:r w:rsidR="002E4833">
        <w:t>.</w:t>
      </w:r>
      <w:r>
        <w:tab/>
      </w:r>
      <w:r w:rsidR="0075777C" w:rsidRPr="00822C52">
        <w:t xml:space="preserve">Change in 6MWD from baseline </w:t>
      </w:r>
    </w:p>
    <w:p w:rsidR="0075777C" w:rsidRPr="00822C52" w:rsidRDefault="00761752" w:rsidP="0077344D">
      <w:pPr>
        <w:pStyle w:val="Heading6"/>
      </w:pPr>
      <w:r>
        <w:t>e</w:t>
      </w:r>
      <w:r w:rsidR="0075777C" w:rsidRPr="00822C52">
        <w:t>.ii</w:t>
      </w:r>
      <w:r w:rsidR="0075777C" w:rsidRPr="00822C52">
        <w:tab/>
        <w:t>PAH patients with FC III or IV</w:t>
      </w:r>
    </w:p>
    <w:p w:rsidR="0075777C" w:rsidRPr="00822C52" w:rsidRDefault="0075777C" w:rsidP="0075777C">
      <w:r>
        <w:t>There was a mean improvement in the 6MWD for patients receiving combination therapy in both studies, whereas the 6MWD for patients receiving monotherapy did not change (</w:t>
      </w:r>
      <w:r w:rsidR="00AA722D">
        <w:t>Table 4.</w:t>
      </w:r>
      <w:r w:rsidR="00AA722D">
        <w:rPr>
          <w:noProof/>
        </w:rPr>
        <w:t>82</w:t>
      </w:r>
      <w:r>
        <w:t>). However, the improvement was not clinically important.</w:t>
      </w:r>
    </w:p>
    <w:p w:rsidR="0075777C" w:rsidRDefault="00272F8F" w:rsidP="00BC5A2B">
      <w:pPr>
        <w:pStyle w:val="Caption"/>
      </w:pPr>
      <w:bookmarkStart w:id="251" w:name="_Ref504656838"/>
      <w:bookmarkStart w:id="252" w:name="_Toc512855486"/>
      <w:r>
        <w:t>Table 4.</w:t>
      </w:r>
      <w:r w:rsidR="00AA722D">
        <w:rPr>
          <w:noProof/>
        </w:rPr>
        <w:t>82</w:t>
      </w:r>
      <w:bookmarkEnd w:id="251"/>
      <w:r w:rsidR="001A69BE">
        <w:tab/>
      </w:r>
      <w:r w:rsidR="0075777C" w:rsidRPr="00DD7790">
        <w:t xml:space="preserve">The effectiveness of </w:t>
      </w:r>
      <w:r w:rsidR="007E59EC">
        <w:t xml:space="preserve">a prostanoid in addition to an ERA compared with </w:t>
      </w:r>
      <w:r w:rsidR="007E59EC" w:rsidRPr="00DD7790">
        <w:t xml:space="preserve">ERA </w:t>
      </w:r>
      <w:r w:rsidR="007E59EC">
        <w:t>monotherapy</w:t>
      </w:r>
      <w:r w:rsidR="007E59EC" w:rsidRPr="00DD7790">
        <w:t xml:space="preserve"> </w:t>
      </w:r>
      <w:r w:rsidR="0075777C" w:rsidRPr="00DD7790">
        <w:t>in improving 6MWD in patients with WHO FC III/IV PAH</w:t>
      </w:r>
      <w:bookmarkEnd w:id="252"/>
    </w:p>
    <w:tbl>
      <w:tblPr>
        <w:tblStyle w:val="TableGrid"/>
        <w:tblW w:w="9634" w:type="dxa"/>
        <w:tblLook w:val="04A0" w:firstRow="1" w:lastRow="0" w:firstColumn="1" w:lastColumn="0" w:noHBand="0" w:noVBand="1"/>
        <w:tblCaption w:val="The effectiveness of a prostanoid in addition to an ERA compared with ERA monotherapy in improving 6MWD in patients with WHO FC III/IV PAH"/>
      </w:tblPr>
      <w:tblGrid>
        <w:gridCol w:w="1649"/>
        <w:gridCol w:w="1567"/>
        <w:gridCol w:w="1514"/>
        <w:gridCol w:w="1003"/>
        <w:gridCol w:w="1577"/>
        <w:gridCol w:w="940"/>
        <w:gridCol w:w="1384"/>
      </w:tblGrid>
      <w:tr w:rsidR="0075777C" w:rsidTr="001A69BE">
        <w:trPr>
          <w:cnfStyle w:val="100000000000" w:firstRow="1" w:lastRow="0" w:firstColumn="0" w:lastColumn="0" w:oddVBand="0" w:evenVBand="0" w:oddHBand="0" w:evenHBand="0" w:firstRowFirstColumn="0" w:firstRowLastColumn="0" w:lastRowFirstColumn="0" w:lastRowLastColumn="0"/>
        </w:trPr>
        <w:tc>
          <w:tcPr>
            <w:tcW w:w="1309" w:type="dxa"/>
            <w:vMerge w:val="restart"/>
            <w:shd w:val="clear" w:color="auto" w:fill="BFBFBF" w:themeFill="background1" w:themeFillShade="BF"/>
          </w:tcPr>
          <w:p w:rsidR="0075777C" w:rsidRPr="001A69BE" w:rsidRDefault="0075777C" w:rsidP="001A69BE">
            <w:pPr>
              <w:pStyle w:val="Tabletext"/>
              <w:rPr>
                <w:b/>
              </w:rPr>
            </w:pPr>
            <w:r w:rsidRPr="001A69BE">
              <w:rPr>
                <w:b/>
              </w:rPr>
              <w:t>Study ID</w:t>
            </w:r>
          </w:p>
          <w:p w:rsidR="0075777C" w:rsidRPr="001A69BE" w:rsidRDefault="0075777C" w:rsidP="001A69BE">
            <w:pPr>
              <w:pStyle w:val="Tabletext"/>
              <w:rPr>
                <w:b/>
              </w:rPr>
            </w:pPr>
            <w:r w:rsidRPr="001A69BE">
              <w:rPr>
                <w:b/>
              </w:rPr>
              <w:t>Prostanoid/ ERA</w:t>
            </w:r>
          </w:p>
        </w:tc>
        <w:tc>
          <w:tcPr>
            <w:tcW w:w="1663" w:type="dxa"/>
            <w:vMerge w:val="restart"/>
            <w:shd w:val="clear" w:color="auto" w:fill="BFBFBF" w:themeFill="background1" w:themeFillShade="BF"/>
          </w:tcPr>
          <w:p w:rsidR="0075777C" w:rsidRPr="001A69BE" w:rsidRDefault="0075777C" w:rsidP="001A69BE">
            <w:pPr>
              <w:pStyle w:val="Tabletext"/>
              <w:rPr>
                <w:b/>
              </w:rPr>
            </w:pPr>
            <w:r w:rsidRPr="001A69BE">
              <w:rPr>
                <w:b/>
              </w:rPr>
              <w:t>N</w:t>
            </w:r>
          </w:p>
          <w:p w:rsidR="0075777C" w:rsidRPr="001A69BE" w:rsidRDefault="0075777C" w:rsidP="001A69BE">
            <w:pPr>
              <w:pStyle w:val="Tabletext"/>
              <w:rPr>
                <w:b/>
              </w:rPr>
            </w:pPr>
            <w:r w:rsidRPr="001A69BE">
              <w:rPr>
                <w:b/>
              </w:rPr>
              <w:t>Follow-up period</w:t>
            </w:r>
          </w:p>
        </w:tc>
        <w:tc>
          <w:tcPr>
            <w:tcW w:w="2622" w:type="dxa"/>
            <w:gridSpan w:val="2"/>
            <w:shd w:val="clear" w:color="auto" w:fill="BFBFBF" w:themeFill="background1" w:themeFillShade="BF"/>
          </w:tcPr>
          <w:p w:rsidR="0075777C" w:rsidRPr="001A69BE" w:rsidRDefault="00EC2524" w:rsidP="00EC2524">
            <w:pPr>
              <w:pStyle w:val="Tabletext"/>
              <w:jc w:val="center"/>
              <w:rPr>
                <w:b/>
              </w:rPr>
            </w:pPr>
            <w:r>
              <w:rPr>
                <w:b/>
              </w:rPr>
              <w:t>M</w:t>
            </w:r>
            <w:r w:rsidR="0075777C" w:rsidRPr="001A69BE">
              <w:rPr>
                <w:b/>
              </w:rPr>
              <w:t>ean ± SD</w:t>
            </w:r>
            <w:r w:rsidRPr="001A69BE">
              <w:rPr>
                <w:b/>
              </w:rPr>
              <w:t xml:space="preserve"> </w:t>
            </w:r>
            <w:r>
              <w:rPr>
                <w:b/>
              </w:rPr>
              <w:t>b</w:t>
            </w:r>
            <w:r w:rsidRPr="001A69BE">
              <w:rPr>
                <w:b/>
              </w:rPr>
              <w:t>aseline</w:t>
            </w:r>
            <w:r>
              <w:rPr>
                <w:b/>
              </w:rPr>
              <w:t xml:space="preserve"> 6MWD</w:t>
            </w:r>
            <w:r w:rsidR="0075777C" w:rsidRPr="001A69BE">
              <w:rPr>
                <w:b/>
              </w:rPr>
              <w:t xml:space="preserve">, </w:t>
            </w:r>
            <w:r w:rsidRPr="00EC2524">
              <w:rPr>
                <w:b/>
              </w:rPr>
              <w:t>meters</w:t>
            </w:r>
          </w:p>
        </w:tc>
        <w:tc>
          <w:tcPr>
            <w:tcW w:w="2623" w:type="dxa"/>
            <w:gridSpan w:val="2"/>
            <w:shd w:val="clear" w:color="auto" w:fill="BFBFBF" w:themeFill="background1" w:themeFillShade="BF"/>
          </w:tcPr>
          <w:p w:rsidR="0075777C" w:rsidRPr="002A66C2" w:rsidRDefault="0075777C" w:rsidP="00AE77DC">
            <w:pPr>
              <w:pStyle w:val="Tabletext"/>
              <w:jc w:val="center"/>
              <w:rPr>
                <w:rFonts w:cs="Arial"/>
                <w:b/>
              </w:rPr>
            </w:pPr>
            <w:r w:rsidRPr="002A66C2">
              <w:rPr>
                <w:rFonts w:cs="Arial"/>
                <w:b/>
              </w:rPr>
              <w:t xml:space="preserve">Mean </w:t>
            </w:r>
            <w:r w:rsidR="00AE77DC" w:rsidRPr="002A66C2">
              <w:rPr>
                <w:rFonts w:cs="Arial"/>
                <w:b/>
              </w:rPr>
              <w:t xml:space="preserve">± SD </w:t>
            </w:r>
            <w:r w:rsidRPr="002A66C2">
              <w:rPr>
                <w:rFonts w:cs="Arial"/>
                <w:b/>
              </w:rPr>
              <w:t>c</w:t>
            </w:r>
            <w:r w:rsidR="00AE77DC" w:rsidRPr="002A66C2">
              <w:rPr>
                <w:rFonts w:cs="Arial"/>
                <w:b/>
              </w:rPr>
              <w:t>hange from baseline</w:t>
            </w:r>
            <w:r w:rsidRPr="002A66C2">
              <w:rPr>
                <w:rFonts w:cs="Arial"/>
                <w:b/>
              </w:rPr>
              <w:t xml:space="preserve">, </w:t>
            </w:r>
            <w:r w:rsidR="00EC2524" w:rsidRPr="002A66C2">
              <w:rPr>
                <w:rFonts w:cs="Arial"/>
                <w:b/>
              </w:rPr>
              <w:t>meters</w:t>
            </w:r>
          </w:p>
        </w:tc>
        <w:tc>
          <w:tcPr>
            <w:tcW w:w="1417" w:type="dxa"/>
            <w:vMerge w:val="restart"/>
            <w:shd w:val="clear" w:color="auto" w:fill="BFBFBF" w:themeFill="background1" w:themeFillShade="BF"/>
          </w:tcPr>
          <w:p w:rsidR="0075777C" w:rsidRPr="002A66C2" w:rsidRDefault="0075777C" w:rsidP="00AE77DC">
            <w:pPr>
              <w:pStyle w:val="Tabletext"/>
              <w:rPr>
                <w:rFonts w:cs="Arial"/>
                <w:b/>
              </w:rPr>
            </w:pPr>
            <w:r w:rsidRPr="002A66C2">
              <w:rPr>
                <w:rFonts w:cs="Arial"/>
                <w:b/>
              </w:rPr>
              <w:t xml:space="preserve">Mean difference, </w:t>
            </w:r>
            <w:r w:rsidR="00EC2524" w:rsidRPr="002A66C2">
              <w:rPr>
                <w:rFonts w:cs="Arial"/>
                <w:b/>
              </w:rPr>
              <w:t>meters</w:t>
            </w:r>
          </w:p>
        </w:tc>
      </w:tr>
      <w:tr w:rsidR="0075777C" w:rsidTr="00534ADA">
        <w:tc>
          <w:tcPr>
            <w:tcW w:w="1309" w:type="dxa"/>
            <w:vMerge/>
          </w:tcPr>
          <w:p w:rsidR="0075777C" w:rsidRDefault="0075777C" w:rsidP="001A69BE">
            <w:pPr>
              <w:pStyle w:val="Tabletext"/>
            </w:pPr>
          </w:p>
        </w:tc>
        <w:tc>
          <w:tcPr>
            <w:tcW w:w="1663" w:type="dxa"/>
            <w:vMerge/>
          </w:tcPr>
          <w:p w:rsidR="0075777C" w:rsidRDefault="0075777C" w:rsidP="001A69BE">
            <w:pPr>
              <w:pStyle w:val="Tabletext"/>
            </w:pPr>
          </w:p>
        </w:tc>
        <w:tc>
          <w:tcPr>
            <w:tcW w:w="1559" w:type="dxa"/>
            <w:shd w:val="clear" w:color="auto" w:fill="BFBFBF" w:themeFill="background1" w:themeFillShade="BF"/>
          </w:tcPr>
          <w:p w:rsidR="0075777C" w:rsidRPr="002A66C2" w:rsidRDefault="0075777C" w:rsidP="001A69BE">
            <w:pPr>
              <w:pStyle w:val="Tabletext"/>
              <w:jc w:val="center"/>
              <w:rPr>
                <w:rFonts w:cs="Arial"/>
                <w:b/>
              </w:rPr>
            </w:pPr>
            <w:r w:rsidRPr="002A66C2">
              <w:rPr>
                <w:rFonts w:cs="Arial"/>
                <w:b/>
              </w:rPr>
              <w:t>Prostanoid + ERA</w:t>
            </w:r>
          </w:p>
        </w:tc>
        <w:tc>
          <w:tcPr>
            <w:tcW w:w="1063" w:type="dxa"/>
            <w:shd w:val="clear" w:color="auto" w:fill="BFBFBF" w:themeFill="background1" w:themeFillShade="BF"/>
          </w:tcPr>
          <w:p w:rsidR="0075777C" w:rsidRPr="002A66C2" w:rsidRDefault="0075777C" w:rsidP="00534ADA">
            <w:pPr>
              <w:pStyle w:val="Tabletext"/>
              <w:jc w:val="center"/>
              <w:rPr>
                <w:rFonts w:cs="Arial"/>
                <w:b/>
              </w:rPr>
            </w:pPr>
            <w:r w:rsidRPr="002A66C2">
              <w:rPr>
                <w:rFonts w:cs="Arial"/>
                <w:b/>
              </w:rPr>
              <w:t>ERA</w:t>
            </w:r>
          </w:p>
        </w:tc>
        <w:tc>
          <w:tcPr>
            <w:tcW w:w="1631" w:type="dxa"/>
            <w:shd w:val="clear" w:color="auto" w:fill="BFBFBF" w:themeFill="background1" w:themeFillShade="BF"/>
          </w:tcPr>
          <w:p w:rsidR="0075777C" w:rsidRPr="002A66C2" w:rsidRDefault="0075777C" w:rsidP="001A69BE">
            <w:pPr>
              <w:pStyle w:val="Tabletext"/>
              <w:jc w:val="center"/>
              <w:rPr>
                <w:rFonts w:cs="Arial"/>
                <w:b/>
              </w:rPr>
            </w:pPr>
            <w:r w:rsidRPr="002A66C2">
              <w:rPr>
                <w:rFonts w:cs="Arial"/>
                <w:b/>
              </w:rPr>
              <w:t>Prostanoid + ERA</w:t>
            </w:r>
          </w:p>
        </w:tc>
        <w:tc>
          <w:tcPr>
            <w:tcW w:w="992" w:type="dxa"/>
            <w:shd w:val="clear" w:color="auto" w:fill="BFBFBF" w:themeFill="background1" w:themeFillShade="BF"/>
          </w:tcPr>
          <w:p w:rsidR="0075777C" w:rsidRPr="002A66C2" w:rsidRDefault="00534ADA" w:rsidP="00534ADA">
            <w:pPr>
              <w:pStyle w:val="Tabletext"/>
              <w:jc w:val="center"/>
              <w:rPr>
                <w:rFonts w:cs="Arial"/>
                <w:b/>
              </w:rPr>
            </w:pPr>
            <w:r w:rsidRPr="002A66C2">
              <w:rPr>
                <w:rFonts w:cs="Arial"/>
                <w:b/>
              </w:rPr>
              <w:t>ERA</w:t>
            </w:r>
          </w:p>
        </w:tc>
        <w:tc>
          <w:tcPr>
            <w:tcW w:w="1417" w:type="dxa"/>
            <w:vMerge/>
          </w:tcPr>
          <w:p w:rsidR="0075777C" w:rsidRDefault="0075777C" w:rsidP="001A69BE">
            <w:pPr>
              <w:pStyle w:val="Tabletext"/>
            </w:pPr>
          </w:p>
        </w:tc>
      </w:tr>
      <w:tr w:rsidR="0075777C" w:rsidTr="00534ADA">
        <w:tc>
          <w:tcPr>
            <w:tcW w:w="1309" w:type="dxa"/>
          </w:tcPr>
          <w:p w:rsidR="0075777C" w:rsidRPr="00822C52" w:rsidRDefault="0075777C" w:rsidP="001A69BE">
            <w:pPr>
              <w:pStyle w:val="Tabletext"/>
            </w:pPr>
            <w:r w:rsidRPr="00822C52">
              <w:t>COMBI</w:t>
            </w:r>
            <w:r w:rsidR="001D34EE" w:rsidRPr="001A1C44">
              <w:rPr>
                <w:noProof/>
                <w:vertAlign w:val="superscript"/>
              </w:rPr>
              <w:t>36</w:t>
            </w:r>
          </w:p>
          <w:p w:rsidR="0075777C" w:rsidRDefault="001A69BE" w:rsidP="001A69BE">
            <w:pPr>
              <w:pStyle w:val="Tabletext"/>
            </w:pPr>
            <w:r>
              <w:t>Iloprost/</w:t>
            </w:r>
            <w:r w:rsidR="0075777C" w:rsidRPr="00822C52">
              <w:t>bosentan</w:t>
            </w:r>
          </w:p>
        </w:tc>
        <w:tc>
          <w:tcPr>
            <w:tcW w:w="1663" w:type="dxa"/>
          </w:tcPr>
          <w:p w:rsidR="0075777C" w:rsidRPr="00822C52" w:rsidRDefault="0075777C" w:rsidP="001A69BE">
            <w:pPr>
              <w:pStyle w:val="Tabletext"/>
            </w:pPr>
            <w:r w:rsidRPr="00822C52">
              <w:t>N=</w:t>
            </w:r>
            <w:r>
              <w:t>40</w:t>
            </w:r>
            <w:r w:rsidR="001A69BE" w:rsidRPr="00822C52">
              <w:t xml:space="preserve"> WHO FC III</w:t>
            </w:r>
          </w:p>
          <w:p w:rsidR="0075777C" w:rsidRDefault="001A69BE" w:rsidP="001A69BE">
            <w:pPr>
              <w:pStyle w:val="Tabletext"/>
            </w:pPr>
            <w:r>
              <w:t>16 weeks</w:t>
            </w:r>
          </w:p>
        </w:tc>
        <w:tc>
          <w:tcPr>
            <w:tcW w:w="1559" w:type="dxa"/>
          </w:tcPr>
          <w:p w:rsidR="0075777C" w:rsidRDefault="0075777C" w:rsidP="001A69BE">
            <w:pPr>
              <w:pStyle w:val="Tabletext"/>
              <w:jc w:val="center"/>
            </w:pPr>
            <w:r w:rsidRPr="00822C52">
              <w:rPr>
                <w:rFonts w:cs="Tahoma"/>
              </w:rPr>
              <w:t>317 ± 74</w:t>
            </w:r>
          </w:p>
        </w:tc>
        <w:tc>
          <w:tcPr>
            <w:tcW w:w="1063" w:type="dxa"/>
          </w:tcPr>
          <w:p w:rsidR="0075777C" w:rsidRDefault="0075777C" w:rsidP="001A69BE">
            <w:pPr>
              <w:pStyle w:val="Tabletext"/>
              <w:jc w:val="center"/>
            </w:pPr>
            <w:r w:rsidRPr="00822C52">
              <w:rPr>
                <w:rFonts w:cs="Tahoma"/>
              </w:rPr>
              <w:t>296 ± 79</w:t>
            </w:r>
          </w:p>
        </w:tc>
        <w:tc>
          <w:tcPr>
            <w:tcW w:w="1631" w:type="dxa"/>
          </w:tcPr>
          <w:p w:rsidR="0075777C" w:rsidRDefault="0075777C" w:rsidP="001A69BE">
            <w:pPr>
              <w:pStyle w:val="Tabletext"/>
              <w:jc w:val="center"/>
            </w:pPr>
            <w:r w:rsidRPr="00822C52">
              <w:rPr>
                <w:rFonts w:cs="Tahoma"/>
              </w:rPr>
              <w:t>9 ± 100</w:t>
            </w:r>
          </w:p>
        </w:tc>
        <w:tc>
          <w:tcPr>
            <w:tcW w:w="992" w:type="dxa"/>
          </w:tcPr>
          <w:p w:rsidR="0075777C" w:rsidRDefault="0075777C" w:rsidP="001A69BE">
            <w:pPr>
              <w:pStyle w:val="Tabletext"/>
              <w:jc w:val="center"/>
            </w:pPr>
            <w:r>
              <w:rPr>
                <w:rFonts w:cs="Tahoma"/>
              </w:rPr>
              <w:t>−</w:t>
            </w:r>
            <w:r w:rsidRPr="00822C52">
              <w:rPr>
                <w:rFonts w:cs="Tahoma"/>
              </w:rPr>
              <w:t>1 ± 27</w:t>
            </w:r>
          </w:p>
        </w:tc>
        <w:tc>
          <w:tcPr>
            <w:tcW w:w="1417" w:type="dxa"/>
          </w:tcPr>
          <w:p w:rsidR="0075777C" w:rsidRDefault="0075777C" w:rsidP="001A69BE">
            <w:pPr>
              <w:pStyle w:val="Tabletext"/>
            </w:pPr>
            <w:r w:rsidRPr="00822C52">
              <w:rPr>
                <w:rFonts w:cs="Tahoma"/>
              </w:rPr>
              <w:t>10, p=0.49</w:t>
            </w:r>
          </w:p>
        </w:tc>
      </w:tr>
      <w:tr w:rsidR="0075777C" w:rsidTr="00534ADA">
        <w:tc>
          <w:tcPr>
            <w:tcW w:w="1309" w:type="dxa"/>
          </w:tcPr>
          <w:p w:rsidR="0075777C" w:rsidRPr="00822C52" w:rsidRDefault="0075777C" w:rsidP="001A69BE">
            <w:pPr>
              <w:pStyle w:val="Tabletext"/>
            </w:pPr>
            <w:r w:rsidRPr="00822C52">
              <w:t>STEP</w:t>
            </w:r>
            <w:r w:rsidR="001D34EE" w:rsidRPr="001A1C44">
              <w:rPr>
                <w:noProof/>
                <w:vertAlign w:val="superscript"/>
              </w:rPr>
              <w:t>48</w:t>
            </w:r>
            <w:r w:rsidRPr="00E03CA3">
              <w:rPr>
                <w:vertAlign w:val="superscript"/>
              </w:rPr>
              <w:t xml:space="preserve"> a</w:t>
            </w:r>
          </w:p>
          <w:p w:rsidR="0075777C" w:rsidRPr="00822C52" w:rsidRDefault="0075777C" w:rsidP="001A69BE">
            <w:pPr>
              <w:pStyle w:val="Tabletext"/>
              <w:rPr>
                <w:rFonts w:cs="Tahoma"/>
              </w:rPr>
            </w:pPr>
            <w:r w:rsidRPr="00822C52">
              <w:t>Iloprost/bosentan</w:t>
            </w:r>
          </w:p>
        </w:tc>
        <w:tc>
          <w:tcPr>
            <w:tcW w:w="1663" w:type="dxa"/>
          </w:tcPr>
          <w:p w:rsidR="0075777C" w:rsidRPr="00822C52" w:rsidRDefault="0075777C" w:rsidP="001A69BE">
            <w:pPr>
              <w:pStyle w:val="Tabletext"/>
            </w:pPr>
            <w:r w:rsidRPr="00822C52">
              <w:t>N=</w:t>
            </w:r>
            <w:r>
              <w:t>65</w:t>
            </w:r>
            <w:r w:rsidR="001A69BE" w:rsidRPr="00822C52">
              <w:t xml:space="preserve"> </w:t>
            </w:r>
            <w:r w:rsidR="006B4B22">
              <w:t>WHO</w:t>
            </w:r>
            <w:r w:rsidR="001A69BE" w:rsidRPr="00822C52">
              <w:t xml:space="preserve"> FC III/IV</w:t>
            </w:r>
          </w:p>
          <w:p w:rsidR="0075777C" w:rsidRPr="001A69BE" w:rsidRDefault="001A69BE" w:rsidP="001A69BE">
            <w:pPr>
              <w:pStyle w:val="Tabletext"/>
            </w:pPr>
            <w:r>
              <w:t>12 weeks</w:t>
            </w:r>
          </w:p>
        </w:tc>
        <w:tc>
          <w:tcPr>
            <w:tcW w:w="1559" w:type="dxa"/>
          </w:tcPr>
          <w:p w:rsidR="0075777C" w:rsidRPr="00822C52" w:rsidRDefault="0075777C" w:rsidP="001A69BE">
            <w:pPr>
              <w:pStyle w:val="Tabletext"/>
              <w:jc w:val="center"/>
              <w:rPr>
                <w:rFonts w:cs="Tahoma"/>
              </w:rPr>
            </w:pPr>
            <w:r w:rsidRPr="00822C52">
              <w:rPr>
                <w:rFonts w:cs="Tahoma"/>
              </w:rPr>
              <w:t>336 ± 61</w:t>
            </w:r>
          </w:p>
        </w:tc>
        <w:tc>
          <w:tcPr>
            <w:tcW w:w="1063" w:type="dxa"/>
          </w:tcPr>
          <w:p w:rsidR="0075777C" w:rsidRPr="00822C52" w:rsidRDefault="0075777C" w:rsidP="001A69BE">
            <w:pPr>
              <w:pStyle w:val="Tabletext"/>
              <w:jc w:val="center"/>
              <w:rPr>
                <w:rFonts w:cs="Tahoma"/>
              </w:rPr>
            </w:pPr>
            <w:r w:rsidRPr="00822C52">
              <w:rPr>
                <w:rFonts w:cs="Tahoma"/>
              </w:rPr>
              <w:t>340 ± 73</w:t>
            </w:r>
          </w:p>
        </w:tc>
        <w:tc>
          <w:tcPr>
            <w:tcW w:w="1631" w:type="dxa"/>
          </w:tcPr>
          <w:p w:rsidR="0075777C" w:rsidRPr="00822C52" w:rsidRDefault="0075777C" w:rsidP="001A69BE">
            <w:pPr>
              <w:pStyle w:val="Tabletext"/>
              <w:jc w:val="center"/>
              <w:rPr>
                <w:rFonts w:cs="Tahoma"/>
              </w:rPr>
            </w:pPr>
            <w:r w:rsidRPr="00822C52">
              <w:rPr>
                <w:rFonts w:cs="Tahoma"/>
              </w:rPr>
              <w:t>30 ± 60</w:t>
            </w:r>
          </w:p>
        </w:tc>
        <w:tc>
          <w:tcPr>
            <w:tcW w:w="992" w:type="dxa"/>
          </w:tcPr>
          <w:p w:rsidR="0075777C" w:rsidRDefault="0075777C" w:rsidP="001A69BE">
            <w:pPr>
              <w:pStyle w:val="Tabletext"/>
              <w:jc w:val="center"/>
              <w:rPr>
                <w:rFonts w:cs="Tahoma"/>
              </w:rPr>
            </w:pPr>
            <w:r w:rsidRPr="00822C52">
              <w:rPr>
                <w:rFonts w:cs="Tahoma"/>
              </w:rPr>
              <w:t>4 ± 61</w:t>
            </w:r>
          </w:p>
        </w:tc>
        <w:tc>
          <w:tcPr>
            <w:tcW w:w="1417" w:type="dxa"/>
          </w:tcPr>
          <w:p w:rsidR="0075777C" w:rsidRPr="00822C52" w:rsidRDefault="0075777C" w:rsidP="001A69BE">
            <w:pPr>
              <w:pStyle w:val="Tabletext"/>
              <w:rPr>
                <w:rFonts w:cs="Tahoma"/>
              </w:rPr>
            </w:pPr>
            <w:r w:rsidRPr="00822C52">
              <w:rPr>
                <w:rFonts w:cs="Tahoma"/>
              </w:rPr>
              <w:t>26, p=0.051</w:t>
            </w:r>
          </w:p>
        </w:tc>
      </w:tr>
    </w:tbl>
    <w:p w:rsidR="0075777C" w:rsidRDefault="0075777C" w:rsidP="001A69BE">
      <w:pPr>
        <w:pStyle w:val="Tablenote"/>
      </w:pPr>
      <w:r w:rsidRPr="00E03CA3">
        <w:rPr>
          <w:vertAlign w:val="superscript"/>
        </w:rPr>
        <w:t>a</w:t>
      </w:r>
      <w:r>
        <w:rPr>
          <w:vertAlign w:val="superscript"/>
        </w:rPr>
        <w:t xml:space="preserve"> </w:t>
      </w:r>
      <w:r>
        <w:t xml:space="preserve">One patient in the monotherapy group had </w:t>
      </w:r>
      <w:r w:rsidR="006B4B22">
        <w:t>WHO</w:t>
      </w:r>
      <w:r>
        <w:t xml:space="preserve"> FC II PAH</w:t>
      </w:r>
    </w:p>
    <w:p w:rsidR="0075777C" w:rsidRPr="00822C52" w:rsidRDefault="0075777C" w:rsidP="001A69BE">
      <w:pPr>
        <w:pStyle w:val="Tablenote"/>
      </w:pPr>
      <w:r w:rsidRPr="00822C52">
        <w:t xml:space="preserve">6MWD = 6-minute </w:t>
      </w:r>
      <w:r w:rsidR="0082368E">
        <w:t>walk distance</w:t>
      </w:r>
      <w:r w:rsidRPr="00822C52">
        <w:t>; ERA = endothelin receptor antagonist; FC = functional class; N = number of patients; PAH = pulmonary arterial hypertension; SD = standard deviation; WHO = World Health Organization</w:t>
      </w:r>
    </w:p>
    <w:p w:rsidR="0075777C" w:rsidRPr="00822C52" w:rsidRDefault="00761752" w:rsidP="007B6C7C">
      <w:pPr>
        <w:pStyle w:val="Heading5"/>
      </w:pPr>
      <w:r>
        <w:t>f</w:t>
      </w:r>
      <w:r w:rsidR="002E4833">
        <w:t>.</w:t>
      </w:r>
      <w:r w:rsidR="007B6C7C">
        <w:tab/>
      </w:r>
      <w:r w:rsidR="007B6C7C" w:rsidRPr="007B6C7C">
        <w:t>Change in QoL from baseline</w:t>
      </w:r>
    </w:p>
    <w:p w:rsidR="0075777C" w:rsidRPr="00822C52" w:rsidRDefault="00761752" w:rsidP="0077344D">
      <w:pPr>
        <w:pStyle w:val="Heading6"/>
      </w:pPr>
      <w:r>
        <w:t>f</w:t>
      </w:r>
      <w:r w:rsidR="0075777C" w:rsidRPr="00822C52">
        <w:t>.ii</w:t>
      </w:r>
      <w:r w:rsidR="0075777C" w:rsidRPr="00822C52">
        <w:tab/>
        <w:t>PAH patients with FC III or IV</w:t>
      </w:r>
    </w:p>
    <w:p w:rsidR="0075777C" w:rsidRDefault="0075777C" w:rsidP="0075777C">
      <w:r>
        <w:t xml:space="preserve">The COMBI trial investigated the QoL of all included patients using </w:t>
      </w:r>
      <w:r w:rsidR="00107963" w:rsidRPr="00107963">
        <w:t>EuroQoL visual analogue scale</w:t>
      </w:r>
      <w:r w:rsidR="00107963">
        <w:t xml:space="preserve"> (EQ-VAS)</w:t>
      </w:r>
      <w:r w:rsidR="00572AE9">
        <w:t xml:space="preserve"> </w:t>
      </w:r>
      <w:r>
        <w:t>(</w:t>
      </w:r>
      <w:r w:rsidR="00AA722D">
        <w:t>Table 4.</w:t>
      </w:r>
      <w:r w:rsidR="00AA722D">
        <w:rPr>
          <w:noProof/>
        </w:rPr>
        <w:t>83</w:t>
      </w:r>
      <w:r>
        <w:t xml:space="preserve">). The visual analogue scale measures a patients perceived health state </w:t>
      </w:r>
      <w:r w:rsidRPr="00745A73">
        <w:t>on a 20 cm vertical scale</w:t>
      </w:r>
      <w:r>
        <w:t xml:space="preserve">, where 0 represents the “worst </w:t>
      </w:r>
      <w:r w:rsidRPr="00745A73">
        <w:t>health you can imagine</w:t>
      </w:r>
      <w:r>
        <w:t>” and</w:t>
      </w:r>
      <w:r w:rsidRPr="00745A73">
        <w:t xml:space="preserve"> 100 </w:t>
      </w:r>
      <w:r>
        <w:t>represents “</w:t>
      </w:r>
      <w:r w:rsidRPr="00745A73">
        <w:t>the best health you can imagine</w:t>
      </w:r>
      <w:r>
        <w:t>”. Two studies investigating the use of the</w:t>
      </w:r>
      <w:r w:rsidRPr="00E817C9">
        <w:t xml:space="preserve"> EQ-</w:t>
      </w:r>
      <w:r w:rsidR="00107963">
        <w:t>VAS</w:t>
      </w:r>
      <w:r w:rsidRPr="00E817C9">
        <w:t xml:space="preserve"> </w:t>
      </w:r>
      <w:r>
        <w:t xml:space="preserve">for assessing changes in QoL for patients with COPD reported a </w:t>
      </w:r>
      <w:r w:rsidRPr="00E817C9">
        <w:t>minimum important difference</w:t>
      </w:r>
      <w:r>
        <w:t xml:space="preserve"> of </w:t>
      </w:r>
      <w:r w:rsidRPr="00E817C9">
        <w:t>6.5</w:t>
      </w:r>
      <w:r w:rsidR="00DB6ACB">
        <w:t>−</w:t>
      </w:r>
      <w:r w:rsidRPr="00E817C9">
        <w:t>8.0</w:t>
      </w:r>
      <w:r>
        <w:t xml:space="preserve"> points</w:t>
      </w:r>
      <w:r w:rsidR="001D34EE" w:rsidRPr="001D34EE">
        <w:rPr>
          <w:noProof/>
          <w:vertAlign w:val="superscript"/>
        </w:rPr>
        <w:t>85, 86</w:t>
      </w:r>
      <w:r>
        <w:t xml:space="preserve">. In the COMBI trial, patients receiving combination therapy improved their QoL by 7 points compared to those receiving monotherapy, whose QoL decreased by 3 points. The mean improvement in QoL for patients receiving combination therapy compared with those on monotherapy was 10 points, which is a clinically important difference. </w:t>
      </w:r>
    </w:p>
    <w:p w:rsidR="0075777C" w:rsidRDefault="00272F8F" w:rsidP="00BC5A2B">
      <w:pPr>
        <w:pStyle w:val="Caption"/>
      </w:pPr>
      <w:bookmarkStart w:id="253" w:name="_Ref504656928"/>
      <w:bookmarkStart w:id="254" w:name="_Toc512855487"/>
      <w:r>
        <w:t>Table 4.</w:t>
      </w:r>
      <w:r w:rsidR="00AA722D">
        <w:rPr>
          <w:noProof/>
        </w:rPr>
        <w:t>83</w:t>
      </w:r>
      <w:bookmarkEnd w:id="253"/>
      <w:r w:rsidR="001A69BE">
        <w:tab/>
      </w:r>
      <w:r w:rsidR="0075777C" w:rsidRPr="00DD7790">
        <w:rPr>
          <w:noProof/>
        </w:rPr>
        <w:t>T</w:t>
      </w:r>
      <w:r w:rsidR="0075777C" w:rsidRPr="00DD7790">
        <w:t xml:space="preserve">he effectiveness of </w:t>
      </w:r>
      <w:r w:rsidR="007E59EC">
        <w:t xml:space="preserve">a prostanoid in addition to an ERA compared with </w:t>
      </w:r>
      <w:r w:rsidR="007E59EC" w:rsidRPr="00DD7790">
        <w:t xml:space="preserve">ERA </w:t>
      </w:r>
      <w:r w:rsidR="007E59EC">
        <w:t>monotherapy</w:t>
      </w:r>
      <w:r w:rsidR="007E59EC" w:rsidRPr="00DD7790">
        <w:t xml:space="preserve"> </w:t>
      </w:r>
      <w:r w:rsidR="0075777C" w:rsidRPr="00DD7790">
        <w:t>in improving QoL in patients with WHO FC III</w:t>
      </w:r>
      <w:r w:rsidR="00E63678">
        <w:t>/</w:t>
      </w:r>
      <w:r w:rsidR="0075777C" w:rsidRPr="00DD7790">
        <w:t>IV PAH</w:t>
      </w:r>
      <w:bookmarkEnd w:id="254"/>
    </w:p>
    <w:tbl>
      <w:tblPr>
        <w:tblStyle w:val="TableGrid"/>
        <w:tblW w:w="9634" w:type="dxa"/>
        <w:tblLook w:val="04A0" w:firstRow="1" w:lastRow="0" w:firstColumn="1" w:lastColumn="0" w:noHBand="0" w:noVBand="1"/>
        <w:tblCaption w:val="The effectiveness of a prostanoid in addition to an ERA compared with ERA monotherapy in improving QoL in patients with WHO FC III/IV PAH"/>
      </w:tblPr>
      <w:tblGrid>
        <w:gridCol w:w="1650"/>
        <w:gridCol w:w="1459"/>
        <w:gridCol w:w="1365"/>
        <w:gridCol w:w="1273"/>
        <w:gridCol w:w="1365"/>
        <w:gridCol w:w="1270"/>
        <w:gridCol w:w="1252"/>
      </w:tblGrid>
      <w:tr w:rsidR="0075777C" w:rsidTr="00242BA3">
        <w:trPr>
          <w:cnfStyle w:val="100000000000" w:firstRow="1" w:lastRow="0" w:firstColumn="0" w:lastColumn="0" w:oddVBand="0" w:evenVBand="0" w:oddHBand="0" w:evenHBand="0" w:firstRowFirstColumn="0" w:firstRowLastColumn="0" w:lastRowFirstColumn="0" w:lastRowLastColumn="0"/>
        </w:trPr>
        <w:tc>
          <w:tcPr>
            <w:tcW w:w="1308" w:type="dxa"/>
            <w:vMerge w:val="restart"/>
            <w:shd w:val="clear" w:color="auto" w:fill="BFBFBF" w:themeFill="background1" w:themeFillShade="BF"/>
          </w:tcPr>
          <w:p w:rsidR="0075777C" w:rsidRPr="001A69BE" w:rsidRDefault="0075777C" w:rsidP="001A69BE">
            <w:pPr>
              <w:pStyle w:val="Tabletext"/>
              <w:rPr>
                <w:b/>
              </w:rPr>
            </w:pPr>
            <w:r w:rsidRPr="001A69BE">
              <w:rPr>
                <w:b/>
              </w:rPr>
              <w:t>Study ID</w:t>
            </w:r>
          </w:p>
          <w:p w:rsidR="0075777C" w:rsidRPr="001A69BE" w:rsidRDefault="0075777C" w:rsidP="001A69BE">
            <w:pPr>
              <w:pStyle w:val="Tabletext"/>
              <w:rPr>
                <w:b/>
              </w:rPr>
            </w:pPr>
            <w:r w:rsidRPr="001A69BE">
              <w:rPr>
                <w:b/>
              </w:rPr>
              <w:t>Prostanoid/ ERA</w:t>
            </w:r>
          </w:p>
        </w:tc>
        <w:tc>
          <w:tcPr>
            <w:tcW w:w="1438" w:type="dxa"/>
            <w:vMerge w:val="restart"/>
            <w:shd w:val="clear" w:color="auto" w:fill="BFBFBF" w:themeFill="background1" w:themeFillShade="BF"/>
          </w:tcPr>
          <w:p w:rsidR="0075777C" w:rsidRPr="001A69BE" w:rsidRDefault="0075777C" w:rsidP="001A69BE">
            <w:pPr>
              <w:pStyle w:val="Tabletext"/>
              <w:rPr>
                <w:b/>
              </w:rPr>
            </w:pPr>
            <w:r w:rsidRPr="001A69BE">
              <w:rPr>
                <w:b/>
              </w:rPr>
              <w:t>Questionnaire</w:t>
            </w:r>
          </w:p>
          <w:p w:rsidR="0075777C" w:rsidRPr="001A69BE" w:rsidRDefault="0075777C" w:rsidP="001A69BE">
            <w:pPr>
              <w:pStyle w:val="Tabletext"/>
              <w:rPr>
                <w:b/>
              </w:rPr>
            </w:pPr>
            <w:r w:rsidRPr="001A69BE">
              <w:rPr>
                <w:b/>
              </w:rPr>
              <w:t>Follow-up period</w:t>
            </w:r>
          </w:p>
        </w:tc>
        <w:tc>
          <w:tcPr>
            <w:tcW w:w="2806" w:type="dxa"/>
            <w:gridSpan w:val="2"/>
            <w:shd w:val="clear" w:color="auto" w:fill="BFBFBF" w:themeFill="background1" w:themeFillShade="BF"/>
          </w:tcPr>
          <w:p w:rsidR="0075777C" w:rsidRPr="001A69BE" w:rsidRDefault="00242BA3" w:rsidP="00242BA3">
            <w:pPr>
              <w:pStyle w:val="Tabletext"/>
              <w:jc w:val="center"/>
              <w:rPr>
                <w:b/>
              </w:rPr>
            </w:pPr>
            <w:r>
              <w:rPr>
                <w:b/>
              </w:rPr>
              <w:t>M</w:t>
            </w:r>
            <w:r w:rsidRPr="001A69BE">
              <w:rPr>
                <w:b/>
              </w:rPr>
              <w:t xml:space="preserve">ean ± SD </w:t>
            </w:r>
            <w:r>
              <w:rPr>
                <w:b/>
              </w:rPr>
              <w:t>b</w:t>
            </w:r>
            <w:r w:rsidR="0075777C" w:rsidRPr="001A69BE">
              <w:rPr>
                <w:b/>
              </w:rPr>
              <w:t>aseline QoL</w:t>
            </w:r>
          </w:p>
        </w:tc>
        <w:tc>
          <w:tcPr>
            <w:tcW w:w="2807" w:type="dxa"/>
            <w:gridSpan w:val="2"/>
            <w:shd w:val="clear" w:color="auto" w:fill="BFBFBF" w:themeFill="background1" w:themeFillShade="BF"/>
          </w:tcPr>
          <w:p w:rsidR="0075777C" w:rsidRPr="001A69BE" w:rsidRDefault="0075777C" w:rsidP="00242BA3">
            <w:pPr>
              <w:pStyle w:val="Tabletext"/>
              <w:jc w:val="center"/>
              <w:rPr>
                <w:b/>
              </w:rPr>
            </w:pPr>
            <w:r w:rsidRPr="001A69BE">
              <w:rPr>
                <w:b/>
              </w:rPr>
              <w:t xml:space="preserve">Mean </w:t>
            </w:r>
            <w:r w:rsidR="00242BA3">
              <w:rPr>
                <w:b/>
              </w:rPr>
              <w:t xml:space="preserve">± SD </w:t>
            </w:r>
            <w:r w:rsidRPr="001A69BE">
              <w:rPr>
                <w:b/>
              </w:rPr>
              <w:t>change from baseline</w:t>
            </w:r>
          </w:p>
        </w:tc>
        <w:tc>
          <w:tcPr>
            <w:tcW w:w="1275" w:type="dxa"/>
            <w:vMerge w:val="restart"/>
            <w:shd w:val="clear" w:color="auto" w:fill="BFBFBF" w:themeFill="background1" w:themeFillShade="BF"/>
          </w:tcPr>
          <w:p w:rsidR="0075777C" w:rsidRPr="001A69BE" w:rsidRDefault="0075777C" w:rsidP="00561DAB">
            <w:pPr>
              <w:pStyle w:val="Tabletext"/>
              <w:rPr>
                <w:b/>
              </w:rPr>
            </w:pPr>
            <w:r w:rsidRPr="001A69BE">
              <w:rPr>
                <w:b/>
              </w:rPr>
              <w:t>Mean difference</w:t>
            </w:r>
            <w:r w:rsidR="00242BA3">
              <w:rPr>
                <w:b/>
              </w:rPr>
              <w:t>, points</w:t>
            </w:r>
          </w:p>
        </w:tc>
      </w:tr>
      <w:tr w:rsidR="0075777C" w:rsidTr="00242BA3">
        <w:tc>
          <w:tcPr>
            <w:tcW w:w="1308" w:type="dxa"/>
            <w:vMerge/>
          </w:tcPr>
          <w:p w:rsidR="0075777C" w:rsidRPr="001A69BE" w:rsidRDefault="0075777C" w:rsidP="001A69BE">
            <w:pPr>
              <w:pStyle w:val="Tabletext"/>
            </w:pPr>
          </w:p>
        </w:tc>
        <w:tc>
          <w:tcPr>
            <w:tcW w:w="1438" w:type="dxa"/>
            <w:vMerge/>
          </w:tcPr>
          <w:p w:rsidR="0075777C" w:rsidRPr="001A69BE" w:rsidRDefault="0075777C" w:rsidP="001A69BE">
            <w:pPr>
              <w:pStyle w:val="Tabletext"/>
            </w:pPr>
          </w:p>
        </w:tc>
        <w:tc>
          <w:tcPr>
            <w:tcW w:w="1403" w:type="dxa"/>
            <w:shd w:val="clear" w:color="auto" w:fill="BFBFBF" w:themeFill="background1" w:themeFillShade="BF"/>
          </w:tcPr>
          <w:p w:rsidR="0075777C" w:rsidRPr="001A69BE" w:rsidRDefault="0075777C" w:rsidP="001A69BE">
            <w:pPr>
              <w:pStyle w:val="Tabletext"/>
              <w:jc w:val="center"/>
              <w:rPr>
                <w:b/>
              </w:rPr>
            </w:pPr>
            <w:r w:rsidRPr="001A69BE">
              <w:rPr>
                <w:b/>
              </w:rPr>
              <w:t>Prostanoid + ERA</w:t>
            </w:r>
          </w:p>
        </w:tc>
        <w:tc>
          <w:tcPr>
            <w:tcW w:w="1403" w:type="dxa"/>
            <w:shd w:val="clear" w:color="auto" w:fill="BFBFBF" w:themeFill="background1" w:themeFillShade="BF"/>
          </w:tcPr>
          <w:p w:rsidR="0075777C" w:rsidRPr="001A69BE" w:rsidRDefault="0075777C" w:rsidP="001A69BE">
            <w:pPr>
              <w:pStyle w:val="Tabletext"/>
              <w:jc w:val="center"/>
              <w:rPr>
                <w:b/>
              </w:rPr>
            </w:pPr>
            <w:r w:rsidRPr="001A69BE">
              <w:rPr>
                <w:b/>
              </w:rPr>
              <w:t>ERA</w:t>
            </w:r>
          </w:p>
        </w:tc>
        <w:tc>
          <w:tcPr>
            <w:tcW w:w="1403" w:type="dxa"/>
            <w:shd w:val="clear" w:color="auto" w:fill="BFBFBF" w:themeFill="background1" w:themeFillShade="BF"/>
          </w:tcPr>
          <w:p w:rsidR="0075777C" w:rsidRPr="001A69BE" w:rsidRDefault="0075777C" w:rsidP="001A69BE">
            <w:pPr>
              <w:pStyle w:val="Tabletext"/>
              <w:jc w:val="center"/>
              <w:rPr>
                <w:b/>
              </w:rPr>
            </w:pPr>
            <w:r w:rsidRPr="001A69BE">
              <w:rPr>
                <w:b/>
              </w:rPr>
              <w:t>Prostanoid + ERA</w:t>
            </w:r>
          </w:p>
        </w:tc>
        <w:tc>
          <w:tcPr>
            <w:tcW w:w="1404" w:type="dxa"/>
            <w:shd w:val="clear" w:color="auto" w:fill="BFBFBF" w:themeFill="background1" w:themeFillShade="BF"/>
          </w:tcPr>
          <w:p w:rsidR="0075777C" w:rsidRPr="001A69BE" w:rsidRDefault="0075777C" w:rsidP="001A69BE">
            <w:pPr>
              <w:pStyle w:val="Tabletext"/>
              <w:jc w:val="center"/>
              <w:rPr>
                <w:b/>
              </w:rPr>
            </w:pPr>
            <w:r w:rsidRPr="001A69BE">
              <w:rPr>
                <w:b/>
              </w:rPr>
              <w:t>ERA</w:t>
            </w:r>
          </w:p>
        </w:tc>
        <w:tc>
          <w:tcPr>
            <w:tcW w:w="1275" w:type="dxa"/>
            <w:vMerge/>
          </w:tcPr>
          <w:p w:rsidR="0075777C" w:rsidRPr="001A69BE" w:rsidRDefault="0075777C" w:rsidP="001A69BE">
            <w:pPr>
              <w:pStyle w:val="Tabletext"/>
            </w:pPr>
          </w:p>
        </w:tc>
      </w:tr>
      <w:tr w:rsidR="0075777C" w:rsidTr="00242BA3">
        <w:tc>
          <w:tcPr>
            <w:tcW w:w="1308" w:type="dxa"/>
          </w:tcPr>
          <w:p w:rsidR="0075777C" w:rsidRPr="001A69BE" w:rsidRDefault="0075777C" w:rsidP="001A69BE">
            <w:pPr>
              <w:pStyle w:val="Tabletext"/>
            </w:pPr>
            <w:r w:rsidRPr="001A69BE">
              <w:t>COMBI</w:t>
            </w:r>
            <w:r w:rsidR="001D34EE">
              <w:rPr>
                <w:noProof/>
                <w:vertAlign w:val="superscript"/>
              </w:rPr>
              <w:t>36</w:t>
            </w:r>
          </w:p>
          <w:p w:rsidR="0075777C" w:rsidRPr="001A69BE" w:rsidRDefault="001A69BE" w:rsidP="001A69BE">
            <w:pPr>
              <w:pStyle w:val="Tabletext"/>
            </w:pPr>
            <w:r>
              <w:t>Iloprost/</w:t>
            </w:r>
            <w:r w:rsidR="0075777C" w:rsidRPr="001A69BE">
              <w:t>bosentan</w:t>
            </w:r>
          </w:p>
        </w:tc>
        <w:tc>
          <w:tcPr>
            <w:tcW w:w="1438" w:type="dxa"/>
          </w:tcPr>
          <w:p w:rsidR="0075777C" w:rsidRPr="001A69BE" w:rsidRDefault="0075777C" w:rsidP="001A69BE">
            <w:pPr>
              <w:pStyle w:val="Tabletext"/>
            </w:pPr>
            <w:r w:rsidRPr="001A69BE">
              <w:t>EQ-</w:t>
            </w:r>
            <w:r w:rsidR="00107963">
              <w:t>VAS</w:t>
            </w:r>
            <w:r w:rsidR="005A2984">
              <w:t xml:space="preserve"> </w:t>
            </w:r>
            <w:r w:rsidR="005A2984" w:rsidRPr="005A2984">
              <w:rPr>
                <w:vertAlign w:val="superscript"/>
              </w:rPr>
              <w:t>a</w:t>
            </w:r>
          </w:p>
          <w:p w:rsidR="0075777C" w:rsidRPr="001A69BE" w:rsidRDefault="0075777C" w:rsidP="001A69BE">
            <w:pPr>
              <w:pStyle w:val="Tabletext"/>
            </w:pPr>
            <w:r w:rsidRPr="001A69BE">
              <w:t>16 weeks</w:t>
            </w:r>
          </w:p>
          <w:p w:rsidR="0075777C" w:rsidRPr="001A69BE" w:rsidRDefault="0075777C" w:rsidP="001A69BE">
            <w:pPr>
              <w:pStyle w:val="Tabletext"/>
            </w:pPr>
            <w:r w:rsidRPr="001A69BE">
              <w:t>WHO FC III</w:t>
            </w:r>
          </w:p>
        </w:tc>
        <w:tc>
          <w:tcPr>
            <w:tcW w:w="1403" w:type="dxa"/>
          </w:tcPr>
          <w:p w:rsidR="0075777C" w:rsidRPr="001A69BE" w:rsidRDefault="0075777C" w:rsidP="001A69BE">
            <w:pPr>
              <w:pStyle w:val="Tabletext"/>
              <w:jc w:val="center"/>
            </w:pPr>
            <w:r w:rsidRPr="001A69BE">
              <w:t>n=19</w:t>
            </w:r>
          </w:p>
          <w:p w:rsidR="0075777C" w:rsidRPr="001A69BE" w:rsidRDefault="0075777C" w:rsidP="001A69BE">
            <w:pPr>
              <w:pStyle w:val="Tabletext"/>
              <w:jc w:val="center"/>
            </w:pPr>
            <w:r w:rsidRPr="001A69BE">
              <w:t>40 ± 17</w:t>
            </w:r>
          </w:p>
        </w:tc>
        <w:tc>
          <w:tcPr>
            <w:tcW w:w="1403" w:type="dxa"/>
          </w:tcPr>
          <w:p w:rsidR="0075777C" w:rsidRPr="001A69BE" w:rsidRDefault="0075777C" w:rsidP="001A69BE">
            <w:pPr>
              <w:pStyle w:val="Tabletext"/>
              <w:jc w:val="center"/>
            </w:pPr>
            <w:r w:rsidRPr="001A69BE">
              <w:t>n=21</w:t>
            </w:r>
          </w:p>
          <w:p w:rsidR="0075777C" w:rsidRPr="001A69BE" w:rsidRDefault="0075777C" w:rsidP="001A69BE">
            <w:pPr>
              <w:pStyle w:val="Tabletext"/>
              <w:jc w:val="center"/>
            </w:pPr>
            <w:r w:rsidRPr="001A69BE">
              <w:t>48 ± 16</w:t>
            </w:r>
          </w:p>
        </w:tc>
        <w:tc>
          <w:tcPr>
            <w:tcW w:w="1403" w:type="dxa"/>
          </w:tcPr>
          <w:p w:rsidR="0075777C" w:rsidRPr="001A69BE" w:rsidRDefault="0075777C" w:rsidP="001A69BE">
            <w:pPr>
              <w:pStyle w:val="Tabletext"/>
              <w:jc w:val="center"/>
            </w:pPr>
          </w:p>
          <w:p w:rsidR="0075777C" w:rsidRPr="001A69BE" w:rsidRDefault="0075777C" w:rsidP="001A69BE">
            <w:pPr>
              <w:pStyle w:val="Tabletext"/>
              <w:jc w:val="center"/>
            </w:pPr>
            <w:r w:rsidRPr="001A69BE">
              <w:t>+7 ± 19</w:t>
            </w:r>
          </w:p>
        </w:tc>
        <w:tc>
          <w:tcPr>
            <w:tcW w:w="1404" w:type="dxa"/>
          </w:tcPr>
          <w:p w:rsidR="0075777C" w:rsidRPr="001A69BE" w:rsidRDefault="0075777C" w:rsidP="001A69BE">
            <w:pPr>
              <w:pStyle w:val="Tabletext"/>
              <w:jc w:val="center"/>
            </w:pPr>
          </w:p>
          <w:p w:rsidR="0075777C" w:rsidRPr="001A69BE" w:rsidRDefault="0075777C" w:rsidP="001A69BE">
            <w:pPr>
              <w:pStyle w:val="Tabletext"/>
              <w:jc w:val="center"/>
            </w:pPr>
            <w:r w:rsidRPr="001A69BE">
              <w:t>–3 ± 11</w:t>
            </w:r>
          </w:p>
        </w:tc>
        <w:tc>
          <w:tcPr>
            <w:tcW w:w="1275" w:type="dxa"/>
          </w:tcPr>
          <w:p w:rsidR="0075777C" w:rsidRPr="001A69BE" w:rsidRDefault="0075777C" w:rsidP="001A69BE">
            <w:pPr>
              <w:pStyle w:val="Tabletext"/>
            </w:pPr>
          </w:p>
          <w:p w:rsidR="0075777C" w:rsidRPr="001A69BE" w:rsidRDefault="0075777C" w:rsidP="001A69BE">
            <w:pPr>
              <w:pStyle w:val="Tabletext"/>
            </w:pPr>
            <w:r w:rsidRPr="001A69BE">
              <w:t>10</w:t>
            </w:r>
          </w:p>
        </w:tc>
      </w:tr>
    </w:tbl>
    <w:p w:rsidR="005A2984" w:rsidRDefault="005A2984" w:rsidP="005A2984">
      <w:pPr>
        <w:pStyle w:val="Tablenote"/>
      </w:pPr>
      <w:r w:rsidRPr="000054CF">
        <w:rPr>
          <w:vertAlign w:val="superscript"/>
        </w:rPr>
        <w:lastRenderedPageBreak/>
        <w:t>a</w:t>
      </w:r>
      <w:r>
        <w:t xml:space="preserve"> </w:t>
      </w:r>
      <w:r w:rsidRPr="000054CF">
        <w:t xml:space="preserve">EQ-VAS scores range from 0 to 100. A higher score represents better </w:t>
      </w:r>
      <w:r>
        <w:t>QoL</w:t>
      </w:r>
      <w:r w:rsidRPr="000054CF">
        <w:t xml:space="preserve">. </w:t>
      </w:r>
    </w:p>
    <w:p w:rsidR="0075777C" w:rsidRPr="00822C52" w:rsidRDefault="0075777C" w:rsidP="001A69BE">
      <w:pPr>
        <w:pStyle w:val="Tablenote"/>
        <w:rPr>
          <w:b/>
        </w:rPr>
      </w:pPr>
      <w:r w:rsidRPr="00822C52">
        <w:t xml:space="preserve">CI = confidence interval; ERA = endothelin receptor antagonist; </w:t>
      </w:r>
      <w:r>
        <w:t>EQ-</w:t>
      </w:r>
      <w:r w:rsidR="00107963">
        <w:t>VAS</w:t>
      </w:r>
      <w:r>
        <w:t xml:space="preserve"> = </w:t>
      </w:r>
      <w:r w:rsidR="00107963" w:rsidRPr="00107963">
        <w:t>EuroQoL visual analogue scale;</w:t>
      </w:r>
      <w:r w:rsidRPr="00822C52">
        <w:t xml:space="preserve"> FC = functional class; PAH = pulmonary arterial hypertension; QoL = quality of life; SD = standard deviation; WHO = World Health Organization</w:t>
      </w:r>
      <w:r>
        <w:t xml:space="preserve"> </w:t>
      </w:r>
    </w:p>
    <w:p w:rsidR="00761752" w:rsidRPr="006316DF" w:rsidRDefault="00761752" w:rsidP="00761752">
      <w:pPr>
        <w:pStyle w:val="Heading5"/>
      </w:pPr>
      <w:r>
        <w:t>g.</w:t>
      </w:r>
      <w:r>
        <w:tab/>
      </w:r>
      <w:r w:rsidRPr="006316DF">
        <w:t xml:space="preserve">Change in </w:t>
      </w:r>
      <w:r>
        <w:t>haemodynamic parameters</w:t>
      </w:r>
      <w:r w:rsidRPr="006316DF">
        <w:t xml:space="preserve"> from baseline</w:t>
      </w:r>
    </w:p>
    <w:p w:rsidR="00761752" w:rsidRPr="00822C52" w:rsidRDefault="00761752" w:rsidP="00761752">
      <w:pPr>
        <w:pStyle w:val="Heading6"/>
      </w:pPr>
      <w:r>
        <w:t>g</w:t>
      </w:r>
      <w:r w:rsidRPr="00822C52">
        <w:t>.i</w:t>
      </w:r>
      <w:r w:rsidR="00CF528B">
        <w:t>i</w:t>
      </w:r>
      <w:r w:rsidRPr="00822C52">
        <w:tab/>
        <w:t>PAH patients</w:t>
      </w:r>
      <w:r w:rsidR="00CF528B">
        <w:t xml:space="preserve"> with FC III or IV</w:t>
      </w:r>
    </w:p>
    <w:p w:rsidR="00761752" w:rsidRDefault="00761752" w:rsidP="00761752">
      <w:r w:rsidRPr="00125ABB">
        <w:t xml:space="preserve">The </w:t>
      </w:r>
      <w:r>
        <w:t>STEP trial</w:t>
      </w:r>
      <w:r w:rsidRPr="00125ABB">
        <w:t xml:space="preserve"> reported the change in PVR and mPAP over the 1</w:t>
      </w:r>
      <w:r>
        <w:t>2</w:t>
      </w:r>
      <w:r w:rsidRPr="00125ABB">
        <w:t>-week study period (</w:t>
      </w:r>
      <w:r w:rsidR="00AA722D">
        <w:t>Table 4.</w:t>
      </w:r>
      <w:r w:rsidR="00AA722D">
        <w:rPr>
          <w:noProof/>
        </w:rPr>
        <w:t>84</w:t>
      </w:r>
      <w:r w:rsidRPr="00125ABB">
        <w:t xml:space="preserve">). In this study, patients receiving combination therapy showed improvement compared </w:t>
      </w:r>
      <w:r>
        <w:t>with no improvement or worsening in</w:t>
      </w:r>
      <w:r w:rsidRPr="00125ABB">
        <w:t xml:space="preserve"> those </w:t>
      </w:r>
      <w:r>
        <w:t>receiving</w:t>
      </w:r>
      <w:r w:rsidRPr="00125ABB">
        <w:t xml:space="preserve"> monotherapy</w:t>
      </w:r>
      <w:r>
        <w:t>. The difference was s</w:t>
      </w:r>
      <w:r w:rsidRPr="00125ABB">
        <w:t>tatistical</w:t>
      </w:r>
      <w:r>
        <w:t>ly</w:t>
      </w:r>
      <w:r w:rsidRPr="00125ABB">
        <w:t xml:space="preserve"> significan</w:t>
      </w:r>
      <w:r>
        <w:t>t and may be</w:t>
      </w:r>
      <w:r w:rsidRPr="00125ABB">
        <w:t xml:space="preserve"> clinically important.</w:t>
      </w:r>
    </w:p>
    <w:p w:rsidR="00761752" w:rsidRDefault="00761752" w:rsidP="00761752">
      <w:pPr>
        <w:pStyle w:val="Caption"/>
      </w:pPr>
      <w:bookmarkStart w:id="255" w:name="_Ref505591737"/>
      <w:bookmarkStart w:id="256" w:name="_Toc512855488"/>
      <w:r>
        <w:t>Table 4.</w:t>
      </w:r>
      <w:r w:rsidR="00AA722D">
        <w:rPr>
          <w:noProof/>
        </w:rPr>
        <w:t>84</w:t>
      </w:r>
      <w:bookmarkEnd w:id="255"/>
      <w:r>
        <w:tab/>
      </w:r>
      <w:r w:rsidRPr="006316DF">
        <w:t xml:space="preserve">The effectiveness of </w:t>
      </w:r>
      <w:r w:rsidR="007E59EC">
        <w:t xml:space="preserve">a prostanoid in addition to an ERA compared with </w:t>
      </w:r>
      <w:r w:rsidR="007E59EC" w:rsidRPr="00DD7790">
        <w:t xml:space="preserve">ERA </w:t>
      </w:r>
      <w:r w:rsidR="007E59EC">
        <w:t>monotherapy</w:t>
      </w:r>
      <w:r w:rsidR="007E59EC" w:rsidRPr="006316DF">
        <w:t xml:space="preserve"> </w:t>
      </w:r>
      <w:r w:rsidRPr="006316DF">
        <w:t xml:space="preserve">in improving </w:t>
      </w:r>
      <w:r>
        <w:t>haemodynamic parameters</w:t>
      </w:r>
      <w:r w:rsidRPr="00B642BB">
        <w:t xml:space="preserve"> in </w:t>
      </w:r>
      <w:r w:rsidR="00E63678">
        <w:t>WHO FC III/IV</w:t>
      </w:r>
      <w:r>
        <w:t xml:space="preserve"> PAH</w:t>
      </w:r>
      <w:bookmarkEnd w:id="256"/>
    </w:p>
    <w:tbl>
      <w:tblPr>
        <w:tblStyle w:val="TableGrid"/>
        <w:tblW w:w="9634" w:type="dxa"/>
        <w:tblLayout w:type="fixed"/>
        <w:tblLook w:val="04A0" w:firstRow="1" w:lastRow="0" w:firstColumn="1" w:lastColumn="0" w:noHBand="0" w:noVBand="1"/>
        <w:tblCaption w:val="The effectiveness of a prostanoid in addition to an ERA compared with ERA monotherapy in improving haemodynamic parameters in WHO FC III/IV PAH"/>
      </w:tblPr>
      <w:tblGrid>
        <w:gridCol w:w="1413"/>
        <w:gridCol w:w="1621"/>
        <w:gridCol w:w="1331"/>
        <w:gridCol w:w="1331"/>
        <w:gridCol w:w="1331"/>
        <w:gridCol w:w="1332"/>
        <w:gridCol w:w="1275"/>
      </w:tblGrid>
      <w:tr w:rsidR="00761752" w:rsidTr="002A66C2">
        <w:trPr>
          <w:cnfStyle w:val="100000000000" w:firstRow="1" w:lastRow="0" w:firstColumn="0" w:lastColumn="0" w:oddVBand="0" w:evenVBand="0" w:oddHBand="0" w:evenHBand="0" w:firstRowFirstColumn="0" w:firstRowLastColumn="0" w:lastRowFirstColumn="0" w:lastRowLastColumn="0"/>
        </w:trPr>
        <w:tc>
          <w:tcPr>
            <w:tcW w:w="1413" w:type="dxa"/>
            <w:vMerge w:val="restart"/>
            <w:shd w:val="clear" w:color="auto" w:fill="BFBFBF" w:themeFill="background1" w:themeFillShade="BF"/>
          </w:tcPr>
          <w:p w:rsidR="00761752" w:rsidRPr="00DF0DAE" w:rsidRDefault="00761752" w:rsidP="00973227">
            <w:pPr>
              <w:pStyle w:val="Tabletext"/>
              <w:rPr>
                <w:b/>
              </w:rPr>
            </w:pPr>
            <w:r w:rsidRPr="00DF0DAE">
              <w:rPr>
                <w:b/>
              </w:rPr>
              <w:t>Study ID</w:t>
            </w:r>
          </w:p>
          <w:p w:rsidR="00761752" w:rsidRPr="00DF0DAE" w:rsidRDefault="00534ADA" w:rsidP="00973227">
            <w:pPr>
              <w:pStyle w:val="Tabletext"/>
              <w:rPr>
                <w:b/>
              </w:rPr>
            </w:pPr>
            <w:r>
              <w:rPr>
                <w:b/>
              </w:rPr>
              <w:t>Prostanoid/</w:t>
            </w:r>
            <w:r w:rsidR="00761752" w:rsidRPr="00DF0DAE">
              <w:rPr>
                <w:b/>
              </w:rPr>
              <w:t>ERA</w:t>
            </w:r>
          </w:p>
          <w:p w:rsidR="00761752" w:rsidRPr="00DF0DAE" w:rsidRDefault="00761752" w:rsidP="00973227">
            <w:pPr>
              <w:pStyle w:val="Tabletext"/>
              <w:rPr>
                <w:b/>
              </w:rPr>
            </w:pPr>
            <w:r w:rsidRPr="00DF0DAE">
              <w:rPr>
                <w:b/>
              </w:rPr>
              <w:t>Study period</w:t>
            </w:r>
          </w:p>
          <w:p w:rsidR="00761752" w:rsidRPr="00DF0DAE" w:rsidRDefault="00761752" w:rsidP="00973227">
            <w:pPr>
              <w:pStyle w:val="Tabletext"/>
              <w:rPr>
                <w:b/>
              </w:rPr>
            </w:pPr>
            <w:r w:rsidRPr="00DF0DAE">
              <w:rPr>
                <w:b/>
              </w:rPr>
              <w:t>N</w:t>
            </w:r>
          </w:p>
        </w:tc>
        <w:tc>
          <w:tcPr>
            <w:tcW w:w="1621" w:type="dxa"/>
            <w:vMerge w:val="restart"/>
            <w:shd w:val="clear" w:color="auto" w:fill="BFBFBF" w:themeFill="background1" w:themeFillShade="BF"/>
          </w:tcPr>
          <w:p w:rsidR="00761752" w:rsidRPr="00DF0DAE" w:rsidRDefault="00761752" w:rsidP="00973227">
            <w:pPr>
              <w:pStyle w:val="Tabletext"/>
              <w:rPr>
                <w:b/>
              </w:rPr>
            </w:pPr>
            <w:r w:rsidRPr="00DF0DAE">
              <w:rPr>
                <w:b/>
              </w:rPr>
              <w:t>Haemodynamic parameter</w:t>
            </w:r>
            <w:r w:rsidR="000B12FE" w:rsidRPr="000B12FE">
              <w:rPr>
                <w:b/>
                <w:vertAlign w:val="superscript"/>
              </w:rPr>
              <w:t>a</w:t>
            </w:r>
          </w:p>
        </w:tc>
        <w:tc>
          <w:tcPr>
            <w:tcW w:w="2662" w:type="dxa"/>
            <w:gridSpan w:val="2"/>
            <w:shd w:val="clear" w:color="auto" w:fill="BFBFBF" w:themeFill="background1" w:themeFillShade="BF"/>
          </w:tcPr>
          <w:p w:rsidR="00761752" w:rsidRPr="002A66C2" w:rsidRDefault="00761752" w:rsidP="00973227">
            <w:pPr>
              <w:pStyle w:val="Tabletext"/>
              <w:jc w:val="center"/>
              <w:rPr>
                <w:rFonts w:cs="Arial"/>
                <w:b/>
              </w:rPr>
            </w:pPr>
            <w:r w:rsidRPr="002A66C2">
              <w:rPr>
                <w:rFonts w:cs="Arial"/>
                <w:b/>
              </w:rPr>
              <w:t xml:space="preserve">Mean ± SD baseline haemodynamic </w:t>
            </w:r>
            <w:r w:rsidR="0095089E" w:rsidRPr="002A66C2">
              <w:rPr>
                <w:rFonts w:cs="Arial"/>
                <w:b/>
              </w:rPr>
              <w:t>parameter</w:t>
            </w:r>
          </w:p>
        </w:tc>
        <w:tc>
          <w:tcPr>
            <w:tcW w:w="2663" w:type="dxa"/>
            <w:gridSpan w:val="2"/>
            <w:shd w:val="clear" w:color="auto" w:fill="BFBFBF" w:themeFill="background1" w:themeFillShade="BF"/>
          </w:tcPr>
          <w:p w:rsidR="00761752" w:rsidRPr="002A66C2" w:rsidRDefault="00761752" w:rsidP="00E6350D">
            <w:pPr>
              <w:pStyle w:val="Tabletext"/>
              <w:jc w:val="center"/>
              <w:rPr>
                <w:rFonts w:cs="Arial"/>
                <w:b/>
              </w:rPr>
            </w:pPr>
            <w:r w:rsidRPr="002A66C2">
              <w:rPr>
                <w:rFonts w:cs="Arial"/>
                <w:b/>
              </w:rPr>
              <w:t>Mean change from baseline</w:t>
            </w:r>
            <w:r w:rsidR="00242BA3" w:rsidRPr="002A66C2">
              <w:rPr>
                <w:rFonts w:cs="Arial"/>
                <w:b/>
              </w:rPr>
              <w:t xml:space="preserve"> </w:t>
            </w:r>
            <w:r w:rsidR="00E6350D" w:rsidRPr="002A66C2">
              <w:rPr>
                <w:rFonts w:cs="Arial"/>
                <w:b/>
              </w:rPr>
              <w:br/>
              <w:t>(% change from baseline)</w:t>
            </w:r>
          </w:p>
        </w:tc>
        <w:tc>
          <w:tcPr>
            <w:tcW w:w="1275" w:type="dxa"/>
            <w:vMerge w:val="restart"/>
            <w:shd w:val="clear" w:color="auto" w:fill="BFBFBF" w:themeFill="background1" w:themeFillShade="BF"/>
          </w:tcPr>
          <w:p w:rsidR="00761752" w:rsidRPr="002A66C2" w:rsidRDefault="00761752" w:rsidP="00242BA3">
            <w:pPr>
              <w:pStyle w:val="Tabletext"/>
              <w:rPr>
                <w:rFonts w:cs="Arial"/>
                <w:b/>
              </w:rPr>
            </w:pPr>
            <w:r w:rsidRPr="002A66C2">
              <w:rPr>
                <w:rFonts w:cs="Arial"/>
                <w:b/>
              </w:rPr>
              <w:t xml:space="preserve">Mean </w:t>
            </w:r>
            <w:r w:rsidR="00242BA3" w:rsidRPr="002A66C2">
              <w:rPr>
                <w:rFonts w:cs="Arial"/>
                <w:b/>
              </w:rPr>
              <w:t xml:space="preserve">% </w:t>
            </w:r>
            <w:r w:rsidRPr="002A66C2">
              <w:rPr>
                <w:rFonts w:cs="Arial"/>
                <w:b/>
              </w:rPr>
              <w:t>difference</w:t>
            </w:r>
          </w:p>
        </w:tc>
      </w:tr>
      <w:tr w:rsidR="00761752" w:rsidTr="002A66C2">
        <w:tc>
          <w:tcPr>
            <w:tcW w:w="1413" w:type="dxa"/>
            <w:vMerge/>
          </w:tcPr>
          <w:p w:rsidR="00761752" w:rsidRDefault="00761752" w:rsidP="00973227">
            <w:pPr>
              <w:pStyle w:val="Tabletext"/>
            </w:pPr>
          </w:p>
        </w:tc>
        <w:tc>
          <w:tcPr>
            <w:tcW w:w="1621" w:type="dxa"/>
            <w:vMerge/>
          </w:tcPr>
          <w:p w:rsidR="00761752" w:rsidRDefault="00761752" w:rsidP="00973227">
            <w:pPr>
              <w:pStyle w:val="Tabletext"/>
            </w:pPr>
          </w:p>
        </w:tc>
        <w:tc>
          <w:tcPr>
            <w:tcW w:w="1331" w:type="dxa"/>
            <w:tcBorders>
              <w:bottom w:val="single" w:sz="4" w:space="0" w:color="auto"/>
            </w:tcBorders>
            <w:shd w:val="clear" w:color="auto" w:fill="BFBFBF" w:themeFill="background1" w:themeFillShade="BF"/>
          </w:tcPr>
          <w:p w:rsidR="00761752" w:rsidRPr="002A66C2" w:rsidRDefault="00761752" w:rsidP="00973227">
            <w:pPr>
              <w:pStyle w:val="Tabletext"/>
              <w:jc w:val="center"/>
              <w:rPr>
                <w:rFonts w:cs="Arial"/>
                <w:b/>
              </w:rPr>
            </w:pPr>
            <w:r w:rsidRPr="002A66C2">
              <w:rPr>
                <w:rFonts w:cs="Arial"/>
                <w:b/>
              </w:rPr>
              <w:t>Prostanoid + ERA</w:t>
            </w:r>
          </w:p>
        </w:tc>
        <w:tc>
          <w:tcPr>
            <w:tcW w:w="1331" w:type="dxa"/>
            <w:tcBorders>
              <w:bottom w:val="single" w:sz="4" w:space="0" w:color="auto"/>
            </w:tcBorders>
            <w:shd w:val="clear" w:color="auto" w:fill="BFBFBF" w:themeFill="background1" w:themeFillShade="BF"/>
          </w:tcPr>
          <w:p w:rsidR="00761752" w:rsidRPr="002A66C2" w:rsidRDefault="00761752" w:rsidP="00973227">
            <w:pPr>
              <w:pStyle w:val="Tabletext"/>
              <w:jc w:val="center"/>
              <w:rPr>
                <w:rFonts w:cs="Arial"/>
                <w:b/>
              </w:rPr>
            </w:pPr>
            <w:r w:rsidRPr="002A66C2">
              <w:rPr>
                <w:rFonts w:cs="Arial"/>
                <w:b/>
              </w:rPr>
              <w:t>ERA</w:t>
            </w:r>
          </w:p>
        </w:tc>
        <w:tc>
          <w:tcPr>
            <w:tcW w:w="1331" w:type="dxa"/>
            <w:tcBorders>
              <w:bottom w:val="single" w:sz="4" w:space="0" w:color="auto"/>
            </w:tcBorders>
            <w:shd w:val="clear" w:color="auto" w:fill="BFBFBF" w:themeFill="background1" w:themeFillShade="BF"/>
          </w:tcPr>
          <w:p w:rsidR="00761752" w:rsidRPr="002A66C2" w:rsidRDefault="00761752" w:rsidP="00973227">
            <w:pPr>
              <w:pStyle w:val="Tabletext"/>
              <w:jc w:val="center"/>
              <w:rPr>
                <w:rFonts w:cs="Arial"/>
                <w:b/>
              </w:rPr>
            </w:pPr>
            <w:r w:rsidRPr="002A66C2">
              <w:rPr>
                <w:rFonts w:cs="Arial"/>
                <w:b/>
              </w:rPr>
              <w:t>Prostanoid + ERA</w:t>
            </w:r>
          </w:p>
        </w:tc>
        <w:tc>
          <w:tcPr>
            <w:tcW w:w="1332" w:type="dxa"/>
            <w:tcBorders>
              <w:bottom w:val="single" w:sz="4" w:space="0" w:color="auto"/>
            </w:tcBorders>
            <w:shd w:val="clear" w:color="auto" w:fill="BFBFBF" w:themeFill="background1" w:themeFillShade="BF"/>
          </w:tcPr>
          <w:p w:rsidR="00761752" w:rsidRPr="002A66C2" w:rsidRDefault="00761752" w:rsidP="00973227">
            <w:pPr>
              <w:pStyle w:val="Tabletext"/>
              <w:jc w:val="center"/>
              <w:rPr>
                <w:rFonts w:cs="Arial"/>
                <w:b/>
              </w:rPr>
            </w:pPr>
            <w:r w:rsidRPr="002A66C2">
              <w:rPr>
                <w:rFonts w:cs="Arial"/>
                <w:b/>
              </w:rPr>
              <w:t>ERA</w:t>
            </w:r>
          </w:p>
        </w:tc>
        <w:tc>
          <w:tcPr>
            <w:tcW w:w="1275" w:type="dxa"/>
            <w:vMerge/>
          </w:tcPr>
          <w:p w:rsidR="00761752" w:rsidRDefault="00761752" w:rsidP="00973227">
            <w:pPr>
              <w:pStyle w:val="Tabletext"/>
            </w:pPr>
          </w:p>
        </w:tc>
      </w:tr>
      <w:tr w:rsidR="00761752" w:rsidTr="002A66C2">
        <w:tc>
          <w:tcPr>
            <w:tcW w:w="1413" w:type="dxa"/>
          </w:tcPr>
          <w:p w:rsidR="00761752" w:rsidRPr="00DF0DAE" w:rsidRDefault="00761752" w:rsidP="00973227">
            <w:pPr>
              <w:pStyle w:val="Tabletext"/>
            </w:pPr>
            <w:r w:rsidRPr="00DF0DAE">
              <w:t>STEP</w:t>
            </w:r>
            <w:r w:rsidR="001D34EE">
              <w:rPr>
                <w:noProof/>
                <w:vertAlign w:val="superscript"/>
              </w:rPr>
              <w:t>48</w:t>
            </w:r>
            <w:r w:rsidR="000B12FE">
              <w:rPr>
                <w:vertAlign w:val="superscript"/>
              </w:rPr>
              <w:t xml:space="preserve"> b</w:t>
            </w:r>
          </w:p>
          <w:p w:rsidR="00761752" w:rsidRPr="00DF0DAE" w:rsidRDefault="00761752" w:rsidP="00973227">
            <w:pPr>
              <w:pStyle w:val="Tabletext"/>
            </w:pPr>
            <w:r>
              <w:t>Iloprost/</w:t>
            </w:r>
            <w:r w:rsidRPr="00DF0DAE">
              <w:t>bosentan</w:t>
            </w:r>
          </w:p>
          <w:p w:rsidR="00761752" w:rsidRPr="00DF0DAE" w:rsidRDefault="00761752" w:rsidP="00973227">
            <w:pPr>
              <w:pStyle w:val="Tabletext"/>
            </w:pPr>
            <w:r w:rsidRPr="00DF0DAE">
              <w:t>12 weeks</w:t>
            </w:r>
          </w:p>
          <w:p w:rsidR="00761752" w:rsidRPr="00DF0DAE" w:rsidRDefault="00761752" w:rsidP="00973227">
            <w:pPr>
              <w:pStyle w:val="Tabletext"/>
            </w:pPr>
            <w:r w:rsidRPr="00DF0DAE">
              <w:t>N=65</w:t>
            </w:r>
          </w:p>
        </w:tc>
        <w:tc>
          <w:tcPr>
            <w:tcW w:w="1621" w:type="dxa"/>
          </w:tcPr>
          <w:p w:rsidR="00761752" w:rsidRPr="00DF0DAE" w:rsidRDefault="00761752" w:rsidP="00973227">
            <w:pPr>
              <w:pStyle w:val="Tabletext"/>
            </w:pPr>
            <w:r w:rsidRPr="00DF0DAE">
              <w:t>PVR</w:t>
            </w:r>
            <w:r>
              <w:t xml:space="preserve"> </w:t>
            </w:r>
            <w:r w:rsidRPr="00DF0DAE">
              <w:t>(</w:t>
            </w:r>
            <w:r w:rsidR="00747709" w:rsidRPr="00DF0DAE">
              <w:t>dyn</w:t>
            </w:r>
            <w:r w:rsidR="00747709">
              <w:t>*</w:t>
            </w:r>
            <w:r w:rsidR="00747709" w:rsidRPr="00DF0DAE">
              <w:t>sec</w:t>
            </w:r>
            <w:r w:rsidR="00747709">
              <w:t>*</w:t>
            </w:r>
            <w:r w:rsidR="00747709" w:rsidRPr="00DF0DAE">
              <w:t>cm</w:t>
            </w:r>
            <w:r w:rsidR="00747709" w:rsidRPr="00747709">
              <w:rPr>
                <w:vertAlign w:val="superscript"/>
              </w:rPr>
              <w:t>-</w:t>
            </w:r>
            <w:r w:rsidR="00747709" w:rsidRPr="00DF0DAE">
              <w:rPr>
                <w:vertAlign w:val="superscript"/>
              </w:rPr>
              <w:t>5</w:t>
            </w:r>
            <w:r w:rsidRPr="00DF0DAE">
              <w:t>)</w:t>
            </w:r>
          </w:p>
          <w:p w:rsidR="00761752" w:rsidRPr="00DF0DAE" w:rsidRDefault="00761752" w:rsidP="00973227">
            <w:pPr>
              <w:pStyle w:val="Tabletext"/>
            </w:pPr>
            <w:r w:rsidRPr="00DF0DAE">
              <w:t>mPAP</w:t>
            </w:r>
            <w:r>
              <w:t xml:space="preserve"> </w:t>
            </w:r>
            <w:r w:rsidRPr="00DF0DAE">
              <w:t>(mmHg)</w:t>
            </w:r>
          </w:p>
        </w:tc>
        <w:tc>
          <w:tcPr>
            <w:tcW w:w="1331" w:type="dxa"/>
          </w:tcPr>
          <w:p w:rsidR="00761752" w:rsidRDefault="00761752" w:rsidP="00973227">
            <w:pPr>
              <w:pStyle w:val="Tabletext"/>
              <w:jc w:val="center"/>
            </w:pPr>
            <w:r>
              <w:t>815 ±381</w:t>
            </w:r>
          </w:p>
          <w:p w:rsidR="00761752" w:rsidRPr="00DF0DAE" w:rsidRDefault="00761752" w:rsidP="00973227">
            <w:pPr>
              <w:pStyle w:val="Tabletext"/>
              <w:jc w:val="center"/>
            </w:pPr>
            <w:r>
              <w:t>51 ± 11</w:t>
            </w:r>
          </w:p>
        </w:tc>
        <w:tc>
          <w:tcPr>
            <w:tcW w:w="1331" w:type="dxa"/>
          </w:tcPr>
          <w:p w:rsidR="00761752" w:rsidRDefault="00761752" w:rsidP="00973227">
            <w:pPr>
              <w:pStyle w:val="Tabletext"/>
              <w:jc w:val="center"/>
            </w:pPr>
            <w:r>
              <w:t>783 ± 378</w:t>
            </w:r>
          </w:p>
          <w:p w:rsidR="00761752" w:rsidRPr="00DF0DAE" w:rsidRDefault="00761752" w:rsidP="00973227">
            <w:pPr>
              <w:pStyle w:val="Tabletext"/>
              <w:jc w:val="center"/>
            </w:pPr>
            <w:r>
              <w:t>52 ± 13</w:t>
            </w:r>
          </w:p>
        </w:tc>
        <w:tc>
          <w:tcPr>
            <w:tcW w:w="1331" w:type="dxa"/>
          </w:tcPr>
          <w:p w:rsidR="00761752" w:rsidRDefault="00761752" w:rsidP="00973227">
            <w:pPr>
              <w:pStyle w:val="Tabletext"/>
              <w:jc w:val="center"/>
            </w:pPr>
            <w:r>
              <w:t xml:space="preserve">−164 </w:t>
            </w:r>
            <w:r w:rsidR="00E6350D">
              <w:t>(</w:t>
            </w:r>
            <w:r>
              <w:t>−20.1%</w:t>
            </w:r>
            <w:r w:rsidR="00E6350D">
              <w:t>)</w:t>
            </w:r>
          </w:p>
          <w:p w:rsidR="00761752" w:rsidRPr="00DF0DAE" w:rsidRDefault="00761752" w:rsidP="00E6350D">
            <w:pPr>
              <w:pStyle w:val="Tabletext"/>
              <w:jc w:val="center"/>
            </w:pPr>
            <w:r>
              <w:t xml:space="preserve">−6 </w:t>
            </w:r>
            <w:r w:rsidR="00E6350D">
              <w:t>(</w:t>
            </w:r>
            <w:r>
              <w:t>−11.8%</w:t>
            </w:r>
            <w:r w:rsidR="00E6350D">
              <w:t>)</w:t>
            </w:r>
          </w:p>
        </w:tc>
        <w:tc>
          <w:tcPr>
            <w:tcW w:w="1332" w:type="dxa"/>
          </w:tcPr>
          <w:p w:rsidR="00761752" w:rsidRDefault="00761752" w:rsidP="00973227">
            <w:pPr>
              <w:pStyle w:val="Tabletext"/>
              <w:jc w:val="center"/>
            </w:pPr>
            <w:r>
              <w:t xml:space="preserve">81 </w:t>
            </w:r>
            <w:r w:rsidR="00E6350D">
              <w:t>(</w:t>
            </w:r>
            <w:r>
              <w:t>10.3%</w:t>
            </w:r>
            <w:r w:rsidR="00E6350D">
              <w:t>)</w:t>
            </w:r>
          </w:p>
          <w:p w:rsidR="00761752" w:rsidRPr="00DF0DAE" w:rsidRDefault="00761752" w:rsidP="00E6350D">
            <w:pPr>
              <w:pStyle w:val="Tabletext"/>
              <w:jc w:val="center"/>
            </w:pPr>
            <w:r>
              <w:t xml:space="preserve">2 </w:t>
            </w:r>
            <w:r w:rsidR="00E6350D">
              <w:t>(</w:t>
            </w:r>
            <w:r>
              <w:t>3.8%</w:t>
            </w:r>
            <w:r w:rsidR="00E6350D">
              <w:t>)</w:t>
            </w:r>
          </w:p>
        </w:tc>
        <w:tc>
          <w:tcPr>
            <w:tcW w:w="1275" w:type="dxa"/>
          </w:tcPr>
          <w:p w:rsidR="00761752" w:rsidRPr="00DF0DAE" w:rsidRDefault="00761752" w:rsidP="00973227">
            <w:pPr>
              <w:pStyle w:val="Tabletext"/>
            </w:pPr>
            <w:r w:rsidRPr="00DF0DAE">
              <w:t>−30.4%</w:t>
            </w:r>
            <w:r>
              <w:t xml:space="preserve">, </w:t>
            </w:r>
            <w:r w:rsidRPr="00DF0DAE">
              <w:t>p=0.007</w:t>
            </w:r>
          </w:p>
          <w:p w:rsidR="00761752" w:rsidRPr="00DF0DAE" w:rsidRDefault="00761752" w:rsidP="00973227">
            <w:pPr>
              <w:pStyle w:val="Tabletext"/>
            </w:pPr>
            <w:r w:rsidRPr="00DF0DAE">
              <w:t>−15.6%</w:t>
            </w:r>
            <w:r>
              <w:t xml:space="preserve">, </w:t>
            </w:r>
            <w:r w:rsidRPr="00DF0DAE">
              <w:t>p=0.001</w:t>
            </w:r>
          </w:p>
        </w:tc>
      </w:tr>
    </w:tbl>
    <w:p w:rsidR="000B12FE" w:rsidRPr="000B12FE" w:rsidRDefault="00761752" w:rsidP="00761752">
      <w:pPr>
        <w:pStyle w:val="Tablenote"/>
      </w:pPr>
      <w:r w:rsidRPr="00E03CA3">
        <w:rPr>
          <w:vertAlign w:val="superscript"/>
        </w:rPr>
        <w:t>a</w:t>
      </w:r>
      <w:r>
        <w:rPr>
          <w:vertAlign w:val="superscript"/>
        </w:rPr>
        <w:t xml:space="preserve"> </w:t>
      </w:r>
      <w:r w:rsidR="000B12FE">
        <w:t xml:space="preserve">A decrease in PVR or mPAP indicates improvement in </w:t>
      </w:r>
      <w:r w:rsidR="007E658F">
        <w:t>haemodynamic parameters</w:t>
      </w:r>
      <w:r w:rsidR="000B12FE">
        <w:t xml:space="preserve">. </w:t>
      </w:r>
    </w:p>
    <w:p w:rsidR="00761752" w:rsidRDefault="000B12FE" w:rsidP="00761752">
      <w:pPr>
        <w:pStyle w:val="Tablenote"/>
      </w:pPr>
      <w:r>
        <w:rPr>
          <w:vertAlign w:val="superscript"/>
        </w:rPr>
        <w:t xml:space="preserve">b </w:t>
      </w:r>
      <w:r w:rsidR="00761752">
        <w:t xml:space="preserve">One patient in the monotherapy group had </w:t>
      </w:r>
      <w:r w:rsidR="006B4B22">
        <w:t>WHO</w:t>
      </w:r>
      <w:r w:rsidR="00761752">
        <w:t xml:space="preserve"> FC II PAH</w:t>
      </w:r>
    </w:p>
    <w:p w:rsidR="00561DAB" w:rsidRPr="006316DF" w:rsidRDefault="00761752" w:rsidP="00761752">
      <w:pPr>
        <w:pStyle w:val="Tablenote"/>
      </w:pPr>
      <w:r w:rsidRPr="006316DF">
        <w:t xml:space="preserve">CSR = clinical study report; </w:t>
      </w:r>
      <w:r w:rsidR="00561DAB" w:rsidRPr="009E3B52">
        <w:t xml:space="preserve">ERA = endothelin receptor antagonist; </w:t>
      </w:r>
      <w:r w:rsidR="00561DAB" w:rsidRPr="006F774E">
        <w:t xml:space="preserve">FC = functional class; </w:t>
      </w:r>
      <w:r w:rsidR="00214AC1">
        <w:t xml:space="preserve">mPAP = mean pulmonary artery pressure; </w:t>
      </w:r>
      <w:r w:rsidRPr="006316DF">
        <w:t>N = number of patients</w:t>
      </w:r>
      <w:r>
        <w:t xml:space="preserve">; </w:t>
      </w:r>
      <w:r w:rsidR="00561DAB" w:rsidRPr="00715D78">
        <w:t xml:space="preserve">PAH = pulmonary arterial hypertension; </w:t>
      </w:r>
      <w:r>
        <w:t xml:space="preserve">PVR = </w:t>
      </w:r>
      <w:r w:rsidRPr="007A4F5B">
        <w:t>pulmonary vascular resistance</w:t>
      </w:r>
      <w:r w:rsidRPr="00C51FB4">
        <w:t>; SD = standard deviation</w:t>
      </w:r>
      <w:r w:rsidR="00E63678">
        <w:t xml:space="preserve">; WHO = World Health Organization </w:t>
      </w:r>
    </w:p>
    <w:p w:rsidR="0075777C" w:rsidRPr="00822C52" w:rsidRDefault="002E4833" w:rsidP="0075777C">
      <w:pPr>
        <w:pStyle w:val="Heading5"/>
      </w:pPr>
      <w:r>
        <w:t>h.</w:t>
      </w:r>
      <w:r w:rsidR="00761752">
        <w:tab/>
      </w:r>
      <w:r w:rsidR="0075777C">
        <w:t>Comparative s</w:t>
      </w:r>
      <w:r w:rsidR="0075777C" w:rsidRPr="00822C52">
        <w:t>afety</w:t>
      </w:r>
    </w:p>
    <w:p w:rsidR="0075777C" w:rsidRPr="00822C52" w:rsidRDefault="002E4833" w:rsidP="0077344D">
      <w:pPr>
        <w:pStyle w:val="Heading6"/>
      </w:pPr>
      <w:r>
        <w:t>h</w:t>
      </w:r>
      <w:r w:rsidR="0075777C" w:rsidRPr="00822C52">
        <w:t>.ii</w:t>
      </w:r>
      <w:r w:rsidR="0075777C" w:rsidRPr="00822C52">
        <w:tab/>
        <w:t>PAH patients with FC III or IV</w:t>
      </w:r>
    </w:p>
    <w:p w:rsidR="0075777C" w:rsidRPr="00822C52" w:rsidRDefault="0075777C" w:rsidP="0075777C">
      <w:r w:rsidRPr="00B07302">
        <w:t>The proportion of patients who has an AE, a serious AE or an AE leading to discontinuation of study treatment did not differ</w:t>
      </w:r>
      <w:r>
        <w:t xml:space="preserve"> significantly </w:t>
      </w:r>
      <w:r w:rsidRPr="00B07302">
        <w:t xml:space="preserve">between the combination </w:t>
      </w:r>
      <w:r>
        <w:t>therapy and monotherapy groups (</w:t>
      </w:r>
      <w:r w:rsidR="00AA722D">
        <w:t>Table 4.</w:t>
      </w:r>
      <w:r w:rsidR="00AA722D">
        <w:rPr>
          <w:noProof/>
        </w:rPr>
        <w:t>85</w:t>
      </w:r>
      <w:r>
        <w:t>). However, in the COMBI trial 6-times as many patients in the combination therapy group had an AE compared to the monotherapy group (</w:t>
      </w:r>
      <w:r w:rsidR="00B21201">
        <w:t>ARD</w:t>
      </w:r>
      <w:r w:rsidR="00DB6ACB">
        <w:t> </w:t>
      </w:r>
      <w:r w:rsidRPr="00707847">
        <w:t>=</w:t>
      </w:r>
      <w:r w:rsidR="00DB6ACB">
        <w:t> </w:t>
      </w:r>
      <w:r>
        <w:t>26.8%; 95% CI 4.0, 49.6; p</w:t>
      </w:r>
      <w:r w:rsidR="00DB6ACB">
        <w:t> </w:t>
      </w:r>
      <w:r>
        <w:t>=</w:t>
      </w:r>
      <w:r w:rsidR="00DB6ACB">
        <w:t> </w:t>
      </w:r>
      <w:r>
        <w:t xml:space="preserve">0.026). The pooled RR point estimate </w:t>
      </w:r>
      <w:r w:rsidRPr="0011063F">
        <w:t xml:space="preserve">favoured </w:t>
      </w:r>
      <w:r>
        <w:t>ERA</w:t>
      </w:r>
      <w:r w:rsidRPr="0011063F">
        <w:t xml:space="preserve"> </w:t>
      </w:r>
      <w:r>
        <w:t>mono</w:t>
      </w:r>
      <w:r w:rsidRPr="0011063F">
        <w:t xml:space="preserve">therapy over </w:t>
      </w:r>
      <w:r>
        <w:t xml:space="preserve">combination </w:t>
      </w:r>
      <w:r w:rsidRPr="0011063F">
        <w:t xml:space="preserve">therapy but the 95% CIs </w:t>
      </w:r>
      <w:r>
        <w:t xml:space="preserve">were very wide and </w:t>
      </w:r>
      <w:r w:rsidRPr="0011063F">
        <w:t>indicated that there could also be the opposite effect</w:t>
      </w:r>
      <w:r>
        <w:t xml:space="preserve"> (</w:t>
      </w:r>
      <w:r w:rsidR="00AA722D">
        <w:t>Figure 4.</w:t>
      </w:r>
      <w:r w:rsidR="00AA722D">
        <w:rPr>
          <w:noProof/>
        </w:rPr>
        <w:t>22</w:t>
      </w:r>
      <w:r>
        <w:t>). The RR for AEs leading to discontinuation of treatment could not be calculated (</w:t>
      </w:r>
      <w:r w:rsidR="00B21201">
        <w:t>ARD</w:t>
      </w:r>
      <w:r>
        <w:t xml:space="preserve"> = 5.2%; 95% CI −4.8, 15.3; p = 0.29).</w:t>
      </w:r>
    </w:p>
    <w:p w:rsidR="0075777C" w:rsidRPr="00DD7790" w:rsidRDefault="00272F8F" w:rsidP="00BC5A2B">
      <w:pPr>
        <w:pStyle w:val="Caption"/>
      </w:pPr>
      <w:bookmarkStart w:id="257" w:name="_Ref504656955"/>
      <w:bookmarkStart w:id="258" w:name="_Toc512855489"/>
      <w:r>
        <w:t>Table 4.</w:t>
      </w:r>
      <w:r w:rsidR="00AA722D">
        <w:rPr>
          <w:noProof/>
        </w:rPr>
        <w:t>85</w:t>
      </w:r>
      <w:bookmarkEnd w:id="257"/>
      <w:r w:rsidR="001A69BE">
        <w:tab/>
      </w:r>
      <w:r w:rsidR="0075777C" w:rsidRPr="00DD7790">
        <w:t xml:space="preserve">The comparative safety of </w:t>
      </w:r>
      <w:r w:rsidR="007E59EC">
        <w:t xml:space="preserve">a prostanoid in addition to an ERA compared with </w:t>
      </w:r>
      <w:r w:rsidR="007E59EC" w:rsidRPr="00DD7790">
        <w:t xml:space="preserve">ERA </w:t>
      </w:r>
      <w:r w:rsidR="007E59EC">
        <w:t>monotherapy</w:t>
      </w:r>
      <w:r w:rsidR="007E59EC" w:rsidRPr="00DD7790">
        <w:t xml:space="preserve"> </w:t>
      </w:r>
      <w:r w:rsidR="0075777C" w:rsidRPr="00DD7790">
        <w:t>in patients with WHO FC III/IV PAH</w:t>
      </w:r>
      <w:bookmarkEnd w:id="258"/>
    </w:p>
    <w:tbl>
      <w:tblPr>
        <w:tblStyle w:val="TableGrid7"/>
        <w:tblW w:w="9634" w:type="dxa"/>
        <w:tblLayout w:type="fixed"/>
        <w:tblLook w:val="04A0" w:firstRow="1" w:lastRow="0" w:firstColumn="1" w:lastColumn="0" w:noHBand="0" w:noVBand="1"/>
        <w:tblCaption w:val="The comparative safety of a prostanoid in addition to an ERA compared with ERA monotherapy in patients with WHO FC III/IV PAH"/>
      </w:tblPr>
      <w:tblGrid>
        <w:gridCol w:w="1838"/>
        <w:gridCol w:w="1843"/>
        <w:gridCol w:w="1984"/>
        <w:gridCol w:w="1985"/>
        <w:gridCol w:w="1984"/>
      </w:tblGrid>
      <w:tr w:rsidR="0075777C" w:rsidRPr="00822C52" w:rsidTr="001A69BE">
        <w:trPr>
          <w:trHeight w:val="416"/>
          <w:tblHeader/>
        </w:trPr>
        <w:tc>
          <w:tcPr>
            <w:tcW w:w="1838" w:type="dxa"/>
            <w:vMerge w:val="restart"/>
            <w:shd w:val="clear" w:color="auto" w:fill="BFBFBF" w:themeFill="background1" w:themeFillShade="BF"/>
          </w:tcPr>
          <w:p w:rsidR="0075777C" w:rsidRPr="001A69BE" w:rsidRDefault="0075777C" w:rsidP="001A69BE">
            <w:pPr>
              <w:pStyle w:val="Tabletext"/>
              <w:rPr>
                <w:b/>
              </w:rPr>
            </w:pPr>
            <w:r w:rsidRPr="001A69BE">
              <w:rPr>
                <w:b/>
              </w:rPr>
              <w:t>Study ID</w:t>
            </w:r>
          </w:p>
          <w:p w:rsidR="0075777C" w:rsidRPr="001A69BE" w:rsidRDefault="0075777C" w:rsidP="001A69BE">
            <w:pPr>
              <w:pStyle w:val="Tabletext"/>
              <w:rPr>
                <w:b/>
              </w:rPr>
            </w:pPr>
            <w:r w:rsidRPr="001A69BE">
              <w:rPr>
                <w:b/>
              </w:rPr>
              <w:t>Follow-up period</w:t>
            </w:r>
          </w:p>
          <w:p w:rsidR="0075777C" w:rsidRPr="001A69BE" w:rsidRDefault="001A69BE" w:rsidP="001A69BE">
            <w:pPr>
              <w:pStyle w:val="Tabletext"/>
              <w:rPr>
                <w:b/>
              </w:rPr>
            </w:pPr>
            <w:r w:rsidRPr="001A69BE">
              <w:rPr>
                <w:b/>
              </w:rPr>
              <w:t>Prostanoid</w:t>
            </w:r>
            <w:r w:rsidR="0075777C" w:rsidRPr="001A69BE">
              <w:rPr>
                <w:b/>
              </w:rPr>
              <w:t>/ERA</w:t>
            </w:r>
          </w:p>
        </w:tc>
        <w:tc>
          <w:tcPr>
            <w:tcW w:w="1843" w:type="dxa"/>
            <w:vMerge w:val="restart"/>
            <w:shd w:val="clear" w:color="auto" w:fill="BFBFBF" w:themeFill="background1" w:themeFillShade="BF"/>
          </w:tcPr>
          <w:p w:rsidR="0075777C" w:rsidRPr="001A69BE" w:rsidRDefault="0075777C" w:rsidP="001A69BE">
            <w:pPr>
              <w:pStyle w:val="Tabletext"/>
              <w:rPr>
                <w:b/>
              </w:rPr>
            </w:pPr>
            <w:r w:rsidRPr="001A69BE">
              <w:rPr>
                <w:b/>
              </w:rPr>
              <w:t>AE</w:t>
            </w:r>
          </w:p>
        </w:tc>
        <w:tc>
          <w:tcPr>
            <w:tcW w:w="3969" w:type="dxa"/>
            <w:gridSpan w:val="2"/>
            <w:shd w:val="clear" w:color="auto" w:fill="BFBFBF" w:themeFill="background1" w:themeFillShade="BF"/>
          </w:tcPr>
          <w:p w:rsidR="0075777C" w:rsidRPr="001A69BE" w:rsidRDefault="0075777C" w:rsidP="001A69BE">
            <w:pPr>
              <w:pStyle w:val="Tabletext"/>
              <w:jc w:val="center"/>
              <w:rPr>
                <w:b/>
              </w:rPr>
            </w:pPr>
            <w:r w:rsidRPr="001A69BE">
              <w:rPr>
                <w:b/>
              </w:rPr>
              <w:t>n/N (%)</w:t>
            </w:r>
          </w:p>
        </w:tc>
        <w:tc>
          <w:tcPr>
            <w:tcW w:w="1984" w:type="dxa"/>
            <w:vMerge w:val="restart"/>
            <w:shd w:val="clear" w:color="auto" w:fill="BFBFBF" w:themeFill="background1" w:themeFillShade="BF"/>
          </w:tcPr>
          <w:p w:rsidR="0075777C" w:rsidRPr="001A69BE" w:rsidRDefault="0075777C" w:rsidP="001A69BE">
            <w:pPr>
              <w:pStyle w:val="Tabletext"/>
              <w:rPr>
                <w:b/>
              </w:rPr>
            </w:pPr>
            <w:r w:rsidRPr="001A69BE">
              <w:rPr>
                <w:b/>
              </w:rPr>
              <w:t>RR (95% CI)</w:t>
            </w:r>
          </w:p>
        </w:tc>
      </w:tr>
      <w:tr w:rsidR="0075777C" w:rsidRPr="00822C52" w:rsidTr="001A69BE">
        <w:trPr>
          <w:trHeight w:val="202"/>
          <w:tblHeader/>
        </w:trPr>
        <w:tc>
          <w:tcPr>
            <w:tcW w:w="1838" w:type="dxa"/>
            <w:vMerge/>
            <w:shd w:val="clear" w:color="auto" w:fill="BFBFBF" w:themeFill="background1" w:themeFillShade="BF"/>
          </w:tcPr>
          <w:p w:rsidR="0075777C" w:rsidRPr="001A69BE" w:rsidRDefault="0075777C" w:rsidP="001A69BE">
            <w:pPr>
              <w:pStyle w:val="Tabletext"/>
            </w:pPr>
          </w:p>
        </w:tc>
        <w:tc>
          <w:tcPr>
            <w:tcW w:w="1843" w:type="dxa"/>
            <w:vMerge/>
            <w:shd w:val="clear" w:color="auto" w:fill="BFBFBF" w:themeFill="background1" w:themeFillShade="BF"/>
          </w:tcPr>
          <w:p w:rsidR="0075777C" w:rsidRPr="001A69BE" w:rsidRDefault="0075777C" w:rsidP="001A69BE">
            <w:pPr>
              <w:pStyle w:val="Tabletext"/>
            </w:pPr>
          </w:p>
        </w:tc>
        <w:tc>
          <w:tcPr>
            <w:tcW w:w="1984" w:type="dxa"/>
            <w:shd w:val="clear" w:color="auto" w:fill="BFBFBF" w:themeFill="background1" w:themeFillShade="BF"/>
          </w:tcPr>
          <w:p w:rsidR="0075777C" w:rsidRPr="001A69BE" w:rsidRDefault="0075777C" w:rsidP="001A69BE">
            <w:pPr>
              <w:pStyle w:val="Tabletext"/>
              <w:jc w:val="center"/>
              <w:rPr>
                <w:b/>
              </w:rPr>
            </w:pPr>
            <w:r w:rsidRPr="001A69BE">
              <w:rPr>
                <w:b/>
              </w:rPr>
              <w:t>Prostanoid + ERA</w:t>
            </w:r>
          </w:p>
        </w:tc>
        <w:tc>
          <w:tcPr>
            <w:tcW w:w="1985" w:type="dxa"/>
            <w:shd w:val="clear" w:color="auto" w:fill="BFBFBF" w:themeFill="background1" w:themeFillShade="BF"/>
          </w:tcPr>
          <w:p w:rsidR="0075777C" w:rsidRPr="001A69BE" w:rsidRDefault="00534ADA" w:rsidP="00534ADA">
            <w:pPr>
              <w:pStyle w:val="Tabletext"/>
              <w:jc w:val="center"/>
              <w:rPr>
                <w:b/>
              </w:rPr>
            </w:pPr>
            <w:r>
              <w:rPr>
                <w:b/>
              </w:rPr>
              <w:t>ERA</w:t>
            </w:r>
          </w:p>
        </w:tc>
        <w:tc>
          <w:tcPr>
            <w:tcW w:w="1984" w:type="dxa"/>
            <w:vMerge/>
            <w:shd w:val="clear" w:color="auto" w:fill="BFBFBF" w:themeFill="background1" w:themeFillShade="BF"/>
          </w:tcPr>
          <w:p w:rsidR="0075777C" w:rsidRPr="001A69BE" w:rsidRDefault="0075777C" w:rsidP="001A69BE">
            <w:pPr>
              <w:pStyle w:val="Tabletext"/>
            </w:pPr>
          </w:p>
        </w:tc>
      </w:tr>
      <w:tr w:rsidR="0075777C" w:rsidRPr="00822C52" w:rsidTr="001A69BE">
        <w:trPr>
          <w:trHeight w:val="70"/>
        </w:trPr>
        <w:tc>
          <w:tcPr>
            <w:tcW w:w="1838" w:type="dxa"/>
          </w:tcPr>
          <w:p w:rsidR="0075777C" w:rsidRPr="001A69BE" w:rsidRDefault="0075777C" w:rsidP="001A69BE">
            <w:pPr>
              <w:pStyle w:val="Tabletext"/>
            </w:pPr>
            <w:r w:rsidRPr="001A69BE">
              <w:t>COMBI</w:t>
            </w:r>
            <w:r w:rsidR="001D34EE">
              <w:rPr>
                <w:noProof/>
                <w:vertAlign w:val="superscript"/>
              </w:rPr>
              <w:t>36</w:t>
            </w:r>
          </w:p>
          <w:p w:rsidR="0075777C" w:rsidRPr="001A69BE" w:rsidRDefault="0075777C" w:rsidP="001A69BE">
            <w:pPr>
              <w:pStyle w:val="Tabletext"/>
            </w:pPr>
            <w:r w:rsidRPr="001A69BE">
              <w:t>16 weeks</w:t>
            </w:r>
          </w:p>
          <w:p w:rsidR="0075777C" w:rsidRPr="001A69BE" w:rsidRDefault="0075777C" w:rsidP="001A69BE">
            <w:pPr>
              <w:pStyle w:val="Tabletext"/>
            </w:pPr>
            <w:r w:rsidRPr="001A69BE">
              <w:lastRenderedPageBreak/>
              <w:t>Iloprost/bosentan</w:t>
            </w:r>
          </w:p>
        </w:tc>
        <w:tc>
          <w:tcPr>
            <w:tcW w:w="1843" w:type="dxa"/>
          </w:tcPr>
          <w:p w:rsidR="0075777C" w:rsidRPr="001A69BE" w:rsidRDefault="0075777C" w:rsidP="001A69BE">
            <w:pPr>
              <w:pStyle w:val="Tabletext"/>
            </w:pPr>
            <w:r w:rsidRPr="001A69BE">
              <w:lastRenderedPageBreak/>
              <w:t>Any AE</w:t>
            </w:r>
          </w:p>
          <w:p w:rsidR="0075777C" w:rsidRPr="001A69BE" w:rsidRDefault="0075777C" w:rsidP="001A69BE">
            <w:pPr>
              <w:pStyle w:val="Tabletext"/>
            </w:pPr>
            <w:r w:rsidRPr="001A69BE">
              <w:t xml:space="preserve">Discontinuation </w:t>
            </w:r>
            <w:r w:rsidRPr="001A69BE">
              <w:lastRenderedPageBreak/>
              <w:t xml:space="preserve">due to intractable coughing </w:t>
            </w:r>
          </w:p>
        </w:tc>
        <w:tc>
          <w:tcPr>
            <w:tcW w:w="1984" w:type="dxa"/>
            <w:shd w:val="clear" w:color="auto" w:fill="auto"/>
          </w:tcPr>
          <w:p w:rsidR="0075777C" w:rsidRPr="001A69BE" w:rsidRDefault="0075777C" w:rsidP="001A69BE">
            <w:pPr>
              <w:pStyle w:val="Tabletext"/>
              <w:jc w:val="center"/>
            </w:pPr>
            <w:r w:rsidRPr="001A69BE">
              <w:lastRenderedPageBreak/>
              <w:t>6/19 (32%)</w:t>
            </w:r>
          </w:p>
          <w:p w:rsidR="0075777C" w:rsidRPr="001A69BE" w:rsidRDefault="0075777C" w:rsidP="001A69BE">
            <w:pPr>
              <w:pStyle w:val="Tabletext"/>
              <w:jc w:val="center"/>
            </w:pPr>
            <w:r w:rsidRPr="001A69BE">
              <w:t>1/19 (5%)</w:t>
            </w:r>
          </w:p>
        </w:tc>
        <w:tc>
          <w:tcPr>
            <w:tcW w:w="1985" w:type="dxa"/>
            <w:shd w:val="clear" w:color="auto" w:fill="auto"/>
          </w:tcPr>
          <w:p w:rsidR="0075777C" w:rsidRPr="001A69BE" w:rsidRDefault="0075777C" w:rsidP="001A69BE">
            <w:pPr>
              <w:pStyle w:val="Tabletext"/>
              <w:jc w:val="center"/>
            </w:pPr>
            <w:r w:rsidRPr="001A69BE">
              <w:t>1/21 (5%)</w:t>
            </w:r>
          </w:p>
          <w:p w:rsidR="0075777C" w:rsidRPr="001A69BE" w:rsidRDefault="0075777C" w:rsidP="001A69BE">
            <w:pPr>
              <w:pStyle w:val="Tabletext"/>
              <w:jc w:val="center"/>
            </w:pPr>
            <w:r w:rsidRPr="001A69BE">
              <w:t>0/21 (0%)</w:t>
            </w:r>
          </w:p>
        </w:tc>
        <w:tc>
          <w:tcPr>
            <w:tcW w:w="1984" w:type="dxa"/>
          </w:tcPr>
          <w:p w:rsidR="0075777C" w:rsidRPr="001A69BE" w:rsidRDefault="0075777C" w:rsidP="001A69BE">
            <w:pPr>
              <w:pStyle w:val="Tabletext"/>
            </w:pPr>
            <w:r w:rsidRPr="001A69BE">
              <w:t>6.63 (0.88, 50.19)</w:t>
            </w:r>
          </w:p>
          <w:p w:rsidR="0075777C" w:rsidRPr="001A69BE" w:rsidRDefault="0075777C" w:rsidP="001A69BE">
            <w:pPr>
              <w:pStyle w:val="Tabletext"/>
            </w:pPr>
            <w:r w:rsidRPr="001A69BE">
              <w:t>Not calculable</w:t>
            </w:r>
          </w:p>
        </w:tc>
      </w:tr>
      <w:tr w:rsidR="0075777C" w:rsidRPr="00822C52" w:rsidTr="001A69BE">
        <w:trPr>
          <w:trHeight w:val="70"/>
        </w:trPr>
        <w:tc>
          <w:tcPr>
            <w:tcW w:w="1838" w:type="dxa"/>
          </w:tcPr>
          <w:p w:rsidR="0075777C" w:rsidRPr="001A69BE" w:rsidRDefault="0075777C" w:rsidP="001A69BE">
            <w:pPr>
              <w:pStyle w:val="Tabletext"/>
            </w:pPr>
            <w:r w:rsidRPr="001A69BE">
              <w:lastRenderedPageBreak/>
              <w:t>STEP</w:t>
            </w:r>
            <w:r w:rsidR="001D34EE">
              <w:rPr>
                <w:noProof/>
                <w:vertAlign w:val="superscript"/>
              </w:rPr>
              <w:t>48</w:t>
            </w:r>
            <w:r w:rsidR="00F30334" w:rsidRPr="00F30334">
              <w:rPr>
                <w:vertAlign w:val="superscript"/>
              </w:rPr>
              <w:t xml:space="preserve"> </w:t>
            </w:r>
            <w:r w:rsidR="00F30334">
              <w:rPr>
                <w:vertAlign w:val="superscript"/>
              </w:rPr>
              <w:t xml:space="preserve"> </w:t>
            </w:r>
            <w:r w:rsidR="00F30334" w:rsidRPr="00F30334">
              <w:rPr>
                <w:vertAlign w:val="superscript"/>
              </w:rPr>
              <w:t>a</w:t>
            </w:r>
          </w:p>
          <w:p w:rsidR="0075777C" w:rsidRPr="001A69BE" w:rsidRDefault="0075777C" w:rsidP="001A69BE">
            <w:pPr>
              <w:pStyle w:val="Tabletext"/>
            </w:pPr>
            <w:r w:rsidRPr="001A69BE">
              <w:t>12 weeks</w:t>
            </w:r>
          </w:p>
          <w:p w:rsidR="0075777C" w:rsidRPr="001A69BE" w:rsidRDefault="0075777C" w:rsidP="001A69BE">
            <w:pPr>
              <w:pStyle w:val="Tabletext"/>
            </w:pPr>
            <w:r w:rsidRPr="001A69BE">
              <w:t>Iloprost/bosentan</w:t>
            </w:r>
          </w:p>
        </w:tc>
        <w:tc>
          <w:tcPr>
            <w:tcW w:w="1843" w:type="dxa"/>
          </w:tcPr>
          <w:p w:rsidR="0075777C" w:rsidRPr="001A69BE" w:rsidRDefault="0075777C" w:rsidP="001A69BE">
            <w:pPr>
              <w:pStyle w:val="Tabletext"/>
            </w:pPr>
            <w:r w:rsidRPr="001A69BE">
              <w:t>Any AE</w:t>
            </w:r>
          </w:p>
          <w:p w:rsidR="0075777C" w:rsidRPr="001A69BE" w:rsidRDefault="0075777C" w:rsidP="001A69BE">
            <w:pPr>
              <w:pStyle w:val="Tabletext"/>
            </w:pPr>
            <w:r w:rsidRPr="001A69BE">
              <w:t>Serious AEs</w:t>
            </w:r>
          </w:p>
          <w:p w:rsidR="0075777C" w:rsidRPr="001A69BE" w:rsidRDefault="0075777C" w:rsidP="001A69BE">
            <w:pPr>
              <w:pStyle w:val="Tabletext"/>
            </w:pPr>
            <w:r w:rsidRPr="001A69BE">
              <w:t>Related to study drug</w:t>
            </w:r>
          </w:p>
        </w:tc>
        <w:tc>
          <w:tcPr>
            <w:tcW w:w="1984" w:type="dxa"/>
            <w:shd w:val="clear" w:color="auto" w:fill="auto"/>
          </w:tcPr>
          <w:p w:rsidR="0075777C" w:rsidRPr="001A69BE" w:rsidRDefault="0075777C" w:rsidP="001A69BE">
            <w:pPr>
              <w:pStyle w:val="Tabletext"/>
              <w:jc w:val="center"/>
            </w:pPr>
            <w:r w:rsidRPr="001A69BE">
              <w:t>35/35 (100%)</w:t>
            </w:r>
          </w:p>
          <w:p w:rsidR="0075777C" w:rsidRPr="001A69BE" w:rsidRDefault="0075777C" w:rsidP="001A69BE">
            <w:pPr>
              <w:pStyle w:val="Tabletext"/>
              <w:jc w:val="center"/>
            </w:pPr>
            <w:r w:rsidRPr="001A69BE">
              <w:t>5/35 (14%)</w:t>
            </w:r>
          </w:p>
          <w:p w:rsidR="0075777C" w:rsidRPr="001A69BE" w:rsidRDefault="0075777C" w:rsidP="001A69BE">
            <w:pPr>
              <w:pStyle w:val="Tabletext"/>
              <w:jc w:val="center"/>
            </w:pPr>
            <w:r w:rsidRPr="001A69BE">
              <w:t>2/35 (6%)</w:t>
            </w:r>
          </w:p>
        </w:tc>
        <w:tc>
          <w:tcPr>
            <w:tcW w:w="1985" w:type="dxa"/>
            <w:shd w:val="clear" w:color="auto" w:fill="auto"/>
          </w:tcPr>
          <w:p w:rsidR="0075777C" w:rsidRPr="001A69BE" w:rsidRDefault="0075777C" w:rsidP="001A69BE">
            <w:pPr>
              <w:pStyle w:val="Tabletext"/>
              <w:jc w:val="center"/>
            </w:pPr>
            <w:r w:rsidRPr="001A69BE">
              <w:t>29/32 (91%)</w:t>
            </w:r>
          </w:p>
          <w:p w:rsidR="0075777C" w:rsidRPr="001A69BE" w:rsidRDefault="0075777C" w:rsidP="001A69BE">
            <w:pPr>
              <w:pStyle w:val="Tabletext"/>
              <w:jc w:val="center"/>
            </w:pPr>
            <w:r w:rsidRPr="001A69BE">
              <w:t>7/32 (22%)</w:t>
            </w:r>
          </w:p>
          <w:p w:rsidR="0075777C" w:rsidRPr="001A69BE" w:rsidRDefault="0075777C" w:rsidP="001A69BE">
            <w:pPr>
              <w:pStyle w:val="Tabletext"/>
              <w:jc w:val="center"/>
            </w:pPr>
            <w:r w:rsidRPr="001A69BE">
              <w:t>1/32 (3%)</w:t>
            </w:r>
          </w:p>
        </w:tc>
        <w:tc>
          <w:tcPr>
            <w:tcW w:w="1984" w:type="dxa"/>
          </w:tcPr>
          <w:p w:rsidR="0075777C" w:rsidRPr="001A69BE" w:rsidRDefault="0075777C" w:rsidP="001A69BE">
            <w:pPr>
              <w:pStyle w:val="Tabletext"/>
            </w:pPr>
            <w:r w:rsidRPr="001A69BE">
              <w:t>1.10 (0.97, 1.25)</w:t>
            </w:r>
          </w:p>
          <w:p w:rsidR="0075777C" w:rsidRPr="001A69BE" w:rsidRDefault="0075777C" w:rsidP="001A69BE">
            <w:pPr>
              <w:pStyle w:val="Tabletext"/>
            </w:pPr>
            <w:r w:rsidRPr="001A69BE">
              <w:t>0.65 (0.23, 1.85)</w:t>
            </w:r>
          </w:p>
          <w:p w:rsidR="0075777C" w:rsidRPr="001A69BE" w:rsidRDefault="0075777C" w:rsidP="001A69BE">
            <w:pPr>
              <w:pStyle w:val="Tabletext"/>
            </w:pPr>
            <w:r w:rsidRPr="001A69BE">
              <w:t>1.83 (0.17, 19.21)</w:t>
            </w:r>
          </w:p>
        </w:tc>
      </w:tr>
    </w:tbl>
    <w:p w:rsidR="0075777C" w:rsidRDefault="0075777C" w:rsidP="001A69BE">
      <w:pPr>
        <w:pStyle w:val="Tablenote"/>
      </w:pPr>
      <w:r w:rsidRPr="00E03CA3">
        <w:rPr>
          <w:vertAlign w:val="superscript"/>
        </w:rPr>
        <w:t>a</w:t>
      </w:r>
      <w:r>
        <w:rPr>
          <w:vertAlign w:val="superscript"/>
        </w:rPr>
        <w:t xml:space="preserve"> </w:t>
      </w:r>
      <w:r>
        <w:t xml:space="preserve">One patient in the monotherapy group had </w:t>
      </w:r>
      <w:r w:rsidR="006B4B22">
        <w:t>WHO</w:t>
      </w:r>
      <w:r>
        <w:t xml:space="preserve"> FC II PAH</w:t>
      </w:r>
    </w:p>
    <w:p w:rsidR="00561DAB" w:rsidRDefault="0075777C" w:rsidP="001A69BE">
      <w:pPr>
        <w:pStyle w:val="Tablenote"/>
      </w:pPr>
      <w:r w:rsidRPr="00822C52">
        <w:t xml:space="preserve">AE = adverse event; CI = confidence interval; ERA = endothelin receptor antagonist; </w:t>
      </w:r>
      <w:r w:rsidR="00561DAB" w:rsidRPr="006F774E">
        <w:t xml:space="preserve">FC = functional class; </w:t>
      </w:r>
      <w:r w:rsidRPr="00822C52">
        <w:t xml:space="preserve">n = number of </w:t>
      </w:r>
      <w:r w:rsidR="00561DAB">
        <w:t xml:space="preserve">patients with </w:t>
      </w:r>
      <w:r w:rsidRPr="00822C52">
        <w:t>events; N = number of patients; PAH = pulmonary arterial hypertension; RR = relative risk; WHO = World Health Organization</w:t>
      </w:r>
    </w:p>
    <w:p w:rsidR="0075777C" w:rsidRDefault="0075777C" w:rsidP="001A69BE">
      <w:pPr>
        <w:spacing w:after="40" w:line="240" w:lineRule="auto"/>
        <w:jc w:val="center"/>
      </w:pPr>
      <w:r>
        <w:rPr>
          <w:noProof/>
          <w:lang w:eastAsia="en-AU"/>
        </w:rPr>
        <w:drawing>
          <wp:inline distT="0" distB="0" distL="0" distR="0" wp14:anchorId="07B6D93B" wp14:editId="0CB8592B">
            <wp:extent cx="6180960" cy="1965278"/>
            <wp:effectExtent l="0" t="0" r="0" b="0"/>
            <wp:docPr id="57" name="Picture 57" descr="The estimated RR from the meta-analysis was 2.40 (95% CI 0.15, 37.41)" title="Forest plot showing the RR of having an AE while being treated with a prostanoid and an ERA compared with ERA alone in patients with WHO FC III/IV 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6236959" cy="1983083"/>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DD7790" w:rsidRDefault="001A69BE" w:rsidP="00BC5A2B">
      <w:pPr>
        <w:pStyle w:val="Caption"/>
        <w:rPr>
          <w:rFonts w:ascii="Arial Narrow" w:hAnsi="Arial Narrow" w:cs="Tahoma"/>
          <w:u w:val="single"/>
        </w:rPr>
      </w:pPr>
      <w:bookmarkStart w:id="259" w:name="_Ref506307629"/>
      <w:bookmarkStart w:id="260" w:name="_Toc512855595"/>
      <w:r>
        <w:t>Figure 4.</w:t>
      </w:r>
      <w:r w:rsidR="00AA722D">
        <w:rPr>
          <w:noProof/>
        </w:rPr>
        <w:t>22</w:t>
      </w:r>
      <w:bookmarkEnd w:id="259"/>
      <w:r>
        <w:tab/>
      </w:r>
      <w:r w:rsidR="0075777C" w:rsidRPr="00DD7790">
        <w:t xml:space="preserve">Forest plot showing the RR of </w:t>
      </w:r>
      <w:r w:rsidR="0075777C">
        <w:t xml:space="preserve">having an AE </w:t>
      </w:r>
      <w:r w:rsidR="0075777C" w:rsidRPr="00DD7790">
        <w:t xml:space="preserve">while being treated with </w:t>
      </w:r>
      <w:r w:rsidR="0075777C">
        <w:t xml:space="preserve">a </w:t>
      </w:r>
      <w:r w:rsidR="0017012F">
        <w:t>prostanoid</w:t>
      </w:r>
      <w:r w:rsidR="0075777C">
        <w:t xml:space="preserve"> </w:t>
      </w:r>
      <w:r w:rsidR="0075777C" w:rsidRPr="00DD7790">
        <w:t xml:space="preserve">and an ERA compared with </w:t>
      </w:r>
      <w:r w:rsidR="0075777C">
        <w:t>ERA</w:t>
      </w:r>
      <w:r w:rsidR="0075777C" w:rsidRPr="00DD7790">
        <w:t xml:space="preserve"> alone in patients</w:t>
      </w:r>
      <w:r w:rsidR="0075777C" w:rsidRPr="0011063F">
        <w:t xml:space="preserve"> with WHO FC III/IV PAH</w:t>
      </w:r>
      <w:bookmarkEnd w:id="260"/>
    </w:p>
    <w:p w:rsidR="00561DAB" w:rsidRPr="00822C52" w:rsidRDefault="00561DAB" w:rsidP="001A69BE">
      <w:pPr>
        <w:pStyle w:val="Tablenote"/>
      </w:pPr>
      <w:r w:rsidRPr="00561DAB">
        <w:t xml:space="preserve">AE = adverse event; </w:t>
      </w:r>
      <w:r w:rsidR="0075777C" w:rsidRPr="00822C52">
        <w:t xml:space="preserve">CI = confidence interval; ERA = </w:t>
      </w:r>
      <w:r w:rsidR="0006512A">
        <w:t>endothelin receptor</w:t>
      </w:r>
      <w:r w:rsidR="0075777C" w:rsidRPr="00822C52">
        <w:t xml:space="preserve"> antagonists; </w:t>
      </w:r>
      <w:r w:rsidRPr="00561DAB">
        <w:t xml:space="preserve">FC = functional class; </w:t>
      </w:r>
      <w:r w:rsidR="0075777C" w:rsidRPr="00822C52">
        <w:t>N = number of patients; RR = relative risk</w:t>
      </w:r>
      <w:r w:rsidRPr="00561DAB">
        <w:t>; WHO = World Health Organization</w:t>
      </w:r>
    </w:p>
    <w:p w:rsidR="0075777C" w:rsidRPr="00822C52" w:rsidRDefault="00761752" w:rsidP="0075777C">
      <w:pPr>
        <w:pStyle w:val="Heading4"/>
      </w:pPr>
      <w:r>
        <w:t>4.4.3.</w:t>
      </w:r>
      <w:r w:rsidR="00441F08">
        <w:t>6</w:t>
      </w:r>
      <w:r>
        <w:tab/>
      </w:r>
      <w:r w:rsidR="0075777C">
        <w:t xml:space="preserve">sGC stimulator </w:t>
      </w:r>
      <w:r w:rsidR="0075777C" w:rsidRPr="00822C52">
        <w:t>in addition to ERA</w:t>
      </w:r>
    </w:p>
    <w:p w:rsidR="0075777C" w:rsidRPr="006316DF" w:rsidRDefault="0075777C" w:rsidP="0075777C">
      <w:r w:rsidRPr="00326FE2">
        <w:t xml:space="preserve">Only one RCT was identified that reported on the effectiveness of a sGC stimulator </w:t>
      </w:r>
      <w:r>
        <w:t xml:space="preserve">plus an ERA </w:t>
      </w:r>
      <w:r w:rsidRPr="00326FE2">
        <w:t>in treating PAH compared with placebo</w:t>
      </w:r>
      <w:r>
        <w:t xml:space="preserve"> plus ERA</w:t>
      </w:r>
      <w:r w:rsidRPr="00326FE2">
        <w:t xml:space="preserve"> in patients with PAH. The PATENT-1</w:t>
      </w:r>
      <w:r w:rsidR="001D34EE" w:rsidRPr="001D34EE">
        <w:rPr>
          <w:noProof/>
          <w:vertAlign w:val="superscript"/>
        </w:rPr>
        <w:t>23</w:t>
      </w:r>
      <w:r w:rsidRPr="00326FE2">
        <w:t xml:space="preserve"> double-blind trial, with a low-to-moderate risk of bias, randomised PAH patients of </w:t>
      </w:r>
      <w:r w:rsidRPr="00326FE2">
        <w:rPr>
          <w:u w:val="single"/>
        </w:rPr>
        <w:t>any</w:t>
      </w:r>
      <w:r w:rsidRPr="00326FE2">
        <w:t xml:space="preserve"> WHO FC</w:t>
      </w:r>
      <w:r>
        <w:t xml:space="preserve">, with or without background ERA </w:t>
      </w:r>
      <w:r w:rsidRPr="00326FE2">
        <w:t xml:space="preserve">or </w:t>
      </w:r>
      <w:r w:rsidR="00DB6ACB" w:rsidRPr="00326FE2">
        <w:t>prostanoid</w:t>
      </w:r>
      <w:r w:rsidRPr="00326FE2">
        <w:t xml:space="preserve"> </w:t>
      </w:r>
      <w:r>
        <w:t>therapy,</w:t>
      </w:r>
      <w:r w:rsidRPr="00326FE2">
        <w:t xml:space="preserve"> to receive riociguat or placebo for 12 weeks. Approximately 44% of included patients were using an ERA drug (primarily bosentan) at baseline. The baseline characteristics for the riociguat </w:t>
      </w:r>
      <w:r>
        <w:t xml:space="preserve">plus ERA </w:t>
      </w:r>
      <w:r w:rsidRPr="00326FE2">
        <w:t>and placebo</w:t>
      </w:r>
      <w:r>
        <w:t xml:space="preserve"> plus ERA </w:t>
      </w:r>
      <w:r w:rsidRPr="00326FE2">
        <w:t xml:space="preserve">subgroups were well balanced </w:t>
      </w:r>
      <w:r w:rsidRPr="00D72DAF">
        <w:t>with respect to age</w:t>
      </w:r>
      <w:r>
        <w:t xml:space="preserve"> and</w:t>
      </w:r>
      <w:r w:rsidRPr="00D72DAF">
        <w:t xml:space="preserve"> </w:t>
      </w:r>
      <w:r>
        <w:t>gender</w:t>
      </w:r>
      <w:r w:rsidRPr="00D72DAF">
        <w:t xml:space="preserve">, </w:t>
      </w:r>
      <w:r>
        <w:t xml:space="preserve">but the combination therapy group had a larger proportion of patients with </w:t>
      </w:r>
      <w:r w:rsidRPr="00D72DAF">
        <w:t xml:space="preserve">WHO FC </w:t>
      </w:r>
      <w:r>
        <w:t>III PAH (65% v</w:t>
      </w:r>
      <w:r w:rsidR="0095089E">
        <w:t>ersu</w:t>
      </w:r>
      <w:r>
        <w:t xml:space="preserve">s 55%) </w:t>
      </w:r>
      <w:r w:rsidRPr="00D72DAF">
        <w:t>and</w:t>
      </w:r>
      <w:r>
        <w:t xml:space="preserve"> the monotherapy group had more patient with WHO FC II PAH (43% v</w:t>
      </w:r>
      <w:r w:rsidR="0095089E">
        <w:t>ersus</w:t>
      </w:r>
      <w:r>
        <w:t xml:space="preserve"> 33%).</w:t>
      </w:r>
      <w:r w:rsidRPr="00D72DAF">
        <w:t xml:space="preserve"> </w:t>
      </w:r>
      <w:r>
        <w:t xml:space="preserve">The baseline </w:t>
      </w:r>
      <w:r w:rsidRPr="00D72DAF">
        <w:t>haemodynamic parameters</w:t>
      </w:r>
      <w:r>
        <w:t xml:space="preserve"> and</w:t>
      </w:r>
      <w:r w:rsidRPr="00D72DAF">
        <w:t xml:space="preserve"> the proportion of patients having different PAH aetiologies </w:t>
      </w:r>
      <w:r>
        <w:t xml:space="preserve">was </w:t>
      </w:r>
      <w:r w:rsidRPr="00D72DAF">
        <w:t>not reported</w:t>
      </w:r>
      <w:r w:rsidRPr="00CC0E70">
        <w:t xml:space="preserve"> </w:t>
      </w:r>
      <w:r>
        <w:t>for this subgroup</w:t>
      </w:r>
      <w:r w:rsidRPr="00D72DAF">
        <w:t>.</w:t>
      </w:r>
      <w:r w:rsidRPr="00326FE2">
        <w:t xml:space="preserve"> Data was reported for </w:t>
      </w:r>
      <w:r>
        <w:t xml:space="preserve">all PAH </w:t>
      </w:r>
      <w:r w:rsidRPr="00326FE2">
        <w:t xml:space="preserve">patients </w:t>
      </w:r>
      <w:r>
        <w:t xml:space="preserve">and patients with </w:t>
      </w:r>
      <w:r w:rsidRPr="00326FE2">
        <w:t>WHO FC I</w:t>
      </w:r>
      <w:r>
        <w:t>II</w:t>
      </w:r>
      <w:r w:rsidRPr="00326FE2">
        <w:t>/I</w:t>
      </w:r>
      <w:r>
        <w:t>V</w:t>
      </w:r>
      <w:r w:rsidRPr="00326FE2">
        <w:t xml:space="preserve"> PAH </w:t>
      </w:r>
      <w:r>
        <w:t>who had</w:t>
      </w:r>
      <w:r w:rsidRPr="00326FE2">
        <w:t xml:space="preserve"> </w:t>
      </w:r>
      <w:r>
        <w:t xml:space="preserve">background ERA treatment, </w:t>
      </w:r>
      <w:r w:rsidRPr="00326FE2">
        <w:t>in the CSR (highlighted in green below).</w:t>
      </w:r>
      <w:r>
        <w:t xml:space="preserve"> For the </w:t>
      </w:r>
      <w:r w:rsidRPr="00817DE4">
        <w:t xml:space="preserve">WHO FC III/IV PAH </w:t>
      </w:r>
      <w:r>
        <w:t xml:space="preserve">subgroup, </w:t>
      </w:r>
      <w:r w:rsidRPr="00817DE4">
        <w:t xml:space="preserve">12/87 (14%) patients were treated with a </w:t>
      </w:r>
      <w:r w:rsidR="00DB6ACB" w:rsidRPr="00817DE4">
        <w:t>prostanoid</w:t>
      </w:r>
      <w:r>
        <w:t xml:space="preserve"> instead of an ERA.</w:t>
      </w:r>
    </w:p>
    <w:p w:rsidR="0075777C" w:rsidRDefault="00761752" w:rsidP="0075777C">
      <w:pPr>
        <w:pStyle w:val="Heading5"/>
      </w:pPr>
      <w:r>
        <w:t>a.</w:t>
      </w:r>
      <w:r>
        <w:tab/>
      </w:r>
      <w:r w:rsidR="0075777C" w:rsidRPr="00822C52">
        <w:t>Study-defined clinical worsening</w:t>
      </w:r>
    </w:p>
    <w:p w:rsidR="0075777C" w:rsidRPr="00F34C0F" w:rsidRDefault="0075777C" w:rsidP="00B74DF7">
      <w:r>
        <w:t>In the PATENT-1 study, cl</w:t>
      </w:r>
      <w:r w:rsidRPr="00F34C0F">
        <w:t xml:space="preserve">inical worsening was defined as </w:t>
      </w:r>
      <w:r>
        <w:t xml:space="preserve">all-cause mortality, heart/lung transplantation, atrial septostomy, </w:t>
      </w:r>
      <w:r w:rsidR="00B74DF7">
        <w:t xml:space="preserve">start of new </w:t>
      </w:r>
      <w:r>
        <w:t xml:space="preserve">PAH treatment (ERA, </w:t>
      </w:r>
      <w:r w:rsidR="00DB6ACB">
        <w:t>prostanoid</w:t>
      </w:r>
      <w:r>
        <w:t xml:space="preserve"> or PDE-5 </w:t>
      </w:r>
      <w:r>
        <w:lastRenderedPageBreak/>
        <w:t xml:space="preserve">inhibitor), </w:t>
      </w:r>
      <w:r w:rsidR="00B74DF7">
        <w:t xml:space="preserve">modification of a pre-existing prostanoid treatment, </w:t>
      </w:r>
      <w:r>
        <w:t>hospitali</w:t>
      </w:r>
      <w:r w:rsidR="00C87EC4">
        <w:t>s</w:t>
      </w:r>
      <w:r>
        <w:t>ation</w:t>
      </w:r>
      <w:r w:rsidR="00B74DF7">
        <w:t xml:space="preserve"> due to PAH,</w:t>
      </w:r>
      <w:r>
        <w:t xml:space="preserve"> persistent decrease in 6MWD</w:t>
      </w:r>
      <w:r w:rsidR="00954966">
        <w:t>,</w:t>
      </w:r>
      <w:r>
        <w:t xml:space="preserve"> or persistent worsening of WHO FC due to worsening of PAH.</w:t>
      </w:r>
    </w:p>
    <w:p w:rsidR="0075777C" w:rsidRPr="00822C52" w:rsidRDefault="002E4833" w:rsidP="0077344D">
      <w:pPr>
        <w:pStyle w:val="Heading6"/>
      </w:pPr>
      <w:r>
        <w:t>a</w:t>
      </w:r>
      <w:r w:rsidR="0075777C" w:rsidRPr="00822C52">
        <w:t>.i</w:t>
      </w:r>
      <w:r w:rsidR="0075777C" w:rsidRPr="00822C52">
        <w:tab/>
        <w:t>PAH patients, irrespective of disease severity or aetiology</w:t>
      </w:r>
    </w:p>
    <w:p w:rsidR="0075777C" w:rsidRPr="00822C52" w:rsidRDefault="0075777C" w:rsidP="0075777C">
      <w:r>
        <w:t xml:space="preserve">Patients who received combination therapy were </w:t>
      </w:r>
      <w:r w:rsidR="00A17B9D">
        <w:rPr>
          <w:noProof/>
          <w:color w:val="000000"/>
          <w:highlight w:val="black"/>
        </w:rPr>
        <w:t>'''''''''''''''' ''''''' '''''''''''</w:t>
      </w:r>
      <w:r>
        <w:t xml:space="preserve"> to experience a clinical worsening event than those on monotherapy (</w:t>
      </w:r>
      <w:r w:rsidR="00AA722D">
        <w:t>Table 4.</w:t>
      </w:r>
      <w:r w:rsidR="00AA722D">
        <w:rPr>
          <w:noProof/>
        </w:rPr>
        <w:t>86</w:t>
      </w:r>
      <w:r>
        <w:t xml:space="preserve">), </w:t>
      </w:r>
      <w:r w:rsidR="00A17B9D">
        <w:rPr>
          <w:noProof/>
          <w:color w:val="000000"/>
          <w:highlight w:val="black"/>
        </w:rPr>
        <w:t>'''''' '''''' '''''''''''''''''''' '''''''' '''''' ''''''''''''''''''''' ''''''''''''''''''' ''</w:t>
      </w:r>
      <w:r w:rsidR="00B21201">
        <w:t>ARD</w:t>
      </w:r>
      <w:r w:rsidR="00DB6ACB">
        <w:t> </w:t>
      </w:r>
      <w:r w:rsidRPr="00707847">
        <w:t>=</w:t>
      </w:r>
      <w:r w:rsidR="00DB6ACB">
        <w:t> </w:t>
      </w:r>
      <w:r w:rsidR="00A17B9D">
        <w:rPr>
          <w:noProof/>
          <w:color w:val="000000"/>
          <w:highlight w:val="black"/>
        </w:rPr>
        <w:t>'''''''''''''' ''''''''' '''' '''''''''''' '''''''' ''''''''''''''''''</w:t>
      </w:r>
      <w:r>
        <w:t xml:space="preserve"> The NNT indicates that </w:t>
      </w:r>
      <w:r w:rsidR="00A17B9D">
        <w:rPr>
          <w:noProof/>
          <w:color w:val="000000"/>
          <w:highlight w:val="black"/>
        </w:rPr>
        <w:t>'''''</w:t>
      </w:r>
      <w:r>
        <w:t xml:space="preserve"> patients need to be treated with </w:t>
      </w:r>
      <w:r w:rsidR="00A17B9D">
        <w:rPr>
          <w:noProof/>
          <w:color w:val="000000"/>
          <w:highlight w:val="black"/>
        </w:rPr>
        <w:t>'''''''' ''''''''''''''''''''' ''''''' ''''''' '''''''''''''''''''''' '''''''''''''</w:t>
      </w:r>
      <w:r>
        <w:t xml:space="preserve"> to prevent clinical worsening in one additional patient compared with </w:t>
      </w:r>
      <w:r w:rsidR="00A17B9D">
        <w:rPr>
          <w:noProof/>
          <w:color w:val="000000"/>
          <w:highlight w:val="black"/>
        </w:rPr>
        <w:t>''''''' '''''''''''''''''''''''</w:t>
      </w:r>
      <w:r>
        <w:t>.</w:t>
      </w:r>
    </w:p>
    <w:p w:rsidR="0075777C" w:rsidRPr="00DD7790" w:rsidRDefault="00272F8F" w:rsidP="00BC5A2B">
      <w:pPr>
        <w:pStyle w:val="Caption"/>
      </w:pPr>
      <w:bookmarkStart w:id="261" w:name="_Ref504656997"/>
      <w:bookmarkStart w:id="262" w:name="_Toc512855490"/>
      <w:r>
        <w:t>Table 4.</w:t>
      </w:r>
      <w:r w:rsidR="00AA722D">
        <w:rPr>
          <w:noProof/>
        </w:rPr>
        <w:t>86</w:t>
      </w:r>
      <w:bookmarkEnd w:id="261"/>
      <w:r w:rsidR="001A69BE">
        <w:tab/>
      </w:r>
      <w:r w:rsidR="0075777C" w:rsidRPr="00DD7790">
        <w:t xml:space="preserve">The effectiveness of </w:t>
      </w:r>
      <w:r w:rsidR="00242BA3">
        <w:t xml:space="preserve">a </w:t>
      </w:r>
      <w:r w:rsidR="00242BA3" w:rsidRPr="00242BA3">
        <w:t xml:space="preserve">sGC stimulator </w:t>
      </w:r>
      <w:r w:rsidR="007E59EC">
        <w:t>in addition to</w:t>
      </w:r>
      <w:r w:rsidR="0075777C" w:rsidRPr="00DD7790">
        <w:t xml:space="preserve"> </w:t>
      </w:r>
      <w:r w:rsidR="00242BA3">
        <w:t xml:space="preserve">an </w:t>
      </w:r>
      <w:r w:rsidR="0075777C" w:rsidRPr="00DD7790">
        <w:t xml:space="preserve">ERA </w:t>
      </w:r>
      <w:r w:rsidR="0075777C" w:rsidRPr="00AA5E50">
        <w:t xml:space="preserve">compared </w:t>
      </w:r>
      <w:r w:rsidR="007E59EC">
        <w:t>with</w:t>
      </w:r>
      <w:r w:rsidR="0075777C" w:rsidRPr="00DD7790">
        <w:t xml:space="preserve"> ERA</w:t>
      </w:r>
      <w:r w:rsidR="007E59EC">
        <w:t xml:space="preserve"> monotherapy</w:t>
      </w:r>
      <w:r w:rsidR="0075777C" w:rsidRPr="00DD7790">
        <w:t xml:space="preserve"> in preventing clinical worsening in all PAH patients</w:t>
      </w:r>
      <w:bookmarkEnd w:id="262"/>
    </w:p>
    <w:tbl>
      <w:tblPr>
        <w:tblStyle w:val="TableGrid7"/>
        <w:tblW w:w="9634" w:type="dxa"/>
        <w:tblLayout w:type="fixed"/>
        <w:tblLook w:val="04A0" w:firstRow="1" w:lastRow="0" w:firstColumn="1" w:lastColumn="0" w:noHBand="0" w:noVBand="1"/>
        <w:tblCaption w:val="The effectiveness of a sGC stimulator in addition to an ERA compared with ERA monotherapy in preventing clinical worsening in all PAH patients"/>
      </w:tblPr>
      <w:tblGrid>
        <w:gridCol w:w="1696"/>
        <w:gridCol w:w="1843"/>
        <w:gridCol w:w="1984"/>
        <w:gridCol w:w="1985"/>
        <w:gridCol w:w="2126"/>
      </w:tblGrid>
      <w:tr w:rsidR="0075777C" w:rsidRPr="00822C52" w:rsidTr="001A69BE">
        <w:trPr>
          <w:trHeight w:val="198"/>
          <w:tblHeader/>
        </w:trPr>
        <w:tc>
          <w:tcPr>
            <w:tcW w:w="1696" w:type="dxa"/>
            <w:vMerge w:val="restart"/>
            <w:shd w:val="clear" w:color="auto" w:fill="BFBFBF" w:themeFill="background1" w:themeFillShade="BF"/>
          </w:tcPr>
          <w:p w:rsidR="0075777C" w:rsidRDefault="0075777C" w:rsidP="001A69BE">
            <w:pPr>
              <w:pStyle w:val="Tabletext"/>
              <w:rPr>
                <w:b/>
              </w:rPr>
            </w:pPr>
            <w:r w:rsidRPr="001A69BE">
              <w:rPr>
                <w:b/>
              </w:rPr>
              <w:t>Study ID</w:t>
            </w:r>
          </w:p>
          <w:p w:rsidR="00242BA3" w:rsidRPr="001A69BE" w:rsidRDefault="00242BA3" w:rsidP="001A69BE">
            <w:pPr>
              <w:pStyle w:val="Tabletext"/>
              <w:rPr>
                <w:b/>
              </w:rPr>
            </w:pPr>
            <w:r w:rsidRPr="00242BA3">
              <w:rPr>
                <w:b/>
              </w:rPr>
              <w:t>sGC stimulator</w:t>
            </w:r>
          </w:p>
        </w:tc>
        <w:tc>
          <w:tcPr>
            <w:tcW w:w="1843" w:type="dxa"/>
            <w:vMerge w:val="restart"/>
            <w:shd w:val="clear" w:color="auto" w:fill="BFBFBF" w:themeFill="background1" w:themeFillShade="BF"/>
          </w:tcPr>
          <w:p w:rsidR="0075777C" w:rsidRPr="001A69BE" w:rsidRDefault="0075777C" w:rsidP="001A69BE">
            <w:pPr>
              <w:pStyle w:val="Tabletext"/>
              <w:rPr>
                <w:b/>
              </w:rPr>
            </w:pPr>
            <w:r w:rsidRPr="001A69BE">
              <w:rPr>
                <w:b/>
              </w:rPr>
              <w:t>Study period</w:t>
            </w:r>
          </w:p>
        </w:tc>
        <w:tc>
          <w:tcPr>
            <w:tcW w:w="3969" w:type="dxa"/>
            <w:gridSpan w:val="2"/>
            <w:shd w:val="clear" w:color="auto" w:fill="BFBFBF" w:themeFill="background1" w:themeFillShade="BF"/>
          </w:tcPr>
          <w:p w:rsidR="0075777C" w:rsidRPr="001A69BE" w:rsidRDefault="0075777C" w:rsidP="001A69BE">
            <w:pPr>
              <w:pStyle w:val="Tabletext"/>
              <w:jc w:val="center"/>
              <w:rPr>
                <w:b/>
              </w:rPr>
            </w:pPr>
            <w:r w:rsidRPr="001A69BE">
              <w:rPr>
                <w:b/>
              </w:rPr>
              <w:t>n/N (%)</w:t>
            </w:r>
          </w:p>
        </w:tc>
        <w:tc>
          <w:tcPr>
            <w:tcW w:w="2126" w:type="dxa"/>
            <w:vMerge w:val="restart"/>
            <w:shd w:val="clear" w:color="auto" w:fill="BFBFBF" w:themeFill="background1" w:themeFillShade="BF"/>
          </w:tcPr>
          <w:p w:rsidR="0075777C" w:rsidRPr="001A69BE" w:rsidRDefault="0075777C" w:rsidP="001A69BE">
            <w:pPr>
              <w:pStyle w:val="Tabletext"/>
              <w:rPr>
                <w:b/>
              </w:rPr>
            </w:pPr>
            <w:r w:rsidRPr="001A69BE">
              <w:rPr>
                <w:b/>
              </w:rPr>
              <w:t>RR (95% CI)</w:t>
            </w:r>
          </w:p>
        </w:tc>
      </w:tr>
      <w:tr w:rsidR="0075777C" w:rsidRPr="00822C52" w:rsidTr="001A69BE">
        <w:trPr>
          <w:trHeight w:val="202"/>
          <w:tblHeader/>
        </w:trPr>
        <w:tc>
          <w:tcPr>
            <w:tcW w:w="1696" w:type="dxa"/>
            <w:vMerge/>
            <w:shd w:val="clear" w:color="auto" w:fill="BFBFBF" w:themeFill="background1" w:themeFillShade="BF"/>
          </w:tcPr>
          <w:p w:rsidR="0075777C" w:rsidRPr="00822C52" w:rsidRDefault="0075777C" w:rsidP="001A69BE">
            <w:pPr>
              <w:pStyle w:val="Tabletext"/>
            </w:pPr>
          </w:p>
        </w:tc>
        <w:tc>
          <w:tcPr>
            <w:tcW w:w="1843" w:type="dxa"/>
            <w:vMerge/>
            <w:shd w:val="clear" w:color="auto" w:fill="BFBFBF" w:themeFill="background1" w:themeFillShade="BF"/>
          </w:tcPr>
          <w:p w:rsidR="0075777C" w:rsidRPr="00822C52" w:rsidRDefault="0075777C" w:rsidP="001A69BE">
            <w:pPr>
              <w:pStyle w:val="Tabletext"/>
            </w:pPr>
          </w:p>
        </w:tc>
        <w:tc>
          <w:tcPr>
            <w:tcW w:w="1984" w:type="dxa"/>
            <w:shd w:val="clear" w:color="auto" w:fill="BFBFBF" w:themeFill="background1" w:themeFillShade="BF"/>
          </w:tcPr>
          <w:p w:rsidR="0075777C" w:rsidRPr="001A69BE" w:rsidRDefault="00242BA3" w:rsidP="001A69BE">
            <w:pPr>
              <w:pStyle w:val="Tabletext"/>
              <w:jc w:val="center"/>
              <w:rPr>
                <w:b/>
              </w:rPr>
            </w:pPr>
            <w:r w:rsidRPr="00242BA3">
              <w:rPr>
                <w:b/>
              </w:rPr>
              <w:t xml:space="preserve">sGC stimulator </w:t>
            </w:r>
            <w:r w:rsidR="0075777C" w:rsidRPr="001A69BE">
              <w:rPr>
                <w:b/>
              </w:rPr>
              <w:t>+ ERA</w:t>
            </w:r>
          </w:p>
        </w:tc>
        <w:tc>
          <w:tcPr>
            <w:tcW w:w="1985" w:type="dxa"/>
            <w:shd w:val="clear" w:color="auto" w:fill="BFBFBF" w:themeFill="background1" w:themeFillShade="BF"/>
          </w:tcPr>
          <w:p w:rsidR="0075777C" w:rsidRPr="001A69BE" w:rsidRDefault="0075777C" w:rsidP="001A69BE">
            <w:pPr>
              <w:pStyle w:val="Tabletext"/>
              <w:jc w:val="center"/>
              <w:rPr>
                <w:b/>
              </w:rPr>
            </w:pPr>
            <w:r w:rsidRPr="001A69BE">
              <w:rPr>
                <w:b/>
              </w:rPr>
              <w:t>ERA</w:t>
            </w:r>
          </w:p>
        </w:tc>
        <w:tc>
          <w:tcPr>
            <w:tcW w:w="2126" w:type="dxa"/>
            <w:vMerge/>
            <w:shd w:val="clear" w:color="auto" w:fill="BFBFBF" w:themeFill="background1" w:themeFillShade="BF"/>
          </w:tcPr>
          <w:p w:rsidR="0075777C" w:rsidRPr="00822C52" w:rsidRDefault="0075777C" w:rsidP="001A69BE">
            <w:pPr>
              <w:pStyle w:val="Tabletext"/>
            </w:pPr>
          </w:p>
        </w:tc>
      </w:tr>
      <w:tr w:rsidR="0075777C" w:rsidRPr="00822C52" w:rsidTr="001A69BE">
        <w:trPr>
          <w:trHeight w:val="70"/>
        </w:trPr>
        <w:tc>
          <w:tcPr>
            <w:tcW w:w="1696" w:type="dxa"/>
            <w:shd w:val="clear" w:color="auto" w:fill="auto"/>
          </w:tcPr>
          <w:p w:rsidR="0075777C" w:rsidRDefault="0075777C" w:rsidP="001A69BE">
            <w:pPr>
              <w:pStyle w:val="Tabletext"/>
              <w:rPr>
                <w:rFonts w:cs="Tahoma"/>
              </w:rPr>
            </w:pPr>
            <w:r w:rsidRPr="00822C52">
              <w:rPr>
                <w:rFonts w:cs="Tahoma"/>
              </w:rPr>
              <w:t>PATENT-1 CSR</w:t>
            </w:r>
          </w:p>
          <w:p w:rsidR="00242BA3" w:rsidRPr="00242BA3" w:rsidRDefault="00242BA3" w:rsidP="001A69BE">
            <w:pPr>
              <w:pStyle w:val="Tabletext"/>
              <w:rPr>
                <w:rFonts w:cs="Tahoma"/>
              </w:rPr>
            </w:pPr>
            <w:r w:rsidRPr="00242BA3">
              <w:t>Riociguat</w:t>
            </w:r>
          </w:p>
        </w:tc>
        <w:tc>
          <w:tcPr>
            <w:tcW w:w="1843" w:type="dxa"/>
            <w:shd w:val="clear" w:color="auto" w:fill="auto"/>
          </w:tcPr>
          <w:p w:rsidR="0075777C" w:rsidRPr="00822C52" w:rsidRDefault="0075777C" w:rsidP="001A69BE">
            <w:pPr>
              <w:pStyle w:val="Tabletext"/>
              <w:rPr>
                <w:rFonts w:cs="Tahoma"/>
              </w:rPr>
            </w:pPr>
            <w:r w:rsidRPr="00822C52">
              <w:rPr>
                <w:rFonts w:cs="Tahoma"/>
              </w:rPr>
              <w:t>12 weeks</w:t>
            </w:r>
          </w:p>
        </w:tc>
        <w:tc>
          <w:tcPr>
            <w:tcW w:w="1984" w:type="dxa"/>
            <w:shd w:val="clear" w:color="auto" w:fill="auto"/>
          </w:tcPr>
          <w:p w:rsidR="0075777C" w:rsidRPr="00A17B9D" w:rsidRDefault="00A17B9D" w:rsidP="001A69BE">
            <w:pPr>
              <w:pStyle w:val="Tabletext"/>
              <w:jc w:val="center"/>
              <w:rPr>
                <w:rFonts w:cs="Tahoma"/>
                <w:highlight w:val="black"/>
              </w:rPr>
            </w:pPr>
            <w:r>
              <w:rPr>
                <w:rFonts w:eastAsia="Times New Roman" w:cs="Tahoma"/>
                <w:noProof/>
                <w:color w:val="000000"/>
                <w:highlight w:val="black"/>
              </w:rPr>
              <w:t>'''''''''''''' '''''''''''''</w:t>
            </w:r>
          </w:p>
        </w:tc>
        <w:tc>
          <w:tcPr>
            <w:tcW w:w="1985" w:type="dxa"/>
            <w:shd w:val="clear" w:color="auto" w:fill="auto"/>
          </w:tcPr>
          <w:p w:rsidR="0075777C" w:rsidRPr="00A17B9D" w:rsidRDefault="00A17B9D" w:rsidP="001A69BE">
            <w:pPr>
              <w:pStyle w:val="Tabletext"/>
              <w:jc w:val="center"/>
              <w:rPr>
                <w:rFonts w:cs="Tahoma"/>
                <w:highlight w:val="black"/>
              </w:rPr>
            </w:pPr>
            <w:r>
              <w:rPr>
                <w:rFonts w:eastAsia="Times New Roman" w:cs="Tahoma"/>
                <w:noProof/>
                <w:color w:val="000000"/>
                <w:highlight w:val="black"/>
              </w:rPr>
              <w:t>'''''''''' ''''''''''</w:t>
            </w:r>
          </w:p>
        </w:tc>
        <w:tc>
          <w:tcPr>
            <w:tcW w:w="2126" w:type="dxa"/>
          </w:tcPr>
          <w:p w:rsidR="0075777C" w:rsidRPr="00A17B9D" w:rsidRDefault="00A17B9D" w:rsidP="001A69BE">
            <w:pPr>
              <w:pStyle w:val="Tabletext"/>
              <w:rPr>
                <w:rFonts w:cs="Tahoma"/>
                <w:highlight w:val="black"/>
              </w:rPr>
            </w:pPr>
            <w:r>
              <w:rPr>
                <w:rFonts w:cs="Tahoma"/>
                <w:noProof/>
                <w:color w:val="000000"/>
                <w:highlight w:val="black"/>
              </w:rPr>
              <w:t>'''''''''' ''''''''''''' ''''''''''''</w:t>
            </w:r>
          </w:p>
        </w:tc>
      </w:tr>
    </w:tbl>
    <w:p w:rsidR="0075777C" w:rsidRPr="00822C52" w:rsidRDefault="0075777C" w:rsidP="001A69BE">
      <w:pPr>
        <w:pStyle w:val="Tablenote"/>
      </w:pPr>
      <w:r w:rsidRPr="00822C52">
        <w:t xml:space="preserve">CI = confidence interval; CSR = clinical study report; ERA = endothelin receptor antagonist; n = number of </w:t>
      </w:r>
      <w:r w:rsidR="00DC16A3">
        <w:t xml:space="preserve">patients with </w:t>
      </w:r>
      <w:r w:rsidRPr="00822C52">
        <w:t>events; N = number of patients; PAH = pulmonary arterial hypertension; RR = relative risk</w:t>
      </w:r>
      <w:r w:rsidR="009B47AA">
        <w:t>;</w:t>
      </w:r>
      <w:r w:rsidR="009B47AA" w:rsidRPr="009B47AA">
        <w:t xml:space="preserve"> sGC = solub</w:t>
      </w:r>
      <w:r w:rsidR="009B47AA">
        <w:t>le guanylate cyclase stimulator</w:t>
      </w:r>
    </w:p>
    <w:p w:rsidR="0075777C" w:rsidRPr="00822C52" w:rsidRDefault="002E4833" w:rsidP="0077344D">
      <w:pPr>
        <w:pStyle w:val="Heading6"/>
      </w:pPr>
      <w:r>
        <w:t>a</w:t>
      </w:r>
      <w:r w:rsidR="0075777C" w:rsidRPr="00822C52">
        <w:t>.ii</w:t>
      </w:r>
      <w:r w:rsidR="0075777C" w:rsidRPr="00822C52">
        <w:tab/>
        <w:t>PAH patients with FC III or IV</w:t>
      </w:r>
    </w:p>
    <w:p w:rsidR="0075777C" w:rsidRPr="00822C52" w:rsidRDefault="0075777C" w:rsidP="00FB0A80">
      <w:pPr>
        <w:spacing w:before="0" w:line="240" w:lineRule="auto"/>
      </w:pPr>
      <w:r>
        <w:t xml:space="preserve">Patients with WHO FC III/IV PAH who received combination therapy were </w:t>
      </w:r>
      <w:r w:rsidR="00A17B9D">
        <w:rPr>
          <w:noProof/>
          <w:color w:val="000000"/>
          <w:highlight w:val="black"/>
        </w:rPr>
        <w:t>''''''''''''' ''''''' '''''''''''</w:t>
      </w:r>
      <w:r>
        <w:t xml:space="preserve"> to experience a clinical worsening event than those on monotherapy (</w:t>
      </w:r>
      <w:r w:rsidR="00FB0A80">
        <w:t>Table 4.87</w:t>
      </w:r>
      <w:r>
        <w:t xml:space="preserve">), </w:t>
      </w:r>
      <w:r w:rsidR="00116B52">
        <w:rPr>
          <w:noProof/>
          <w:color w:val="000000"/>
          <w:highlight w:val="black"/>
        </w:rPr>
        <w:t>''''''' ''''''' '''''''''''''''''''</w:t>
      </w:r>
      <w:r w:rsidRPr="005C0403">
        <w:rPr>
          <w:highlight w:val="green"/>
        </w:rPr>
        <w:t xml:space="preserve"> </w:t>
      </w:r>
      <w:r w:rsidR="00A17B9D">
        <w:rPr>
          <w:noProof/>
          <w:color w:val="000000"/>
          <w:highlight w:val="black"/>
        </w:rPr>
        <w:t>'''''''' '''''''' '''''''''''''''''''' ''''''''''''''''''' ''</w:t>
      </w:r>
      <w:r w:rsidR="00B21201">
        <w:t>ARD</w:t>
      </w:r>
      <w:r w:rsidR="00DB6ACB">
        <w:t> </w:t>
      </w:r>
      <w:r w:rsidRPr="00707847">
        <w:t>=</w:t>
      </w:r>
      <w:r w:rsidR="00DB6ACB">
        <w:t> </w:t>
      </w:r>
      <w:r w:rsidR="00A17B9D">
        <w:rPr>
          <w:noProof/>
          <w:color w:val="000000"/>
          <w:highlight w:val="black"/>
        </w:rPr>
        <w:t>'''''''''''' ''''''' '''' ''''''''''''' '''''''' ''''''''''''''''''''''</w:t>
      </w:r>
      <w:r>
        <w:t xml:space="preserve"> Among patients with WHO FC III/IV PAH, </w:t>
      </w:r>
      <w:r w:rsidR="00A17B9D">
        <w:rPr>
          <w:noProof/>
          <w:color w:val="000000"/>
          <w:highlight w:val="black"/>
        </w:rPr>
        <w:t>'''''</w:t>
      </w:r>
      <w:r w:rsidRPr="00993312">
        <w:t xml:space="preserve"> need to be treated with </w:t>
      </w:r>
      <w:r w:rsidR="00A17B9D">
        <w:rPr>
          <w:noProof/>
          <w:color w:val="000000"/>
          <w:highlight w:val="black"/>
        </w:rPr>
        <w:t xml:space="preserve">''''''' ''''''''''''''''' '''''''' ''''''' </w:t>
      </w:r>
      <w:r w:rsidR="00116B52">
        <w:rPr>
          <w:noProof/>
          <w:color w:val="000000"/>
          <w:highlight w:val="black"/>
        </w:rPr>
        <w:t>'''''''''''''''''''''''''' ''''''''''''''''</w:t>
      </w:r>
      <w:r w:rsidRPr="00993312">
        <w:t xml:space="preserve"> to prevent clinical worsening in one additional patient compared with </w:t>
      </w:r>
      <w:r w:rsidR="00A17B9D">
        <w:rPr>
          <w:noProof/>
          <w:color w:val="000000"/>
          <w:highlight w:val="black"/>
        </w:rPr>
        <w:t>'''''''' ''''''''''''''''''''''''''</w:t>
      </w:r>
      <w:r w:rsidRPr="00993312">
        <w:t>.</w:t>
      </w:r>
    </w:p>
    <w:p w:rsidR="0075777C" w:rsidRPr="00DD7790" w:rsidRDefault="00272F8F" w:rsidP="00BC5A2B">
      <w:pPr>
        <w:pStyle w:val="Caption"/>
      </w:pPr>
      <w:bookmarkStart w:id="263" w:name="_Ref504657015"/>
      <w:bookmarkStart w:id="264" w:name="_Toc512855491"/>
      <w:r>
        <w:t>Table 4.</w:t>
      </w:r>
      <w:r w:rsidR="00AA722D">
        <w:rPr>
          <w:noProof/>
        </w:rPr>
        <w:t>87</w:t>
      </w:r>
      <w:bookmarkEnd w:id="263"/>
      <w:r w:rsidR="001A69BE">
        <w:tab/>
      </w:r>
      <w:r w:rsidR="0075777C" w:rsidRPr="00DD7790">
        <w:t xml:space="preserve">The effectiveness of </w:t>
      </w:r>
      <w:r w:rsidR="00242BA3">
        <w:t xml:space="preserve">a </w:t>
      </w:r>
      <w:r w:rsidR="00242BA3" w:rsidRPr="00242BA3">
        <w:t xml:space="preserve">sGC stimulator </w:t>
      </w:r>
      <w:r w:rsidR="007E59EC">
        <w:t>in addition to</w:t>
      </w:r>
      <w:r w:rsidR="007E59EC" w:rsidRPr="00DD7790">
        <w:t xml:space="preserve"> </w:t>
      </w:r>
      <w:r w:rsidR="007E59EC">
        <w:t xml:space="preserve">an </w:t>
      </w:r>
      <w:r w:rsidR="007E59EC" w:rsidRPr="00DD7790">
        <w:t xml:space="preserve">ERA </w:t>
      </w:r>
      <w:r w:rsidR="007E59EC" w:rsidRPr="00AA5E50">
        <w:t xml:space="preserve">compared </w:t>
      </w:r>
      <w:r w:rsidR="007E59EC">
        <w:t>with</w:t>
      </w:r>
      <w:r w:rsidR="007E59EC" w:rsidRPr="00DD7790">
        <w:t xml:space="preserve"> ERA</w:t>
      </w:r>
      <w:r w:rsidR="007E59EC">
        <w:t xml:space="preserve"> monotherapy</w:t>
      </w:r>
      <w:r w:rsidR="007E59EC" w:rsidRPr="00DD7790">
        <w:t xml:space="preserve"> </w:t>
      </w:r>
      <w:r w:rsidR="0075777C" w:rsidRPr="00DD7790">
        <w:t>in preventing clinical worsening in patients with WHO FC III/IV PAH</w:t>
      </w:r>
      <w:bookmarkEnd w:id="264"/>
    </w:p>
    <w:tbl>
      <w:tblPr>
        <w:tblStyle w:val="TableGrid7"/>
        <w:tblW w:w="9634" w:type="dxa"/>
        <w:tblLayout w:type="fixed"/>
        <w:tblLook w:val="04A0" w:firstRow="1" w:lastRow="0" w:firstColumn="1" w:lastColumn="0" w:noHBand="0" w:noVBand="1"/>
        <w:tblCaption w:val="The effectiveness of a sGC stimulator in addition to an ERA compared with ERA monotherapy in preventing clinical worsening in patients with WHO FC III/IV PAH"/>
      </w:tblPr>
      <w:tblGrid>
        <w:gridCol w:w="1696"/>
        <w:gridCol w:w="1701"/>
        <w:gridCol w:w="2127"/>
        <w:gridCol w:w="1984"/>
        <w:gridCol w:w="2126"/>
      </w:tblGrid>
      <w:tr w:rsidR="0075777C" w:rsidRPr="00822C52" w:rsidTr="001A69BE">
        <w:trPr>
          <w:trHeight w:val="277"/>
          <w:tblHeader/>
        </w:trPr>
        <w:tc>
          <w:tcPr>
            <w:tcW w:w="1696" w:type="dxa"/>
            <w:vMerge w:val="restart"/>
            <w:shd w:val="clear" w:color="auto" w:fill="BFBFBF" w:themeFill="background1" w:themeFillShade="BF"/>
          </w:tcPr>
          <w:p w:rsidR="0075777C" w:rsidRDefault="0075777C" w:rsidP="001A69BE">
            <w:pPr>
              <w:pStyle w:val="Tabletext"/>
              <w:rPr>
                <w:b/>
              </w:rPr>
            </w:pPr>
            <w:r w:rsidRPr="001A69BE">
              <w:rPr>
                <w:b/>
              </w:rPr>
              <w:t>Study ID</w:t>
            </w:r>
          </w:p>
          <w:p w:rsidR="00242BA3" w:rsidRPr="001A69BE" w:rsidRDefault="00242BA3" w:rsidP="001A69BE">
            <w:pPr>
              <w:pStyle w:val="Tabletext"/>
              <w:rPr>
                <w:b/>
              </w:rPr>
            </w:pPr>
            <w:r w:rsidRPr="00242BA3">
              <w:rPr>
                <w:b/>
              </w:rPr>
              <w:t>sGC stimulator</w:t>
            </w:r>
          </w:p>
        </w:tc>
        <w:tc>
          <w:tcPr>
            <w:tcW w:w="1701" w:type="dxa"/>
            <w:vMerge w:val="restart"/>
            <w:shd w:val="clear" w:color="auto" w:fill="BFBFBF" w:themeFill="background1" w:themeFillShade="BF"/>
          </w:tcPr>
          <w:p w:rsidR="0075777C" w:rsidRPr="001A69BE" w:rsidRDefault="0075777C" w:rsidP="001A69BE">
            <w:pPr>
              <w:pStyle w:val="Tabletext"/>
              <w:rPr>
                <w:b/>
              </w:rPr>
            </w:pPr>
            <w:r w:rsidRPr="001A69BE">
              <w:rPr>
                <w:b/>
              </w:rPr>
              <w:t>Study period</w:t>
            </w:r>
          </w:p>
        </w:tc>
        <w:tc>
          <w:tcPr>
            <w:tcW w:w="4111" w:type="dxa"/>
            <w:gridSpan w:val="2"/>
            <w:shd w:val="clear" w:color="auto" w:fill="BFBFBF" w:themeFill="background1" w:themeFillShade="BF"/>
          </w:tcPr>
          <w:p w:rsidR="0075777C" w:rsidRPr="001A69BE" w:rsidRDefault="0075777C" w:rsidP="001A69BE">
            <w:pPr>
              <w:pStyle w:val="Tabletext"/>
              <w:tabs>
                <w:tab w:val="left" w:pos="881"/>
              </w:tabs>
              <w:jc w:val="center"/>
              <w:rPr>
                <w:b/>
              </w:rPr>
            </w:pPr>
            <w:r w:rsidRPr="001A69BE">
              <w:rPr>
                <w:b/>
              </w:rPr>
              <w:t>n/N (%)</w:t>
            </w:r>
          </w:p>
        </w:tc>
        <w:tc>
          <w:tcPr>
            <w:tcW w:w="2126" w:type="dxa"/>
            <w:vMerge w:val="restart"/>
            <w:shd w:val="clear" w:color="auto" w:fill="BFBFBF" w:themeFill="background1" w:themeFillShade="BF"/>
          </w:tcPr>
          <w:p w:rsidR="0075777C" w:rsidRPr="001A69BE" w:rsidRDefault="0075777C" w:rsidP="001A69BE">
            <w:pPr>
              <w:pStyle w:val="Tabletext"/>
              <w:rPr>
                <w:b/>
              </w:rPr>
            </w:pPr>
            <w:r w:rsidRPr="001A69BE">
              <w:rPr>
                <w:b/>
              </w:rPr>
              <w:t>RR (95% CI)</w:t>
            </w:r>
          </w:p>
        </w:tc>
      </w:tr>
      <w:tr w:rsidR="0075777C" w:rsidRPr="00822C52" w:rsidTr="001A69BE">
        <w:trPr>
          <w:trHeight w:val="202"/>
          <w:tblHeader/>
        </w:trPr>
        <w:tc>
          <w:tcPr>
            <w:tcW w:w="1696" w:type="dxa"/>
            <w:vMerge/>
            <w:shd w:val="clear" w:color="auto" w:fill="BFBFBF" w:themeFill="background1" w:themeFillShade="BF"/>
          </w:tcPr>
          <w:p w:rsidR="0075777C" w:rsidRPr="00822C52" w:rsidRDefault="0075777C" w:rsidP="001A69BE">
            <w:pPr>
              <w:pStyle w:val="Tabletext"/>
            </w:pPr>
          </w:p>
        </w:tc>
        <w:tc>
          <w:tcPr>
            <w:tcW w:w="1701" w:type="dxa"/>
            <w:vMerge/>
            <w:shd w:val="clear" w:color="auto" w:fill="BFBFBF" w:themeFill="background1" w:themeFillShade="BF"/>
          </w:tcPr>
          <w:p w:rsidR="0075777C" w:rsidRPr="00822C52" w:rsidRDefault="0075777C" w:rsidP="001A69BE">
            <w:pPr>
              <w:pStyle w:val="Tabletext"/>
            </w:pPr>
          </w:p>
        </w:tc>
        <w:tc>
          <w:tcPr>
            <w:tcW w:w="2127" w:type="dxa"/>
            <w:shd w:val="clear" w:color="auto" w:fill="BFBFBF" w:themeFill="background1" w:themeFillShade="BF"/>
          </w:tcPr>
          <w:p w:rsidR="0075777C" w:rsidRPr="001A69BE" w:rsidRDefault="00242BA3" w:rsidP="001A69BE">
            <w:pPr>
              <w:pStyle w:val="Tabletext"/>
              <w:jc w:val="center"/>
              <w:rPr>
                <w:b/>
              </w:rPr>
            </w:pPr>
            <w:r w:rsidRPr="00242BA3">
              <w:rPr>
                <w:b/>
              </w:rPr>
              <w:t xml:space="preserve">sGC stimulator </w:t>
            </w:r>
            <w:r w:rsidR="0075777C" w:rsidRPr="001A69BE">
              <w:rPr>
                <w:b/>
              </w:rPr>
              <w:t>+ ERA</w:t>
            </w:r>
          </w:p>
        </w:tc>
        <w:tc>
          <w:tcPr>
            <w:tcW w:w="1984" w:type="dxa"/>
            <w:shd w:val="clear" w:color="auto" w:fill="BFBFBF" w:themeFill="background1" w:themeFillShade="BF"/>
          </w:tcPr>
          <w:p w:rsidR="0075777C" w:rsidRPr="001A69BE" w:rsidRDefault="0075777C" w:rsidP="001A69BE">
            <w:pPr>
              <w:pStyle w:val="Tabletext"/>
              <w:jc w:val="center"/>
              <w:rPr>
                <w:b/>
              </w:rPr>
            </w:pPr>
            <w:r w:rsidRPr="001A69BE">
              <w:rPr>
                <w:b/>
              </w:rPr>
              <w:t>ERA</w:t>
            </w:r>
          </w:p>
        </w:tc>
        <w:tc>
          <w:tcPr>
            <w:tcW w:w="2126" w:type="dxa"/>
            <w:vMerge/>
            <w:shd w:val="clear" w:color="auto" w:fill="BFBFBF" w:themeFill="background1" w:themeFillShade="BF"/>
          </w:tcPr>
          <w:p w:rsidR="0075777C" w:rsidRPr="00822C52" w:rsidRDefault="0075777C" w:rsidP="001A69BE">
            <w:pPr>
              <w:pStyle w:val="Tabletext"/>
            </w:pPr>
          </w:p>
        </w:tc>
      </w:tr>
      <w:tr w:rsidR="0075777C" w:rsidRPr="00822C52" w:rsidTr="001A69BE">
        <w:trPr>
          <w:trHeight w:val="70"/>
        </w:trPr>
        <w:tc>
          <w:tcPr>
            <w:tcW w:w="1696" w:type="dxa"/>
            <w:shd w:val="clear" w:color="auto" w:fill="auto"/>
          </w:tcPr>
          <w:p w:rsidR="0075777C" w:rsidRDefault="0075777C" w:rsidP="001A69BE">
            <w:pPr>
              <w:pStyle w:val="Tabletext"/>
              <w:rPr>
                <w:rFonts w:cs="Tahoma"/>
              </w:rPr>
            </w:pPr>
            <w:r w:rsidRPr="00822C52">
              <w:rPr>
                <w:rFonts w:cs="Tahoma"/>
              </w:rPr>
              <w:t>PATENT-1</w:t>
            </w:r>
            <w:r w:rsidRPr="00817DE4">
              <w:rPr>
                <w:rFonts w:cs="Tahoma"/>
                <w:vertAlign w:val="superscript"/>
              </w:rPr>
              <w:t>a</w:t>
            </w:r>
            <w:r w:rsidRPr="00822C52">
              <w:rPr>
                <w:rFonts w:cs="Tahoma"/>
              </w:rPr>
              <w:t xml:space="preserve"> CSR</w:t>
            </w:r>
          </w:p>
          <w:p w:rsidR="00242BA3" w:rsidRPr="00242BA3" w:rsidRDefault="00242BA3" w:rsidP="001A69BE">
            <w:pPr>
              <w:pStyle w:val="Tabletext"/>
              <w:rPr>
                <w:rFonts w:cs="Tahoma"/>
              </w:rPr>
            </w:pPr>
            <w:r w:rsidRPr="00242BA3">
              <w:t>Riociguat</w:t>
            </w:r>
          </w:p>
        </w:tc>
        <w:tc>
          <w:tcPr>
            <w:tcW w:w="1701" w:type="dxa"/>
            <w:shd w:val="clear" w:color="auto" w:fill="auto"/>
          </w:tcPr>
          <w:p w:rsidR="0075777C" w:rsidRPr="00822C52" w:rsidRDefault="0075777C" w:rsidP="001A69BE">
            <w:pPr>
              <w:pStyle w:val="Tabletext"/>
              <w:rPr>
                <w:rFonts w:cs="Tahoma"/>
              </w:rPr>
            </w:pPr>
            <w:r w:rsidRPr="00822C52">
              <w:rPr>
                <w:rFonts w:cs="Tahoma"/>
              </w:rPr>
              <w:t>12 weeks</w:t>
            </w:r>
          </w:p>
        </w:tc>
        <w:tc>
          <w:tcPr>
            <w:tcW w:w="2127" w:type="dxa"/>
            <w:shd w:val="clear" w:color="auto" w:fill="auto"/>
          </w:tcPr>
          <w:p w:rsidR="0075777C" w:rsidRPr="00A17B9D" w:rsidRDefault="00A17B9D" w:rsidP="001A69BE">
            <w:pPr>
              <w:pStyle w:val="Tabletext"/>
              <w:jc w:val="center"/>
              <w:rPr>
                <w:rFonts w:cs="Tahoma"/>
                <w:highlight w:val="black"/>
              </w:rPr>
            </w:pPr>
            <w:r>
              <w:rPr>
                <w:rFonts w:eastAsia="Times New Roman" w:cs="Tahoma"/>
                <w:noProof/>
                <w:color w:val="000000"/>
                <w:highlight w:val="black"/>
              </w:rPr>
              <w:t>'''''''''' '''''''''''''</w:t>
            </w:r>
          </w:p>
        </w:tc>
        <w:tc>
          <w:tcPr>
            <w:tcW w:w="1984" w:type="dxa"/>
            <w:shd w:val="clear" w:color="auto" w:fill="auto"/>
          </w:tcPr>
          <w:p w:rsidR="0075777C" w:rsidRPr="00A17B9D" w:rsidRDefault="00A17B9D" w:rsidP="001A69BE">
            <w:pPr>
              <w:pStyle w:val="Tabletext"/>
              <w:jc w:val="center"/>
              <w:rPr>
                <w:rFonts w:cs="Tahoma"/>
                <w:highlight w:val="black"/>
              </w:rPr>
            </w:pPr>
            <w:r>
              <w:rPr>
                <w:rFonts w:eastAsia="Times New Roman" w:cs="Tahoma"/>
                <w:noProof/>
                <w:color w:val="000000"/>
                <w:highlight w:val="black"/>
              </w:rPr>
              <w:t>'''''''''''' ''''''''''''</w:t>
            </w:r>
          </w:p>
        </w:tc>
        <w:tc>
          <w:tcPr>
            <w:tcW w:w="2126" w:type="dxa"/>
            <w:shd w:val="clear" w:color="auto" w:fill="auto"/>
          </w:tcPr>
          <w:p w:rsidR="0075777C" w:rsidRPr="00A17B9D" w:rsidRDefault="00A17B9D" w:rsidP="001A69BE">
            <w:pPr>
              <w:pStyle w:val="Tabletext"/>
              <w:rPr>
                <w:rFonts w:cs="Tahoma"/>
                <w:highlight w:val="black"/>
              </w:rPr>
            </w:pPr>
            <w:r>
              <w:rPr>
                <w:rFonts w:cs="Tahoma"/>
                <w:noProof/>
                <w:color w:val="000000"/>
                <w:highlight w:val="black"/>
              </w:rPr>
              <w:t>'''''''''' ''''''''''''''' '''''''''''''</w:t>
            </w:r>
          </w:p>
        </w:tc>
      </w:tr>
    </w:tbl>
    <w:p w:rsidR="0075777C" w:rsidRDefault="0075777C" w:rsidP="001A69BE">
      <w:pPr>
        <w:pStyle w:val="Tablenote"/>
      </w:pPr>
      <w:r w:rsidRPr="00817DE4">
        <w:rPr>
          <w:vertAlign w:val="superscript"/>
        </w:rPr>
        <w:t>a</w:t>
      </w:r>
      <w:r>
        <w:t xml:space="preserve"> 14% of patients had background </w:t>
      </w:r>
      <w:r w:rsidR="001A69BE">
        <w:t>prostanoid</w:t>
      </w:r>
      <w:r>
        <w:t xml:space="preserve"> therapy</w:t>
      </w:r>
    </w:p>
    <w:p w:rsidR="0075777C" w:rsidRPr="00822C52" w:rsidRDefault="0075777C" w:rsidP="001A69BE">
      <w:pPr>
        <w:pStyle w:val="Tablenote"/>
      </w:pPr>
      <w:r w:rsidRPr="00822C52">
        <w:t xml:space="preserve">CI = confidence interval; CSR = clinical study report; ERA = endothelin receptor antagonist; FC = functional class; n = number of </w:t>
      </w:r>
      <w:r w:rsidR="00DC16A3">
        <w:t xml:space="preserve">patients with </w:t>
      </w:r>
      <w:r w:rsidRPr="00822C52">
        <w:t xml:space="preserve">events; N = number of patients; PAH = pulmonary arterial hypertension; RR = relative risk; </w:t>
      </w:r>
      <w:r w:rsidR="009B47AA" w:rsidRPr="009B47AA">
        <w:t xml:space="preserve">sGC = soluble guanylate cyclase stimulator; </w:t>
      </w:r>
      <w:r w:rsidRPr="00822C52">
        <w:t>WHO = World Health Organization</w:t>
      </w:r>
    </w:p>
    <w:p w:rsidR="0075777C" w:rsidRPr="00822C52" w:rsidRDefault="002E4833" w:rsidP="0075777C">
      <w:pPr>
        <w:pStyle w:val="Heading5"/>
      </w:pPr>
      <w:r>
        <w:t>b.</w:t>
      </w:r>
      <w:r w:rsidR="00761752">
        <w:tab/>
      </w:r>
      <w:r w:rsidR="00C828F9">
        <w:t>All-cause m</w:t>
      </w:r>
      <w:r w:rsidR="00C828F9" w:rsidRPr="006316DF">
        <w:t>ortality</w:t>
      </w:r>
    </w:p>
    <w:p w:rsidR="0075777C" w:rsidRPr="00822C52" w:rsidRDefault="002E4833" w:rsidP="0077344D">
      <w:pPr>
        <w:pStyle w:val="Heading6"/>
      </w:pPr>
      <w:r>
        <w:t>b</w:t>
      </w:r>
      <w:r w:rsidR="0075777C" w:rsidRPr="00822C52">
        <w:t>.i</w:t>
      </w:r>
      <w:r w:rsidR="0075777C" w:rsidRPr="00822C52">
        <w:tab/>
        <w:t>PAH patients, irrespective of disease severity or aetiology</w:t>
      </w:r>
    </w:p>
    <w:p w:rsidR="0075777C" w:rsidRPr="00822C52" w:rsidRDefault="0075777C" w:rsidP="0075777C">
      <w:r>
        <w:t xml:space="preserve">Patients who received combination therapy were </w:t>
      </w:r>
      <w:r w:rsidR="00A17B9D">
        <w:rPr>
          <w:noProof/>
          <w:color w:val="000000"/>
          <w:highlight w:val="black"/>
        </w:rPr>
        <w:t>'''''''' ''''''''''</w:t>
      </w:r>
      <w:r>
        <w:t xml:space="preserve"> to die than those on monotherapy (</w:t>
      </w:r>
      <w:r w:rsidR="00AA722D">
        <w:t>Table 4.</w:t>
      </w:r>
      <w:r w:rsidR="00AA722D">
        <w:rPr>
          <w:noProof/>
        </w:rPr>
        <w:t>88</w:t>
      </w:r>
      <w:r>
        <w:t xml:space="preserve">), </w:t>
      </w:r>
      <w:r w:rsidR="00A17B9D">
        <w:rPr>
          <w:noProof/>
          <w:color w:val="000000"/>
          <w:highlight w:val="black"/>
        </w:rPr>
        <w:t>'''''' ''''''' ''''''''''''''''''' ''''''' ''''''' ''''''''''''''''''''' ''''''''''''''''''' ''</w:t>
      </w:r>
      <w:r w:rsidR="00B21201">
        <w:t>ARD</w:t>
      </w:r>
      <w:r w:rsidR="00DB6ACB">
        <w:t> </w:t>
      </w:r>
      <w:r w:rsidRPr="00707847">
        <w:t>=</w:t>
      </w:r>
      <w:r w:rsidR="00DB6ACB">
        <w:t> </w:t>
      </w:r>
      <w:r w:rsidR="00A17B9D">
        <w:rPr>
          <w:noProof/>
          <w:color w:val="000000"/>
          <w:highlight w:val="black"/>
        </w:rPr>
        <w:t>''''''''''''' '''''''' ''''' '''''''''' ''''''' ''''''''''''''''''''</w:t>
      </w:r>
      <w:r>
        <w:t xml:space="preserve"> Thus, </w:t>
      </w:r>
      <w:r w:rsidR="00A17B9D">
        <w:rPr>
          <w:noProof/>
          <w:color w:val="000000"/>
          <w:highlight w:val="black"/>
        </w:rPr>
        <w:t>''''''</w:t>
      </w:r>
      <w:r w:rsidR="00443120" w:rsidRPr="00993312">
        <w:t xml:space="preserve"> </w:t>
      </w:r>
      <w:r w:rsidRPr="00993312">
        <w:t xml:space="preserve">patients need to be treated with </w:t>
      </w:r>
      <w:r w:rsidR="00A17B9D">
        <w:rPr>
          <w:noProof/>
          <w:color w:val="000000"/>
          <w:highlight w:val="black"/>
        </w:rPr>
        <w:t>''''''' ''''''''''''''''''' '''''''' '''''''' ''''''''''''''''''''''' ''''''''''''''''</w:t>
      </w:r>
      <w:r w:rsidRPr="00993312">
        <w:t xml:space="preserve"> to prevent one additional </w:t>
      </w:r>
      <w:r>
        <w:t>death</w:t>
      </w:r>
      <w:r w:rsidRPr="00993312">
        <w:t xml:space="preserve"> compared with </w:t>
      </w:r>
      <w:r w:rsidR="00A17B9D">
        <w:rPr>
          <w:noProof/>
          <w:color w:val="000000"/>
          <w:highlight w:val="black"/>
        </w:rPr>
        <w:t>''''''' '''''''''''''''''''''''''''</w:t>
      </w:r>
      <w:r w:rsidRPr="00993312">
        <w:t>.</w:t>
      </w:r>
    </w:p>
    <w:p w:rsidR="0075777C" w:rsidRPr="00DD7790" w:rsidRDefault="00272F8F" w:rsidP="00BC5A2B">
      <w:pPr>
        <w:pStyle w:val="Caption"/>
      </w:pPr>
      <w:bookmarkStart w:id="265" w:name="_Ref504657086"/>
      <w:bookmarkStart w:id="266" w:name="_Toc512855492"/>
      <w:r>
        <w:lastRenderedPageBreak/>
        <w:t>Table 4.</w:t>
      </w:r>
      <w:r w:rsidR="00AA722D">
        <w:rPr>
          <w:noProof/>
        </w:rPr>
        <w:t>88</w:t>
      </w:r>
      <w:bookmarkEnd w:id="265"/>
      <w:r w:rsidR="001A69BE">
        <w:tab/>
      </w:r>
      <w:r w:rsidR="0075777C" w:rsidRPr="00DD7790">
        <w:t xml:space="preserve">Mortality rates for </w:t>
      </w:r>
      <w:r w:rsidR="00242BA3">
        <w:t xml:space="preserve">a </w:t>
      </w:r>
      <w:r w:rsidR="00242BA3" w:rsidRPr="00242BA3">
        <w:t xml:space="preserve">sGC stimulator </w:t>
      </w:r>
      <w:r w:rsidR="007E59EC">
        <w:t>in addition to</w:t>
      </w:r>
      <w:r w:rsidR="007E59EC" w:rsidRPr="00DD7790">
        <w:t xml:space="preserve"> </w:t>
      </w:r>
      <w:r w:rsidR="007E59EC">
        <w:t xml:space="preserve">an </w:t>
      </w:r>
      <w:r w:rsidR="007E59EC" w:rsidRPr="00DD7790">
        <w:t xml:space="preserve">ERA </w:t>
      </w:r>
      <w:r w:rsidR="007E59EC" w:rsidRPr="00AA5E50">
        <w:t xml:space="preserve">compared </w:t>
      </w:r>
      <w:r w:rsidR="007E59EC">
        <w:t>with</w:t>
      </w:r>
      <w:r w:rsidR="007E59EC" w:rsidRPr="00DD7790">
        <w:t xml:space="preserve"> ERA</w:t>
      </w:r>
      <w:r w:rsidR="007E59EC">
        <w:t xml:space="preserve"> monotherapy</w:t>
      </w:r>
      <w:r w:rsidR="007E59EC" w:rsidRPr="00DD7790">
        <w:t xml:space="preserve"> </w:t>
      </w:r>
      <w:r w:rsidR="0075777C" w:rsidRPr="00DD7790">
        <w:t>in all PAH patients</w:t>
      </w:r>
      <w:bookmarkEnd w:id="266"/>
    </w:p>
    <w:tbl>
      <w:tblPr>
        <w:tblStyle w:val="TableGrid7"/>
        <w:tblW w:w="9634" w:type="dxa"/>
        <w:tblLayout w:type="fixed"/>
        <w:tblLook w:val="04A0" w:firstRow="1" w:lastRow="0" w:firstColumn="1" w:lastColumn="0" w:noHBand="0" w:noVBand="1"/>
        <w:tblCaption w:val="Mortality rates for a sGC stimulator in addition to an ERA compared with ERA monotherapy in all PAH patients"/>
      </w:tblPr>
      <w:tblGrid>
        <w:gridCol w:w="1696"/>
        <w:gridCol w:w="1701"/>
        <w:gridCol w:w="2127"/>
        <w:gridCol w:w="1984"/>
        <w:gridCol w:w="2126"/>
      </w:tblGrid>
      <w:tr w:rsidR="0075777C" w:rsidRPr="00822C52" w:rsidTr="001A69BE">
        <w:trPr>
          <w:trHeight w:val="185"/>
          <w:tblHeader/>
        </w:trPr>
        <w:tc>
          <w:tcPr>
            <w:tcW w:w="1696" w:type="dxa"/>
            <w:vMerge w:val="restart"/>
            <w:shd w:val="clear" w:color="auto" w:fill="BFBFBF" w:themeFill="background1" w:themeFillShade="BF"/>
          </w:tcPr>
          <w:p w:rsidR="0075777C" w:rsidRDefault="0075777C" w:rsidP="001A69BE">
            <w:pPr>
              <w:pStyle w:val="Tabletext"/>
              <w:rPr>
                <w:b/>
              </w:rPr>
            </w:pPr>
            <w:r w:rsidRPr="001A69BE">
              <w:rPr>
                <w:b/>
              </w:rPr>
              <w:t>Study ID</w:t>
            </w:r>
          </w:p>
          <w:p w:rsidR="00242BA3" w:rsidRPr="001A69BE" w:rsidRDefault="00242BA3" w:rsidP="001A69BE">
            <w:pPr>
              <w:pStyle w:val="Tabletext"/>
              <w:rPr>
                <w:b/>
              </w:rPr>
            </w:pPr>
            <w:r w:rsidRPr="00242BA3">
              <w:rPr>
                <w:b/>
              </w:rPr>
              <w:t>sGC stimulator</w:t>
            </w:r>
          </w:p>
        </w:tc>
        <w:tc>
          <w:tcPr>
            <w:tcW w:w="1701" w:type="dxa"/>
            <w:vMerge w:val="restart"/>
            <w:shd w:val="clear" w:color="auto" w:fill="BFBFBF" w:themeFill="background1" w:themeFillShade="BF"/>
          </w:tcPr>
          <w:p w:rsidR="0075777C" w:rsidRPr="001A69BE" w:rsidRDefault="0075777C" w:rsidP="001A69BE">
            <w:pPr>
              <w:pStyle w:val="Tabletext"/>
              <w:rPr>
                <w:b/>
              </w:rPr>
            </w:pPr>
            <w:r w:rsidRPr="001A69BE">
              <w:rPr>
                <w:b/>
              </w:rPr>
              <w:t>Study period</w:t>
            </w:r>
          </w:p>
        </w:tc>
        <w:tc>
          <w:tcPr>
            <w:tcW w:w="4111" w:type="dxa"/>
            <w:gridSpan w:val="2"/>
            <w:shd w:val="clear" w:color="auto" w:fill="BFBFBF" w:themeFill="background1" w:themeFillShade="BF"/>
          </w:tcPr>
          <w:p w:rsidR="0075777C" w:rsidRPr="001A69BE" w:rsidRDefault="0075777C" w:rsidP="00DB5599">
            <w:pPr>
              <w:pStyle w:val="Tabletext"/>
              <w:jc w:val="center"/>
              <w:rPr>
                <w:b/>
              </w:rPr>
            </w:pPr>
            <w:r w:rsidRPr="001A69BE">
              <w:rPr>
                <w:b/>
              </w:rPr>
              <w:t>n/N (%)</w:t>
            </w:r>
          </w:p>
        </w:tc>
        <w:tc>
          <w:tcPr>
            <w:tcW w:w="2126" w:type="dxa"/>
            <w:vMerge w:val="restart"/>
            <w:shd w:val="clear" w:color="auto" w:fill="BFBFBF" w:themeFill="background1" w:themeFillShade="BF"/>
          </w:tcPr>
          <w:p w:rsidR="0075777C" w:rsidRPr="001A69BE" w:rsidRDefault="0075777C" w:rsidP="001A69BE">
            <w:pPr>
              <w:pStyle w:val="Tabletext"/>
              <w:rPr>
                <w:b/>
              </w:rPr>
            </w:pPr>
            <w:r w:rsidRPr="001A69BE">
              <w:rPr>
                <w:b/>
              </w:rPr>
              <w:t>RR (95% CI)</w:t>
            </w:r>
          </w:p>
        </w:tc>
      </w:tr>
      <w:tr w:rsidR="0075777C" w:rsidRPr="00822C52" w:rsidTr="001A69BE">
        <w:trPr>
          <w:trHeight w:val="202"/>
          <w:tblHeader/>
        </w:trPr>
        <w:tc>
          <w:tcPr>
            <w:tcW w:w="1696" w:type="dxa"/>
            <w:vMerge/>
            <w:shd w:val="clear" w:color="auto" w:fill="BFBFBF" w:themeFill="background1" w:themeFillShade="BF"/>
          </w:tcPr>
          <w:p w:rsidR="0075777C" w:rsidRPr="00822C52" w:rsidRDefault="0075777C" w:rsidP="001A69BE">
            <w:pPr>
              <w:pStyle w:val="Tabletext"/>
            </w:pPr>
          </w:p>
        </w:tc>
        <w:tc>
          <w:tcPr>
            <w:tcW w:w="1701" w:type="dxa"/>
            <w:vMerge/>
            <w:shd w:val="clear" w:color="auto" w:fill="BFBFBF" w:themeFill="background1" w:themeFillShade="BF"/>
          </w:tcPr>
          <w:p w:rsidR="0075777C" w:rsidRPr="00822C52" w:rsidRDefault="0075777C" w:rsidP="001A69BE">
            <w:pPr>
              <w:pStyle w:val="Tabletext"/>
            </w:pPr>
          </w:p>
        </w:tc>
        <w:tc>
          <w:tcPr>
            <w:tcW w:w="2127" w:type="dxa"/>
            <w:shd w:val="clear" w:color="auto" w:fill="BFBFBF" w:themeFill="background1" w:themeFillShade="BF"/>
          </w:tcPr>
          <w:p w:rsidR="0075777C" w:rsidRPr="001A69BE" w:rsidRDefault="00242BA3" w:rsidP="00DB5599">
            <w:pPr>
              <w:pStyle w:val="Tabletext"/>
              <w:jc w:val="center"/>
              <w:rPr>
                <w:b/>
              </w:rPr>
            </w:pPr>
            <w:r w:rsidRPr="00242BA3">
              <w:rPr>
                <w:b/>
              </w:rPr>
              <w:t xml:space="preserve">sGC stimulator </w:t>
            </w:r>
            <w:r w:rsidR="0075777C" w:rsidRPr="001A69BE">
              <w:rPr>
                <w:b/>
              </w:rPr>
              <w:t>+ ERA</w:t>
            </w:r>
          </w:p>
        </w:tc>
        <w:tc>
          <w:tcPr>
            <w:tcW w:w="1984" w:type="dxa"/>
            <w:shd w:val="clear" w:color="auto" w:fill="BFBFBF" w:themeFill="background1" w:themeFillShade="BF"/>
          </w:tcPr>
          <w:p w:rsidR="0075777C" w:rsidRPr="001A69BE" w:rsidRDefault="0075777C" w:rsidP="00DB5599">
            <w:pPr>
              <w:pStyle w:val="Tabletext"/>
              <w:jc w:val="center"/>
              <w:rPr>
                <w:b/>
              </w:rPr>
            </w:pPr>
            <w:r w:rsidRPr="001A69BE">
              <w:rPr>
                <w:b/>
              </w:rPr>
              <w:t>ERA</w:t>
            </w:r>
          </w:p>
        </w:tc>
        <w:tc>
          <w:tcPr>
            <w:tcW w:w="2126" w:type="dxa"/>
            <w:vMerge/>
            <w:shd w:val="clear" w:color="auto" w:fill="BFBFBF" w:themeFill="background1" w:themeFillShade="BF"/>
          </w:tcPr>
          <w:p w:rsidR="0075777C" w:rsidRPr="00822C52" w:rsidRDefault="0075777C" w:rsidP="001A69BE">
            <w:pPr>
              <w:pStyle w:val="Tabletext"/>
            </w:pPr>
          </w:p>
        </w:tc>
      </w:tr>
      <w:tr w:rsidR="0075777C" w:rsidRPr="00822C52" w:rsidTr="00DB5599">
        <w:trPr>
          <w:trHeight w:val="70"/>
        </w:trPr>
        <w:tc>
          <w:tcPr>
            <w:tcW w:w="1696" w:type="dxa"/>
            <w:shd w:val="clear" w:color="auto" w:fill="auto"/>
          </w:tcPr>
          <w:p w:rsidR="00242BA3" w:rsidRDefault="0075777C" w:rsidP="001A69BE">
            <w:pPr>
              <w:pStyle w:val="Tabletext"/>
              <w:rPr>
                <w:rFonts w:cs="Tahoma"/>
              </w:rPr>
            </w:pPr>
            <w:r w:rsidRPr="00150BDE">
              <w:rPr>
                <w:rFonts w:cs="Tahoma"/>
              </w:rPr>
              <w:t>PATENT-1 CSR</w:t>
            </w:r>
          </w:p>
          <w:p w:rsidR="0075777C" w:rsidRPr="00242BA3" w:rsidRDefault="00242BA3" w:rsidP="001A69BE">
            <w:pPr>
              <w:pStyle w:val="Tabletext"/>
              <w:rPr>
                <w:rFonts w:cs="Tahoma"/>
              </w:rPr>
            </w:pPr>
            <w:r w:rsidRPr="00242BA3">
              <w:t>Riociguat</w:t>
            </w:r>
          </w:p>
        </w:tc>
        <w:tc>
          <w:tcPr>
            <w:tcW w:w="1701" w:type="dxa"/>
            <w:shd w:val="clear" w:color="auto" w:fill="auto"/>
          </w:tcPr>
          <w:p w:rsidR="0075777C" w:rsidRPr="00150BDE" w:rsidRDefault="0075777C" w:rsidP="001A69BE">
            <w:pPr>
              <w:pStyle w:val="Tabletext"/>
              <w:rPr>
                <w:rFonts w:cs="Tahoma"/>
              </w:rPr>
            </w:pPr>
            <w:r w:rsidRPr="00150BDE">
              <w:rPr>
                <w:rFonts w:cs="Tahoma"/>
              </w:rPr>
              <w:t>12 weeks</w:t>
            </w:r>
          </w:p>
        </w:tc>
        <w:tc>
          <w:tcPr>
            <w:tcW w:w="2127" w:type="dxa"/>
            <w:shd w:val="clear" w:color="auto" w:fill="auto"/>
          </w:tcPr>
          <w:p w:rsidR="0075777C" w:rsidRPr="00A17B9D" w:rsidRDefault="00A17B9D" w:rsidP="0060259F">
            <w:pPr>
              <w:pStyle w:val="Tabletext"/>
              <w:jc w:val="center"/>
              <w:rPr>
                <w:rFonts w:cs="Tahoma"/>
                <w:highlight w:val="black"/>
              </w:rPr>
            </w:pPr>
            <w:r>
              <w:rPr>
                <w:rFonts w:eastAsia="Times New Roman" w:cs="Tahoma"/>
                <w:noProof/>
                <w:color w:val="000000"/>
                <w:highlight w:val="black"/>
              </w:rPr>
              <w:t>''''''''''''''' '''''''''''</w:t>
            </w:r>
          </w:p>
        </w:tc>
        <w:tc>
          <w:tcPr>
            <w:tcW w:w="1984" w:type="dxa"/>
            <w:shd w:val="clear" w:color="auto" w:fill="auto"/>
          </w:tcPr>
          <w:p w:rsidR="0075777C" w:rsidRPr="00A17B9D" w:rsidRDefault="00A17B9D" w:rsidP="0060259F">
            <w:pPr>
              <w:pStyle w:val="Tabletext"/>
              <w:jc w:val="center"/>
              <w:rPr>
                <w:rFonts w:cs="Tahoma"/>
                <w:highlight w:val="black"/>
              </w:rPr>
            </w:pPr>
            <w:r>
              <w:rPr>
                <w:rFonts w:eastAsia="Times New Roman" w:cs="Tahoma"/>
                <w:noProof/>
                <w:color w:val="000000"/>
                <w:highlight w:val="black"/>
              </w:rPr>
              <w:t>''''''''' '''''''''''</w:t>
            </w:r>
          </w:p>
        </w:tc>
        <w:tc>
          <w:tcPr>
            <w:tcW w:w="2126" w:type="dxa"/>
          </w:tcPr>
          <w:p w:rsidR="0075777C" w:rsidRPr="00A17B9D" w:rsidRDefault="00A17B9D" w:rsidP="00250528">
            <w:pPr>
              <w:pStyle w:val="Tabletext"/>
              <w:rPr>
                <w:rFonts w:cs="Tahoma"/>
                <w:highlight w:val="black"/>
              </w:rPr>
            </w:pPr>
            <w:r>
              <w:rPr>
                <w:rFonts w:cs="Tahoma"/>
                <w:noProof/>
                <w:color w:val="000000"/>
                <w:highlight w:val="black"/>
              </w:rPr>
              <w:t>'''''''' '''''''''''''''''''''''''</w:t>
            </w:r>
          </w:p>
        </w:tc>
      </w:tr>
    </w:tbl>
    <w:p w:rsidR="0075777C" w:rsidRPr="00822C52" w:rsidRDefault="0075777C" w:rsidP="00DB5599">
      <w:pPr>
        <w:pStyle w:val="Tablenote"/>
      </w:pPr>
      <w:r w:rsidRPr="00822C52">
        <w:t xml:space="preserve">CI = confidence interval; CSR = clinical study report; ERA = endothelin receptor antagonist; n = number of </w:t>
      </w:r>
      <w:r w:rsidR="00DC16A3">
        <w:t xml:space="preserve">patients with </w:t>
      </w:r>
      <w:r w:rsidRPr="00822C52">
        <w:t>events; N = number of patients; PAH = pulmonary arterial hypertension; RR = relative risk</w:t>
      </w:r>
      <w:r w:rsidR="009B47AA">
        <w:t xml:space="preserve">; </w:t>
      </w:r>
      <w:r w:rsidR="009B47AA" w:rsidRPr="009B47AA">
        <w:t>sGC = solub</w:t>
      </w:r>
      <w:r w:rsidR="009B47AA">
        <w:t>le guanylate cyclase stimulator</w:t>
      </w:r>
    </w:p>
    <w:p w:rsidR="0075777C" w:rsidRPr="00822C52" w:rsidRDefault="002E4833" w:rsidP="0077344D">
      <w:pPr>
        <w:pStyle w:val="Heading6"/>
      </w:pPr>
      <w:r>
        <w:t>b</w:t>
      </w:r>
      <w:r w:rsidR="0075777C" w:rsidRPr="00822C52">
        <w:t>.ii</w:t>
      </w:r>
      <w:r w:rsidR="0075777C" w:rsidRPr="00822C52">
        <w:tab/>
        <w:t>PAH patients with FC III or IV</w:t>
      </w:r>
    </w:p>
    <w:p w:rsidR="0075777C" w:rsidRPr="00822C52" w:rsidRDefault="0075777C" w:rsidP="0075777C">
      <w:r>
        <w:t xml:space="preserve">Patients with WHO FC III/IV PAH who received combination therapy were </w:t>
      </w:r>
      <w:r w:rsidR="00A17B9D">
        <w:rPr>
          <w:noProof/>
          <w:color w:val="000000"/>
          <w:highlight w:val="black"/>
        </w:rPr>
        <w:t>'''''''''''''''''''''' '''''''' '''''''''</w:t>
      </w:r>
      <w:r>
        <w:t xml:space="preserve"> to </w:t>
      </w:r>
      <w:r w:rsidR="00DF00E0">
        <w:t>die</w:t>
      </w:r>
      <w:r>
        <w:t xml:space="preserve"> than those on monotherapy (</w:t>
      </w:r>
      <w:r w:rsidR="00AA722D">
        <w:t>Table 4.</w:t>
      </w:r>
      <w:r w:rsidR="00AA722D">
        <w:rPr>
          <w:noProof/>
        </w:rPr>
        <w:t>89</w:t>
      </w:r>
      <w:r w:rsidR="00DF00E0">
        <w:t xml:space="preserve">; </w:t>
      </w:r>
      <w:r w:rsidR="00B21201">
        <w:t>ARD</w:t>
      </w:r>
      <w:r w:rsidR="00DB6ACB">
        <w:t> </w:t>
      </w:r>
      <w:r w:rsidRPr="00707847">
        <w:t>=</w:t>
      </w:r>
      <w:r w:rsidR="00DB6ACB">
        <w:t> </w:t>
      </w:r>
      <w:r w:rsidR="00A17B9D">
        <w:rPr>
          <w:noProof/>
          <w:color w:val="000000"/>
          <w:highlight w:val="black"/>
        </w:rPr>
        <w:t>'''''''''''''' ''''''' '''' '''''''''''' ''''''' '''''''''''''''''''</w:t>
      </w:r>
      <w:r>
        <w:t xml:space="preserve"> </w:t>
      </w:r>
      <w:r w:rsidRPr="00993312">
        <w:t xml:space="preserve">Among patients with WHO FC III/IV PAH, </w:t>
      </w:r>
      <w:r w:rsidR="00A17B9D">
        <w:rPr>
          <w:noProof/>
          <w:color w:val="000000"/>
          <w:highlight w:val="black"/>
        </w:rPr>
        <w:t>'''''</w:t>
      </w:r>
      <w:r w:rsidR="00DF00E0" w:rsidRPr="00993312">
        <w:t xml:space="preserve"> </w:t>
      </w:r>
      <w:r w:rsidRPr="00993312">
        <w:t xml:space="preserve">need to be treated with </w:t>
      </w:r>
      <w:r w:rsidR="00116B52">
        <w:rPr>
          <w:noProof/>
          <w:color w:val="000000"/>
          <w:highlight w:val="black"/>
        </w:rPr>
        <w:t>''''''' ''''''''''''''''''''' '''''''' ''''''' '''''''''''''''''''''''' ''''''''''''''''</w:t>
      </w:r>
      <w:r w:rsidRPr="00993312">
        <w:t xml:space="preserve"> to prevent one additional </w:t>
      </w:r>
      <w:r>
        <w:t>death</w:t>
      </w:r>
      <w:r w:rsidRPr="00993312">
        <w:t xml:space="preserve"> compared with </w:t>
      </w:r>
      <w:r w:rsidR="00A17B9D">
        <w:rPr>
          <w:noProof/>
          <w:color w:val="000000"/>
          <w:highlight w:val="black"/>
        </w:rPr>
        <w:t>''''''' '''''''''''''''''''''''</w:t>
      </w:r>
      <w:r w:rsidRPr="00993312">
        <w:t>.</w:t>
      </w:r>
    </w:p>
    <w:p w:rsidR="0075777C" w:rsidRPr="00DD7790" w:rsidRDefault="00272F8F" w:rsidP="00BC5A2B">
      <w:pPr>
        <w:pStyle w:val="Caption"/>
      </w:pPr>
      <w:bookmarkStart w:id="267" w:name="_Ref504657100"/>
      <w:bookmarkStart w:id="268" w:name="_Toc512855493"/>
      <w:r>
        <w:t>Table 4.</w:t>
      </w:r>
      <w:r w:rsidR="00AA722D">
        <w:rPr>
          <w:noProof/>
        </w:rPr>
        <w:t>89</w:t>
      </w:r>
      <w:bookmarkEnd w:id="267"/>
      <w:r w:rsidR="00DB5599">
        <w:tab/>
      </w:r>
      <w:r w:rsidR="0075777C" w:rsidRPr="00DD7790">
        <w:t xml:space="preserve">Mortality rates for </w:t>
      </w:r>
      <w:r w:rsidR="00242BA3">
        <w:t xml:space="preserve">a </w:t>
      </w:r>
      <w:r w:rsidR="00242BA3" w:rsidRPr="00242BA3">
        <w:t xml:space="preserve">sGC stimulator </w:t>
      </w:r>
      <w:r w:rsidR="007E59EC">
        <w:t>in addition to</w:t>
      </w:r>
      <w:r w:rsidR="007E59EC" w:rsidRPr="00DD7790">
        <w:t xml:space="preserve"> </w:t>
      </w:r>
      <w:r w:rsidR="007E59EC">
        <w:t xml:space="preserve">an </w:t>
      </w:r>
      <w:r w:rsidR="007E59EC" w:rsidRPr="00DD7790">
        <w:t xml:space="preserve">ERA </w:t>
      </w:r>
      <w:r w:rsidR="007E59EC" w:rsidRPr="00AA5E50">
        <w:t xml:space="preserve">compared </w:t>
      </w:r>
      <w:r w:rsidR="007E59EC">
        <w:t>with</w:t>
      </w:r>
      <w:r w:rsidR="007E59EC" w:rsidRPr="00DD7790">
        <w:t xml:space="preserve"> ERA</w:t>
      </w:r>
      <w:r w:rsidR="007E59EC">
        <w:t xml:space="preserve"> monotherapy</w:t>
      </w:r>
      <w:r w:rsidR="007E59EC" w:rsidRPr="00DD7790">
        <w:t xml:space="preserve"> </w:t>
      </w:r>
      <w:r w:rsidR="0075777C" w:rsidRPr="00DD7790">
        <w:t>in patients with WHO FC III/IV PAH</w:t>
      </w:r>
      <w:bookmarkEnd w:id="268"/>
    </w:p>
    <w:tbl>
      <w:tblPr>
        <w:tblStyle w:val="TableGrid7"/>
        <w:tblW w:w="9634" w:type="dxa"/>
        <w:tblLayout w:type="fixed"/>
        <w:tblLook w:val="04A0" w:firstRow="1" w:lastRow="0" w:firstColumn="1" w:lastColumn="0" w:noHBand="0" w:noVBand="1"/>
        <w:tblCaption w:val="Mortality rates for a sGC stimulator in addition to an ERA compared with ERA monotherapy in patients with WHO FC III/IV PAH"/>
      </w:tblPr>
      <w:tblGrid>
        <w:gridCol w:w="1696"/>
        <w:gridCol w:w="1701"/>
        <w:gridCol w:w="2127"/>
        <w:gridCol w:w="1984"/>
        <w:gridCol w:w="2126"/>
      </w:tblGrid>
      <w:tr w:rsidR="0075777C" w:rsidRPr="00822C52" w:rsidTr="00DB5599">
        <w:trPr>
          <w:trHeight w:val="228"/>
          <w:tblHeader/>
        </w:trPr>
        <w:tc>
          <w:tcPr>
            <w:tcW w:w="1696" w:type="dxa"/>
            <w:vMerge w:val="restart"/>
            <w:shd w:val="clear" w:color="auto" w:fill="BFBFBF" w:themeFill="background1" w:themeFillShade="BF"/>
          </w:tcPr>
          <w:p w:rsidR="0075777C" w:rsidRDefault="0075777C" w:rsidP="00DB5599">
            <w:pPr>
              <w:pStyle w:val="Tabletext"/>
              <w:rPr>
                <w:b/>
              </w:rPr>
            </w:pPr>
            <w:r w:rsidRPr="00DB5599">
              <w:rPr>
                <w:b/>
              </w:rPr>
              <w:t>Study ID</w:t>
            </w:r>
          </w:p>
          <w:p w:rsidR="00242BA3" w:rsidRPr="00DB5599" w:rsidRDefault="00242BA3" w:rsidP="00DB5599">
            <w:pPr>
              <w:pStyle w:val="Tabletext"/>
              <w:rPr>
                <w:b/>
              </w:rPr>
            </w:pPr>
            <w:r w:rsidRPr="00242BA3">
              <w:rPr>
                <w:b/>
              </w:rPr>
              <w:t>sGC stimulator</w:t>
            </w:r>
          </w:p>
        </w:tc>
        <w:tc>
          <w:tcPr>
            <w:tcW w:w="1701" w:type="dxa"/>
            <w:vMerge w:val="restart"/>
            <w:shd w:val="clear" w:color="auto" w:fill="BFBFBF" w:themeFill="background1" w:themeFillShade="BF"/>
          </w:tcPr>
          <w:p w:rsidR="0075777C" w:rsidRPr="00DB5599" w:rsidRDefault="0075777C" w:rsidP="00DB5599">
            <w:pPr>
              <w:pStyle w:val="Tabletext"/>
              <w:rPr>
                <w:b/>
              </w:rPr>
            </w:pPr>
            <w:r w:rsidRPr="00DB5599">
              <w:rPr>
                <w:b/>
              </w:rPr>
              <w:t>Study period</w:t>
            </w:r>
          </w:p>
        </w:tc>
        <w:tc>
          <w:tcPr>
            <w:tcW w:w="4111" w:type="dxa"/>
            <w:gridSpan w:val="2"/>
            <w:shd w:val="clear" w:color="auto" w:fill="BFBFBF" w:themeFill="background1" w:themeFillShade="BF"/>
          </w:tcPr>
          <w:p w:rsidR="0075777C" w:rsidRPr="00DB5599" w:rsidRDefault="0075777C" w:rsidP="00DB5599">
            <w:pPr>
              <w:pStyle w:val="Tabletext"/>
              <w:jc w:val="center"/>
              <w:rPr>
                <w:b/>
              </w:rPr>
            </w:pPr>
            <w:r w:rsidRPr="00DB5599">
              <w:rPr>
                <w:b/>
              </w:rPr>
              <w:t>n/N (%)</w:t>
            </w:r>
          </w:p>
        </w:tc>
        <w:tc>
          <w:tcPr>
            <w:tcW w:w="2126" w:type="dxa"/>
            <w:vMerge w:val="restart"/>
            <w:shd w:val="clear" w:color="auto" w:fill="BFBFBF" w:themeFill="background1" w:themeFillShade="BF"/>
          </w:tcPr>
          <w:p w:rsidR="0075777C" w:rsidRPr="00DB5599" w:rsidRDefault="0075777C" w:rsidP="00DB5599">
            <w:pPr>
              <w:pStyle w:val="Tabletext"/>
              <w:rPr>
                <w:b/>
              </w:rPr>
            </w:pPr>
            <w:r w:rsidRPr="00DB5599">
              <w:rPr>
                <w:b/>
              </w:rPr>
              <w:t>RR (95% CI)</w:t>
            </w:r>
          </w:p>
        </w:tc>
      </w:tr>
      <w:tr w:rsidR="0075777C" w:rsidRPr="00822C52" w:rsidTr="00DB5599">
        <w:trPr>
          <w:trHeight w:val="202"/>
          <w:tblHeader/>
        </w:trPr>
        <w:tc>
          <w:tcPr>
            <w:tcW w:w="1696" w:type="dxa"/>
            <w:vMerge/>
            <w:shd w:val="clear" w:color="auto" w:fill="BFBFBF" w:themeFill="background1" w:themeFillShade="BF"/>
          </w:tcPr>
          <w:p w:rsidR="0075777C" w:rsidRPr="00150BDE" w:rsidRDefault="0075777C" w:rsidP="00DB5599">
            <w:pPr>
              <w:pStyle w:val="Tabletext"/>
            </w:pPr>
          </w:p>
        </w:tc>
        <w:tc>
          <w:tcPr>
            <w:tcW w:w="1701" w:type="dxa"/>
            <w:vMerge/>
            <w:shd w:val="clear" w:color="auto" w:fill="BFBFBF" w:themeFill="background1" w:themeFillShade="BF"/>
          </w:tcPr>
          <w:p w:rsidR="0075777C" w:rsidRPr="00150BDE" w:rsidRDefault="0075777C" w:rsidP="00DB5599">
            <w:pPr>
              <w:pStyle w:val="Tabletext"/>
            </w:pPr>
          </w:p>
        </w:tc>
        <w:tc>
          <w:tcPr>
            <w:tcW w:w="2127" w:type="dxa"/>
            <w:shd w:val="clear" w:color="auto" w:fill="BFBFBF" w:themeFill="background1" w:themeFillShade="BF"/>
          </w:tcPr>
          <w:p w:rsidR="0075777C" w:rsidRPr="00DB5599" w:rsidRDefault="00242BA3" w:rsidP="00DB5599">
            <w:pPr>
              <w:pStyle w:val="Tabletext"/>
              <w:jc w:val="center"/>
              <w:rPr>
                <w:b/>
              </w:rPr>
            </w:pPr>
            <w:r w:rsidRPr="00242BA3">
              <w:rPr>
                <w:b/>
              </w:rPr>
              <w:t xml:space="preserve">sGC stimulator </w:t>
            </w:r>
            <w:r w:rsidR="0075777C" w:rsidRPr="00DB5599">
              <w:rPr>
                <w:b/>
              </w:rPr>
              <w:t>+ ERA</w:t>
            </w:r>
          </w:p>
        </w:tc>
        <w:tc>
          <w:tcPr>
            <w:tcW w:w="1984" w:type="dxa"/>
            <w:shd w:val="clear" w:color="auto" w:fill="BFBFBF" w:themeFill="background1" w:themeFillShade="BF"/>
          </w:tcPr>
          <w:p w:rsidR="0075777C" w:rsidRPr="00DB5599" w:rsidRDefault="0075777C" w:rsidP="00DB5599">
            <w:pPr>
              <w:pStyle w:val="Tabletext"/>
              <w:jc w:val="center"/>
              <w:rPr>
                <w:b/>
              </w:rPr>
            </w:pPr>
            <w:r w:rsidRPr="00DB5599">
              <w:rPr>
                <w:b/>
              </w:rPr>
              <w:t>ERA</w:t>
            </w:r>
          </w:p>
        </w:tc>
        <w:tc>
          <w:tcPr>
            <w:tcW w:w="2126" w:type="dxa"/>
            <w:vMerge/>
            <w:shd w:val="clear" w:color="auto" w:fill="BFBFBF" w:themeFill="background1" w:themeFillShade="BF"/>
          </w:tcPr>
          <w:p w:rsidR="0075777C" w:rsidRPr="00150BDE" w:rsidRDefault="0075777C" w:rsidP="00DB5599">
            <w:pPr>
              <w:pStyle w:val="Tabletext"/>
            </w:pPr>
          </w:p>
        </w:tc>
      </w:tr>
      <w:tr w:rsidR="0075777C" w:rsidRPr="00822C52" w:rsidTr="00DB5599">
        <w:trPr>
          <w:trHeight w:val="70"/>
        </w:trPr>
        <w:tc>
          <w:tcPr>
            <w:tcW w:w="1696" w:type="dxa"/>
            <w:shd w:val="clear" w:color="auto" w:fill="auto"/>
          </w:tcPr>
          <w:p w:rsidR="0075777C" w:rsidRDefault="0075777C" w:rsidP="00DB5599">
            <w:pPr>
              <w:pStyle w:val="Tabletext"/>
              <w:rPr>
                <w:rFonts w:cs="Tahoma"/>
              </w:rPr>
            </w:pPr>
            <w:r w:rsidRPr="00150BDE">
              <w:rPr>
                <w:rFonts w:cs="Tahoma"/>
              </w:rPr>
              <w:t>PATENT-1</w:t>
            </w:r>
            <w:r w:rsidRPr="00817DE4">
              <w:rPr>
                <w:rFonts w:cs="Tahoma"/>
                <w:vertAlign w:val="superscript"/>
              </w:rPr>
              <w:t>a</w:t>
            </w:r>
            <w:r w:rsidRPr="00150BDE">
              <w:rPr>
                <w:rFonts w:cs="Tahoma"/>
              </w:rPr>
              <w:t xml:space="preserve"> CSR</w:t>
            </w:r>
          </w:p>
          <w:p w:rsidR="00242BA3" w:rsidRPr="00242BA3" w:rsidRDefault="00242BA3" w:rsidP="00DB5599">
            <w:pPr>
              <w:pStyle w:val="Tabletext"/>
              <w:rPr>
                <w:rFonts w:cs="Tahoma"/>
              </w:rPr>
            </w:pPr>
            <w:r w:rsidRPr="00242BA3">
              <w:t>Riociguat</w:t>
            </w:r>
          </w:p>
        </w:tc>
        <w:tc>
          <w:tcPr>
            <w:tcW w:w="1701" w:type="dxa"/>
            <w:shd w:val="clear" w:color="auto" w:fill="auto"/>
          </w:tcPr>
          <w:p w:rsidR="0075777C" w:rsidRPr="00150BDE" w:rsidRDefault="0075777C" w:rsidP="00DB5599">
            <w:pPr>
              <w:pStyle w:val="Tabletext"/>
              <w:rPr>
                <w:rFonts w:cs="Tahoma"/>
              </w:rPr>
            </w:pPr>
            <w:r w:rsidRPr="00150BDE">
              <w:rPr>
                <w:rFonts w:cs="Tahoma"/>
              </w:rPr>
              <w:t>12 weeks</w:t>
            </w:r>
          </w:p>
        </w:tc>
        <w:tc>
          <w:tcPr>
            <w:tcW w:w="2127" w:type="dxa"/>
            <w:shd w:val="clear" w:color="auto" w:fill="auto"/>
          </w:tcPr>
          <w:p w:rsidR="0075777C" w:rsidRPr="00A17B9D" w:rsidRDefault="00A17B9D" w:rsidP="00DB5599">
            <w:pPr>
              <w:pStyle w:val="Tabletext"/>
              <w:jc w:val="center"/>
              <w:rPr>
                <w:rFonts w:cs="Tahoma"/>
                <w:highlight w:val="black"/>
              </w:rPr>
            </w:pPr>
            <w:r>
              <w:rPr>
                <w:rFonts w:eastAsia="Times New Roman" w:cs="Tahoma"/>
                <w:noProof/>
                <w:color w:val="000000"/>
                <w:highlight w:val="black"/>
              </w:rPr>
              <w:t>''''''''' '''''''''''</w:t>
            </w:r>
          </w:p>
        </w:tc>
        <w:tc>
          <w:tcPr>
            <w:tcW w:w="1984" w:type="dxa"/>
            <w:shd w:val="clear" w:color="auto" w:fill="auto"/>
          </w:tcPr>
          <w:p w:rsidR="0075777C" w:rsidRPr="00A17B9D" w:rsidRDefault="00A17B9D" w:rsidP="00DB5599">
            <w:pPr>
              <w:pStyle w:val="Tabletext"/>
              <w:jc w:val="center"/>
              <w:rPr>
                <w:rFonts w:cs="Tahoma"/>
                <w:highlight w:val="black"/>
              </w:rPr>
            </w:pPr>
            <w:r>
              <w:rPr>
                <w:rFonts w:eastAsia="Times New Roman" w:cs="Tahoma"/>
                <w:noProof/>
                <w:color w:val="000000"/>
                <w:highlight w:val="black"/>
              </w:rPr>
              <w:t>''''''''''' '''''''''''</w:t>
            </w:r>
          </w:p>
        </w:tc>
        <w:tc>
          <w:tcPr>
            <w:tcW w:w="2126" w:type="dxa"/>
          </w:tcPr>
          <w:p w:rsidR="0075777C" w:rsidRPr="00A17B9D" w:rsidRDefault="00A17B9D" w:rsidP="00443120">
            <w:pPr>
              <w:pStyle w:val="Tabletext"/>
              <w:rPr>
                <w:rFonts w:cs="Tahoma"/>
                <w:highlight w:val="black"/>
              </w:rPr>
            </w:pPr>
            <w:r>
              <w:rPr>
                <w:rFonts w:cs="Tahoma"/>
                <w:noProof/>
                <w:color w:val="000000"/>
                <w:highlight w:val="black"/>
              </w:rPr>
              <w:t>'''''''' '''''''''''''''''''''</w:t>
            </w:r>
          </w:p>
        </w:tc>
      </w:tr>
    </w:tbl>
    <w:p w:rsidR="0075777C" w:rsidRDefault="0075777C" w:rsidP="00DB5599">
      <w:pPr>
        <w:pStyle w:val="Tablenote"/>
      </w:pPr>
      <w:r w:rsidRPr="00817DE4">
        <w:rPr>
          <w:vertAlign w:val="superscript"/>
        </w:rPr>
        <w:t>a</w:t>
      </w:r>
      <w:r>
        <w:t xml:space="preserve"> 14% of patients had background </w:t>
      </w:r>
      <w:r w:rsidR="0017012F">
        <w:t>prostanoid</w:t>
      </w:r>
      <w:r>
        <w:t xml:space="preserve"> therapy</w:t>
      </w:r>
    </w:p>
    <w:p w:rsidR="0075777C" w:rsidRPr="00822C52" w:rsidRDefault="0075777C" w:rsidP="00DB5599">
      <w:pPr>
        <w:pStyle w:val="Tablenote"/>
      </w:pPr>
      <w:r w:rsidRPr="00822C52">
        <w:t xml:space="preserve">CI = confidence interval; CSR = clinical study report; ERA = endothelin receptor antagonist; FC = functional class; n = number of </w:t>
      </w:r>
      <w:r w:rsidR="00DC16A3">
        <w:t xml:space="preserve">patients with </w:t>
      </w:r>
      <w:r w:rsidRPr="00822C52">
        <w:t xml:space="preserve">events; N = number of patients; PAH = pulmonary arterial hypertension; RR = relative risk; </w:t>
      </w:r>
      <w:r w:rsidR="009B47AA" w:rsidRPr="009B47AA">
        <w:t xml:space="preserve">sGC = soluble guanylate cyclase stimulator; </w:t>
      </w:r>
      <w:r w:rsidRPr="00822C52">
        <w:t>WHO = World Health Organization</w:t>
      </w:r>
    </w:p>
    <w:p w:rsidR="0075777C" w:rsidRPr="00822C52" w:rsidRDefault="002E4833" w:rsidP="0075777C">
      <w:pPr>
        <w:pStyle w:val="Heading5"/>
      </w:pPr>
      <w:r>
        <w:t>c.</w:t>
      </w:r>
      <w:r w:rsidR="00761752">
        <w:tab/>
      </w:r>
      <w:r w:rsidR="00C828F9" w:rsidRPr="006316DF">
        <w:t>Hospitalisation</w:t>
      </w:r>
      <w:r w:rsidR="00C828F9" w:rsidRPr="0046652B">
        <w:t xml:space="preserve"> due to worsening PAH</w:t>
      </w:r>
    </w:p>
    <w:p w:rsidR="0075777C" w:rsidRPr="00822C52" w:rsidRDefault="002E4833" w:rsidP="0077344D">
      <w:pPr>
        <w:pStyle w:val="Heading6"/>
      </w:pPr>
      <w:r>
        <w:t>c</w:t>
      </w:r>
      <w:r w:rsidR="0075777C" w:rsidRPr="00822C52">
        <w:t>.i</w:t>
      </w:r>
      <w:r w:rsidR="0075777C" w:rsidRPr="00822C52">
        <w:tab/>
        <w:t>PAH patients, irrespective of disease severity or aetiology</w:t>
      </w:r>
    </w:p>
    <w:p w:rsidR="0075777C" w:rsidRPr="00822C52" w:rsidRDefault="0075777C" w:rsidP="0075777C">
      <w:r>
        <w:t xml:space="preserve">Patients who received combination therapy were </w:t>
      </w:r>
      <w:r w:rsidR="00A17B9D">
        <w:rPr>
          <w:noProof/>
          <w:color w:val="000000"/>
          <w:highlight w:val="black"/>
        </w:rPr>
        <w:t>''''''''''''' '''''' '''''''''''</w:t>
      </w:r>
      <w:r>
        <w:t xml:space="preserve"> to be hospitalised </w:t>
      </w:r>
      <w:r w:rsidR="002301D9">
        <w:t xml:space="preserve">due to PAH </w:t>
      </w:r>
      <w:r>
        <w:t>than those on monotherapy (</w:t>
      </w:r>
      <w:r w:rsidR="00AA722D">
        <w:t>Table 4.</w:t>
      </w:r>
      <w:r w:rsidR="00AA722D">
        <w:rPr>
          <w:noProof/>
        </w:rPr>
        <w:t>90</w:t>
      </w:r>
      <w:r>
        <w:t xml:space="preserve">), </w:t>
      </w:r>
      <w:r w:rsidR="00A17B9D">
        <w:rPr>
          <w:noProof/>
          <w:color w:val="000000"/>
          <w:highlight w:val="black"/>
        </w:rPr>
        <w:t>'''''' '''''' '''''''''''''''''''' ''''''' '''''' ''''''''''''''''''' ''''''''''''''''''</w:t>
      </w:r>
      <w:r w:rsidRPr="005C0403">
        <w:rPr>
          <w:highlight w:val="green"/>
        </w:rPr>
        <w:t xml:space="preserve"> </w:t>
      </w:r>
      <w:r w:rsidRPr="00707847">
        <w:t>(</w:t>
      </w:r>
      <w:r w:rsidR="00B21201">
        <w:t>ARD</w:t>
      </w:r>
      <w:r w:rsidR="00DB6ACB">
        <w:t> </w:t>
      </w:r>
      <w:r w:rsidRPr="00707847">
        <w:t>=</w:t>
      </w:r>
      <w:r w:rsidR="00DB6ACB">
        <w:t> </w:t>
      </w:r>
      <w:r w:rsidR="00A17B9D">
        <w:rPr>
          <w:noProof/>
          <w:color w:val="000000"/>
          <w:highlight w:val="black"/>
        </w:rPr>
        <w:t>''''''''''''' '''''''' '''' ''''''''''' ''''''' '''''''''''''''''''</w:t>
      </w:r>
      <w:r w:rsidRPr="00993312">
        <w:t xml:space="preserve"> </w:t>
      </w:r>
      <w:r>
        <w:t>Thus</w:t>
      </w:r>
      <w:r w:rsidRPr="00993312">
        <w:t xml:space="preserve">, </w:t>
      </w:r>
      <w:r w:rsidR="00A17B9D">
        <w:rPr>
          <w:noProof/>
          <w:color w:val="000000"/>
          <w:highlight w:val="black"/>
        </w:rPr>
        <w:t>'''''</w:t>
      </w:r>
      <w:r>
        <w:t xml:space="preserve"> patients </w:t>
      </w:r>
      <w:r w:rsidRPr="00993312">
        <w:t xml:space="preserve">need to be treated with </w:t>
      </w:r>
      <w:r w:rsidRPr="000B4355">
        <w:t xml:space="preserve">sGC stimulator </w:t>
      </w:r>
      <w:r w:rsidRPr="00993312">
        <w:t xml:space="preserve">plus ERA combination therapy to </w:t>
      </w:r>
      <w:r>
        <w:t>avoid hospitalisation of</w:t>
      </w:r>
      <w:r w:rsidRPr="00993312">
        <w:t xml:space="preserve"> one additional patient compared with ERA monotherapy.</w:t>
      </w:r>
    </w:p>
    <w:p w:rsidR="0075777C" w:rsidRPr="00DD7790" w:rsidRDefault="00272F8F" w:rsidP="00BC5A2B">
      <w:pPr>
        <w:pStyle w:val="Caption"/>
      </w:pPr>
      <w:bookmarkStart w:id="269" w:name="_Ref504657155"/>
      <w:bookmarkStart w:id="270" w:name="_Toc512855494"/>
      <w:r>
        <w:t>Table 4.</w:t>
      </w:r>
      <w:r w:rsidR="00AA722D">
        <w:rPr>
          <w:noProof/>
        </w:rPr>
        <w:t>90</w:t>
      </w:r>
      <w:bookmarkEnd w:id="269"/>
      <w:r w:rsidR="00DB5599">
        <w:tab/>
      </w:r>
      <w:r w:rsidR="0075777C" w:rsidRPr="00DD7790">
        <w:t xml:space="preserve">Hospitalisation </w:t>
      </w:r>
      <w:r w:rsidR="002301D9">
        <w:t>due to PAH</w:t>
      </w:r>
      <w:r w:rsidR="002301D9" w:rsidRPr="00DD7790">
        <w:t xml:space="preserve"> </w:t>
      </w:r>
      <w:r w:rsidR="0075777C" w:rsidRPr="00DD7790">
        <w:t xml:space="preserve">for </w:t>
      </w:r>
      <w:r w:rsidR="00242BA3">
        <w:t xml:space="preserve">a </w:t>
      </w:r>
      <w:r w:rsidR="00242BA3" w:rsidRPr="00242BA3">
        <w:t xml:space="preserve">sGC stimulator </w:t>
      </w:r>
      <w:r w:rsidR="007E59EC">
        <w:t>in addition to</w:t>
      </w:r>
      <w:r w:rsidR="007E59EC" w:rsidRPr="00DD7790">
        <w:t xml:space="preserve"> </w:t>
      </w:r>
      <w:r w:rsidR="007E59EC">
        <w:t xml:space="preserve">an </w:t>
      </w:r>
      <w:r w:rsidR="007E59EC" w:rsidRPr="00DD7790">
        <w:t xml:space="preserve">ERA </w:t>
      </w:r>
      <w:r w:rsidR="007E59EC" w:rsidRPr="00AA5E50">
        <w:t xml:space="preserve">compared </w:t>
      </w:r>
      <w:r w:rsidR="007E59EC">
        <w:t>with</w:t>
      </w:r>
      <w:r w:rsidR="007E59EC" w:rsidRPr="00DD7790">
        <w:t xml:space="preserve"> ERA</w:t>
      </w:r>
      <w:r w:rsidR="007E59EC">
        <w:t xml:space="preserve"> monotherapy</w:t>
      </w:r>
      <w:r w:rsidR="0075777C" w:rsidRPr="00DD7790">
        <w:t xml:space="preserve"> in all PAH patients</w:t>
      </w:r>
      <w:bookmarkEnd w:id="270"/>
    </w:p>
    <w:tbl>
      <w:tblPr>
        <w:tblStyle w:val="TableGrid7"/>
        <w:tblW w:w="9634" w:type="dxa"/>
        <w:tblLayout w:type="fixed"/>
        <w:tblLook w:val="04A0" w:firstRow="1" w:lastRow="0" w:firstColumn="1" w:lastColumn="0" w:noHBand="0" w:noVBand="1"/>
        <w:tblCaption w:val="Hospitalisation due to PAH for a sGC stimulator in addition to an ERA compared with ERA monotherapy in all PAH patients"/>
      </w:tblPr>
      <w:tblGrid>
        <w:gridCol w:w="1696"/>
        <w:gridCol w:w="1701"/>
        <w:gridCol w:w="2127"/>
        <w:gridCol w:w="1984"/>
        <w:gridCol w:w="2126"/>
      </w:tblGrid>
      <w:tr w:rsidR="0075777C" w:rsidRPr="00822C52" w:rsidTr="00DB5599">
        <w:trPr>
          <w:trHeight w:val="171"/>
          <w:tblHeader/>
        </w:trPr>
        <w:tc>
          <w:tcPr>
            <w:tcW w:w="1696" w:type="dxa"/>
            <w:vMerge w:val="restart"/>
            <w:shd w:val="clear" w:color="auto" w:fill="BFBFBF" w:themeFill="background1" w:themeFillShade="BF"/>
          </w:tcPr>
          <w:p w:rsidR="0075777C" w:rsidRDefault="0075777C" w:rsidP="00DB5599">
            <w:pPr>
              <w:pStyle w:val="Tabletext"/>
              <w:rPr>
                <w:b/>
              </w:rPr>
            </w:pPr>
            <w:r w:rsidRPr="00DB5599">
              <w:rPr>
                <w:b/>
              </w:rPr>
              <w:t>Study ID</w:t>
            </w:r>
          </w:p>
          <w:p w:rsidR="00DC16A3" w:rsidRPr="00DB5599" w:rsidRDefault="00DC16A3" w:rsidP="00DB5599">
            <w:pPr>
              <w:pStyle w:val="Tabletext"/>
              <w:rPr>
                <w:b/>
              </w:rPr>
            </w:pPr>
            <w:r>
              <w:rPr>
                <w:b/>
              </w:rPr>
              <w:t>sGC stimulator</w:t>
            </w:r>
          </w:p>
        </w:tc>
        <w:tc>
          <w:tcPr>
            <w:tcW w:w="1701" w:type="dxa"/>
            <w:vMerge w:val="restart"/>
            <w:shd w:val="clear" w:color="auto" w:fill="BFBFBF" w:themeFill="background1" w:themeFillShade="BF"/>
          </w:tcPr>
          <w:p w:rsidR="0075777C" w:rsidRPr="00DB5599" w:rsidRDefault="0075777C" w:rsidP="00DB5599">
            <w:pPr>
              <w:pStyle w:val="Tabletext"/>
              <w:rPr>
                <w:b/>
              </w:rPr>
            </w:pPr>
            <w:r w:rsidRPr="00DB5599">
              <w:rPr>
                <w:b/>
              </w:rPr>
              <w:t>Study period</w:t>
            </w:r>
          </w:p>
        </w:tc>
        <w:tc>
          <w:tcPr>
            <w:tcW w:w="4111" w:type="dxa"/>
            <w:gridSpan w:val="2"/>
            <w:shd w:val="clear" w:color="auto" w:fill="BFBFBF" w:themeFill="background1" w:themeFillShade="BF"/>
          </w:tcPr>
          <w:p w:rsidR="0075777C" w:rsidRPr="00DB5599" w:rsidRDefault="0075777C" w:rsidP="00DB5599">
            <w:pPr>
              <w:pStyle w:val="Tabletext"/>
              <w:jc w:val="center"/>
              <w:rPr>
                <w:b/>
              </w:rPr>
            </w:pPr>
            <w:r w:rsidRPr="00DB5599">
              <w:rPr>
                <w:b/>
              </w:rPr>
              <w:t>n/N (%)</w:t>
            </w:r>
          </w:p>
        </w:tc>
        <w:tc>
          <w:tcPr>
            <w:tcW w:w="2126" w:type="dxa"/>
            <w:vMerge w:val="restart"/>
            <w:shd w:val="clear" w:color="auto" w:fill="BFBFBF" w:themeFill="background1" w:themeFillShade="BF"/>
          </w:tcPr>
          <w:p w:rsidR="0075777C" w:rsidRPr="00DB5599" w:rsidRDefault="0075777C" w:rsidP="00DB5599">
            <w:pPr>
              <w:pStyle w:val="Tabletext"/>
              <w:rPr>
                <w:b/>
              </w:rPr>
            </w:pPr>
            <w:r w:rsidRPr="00DB5599">
              <w:rPr>
                <w:b/>
              </w:rPr>
              <w:t>RR (95% CI)</w:t>
            </w:r>
          </w:p>
        </w:tc>
      </w:tr>
      <w:tr w:rsidR="0075777C" w:rsidRPr="00822C52" w:rsidTr="00DB5599">
        <w:trPr>
          <w:trHeight w:val="202"/>
          <w:tblHeader/>
        </w:trPr>
        <w:tc>
          <w:tcPr>
            <w:tcW w:w="1696" w:type="dxa"/>
            <w:vMerge/>
            <w:shd w:val="clear" w:color="auto" w:fill="BFBFBF" w:themeFill="background1" w:themeFillShade="BF"/>
          </w:tcPr>
          <w:p w:rsidR="0075777C" w:rsidRPr="00822C52" w:rsidRDefault="0075777C" w:rsidP="00DB5599">
            <w:pPr>
              <w:pStyle w:val="Tabletext"/>
            </w:pPr>
          </w:p>
        </w:tc>
        <w:tc>
          <w:tcPr>
            <w:tcW w:w="1701" w:type="dxa"/>
            <w:vMerge/>
            <w:shd w:val="clear" w:color="auto" w:fill="BFBFBF" w:themeFill="background1" w:themeFillShade="BF"/>
          </w:tcPr>
          <w:p w:rsidR="0075777C" w:rsidRPr="00822C52" w:rsidRDefault="0075777C" w:rsidP="00DB5599">
            <w:pPr>
              <w:pStyle w:val="Tabletext"/>
            </w:pPr>
          </w:p>
        </w:tc>
        <w:tc>
          <w:tcPr>
            <w:tcW w:w="2127" w:type="dxa"/>
            <w:shd w:val="clear" w:color="auto" w:fill="BFBFBF" w:themeFill="background1" w:themeFillShade="BF"/>
          </w:tcPr>
          <w:p w:rsidR="0075777C" w:rsidRPr="00DB5599" w:rsidRDefault="008E565E" w:rsidP="00DB5599">
            <w:pPr>
              <w:pStyle w:val="Tabletext"/>
              <w:jc w:val="center"/>
              <w:rPr>
                <w:b/>
              </w:rPr>
            </w:pPr>
            <w:r w:rsidRPr="008E565E">
              <w:rPr>
                <w:b/>
              </w:rPr>
              <w:t xml:space="preserve">sGC stimulator </w:t>
            </w:r>
            <w:r w:rsidR="0075777C" w:rsidRPr="00DB5599">
              <w:rPr>
                <w:b/>
              </w:rPr>
              <w:t>+ ERA</w:t>
            </w:r>
          </w:p>
        </w:tc>
        <w:tc>
          <w:tcPr>
            <w:tcW w:w="1984" w:type="dxa"/>
            <w:shd w:val="clear" w:color="auto" w:fill="BFBFBF" w:themeFill="background1" w:themeFillShade="BF"/>
          </w:tcPr>
          <w:p w:rsidR="0075777C" w:rsidRPr="00DB5599" w:rsidRDefault="0075777C" w:rsidP="00DB5599">
            <w:pPr>
              <w:pStyle w:val="Tabletext"/>
              <w:jc w:val="center"/>
              <w:rPr>
                <w:b/>
              </w:rPr>
            </w:pPr>
            <w:r w:rsidRPr="00DB5599">
              <w:rPr>
                <w:b/>
              </w:rPr>
              <w:t>ERA</w:t>
            </w:r>
          </w:p>
        </w:tc>
        <w:tc>
          <w:tcPr>
            <w:tcW w:w="2126" w:type="dxa"/>
            <w:vMerge/>
            <w:shd w:val="clear" w:color="auto" w:fill="BFBFBF" w:themeFill="background1" w:themeFillShade="BF"/>
          </w:tcPr>
          <w:p w:rsidR="0075777C" w:rsidRPr="00822C52" w:rsidRDefault="0075777C" w:rsidP="00DB5599">
            <w:pPr>
              <w:pStyle w:val="Tabletext"/>
            </w:pPr>
          </w:p>
        </w:tc>
      </w:tr>
      <w:tr w:rsidR="0075777C" w:rsidRPr="00822C52" w:rsidTr="00DB5599">
        <w:trPr>
          <w:trHeight w:val="70"/>
        </w:trPr>
        <w:tc>
          <w:tcPr>
            <w:tcW w:w="1696" w:type="dxa"/>
          </w:tcPr>
          <w:p w:rsidR="0075777C" w:rsidRDefault="0075777C" w:rsidP="00DB5599">
            <w:pPr>
              <w:pStyle w:val="Tabletext"/>
              <w:rPr>
                <w:rFonts w:cs="Tahoma"/>
              </w:rPr>
            </w:pPr>
            <w:r w:rsidRPr="00822C52">
              <w:rPr>
                <w:rFonts w:cs="Tahoma"/>
              </w:rPr>
              <w:t>PATENT-1 CSR</w:t>
            </w:r>
          </w:p>
          <w:p w:rsidR="00DC16A3" w:rsidRPr="00822C52" w:rsidRDefault="00DC16A3" w:rsidP="00DB5599">
            <w:pPr>
              <w:pStyle w:val="Tabletext"/>
              <w:rPr>
                <w:rFonts w:cs="Tahoma"/>
              </w:rPr>
            </w:pPr>
            <w:r>
              <w:rPr>
                <w:rFonts w:cs="Tahoma"/>
              </w:rPr>
              <w:t>Riociguat</w:t>
            </w:r>
          </w:p>
        </w:tc>
        <w:tc>
          <w:tcPr>
            <w:tcW w:w="1701" w:type="dxa"/>
          </w:tcPr>
          <w:p w:rsidR="0075777C" w:rsidRPr="00822C52" w:rsidRDefault="0075777C" w:rsidP="00DB5599">
            <w:pPr>
              <w:pStyle w:val="Tabletext"/>
              <w:rPr>
                <w:rFonts w:cs="Tahoma"/>
              </w:rPr>
            </w:pPr>
            <w:r w:rsidRPr="00822C52">
              <w:rPr>
                <w:rFonts w:cs="Tahoma"/>
              </w:rPr>
              <w:t>12 weeks</w:t>
            </w:r>
          </w:p>
        </w:tc>
        <w:tc>
          <w:tcPr>
            <w:tcW w:w="2127" w:type="dxa"/>
            <w:shd w:val="clear" w:color="auto" w:fill="auto"/>
          </w:tcPr>
          <w:p w:rsidR="0075777C" w:rsidRPr="00A17B9D" w:rsidRDefault="00A17B9D" w:rsidP="00DB5599">
            <w:pPr>
              <w:pStyle w:val="Tabletext"/>
              <w:jc w:val="center"/>
              <w:rPr>
                <w:rFonts w:cs="Tahoma"/>
                <w:highlight w:val="black"/>
              </w:rPr>
            </w:pPr>
            <w:r>
              <w:rPr>
                <w:rFonts w:eastAsia="Times New Roman" w:cs="Tahoma"/>
                <w:noProof/>
                <w:color w:val="000000"/>
                <w:highlight w:val="black"/>
              </w:rPr>
              <w:t>'''''''''''' '''''''''''''</w:t>
            </w:r>
          </w:p>
        </w:tc>
        <w:tc>
          <w:tcPr>
            <w:tcW w:w="1984" w:type="dxa"/>
            <w:shd w:val="clear" w:color="auto" w:fill="auto"/>
          </w:tcPr>
          <w:p w:rsidR="0075777C" w:rsidRPr="00A17B9D" w:rsidRDefault="00A17B9D" w:rsidP="00DB5599">
            <w:pPr>
              <w:pStyle w:val="Tabletext"/>
              <w:jc w:val="center"/>
              <w:rPr>
                <w:rFonts w:cs="Tahoma"/>
                <w:highlight w:val="black"/>
              </w:rPr>
            </w:pPr>
            <w:r>
              <w:rPr>
                <w:rFonts w:eastAsia="Times New Roman" w:cs="Tahoma"/>
                <w:noProof/>
                <w:color w:val="000000"/>
                <w:highlight w:val="black"/>
              </w:rPr>
              <w:t>''''''''''' ''''''''''</w:t>
            </w:r>
          </w:p>
        </w:tc>
        <w:tc>
          <w:tcPr>
            <w:tcW w:w="2126" w:type="dxa"/>
          </w:tcPr>
          <w:p w:rsidR="0075777C" w:rsidRPr="00A17B9D" w:rsidRDefault="00A17B9D" w:rsidP="00DB5599">
            <w:pPr>
              <w:pStyle w:val="Tabletext"/>
              <w:rPr>
                <w:rFonts w:cs="Tahoma"/>
                <w:highlight w:val="black"/>
              </w:rPr>
            </w:pPr>
            <w:r>
              <w:rPr>
                <w:rFonts w:cs="Tahoma"/>
                <w:noProof/>
                <w:color w:val="000000"/>
                <w:highlight w:val="black"/>
              </w:rPr>
              <w:t>'''''''''' '''''''''''''' '''''''''''''</w:t>
            </w:r>
          </w:p>
        </w:tc>
      </w:tr>
    </w:tbl>
    <w:p w:rsidR="0075777C" w:rsidRPr="00822C52" w:rsidRDefault="0075777C" w:rsidP="00DB5599">
      <w:pPr>
        <w:pStyle w:val="Tablenote"/>
      </w:pPr>
      <w:r w:rsidRPr="00822C52">
        <w:t xml:space="preserve">CI = confidence interval; CSR = clinical study report; ERA = endothelin receptor antagonist; n = number of </w:t>
      </w:r>
      <w:r w:rsidR="00DC16A3">
        <w:t xml:space="preserve">patients with </w:t>
      </w:r>
      <w:r w:rsidRPr="00822C52">
        <w:t>events; N = number of patients; PAH = pulmonary arterial hypertension; RR = relative risk</w:t>
      </w:r>
      <w:r w:rsidR="009B47AA">
        <w:t>;</w:t>
      </w:r>
      <w:r w:rsidR="009B47AA" w:rsidRPr="009B47AA">
        <w:t xml:space="preserve"> </w:t>
      </w:r>
      <w:r w:rsidR="009B47AA" w:rsidRPr="00986739">
        <w:t>sGC = solub</w:t>
      </w:r>
      <w:r w:rsidR="009B47AA">
        <w:t>le guanylate cyclase stimulator</w:t>
      </w:r>
    </w:p>
    <w:p w:rsidR="0075777C" w:rsidRPr="00822C52" w:rsidRDefault="002E4833" w:rsidP="0077344D">
      <w:pPr>
        <w:pStyle w:val="Heading6"/>
      </w:pPr>
      <w:r>
        <w:lastRenderedPageBreak/>
        <w:t>c</w:t>
      </w:r>
      <w:r w:rsidR="0075777C" w:rsidRPr="00822C52">
        <w:t>.ii</w:t>
      </w:r>
      <w:r w:rsidR="0075777C" w:rsidRPr="00822C52">
        <w:tab/>
        <w:t>PAH patients with FC III or IV</w:t>
      </w:r>
    </w:p>
    <w:p w:rsidR="0075777C" w:rsidRPr="00822C52" w:rsidRDefault="0075777C" w:rsidP="0075777C">
      <w:r>
        <w:t xml:space="preserve">Patients with WHO FC III/IV PAH who received combination therapy were </w:t>
      </w:r>
      <w:r w:rsidR="00A17B9D">
        <w:rPr>
          <w:noProof/>
          <w:color w:val="000000"/>
          <w:highlight w:val="black"/>
        </w:rPr>
        <w:t>'''''''''''''' ''''''' '''''''''''</w:t>
      </w:r>
      <w:r>
        <w:t xml:space="preserve"> to </w:t>
      </w:r>
      <w:r w:rsidR="00A917D2" w:rsidRPr="00A917D2">
        <w:t xml:space="preserve">be hospitalised due to PAH </w:t>
      </w:r>
      <w:r>
        <w:t>than those on monotherapy (</w:t>
      </w:r>
      <w:r w:rsidR="00AA722D">
        <w:t>Table 4.</w:t>
      </w:r>
      <w:r w:rsidR="00AA722D">
        <w:rPr>
          <w:noProof/>
        </w:rPr>
        <w:t>91</w:t>
      </w:r>
      <w:r>
        <w:t xml:space="preserve">), </w:t>
      </w:r>
      <w:r w:rsidR="00A17B9D">
        <w:rPr>
          <w:noProof/>
          <w:color w:val="000000"/>
          <w:highlight w:val="black"/>
        </w:rPr>
        <w:t>''''''' '''''' ''''''''''''''''''''' ''''''' ''''''' ''''''''''''''''''''' '''''''''''''''''' ''</w:t>
      </w:r>
      <w:r w:rsidR="00B21201">
        <w:t>ARD</w:t>
      </w:r>
      <w:r w:rsidR="00DB6ACB">
        <w:t> </w:t>
      </w:r>
      <w:r w:rsidRPr="00707847">
        <w:t>=</w:t>
      </w:r>
      <w:r w:rsidR="00DB6ACB">
        <w:t> </w:t>
      </w:r>
      <w:r w:rsidR="00A17B9D">
        <w:rPr>
          <w:noProof/>
          <w:color w:val="000000"/>
          <w:highlight w:val="black"/>
        </w:rPr>
        <w:t>'''''''''''' ''''''''' '''' '''''''''''' '''''''' ''''''''''''''''''</w:t>
      </w:r>
      <w:r w:rsidRPr="00993312">
        <w:t xml:space="preserve"> Among patients with WHO FC III/IV PAH, </w:t>
      </w:r>
      <w:r w:rsidR="00A17B9D">
        <w:rPr>
          <w:noProof/>
          <w:color w:val="000000"/>
          <w:highlight w:val="black"/>
        </w:rPr>
        <w:t>''''''</w:t>
      </w:r>
      <w:r w:rsidRPr="00993312">
        <w:t xml:space="preserve"> need to be treated with </w:t>
      </w:r>
      <w:r w:rsidR="00A17B9D">
        <w:rPr>
          <w:noProof/>
          <w:color w:val="000000"/>
          <w:highlight w:val="black"/>
        </w:rPr>
        <w:t>'''''''' '''''''''''''''''''' ''''''' ''''''' '''''''''''''''''''''''''' ''''''''''''''''</w:t>
      </w:r>
      <w:r w:rsidRPr="00993312">
        <w:t xml:space="preserve"> to </w:t>
      </w:r>
      <w:r>
        <w:t>avoid hospitalisation of</w:t>
      </w:r>
      <w:r w:rsidRPr="00993312">
        <w:t xml:space="preserve"> one additional patient compared with </w:t>
      </w:r>
      <w:r w:rsidR="00A17B9D">
        <w:rPr>
          <w:noProof/>
          <w:color w:val="000000"/>
          <w:highlight w:val="black"/>
        </w:rPr>
        <w:t>'''''''' '''''''''''''''''''''''''</w:t>
      </w:r>
      <w:r w:rsidRPr="00993312">
        <w:t>.</w:t>
      </w:r>
    </w:p>
    <w:p w:rsidR="0075777C" w:rsidRPr="00DD7790" w:rsidRDefault="00272F8F" w:rsidP="00BC5A2B">
      <w:pPr>
        <w:pStyle w:val="Caption"/>
      </w:pPr>
      <w:bookmarkStart w:id="271" w:name="_Ref504657224"/>
      <w:bookmarkStart w:id="272" w:name="_Toc512855495"/>
      <w:r>
        <w:t>Table 4.</w:t>
      </w:r>
      <w:r w:rsidR="00AA722D">
        <w:rPr>
          <w:noProof/>
        </w:rPr>
        <w:t>91</w:t>
      </w:r>
      <w:bookmarkEnd w:id="271"/>
      <w:r w:rsidR="00DB5599">
        <w:tab/>
      </w:r>
      <w:r w:rsidR="0075777C" w:rsidRPr="00DD7790">
        <w:t xml:space="preserve">Hospitalisation </w:t>
      </w:r>
      <w:r w:rsidR="00A917D2">
        <w:t>due to PAH</w:t>
      </w:r>
      <w:r w:rsidR="00A917D2" w:rsidRPr="00DD7790">
        <w:t xml:space="preserve"> </w:t>
      </w:r>
      <w:r w:rsidR="0075777C" w:rsidRPr="00DD7790">
        <w:t xml:space="preserve">for </w:t>
      </w:r>
      <w:r w:rsidR="00242BA3">
        <w:t xml:space="preserve">a </w:t>
      </w:r>
      <w:r w:rsidR="00242BA3" w:rsidRPr="00242BA3">
        <w:t xml:space="preserve">sGC stimulator </w:t>
      </w:r>
      <w:r w:rsidR="007E59EC">
        <w:t>in addition to</w:t>
      </w:r>
      <w:r w:rsidR="007E59EC" w:rsidRPr="00DD7790">
        <w:t xml:space="preserve"> </w:t>
      </w:r>
      <w:r w:rsidR="007E59EC">
        <w:t xml:space="preserve">an </w:t>
      </w:r>
      <w:r w:rsidR="007E59EC" w:rsidRPr="00DD7790">
        <w:t xml:space="preserve">ERA </w:t>
      </w:r>
      <w:r w:rsidR="007E59EC" w:rsidRPr="00AA5E50">
        <w:t xml:space="preserve">compared </w:t>
      </w:r>
      <w:r w:rsidR="007E59EC">
        <w:t>with</w:t>
      </w:r>
      <w:r w:rsidR="007E59EC" w:rsidRPr="00DD7790">
        <w:t xml:space="preserve"> ERA</w:t>
      </w:r>
      <w:r w:rsidR="007E59EC">
        <w:t xml:space="preserve"> monotherapy</w:t>
      </w:r>
      <w:r w:rsidR="0075777C" w:rsidRPr="00DD7790">
        <w:t xml:space="preserve"> in patients with WHO FC III/IV PAH</w:t>
      </w:r>
      <w:bookmarkEnd w:id="272"/>
    </w:p>
    <w:tbl>
      <w:tblPr>
        <w:tblStyle w:val="TableGrid7"/>
        <w:tblW w:w="9634" w:type="dxa"/>
        <w:tblLayout w:type="fixed"/>
        <w:tblLook w:val="04A0" w:firstRow="1" w:lastRow="0" w:firstColumn="1" w:lastColumn="0" w:noHBand="0" w:noVBand="1"/>
        <w:tblCaption w:val="Hospitalisation due to PAH for a sGC stimulator in addition to an ERA compared with ERA monotherapy in patients with WHO FC III/IV PAH"/>
      </w:tblPr>
      <w:tblGrid>
        <w:gridCol w:w="1696"/>
        <w:gridCol w:w="1701"/>
        <w:gridCol w:w="2127"/>
        <w:gridCol w:w="2126"/>
        <w:gridCol w:w="1984"/>
      </w:tblGrid>
      <w:tr w:rsidR="0075777C" w:rsidRPr="00822C52" w:rsidTr="00DB5599">
        <w:trPr>
          <w:trHeight w:val="240"/>
          <w:tblHeader/>
        </w:trPr>
        <w:tc>
          <w:tcPr>
            <w:tcW w:w="1696" w:type="dxa"/>
            <w:vMerge w:val="restart"/>
            <w:shd w:val="clear" w:color="auto" w:fill="BFBFBF" w:themeFill="background1" w:themeFillShade="BF"/>
          </w:tcPr>
          <w:p w:rsidR="0075777C" w:rsidRDefault="0075777C" w:rsidP="00DB5599">
            <w:pPr>
              <w:pStyle w:val="Tabletext"/>
              <w:rPr>
                <w:b/>
              </w:rPr>
            </w:pPr>
            <w:r w:rsidRPr="00DB5599">
              <w:rPr>
                <w:b/>
              </w:rPr>
              <w:t>Study ID</w:t>
            </w:r>
          </w:p>
          <w:p w:rsidR="00242BA3" w:rsidRPr="00DB5599" w:rsidRDefault="00242BA3" w:rsidP="00DB5599">
            <w:pPr>
              <w:pStyle w:val="Tabletext"/>
              <w:rPr>
                <w:b/>
              </w:rPr>
            </w:pPr>
            <w:r w:rsidRPr="00242BA3">
              <w:rPr>
                <w:b/>
              </w:rPr>
              <w:t>sGC stimulator</w:t>
            </w:r>
          </w:p>
        </w:tc>
        <w:tc>
          <w:tcPr>
            <w:tcW w:w="1701" w:type="dxa"/>
            <w:vMerge w:val="restart"/>
            <w:shd w:val="clear" w:color="auto" w:fill="BFBFBF" w:themeFill="background1" w:themeFillShade="BF"/>
          </w:tcPr>
          <w:p w:rsidR="0075777C" w:rsidRPr="00DB5599" w:rsidRDefault="0075777C" w:rsidP="00DB5599">
            <w:pPr>
              <w:pStyle w:val="Tabletext"/>
              <w:rPr>
                <w:b/>
              </w:rPr>
            </w:pPr>
            <w:r w:rsidRPr="00DB5599">
              <w:rPr>
                <w:b/>
              </w:rPr>
              <w:t>Study period</w:t>
            </w:r>
          </w:p>
        </w:tc>
        <w:tc>
          <w:tcPr>
            <w:tcW w:w="4253" w:type="dxa"/>
            <w:gridSpan w:val="2"/>
            <w:shd w:val="clear" w:color="auto" w:fill="BFBFBF" w:themeFill="background1" w:themeFillShade="BF"/>
          </w:tcPr>
          <w:p w:rsidR="0075777C" w:rsidRPr="00DB5599" w:rsidRDefault="0075777C" w:rsidP="00DB5599">
            <w:pPr>
              <w:pStyle w:val="Tabletext"/>
              <w:jc w:val="center"/>
              <w:rPr>
                <w:b/>
              </w:rPr>
            </w:pPr>
            <w:r w:rsidRPr="00DB5599">
              <w:rPr>
                <w:b/>
              </w:rPr>
              <w:t>n/N (%)</w:t>
            </w:r>
          </w:p>
        </w:tc>
        <w:tc>
          <w:tcPr>
            <w:tcW w:w="1984" w:type="dxa"/>
            <w:vMerge w:val="restart"/>
            <w:shd w:val="clear" w:color="auto" w:fill="BFBFBF" w:themeFill="background1" w:themeFillShade="BF"/>
          </w:tcPr>
          <w:p w:rsidR="0075777C" w:rsidRPr="00DB5599" w:rsidRDefault="0075777C" w:rsidP="00DB5599">
            <w:pPr>
              <w:pStyle w:val="Tabletext"/>
              <w:rPr>
                <w:b/>
              </w:rPr>
            </w:pPr>
            <w:r w:rsidRPr="00DB5599">
              <w:rPr>
                <w:b/>
              </w:rPr>
              <w:t>RR (95% CI)</w:t>
            </w:r>
          </w:p>
        </w:tc>
      </w:tr>
      <w:tr w:rsidR="0075777C" w:rsidRPr="00822C52" w:rsidTr="00DB5599">
        <w:trPr>
          <w:trHeight w:val="202"/>
          <w:tblHeader/>
        </w:trPr>
        <w:tc>
          <w:tcPr>
            <w:tcW w:w="1696" w:type="dxa"/>
            <w:vMerge/>
            <w:shd w:val="clear" w:color="auto" w:fill="BFBFBF" w:themeFill="background1" w:themeFillShade="BF"/>
          </w:tcPr>
          <w:p w:rsidR="0075777C" w:rsidRPr="00822C52" w:rsidRDefault="0075777C" w:rsidP="00DB5599">
            <w:pPr>
              <w:pStyle w:val="Tabletext"/>
            </w:pPr>
          </w:p>
        </w:tc>
        <w:tc>
          <w:tcPr>
            <w:tcW w:w="1701" w:type="dxa"/>
            <w:vMerge/>
            <w:shd w:val="clear" w:color="auto" w:fill="BFBFBF" w:themeFill="background1" w:themeFillShade="BF"/>
          </w:tcPr>
          <w:p w:rsidR="0075777C" w:rsidRPr="00822C52" w:rsidRDefault="0075777C" w:rsidP="00DB5599">
            <w:pPr>
              <w:pStyle w:val="Tabletext"/>
            </w:pPr>
          </w:p>
        </w:tc>
        <w:tc>
          <w:tcPr>
            <w:tcW w:w="2127" w:type="dxa"/>
            <w:shd w:val="clear" w:color="auto" w:fill="BFBFBF" w:themeFill="background1" w:themeFillShade="BF"/>
          </w:tcPr>
          <w:p w:rsidR="0075777C" w:rsidRPr="00DB5599" w:rsidRDefault="00E35EDB" w:rsidP="00DB5599">
            <w:pPr>
              <w:pStyle w:val="Tabletext"/>
              <w:jc w:val="center"/>
              <w:rPr>
                <w:b/>
              </w:rPr>
            </w:pPr>
            <w:r w:rsidRPr="00E35EDB">
              <w:rPr>
                <w:b/>
              </w:rPr>
              <w:t xml:space="preserve">sGC stimulator </w:t>
            </w:r>
            <w:r w:rsidR="0075777C" w:rsidRPr="00DB5599">
              <w:rPr>
                <w:b/>
              </w:rPr>
              <w:t>+ ERA</w:t>
            </w:r>
          </w:p>
        </w:tc>
        <w:tc>
          <w:tcPr>
            <w:tcW w:w="2126" w:type="dxa"/>
            <w:shd w:val="clear" w:color="auto" w:fill="BFBFBF" w:themeFill="background1" w:themeFillShade="BF"/>
          </w:tcPr>
          <w:p w:rsidR="0075777C" w:rsidRPr="00DB5599" w:rsidRDefault="0075777C" w:rsidP="00DB5599">
            <w:pPr>
              <w:pStyle w:val="Tabletext"/>
              <w:jc w:val="center"/>
              <w:rPr>
                <w:b/>
              </w:rPr>
            </w:pPr>
            <w:r w:rsidRPr="00DB5599">
              <w:rPr>
                <w:b/>
              </w:rPr>
              <w:t>ERA</w:t>
            </w:r>
          </w:p>
        </w:tc>
        <w:tc>
          <w:tcPr>
            <w:tcW w:w="1984" w:type="dxa"/>
            <w:vMerge/>
            <w:shd w:val="clear" w:color="auto" w:fill="BFBFBF" w:themeFill="background1" w:themeFillShade="BF"/>
          </w:tcPr>
          <w:p w:rsidR="0075777C" w:rsidRPr="00822C52" w:rsidRDefault="0075777C" w:rsidP="00DB5599">
            <w:pPr>
              <w:pStyle w:val="Tabletext"/>
            </w:pPr>
          </w:p>
        </w:tc>
      </w:tr>
      <w:tr w:rsidR="0075777C" w:rsidRPr="00822C52" w:rsidTr="00DB5599">
        <w:trPr>
          <w:trHeight w:val="70"/>
        </w:trPr>
        <w:tc>
          <w:tcPr>
            <w:tcW w:w="1696" w:type="dxa"/>
          </w:tcPr>
          <w:p w:rsidR="0075777C" w:rsidRDefault="0075777C" w:rsidP="00DB5599">
            <w:pPr>
              <w:pStyle w:val="Tabletext"/>
              <w:rPr>
                <w:rFonts w:cs="Tahoma"/>
              </w:rPr>
            </w:pPr>
            <w:r w:rsidRPr="00822C52">
              <w:rPr>
                <w:rFonts w:cs="Tahoma"/>
              </w:rPr>
              <w:t>PATENT-1</w:t>
            </w:r>
            <w:r w:rsidRPr="00817DE4">
              <w:rPr>
                <w:rFonts w:cs="Tahoma"/>
                <w:vertAlign w:val="superscript"/>
              </w:rPr>
              <w:t>a</w:t>
            </w:r>
            <w:r w:rsidRPr="00822C52">
              <w:rPr>
                <w:rFonts w:cs="Tahoma"/>
              </w:rPr>
              <w:t xml:space="preserve"> CSR</w:t>
            </w:r>
          </w:p>
          <w:p w:rsidR="00242BA3" w:rsidRPr="00E35EDB" w:rsidRDefault="00E35EDB" w:rsidP="00DB5599">
            <w:pPr>
              <w:pStyle w:val="Tabletext"/>
              <w:rPr>
                <w:rFonts w:cs="Tahoma"/>
              </w:rPr>
            </w:pPr>
            <w:r w:rsidRPr="00E35EDB">
              <w:t>Riociguat</w:t>
            </w:r>
          </w:p>
        </w:tc>
        <w:tc>
          <w:tcPr>
            <w:tcW w:w="1701" w:type="dxa"/>
          </w:tcPr>
          <w:p w:rsidR="0075777C" w:rsidRPr="00822C52" w:rsidRDefault="0075777C" w:rsidP="00DB5599">
            <w:pPr>
              <w:pStyle w:val="Tabletext"/>
              <w:rPr>
                <w:rFonts w:cs="Tahoma"/>
              </w:rPr>
            </w:pPr>
            <w:r w:rsidRPr="00822C52">
              <w:rPr>
                <w:rFonts w:cs="Tahoma"/>
              </w:rPr>
              <w:t>12 weeks</w:t>
            </w:r>
          </w:p>
        </w:tc>
        <w:tc>
          <w:tcPr>
            <w:tcW w:w="2127" w:type="dxa"/>
            <w:shd w:val="clear" w:color="auto" w:fill="auto"/>
          </w:tcPr>
          <w:p w:rsidR="0075777C" w:rsidRPr="00A17B9D" w:rsidRDefault="00A17B9D" w:rsidP="00DB5599">
            <w:pPr>
              <w:pStyle w:val="Tabletext"/>
              <w:jc w:val="center"/>
              <w:rPr>
                <w:rFonts w:cs="Tahoma"/>
                <w:highlight w:val="black"/>
              </w:rPr>
            </w:pPr>
            <w:r>
              <w:rPr>
                <w:rFonts w:eastAsia="Times New Roman" w:cs="Tahoma"/>
                <w:noProof/>
                <w:color w:val="000000"/>
                <w:highlight w:val="black"/>
              </w:rPr>
              <w:t>'''''''''' ''''''''''''</w:t>
            </w:r>
          </w:p>
        </w:tc>
        <w:tc>
          <w:tcPr>
            <w:tcW w:w="2126" w:type="dxa"/>
            <w:shd w:val="clear" w:color="auto" w:fill="auto"/>
          </w:tcPr>
          <w:p w:rsidR="0075777C" w:rsidRPr="00A17B9D" w:rsidRDefault="00A17B9D" w:rsidP="00DB5599">
            <w:pPr>
              <w:pStyle w:val="Tabletext"/>
              <w:jc w:val="center"/>
              <w:rPr>
                <w:rFonts w:cs="Tahoma"/>
                <w:highlight w:val="black"/>
              </w:rPr>
            </w:pPr>
            <w:r>
              <w:rPr>
                <w:rFonts w:eastAsia="Times New Roman" w:cs="Tahoma"/>
                <w:noProof/>
                <w:color w:val="000000"/>
                <w:highlight w:val="black"/>
              </w:rPr>
              <w:t>''''''''''' '''''''''''''</w:t>
            </w:r>
          </w:p>
        </w:tc>
        <w:tc>
          <w:tcPr>
            <w:tcW w:w="1984" w:type="dxa"/>
          </w:tcPr>
          <w:p w:rsidR="0075777C" w:rsidRPr="00A17B9D" w:rsidRDefault="00A17B9D" w:rsidP="00DB5599">
            <w:pPr>
              <w:pStyle w:val="Tabletext"/>
              <w:rPr>
                <w:rFonts w:cs="Tahoma"/>
                <w:highlight w:val="black"/>
              </w:rPr>
            </w:pPr>
            <w:r>
              <w:rPr>
                <w:rFonts w:cs="Tahoma"/>
                <w:noProof/>
                <w:color w:val="000000"/>
                <w:highlight w:val="black"/>
              </w:rPr>
              <w:t>''''''''''' '''''''''''' '''''''''''''</w:t>
            </w:r>
          </w:p>
        </w:tc>
      </w:tr>
    </w:tbl>
    <w:p w:rsidR="0075777C" w:rsidRDefault="0075777C" w:rsidP="00DB5599">
      <w:pPr>
        <w:pStyle w:val="Tablenote"/>
      </w:pPr>
      <w:r w:rsidRPr="00817DE4">
        <w:rPr>
          <w:vertAlign w:val="superscript"/>
        </w:rPr>
        <w:t>a</w:t>
      </w:r>
      <w:r>
        <w:t xml:space="preserve"> 14% of patients had background </w:t>
      </w:r>
      <w:r w:rsidR="0017012F">
        <w:t>prostanoid</w:t>
      </w:r>
      <w:r>
        <w:t xml:space="preserve"> therapy</w:t>
      </w:r>
    </w:p>
    <w:p w:rsidR="0075777C" w:rsidRPr="00822C52" w:rsidRDefault="0075777C" w:rsidP="00DB5599">
      <w:pPr>
        <w:pStyle w:val="Tablenote"/>
      </w:pPr>
      <w:r w:rsidRPr="00822C52">
        <w:t xml:space="preserve">CI = confidence interval; CSR = clinical study report; ERA = endothelin receptor antagonist; FC = functional class; n = number of </w:t>
      </w:r>
      <w:r w:rsidR="00DC16A3">
        <w:t xml:space="preserve">patients with </w:t>
      </w:r>
      <w:r w:rsidRPr="00822C52">
        <w:t xml:space="preserve">events; N = number of patients; PAH = pulmonary arterial hypertension; RR = relative risk; </w:t>
      </w:r>
      <w:r w:rsidR="009B47AA" w:rsidRPr="009B47AA">
        <w:t xml:space="preserve">sGC = soluble guanylate cyclase stimulator; </w:t>
      </w:r>
      <w:r w:rsidRPr="00822C52">
        <w:t>WHO = World Health Organization</w:t>
      </w:r>
    </w:p>
    <w:p w:rsidR="0075777C" w:rsidRPr="00822C52" w:rsidRDefault="002E4833" w:rsidP="00761752">
      <w:pPr>
        <w:pStyle w:val="Heading5"/>
      </w:pPr>
      <w:r>
        <w:t>d.</w:t>
      </w:r>
      <w:r w:rsidR="00761752">
        <w:tab/>
      </w:r>
      <w:r w:rsidR="0075777C" w:rsidRPr="00822C52">
        <w:t xml:space="preserve">Change in WHO </w:t>
      </w:r>
      <w:r w:rsidR="0075777C">
        <w:t>FC</w:t>
      </w:r>
      <w:r w:rsidR="00761752" w:rsidRPr="00761752">
        <w:t xml:space="preserve"> from baseline</w:t>
      </w:r>
    </w:p>
    <w:p w:rsidR="0075777C" w:rsidRPr="00822C52" w:rsidRDefault="002E4833" w:rsidP="0077344D">
      <w:pPr>
        <w:pStyle w:val="Heading6"/>
      </w:pPr>
      <w:r>
        <w:t>d</w:t>
      </w:r>
      <w:r w:rsidR="0075777C" w:rsidRPr="00822C52">
        <w:t>.i</w:t>
      </w:r>
      <w:r w:rsidR="0075777C" w:rsidRPr="00822C52">
        <w:tab/>
        <w:t>PAH patients, irrespective of disease severity or aetiology</w:t>
      </w:r>
    </w:p>
    <w:p w:rsidR="0075777C" w:rsidRPr="00822C52" w:rsidRDefault="00880228" w:rsidP="0075777C">
      <w:r>
        <w:t xml:space="preserve">Patients who received combination therapy were </w:t>
      </w:r>
      <w:r w:rsidR="00A17B9D">
        <w:rPr>
          <w:noProof/>
          <w:color w:val="000000"/>
          <w:highlight w:val="black"/>
        </w:rPr>
        <w:t>''''''''''' '''' ''''''''''</w:t>
      </w:r>
      <w:r w:rsidR="008D640A">
        <w:t xml:space="preserve"> </w:t>
      </w:r>
      <w:r>
        <w:t xml:space="preserve">to improve their WHO FC  and </w:t>
      </w:r>
      <w:r w:rsidR="00A17B9D">
        <w:rPr>
          <w:noProof/>
          <w:color w:val="000000"/>
          <w:highlight w:val="black"/>
        </w:rPr>
        <w:t>''''''''''''''' ''''''' '''''''''</w:t>
      </w:r>
      <w:r w:rsidR="008D640A">
        <w:t xml:space="preserve"> </w:t>
      </w:r>
      <w:r>
        <w:t>to experience a worsening of WHO FC than those on monotherapy</w:t>
      </w:r>
      <w:r w:rsidRPr="00707847">
        <w:t xml:space="preserve"> (</w:t>
      </w:r>
      <w:r>
        <w:t>ARD </w:t>
      </w:r>
      <w:r w:rsidRPr="00707847">
        <w:t>=</w:t>
      </w:r>
      <w:r>
        <w:t> </w:t>
      </w:r>
      <w:r w:rsidR="00A17B9D">
        <w:rPr>
          <w:noProof/>
          <w:color w:val="000000"/>
          <w:highlight w:val="black"/>
        </w:rPr>
        <w:t xml:space="preserve">''''''''''''' ''''''''' '''' ''''''' ''''''''' ''''''''''''''''''' </w:t>
      </w:r>
      <w:r w:rsidRPr="00AE3510">
        <w:t>and</w:t>
      </w:r>
      <w:r>
        <w:t xml:space="preserve"> </w:t>
      </w:r>
      <w:r w:rsidR="00A17B9D">
        <w:rPr>
          <w:noProof/>
          <w:color w:val="000000"/>
          <w:highlight w:val="black"/>
        </w:rPr>
        <w:t>'''''''''''''' ''''''''' ''''' '''''''''''' '''''''' ''''''''''''''''''' ''''''''''''''''''''''</w:t>
      </w:r>
      <w:r>
        <w:t xml:space="preserve"> , </w:t>
      </w:r>
      <w:r w:rsidR="008D640A">
        <w:rPr>
          <w:noProof/>
          <w:color w:val="000000"/>
          <w:highlight w:val="black"/>
        </w:rPr>
        <w:t xml:space="preserve">'''''' '''''  </w:t>
      </w:r>
      <w:r w:rsidR="00A17B9D">
        <w:rPr>
          <w:noProof/>
          <w:color w:val="000000"/>
          <w:highlight w:val="black"/>
        </w:rPr>
        <w:t>''''''''''''''''''' ''''''' ''''''' '''''''''''''''''''' '''''''''''''''''''</w:t>
      </w:r>
      <w:r w:rsidR="008D640A">
        <w:t xml:space="preserve"> </w:t>
      </w:r>
      <w:r w:rsidRPr="00957FC0">
        <w:t>for either outcome</w:t>
      </w:r>
      <w:r>
        <w:t xml:space="preserve"> (</w:t>
      </w:r>
      <w:r w:rsidR="00AA722D">
        <w:t>Table 4.</w:t>
      </w:r>
      <w:r w:rsidR="00AA722D">
        <w:rPr>
          <w:noProof/>
        </w:rPr>
        <w:t>92</w:t>
      </w:r>
      <w:r>
        <w:t>)</w:t>
      </w:r>
      <w:r w:rsidRPr="00957FC0">
        <w:t>.</w:t>
      </w:r>
      <w:r>
        <w:t xml:space="preserve"> The NNT indicates that</w:t>
      </w:r>
      <w:r w:rsidRPr="00EA01A6">
        <w:t xml:space="preserve"> </w:t>
      </w:r>
      <w:r w:rsidR="00A17B9D">
        <w:rPr>
          <w:noProof/>
          <w:color w:val="000000"/>
          <w:highlight w:val="black"/>
        </w:rPr>
        <w:t xml:space="preserve">''' </w:t>
      </w:r>
      <w:r>
        <w:t>patients</w:t>
      </w:r>
      <w:r w:rsidRPr="00EA01A6">
        <w:t xml:space="preserve"> need to be treated with </w:t>
      </w:r>
      <w:r w:rsidR="00A17B9D">
        <w:rPr>
          <w:noProof/>
          <w:color w:val="000000"/>
          <w:highlight w:val="black"/>
        </w:rPr>
        <w:t>''''''' '''''''''''''''''''' ''''''''' '''''''' ''''''''''''''''''''''''' ''''''''''''''''</w:t>
      </w:r>
      <w:r w:rsidRPr="00EA01A6">
        <w:t xml:space="preserve"> </w:t>
      </w:r>
      <w:r>
        <w:t>for</w:t>
      </w:r>
      <w:r w:rsidRPr="00EA01A6">
        <w:t xml:space="preserve"> one additional patient </w:t>
      </w:r>
      <w:r>
        <w:t xml:space="preserve">to improve their WHO FC </w:t>
      </w:r>
      <w:r w:rsidRPr="00EA01A6">
        <w:t xml:space="preserve">compared with </w:t>
      </w:r>
      <w:r w:rsidR="00A17B9D">
        <w:rPr>
          <w:noProof/>
          <w:color w:val="000000"/>
          <w:highlight w:val="black"/>
        </w:rPr>
        <w:t>''''''' '''''''''''''''''''''''</w:t>
      </w:r>
      <w:r>
        <w:t xml:space="preserve">, and </w:t>
      </w:r>
      <w:r w:rsidR="00A17B9D">
        <w:rPr>
          <w:noProof/>
          <w:color w:val="000000"/>
          <w:highlight w:val="black"/>
        </w:rPr>
        <w:t>'''''</w:t>
      </w:r>
      <w:r>
        <w:t xml:space="preserve"> to prevent worsening of WHO FC in one additional patient</w:t>
      </w:r>
      <w:r w:rsidRPr="00EA01A6">
        <w:t>.</w:t>
      </w:r>
    </w:p>
    <w:p w:rsidR="0075777C" w:rsidRPr="00DD7790" w:rsidRDefault="00272F8F" w:rsidP="00BC5A2B">
      <w:pPr>
        <w:pStyle w:val="Caption"/>
      </w:pPr>
      <w:bookmarkStart w:id="273" w:name="_Ref504657307"/>
      <w:bookmarkStart w:id="274" w:name="_Toc512855496"/>
      <w:r>
        <w:t>Table 4.</w:t>
      </w:r>
      <w:r w:rsidR="00AA722D">
        <w:rPr>
          <w:noProof/>
        </w:rPr>
        <w:t>92</w:t>
      </w:r>
      <w:bookmarkEnd w:id="273"/>
      <w:r w:rsidR="00DB5599">
        <w:tab/>
      </w:r>
      <w:r w:rsidR="0075777C" w:rsidRPr="00DD7790">
        <w:rPr>
          <w:noProof/>
        </w:rPr>
        <w:t xml:space="preserve">The effectiveness of </w:t>
      </w:r>
      <w:r w:rsidR="00E35EDB">
        <w:rPr>
          <w:noProof/>
        </w:rPr>
        <w:t xml:space="preserve">a </w:t>
      </w:r>
      <w:r w:rsidR="00E35EDB" w:rsidRPr="00E35EDB">
        <w:t xml:space="preserve">sGC stimulator </w:t>
      </w:r>
      <w:r w:rsidR="007E59EC">
        <w:t>in addition to</w:t>
      </w:r>
      <w:r w:rsidR="007E59EC" w:rsidRPr="00DD7790">
        <w:t xml:space="preserve"> </w:t>
      </w:r>
      <w:r w:rsidR="007E59EC">
        <w:t xml:space="preserve">an </w:t>
      </w:r>
      <w:r w:rsidR="007E59EC" w:rsidRPr="00DD7790">
        <w:t xml:space="preserve">ERA </w:t>
      </w:r>
      <w:r w:rsidR="007E59EC" w:rsidRPr="00AA5E50">
        <w:t xml:space="preserve">compared </w:t>
      </w:r>
      <w:r w:rsidR="007E59EC">
        <w:t>with</w:t>
      </w:r>
      <w:r w:rsidR="007E59EC" w:rsidRPr="00DD7790">
        <w:t xml:space="preserve"> ERA</w:t>
      </w:r>
      <w:r w:rsidR="007E59EC">
        <w:t xml:space="preserve"> monotherapy</w:t>
      </w:r>
      <w:r w:rsidR="007E59EC" w:rsidRPr="00DD7790">
        <w:rPr>
          <w:noProof/>
        </w:rPr>
        <w:t xml:space="preserve"> </w:t>
      </w:r>
      <w:r w:rsidR="0075777C" w:rsidRPr="00DD7790">
        <w:rPr>
          <w:noProof/>
        </w:rPr>
        <w:t>in improving WHO FC in all PAH patients</w:t>
      </w:r>
      <w:bookmarkEnd w:id="274"/>
    </w:p>
    <w:tbl>
      <w:tblPr>
        <w:tblStyle w:val="TableGrid7"/>
        <w:tblW w:w="9634" w:type="dxa"/>
        <w:tblLayout w:type="fixed"/>
        <w:tblLook w:val="04A0" w:firstRow="1" w:lastRow="0" w:firstColumn="1" w:lastColumn="0" w:noHBand="0" w:noVBand="1"/>
        <w:tblCaption w:val="The effectiveness of a sGC stimulator in addition to an ERA compared with ERA monotherapy in improving WHO FC in all PAH patients"/>
      </w:tblPr>
      <w:tblGrid>
        <w:gridCol w:w="1698"/>
        <w:gridCol w:w="1699"/>
        <w:gridCol w:w="1985"/>
        <w:gridCol w:w="1984"/>
        <w:gridCol w:w="2268"/>
      </w:tblGrid>
      <w:tr w:rsidR="0075777C" w:rsidRPr="00822C52" w:rsidTr="00DB5599">
        <w:trPr>
          <w:trHeight w:val="302"/>
          <w:tblHeader/>
        </w:trPr>
        <w:tc>
          <w:tcPr>
            <w:tcW w:w="1698" w:type="dxa"/>
            <w:vMerge w:val="restart"/>
            <w:shd w:val="clear" w:color="auto" w:fill="BFBFBF" w:themeFill="background1" w:themeFillShade="BF"/>
          </w:tcPr>
          <w:p w:rsidR="0075777C" w:rsidRDefault="0075777C" w:rsidP="00DB5599">
            <w:pPr>
              <w:pStyle w:val="Tabletext"/>
              <w:rPr>
                <w:b/>
              </w:rPr>
            </w:pPr>
            <w:r w:rsidRPr="00DB5599">
              <w:rPr>
                <w:b/>
              </w:rPr>
              <w:t>Study ID</w:t>
            </w:r>
          </w:p>
          <w:p w:rsidR="00E35EDB" w:rsidRPr="00DB5599" w:rsidRDefault="00E35EDB" w:rsidP="00DB5599">
            <w:pPr>
              <w:pStyle w:val="Tabletext"/>
              <w:rPr>
                <w:b/>
              </w:rPr>
            </w:pPr>
            <w:r w:rsidRPr="00E35EDB">
              <w:rPr>
                <w:b/>
              </w:rPr>
              <w:t>sGC stimulator</w:t>
            </w:r>
          </w:p>
        </w:tc>
        <w:tc>
          <w:tcPr>
            <w:tcW w:w="1699" w:type="dxa"/>
            <w:vMerge w:val="restart"/>
            <w:shd w:val="clear" w:color="auto" w:fill="BFBFBF" w:themeFill="background1" w:themeFillShade="BF"/>
          </w:tcPr>
          <w:p w:rsidR="0075777C" w:rsidRPr="00DB5599" w:rsidRDefault="0075777C" w:rsidP="00DB5599">
            <w:pPr>
              <w:pStyle w:val="Tabletext"/>
              <w:rPr>
                <w:b/>
              </w:rPr>
            </w:pPr>
            <w:r w:rsidRPr="00DB5599">
              <w:rPr>
                <w:b/>
              </w:rPr>
              <w:t>Change in WHO FC</w:t>
            </w:r>
          </w:p>
        </w:tc>
        <w:tc>
          <w:tcPr>
            <w:tcW w:w="3969" w:type="dxa"/>
            <w:gridSpan w:val="2"/>
            <w:shd w:val="clear" w:color="auto" w:fill="BFBFBF" w:themeFill="background1" w:themeFillShade="BF"/>
          </w:tcPr>
          <w:p w:rsidR="0075777C" w:rsidRPr="00DB5599" w:rsidRDefault="0075777C" w:rsidP="00DB5599">
            <w:pPr>
              <w:pStyle w:val="Tabletext"/>
              <w:jc w:val="center"/>
              <w:rPr>
                <w:b/>
              </w:rPr>
            </w:pPr>
            <w:r w:rsidRPr="00DB5599">
              <w:rPr>
                <w:b/>
              </w:rPr>
              <w:t>n/N (%)</w:t>
            </w:r>
          </w:p>
        </w:tc>
        <w:tc>
          <w:tcPr>
            <w:tcW w:w="2268" w:type="dxa"/>
            <w:vMerge w:val="restart"/>
            <w:shd w:val="clear" w:color="auto" w:fill="BFBFBF" w:themeFill="background1" w:themeFillShade="BF"/>
          </w:tcPr>
          <w:p w:rsidR="0075777C" w:rsidRPr="00DB5599" w:rsidRDefault="0075777C" w:rsidP="00DB5599">
            <w:pPr>
              <w:pStyle w:val="Tabletext"/>
              <w:rPr>
                <w:b/>
              </w:rPr>
            </w:pPr>
            <w:r w:rsidRPr="00DB5599">
              <w:rPr>
                <w:b/>
              </w:rPr>
              <w:t>RR (95% CI)</w:t>
            </w:r>
          </w:p>
        </w:tc>
      </w:tr>
      <w:tr w:rsidR="0075777C" w:rsidRPr="00822C52" w:rsidTr="00DB5599">
        <w:trPr>
          <w:trHeight w:val="202"/>
          <w:tblHeader/>
        </w:trPr>
        <w:tc>
          <w:tcPr>
            <w:tcW w:w="1698" w:type="dxa"/>
            <w:vMerge/>
            <w:shd w:val="clear" w:color="auto" w:fill="BFBFBF" w:themeFill="background1" w:themeFillShade="BF"/>
          </w:tcPr>
          <w:p w:rsidR="0075777C" w:rsidRPr="00822C52" w:rsidRDefault="0075777C" w:rsidP="00DB5599">
            <w:pPr>
              <w:pStyle w:val="Tabletext"/>
            </w:pPr>
          </w:p>
        </w:tc>
        <w:tc>
          <w:tcPr>
            <w:tcW w:w="1699" w:type="dxa"/>
            <w:vMerge/>
            <w:shd w:val="clear" w:color="auto" w:fill="BFBFBF" w:themeFill="background1" w:themeFillShade="BF"/>
          </w:tcPr>
          <w:p w:rsidR="0075777C" w:rsidRPr="00822C52" w:rsidRDefault="0075777C" w:rsidP="00DB5599">
            <w:pPr>
              <w:pStyle w:val="Tabletext"/>
            </w:pPr>
          </w:p>
        </w:tc>
        <w:tc>
          <w:tcPr>
            <w:tcW w:w="1985" w:type="dxa"/>
            <w:shd w:val="clear" w:color="auto" w:fill="BFBFBF" w:themeFill="background1" w:themeFillShade="BF"/>
          </w:tcPr>
          <w:p w:rsidR="0075777C" w:rsidRPr="00DB5599" w:rsidRDefault="00E35EDB" w:rsidP="00DB5599">
            <w:pPr>
              <w:pStyle w:val="Tabletext"/>
              <w:jc w:val="center"/>
              <w:rPr>
                <w:b/>
              </w:rPr>
            </w:pPr>
            <w:r w:rsidRPr="00E35EDB">
              <w:rPr>
                <w:b/>
              </w:rPr>
              <w:t xml:space="preserve">sGC stimulator </w:t>
            </w:r>
            <w:r w:rsidR="0075777C" w:rsidRPr="00DB5599">
              <w:rPr>
                <w:b/>
              </w:rPr>
              <w:t>+ ERA</w:t>
            </w:r>
          </w:p>
        </w:tc>
        <w:tc>
          <w:tcPr>
            <w:tcW w:w="1984" w:type="dxa"/>
            <w:shd w:val="clear" w:color="auto" w:fill="BFBFBF" w:themeFill="background1" w:themeFillShade="BF"/>
          </w:tcPr>
          <w:p w:rsidR="0075777C" w:rsidRPr="00DB5599" w:rsidRDefault="0075777C" w:rsidP="00DB5599">
            <w:pPr>
              <w:pStyle w:val="Tabletext"/>
              <w:jc w:val="center"/>
              <w:rPr>
                <w:b/>
              </w:rPr>
            </w:pPr>
            <w:r w:rsidRPr="00DB5599">
              <w:rPr>
                <w:b/>
              </w:rPr>
              <w:t>ERA</w:t>
            </w:r>
          </w:p>
        </w:tc>
        <w:tc>
          <w:tcPr>
            <w:tcW w:w="2268" w:type="dxa"/>
            <w:vMerge/>
            <w:shd w:val="clear" w:color="auto" w:fill="BFBFBF" w:themeFill="background1" w:themeFillShade="BF"/>
          </w:tcPr>
          <w:p w:rsidR="0075777C" w:rsidRPr="00822C52" w:rsidRDefault="0075777C" w:rsidP="00DB5599">
            <w:pPr>
              <w:pStyle w:val="Tabletext"/>
            </w:pPr>
          </w:p>
        </w:tc>
      </w:tr>
      <w:tr w:rsidR="0075777C" w:rsidRPr="00822C52" w:rsidTr="00DB5599">
        <w:trPr>
          <w:trHeight w:val="70"/>
        </w:trPr>
        <w:tc>
          <w:tcPr>
            <w:tcW w:w="1698" w:type="dxa"/>
            <w:vMerge w:val="restart"/>
          </w:tcPr>
          <w:p w:rsidR="0075777C" w:rsidRDefault="0075777C" w:rsidP="00DB5599">
            <w:pPr>
              <w:pStyle w:val="Tabletext"/>
              <w:rPr>
                <w:rFonts w:cs="Tahoma"/>
              </w:rPr>
            </w:pPr>
            <w:r w:rsidRPr="00822C52">
              <w:rPr>
                <w:rFonts w:cs="Tahoma"/>
              </w:rPr>
              <w:t>PATENT-1 CSR</w:t>
            </w:r>
          </w:p>
          <w:p w:rsidR="00E35EDB" w:rsidRPr="00E35EDB" w:rsidRDefault="00E35EDB" w:rsidP="00DB5599">
            <w:pPr>
              <w:pStyle w:val="Tabletext"/>
              <w:rPr>
                <w:rFonts w:cs="Tahoma"/>
              </w:rPr>
            </w:pPr>
            <w:r w:rsidRPr="00E35EDB">
              <w:t>Riociguat</w:t>
            </w:r>
          </w:p>
        </w:tc>
        <w:tc>
          <w:tcPr>
            <w:tcW w:w="1699" w:type="dxa"/>
          </w:tcPr>
          <w:p w:rsidR="0075777C" w:rsidRPr="00822C52" w:rsidRDefault="0075777C" w:rsidP="00DB5599">
            <w:pPr>
              <w:pStyle w:val="Tabletext"/>
              <w:rPr>
                <w:rFonts w:cs="Tahoma"/>
              </w:rPr>
            </w:pPr>
            <w:r w:rsidRPr="00822C52">
              <w:rPr>
                <w:rFonts w:cs="Tahoma"/>
              </w:rPr>
              <w:t>Improved</w:t>
            </w:r>
          </w:p>
        </w:tc>
        <w:tc>
          <w:tcPr>
            <w:tcW w:w="1985" w:type="dxa"/>
            <w:shd w:val="clear" w:color="auto" w:fill="auto"/>
          </w:tcPr>
          <w:p w:rsidR="0075777C" w:rsidRPr="00A17B9D" w:rsidRDefault="00A17B9D" w:rsidP="00DB5599">
            <w:pPr>
              <w:pStyle w:val="Tabletext"/>
              <w:jc w:val="center"/>
              <w:rPr>
                <w:rFonts w:cs="Tahoma"/>
                <w:highlight w:val="black"/>
              </w:rPr>
            </w:pPr>
            <w:r>
              <w:rPr>
                <w:rFonts w:cs="Tahoma"/>
                <w:noProof/>
                <w:color w:val="000000"/>
                <w:highlight w:val="black"/>
              </w:rPr>
              <w:t>''''''''''''''' ''''''''''''''''</w:t>
            </w:r>
          </w:p>
        </w:tc>
        <w:tc>
          <w:tcPr>
            <w:tcW w:w="1984" w:type="dxa"/>
            <w:shd w:val="clear" w:color="auto" w:fill="auto"/>
          </w:tcPr>
          <w:p w:rsidR="0075777C" w:rsidRPr="00A17B9D" w:rsidRDefault="00A17B9D" w:rsidP="00DB5599">
            <w:pPr>
              <w:pStyle w:val="Tabletext"/>
              <w:jc w:val="center"/>
              <w:rPr>
                <w:rFonts w:cs="Tahoma"/>
                <w:highlight w:val="black"/>
              </w:rPr>
            </w:pPr>
            <w:r>
              <w:rPr>
                <w:rFonts w:cs="Tahoma"/>
                <w:noProof/>
                <w:color w:val="000000"/>
                <w:highlight w:val="black"/>
              </w:rPr>
              <w:t>''''''''''' ''''''''''''''</w:t>
            </w:r>
          </w:p>
        </w:tc>
        <w:tc>
          <w:tcPr>
            <w:tcW w:w="2268" w:type="dxa"/>
            <w:shd w:val="clear" w:color="auto" w:fill="auto"/>
          </w:tcPr>
          <w:p w:rsidR="0075777C" w:rsidRPr="00A17B9D" w:rsidRDefault="00A17B9D" w:rsidP="00DB5599">
            <w:pPr>
              <w:pStyle w:val="Tabletext"/>
              <w:rPr>
                <w:rFonts w:cs="Tahoma"/>
                <w:highlight w:val="black"/>
              </w:rPr>
            </w:pPr>
            <w:r>
              <w:rPr>
                <w:rFonts w:cs="Tahoma"/>
                <w:noProof/>
                <w:color w:val="000000"/>
                <w:highlight w:val="black"/>
              </w:rPr>
              <w:t>''''''''''' ''''''''''''' '''''''''''</w:t>
            </w:r>
          </w:p>
        </w:tc>
      </w:tr>
      <w:tr w:rsidR="0075777C" w:rsidRPr="00822C52" w:rsidTr="00DB5599">
        <w:trPr>
          <w:trHeight w:val="70"/>
        </w:trPr>
        <w:tc>
          <w:tcPr>
            <w:tcW w:w="1698" w:type="dxa"/>
            <w:vMerge/>
          </w:tcPr>
          <w:p w:rsidR="0075777C" w:rsidRPr="00822C52" w:rsidRDefault="0075777C" w:rsidP="00DB5599">
            <w:pPr>
              <w:pStyle w:val="Tabletext"/>
              <w:rPr>
                <w:rFonts w:cs="Tahoma"/>
              </w:rPr>
            </w:pPr>
          </w:p>
        </w:tc>
        <w:tc>
          <w:tcPr>
            <w:tcW w:w="1699" w:type="dxa"/>
          </w:tcPr>
          <w:p w:rsidR="0075777C" w:rsidRPr="00822C52" w:rsidRDefault="0075777C" w:rsidP="00DB5599">
            <w:pPr>
              <w:pStyle w:val="Tabletext"/>
              <w:rPr>
                <w:rFonts w:cs="Tahoma"/>
              </w:rPr>
            </w:pPr>
            <w:r w:rsidRPr="00822C52">
              <w:rPr>
                <w:rFonts w:cs="Tahoma"/>
              </w:rPr>
              <w:t>Worsened</w:t>
            </w:r>
          </w:p>
        </w:tc>
        <w:tc>
          <w:tcPr>
            <w:tcW w:w="1985" w:type="dxa"/>
            <w:shd w:val="clear" w:color="auto" w:fill="auto"/>
          </w:tcPr>
          <w:p w:rsidR="0075777C" w:rsidRPr="00116B52" w:rsidRDefault="00116B52" w:rsidP="00DB5599">
            <w:pPr>
              <w:pStyle w:val="Tabletext"/>
              <w:jc w:val="center"/>
              <w:rPr>
                <w:rFonts w:cs="Tahoma"/>
                <w:highlight w:val="black"/>
              </w:rPr>
            </w:pPr>
            <w:r>
              <w:rPr>
                <w:rFonts w:cs="Tahoma"/>
                <w:noProof/>
                <w:color w:val="000000"/>
                <w:highlight w:val="black"/>
              </w:rPr>
              <w:t>''''''''''''' ''''''''''''</w:t>
            </w:r>
          </w:p>
        </w:tc>
        <w:tc>
          <w:tcPr>
            <w:tcW w:w="1984" w:type="dxa"/>
            <w:shd w:val="clear" w:color="auto" w:fill="auto"/>
          </w:tcPr>
          <w:p w:rsidR="0075777C" w:rsidRPr="00A17B9D" w:rsidRDefault="00A17B9D" w:rsidP="00DB5599">
            <w:pPr>
              <w:pStyle w:val="Tabletext"/>
              <w:jc w:val="center"/>
              <w:rPr>
                <w:rFonts w:cs="Tahoma"/>
                <w:highlight w:val="black"/>
              </w:rPr>
            </w:pPr>
            <w:r>
              <w:rPr>
                <w:rFonts w:cs="Tahoma"/>
                <w:noProof/>
                <w:color w:val="000000"/>
                <w:highlight w:val="black"/>
              </w:rPr>
              <w:t>'''''''''''' ''''''''''''''</w:t>
            </w:r>
          </w:p>
        </w:tc>
        <w:tc>
          <w:tcPr>
            <w:tcW w:w="2268" w:type="dxa"/>
            <w:shd w:val="clear" w:color="auto" w:fill="auto"/>
          </w:tcPr>
          <w:p w:rsidR="0075777C" w:rsidRPr="00A17B9D" w:rsidRDefault="00A17B9D" w:rsidP="00DB5599">
            <w:pPr>
              <w:pStyle w:val="Tabletext"/>
              <w:rPr>
                <w:rFonts w:cs="Tahoma"/>
                <w:highlight w:val="black"/>
              </w:rPr>
            </w:pPr>
            <w:r>
              <w:rPr>
                <w:rFonts w:cs="Tahoma"/>
                <w:noProof/>
                <w:color w:val="000000"/>
                <w:highlight w:val="black"/>
              </w:rPr>
              <w:t>''''''''''' '''''''''''''' ''''''''''''</w:t>
            </w:r>
          </w:p>
        </w:tc>
      </w:tr>
    </w:tbl>
    <w:p w:rsidR="0075777C" w:rsidRPr="00822C52" w:rsidRDefault="0075777C" w:rsidP="00DB5599">
      <w:pPr>
        <w:pStyle w:val="Tablenote"/>
      </w:pPr>
      <w:r w:rsidRPr="00822C52">
        <w:t xml:space="preserve">CI = confidence interval; CSR = clinical study report; ERA = endothelin receptor antagonist; FC = functional class; n = number of </w:t>
      </w:r>
      <w:r w:rsidR="00DC16A3">
        <w:t xml:space="preserve">patients with </w:t>
      </w:r>
      <w:r w:rsidRPr="00822C52">
        <w:t xml:space="preserve">events; N = number of patients; PAH = pulmonary arterial hypertension; RR = relative risk; </w:t>
      </w:r>
      <w:r w:rsidR="009B47AA" w:rsidRPr="00986739">
        <w:t xml:space="preserve">sGC = soluble guanylate cyclase stimulator; </w:t>
      </w:r>
      <w:r w:rsidRPr="00822C52">
        <w:t>WHO = World Health Organization</w:t>
      </w:r>
    </w:p>
    <w:p w:rsidR="0075777C" w:rsidRPr="00822C52" w:rsidRDefault="002E4833" w:rsidP="0077344D">
      <w:pPr>
        <w:pStyle w:val="Heading6"/>
      </w:pPr>
      <w:r>
        <w:t>d</w:t>
      </w:r>
      <w:r w:rsidR="0075777C" w:rsidRPr="00822C52">
        <w:t>.ii</w:t>
      </w:r>
      <w:r w:rsidR="0075777C" w:rsidRPr="00822C52">
        <w:tab/>
        <w:t>PAH patients with FC III or IV</w:t>
      </w:r>
    </w:p>
    <w:p w:rsidR="0075777C" w:rsidRPr="00822C52" w:rsidRDefault="0075777C" w:rsidP="0075777C">
      <w:r>
        <w:t xml:space="preserve">Patients with WHO FC III/IV PAH who received combination therapy were </w:t>
      </w:r>
      <w:r w:rsidR="00116B52">
        <w:rPr>
          <w:noProof/>
          <w:color w:val="000000"/>
          <w:highlight w:val="black"/>
        </w:rPr>
        <w:t>'''''''''''''''''' ''''''''''' ''''''''''</w:t>
      </w:r>
      <w:r>
        <w:t>to improve their WHO FC than those on monotherapy (</w:t>
      </w:r>
      <w:r w:rsidR="00AA722D">
        <w:t>Table 4.</w:t>
      </w:r>
      <w:r w:rsidR="00AA722D">
        <w:rPr>
          <w:noProof/>
        </w:rPr>
        <w:t>93</w:t>
      </w:r>
      <w:r>
        <w:t xml:space="preserve">), </w:t>
      </w:r>
      <w:r w:rsidR="00A17B9D">
        <w:rPr>
          <w:noProof/>
          <w:color w:val="000000"/>
          <w:highlight w:val="black"/>
        </w:rPr>
        <w:t>''''''' '''''' ''''</w:t>
      </w:r>
      <w:r w:rsidR="008D640A">
        <w:rPr>
          <w:noProof/>
          <w:color w:val="000000"/>
          <w:highlight w:val="black"/>
        </w:rPr>
        <w:t>''''''''''''''' ''''''' '''''''</w:t>
      </w:r>
      <w:r w:rsidR="00A17B9D">
        <w:rPr>
          <w:noProof/>
          <w:color w:val="000000"/>
          <w:highlight w:val="black"/>
        </w:rPr>
        <w:t>''''''''''''''''''''' '''''''''''''''''''''</w:t>
      </w:r>
      <w:r w:rsidRPr="00707847">
        <w:t>(</w:t>
      </w:r>
      <w:r w:rsidR="00B21201">
        <w:t>ARD</w:t>
      </w:r>
      <w:r w:rsidR="00DB6ACB">
        <w:t> </w:t>
      </w:r>
      <w:r w:rsidRPr="00707847">
        <w:t>=</w:t>
      </w:r>
      <w:r w:rsidR="00DB6ACB">
        <w:t> </w:t>
      </w:r>
      <w:r w:rsidR="00A17B9D">
        <w:rPr>
          <w:noProof/>
          <w:color w:val="000000"/>
          <w:highlight w:val="black"/>
        </w:rPr>
        <w:t>''''''''''''' '''''''' ''''' ''''''''' ''''''''' ''''''''''''''''</w:t>
      </w:r>
      <w:r w:rsidRPr="00957FC0">
        <w:t xml:space="preserve">. </w:t>
      </w:r>
      <w:r w:rsidR="00A17B9D">
        <w:rPr>
          <w:noProof/>
          <w:color w:val="000000"/>
          <w:highlight w:val="black"/>
        </w:rPr>
        <w:t>''''''''''</w:t>
      </w:r>
      <w:r>
        <w:t xml:space="preserve"> patients in the monotherapy group experienced worsening of their WHO FC </w:t>
      </w:r>
      <w:r w:rsidR="00A17B9D">
        <w:rPr>
          <w:noProof/>
          <w:color w:val="000000"/>
          <w:highlight w:val="black"/>
        </w:rPr>
        <w:t>'''''''' '''''' '</w:t>
      </w:r>
      <w:r w:rsidR="008D640A">
        <w:rPr>
          <w:noProof/>
          <w:color w:val="000000"/>
          <w:highlight w:val="black"/>
        </w:rPr>
        <w:t>'''' '''''''''''' '''''' ''''''</w:t>
      </w:r>
      <w:r w:rsidR="00A17B9D">
        <w:rPr>
          <w:noProof/>
          <w:color w:val="000000"/>
          <w:highlight w:val="black"/>
        </w:rPr>
        <w:t>''''''''''''''''''''</w:t>
      </w:r>
      <w:r w:rsidRPr="00707847">
        <w:t>(</w:t>
      </w:r>
      <w:r w:rsidR="00B21201">
        <w:t>ARD</w:t>
      </w:r>
      <w:r w:rsidR="00DB6ACB">
        <w:t> </w:t>
      </w:r>
      <w:r w:rsidRPr="00707847">
        <w:t>=</w:t>
      </w:r>
      <w:r w:rsidR="00DB6ACB">
        <w:t> </w:t>
      </w:r>
      <w:r w:rsidR="00A17B9D">
        <w:rPr>
          <w:noProof/>
          <w:color w:val="000000"/>
          <w:highlight w:val="black"/>
        </w:rPr>
        <w:t>'''''''''''' '''''''' '''' ''''''''''' ''''''' '''''''''''''''''''</w:t>
      </w:r>
      <w:r>
        <w:t>.</w:t>
      </w:r>
      <w:r w:rsidRPr="00CB51A2">
        <w:t xml:space="preserve"> Among patients with WHO FC III/IV </w:t>
      </w:r>
      <w:r w:rsidRPr="00CB51A2">
        <w:lastRenderedPageBreak/>
        <w:t xml:space="preserve">PAH, </w:t>
      </w:r>
      <w:r w:rsidR="00A17B9D">
        <w:rPr>
          <w:noProof/>
          <w:color w:val="000000"/>
          <w:highlight w:val="black"/>
        </w:rPr>
        <w:t>'''</w:t>
      </w:r>
      <w:r w:rsidRPr="00CB51A2">
        <w:t xml:space="preserve"> need to be treated with </w:t>
      </w:r>
      <w:r w:rsidR="00A17B9D">
        <w:rPr>
          <w:noProof/>
          <w:color w:val="000000"/>
          <w:highlight w:val="black"/>
        </w:rPr>
        <w:t>''''''' '''''''''''''''''''' '''''''' '''''''' ''''''''''''''''''''''' ''''''''''''''</w:t>
      </w:r>
      <w:r w:rsidRPr="00CB51A2">
        <w:t xml:space="preserve"> </w:t>
      </w:r>
      <w:r>
        <w:t>for</w:t>
      </w:r>
      <w:r w:rsidRPr="00CB51A2">
        <w:t xml:space="preserve"> one additional patient </w:t>
      </w:r>
      <w:r>
        <w:t xml:space="preserve">to improve in WHO FC </w:t>
      </w:r>
      <w:r w:rsidRPr="00CB51A2">
        <w:t xml:space="preserve">compared with </w:t>
      </w:r>
      <w:r w:rsidR="00A17B9D">
        <w:rPr>
          <w:noProof/>
          <w:color w:val="000000"/>
          <w:highlight w:val="black"/>
        </w:rPr>
        <w:t>'''''''' '''''''''''''''''''''''''''</w:t>
      </w:r>
      <w:r>
        <w:t xml:space="preserve">, and </w:t>
      </w:r>
      <w:r w:rsidR="00A17B9D">
        <w:rPr>
          <w:noProof/>
          <w:color w:val="000000"/>
          <w:highlight w:val="black"/>
        </w:rPr>
        <w:t>'''''</w:t>
      </w:r>
      <w:r>
        <w:t xml:space="preserve"> to prevent worsening of WHO FC in one additional patient</w:t>
      </w:r>
      <w:r w:rsidRPr="00CB51A2">
        <w:t>.</w:t>
      </w:r>
    </w:p>
    <w:p w:rsidR="0075777C" w:rsidRPr="00DD7790" w:rsidRDefault="00272F8F" w:rsidP="00BC5A2B">
      <w:pPr>
        <w:pStyle w:val="Caption"/>
      </w:pPr>
      <w:bookmarkStart w:id="275" w:name="_Ref504657445"/>
      <w:bookmarkStart w:id="276" w:name="_Toc512855497"/>
      <w:r>
        <w:t>Table 4.</w:t>
      </w:r>
      <w:r w:rsidR="00AA722D">
        <w:rPr>
          <w:noProof/>
        </w:rPr>
        <w:t>93</w:t>
      </w:r>
      <w:bookmarkEnd w:id="275"/>
      <w:r w:rsidR="00DB5599">
        <w:tab/>
      </w:r>
      <w:r w:rsidR="0075777C" w:rsidRPr="00DD7790">
        <w:t xml:space="preserve">The effectiveness of </w:t>
      </w:r>
      <w:r w:rsidR="00E35EDB">
        <w:t xml:space="preserve">a </w:t>
      </w:r>
      <w:r w:rsidR="00E35EDB" w:rsidRPr="00E35EDB">
        <w:t xml:space="preserve">sGC stimulator </w:t>
      </w:r>
      <w:r w:rsidR="007E59EC">
        <w:t>in addition to</w:t>
      </w:r>
      <w:r w:rsidR="007E59EC" w:rsidRPr="00DD7790">
        <w:t xml:space="preserve"> </w:t>
      </w:r>
      <w:r w:rsidR="007E59EC">
        <w:t xml:space="preserve">an </w:t>
      </w:r>
      <w:r w:rsidR="007E59EC" w:rsidRPr="00DD7790">
        <w:t xml:space="preserve">ERA </w:t>
      </w:r>
      <w:r w:rsidR="007E59EC" w:rsidRPr="00AA5E50">
        <w:t xml:space="preserve">compared </w:t>
      </w:r>
      <w:r w:rsidR="007E59EC">
        <w:t>with</w:t>
      </w:r>
      <w:r w:rsidR="007E59EC" w:rsidRPr="00DD7790">
        <w:t xml:space="preserve"> ERA</w:t>
      </w:r>
      <w:r w:rsidR="007E59EC">
        <w:t xml:space="preserve"> monotherapy</w:t>
      </w:r>
      <w:r w:rsidR="007E59EC" w:rsidRPr="00DD7790">
        <w:t xml:space="preserve"> </w:t>
      </w:r>
      <w:r w:rsidR="0075777C" w:rsidRPr="00DD7790">
        <w:t>in improving WHO FC in patients with WHO FC III/IV PAH</w:t>
      </w:r>
      <w:bookmarkEnd w:id="276"/>
    </w:p>
    <w:tbl>
      <w:tblPr>
        <w:tblStyle w:val="TableGrid7"/>
        <w:tblW w:w="9634" w:type="dxa"/>
        <w:tblLayout w:type="fixed"/>
        <w:tblLook w:val="04A0" w:firstRow="1" w:lastRow="0" w:firstColumn="1" w:lastColumn="0" w:noHBand="0" w:noVBand="1"/>
        <w:tblCaption w:val="The effectiveness of a sGC stimulator in addition to an ERA compared with ERA monotherapy in improving WHO FC in patients with WHO FC III/IV PAH"/>
      </w:tblPr>
      <w:tblGrid>
        <w:gridCol w:w="1696"/>
        <w:gridCol w:w="1701"/>
        <w:gridCol w:w="1985"/>
        <w:gridCol w:w="1984"/>
        <w:gridCol w:w="2268"/>
      </w:tblGrid>
      <w:tr w:rsidR="0075777C" w:rsidRPr="00822C52" w:rsidTr="00DB5599">
        <w:trPr>
          <w:trHeight w:val="281"/>
          <w:tblHeader/>
        </w:trPr>
        <w:tc>
          <w:tcPr>
            <w:tcW w:w="1696" w:type="dxa"/>
            <w:vMerge w:val="restart"/>
            <w:shd w:val="clear" w:color="auto" w:fill="BFBFBF" w:themeFill="background1" w:themeFillShade="BF"/>
          </w:tcPr>
          <w:p w:rsidR="0075777C" w:rsidRDefault="0075777C" w:rsidP="00DB5599">
            <w:pPr>
              <w:pStyle w:val="Tabletext"/>
              <w:rPr>
                <w:b/>
              </w:rPr>
            </w:pPr>
            <w:r w:rsidRPr="00DB5599">
              <w:rPr>
                <w:b/>
              </w:rPr>
              <w:t>Study ID</w:t>
            </w:r>
          </w:p>
          <w:p w:rsidR="00E35EDB" w:rsidRPr="00DB5599" w:rsidRDefault="00E35EDB" w:rsidP="00DB5599">
            <w:pPr>
              <w:pStyle w:val="Tabletext"/>
              <w:rPr>
                <w:b/>
              </w:rPr>
            </w:pPr>
            <w:r w:rsidRPr="00E35EDB">
              <w:rPr>
                <w:b/>
              </w:rPr>
              <w:t>sGC stimulator</w:t>
            </w:r>
          </w:p>
        </w:tc>
        <w:tc>
          <w:tcPr>
            <w:tcW w:w="1701" w:type="dxa"/>
            <w:vMerge w:val="restart"/>
            <w:shd w:val="clear" w:color="auto" w:fill="BFBFBF" w:themeFill="background1" w:themeFillShade="BF"/>
          </w:tcPr>
          <w:p w:rsidR="0075777C" w:rsidRPr="00DB5599" w:rsidRDefault="0075777C" w:rsidP="00DB5599">
            <w:pPr>
              <w:pStyle w:val="Tabletext"/>
              <w:rPr>
                <w:b/>
              </w:rPr>
            </w:pPr>
            <w:r w:rsidRPr="00DB5599">
              <w:rPr>
                <w:b/>
              </w:rPr>
              <w:t>Change in WHO FC</w:t>
            </w:r>
          </w:p>
        </w:tc>
        <w:tc>
          <w:tcPr>
            <w:tcW w:w="3969" w:type="dxa"/>
            <w:gridSpan w:val="2"/>
            <w:shd w:val="clear" w:color="auto" w:fill="BFBFBF" w:themeFill="background1" w:themeFillShade="BF"/>
          </w:tcPr>
          <w:p w:rsidR="0075777C" w:rsidRPr="00DB5599" w:rsidRDefault="0075777C" w:rsidP="00DB5599">
            <w:pPr>
              <w:pStyle w:val="Tabletext"/>
              <w:jc w:val="center"/>
              <w:rPr>
                <w:b/>
              </w:rPr>
            </w:pPr>
            <w:r w:rsidRPr="00DB5599">
              <w:rPr>
                <w:b/>
              </w:rPr>
              <w:t>n/N (%)</w:t>
            </w:r>
          </w:p>
        </w:tc>
        <w:tc>
          <w:tcPr>
            <w:tcW w:w="2268" w:type="dxa"/>
            <w:vMerge w:val="restart"/>
            <w:shd w:val="clear" w:color="auto" w:fill="BFBFBF" w:themeFill="background1" w:themeFillShade="BF"/>
          </w:tcPr>
          <w:p w:rsidR="0075777C" w:rsidRPr="00DB5599" w:rsidRDefault="0075777C" w:rsidP="00DB5599">
            <w:pPr>
              <w:pStyle w:val="Tabletext"/>
              <w:rPr>
                <w:b/>
              </w:rPr>
            </w:pPr>
            <w:r w:rsidRPr="00DB5599">
              <w:rPr>
                <w:b/>
              </w:rPr>
              <w:t>RR (95% CI)</w:t>
            </w:r>
          </w:p>
        </w:tc>
      </w:tr>
      <w:tr w:rsidR="0075777C" w:rsidRPr="00822C52" w:rsidTr="00DB5599">
        <w:trPr>
          <w:trHeight w:val="202"/>
          <w:tblHeader/>
        </w:trPr>
        <w:tc>
          <w:tcPr>
            <w:tcW w:w="1696" w:type="dxa"/>
            <w:vMerge/>
            <w:shd w:val="clear" w:color="auto" w:fill="BFBFBF" w:themeFill="background1" w:themeFillShade="BF"/>
          </w:tcPr>
          <w:p w:rsidR="0075777C" w:rsidRPr="00822C52" w:rsidRDefault="0075777C" w:rsidP="00DB5599">
            <w:pPr>
              <w:pStyle w:val="Tabletext"/>
            </w:pPr>
          </w:p>
        </w:tc>
        <w:tc>
          <w:tcPr>
            <w:tcW w:w="1701" w:type="dxa"/>
            <w:vMerge/>
            <w:shd w:val="clear" w:color="auto" w:fill="BFBFBF" w:themeFill="background1" w:themeFillShade="BF"/>
          </w:tcPr>
          <w:p w:rsidR="0075777C" w:rsidRPr="00822C52" w:rsidRDefault="0075777C" w:rsidP="00DB5599">
            <w:pPr>
              <w:pStyle w:val="Tabletext"/>
            </w:pPr>
          </w:p>
        </w:tc>
        <w:tc>
          <w:tcPr>
            <w:tcW w:w="1985" w:type="dxa"/>
            <w:shd w:val="clear" w:color="auto" w:fill="BFBFBF" w:themeFill="background1" w:themeFillShade="BF"/>
          </w:tcPr>
          <w:p w:rsidR="0075777C" w:rsidRPr="00DB5599" w:rsidRDefault="00E35EDB" w:rsidP="00DB5599">
            <w:pPr>
              <w:pStyle w:val="Tabletext"/>
              <w:jc w:val="center"/>
              <w:rPr>
                <w:b/>
              </w:rPr>
            </w:pPr>
            <w:r w:rsidRPr="00E35EDB">
              <w:rPr>
                <w:b/>
              </w:rPr>
              <w:t xml:space="preserve">sGC stimulator </w:t>
            </w:r>
            <w:r w:rsidR="0075777C" w:rsidRPr="00DB5599">
              <w:rPr>
                <w:b/>
              </w:rPr>
              <w:t>+ ERA</w:t>
            </w:r>
          </w:p>
        </w:tc>
        <w:tc>
          <w:tcPr>
            <w:tcW w:w="1984" w:type="dxa"/>
            <w:shd w:val="clear" w:color="auto" w:fill="BFBFBF" w:themeFill="background1" w:themeFillShade="BF"/>
          </w:tcPr>
          <w:p w:rsidR="0075777C" w:rsidRPr="00DB5599" w:rsidRDefault="0075777C" w:rsidP="00DB5599">
            <w:pPr>
              <w:pStyle w:val="Tabletext"/>
              <w:jc w:val="center"/>
              <w:rPr>
                <w:b/>
              </w:rPr>
            </w:pPr>
            <w:r w:rsidRPr="00DB5599">
              <w:rPr>
                <w:b/>
              </w:rPr>
              <w:t>ERA</w:t>
            </w:r>
          </w:p>
        </w:tc>
        <w:tc>
          <w:tcPr>
            <w:tcW w:w="2268" w:type="dxa"/>
            <w:vMerge/>
            <w:shd w:val="clear" w:color="auto" w:fill="BFBFBF" w:themeFill="background1" w:themeFillShade="BF"/>
          </w:tcPr>
          <w:p w:rsidR="0075777C" w:rsidRPr="00822C52" w:rsidRDefault="0075777C" w:rsidP="00DB5599">
            <w:pPr>
              <w:pStyle w:val="Tabletext"/>
            </w:pPr>
          </w:p>
        </w:tc>
      </w:tr>
      <w:tr w:rsidR="0075777C" w:rsidRPr="00822C52" w:rsidTr="00DB5599">
        <w:trPr>
          <w:trHeight w:val="70"/>
        </w:trPr>
        <w:tc>
          <w:tcPr>
            <w:tcW w:w="1696" w:type="dxa"/>
            <w:vMerge w:val="restart"/>
          </w:tcPr>
          <w:p w:rsidR="0075777C" w:rsidRDefault="0075777C" w:rsidP="00DB5599">
            <w:pPr>
              <w:pStyle w:val="Tabletext"/>
              <w:rPr>
                <w:rFonts w:cs="Tahoma"/>
              </w:rPr>
            </w:pPr>
            <w:r w:rsidRPr="00822C52">
              <w:rPr>
                <w:rFonts w:cs="Tahoma"/>
              </w:rPr>
              <w:t>PATENT-1</w:t>
            </w:r>
            <w:r w:rsidRPr="00817DE4">
              <w:rPr>
                <w:rFonts w:cs="Tahoma"/>
                <w:vertAlign w:val="superscript"/>
              </w:rPr>
              <w:t>a</w:t>
            </w:r>
            <w:r w:rsidRPr="00822C52">
              <w:rPr>
                <w:rFonts w:cs="Tahoma"/>
              </w:rPr>
              <w:t xml:space="preserve"> CSR</w:t>
            </w:r>
          </w:p>
          <w:p w:rsidR="00E35EDB" w:rsidRPr="00E35EDB" w:rsidRDefault="00E35EDB" w:rsidP="00DB5599">
            <w:pPr>
              <w:pStyle w:val="Tabletext"/>
              <w:rPr>
                <w:rFonts w:cs="Tahoma"/>
              </w:rPr>
            </w:pPr>
            <w:r w:rsidRPr="00E35EDB">
              <w:t>Riociguat</w:t>
            </w:r>
          </w:p>
        </w:tc>
        <w:tc>
          <w:tcPr>
            <w:tcW w:w="1701" w:type="dxa"/>
          </w:tcPr>
          <w:p w:rsidR="0075777C" w:rsidRPr="00822C52" w:rsidRDefault="0075777C" w:rsidP="00DB5599">
            <w:pPr>
              <w:pStyle w:val="Tabletext"/>
              <w:rPr>
                <w:rFonts w:cs="Tahoma"/>
              </w:rPr>
            </w:pPr>
            <w:r w:rsidRPr="00822C52">
              <w:rPr>
                <w:rFonts w:cs="Tahoma"/>
              </w:rPr>
              <w:t>Improved</w:t>
            </w:r>
          </w:p>
        </w:tc>
        <w:tc>
          <w:tcPr>
            <w:tcW w:w="1985" w:type="dxa"/>
            <w:shd w:val="clear" w:color="auto" w:fill="auto"/>
          </w:tcPr>
          <w:p w:rsidR="0075777C" w:rsidRPr="00A17B9D" w:rsidRDefault="00A17B9D" w:rsidP="00DB5599">
            <w:pPr>
              <w:pStyle w:val="Tabletext"/>
              <w:jc w:val="center"/>
              <w:rPr>
                <w:rFonts w:cs="Tahoma"/>
                <w:highlight w:val="black"/>
              </w:rPr>
            </w:pPr>
            <w:r>
              <w:rPr>
                <w:rFonts w:cs="Tahoma"/>
                <w:noProof/>
                <w:color w:val="000000"/>
                <w:highlight w:val="black"/>
              </w:rPr>
              <w:t>''''''''''''' ''''''''''''''</w:t>
            </w:r>
          </w:p>
        </w:tc>
        <w:tc>
          <w:tcPr>
            <w:tcW w:w="1984" w:type="dxa"/>
            <w:shd w:val="clear" w:color="auto" w:fill="auto"/>
          </w:tcPr>
          <w:p w:rsidR="0075777C" w:rsidRPr="00A17B9D" w:rsidRDefault="00A17B9D" w:rsidP="00DB5599">
            <w:pPr>
              <w:pStyle w:val="Tabletext"/>
              <w:jc w:val="center"/>
              <w:rPr>
                <w:rFonts w:cs="Tahoma"/>
                <w:highlight w:val="black"/>
              </w:rPr>
            </w:pPr>
            <w:r>
              <w:rPr>
                <w:rFonts w:cs="Tahoma"/>
                <w:noProof/>
                <w:color w:val="000000"/>
                <w:highlight w:val="black"/>
              </w:rPr>
              <w:t>'''''''''' '''''''''''''''</w:t>
            </w:r>
          </w:p>
        </w:tc>
        <w:tc>
          <w:tcPr>
            <w:tcW w:w="2268" w:type="dxa"/>
            <w:shd w:val="clear" w:color="auto" w:fill="auto"/>
          </w:tcPr>
          <w:p w:rsidR="0075777C" w:rsidRPr="00A17B9D" w:rsidRDefault="00A17B9D" w:rsidP="00DB5599">
            <w:pPr>
              <w:pStyle w:val="Tabletext"/>
              <w:rPr>
                <w:rFonts w:cs="Tahoma"/>
                <w:highlight w:val="black"/>
              </w:rPr>
            </w:pPr>
            <w:r>
              <w:rPr>
                <w:rFonts w:cs="Tahoma"/>
                <w:noProof/>
                <w:color w:val="000000"/>
                <w:highlight w:val="black"/>
              </w:rPr>
              <w:t>''''''''''' ''''''''''''''' '''''''''''</w:t>
            </w:r>
          </w:p>
        </w:tc>
      </w:tr>
      <w:tr w:rsidR="0075777C" w:rsidRPr="00822C52" w:rsidTr="00DB5599">
        <w:trPr>
          <w:trHeight w:val="70"/>
        </w:trPr>
        <w:tc>
          <w:tcPr>
            <w:tcW w:w="1696" w:type="dxa"/>
            <w:vMerge/>
          </w:tcPr>
          <w:p w:rsidR="0075777C" w:rsidRPr="00822C52" w:rsidRDefault="0075777C" w:rsidP="00DB5599">
            <w:pPr>
              <w:pStyle w:val="Tabletext"/>
              <w:rPr>
                <w:rFonts w:cs="Tahoma"/>
              </w:rPr>
            </w:pPr>
          </w:p>
        </w:tc>
        <w:tc>
          <w:tcPr>
            <w:tcW w:w="1701" w:type="dxa"/>
          </w:tcPr>
          <w:p w:rsidR="0075777C" w:rsidRPr="00822C52" w:rsidRDefault="0075777C" w:rsidP="00DB5599">
            <w:pPr>
              <w:pStyle w:val="Tabletext"/>
              <w:rPr>
                <w:rFonts w:cs="Tahoma"/>
              </w:rPr>
            </w:pPr>
            <w:r w:rsidRPr="00822C52">
              <w:rPr>
                <w:rFonts w:cs="Tahoma"/>
              </w:rPr>
              <w:t>Worsened</w:t>
            </w:r>
          </w:p>
        </w:tc>
        <w:tc>
          <w:tcPr>
            <w:tcW w:w="1985" w:type="dxa"/>
            <w:shd w:val="clear" w:color="auto" w:fill="auto"/>
          </w:tcPr>
          <w:p w:rsidR="0075777C" w:rsidRPr="00A17B9D" w:rsidRDefault="00A17B9D" w:rsidP="00DB5599">
            <w:pPr>
              <w:pStyle w:val="Tabletext"/>
              <w:jc w:val="center"/>
              <w:rPr>
                <w:rFonts w:cs="Tahoma"/>
                <w:highlight w:val="black"/>
              </w:rPr>
            </w:pPr>
            <w:r>
              <w:rPr>
                <w:rFonts w:cs="Tahoma"/>
                <w:noProof/>
                <w:color w:val="000000"/>
                <w:highlight w:val="black"/>
              </w:rPr>
              <w:t>''''''''''' '''''''''''</w:t>
            </w:r>
          </w:p>
        </w:tc>
        <w:tc>
          <w:tcPr>
            <w:tcW w:w="1984" w:type="dxa"/>
            <w:shd w:val="clear" w:color="auto" w:fill="auto"/>
          </w:tcPr>
          <w:p w:rsidR="0075777C" w:rsidRPr="00A17B9D" w:rsidRDefault="00A17B9D" w:rsidP="00DB5599">
            <w:pPr>
              <w:pStyle w:val="Tabletext"/>
              <w:jc w:val="center"/>
              <w:rPr>
                <w:rFonts w:cs="Tahoma"/>
                <w:highlight w:val="black"/>
              </w:rPr>
            </w:pPr>
            <w:r>
              <w:rPr>
                <w:rFonts w:cs="Tahoma"/>
                <w:noProof/>
                <w:color w:val="000000"/>
                <w:highlight w:val="black"/>
              </w:rPr>
              <w:t>''''''''''' '''''''''''</w:t>
            </w:r>
          </w:p>
        </w:tc>
        <w:tc>
          <w:tcPr>
            <w:tcW w:w="2268" w:type="dxa"/>
            <w:shd w:val="clear" w:color="auto" w:fill="auto"/>
          </w:tcPr>
          <w:p w:rsidR="0075777C" w:rsidRPr="00A17B9D" w:rsidRDefault="00A17B9D" w:rsidP="00DB5599">
            <w:pPr>
              <w:pStyle w:val="Tabletext"/>
              <w:rPr>
                <w:rFonts w:cs="Tahoma"/>
                <w:highlight w:val="black"/>
              </w:rPr>
            </w:pPr>
            <w:r>
              <w:rPr>
                <w:rFonts w:cs="Tahoma"/>
                <w:noProof/>
                <w:color w:val="000000"/>
                <w:highlight w:val="black"/>
              </w:rPr>
              <w:t>'''' ''''''''' '''''''''''''''''''''''''''</w:t>
            </w:r>
          </w:p>
        </w:tc>
      </w:tr>
    </w:tbl>
    <w:p w:rsidR="0075777C" w:rsidRDefault="0075777C" w:rsidP="00DB5599">
      <w:pPr>
        <w:pStyle w:val="Tablenote"/>
      </w:pPr>
      <w:r w:rsidRPr="00817DE4">
        <w:rPr>
          <w:vertAlign w:val="superscript"/>
        </w:rPr>
        <w:t>a</w:t>
      </w:r>
      <w:r>
        <w:t xml:space="preserve"> 14% of patients had background </w:t>
      </w:r>
      <w:r w:rsidR="0017012F">
        <w:t>prostanoid</w:t>
      </w:r>
      <w:r>
        <w:t xml:space="preserve"> therapy</w:t>
      </w:r>
    </w:p>
    <w:p w:rsidR="0075777C" w:rsidRPr="00822C52" w:rsidRDefault="0075777C" w:rsidP="00DB5599">
      <w:pPr>
        <w:pStyle w:val="Tablenote"/>
      </w:pPr>
      <w:r w:rsidRPr="00822C52">
        <w:t xml:space="preserve">CI = confidence interval; CSR = clinical study report; ERA = endothelin receptor antagonist; FC = functional class; n = number of </w:t>
      </w:r>
      <w:r w:rsidR="00DC16A3">
        <w:t xml:space="preserve">patients with </w:t>
      </w:r>
      <w:r w:rsidRPr="00822C52">
        <w:t xml:space="preserve">events; N = number of patients; PAH = pulmonary arterial hypertension; RR = relative risk; </w:t>
      </w:r>
      <w:r w:rsidR="009B47AA" w:rsidRPr="009B47AA">
        <w:t xml:space="preserve">sGC = soluble guanylate cyclase stimulator; </w:t>
      </w:r>
      <w:r w:rsidRPr="00822C52">
        <w:t>WHO = World Health Organization</w:t>
      </w:r>
    </w:p>
    <w:p w:rsidR="0075777C" w:rsidRPr="00822C52" w:rsidRDefault="00761752" w:rsidP="0075777C">
      <w:pPr>
        <w:pStyle w:val="Heading5"/>
      </w:pPr>
      <w:r>
        <w:t>e</w:t>
      </w:r>
      <w:r w:rsidR="002E4833">
        <w:t>.</w:t>
      </w:r>
      <w:r>
        <w:tab/>
      </w:r>
      <w:r w:rsidR="0075777C" w:rsidRPr="00822C52">
        <w:t xml:space="preserve">Change in 6MWD from baseline </w:t>
      </w:r>
    </w:p>
    <w:p w:rsidR="0075777C" w:rsidRPr="00822C52" w:rsidRDefault="00761752" w:rsidP="0077344D">
      <w:pPr>
        <w:pStyle w:val="Heading6"/>
      </w:pPr>
      <w:r>
        <w:t>e</w:t>
      </w:r>
      <w:r w:rsidR="0075777C" w:rsidRPr="00822C52">
        <w:t>.i</w:t>
      </w:r>
      <w:r w:rsidR="0075777C" w:rsidRPr="00822C52">
        <w:tab/>
        <w:t>PAH patients, irrespective of disease severity or aetiology</w:t>
      </w:r>
    </w:p>
    <w:p w:rsidR="0075777C" w:rsidRPr="00822C52" w:rsidRDefault="0075777C" w:rsidP="00FB0A80">
      <w:pPr>
        <w:spacing w:before="0" w:line="240" w:lineRule="auto"/>
      </w:pPr>
      <w:r>
        <w:t xml:space="preserve">There was </w:t>
      </w:r>
      <w:r w:rsidR="00A17B9D">
        <w:rPr>
          <w:noProof/>
          <w:color w:val="000000"/>
          <w:highlight w:val="black"/>
        </w:rPr>
        <w:t xml:space="preserve">'' '''''''''''' ''''''''''''''''''''''' </w:t>
      </w:r>
      <w:r>
        <w:t>in the 6MWD for patients receiving combination therapy (</w:t>
      </w:r>
      <w:r w:rsidR="00FB0A80">
        <w:t>Table 4.94</w:t>
      </w:r>
      <w:r>
        <w:t xml:space="preserve">), whereas the 6MWD for patients receiving monotherapy </w:t>
      </w:r>
      <w:r w:rsidR="00A17B9D">
        <w:rPr>
          <w:noProof/>
          <w:color w:val="000000"/>
          <w:highlight w:val="black"/>
        </w:rPr>
        <w:t>'''''' '''''''' '''''''''''''''</w:t>
      </w:r>
      <w:r>
        <w:t xml:space="preserve">. However, the improvement was </w:t>
      </w:r>
      <w:r w:rsidR="00A17B9D">
        <w:rPr>
          <w:noProof/>
          <w:color w:val="000000"/>
          <w:highlight w:val="black"/>
        </w:rPr>
        <w:t>'''''' ''''''''''''''' '''''''''''''''''' '''''''' '''''''''' ''''' ''''</w:t>
      </w:r>
      <w:r>
        <w:t>, see Section 4.</w:t>
      </w:r>
      <w:r w:rsidR="0002253F">
        <w:t>3.5</w:t>
      </w:r>
      <w:r>
        <w:t>).</w:t>
      </w:r>
    </w:p>
    <w:p w:rsidR="0075777C" w:rsidRDefault="00272F8F" w:rsidP="00BC5A2B">
      <w:pPr>
        <w:pStyle w:val="Caption"/>
      </w:pPr>
      <w:bookmarkStart w:id="277" w:name="_Ref504657488"/>
      <w:bookmarkStart w:id="278" w:name="_Toc512855498"/>
      <w:r>
        <w:t>Table 4.</w:t>
      </w:r>
      <w:r w:rsidR="00AA722D">
        <w:rPr>
          <w:noProof/>
        </w:rPr>
        <w:t>94</w:t>
      </w:r>
      <w:bookmarkEnd w:id="277"/>
      <w:r w:rsidR="00DB5599">
        <w:tab/>
      </w:r>
      <w:r w:rsidR="0075777C" w:rsidRPr="00DD7790">
        <w:t xml:space="preserve">The effectiveness of </w:t>
      </w:r>
      <w:r w:rsidR="00E35EDB">
        <w:t xml:space="preserve">a </w:t>
      </w:r>
      <w:r w:rsidR="00E35EDB" w:rsidRPr="00E35EDB">
        <w:t xml:space="preserve">sGC stimulator </w:t>
      </w:r>
      <w:r w:rsidR="007E59EC">
        <w:t>in addition to</w:t>
      </w:r>
      <w:r w:rsidR="007E59EC" w:rsidRPr="00DD7790">
        <w:t xml:space="preserve"> </w:t>
      </w:r>
      <w:r w:rsidR="007E59EC">
        <w:t xml:space="preserve">an </w:t>
      </w:r>
      <w:r w:rsidR="007E59EC" w:rsidRPr="00DD7790">
        <w:t xml:space="preserve">ERA </w:t>
      </w:r>
      <w:r w:rsidR="007E59EC" w:rsidRPr="00AA5E50">
        <w:t xml:space="preserve">compared </w:t>
      </w:r>
      <w:r w:rsidR="007E59EC">
        <w:t>with</w:t>
      </w:r>
      <w:r w:rsidR="007E59EC" w:rsidRPr="00DD7790">
        <w:t xml:space="preserve"> ERA</w:t>
      </w:r>
      <w:r w:rsidR="007E59EC">
        <w:t xml:space="preserve"> monotherapy</w:t>
      </w:r>
      <w:r w:rsidR="007E59EC" w:rsidRPr="00DD7790">
        <w:t xml:space="preserve"> </w:t>
      </w:r>
      <w:r w:rsidR="0075777C" w:rsidRPr="00DD7790">
        <w:t>in improving 6MWD in all PAH patients</w:t>
      </w:r>
      <w:bookmarkEnd w:id="278"/>
    </w:p>
    <w:tbl>
      <w:tblPr>
        <w:tblStyle w:val="TableGrid"/>
        <w:tblW w:w="0" w:type="auto"/>
        <w:tblLook w:val="04A0" w:firstRow="1" w:lastRow="0" w:firstColumn="1" w:lastColumn="0" w:noHBand="0" w:noVBand="1"/>
        <w:tblCaption w:val="The effectiveness of a sGC stimulator in addition to an ERA compared with ERA monotherapy in improving 6MWD in all PAH patients"/>
      </w:tblPr>
      <w:tblGrid>
        <w:gridCol w:w="1271"/>
        <w:gridCol w:w="851"/>
        <w:gridCol w:w="1701"/>
        <w:gridCol w:w="1275"/>
        <w:gridCol w:w="1843"/>
        <w:gridCol w:w="1276"/>
        <w:gridCol w:w="1276"/>
      </w:tblGrid>
      <w:tr w:rsidR="0075777C" w:rsidTr="009B47AA">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75777C" w:rsidRDefault="0075777C" w:rsidP="00DB5599">
            <w:pPr>
              <w:pStyle w:val="Tabletext"/>
              <w:rPr>
                <w:b/>
              </w:rPr>
            </w:pPr>
            <w:r w:rsidRPr="00242BA3">
              <w:rPr>
                <w:b/>
              </w:rPr>
              <w:t>Study ID</w:t>
            </w:r>
          </w:p>
          <w:p w:rsidR="00E35EDB" w:rsidRPr="00242BA3" w:rsidRDefault="00E35EDB" w:rsidP="00DB5599">
            <w:pPr>
              <w:pStyle w:val="Tabletext"/>
              <w:rPr>
                <w:b/>
              </w:rPr>
            </w:pPr>
            <w:r w:rsidRPr="00E35EDB">
              <w:rPr>
                <w:b/>
              </w:rPr>
              <w:t>sGC stimulator</w:t>
            </w:r>
          </w:p>
        </w:tc>
        <w:tc>
          <w:tcPr>
            <w:tcW w:w="851" w:type="dxa"/>
            <w:vMerge w:val="restart"/>
            <w:shd w:val="clear" w:color="auto" w:fill="BFBFBF" w:themeFill="background1" w:themeFillShade="BF"/>
          </w:tcPr>
          <w:p w:rsidR="0075777C" w:rsidRPr="00242BA3" w:rsidRDefault="0075777C" w:rsidP="00DB5599">
            <w:pPr>
              <w:pStyle w:val="Tabletext"/>
              <w:rPr>
                <w:b/>
              </w:rPr>
            </w:pPr>
            <w:r w:rsidRPr="00242BA3">
              <w:rPr>
                <w:b/>
              </w:rPr>
              <w:t>N</w:t>
            </w:r>
          </w:p>
          <w:p w:rsidR="0075777C" w:rsidRPr="00242BA3" w:rsidRDefault="0075777C" w:rsidP="00DB5599">
            <w:pPr>
              <w:pStyle w:val="Tabletext"/>
              <w:rPr>
                <w:b/>
              </w:rPr>
            </w:pPr>
            <w:r w:rsidRPr="00242BA3">
              <w:rPr>
                <w:b/>
              </w:rPr>
              <w:t>Time point</w:t>
            </w:r>
          </w:p>
        </w:tc>
        <w:tc>
          <w:tcPr>
            <w:tcW w:w="2976" w:type="dxa"/>
            <w:gridSpan w:val="2"/>
            <w:shd w:val="clear" w:color="auto" w:fill="BFBFBF" w:themeFill="background1" w:themeFillShade="BF"/>
          </w:tcPr>
          <w:p w:rsidR="0075777C" w:rsidRPr="00242BA3" w:rsidRDefault="00E35EDB" w:rsidP="00E35EDB">
            <w:pPr>
              <w:pStyle w:val="Tabletext"/>
              <w:jc w:val="center"/>
              <w:rPr>
                <w:b/>
              </w:rPr>
            </w:pPr>
            <w:r>
              <w:rPr>
                <w:b/>
              </w:rPr>
              <w:t>M</w:t>
            </w:r>
            <w:r w:rsidRPr="00242BA3">
              <w:rPr>
                <w:b/>
              </w:rPr>
              <w:t xml:space="preserve">ean ± SD </w:t>
            </w:r>
            <w:r>
              <w:rPr>
                <w:b/>
              </w:rPr>
              <w:t>b</w:t>
            </w:r>
            <w:r w:rsidR="0075777C" w:rsidRPr="00242BA3">
              <w:rPr>
                <w:b/>
              </w:rPr>
              <w:t>aseline</w:t>
            </w:r>
            <w:r>
              <w:rPr>
                <w:b/>
              </w:rPr>
              <w:t xml:space="preserve"> 6MWD</w:t>
            </w:r>
            <w:r w:rsidR="0075777C" w:rsidRPr="00242BA3">
              <w:rPr>
                <w:b/>
              </w:rPr>
              <w:t>, meters</w:t>
            </w:r>
          </w:p>
        </w:tc>
        <w:tc>
          <w:tcPr>
            <w:tcW w:w="3119" w:type="dxa"/>
            <w:gridSpan w:val="2"/>
            <w:shd w:val="clear" w:color="auto" w:fill="BFBFBF" w:themeFill="background1" w:themeFillShade="BF"/>
          </w:tcPr>
          <w:p w:rsidR="0075777C" w:rsidRPr="00242BA3" w:rsidRDefault="0075777C" w:rsidP="00E35EDB">
            <w:pPr>
              <w:pStyle w:val="Tabletext"/>
              <w:jc w:val="center"/>
              <w:rPr>
                <w:b/>
              </w:rPr>
            </w:pPr>
            <w:r w:rsidRPr="00242BA3">
              <w:rPr>
                <w:b/>
              </w:rPr>
              <w:t>Mean</w:t>
            </w:r>
            <w:r w:rsidR="00E35EDB">
              <w:rPr>
                <w:b/>
              </w:rPr>
              <w:t xml:space="preserve"> </w:t>
            </w:r>
            <w:r w:rsidR="00E35EDB" w:rsidRPr="00242BA3">
              <w:rPr>
                <w:b/>
              </w:rPr>
              <w:t>± SD</w:t>
            </w:r>
            <w:r w:rsidRPr="00242BA3">
              <w:rPr>
                <w:b/>
              </w:rPr>
              <w:t xml:space="preserve"> change from baseline, meters</w:t>
            </w:r>
          </w:p>
        </w:tc>
        <w:tc>
          <w:tcPr>
            <w:tcW w:w="1276" w:type="dxa"/>
            <w:vMerge w:val="restart"/>
            <w:shd w:val="clear" w:color="auto" w:fill="BFBFBF" w:themeFill="background1" w:themeFillShade="BF"/>
          </w:tcPr>
          <w:p w:rsidR="0075777C" w:rsidRPr="00242BA3" w:rsidRDefault="0075777C" w:rsidP="00DB5599">
            <w:pPr>
              <w:pStyle w:val="Tabletext"/>
              <w:rPr>
                <w:b/>
              </w:rPr>
            </w:pPr>
            <w:r w:rsidRPr="00242BA3">
              <w:rPr>
                <w:b/>
              </w:rPr>
              <w:t>Mean difference  (95% CI), meters</w:t>
            </w:r>
          </w:p>
        </w:tc>
      </w:tr>
      <w:tr w:rsidR="0075777C" w:rsidTr="009B47AA">
        <w:tc>
          <w:tcPr>
            <w:tcW w:w="1271" w:type="dxa"/>
            <w:vMerge/>
          </w:tcPr>
          <w:p w:rsidR="0075777C" w:rsidRDefault="0075777C" w:rsidP="00DB5599">
            <w:pPr>
              <w:pStyle w:val="Tabletext"/>
            </w:pPr>
          </w:p>
        </w:tc>
        <w:tc>
          <w:tcPr>
            <w:tcW w:w="851" w:type="dxa"/>
            <w:vMerge/>
          </w:tcPr>
          <w:p w:rsidR="0075777C" w:rsidRDefault="0075777C" w:rsidP="00DB5599">
            <w:pPr>
              <w:pStyle w:val="Tabletext"/>
            </w:pPr>
          </w:p>
        </w:tc>
        <w:tc>
          <w:tcPr>
            <w:tcW w:w="1701" w:type="dxa"/>
            <w:shd w:val="clear" w:color="auto" w:fill="BFBFBF" w:themeFill="background1" w:themeFillShade="BF"/>
          </w:tcPr>
          <w:p w:rsidR="0075777C" w:rsidRPr="00242BA3" w:rsidRDefault="00E35EDB" w:rsidP="00E35EDB">
            <w:pPr>
              <w:pStyle w:val="Tabletext"/>
              <w:jc w:val="center"/>
              <w:rPr>
                <w:b/>
              </w:rPr>
            </w:pPr>
            <w:r w:rsidRPr="00E35EDB">
              <w:rPr>
                <w:b/>
              </w:rPr>
              <w:t xml:space="preserve">sGC stimulator </w:t>
            </w:r>
            <w:r w:rsidR="0075777C" w:rsidRPr="00242BA3">
              <w:rPr>
                <w:b/>
              </w:rPr>
              <w:t>+ ERA</w:t>
            </w:r>
          </w:p>
        </w:tc>
        <w:tc>
          <w:tcPr>
            <w:tcW w:w="1275" w:type="dxa"/>
            <w:shd w:val="clear" w:color="auto" w:fill="BFBFBF" w:themeFill="background1" w:themeFillShade="BF"/>
          </w:tcPr>
          <w:p w:rsidR="0075777C" w:rsidRPr="00242BA3" w:rsidRDefault="0075777C" w:rsidP="00E35EDB">
            <w:pPr>
              <w:pStyle w:val="Tabletext"/>
              <w:jc w:val="center"/>
              <w:rPr>
                <w:b/>
              </w:rPr>
            </w:pPr>
            <w:r w:rsidRPr="00242BA3">
              <w:rPr>
                <w:b/>
              </w:rPr>
              <w:t>ERA</w:t>
            </w:r>
          </w:p>
        </w:tc>
        <w:tc>
          <w:tcPr>
            <w:tcW w:w="1843" w:type="dxa"/>
            <w:shd w:val="clear" w:color="auto" w:fill="BFBFBF" w:themeFill="background1" w:themeFillShade="BF"/>
          </w:tcPr>
          <w:p w:rsidR="0075777C" w:rsidRPr="00242BA3" w:rsidRDefault="00E35EDB" w:rsidP="00E35EDB">
            <w:pPr>
              <w:pStyle w:val="Tabletext"/>
              <w:jc w:val="center"/>
              <w:rPr>
                <w:b/>
              </w:rPr>
            </w:pPr>
            <w:r w:rsidRPr="00E35EDB">
              <w:rPr>
                <w:b/>
              </w:rPr>
              <w:t xml:space="preserve">sGC stimulator </w:t>
            </w:r>
            <w:r w:rsidR="0075777C" w:rsidRPr="00242BA3">
              <w:rPr>
                <w:b/>
              </w:rPr>
              <w:t>+ ERA</w:t>
            </w:r>
          </w:p>
        </w:tc>
        <w:tc>
          <w:tcPr>
            <w:tcW w:w="1276" w:type="dxa"/>
            <w:shd w:val="clear" w:color="auto" w:fill="BFBFBF" w:themeFill="background1" w:themeFillShade="BF"/>
          </w:tcPr>
          <w:p w:rsidR="0075777C" w:rsidRPr="00242BA3" w:rsidRDefault="0075777C" w:rsidP="00E35EDB">
            <w:pPr>
              <w:pStyle w:val="Tabletext"/>
              <w:jc w:val="center"/>
              <w:rPr>
                <w:b/>
              </w:rPr>
            </w:pPr>
            <w:r w:rsidRPr="00242BA3">
              <w:rPr>
                <w:b/>
              </w:rPr>
              <w:t>ERA</w:t>
            </w:r>
          </w:p>
        </w:tc>
        <w:tc>
          <w:tcPr>
            <w:tcW w:w="1276" w:type="dxa"/>
            <w:vMerge/>
          </w:tcPr>
          <w:p w:rsidR="0075777C" w:rsidRDefault="0075777C" w:rsidP="00DB5599">
            <w:pPr>
              <w:pStyle w:val="Tabletext"/>
            </w:pPr>
          </w:p>
        </w:tc>
      </w:tr>
      <w:tr w:rsidR="0075777C" w:rsidTr="009B47AA">
        <w:tc>
          <w:tcPr>
            <w:tcW w:w="1271" w:type="dxa"/>
          </w:tcPr>
          <w:p w:rsidR="0075777C" w:rsidRDefault="0075777C" w:rsidP="00DB5599">
            <w:pPr>
              <w:pStyle w:val="Tabletext"/>
              <w:rPr>
                <w:rFonts w:cs="Tahoma"/>
              </w:rPr>
            </w:pPr>
            <w:r w:rsidRPr="00822C52">
              <w:rPr>
                <w:rFonts w:cs="Tahoma"/>
              </w:rPr>
              <w:t>PATENT-1 CSR</w:t>
            </w:r>
          </w:p>
          <w:p w:rsidR="00E35EDB" w:rsidRPr="00E35EDB" w:rsidRDefault="00E35EDB" w:rsidP="00DB5599">
            <w:pPr>
              <w:pStyle w:val="Tabletext"/>
            </w:pPr>
            <w:r w:rsidRPr="00E35EDB">
              <w:t>Riociguat</w:t>
            </w:r>
          </w:p>
        </w:tc>
        <w:tc>
          <w:tcPr>
            <w:tcW w:w="851" w:type="dxa"/>
          </w:tcPr>
          <w:p w:rsidR="0075777C" w:rsidRPr="00822C52" w:rsidRDefault="0075777C" w:rsidP="00DB5599">
            <w:pPr>
              <w:pStyle w:val="Tabletext"/>
              <w:rPr>
                <w:rFonts w:cs="Tahoma"/>
              </w:rPr>
            </w:pPr>
            <w:r w:rsidRPr="00822C52">
              <w:rPr>
                <w:rFonts w:cs="Tahoma"/>
              </w:rPr>
              <w:t>N=167</w:t>
            </w:r>
          </w:p>
          <w:p w:rsidR="0075777C" w:rsidRDefault="0075777C" w:rsidP="00DB5599">
            <w:pPr>
              <w:pStyle w:val="Tabletext"/>
            </w:pPr>
            <w:r w:rsidRPr="00822C52">
              <w:rPr>
                <w:rFonts w:cs="Tahoma"/>
              </w:rPr>
              <w:t>Week 12</w:t>
            </w:r>
          </w:p>
        </w:tc>
        <w:tc>
          <w:tcPr>
            <w:tcW w:w="1701" w:type="dxa"/>
          </w:tcPr>
          <w:p w:rsidR="0075777C" w:rsidRPr="00A17B9D" w:rsidRDefault="00A17B9D" w:rsidP="00E35EDB">
            <w:pPr>
              <w:pStyle w:val="Tabletext"/>
              <w:jc w:val="center"/>
              <w:rPr>
                <w:highlight w:val="black"/>
              </w:rPr>
            </w:pPr>
            <w:r>
              <w:rPr>
                <w:rFonts w:cs="Tahoma"/>
                <w:noProof/>
                <w:color w:val="000000"/>
                <w:highlight w:val="black"/>
              </w:rPr>
              <w:t>'''''''''''''' ''' '''''''''''</w:t>
            </w:r>
          </w:p>
        </w:tc>
        <w:tc>
          <w:tcPr>
            <w:tcW w:w="1275" w:type="dxa"/>
          </w:tcPr>
          <w:p w:rsidR="0075777C" w:rsidRPr="00A17B9D" w:rsidRDefault="00A17B9D" w:rsidP="00E35EDB">
            <w:pPr>
              <w:pStyle w:val="Tabletext"/>
              <w:jc w:val="center"/>
              <w:rPr>
                <w:highlight w:val="black"/>
              </w:rPr>
            </w:pPr>
            <w:r>
              <w:rPr>
                <w:rFonts w:cs="Tahoma"/>
                <w:noProof/>
                <w:color w:val="000000"/>
                <w:highlight w:val="black"/>
              </w:rPr>
              <w:t>'''''''''''''' ''' '''''''''''</w:t>
            </w:r>
          </w:p>
        </w:tc>
        <w:tc>
          <w:tcPr>
            <w:tcW w:w="1843" w:type="dxa"/>
          </w:tcPr>
          <w:p w:rsidR="0075777C" w:rsidRPr="00A17B9D" w:rsidRDefault="00A17B9D" w:rsidP="00E35EDB">
            <w:pPr>
              <w:pStyle w:val="Tabletext"/>
              <w:jc w:val="center"/>
              <w:rPr>
                <w:highlight w:val="black"/>
              </w:rPr>
            </w:pPr>
            <w:r>
              <w:rPr>
                <w:rFonts w:cs="Tahoma"/>
                <w:noProof/>
                <w:color w:val="000000"/>
                <w:highlight w:val="black"/>
              </w:rPr>
              <w:t>'''''''''''' ''' ''''''''''</w:t>
            </w:r>
          </w:p>
        </w:tc>
        <w:tc>
          <w:tcPr>
            <w:tcW w:w="1276" w:type="dxa"/>
          </w:tcPr>
          <w:p w:rsidR="0075777C" w:rsidRPr="00A17B9D" w:rsidRDefault="00A17B9D" w:rsidP="00E35EDB">
            <w:pPr>
              <w:pStyle w:val="Tabletext"/>
              <w:jc w:val="center"/>
              <w:rPr>
                <w:highlight w:val="black"/>
              </w:rPr>
            </w:pPr>
            <w:r>
              <w:rPr>
                <w:rFonts w:cs="Tahoma"/>
                <w:noProof/>
                <w:color w:val="000000"/>
                <w:highlight w:val="black"/>
              </w:rPr>
              <w:t>'''''''''' ''' '''''''''''</w:t>
            </w:r>
          </w:p>
        </w:tc>
        <w:tc>
          <w:tcPr>
            <w:tcW w:w="1276" w:type="dxa"/>
          </w:tcPr>
          <w:p w:rsidR="0075777C" w:rsidRPr="00A17B9D" w:rsidRDefault="00A17B9D" w:rsidP="00DB5599">
            <w:pPr>
              <w:pStyle w:val="Tabletext"/>
              <w:rPr>
                <w:highlight w:val="black"/>
              </w:rPr>
            </w:pPr>
            <w:r>
              <w:rPr>
                <w:rFonts w:cs="Tahoma"/>
                <w:noProof/>
                <w:color w:val="000000"/>
                <w:highlight w:val="black"/>
              </w:rPr>
              <w:t>'''''''''' '''''''''''' '''''''''''</w:t>
            </w:r>
          </w:p>
        </w:tc>
      </w:tr>
    </w:tbl>
    <w:p w:rsidR="0075777C" w:rsidRPr="00822C52" w:rsidRDefault="0075777C" w:rsidP="00C41039">
      <w:pPr>
        <w:pStyle w:val="Tablenote"/>
      </w:pPr>
      <w:r w:rsidRPr="00822C52">
        <w:t xml:space="preserve">6MWD = 6-minute </w:t>
      </w:r>
      <w:r w:rsidR="0082368E">
        <w:t>walk distance</w:t>
      </w:r>
      <w:r w:rsidRPr="00822C52">
        <w:t>; CI = confidence interval; CSR = clinical study report; ERA = endothelin receptor antagonist; N = number of patients; PAH = pulmonary arterial hypertension</w:t>
      </w:r>
      <w:r w:rsidR="009B47AA">
        <w:t xml:space="preserve">; </w:t>
      </w:r>
      <w:r w:rsidR="009B47AA" w:rsidRPr="009B47AA">
        <w:t>sGC = solub</w:t>
      </w:r>
      <w:r w:rsidR="00074B5F">
        <w:t>le guanylate cyclase stimulator</w:t>
      </w:r>
    </w:p>
    <w:p w:rsidR="0075777C" w:rsidRPr="00822C52" w:rsidRDefault="00761752" w:rsidP="0077344D">
      <w:pPr>
        <w:pStyle w:val="Heading6"/>
      </w:pPr>
      <w:r>
        <w:t>e</w:t>
      </w:r>
      <w:r w:rsidR="0075777C" w:rsidRPr="00822C52">
        <w:t>.ii</w:t>
      </w:r>
      <w:r w:rsidR="0075777C" w:rsidRPr="00822C52">
        <w:tab/>
        <w:t>PAH patients with FC III or IV</w:t>
      </w:r>
    </w:p>
    <w:p w:rsidR="0075777C" w:rsidRPr="00822C52" w:rsidRDefault="0075777C" w:rsidP="000D6945">
      <w:pPr>
        <w:spacing w:before="0" w:line="240" w:lineRule="auto"/>
      </w:pPr>
      <w:r>
        <w:t xml:space="preserve">There was </w:t>
      </w:r>
      <w:r w:rsidR="00A17B9D">
        <w:rPr>
          <w:noProof/>
          <w:color w:val="000000"/>
          <w:highlight w:val="black"/>
        </w:rPr>
        <w:t>''' '''''''''' ''''''''''''''''''''''' '''' ''''' ''''</w:t>
      </w:r>
      <w:r>
        <w:t xml:space="preserve"> in the 6MWD for patients with WHO FC III/IV PAH receiving combination therapy (</w:t>
      </w:r>
      <w:r w:rsidR="000D6945">
        <w:t>Table 4.95</w:t>
      </w:r>
      <w:r>
        <w:t xml:space="preserve">), and </w:t>
      </w:r>
      <w:r w:rsidR="00A17B9D">
        <w:rPr>
          <w:noProof/>
          <w:color w:val="000000"/>
          <w:highlight w:val="black"/>
        </w:rPr>
        <w:t>''''' ''''''''''''' '''''''''' ''''''''''''''''''' '''' '''''' ''''</w:t>
      </w:r>
      <w:r>
        <w:t xml:space="preserve"> for patients receiving monotherapy. Thus, </w:t>
      </w:r>
      <w:r w:rsidR="00A17B9D">
        <w:rPr>
          <w:noProof/>
          <w:color w:val="000000"/>
          <w:highlight w:val="black"/>
        </w:rPr>
        <w:t>''''''' ''''''''''' '''''''''''''''''''' '''' '''''' ''''</w:t>
      </w:r>
      <w:r>
        <w:t xml:space="preserve"> improvement in 6MWD for patients receiving combination therapy compared to those on monotherapy </w:t>
      </w:r>
      <w:r w:rsidR="00A17B9D">
        <w:rPr>
          <w:noProof/>
          <w:color w:val="000000"/>
          <w:highlight w:val="black"/>
        </w:rPr>
        <w:t>''''''' ''''''''''''''''' ''''''''''''''''''</w:t>
      </w:r>
      <w:r>
        <w:t>.</w:t>
      </w:r>
    </w:p>
    <w:p w:rsidR="0075777C" w:rsidRDefault="00272F8F" w:rsidP="00BC5A2B">
      <w:pPr>
        <w:pStyle w:val="Caption"/>
      </w:pPr>
      <w:bookmarkStart w:id="279" w:name="_Ref504657508"/>
      <w:bookmarkStart w:id="280" w:name="_Toc512855499"/>
      <w:r>
        <w:t>Table 4.</w:t>
      </w:r>
      <w:r w:rsidR="00AA722D">
        <w:rPr>
          <w:noProof/>
        </w:rPr>
        <w:t>95</w:t>
      </w:r>
      <w:bookmarkEnd w:id="279"/>
      <w:r w:rsidR="00C41039">
        <w:tab/>
      </w:r>
      <w:r w:rsidR="0075777C" w:rsidRPr="00DD7790">
        <w:t xml:space="preserve">The effectiveness of </w:t>
      </w:r>
      <w:r w:rsidR="00E35EDB">
        <w:t xml:space="preserve">a </w:t>
      </w:r>
      <w:r w:rsidR="00E35EDB" w:rsidRPr="00E35EDB">
        <w:t xml:space="preserve">sGC stimulator </w:t>
      </w:r>
      <w:r w:rsidR="007E59EC">
        <w:t>in addition to</w:t>
      </w:r>
      <w:r w:rsidR="007E59EC" w:rsidRPr="00DD7790">
        <w:t xml:space="preserve"> </w:t>
      </w:r>
      <w:r w:rsidR="007E59EC">
        <w:t xml:space="preserve">an </w:t>
      </w:r>
      <w:r w:rsidR="007E59EC" w:rsidRPr="00DD7790">
        <w:t xml:space="preserve">ERA </w:t>
      </w:r>
      <w:r w:rsidR="007E59EC" w:rsidRPr="00AA5E50">
        <w:t xml:space="preserve">compared </w:t>
      </w:r>
      <w:r w:rsidR="007E59EC">
        <w:t>with</w:t>
      </w:r>
      <w:r w:rsidR="007E59EC" w:rsidRPr="00DD7790">
        <w:t xml:space="preserve"> ERA</w:t>
      </w:r>
      <w:r w:rsidR="007E59EC">
        <w:t xml:space="preserve"> monotherapy</w:t>
      </w:r>
      <w:r w:rsidR="007E59EC" w:rsidRPr="00DD7790">
        <w:t xml:space="preserve"> </w:t>
      </w:r>
      <w:r w:rsidR="0075777C" w:rsidRPr="00DD7790">
        <w:t>in improving 6MWD in patients with WHO FC III/IV PAH</w:t>
      </w:r>
      <w:bookmarkEnd w:id="280"/>
    </w:p>
    <w:tbl>
      <w:tblPr>
        <w:tblStyle w:val="TableGrid"/>
        <w:tblW w:w="9634" w:type="dxa"/>
        <w:tblLook w:val="04A0" w:firstRow="1" w:lastRow="0" w:firstColumn="1" w:lastColumn="0" w:noHBand="0" w:noVBand="1"/>
        <w:tblCaption w:val="The effectiveness of a sGC stimulator in addition to an ERA compared with ERA monotherapy in improving 6MWD in patients with WHO FC III/IV PAH"/>
      </w:tblPr>
      <w:tblGrid>
        <w:gridCol w:w="1271"/>
        <w:gridCol w:w="992"/>
        <w:gridCol w:w="1701"/>
        <w:gridCol w:w="1205"/>
        <w:gridCol w:w="1772"/>
        <w:gridCol w:w="1276"/>
        <w:gridCol w:w="1417"/>
      </w:tblGrid>
      <w:tr w:rsidR="0075777C" w:rsidTr="00E35EDB">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75777C" w:rsidRDefault="0075777C" w:rsidP="00DB5599">
            <w:pPr>
              <w:pStyle w:val="Tabletext"/>
              <w:rPr>
                <w:b/>
              </w:rPr>
            </w:pPr>
            <w:r w:rsidRPr="00C41039">
              <w:rPr>
                <w:b/>
              </w:rPr>
              <w:t>Study ID</w:t>
            </w:r>
          </w:p>
          <w:p w:rsidR="00E35EDB" w:rsidRPr="00C41039" w:rsidRDefault="00E35EDB" w:rsidP="00DB5599">
            <w:pPr>
              <w:pStyle w:val="Tabletext"/>
              <w:rPr>
                <w:b/>
              </w:rPr>
            </w:pPr>
            <w:r w:rsidRPr="00E35EDB">
              <w:rPr>
                <w:b/>
              </w:rPr>
              <w:t>sGC stimulator</w:t>
            </w:r>
          </w:p>
        </w:tc>
        <w:tc>
          <w:tcPr>
            <w:tcW w:w="992" w:type="dxa"/>
            <w:vMerge w:val="restart"/>
            <w:shd w:val="clear" w:color="auto" w:fill="BFBFBF" w:themeFill="background1" w:themeFillShade="BF"/>
          </w:tcPr>
          <w:p w:rsidR="0075777C" w:rsidRPr="00C41039" w:rsidRDefault="0075777C" w:rsidP="00DB5599">
            <w:pPr>
              <w:pStyle w:val="Tabletext"/>
              <w:rPr>
                <w:b/>
              </w:rPr>
            </w:pPr>
            <w:r w:rsidRPr="00C41039">
              <w:rPr>
                <w:b/>
              </w:rPr>
              <w:t>N</w:t>
            </w:r>
          </w:p>
          <w:p w:rsidR="0075777C" w:rsidRPr="00C41039" w:rsidRDefault="0075777C" w:rsidP="00DB5599">
            <w:pPr>
              <w:pStyle w:val="Tabletext"/>
              <w:rPr>
                <w:b/>
              </w:rPr>
            </w:pPr>
            <w:r w:rsidRPr="00C41039">
              <w:rPr>
                <w:b/>
              </w:rPr>
              <w:t>Time point</w:t>
            </w:r>
          </w:p>
        </w:tc>
        <w:tc>
          <w:tcPr>
            <w:tcW w:w="2906" w:type="dxa"/>
            <w:gridSpan w:val="2"/>
            <w:shd w:val="clear" w:color="auto" w:fill="BFBFBF" w:themeFill="background1" w:themeFillShade="BF"/>
          </w:tcPr>
          <w:p w:rsidR="0075777C" w:rsidRPr="00C41039" w:rsidRDefault="00E35EDB" w:rsidP="00E35EDB">
            <w:pPr>
              <w:pStyle w:val="Tabletext"/>
              <w:jc w:val="center"/>
              <w:rPr>
                <w:b/>
              </w:rPr>
            </w:pPr>
            <w:r>
              <w:rPr>
                <w:b/>
              </w:rPr>
              <w:t>M</w:t>
            </w:r>
            <w:r w:rsidRPr="00C41039">
              <w:rPr>
                <w:b/>
              </w:rPr>
              <w:t xml:space="preserve">ean ± SD </w:t>
            </w:r>
            <w:r>
              <w:rPr>
                <w:b/>
              </w:rPr>
              <w:t>b</w:t>
            </w:r>
            <w:r w:rsidR="0075777C" w:rsidRPr="00C41039">
              <w:rPr>
                <w:b/>
              </w:rPr>
              <w:t>aseline</w:t>
            </w:r>
            <w:r>
              <w:rPr>
                <w:b/>
              </w:rPr>
              <w:t xml:space="preserve"> 6MWD</w:t>
            </w:r>
            <w:r w:rsidR="0075777C" w:rsidRPr="00C41039">
              <w:rPr>
                <w:b/>
              </w:rPr>
              <w:t>, meters</w:t>
            </w:r>
          </w:p>
        </w:tc>
        <w:tc>
          <w:tcPr>
            <w:tcW w:w="3048" w:type="dxa"/>
            <w:gridSpan w:val="2"/>
            <w:shd w:val="clear" w:color="auto" w:fill="BFBFBF" w:themeFill="background1" w:themeFillShade="BF"/>
          </w:tcPr>
          <w:p w:rsidR="0075777C" w:rsidRPr="00C41039" w:rsidRDefault="0075777C" w:rsidP="00E35EDB">
            <w:pPr>
              <w:pStyle w:val="Tabletext"/>
              <w:jc w:val="center"/>
              <w:rPr>
                <w:b/>
              </w:rPr>
            </w:pPr>
            <w:r w:rsidRPr="00C41039">
              <w:rPr>
                <w:b/>
              </w:rPr>
              <w:t xml:space="preserve">Mean </w:t>
            </w:r>
            <w:r w:rsidR="00E35EDB" w:rsidRPr="00C41039">
              <w:rPr>
                <w:b/>
              </w:rPr>
              <w:t xml:space="preserve">± SD </w:t>
            </w:r>
            <w:r w:rsidRPr="00C41039">
              <w:rPr>
                <w:b/>
              </w:rPr>
              <w:t>change from baseline, meters</w:t>
            </w:r>
          </w:p>
        </w:tc>
        <w:tc>
          <w:tcPr>
            <w:tcW w:w="1417" w:type="dxa"/>
            <w:vMerge w:val="restart"/>
            <w:shd w:val="clear" w:color="auto" w:fill="BFBFBF" w:themeFill="background1" w:themeFillShade="BF"/>
          </w:tcPr>
          <w:p w:rsidR="0075777C" w:rsidRPr="00C41039" w:rsidRDefault="0075777C" w:rsidP="00DB5599">
            <w:pPr>
              <w:pStyle w:val="Tabletext"/>
              <w:rPr>
                <w:b/>
              </w:rPr>
            </w:pPr>
            <w:r w:rsidRPr="00C41039">
              <w:rPr>
                <w:b/>
              </w:rPr>
              <w:t>M</w:t>
            </w:r>
            <w:r w:rsidR="00E35EDB">
              <w:rPr>
                <w:b/>
              </w:rPr>
              <w:t xml:space="preserve">ean difference </w:t>
            </w:r>
            <w:r w:rsidRPr="00C41039">
              <w:rPr>
                <w:b/>
              </w:rPr>
              <w:t>(95% CI), meters</w:t>
            </w:r>
          </w:p>
        </w:tc>
      </w:tr>
      <w:tr w:rsidR="0075777C" w:rsidTr="00E35EDB">
        <w:tc>
          <w:tcPr>
            <w:tcW w:w="1271" w:type="dxa"/>
            <w:vMerge/>
          </w:tcPr>
          <w:p w:rsidR="0075777C" w:rsidRDefault="0075777C" w:rsidP="00DB5599">
            <w:pPr>
              <w:pStyle w:val="Tabletext"/>
            </w:pPr>
          </w:p>
        </w:tc>
        <w:tc>
          <w:tcPr>
            <w:tcW w:w="992" w:type="dxa"/>
            <w:vMerge/>
          </w:tcPr>
          <w:p w:rsidR="0075777C" w:rsidRDefault="0075777C" w:rsidP="00DB5599">
            <w:pPr>
              <w:pStyle w:val="Tabletext"/>
            </w:pPr>
          </w:p>
        </w:tc>
        <w:tc>
          <w:tcPr>
            <w:tcW w:w="1701" w:type="dxa"/>
            <w:shd w:val="clear" w:color="auto" w:fill="BFBFBF" w:themeFill="background1" w:themeFillShade="BF"/>
          </w:tcPr>
          <w:p w:rsidR="0075777C" w:rsidRPr="00C41039" w:rsidRDefault="00E35EDB" w:rsidP="00C41039">
            <w:pPr>
              <w:pStyle w:val="Tabletext"/>
              <w:jc w:val="center"/>
              <w:rPr>
                <w:b/>
              </w:rPr>
            </w:pPr>
            <w:r w:rsidRPr="00E35EDB">
              <w:rPr>
                <w:b/>
              </w:rPr>
              <w:t xml:space="preserve">sGC stimulator </w:t>
            </w:r>
            <w:r w:rsidR="0075777C" w:rsidRPr="00C41039">
              <w:rPr>
                <w:b/>
              </w:rPr>
              <w:t>+ ERA</w:t>
            </w:r>
          </w:p>
        </w:tc>
        <w:tc>
          <w:tcPr>
            <w:tcW w:w="1205" w:type="dxa"/>
            <w:shd w:val="clear" w:color="auto" w:fill="BFBFBF" w:themeFill="background1" w:themeFillShade="BF"/>
          </w:tcPr>
          <w:p w:rsidR="0075777C" w:rsidRPr="00C41039" w:rsidRDefault="0075777C" w:rsidP="00C41039">
            <w:pPr>
              <w:pStyle w:val="Tabletext"/>
              <w:jc w:val="center"/>
              <w:rPr>
                <w:b/>
              </w:rPr>
            </w:pPr>
            <w:r w:rsidRPr="00C41039">
              <w:rPr>
                <w:b/>
              </w:rPr>
              <w:t>ERA</w:t>
            </w:r>
          </w:p>
        </w:tc>
        <w:tc>
          <w:tcPr>
            <w:tcW w:w="1772" w:type="dxa"/>
            <w:shd w:val="clear" w:color="auto" w:fill="BFBFBF" w:themeFill="background1" w:themeFillShade="BF"/>
          </w:tcPr>
          <w:p w:rsidR="0075777C" w:rsidRPr="00C41039" w:rsidRDefault="00E35EDB" w:rsidP="00C41039">
            <w:pPr>
              <w:pStyle w:val="Tabletext"/>
              <w:jc w:val="center"/>
              <w:rPr>
                <w:b/>
              </w:rPr>
            </w:pPr>
            <w:r w:rsidRPr="00E35EDB">
              <w:rPr>
                <w:b/>
              </w:rPr>
              <w:t xml:space="preserve">sGC stimulator </w:t>
            </w:r>
            <w:r w:rsidR="0075777C" w:rsidRPr="00C41039">
              <w:rPr>
                <w:b/>
              </w:rPr>
              <w:t>+ ERA</w:t>
            </w:r>
          </w:p>
        </w:tc>
        <w:tc>
          <w:tcPr>
            <w:tcW w:w="1276" w:type="dxa"/>
            <w:shd w:val="clear" w:color="auto" w:fill="BFBFBF" w:themeFill="background1" w:themeFillShade="BF"/>
          </w:tcPr>
          <w:p w:rsidR="0075777C" w:rsidRPr="00C41039" w:rsidRDefault="0075777C" w:rsidP="00C41039">
            <w:pPr>
              <w:pStyle w:val="Tabletext"/>
              <w:jc w:val="center"/>
              <w:rPr>
                <w:b/>
              </w:rPr>
            </w:pPr>
            <w:r w:rsidRPr="00C41039">
              <w:rPr>
                <w:b/>
              </w:rPr>
              <w:t>ERA</w:t>
            </w:r>
          </w:p>
        </w:tc>
        <w:tc>
          <w:tcPr>
            <w:tcW w:w="1417" w:type="dxa"/>
            <w:vMerge/>
          </w:tcPr>
          <w:p w:rsidR="0075777C" w:rsidRDefault="0075777C" w:rsidP="00DB5599">
            <w:pPr>
              <w:pStyle w:val="Tabletext"/>
            </w:pPr>
          </w:p>
        </w:tc>
      </w:tr>
      <w:tr w:rsidR="0075777C" w:rsidTr="00E35EDB">
        <w:tc>
          <w:tcPr>
            <w:tcW w:w="1271" w:type="dxa"/>
          </w:tcPr>
          <w:p w:rsidR="0075777C" w:rsidRDefault="0075777C" w:rsidP="00DB5599">
            <w:pPr>
              <w:pStyle w:val="Tabletext"/>
              <w:rPr>
                <w:rFonts w:cs="Tahoma"/>
              </w:rPr>
            </w:pPr>
            <w:r w:rsidRPr="00822C52">
              <w:rPr>
                <w:rFonts w:cs="Tahoma"/>
              </w:rPr>
              <w:t>PATENT-1</w:t>
            </w:r>
            <w:r w:rsidRPr="00817DE4">
              <w:rPr>
                <w:rFonts w:cs="Tahoma"/>
                <w:vertAlign w:val="superscript"/>
              </w:rPr>
              <w:t>a</w:t>
            </w:r>
            <w:r w:rsidRPr="00822C52">
              <w:rPr>
                <w:rFonts w:cs="Tahoma"/>
              </w:rPr>
              <w:t xml:space="preserve"> CSR</w:t>
            </w:r>
          </w:p>
          <w:p w:rsidR="00E35EDB" w:rsidRPr="00E35EDB" w:rsidRDefault="00E35EDB" w:rsidP="00DB5599">
            <w:pPr>
              <w:pStyle w:val="Tabletext"/>
            </w:pPr>
            <w:r w:rsidRPr="00E35EDB">
              <w:t>Riociguat</w:t>
            </w:r>
          </w:p>
        </w:tc>
        <w:tc>
          <w:tcPr>
            <w:tcW w:w="992" w:type="dxa"/>
          </w:tcPr>
          <w:p w:rsidR="0075777C" w:rsidRPr="00822C52" w:rsidRDefault="0075777C" w:rsidP="00DB5599">
            <w:pPr>
              <w:pStyle w:val="Tabletext"/>
              <w:rPr>
                <w:rFonts w:cs="Tahoma"/>
              </w:rPr>
            </w:pPr>
            <w:r w:rsidRPr="00822C52">
              <w:rPr>
                <w:rFonts w:cs="Tahoma"/>
              </w:rPr>
              <w:t>N=1</w:t>
            </w:r>
            <w:r w:rsidR="002600D5">
              <w:rPr>
                <w:rFonts w:cs="Tahoma"/>
              </w:rPr>
              <w:t>20</w:t>
            </w:r>
          </w:p>
          <w:p w:rsidR="0075777C" w:rsidRDefault="0075777C" w:rsidP="00DB5599">
            <w:pPr>
              <w:pStyle w:val="Tabletext"/>
            </w:pPr>
            <w:r w:rsidRPr="00822C52">
              <w:rPr>
                <w:rFonts w:cs="Tahoma"/>
              </w:rPr>
              <w:t>Week 12</w:t>
            </w:r>
          </w:p>
        </w:tc>
        <w:tc>
          <w:tcPr>
            <w:tcW w:w="1701" w:type="dxa"/>
          </w:tcPr>
          <w:p w:rsidR="0075777C" w:rsidRPr="00A17B9D" w:rsidRDefault="00A17B9D" w:rsidP="0032616B">
            <w:pPr>
              <w:pStyle w:val="Tabletext"/>
              <w:jc w:val="center"/>
              <w:rPr>
                <w:highlight w:val="black"/>
              </w:rPr>
            </w:pPr>
            <w:r>
              <w:rPr>
                <w:rFonts w:cs="Tahoma"/>
                <w:noProof/>
                <w:color w:val="000000"/>
                <w:highlight w:val="black"/>
              </w:rPr>
              <w:t>'''''''''''' ''' ''''''''''</w:t>
            </w:r>
          </w:p>
        </w:tc>
        <w:tc>
          <w:tcPr>
            <w:tcW w:w="1205" w:type="dxa"/>
          </w:tcPr>
          <w:p w:rsidR="0075777C" w:rsidRPr="00A17B9D" w:rsidRDefault="00A17B9D" w:rsidP="00C41039">
            <w:pPr>
              <w:pStyle w:val="Tabletext"/>
              <w:jc w:val="center"/>
              <w:rPr>
                <w:highlight w:val="black"/>
              </w:rPr>
            </w:pPr>
            <w:r>
              <w:rPr>
                <w:rFonts w:cs="Tahoma"/>
                <w:noProof/>
                <w:color w:val="000000"/>
                <w:highlight w:val="black"/>
              </w:rPr>
              <w:t>''''''''''''''' ''' '''''''''''</w:t>
            </w:r>
          </w:p>
        </w:tc>
        <w:tc>
          <w:tcPr>
            <w:tcW w:w="1772" w:type="dxa"/>
          </w:tcPr>
          <w:p w:rsidR="0075777C" w:rsidRPr="00A17B9D" w:rsidRDefault="00A17B9D" w:rsidP="00C41039">
            <w:pPr>
              <w:pStyle w:val="Tabletext"/>
              <w:jc w:val="center"/>
              <w:rPr>
                <w:highlight w:val="black"/>
              </w:rPr>
            </w:pPr>
            <w:r>
              <w:rPr>
                <w:rFonts w:cs="Tahoma"/>
                <w:noProof/>
                <w:color w:val="000000"/>
                <w:highlight w:val="black"/>
              </w:rPr>
              <w:t>'''''''''' ''' ''''''''''''</w:t>
            </w:r>
          </w:p>
        </w:tc>
        <w:tc>
          <w:tcPr>
            <w:tcW w:w="1276" w:type="dxa"/>
          </w:tcPr>
          <w:p w:rsidR="0075777C" w:rsidRPr="00A17B9D" w:rsidRDefault="00A17B9D" w:rsidP="00C41039">
            <w:pPr>
              <w:pStyle w:val="Tabletext"/>
              <w:jc w:val="center"/>
              <w:rPr>
                <w:highlight w:val="black"/>
              </w:rPr>
            </w:pPr>
            <w:r>
              <w:rPr>
                <w:rFonts w:cs="Tahoma"/>
                <w:noProof/>
                <w:color w:val="000000"/>
                <w:highlight w:val="black"/>
              </w:rPr>
              <w:t>''''''''''''' ''' ''''''''''</w:t>
            </w:r>
          </w:p>
        </w:tc>
        <w:tc>
          <w:tcPr>
            <w:tcW w:w="1417" w:type="dxa"/>
          </w:tcPr>
          <w:p w:rsidR="0075777C" w:rsidRPr="00A17B9D" w:rsidRDefault="00A17B9D" w:rsidP="0032616B">
            <w:pPr>
              <w:pStyle w:val="Tabletext"/>
              <w:rPr>
                <w:highlight w:val="black"/>
              </w:rPr>
            </w:pPr>
            <w:r>
              <w:rPr>
                <w:rFonts w:cs="Tahoma"/>
                <w:noProof/>
                <w:color w:val="000000"/>
                <w:highlight w:val="black"/>
              </w:rPr>
              <w:t>''''''''''' '''''''''''''' '''''''''''''</w:t>
            </w:r>
          </w:p>
        </w:tc>
      </w:tr>
    </w:tbl>
    <w:p w:rsidR="0075777C" w:rsidRDefault="0075777C" w:rsidP="00C41039">
      <w:pPr>
        <w:pStyle w:val="Tablenote"/>
      </w:pPr>
      <w:r w:rsidRPr="00817DE4">
        <w:rPr>
          <w:vertAlign w:val="superscript"/>
        </w:rPr>
        <w:t>a</w:t>
      </w:r>
      <w:r>
        <w:t xml:space="preserve"> 14% of patients had background </w:t>
      </w:r>
      <w:r w:rsidR="0017012F">
        <w:t>prostanoid</w:t>
      </w:r>
      <w:r>
        <w:t xml:space="preserve"> therapy</w:t>
      </w:r>
    </w:p>
    <w:p w:rsidR="0075777C" w:rsidRPr="00822C52" w:rsidRDefault="0075777C" w:rsidP="00C41039">
      <w:pPr>
        <w:pStyle w:val="Tablenote"/>
      </w:pPr>
      <w:r w:rsidRPr="00822C52">
        <w:lastRenderedPageBreak/>
        <w:t xml:space="preserve">6MWD = 6-minute </w:t>
      </w:r>
      <w:r w:rsidR="0082368E">
        <w:t>walk distance</w:t>
      </w:r>
      <w:r w:rsidRPr="00822C52">
        <w:t xml:space="preserve">; CI = confidence interval; CSR = clinical study report; ERA = endothelin receptor antagonist; FC = functional class; N = number of patients; PAH = pulmonary arterial hypertension; SD = standard deviation; </w:t>
      </w:r>
      <w:r w:rsidR="009B47AA" w:rsidRPr="009B47AA">
        <w:t xml:space="preserve">sGC = soluble guanylate cyclase stimulator; </w:t>
      </w:r>
      <w:r w:rsidRPr="00822C52">
        <w:t>WHO = World Health Organization</w:t>
      </w:r>
    </w:p>
    <w:p w:rsidR="0075777C" w:rsidRPr="00822C52" w:rsidRDefault="00761752" w:rsidP="00761752">
      <w:pPr>
        <w:pStyle w:val="Heading5"/>
      </w:pPr>
      <w:r>
        <w:t>f</w:t>
      </w:r>
      <w:r w:rsidR="002E4833">
        <w:t>.</w:t>
      </w:r>
      <w:r>
        <w:tab/>
      </w:r>
      <w:r w:rsidRPr="00761752">
        <w:t>Change in QoL from baseline</w:t>
      </w:r>
    </w:p>
    <w:p w:rsidR="0075777C" w:rsidRPr="00822C52" w:rsidRDefault="00761752" w:rsidP="0077344D">
      <w:pPr>
        <w:pStyle w:val="Heading6"/>
      </w:pPr>
      <w:r>
        <w:t>f</w:t>
      </w:r>
      <w:r w:rsidR="0075777C" w:rsidRPr="00822C52">
        <w:t>.i</w:t>
      </w:r>
      <w:r w:rsidR="0075777C" w:rsidRPr="00822C52">
        <w:tab/>
        <w:t>PAH patients, irrespective of disease severity or aetiology</w:t>
      </w:r>
    </w:p>
    <w:p w:rsidR="0075777C" w:rsidRPr="006316DF" w:rsidRDefault="0075777C" w:rsidP="0075777C">
      <w:r w:rsidRPr="006316DF">
        <w:t xml:space="preserve">The self-reported </w:t>
      </w:r>
      <w:r>
        <w:t xml:space="preserve">change in </w:t>
      </w:r>
      <w:r w:rsidRPr="006316DF">
        <w:t xml:space="preserve">health-related QoL of patients receiving </w:t>
      </w:r>
      <w:r>
        <w:t>combination therapy</w:t>
      </w:r>
      <w:r w:rsidRPr="006316DF">
        <w:t xml:space="preserve"> compared with </w:t>
      </w:r>
      <w:r>
        <w:t>monotherapy</w:t>
      </w:r>
      <w:r w:rsidRPr="006316DF">
        <w:t xml:space="preserve"> w</w:t>
      </w:r>
      <w:r>
        <w:t>as</w:t>
      </w:r>
      <w:r w:rsidRPr="006316DF">
        <w:t xml:space="preserve"> measured using the EQ-5D </w:t>
      </w:r>
      <w:r>
        <w:t>and</w:t>
      </w:r>
      <w:r w:rsidRPr="006316DF">
        <w:t xml:space="preserve"> LPH questionnaire</w:t>
      </w:r>
      <w:r>
        <w:t>s</w:t>
      </w:r>
      <w:r w:rsidRPr="006316DF">
        <w:t xml:space="preserve">. Scores for the EQ-5D questionnaire indicated that QoL </w:t>
      </w:r>
      <w:r w:rsidR="00A17B9D">
        <w:rPr>
          <w:noProof/>
          <w:color w:val="000000"/>
          <w:highlight w:val="black"/>
        </w:rPr>
        <w:t>'''''''''''''''' ''''' ''''''''''</w:t>
      </w:r>
      <w:r w:rsidRPr="009A184A">
        <w:t xml:space="preserve"> </w:t>
      </w:r>
      <w:r w:rsidRPr="006316DF">
        <w:t xml:space="preserve">in the </w:t>
      </w:r>
      <w:r>
        <w:t>combination therapy group</w:t>
      </w:r>
      <w:r w:rsidRPr="006316DF">
        <w:t xml:space="preserve"> and </w:t>
      </w:r>
      <w:r w:rsidR="00A17B9D">
        <w:rPr>
          <w:noProof/>
          <w:color w:val="000000"/>
          <w:highlight w:val="black"/>
        </w:rPr>
        <w:t>''''''''''''''''''' ''''' '''''''''''</w:t>
      </w:r>
      <w:r w:rsidRPr="009A184A">
        <w:t xml:space="preserve"> </w:t>
      </w:r>
      <w:r w:rsidRPr="006316DF">
        <w:t xml:space="preserve">in the </w:t>
      </w:r>
      <w:r>
        <w:t>monotherapy</w:t>
      </w:r>
      <w:r w:rsidRPr="006316DF">
        <w:t xml:space="preserve"> group</w:t>
      </w:r>
      <w:r>
        <w:t xml:space="preserve"> (</w:t>
      </w:r>
      <w:r w:rsidRPr="006316DF">
        <w:t>a positive change from baseline denotes improvement</w:t>
      </w:r>
      <w:r>
        <w:t>;</w:t>
      </w:r>
      <w:r w:rsidR="00C41039">
        <w:t xml:space="preserve"> </w:t>
      </w:r>
      <w:r w:rsidR="00AA722D">
        <w:t>Table 4.</w:t>
      </w:r>
      <w:r w:rsidR="00AA722D">
        <w:rPr>
          <w:noProof/>
        </w:rPr>
        <w:t>96</w:t>
      </w:r>
      <w:r>
        <w:t>)</w:t>
      </w:r>
      <w:r w:rsidRPr="006316DF">
        <w:t xml:space="preserve">. </w:t>
      </w:r>
      <w:r>
        <w:t xml:space="preserve">The mean difference </w:t>
      </w:r>
      <w:r w:rsidR="00A17B9D">
        <w:rPr>
          <w:noProof/>
          <w:color w:val="000000"/>
          <w:highlight w:val="black"/>
        </w:rPr>
        <w:t>'''' ''''''''''' ''' '''''''''' ''''' '''''' '''''''''''''''''' '''''''''''''''''''</w:t>
      </w:r>
      <w:r>
        <w:t xml:space="preserve"> according to previous studies investigating the minimal clinically important change in EQ-5D score in patients with COPD </w:t>
      </w:r>
      <w:r w:rsidR="001D34EE" w:rsidRPr="001D34EE">
        <w:rPr>
          <w:noProof/>
          <w:vertAlign w:val="superscript"/>
        </w:rPr>
        <w:t>85</w:t>
      </w:r>
      <w:r>
        <w:t xml:space="preserve">. </w:t>
      </w:r>
      <w:r w:rsidRPr="006316DF">
        <w:t>The scores for the LPH questionnaire showed a</w:t>
      </w:r>
      <w:r>
        <w:t>n approximate</w:t>
      </w:r>
      <w:r w:rsidRPr="006316DF">
        <w:t xml:space="preserve"> </w:t>
      </w:r>
      <w:r w:rsidR="00A17B9D">
        <w:rPr>
          <w:noProof/>
          <w:color w:val="000000"/>
          <w:highlight w:val="black"/>
        </w:rPr>
        <w:t>'''''''''''''' ''''''''''''''''''''''''</w:t>
      </w:r>
      <w:r w:rsidRPr="006316DF">
        <w:t xml:space="preserve"> in QoL in the </w:t>
      </w:r>
      <w:r>
        <w:t>combination therapy</w:t>
      </w:r>
      <w:r w:rsidRPr="006316DF">
        <w:t xml:space="preserve"> group and a </w:t>
      </w:r>
      <w:r w:rsidR="00A17B9D">
        <w:rPr>
          <w:noProof/>
          <w:color w:val="000000"/>
          <w:highlight w:val="black"/>
        </w:rPr>
        <w:t>'''''''''''''' '''''''''''''''''''''''''''</w:t>
      </w:r>
      <w:r w:rsidRPr="006316DF">
        <w:t xml:space="preserve"> in the </w:t>
      </w:r>
      <w:r>
        <w:t>monotherapy</w:t>
      </w:r>
      <w:r w:rsidRPr="006316DF">
        <w:t xml:space="preserve"> group</w:t>
      </w:r>
      <w:r>
        <w:t xml:space="preserve"> (</w:t>
      </w:r>
      <w:r w:rsidRPr="004A3983">
        <w:t>a higher score indicates that patients are more affected by their medical condition</w:t>
      </w:r>
      <w:r>
        <w:t>;</w:t>
      </w:r>
      <w:r w:rsidR="00C41039">
        <w:t xml:space="preserve"> </w:t>
      </w:r>
      <w:r w:rsidR="00AA722D">
        <w:t>Table 4.</w:t>
      </w:r>
      <w:r w:rsidR="00AA722D">
        <w:rPr>
          <w:noProof/>
        </w:rPr>
        <w:t>96</w:t>
      </w:r>
      <w:r>
        <w:t>)</w:t>
      </w:r>
      <w:r w:rsidRPr="006316DF">
        <w:t>.</w:t>
      </w:r>
      <w:r w:rsidRPr="00AE5117">
        <w:t xml:space="preserve"> </w:t>
      </w:r>
      <w:r>
        <w:t xml:space="preserve">The </w:t>
      </w:r>
      <w:r w:rsidRPr="00AE5117">
        <w:t>minimally important difference</w:t>
      </w:r>
      <w:r>
        <w:t xml:space="preserve"> for the LPH scale has been previously determined to be </w:t>
      </w:r>
      <w:r w:rsidRPr="00AE5117">
        <w:t xml:space="preserve">7 points for </w:t>
      </w:r>
      <w:r>
        <w:t xml:space="preserve">the </w:t>
      </w:r>
      <w:r w:rsidRPr="00AE5117">
        <w:t>total score</w:t>
      </w:r>
      <w:r w:rsidR="001D34EE" w:rsidRPr="001A1C44">
        <w:rPr>
          <w:noProof/>
          <w:vertAlign w:val="superscript"/>
        </w:rPr>
        <w:t>83</w:t>
      </w:r>
      <w:r>
        <w:t xml:space="preserve">. Thus, although there was </w:t>
      </w:r>
      <w:r w:rsidR="00A17B9D">
        <w:rPr>
          <w:noProof/>
          <w:color w:val="000000"/>
          <w:highlight w:val="black"/>
        </w:rPr>
        <w:t>''' ''''''''''''''''' ''''''''''''''''' '''''''''''''''''''''''''</w:t>
      </w:r>
      <w:r>
        <w:t xml:space="preserve"> in QoL for the combination therapy group, the difference between the combination therapy group and monotherapy group </w:t>
      </w:r>
      <w:r w:rsidR="00A17B9D">
        <w:rPr>
          <w:noProof/>
          <w:color w:val="000000"/>
          <w:highlight w:val="black"/>
        </w:rPr>
        <w:t>'''''''' '''''' '''''''''''''''''' '''''''''''''''''</w:t>
      </w:r>
      <w:r w:rsidRPr="006316DF">
        <w:t>.</w:t>
      </w:r>
    </w:p>
    <w:p w:rsidR="0075777C" w:rsidRDefault="00272F8F" w:rsidP="00BC5A2B">
      <w:pPr>
        <w:pStyle w:val="Caption"/>
      </w:pPr>
      <w:bookmarkStart w:id="281" w:name="_Ref506308757"/>
      <w:bookmarkStart w:id="282" w:name="_Toc512855500"/>
      <w:r>
        <w:t>Table 4.</w:t>
      </w:r>
      <w:r w:rsidR="00AA722D">
        <w:rPr>
          <w:noProof/>
        </w:rPr>
        <w:t>96</w:t>
      </w:r>
      <w:bookmarkEnd w:id="281"/>
      <w:r w:rsidR="00C41039">
        <w:tab/>
      </w:r>
      <w:r w:rsidR="0075777C" w:rsidRPr="00DD7790">
        <w:t xml:space="preserve">The effectiveness of </w:t>
      </w:r>
      <w:r w:rsidR="00E35EDB">
        <w:t xml:space="preserve">a </w:t>
      </w:r>
      <w:r w:rsidR="00E35EDB" w:rsidRPr="00E35EDB">
        <w:t xml:space="preserve">sGC stimulator </w:t>
      </w:r>
      <w:r w:rsidR="007E59EC">
        <w:t>in addition to</w:t>
      </w:r>
      <w:r w:rsidR="007E59EC" w:rsidRPr="00DD7790">
        <w:t xml:space="preserve"> </w:t>
      </w:r>
      <w:r w:rsidR="007E59EC">
        <w:t xml:space="preserve">an </w:t>
      </w:r>
      <w:r w:rsidR="007E59EC" w:rsidRPr="00DD7790">
        <w:t xml:space="preserve">ERA </w:t>
      </w:r>
      <w:r w:rsidR="007E59EC" w:rsidRPr="00AA5E50">
        <w:t xml:space="preserve">compared </w:t>
      </w:r>
      <w:r w:rsidR="007E59EC">
        <w:t>with</w:t>
      </w:r>
      <w:r w:rsidR="007E59EC" w:rsidRPr="00DD7790">
        <w:t xml:space="preserve"> ERA</w:t>
      </w:r>
      <w:r w:rsidR="007E59EC">
        <w:t xml:space="preserve"> monotherapy</w:t>
      </w:r>
      <w:r w:rsidR="007E59EC" w:rsidRPr="00DD7790">
        <w:t xml:space="preserve"> </w:t>
      </w:r>
      <w:r w:rsidR="0075777C" w:rsidRPr="00DD7790">
        <w:t>in improving QoL in all PAH patients</w:t>
      </w:r>
      <w:bookmarkEnd w:id="282"/>
    </w:p>
    <w:tbl>
      <w:tblPr>
        <w:tblStyle w:val="TableGrid"/>
        <w:tblW w:w="9634" w:type="dxa"/>
        <w:tblLook w:val="04A0" w:firstRow="1" w:lastRow="0" w:firstColumn="1" w:lastColumn="0" w:noHBand="0" w:noVBand="1"/>
        <w:tblCaption w:val="The effectiveness of a sGC stimulator in addition to an ERA compared with ERA monotherapy in improving QoL in all PAH patients"/>
      </w:tblPr>
      <w:tblGrid>
        <w:gridCol w:w="1129"/>
        <w:gridCol w:w="851"/>
        <w:gridCol w:w="1843"/>
        <w:gridCol w:w="1275"/>
        <w:gridCol w:w="1843"/>
        <w:gridCol w:w="1418"/>
        <w:gridCol w:w="1275"/>
      </w:tblGrid>
      <w:tr w:rsidR="0075777C" w:rsidTr="00FA2050">
        <w:trPr>
          <w:cnfStyle w:val="100000000000" w:firstRow="1" w:lastRow="0" w:firstColumn="0" w:lastColumn="0" w:oddVBand="0" w:evenVBand="0" w:oddHBand="0" w:evenHBand="0" w:firstRowFirstColumn="0" w:firstRowLastColumn="0" w:lastRowFirstColumn="0" w:lastRowLastColumn="0"/>
        </w:trPr>
        <w:tc>
          <w:tcPr>
            <w:tcW w:w="1129" w:type="dxa"/>
            <w:vMerge w:val="restart"/>
            <w:shd w:val="clear" w:color="auto" w:fill="BFBFBF" w:themeFill="background1" w:themeFillShade="BF"/>
          </w:tcPr>
          <w:p w:rsidR="0075777C" w:rsidRDefault="0075777C" w:rsidP="00C41039">
            <w:pPr>
              <w:pStyle w:val="Tabletext"/>
              <w:rPr>
                <w:b/>
              </w:rPr>
            </w:pPr>
            <w:r w:rsidRPr="00C41039">
              <w:rPr>
                <w:b/>
              </w:rPr>
              <w:t>Study ID</w:t>
            </w:r>
          </w:p>
          <w:p w:rsidR="00087C8E" w:rsidRPr="00C41039" w:rsidRDefault="00087C8E" w:rsidP="00C41039">
            <w:pPr>
              <w:pStyle w:val="Tabletext"/>
              <w:rPr>
                <w:b/>
              </w:rPr>
            </w:pPr>
            <w:r w:rsidRPr="00087C8E">
              <w:rPr>
                <w:b/>
              </w:rPr>
              <w:t>sGC stimulator</w:t>
            </w:r>
          </w:p>
        </w:tc>
        <w:tc>
          <w:tcPr>
            <w:tcW w:w="851" w:type="dxa"/>
            <w:vMerge w:val="restart"/>
            <w:shd w:val="clear" w:color="auto" w:fill="BFBFBF" w:themeFill="background1" w:themeFillShade="BF"/>
          </w:tcPr>
          <w:p w:rsidR="0075777C" w:rsidRPr="00C41039" w:rsidRDefault="0075777C" w:rsidP="00C41039">
            <w:pPr>
              <w:pStyle w:val="Tabletext"/>
              <w:rPr>
                <w:b/>
              </w:rPr>
            </w:pPr>
            <w:r w:rsidRPr="00C41039">
              <w:rPr>
                <w:b/>
              </w:rPr>
              <w:t>N</w:t>
            </w:r>
          </w:p>
          <w:p w:rsidR="0075777C" w:rsidRPr="00C41039" w:rsidRDefault="0075777C" w:rsidP="00C41039">
            <w:pPr>
              <w:pStyle w:val="Tabletext"/>
              <w:rPr>
                <w:b/>
              </w:rPr>
            </w:pPr>
            <w:r w:rsidRPr="00C41039">
              <w:rPr>
                <w:b/>
              </w:rPr>
              <w:t>Time point</w:t>
            </w:r>
          </w:p>
        </w:tc>
        <w:tc>
          <w:tcPr>
            <w:tcW w:w="3118" w:type="dxa"/>
            <w:gridSpan w:val="2"/>
            <w:shd w:val="clear" w:color="auto" w:fill="BFBFBF" w:themeFill="background1" w:themeFillShade="BF"/>
          </w:tcPr>
          <w:p w:rsidR="0075777C" w:rsidRPr="00C41039" w:rsidRDefault="00E35EDB" w:rsidP="00E35EDB">
            <w:pPr>
              <w:pStyle w:val="Tabletext"/>
              <w:jc w:val="center"/>
              <w:rPr>
                <w:b/>
              </w:rPr>
            </w:pPr>
            <w:r>
              <w:rPr>
                <w:b/>
              </w:rPr>
              <w:t>M</w:t>
            </w:r>
            <w:r w:rsidRPr="00C41039">
              <w:rPr>
                <w:b/>
              </w:rPr>
              <w:t xml:space="preserve">ean ± SD </w:t>
            </w:r>
            <w:r>
              <w:rPr>
                <w:b/>
              </w:rPr>
              <w:t>b</w:t>
            </w:r>
            <w:r w:rsidR="0075777C" w:rsidRPr="00C41039">
              <w:rPr>
                <w:b/>
              </w:rPr>
              <w:t>aseline QoL</w:t>
            </w:r>
          </w:p>
        </w:tc>
        <w:tc>
          <w:tcPr>
            <w:tcW w:w="3261" w:type="dxa"/>
            <w:gridSpan w:val="2"/>
            <w:shd w:val="clear" w:color="auto" w:fill="BFBFBF" w:themeFill="background1" w:themeFillShade="BF"/>
          </w:tcPr>
          <w:p w:rsidR="0075777C" w:rsidRPr="00C41039" w:rsidRDefault="0075777C" w:rsidP="00E35EDB">
            <w:pPr>
              <w:pStyle w:val="Tabletext"/>
              <w:jc w:val="center"/>
              <w:rPr>
                <w:b/>
              </w:rPr>
            </w:pPr>
            <w:r w:rsidRPr="00C41039">
              <w:rPr>
                <w:b/>
              </w:rPr>
              <w:t xml:space="preserve">Mean </w:t>
            </w:r>
            <w:r w:rsidR="00E35EDB" w:rsidRPr="00C41039">
              <w:rPr>
                <w:b/>
              </w:rPr>
              <w:t xml:space="preserve"> ± SD </w:t>
            </w:r>
            <w:r w:rsidRPr="00C41039">
              <w:rPr>
                <w:b/>
              </w:rPr>
              <w:t>change from baseline</w:t>
            </w:r>
          </w:p>
        </w:tc>
        <w:tc>
          <w:tcPr>
            <w:tcW w:w="1275" w:type="dxa"/>
            <w:vMerge w:val="restart"/>
            <w:shd w:val="clear" w:color="auto" w:fill="BFBFBF" w:themeFill="background1" w:themeFillShade="BF"/>
          </w:tcPr>
          <w:p w:rsidR="0075777C" w:rsidRPr="00C41039" w:rsidRDefault="0075777C" w:rsidP="00087C8E">
            <w:pPr>
              <w:pStyle w:val="Tabletext"/>
              <w:rPr>
                <w:b/>
              </w:rPr>
            </w:pPr>
            <w:r w:rsidRPr="00C41039">
              <w:rPr>
                <w:b/>
              </w:rPr>
              <w:t>Mean difference</w:t>
            </w:r>
            <w:r w:rsidR="00E35EDB">
              <w:rPr>
                <w:b/>
              </w:rPr>
              <w:t>, points</w:t>
            </w:r>
          </w:p>
        </w:tc>
      </w:tr>
      <w:tr w:rsidR="0075777C" w:rsidTr="00FA2050">
        <w:tc>
          <w:tcPr>
            <w:tcW w:w="1129" w:type="dxa"/>
            <w:vMerge/>
          </w:tcPr>
          <w:p w:rsidR="0075777C" w:rsidRDefault="0075777C" w:rsidP="00C41039">
            <w:pPr>
              <w:pStyle w:val="Tabletext"/>
            </w:pPr>
          </w:p>
        </w:tc>
        <w:tc>
          <w:tcPr>
            <w:tcW w:w="851" w:type="dxa"/>
            <w:vMerge/>
          </w:tcPr>
          <w:p w:rsidR="0075777C" w:rsidRDefault="0075777C" w:rsidP="00C41039">
            <w:pPr>
              <w:pStyle w:val="Tabletext"/>
            </w:pPr>
          </w:p>
        </w:tc>
        <w:tc>
          <w:tcPr>
            <w:tcW w:w="1843" w:type="dxa"/>
            <w:shd w:val="clear" w:color="auto" w:fill="BFBFBF" w:themeFill="background1" w:themeFillShade="BF"/>
          </w:tcPr>
          <w:p w:rsidR="0075777C" w:rsidRPr="00C41039" w:rsidRDefault="00087C8E" w:rsidP="00E35EDB">
            <w:pPr>
              <w:pStyle w:val="Tabletext"/>
              <w:jc w:val="center"/>
              <w:rPr>
                <w:b/>
              </w:rPr>
            </w:pPr>
            <w:r w:rsidRPr="00087C8E">
              <w:rPr>
                <w:b/>
              </w:rPr>
              <w:t xml:space="preserve">sGC stimulator </w:t>
            </w:r>
            <w:r w:rsidR="0075777C" w:rsidRPr="00C41039">
              <w:rPr>
                <w:b/>
              </w:rPr>
              <w:t>+ ERA</w:t>
            </w:r>
          </w:p>
        </w:tc>
        <w:tc>
          <w:tcPr>
            <w:tcW w:w="1275" w:type="dxa"/>
            <w:shd w:val="clear" w:color="auto" w:fill="BFBFBF" w:themeFill="background1" w:themeFillShade="BF"/>
          </w:tcPr>
          <w:p w:rsidR="0075777C" w:rsidRPr="00C41039" w:rsidRDefault="0075777C" w:rsidP="00E35EDB">
            <w:pPr>
              <w:pStyle w:val="Tabletext"/>
              <w:jc w:val="center"/>
              <w:rPr>
                <w:b/>
              </w:rPr>
            </w:pPr>
            <w:r w:rsidRPr="00C41039">
              <w:rPr>
                <w:b/>
              </w:rPr>
              <w:t>ERA</w:t>
            </w:r>
          </w:p>
        </w:tc>
        <w:tc>
          <w:tcPr>
            <w:tcW w:w="1843" w:type="dxa"/>
            <w:shd w:val="clear" w:color="auto" w:fill="BFBFBF" w:themeFill="background1" w:themeFillShade="BF"/>
          </w:tcPr>
          <w:p w:rsidR="0075777C" w:rsidRPr="00C41039" w:rsidRDefault="00087C8E" w:rsidP="00E35EDB">
            <w:pPr>
              <w:pStyle w:val="Tabletext"/>
              <w:jc w:val="center"/>
              <w:rPr>
                <w:b/>
              </w:rPr>
            </w:pPr>
            <w:r w:rsidRPr="00087C8E">
              <w:rPr>
                <w:b/>
              </w:rPr>
              <w:t xml:space="preserve">sGC stimulator </w:t>
            </w:r>
            <w:r w:rsidR="0075777C" w:rsidRPr="00C41039">
              <w:rPr>
                <w:b/>
              </w:rPr>
              <w:t>+ ERA</w:t>
            </w:r>
          </w:p>
        </w:tc>
        <w:tc>
          <w:tcPr>
            <w:tcW w:w="1418" w:type="dxa"/>
            <w:shd w:val="clear" w:color="auto" w:fill="BFBFBF" w:themeFill="background1" w:themeFillShade="BF"/>
          </w:tcPr>
          <w:p w:rsidR="0075777C" w:rsidRPr="00C41039" w:rsidRDefault="0075777C" w:rsidP="00E35EDB">
            <w:pPr>
              <w:pStyle w:val="Tabletext"/>
              <w:jc w:val="center"/>
              <w:rPr>
                <w:b/>
              </w:rPr>
            </w:pPr>
            <w:r w:rsidRPr="00C41039">
              <w:rPr>
                <w:b/>
              </w:rPr>
              <w:t>ERA</w:t>
            </w:r>
          </w:p>
        </w:tc>
        <w:tc>
          <w:tcPr>
            <w:tcW w:w="1275" w:type="dxa"/>
            <w:vMerge/>
          </w:tcPr>
          <w:p w:rsidR="0075777C" w:rsidRDefault="0075777C" w:rsidP="00C41039">
            <w:pPr>
              <w:pStyle w:val="Tabletext"/>
            </w:pPr>
          </w:p>
        </w:tc>
      </w:tr>
      <w:tr w:rsidR="0075777C" w:rsidTr="00FA2050">
        <w:tc>
          <w:tcPr>
            <w:tcW w:w="1129" w:type="dxa"/>
          </w:tcPr>
          <w:p w:rsidR="0075777C" w:rsidRDefault="0075777C" w:rsidP="00C41039">
            <w:pPr>
              <w:pStyle w:val="Tabletext"/>
              <w:rPr>
                <w:rFonts w:cs="Tahoma"/>
              </w:rPr>
            </w:pPr>
            <w:r w:rsidRPr="00822C52">
              <w:rPr>
                <w:rFonts w:cs="Tahoma"/>
              </w:rPr>
              <w:t>PATENT-1 CSR</w:t>
            </w:r>
          </w:p>
          <w:p w:rsidR="008E565E" w:rsidRDefault="008E565E" w:rsidP="00C41039">
            <w:pPr>
              <w:pStyle w:val="Tabletext"/>
            </w:pPr>
            <w:r>
              <w:rPr>
                <w:rFonts w:cs="Tahoma"/>
              </w:rPr>
              <w:t>Riociguat</w:t>
            </w:r>
          </w:p>
        </w:tc>
        <w:tc>
          <w:tcPr>
            <w:tcW w:w="851" w:type="dxa"/>
          </w:tcPr>
          <w:p w:rsidR="0075777C" w:rsidRPr="00822C52" w:rsidRDefault="0075777C" w:rsidP="00C41039">
            <w:pPr>
              <w:pStyle w:val="Tabletext"/>
              <w:rPr>
                <w:rFonts w:cs="Tahoma"/>
              </w:rPr>
            </w:pPr>
            <w:r w:rsidRPr="00822C52">
              <w:rPr>
                <w:rFonts w:cs="Tahoma"/>
              </w:rPr>
              <w:t>N=167</w:t>
            </w:r>
          </w:p>
          <w:p w:rsidR="0075777C" w:rsidRDefault="0075777C" w:rsidP="00C41039">
            <w:pPr>
              <w:pStyle w:val="Tabletext"/>
            </w:pPr>
            <w:r w:rsidRPr="00822C52">
              <w:rPr>
                <w:rFonts w:cs="Tahoma"/>
              </w:rPr>
              <w:t>Week 12</w:t>
            </w:r>
          </w:p>
        </w:tc>
        <w:tc>
          <w:tcPr>
            <w:tcW w:w="1843" w:type="dxa"/>
          </w:tcPr>
          <w:p w:rsidR="0075777C" w:rsidRPr="00A17B9D" w:rsidRDefault="00A17B9D" w:rsidP="00C41039">
            <w:pPr>
              <w:pStyle w:val="Tabletext"/>
              <w:rPr>
                <w:highlight w:val="black"/>
              </w:rPr>
            </w:pPr>
            <w:r>
              <w:rPr>
                <w:noProof/>
                <w:color w:val="000000"/>
                <w:highlight w:val="black"/>
              </w:rPr>
              <w:t>'''''''''''''''''''' '''''''''''''' ''' ''''''''''''</w:t>
            </w:r>
          </w:p>
          <w:p w:rsidR="0075777C" w:rsidRPr="00A17B9D" w:rsidRDefault="00A17B9D" w:rsidP="00C41039">
            <w:pPr>
              <w:pStyle w:val="Tabletext"/>
              <w:rPr>
                <w:highlight w:val="black"/>
              </w:rPr>
            </w:pPr>
            <w:r>
              <w:rPr>
                <w:noProof/>
                <w:color w:val="000000"/>
                <w:highlight w:val="black"/>
              </w:rPr>
              <w:t>'''''''''''''''' '''''''''''''' ''' '''''''''''''</w:t>
            </w:r>
          </w:p>
        </w:tc>
        <w:tc>
          <w:tcPr>
            <w:tcW w:w="1275" w:type="dxa"/>
          </w:tcPr>
          <w:p w:rsidR="0075777C" w:rsidRPr="00A17B9D" w:rsidRDefault="00A17B9D" w:rsidP="00C41039">
            <w:pPr>
              <w:pStyle w:val="Tabletext"/>
              <w:rPr>
                <w:highlight w:val="black"/>
              </w:rPr>
            </w:pPr>
            <w:r>
              <w:rPr>
                <w:noProof/>
                <w:color w:val="000000"/>
                <w:highlight w:val="black"/>
              </w:rPr>
              <w:t>'''''''''''''' ''' ''''''''''''</w:t>
            </w:r>
          </w:p>
          <w:p w:rsidR="0075777C" w:rsidRPr="00A17B9D" w:rsidRDefault="00A17B9D" w:rsidP="00C41039">
            <w:pPr>
              <w:pStyle w:val="Tabletext"/>
              <w:rPr>
                <w:highlight w:val="black"/>
              </w:rPr>
            </w:pPr>
            <w:r>
              <w:rPr>
                <w:noProof/>
                <w:color w:val="000000"/>
                <w:highlight w:val="black"/>
              </w:rPr>
              <w:t>''''''''''''' ''' '''''''''''''</w:t>
            </w:r>
          </w:p>
        </w:tc>
        <w:tc>
          <w:tcPr>
            <w:tcW w:w="1843" w:type="dxa"/>
          </w:tcPr>
          <w:p w:rsidR="0075777C" w:rsidRPr="00A17B9D" w:rsidRDefault="00A17B9D" w:rsidP="00C41039">
            <w:pPr>
              <w:pStyle w:val="Tabletext"/>
              <w:rPr>
                <w:highlight w:val="black"/>
              </w:rPr>
            </w:pPr>
            <w:r>
              <w:rPr>
                <w:noProof/>
                <w:color w:val="000000"/>
                <w:highlight w:val="black"/>
              </w:rPr>
              <w:t>''''''''''''''''''' ''''''''''''' ''' ''''''''''''</w:t>
            </w:r>
          </w:p>
          <w:p w:rsidR="0075777C" w:rsidRPr="00A17B9D" w:rsidRDefault="00A17B9D" w:rsidP="00C41039">
            <w:pPr>
              <w:pStyle w:val="Tabletext"/>
              <w:rPr>
                <w:highlight w:val="black"/>
              </w:rPr>
            </w:pPr>
            <w:r>
              <w:rPr>
                <w:noProof/>
                <w:color w:val="000000"/>
                <w:highlight w:val="black"/>
              </w:rPr>
              <w:t>''''''''''' ''''''''''''''' ''' ''''''''''''</w:t>
            </w:r>
          </w:p>
        </w:tc>
        <w:tc>
          <w:tcPr>
            <w:tcW w:w="1418" w:type="dxa"/>
          </w:tcPr>
          <w:p w:rsidR="0075777C" w:rsidRPr="00A17B9D" w:rsidRDefault="00A17B9D" w:rsidP="00C41039">
            <w:pPr>
              <w:pStyle w:val="Tabletext"/>
              <w:rPr>
                <w:highlight w:val="black"/>
              </w:rPr>
            </w:pPr>
            <w:r>
              <w:rPr>
                <w:noProof/>
                <w:color w:val="000000"/>
                <w:highlight w:val="black"/>
              </w:rPr>
              <w:t>''''''''''''''''' ''' '''''''''''''</w:t>
            </w:r>
          </w:p>
          <w:p w:rsidR="0075777C" w:rsidRPr="00A17B9D" w:rsidRDefault="00A17B9D" w:rsidP="00C41039">
            <w:pPr>
              <w:pStyle w:val="Tabletext"/>
              <w:rPr>
                <w:highlight w:val="black"/>
              </w:rPr>
            </w:pPr>
            <w:r>
              <w:rPr>
                <w:noProof/>
                <w:color w:val="000000"/>
                <w:highlight w:val="black"/>
              </w:rPr>
              <w:t>''''''''''''''' ''' ''''''''''''</w:t>
            </w:r>
          </w:p>
        </w:tc>
        <w:tc>
          <w:tcPr>
            <w:tcW w:w="1275" w:type="dxa"/>
          </w:tcPr>
          <w:p w:rsidR="0075777C" w:rsidRPr="00A17B9D" w:rsidRDefault="00A17B9D" w:rsidP="00C41039">
            <w:pPr>
              <w:pStyle w:val="Tabletext"/>
              <w:rPr>
                <w:highlight w:val="black"/>
              </w:rPr>
            </w:pPr>
            <w:r>
              <w:rPr>
                <w:noProof/>
                <w:color w:val="000000"/>
                <w:highlight w:val="black"/>
              </w:rPr>
              <w:t>'''''''''''''''''' ''''''''''''</w:t>
            </w:r>
          </w:p>
          <w:p w:rsidR="0075777C" w:rsidRPr="00A17B9D" w:rsidRDefault="00A17B9D" w:rsidP="00C41039">
            <w:pPr>
              <w:pStyle w:val="Tabletext"/>
              <w:rPr>
                <w:highlight w:val="black"/>
              </w:rPr>
            </w:pPr>
            <w:r>
              <w:rPr>
                <w:noProof/>
                <w:color w:val="000000"/>
                <w:highlight w:val="black"/>
              </w:rPr>
              <w:t>''''''''''' '''''''''''''</w:t>
            </w:r>
          </w:p>
        </w:tc>
      </w:tr>
    </w:tbl>
    <w:p w:rsidR="000B12FE" w:rsidRPr="000B12FE" w:rsidRDefault="000B12FE" w:rsidP="00C41039">
      <w:pPr>
        <w:pStyle w:val="Tablenote"/>
      </w:pPr>
      <w:r>
        <w:rPr>
          <w:vertAlign w:val="superscript"/>
        </w:rPr>
        <w:t xml:space="preserve">a </w:t>
      </w:r>
      <w:r>
        <w:t>An increase in EQ-5D indicates better QoL. A decrease in LPH indicates better QoL.</w:t>
      </w:r>
    </w:p>
    <w:p w:rsidR="0075777C" w:rsidRPr="00822C52" w:rsidRDefault="0075777C" w:rsidP="00C41039">
      <w:pPr>
        <w:pStyle w:val="Tablenote"/>
      </w:pPr>
      <w:r w:rsidRPr="00822C52">
        <w:t xml:space="preserve">CI = confidence interval; CSR = clinical </w:t>
      </w:r>
      <w:r w:rsidR="00572AE9">
        <w:t xml:space="preserve">study report; EQ-5D = EuroQol 5 </w:t>
      </w:r>
      <w:r w:rsidRPr="00822C52">
        <w:t>dimension; ERA = endothelin receptor antagonist; LPH = living with pulmonary hypertension; N = number of patients; PAH = pulmonary arterial hypertension; QoL = quality of life; SD = standard deviation</w:t>
      </w:r>
      <w:r w:rsidR="009B47AA">
        <w:t xml:space="preserve">; </w:t>
      </w:r>
      <w:r w:rsidR="009B47AA" w:rsidRPr="009B47AA">
        <w:t>sGC = soluble guanylate cyclase</w:t>
      </w:r>
      <w:r w:rsidR="009B47AA">
        <w:t xml:space="preserve"> stimulator</w:t>
      </w:r>
    </w:p>
    <w:p w:rsidR="0075777C" w:rsidRPr="00822C52" w:rsidRDefault="00761752" w:rsidP="0077344D">
      <w:pPr>
        <w:pStyle w:val="Heading6"/>
      </w:pPr>
      <w:r>
        <w:t>f</w:t>
      </w:r>
      <w:r w:rsidR="0075777C" w:rsidRPr="00822C52">
        <w:t>.ii</w:t>
      </w:r>
      <w:r w:rsidR="0075777C" w:rsidRPr="00822C52">
        <w:tab/>
        <w:t>PAH patients with FC III or IV</w:t>
      </w:r>
    </w:p>
    <w:p w:rsidR="0075777C" w:rsidRPr="006316DF" w:rsidRDefault="0075777C" w:rsidP="0075777C">
      <w:r w:rsidRPr="006316DF">
        <w:t xml:space="preserve">Scores for the EQ-5D questionnaire indicated that QoL </w:t>
      </w:r>
      <w:r w:rsidR="00A17B9D">
        <w:rPr>
          <w:noProof/>
          <w:color w:val="000000"/>
          <w:highlight w:val="black"/>
        </w:rPr>
        <w:t>''''''''''''''''' ''''' ''' ''''''''''''''''' ''''''''''''''''' '''''''''''</w:t>
      </w:r>
      <w:r w:rsidRPr="004A3983">
        <w:t xml:space="preserve"> </w:t>
      </w:r>
      <w:r>
        <w:t>for patients with WHO FC III/IV PAH receiving</w:t>
      </w:r>
      <w:r w:rsidRPr="006316DF">
        <w:t xml:space="preserve"> </w:t>
      </w:r>
      <w:r>
        <w:t xml:space="preserve">combination therapy </w:t>
      </w:r>
      <w:r w:rsidRPr="006316DF">
        <w:t xml:space="preserve">and </w:t>
      </w:r>
      <w:r w:rsidR="00A17B9D">
        <w:rPr>
          <w:noProof/>
          <w:color w:val="000000"/>
          <w:highlight w:val="black"/>
        </w:rPr>
        <w:t>''''''''''''''''''' ''''' '' '''''''''''''''''' '''''''''''''''''''' '''''''''''</w:t>
      </w:r>
      <w:r w:rsidRPr="004A3983">
        <w:t xml:space="preserve"> </w:t>
      </w:r>
      <w:r>
        <w:t>for patients receiving</w:t>
      </w:r>
      <w:r w:rsidRPr="006316DF">
        <w:t xml:space="preserve"> </w:t>
      </w:r>
      <w:r>
        <w:t>monotherapy</w:t>
      </w:r>
      <w:r w:rsidRPr="006316DF">
        <w:t xml:space="preserve"> </w:t>
      </w:r>
      <w:r>
        <w:t>(</w:t>
      </w:r>
      <w:r w:rsidR="00AA722D">
        <w:t>Table 4.</w:t>
      </w:r>
      <w:r w:rsidR="00AA722D">
        <w:rPr>
          <w:noProof/>
        </w:rPr>
        <w:t>97</w:t>
      </w:r>
      <w:r>
        <w:t>)</w:t>
      </w:r>
      <w:r w:rsidRPr="006316DF">
        <w:t xml:space="preserve">. </w:t>
      </w:r>
      <w:r>
        <w:t xml:space="preserve">The mean difference </w:t>
      </w:r>
      <w:r w:rsidR="00A17B9D">
        <w:rPr>
          <w:noProof/>
          <w:color w:val="000000"/>
          <w:highlight w:val="black"/>
        </w:rPr>
        <w:t>''''' ''''''''''</w:t>
      </w:r>
      <w:r w:rsidRPr="004A3983">
        <w:rPr>
          <w:highlight w:val="green"/>
        </w:rPr>
        <w:t xml:space="preserve"> </w:t>
      </w:r>
      <w:r>
        <w:t xml:space="preserve">suggests that </w:t>
      </w:r>
      <w:r w:rsidR="00A17B9D">
        <w:rPr>
          <w:noProof/>
          <w:color w:val="000000"/>
          <w:highlight w:val="black"/>
        </w:rPr>
        <w:t>'''''''''' ''' ''' ''''''''''''''''' '''''''''''''''''' ''''''''''''''''''''''' '''' ''''''''' '''''' '''''''''''''' '''''''' ''''''''''' ''''' ''''''''' ''''''''' '''''''''''''''''' '''''''''''''''''''''''' '''''''''''''' '''''''' ''''''''''''''''''''''''''</w:t>
      </w:r>
      <w:r>
        <w:t>. Similarly, to the LPH s</w:t>
      </w:r>
      <w:r w:rsidRPr="006316DF">
        <w:t xml:space="preserve">cores for </w:t>
      </w:r>
      <w:r>
        <w:t xml:space="preserve">all PAH patients, there was </w:t>
      </w:r>
      <w:r w:rsidR="00A17B9D">
        <w:rPr>
          <w:noProof/>
          <w:color w:val="000000"/>
          <w:highlight w:val="black"/>
        </w:rPr>
        <w:t>'' ''''''''''''''''' '''''''''''''''''''' '''''''''''''''''''''''''''</w:t>
      </w:r>
      <w:r>
        <w:t xml:space="preserve"> in QoL for the combination therapy group, </w:t>
      </w:r>
      <w:r w:rsidR="00A17B9D">
        <w:rPr>
          <w:noProof/>
          <w:color w:val="000000"/>
          <w:highlight w:val="black"/>
        </w:rPr>
        <w:t>'''''' '''''''</w:t>
      </w:r>
      <w:r>
        <w:t xml:space="preserve"> the monotherapy group and the difference between them </w:t>
      </w:r>
      <w:r w:rsidR="00A17B9D">
        <w:rPr>
          <w:noProof/>
          <w:color w:val="000000"/>
          <w:highlight w:val="black"/>
        </w:rPr>
        <w:t>'''''''' ''''''' ''''''''''''''' ''''''''''''''''''''</w:t>
      </w:r>
      <w:r w:rsidRPr="006316DF">
        <w:t>.</w:t>
      </w:r>
    </w:p>
    <w:p w:rsidR="0075777C" w:rsidRDefault="00272F8F" w:rsidP="00BC5A2B">
      <w:pPr>
        <w:pStyle w:val="Caption"/>
      </w:pPr>
      <w:bookmarkStart w:id="283" w:name="_Ref504657614"/>
      <w:bookmarkStart w:id="284" w:name="_Toc512855501"/>
      <w:r>
        <w:lastRenderedPageBreak/>
        <w:t>Table 4.</w:t>
      </w:r>
      <w:r w:rsidR="00AA722D">
        <w:rPr>
          <w:noProof/>
        </w:rPr>
        <w:t>97</w:t>
      </w:r>
      <w:bookmarkEnd w:id="283"/>
      <w:r w:rsidR="00C41039">
        <w:tab/>
      </w:r>
      <w:r w:rsidR="0075777C" w:rsidRPr="00DD7790">
        <w:t xml:space="preserve">The effectiveness of </w:t>
      </w:r>
      <w:r w:rsidR="00E35EDB">
        <w:t xml:space="preserve">a </w:t>
      </w:r>
      <w:r w:rsidR="00E35EDB" w:rsidRPr="00E35EDB">
        <w:t xml:space="preserve">sGC stimulator </w:t>
      </w:r>
      <w:r w:rsidR="007E59EC">
        <w:t>in addition to</w:t>
      </w:r>
      <w:r w:rsidR="007E59EC" w:rsidRPr="00DD7790">
        <w:t xml:space="preserve"> </w:t>
      </w:r>
      <w:r w:rsidR="007E59EC">
        <w:t xml:space="preserve">an </w:t>
      </w:r>
      <w:r w:rsidR="007E59EC" w:rsidRPr="00DD7790">
        <w:t xml:space="preserve">ERA </w:t>
      </w:r>
      <w:r w:rsidR="007E59EC" w:rsidRPr="00AA5E50">
        <w:t xml:space="preserve">compared </w:t>
      </w:r>
      <w:r w:rsidR="007E59EC">
        <w:t>with</w:t>
      </w:r>
      <w:r w:rsidR="007E59EC" w:rsidRPr="00DD7790">
        <w:t xml:space="preserve"> ERA</w:t>
      </w:r>
      <w:r w:rsidR="007E59EC">
        <w:t xml:space="preserve"> monotherapy</w:t>
      </w:r>
      <w:r w:rsidR="007E59EC" w:rsidRPr="00DD7790">
        <w:t xml:space="preserve"> </w:t>
      </w:r>
      <w:r w:rsidR="0075777C" w:rsidRPr="00DD7790">
        <w:t xml:space="preserve">in improving QoL in </w:t>
      </w:r>
      <w:r w:rsidR="0075777C">
        <w:t>patients with WHO FC III</w:t>
      </w:r>
      <w:r w:rsidR="00AA1157">
        <w:t>/</w:t>
      </w:r>
      <w:r w:rsidR="0075777C">
        <w:t>IV PAH</w:t>
      </w:r>
      <w:bookmarkEnd w:id="284"/>
    </w:p>
    <w:tbl>
      <w:tblPr>
        <w:tblStyle w:val="TableGrid"/>
        <w:tblW w:w="9634" w:type="dxa"/>
        <w:tblLook w:val="04A0" w:firstRow="1" w:lastRow="0" w:firstColumn="1" w:lastColumn="0" w:noHBand="0" w:noVBand="1"/>
        <w:tblCaption w:val="The effectiveness of a sGC stimulator in addition to an ERA compared with ERA monotherapy in improving QoL in patients with WHO FC III/IV PAH"/>
      </w:tblPr>
      <w:tblGrid>
        <w:gridCol w:w="1081"/>
        <w:gridCol w:w="885"/>
        <w:gridCol w:w="1782"/>
        <w:gridCol w:w="1259"/>
        <w:gridCol w:w="1958"/>
        <w:gridCol w:w="1398"/>
        <w:gridCol w:w="1271"/>
      </w:tblGrid>
      <w:tr w:rsidR="0075777C" w:rsidTr="00C41039">
        <w:trPr>
          <w:cnfStyle w:val="100000000000" w:firstRow="1" w:lastRow="0" w:firstColumn="0" w:lastColumn="0" w:oddVBand="0" w:evenVBand="0" w:oddHBand="0" w:evenHBand="0" w:firstRowFirstColumn="0" w:firstRowLastColumn="0" w:lastRowFirstColumn="0" w:lastRowLastColumn="0"/>
        </w:trPr>
        <w:tc>
          <w:tcPr>
            <w:tcW w:w="988" w:type="dxa"/>
            <w:vMerge w:val="restart"/>
            <w:shd w:val="clear" w:color="auto" w:fill="BFBFBF" w:themeFill="background1" w:themeFillShade="BF"/>
          </w:tcPr>
          <w:p w:rsidR="0075777C" w:rsidRDefault="0075777C" w:rsidP="00C41039">
            <w:pPr>
              <w:pStyle w:val="Tabletext"/>
              <w:rPr>
                <w:b/>
              </w:rPr>
            </w:pPr>
            <w:r w:rsidRPr="00C41039">
              <w:rPr>
                <w:b/>
              </w:rPr>
              <w:t>Study ID</w:t>
            </w:r>
          </w:p>
          <w:p w:rsidR="00E35EDB" w:rsidRPr="00E35EDB" w:rsidRDefault="00E35EDB" w:rsidP="00C41039">
            <w:pPr>
              <w:pStyle w:val="Tabletext"/>
              <w:rPr>
                <w:b/>
              </w:rPr>
            </w:pPr>
            <w:r w:rsidRPr="00E35EDB">
              <w:rPr>
                <w:b/>
              </w:rPr>
              <w:t>sGC stimulator</w:t>
            </w:r>
          </w:p>
        </w:tc>
        <w:tc>
          <w:tcPr>
            <w:tcW w:w="890" w:type="dxa"/>
            <w:vMerge w:val="restart"/>
            <w:shd w:val="clear" w:color="auto" w:fill="BFBFBF" w:themeFill="background1" w:themeFillShade="BF"/>
          </w:tcPr>
          <w:p w:rsidR="0075777C" w:rsidRPr="00C41039" w:rsidRDefault="0075777C" w:rsidP="00C41039">
            <w:pPr>
              <w:pStyle w:val="Tabletext"/>
              <w:rPr>
                <w:b/>
              </w:rPr>
            </w:pPr>
            <w:r w:rsidRPr="00C41039">
              <w:rPr>
                <w:b/>
              </w:rPr>
              <w:t>N</w:t>
            </w:r>
          </w:p>
          <w:p w:rsidR="0075777C" w:rsidRPr="00C41039" w:rsidRDefault="0075777C" w:rsidP="00C41039">
            <w:pPr>
              <w:pStyle w:val="Tabletext"/>
              <w:rPr>
                <w:b/>
              </w:rPr>
            </w:pPr>
            <w:r w:rsidRPr="00C41039">
              <w:rPr>
                <w:b/>
              </w:rPr>
              <w:t>Time point</w:t>
            </w:r>
          </w:p>
        </w:tc>
        <w:tc>
          <w:tcPr>
            <w:tcW w:w="3079" w:type="dxa"/>
            <w:gridSpan w:val="2"/>
            <w:shd w:val="clear" w:color="auto" w:fill="BFBFBF" w:themeFill="background1" w:themeFillShade="BF"/>
          </w:tcPr>
          <w:p w:rsidR="0075777C" w:rsidRPr="00C41039" w:rsidRDefault="00237FAE" w:rsidP="00237FAE">
            <w:pPr>
              <w:pStyle w:val="Tabletext"/>
              <w:jc w:val="center"/>
              <w:rPr>
                <w:b/>
              </w:rPr>
            </w:pPr>
            <w:r>
              <w:rPr>
                <w:b/>
              </w:rPr>
              <w:t>M</w:t>
            </w:r>
            <w:r w:rsidRPr="00C41039">
              <w:rPr>
                <w:b/>
              </w:rPr>
              <w:t xml:space="preserve">ean ± SD </w:t>
            </w:r>
            <w:r>
              <w:rPr>
                <w:b/>
              </w:rPr>
              <w:t>b</w:t>
            </w:r>
            <w:r w:rsidR="0075777C" w:rsidRPr="00C41039">
              <w:rPr>
                <w:b/>
              </w:rPr>
              <w:t>aseline QoL</w:t>
            </w:r>
          </w:p>
        </w:tc>
        <w:tc>
          <w:tcPr>
            <w:tcW w:w="3402" w:type="dxa"/>
            <w:gridSpan w:val="2"/>
            <w:shd w:val="clear" w:color="auto" w:fill="BFBFBF" w:themeFill="background1" w:themeFillShade="BF"/>
          </w:tcPr>
          <w:p w:rsidR="0075777C" w:rsidRPr="00C41039" w:rsidRDefault="0075777C" w:rsidP="00237FAE">
            <w:pPr>
              <w:pStyle w:val="Tabletext"/>
              <w:jc w:val="center"/>
              <w:rPr>
                <w:b/>
              </w:rPr>
            </w:pPr>
            <w:r w:rsidRPr="00C41039">
              <w:rPr>
                <w:b/>
              </w:rPr>
              <w:t xml:space="preserve">Mean </w:t>
            </w:r>
            <w:r w:rsidR="00237FAE" w:rsidRPr="00C41039">
              <w:rPr>
                <w:b/>
              </w:rPr>
              <w:t xml:space="preserve">± SD </w:t>
            </w:r>
            <w:r w:rsidRPr="00C41039">
              <w:rPr>
                <w:b/>
              </w:rPr>
              <w:t>change from baseline</w:t>
            </w:r>
          </w:p>
        </w:tc>
        <w:tc>
          <w:tcPr>
            <w:tcW w:w="1275" w:type="dxa"/>
            <w:vMerge w:val="restart"/>
            <w:shd w:val="clear" w:color="auto" w:fill="BFBFBF" w:themeFill="background1" w:themeFillShade="BF"/>
          </w:tcPr>
          <w:p w:rsidR="0075777C" w:rsidRPr="00C41039" w:rsidRDefault="0075777C" w:rsidP="00C41039">
            <w:pPr>
              <w:pStyle w:val="Tabletext"/>
              <w:rPr>
                <w:b/>
              </w:rPr>
            </w:pPr>
            <w:r w:rsidRPr="00C41039">
              <w:rPr>
                <w:b/>
              </w:rPr>
              <w:t>Mean difference</w:t>
            </w:r>
            <w:r w:rsidR="00E35EDB">
              <w:rPr>
                <w:b/>
              </w:rPr>
              <w:t>, points</w:t>
            </w:r>
            <w:r w:rsidRPr="00C41039">
              <w:rPr>
                <w:b/>
              </w:rPr>
              <w:t xml:space="preserve"> (95% CI)</w:t>
            </w:r>
          </w:p>
        </w:tc>
      </w:tr>
      <w:tr w:rsidR="0075777C" w:rsidTr="00C41039">
        <w:tc>
          <w:tcPr>
            <w:tcW w:w="988" w:type="dxa"/>
            <w:vMerge/>
          </w:tcPr>
          <w:p w:rsidR="0075777C" w:rsidRDefault="0075777C" w:rsidP="00C41039">
            <w:pPr>
              <w:pStyle w:val="Tabletext"/>
            </w:pPr>
          </w:p>
        </w:tc>
        <w:tc>
          <w:tcPr>
            <w:tcW w:w="890" w:type="dxa"/>
            <w:vMerge/>
          </w:tcPr>
          <w:p w:rsidR="0075777C" w:rsidRDefault="0075777C" w:rsidP="00C41039">
            <w:pPr>
              <w:pStyle w:val="Tabletext"/>
            </w:pPr>
          </w:p>
        </w:tc>
        <w:tc>
          <w:tcPr>
            <w:tcW w:w="1803" w:type="dxa"/>
            <w:shd w:val="clear" w:color="auto" w:fill="BFBFBF" w:themeFill="background1" w:themeFillShade="BF"/>
          </w:tcPr>
          <w:p w:rsidR="0075777C" w:rsidRPr="00C41039" w:rsidRDefault="00E35EDB" w:rsidP="00534ADA">
            <w:pPr>
              <w:pStyle w:val="Tabletext"/>
              <w:jc w:val="center"/>
              <w:rPr>
                <w:b/>
              </w:rPr>
            </w:pPr>
            <w:r w:rsidRPr="00E35EDB">
              <w:rPr>
                <w:b/>
              </w:rPr>
              <w:t xml:space="preserve">sGC stimulator </w:t>
            </w:r>
            <w:r w:rsidR="0075777C" w:rsidRPr="00C41039">
              <w:rPr>
                <w:b/>
              </w:rPr>
              <w:t>+ ERA</w:t>
            </w:r>
          </w:p>
        </w:tc>
        <w:tc>
          <w:tcPr>
            <w:tcW w:w="1276" w:type="dxa"/>
            <w:shd w:val="clear" w:color="auto" w:fill="BFBFBF" w:themeFill="background1" w:themeFillShade="BF"/>
          </w:tcPr>
          <w:p w:rsidR="0075777C" w:rsidRPr="00C41039" w:rsidRDefault="0075777C" w:rsidP="00534ADA">
            <w:pPr>
              <w:pStyle w:val="Tabletext"/>
              <w:jc w:val="center"/>
              <w:rPr>
                <w:b/>
              </w:rPr>
            </w:pPr>
            <w:r w:rsidRPr="00C41039">
              <w:rPr>
                <w:b/>
              </w:rPr>
              <w:t>ERA</w:t>
            </w:r>
          </w:p>
        </w:tc>
        <w:tc>
          <w:tcPr>
            <w:tcW w:w="1984" w:type="dxa"/>
            <w:shd w:val="clear" w:color="auto" w:fill="BFBFBF" w:themeFill="background1" w:themeFillShade="BF"/>
          </w:tcPr>
          <w:p w:rsidR="0075777C" w:rsidRPr="00C41039" w:rsidRDefault="00E35EDB" w:rsidP="00534ADA">
            <w:pPr>
              <w:pStyle w:val="Tabletext"/>
              <w:jc w:val="center"/>
              <w:rPr>
                <w:b/>
              </w:rPr>
            </w:pPr>
            <w:r w:rsidRPr="00E35EDB">
              <w:rPr>
                <w:b/>
              </w:rPr>
              <w:t xml:space="preserve">sGC stimulator </w:t>
            </w:r>
            <w:r w:rsidR="0075777C" w:rsidRPr="00C41039">
              <w:rPr>
                <w:b/>
              </w:rPr>
              <w:t>+ ERA</w:t>
            </w:r>
          </w:p>
        </w:tc>
        <w:tc>
          <w:tcPr>
            <w:tcW w:w="1418" w:type="dxa"/>
            <w:shd w:val="clear" w:color="auto" w:fill="BFBFBF" w:themeFill="background1" w:themeFillShade="BF"/>
          </w:tcPr>
          <w:p w:rsidR="0075777C" w:rsidRPr="00C41039" w:rsidRDefault="0075777C" w:rsidP="00534ADA">
            <w:pPr>
              <w:pStyle w:val="Tabletext"/>
              <w:jc w:val="center"/>
              <w:rPr>
                <w:b/>
              </w:rPr>
            </w:pPr>
            <w:r w:rsidRPr="00C41039">
              <w:rPr>
                <w:b/>
              </w:rPr>
              <w:t>ERA</w:t>
            </w:r>
          </w:p>
        </w:tc>
        <w:tc>
          <w:tcPr>
            <w:tcW w:w="1275" w:type="dxa"/>
            <w:vMerge/>
          </w:tcPr>
          <w:p w:rsidR="0075777C" w:rsidRDefault="0075777C" w:rsidP="00C41039">
            <w:pPr>
              <w:pStyle w:val="Tabletext"/>
            </w:pPr>
          </w:p>
        </w:tc>
      </w:tr>
      <w:tr w:rsidR="0075777C" w:rsidTr="00C41039">
        <w:tc>
          <w:tcPr>
            <w:tcW w:w="988" w:type="dxa"/>
          </w:tcPr>
          <w:p w:rsidR="0075777C" w:rsidRDefault="0075777C" w:rsidP="00C41039">
            <w:pPr>
              <w:pStyle w:val="Tabletext"/>
              <w:rPr>
                <w:rFonts w:cs="Tahoma"/>
              </w:rPr>
            </w:pPr>
            <w:r w:rsidRPr="00822C52">
              <w:rPr>
                <w:rFonts w:cs="Tahoma"/>
              </w:rPr>
              <w:t>PATENT-1</w:t>
            </w:r>
            <w:r w:rsidRPr="00817DE4">
              <w:rPr>
                <w:rFonts w:cs="Tahoma"/>
                <w:vertAlign w:val="superscript"/>
              </w:rPr>
              <w:t>a</w:t>
            </w:r>
            <w:r w:rsidRPr="00822C52">
              <w:rPr>
                <w:rFonts w:cs="Tahoma"/>
              </w:rPr>
              <w:t xml:space="preserve"> CSR</w:t>
            </w:r>
          </w:p>
          <w:p w:rsidR="00E35EDB" w:rsidRPr="00E35EDB" w:rsidRDefault="00E35EDB" w:rsidP="00C41039">
            <w:pPr>
              <w:pStyle w:val="Tabletext"/>
            </w:pPr>
            <w:r w:rsidRPr="00E35EDB">
              <w:t>Riociguat</w:t>
            </w:r>
          </w:p>
        </w:tc>
        <w:tc>
          <w:tcPr>
            <w:tcW w:w="890" w:type="dxa"/>
          </w:tcPr>
          <w:p w:rsidR="0075777C" w:rsidRPr="00822C52" w:rsidRDefault="0075777C" w:rsidP="00C41039">
            <w:pPr>
              <w:pStyle w:val="Tabletext"/>
              <w:rPr>
                <w:rFonts w:cs="Tahoma"/>
              </w:rPr>
            </w:pPr>
            <w:r w:rsidRPr="00822C52">
              <w:rPr>
                <w:rFonts w:cs="Tahoma"/>
              </w:rPr>
              <w:t>N=1</w:t>
            </w:r>
            <w:r>
              <w:rPr>
                <w:rFonts w:cs="Tahoma"/>
              </w:rPr>
              <w:t>20</w:t>
            </w:r>
          </w:p>
          <w:p w:rsidR="0075777C" w:rsidRDefault="0075777C" w:rsidP="00C41039">
            <w:pPr>
              <w:pStyle w:val="Tabletext"/>
            </w:pPr>
            <w:r w:rsidRPr="00822C52">
              <w:rPr>
                <w:rFonts w:cs="Tahoma"/>
              </w:rPr>
              <w:t>Week 12</w:t>
            </w:r>
          </w:p>
        </w:tc>
        <w:tc>
          <w:tcPr>
            <w:tcW w:w="1803" w:type="dxa"/>
          </w:tcPr>
          <w:p w:rsidR="0075777C" w:rsidRPr="00A17B9D" w:rsidRDefault="00A17B9D" w:rsidP="00C41039">
            <w:pPr>
              <w:pStyle w:val="Tabletext"/>
              <w:rPr>
                <w:highlight w:val="black"/>
              </w:rPr>
            </w:pPr>
            <w:r>
              <w:rPr>
                <w:noProof/>
                <w:color w:val="000000"/>
                <w:highlight w:val="black"/>
              </w:rPr>
              <w:t>''''''''''''''''''' '''''''''''''' ''' '''''''''''''</w:t>
            </w:r>
          </w:p>
          <w:p w:rsidR="0075777C" w:rsidRPr="00A17B9D" w:rsidRDefault="00A17B9D" w:rsidP="00C41039">
            <w:pPr>
              <w:pStyle w:val="Tabletext"/>
              <w:rPr>
                <w:highlight w:val="black"/>
              </w:rPr>
            </w:pPr>
            <w:r>
              <w:rPr>
                <w:noProof/>
                <w:color w:val="000000"/>
                <w:highlight w:val="black"/>
              </w:rPr>
              <w:t>'''''''''''''' '''''''''''''' ''' ''''''''''''''</w:t>
            </w:r>
          </w:p>
        </w:tc>
        <w:tc>
          <w:tcPr>
            <w:tcW w:w="1276" w:type="dxa"/>
          </w:tcPr>
          <w:p w:rsidR="0075777C" w:rsidRPr="00A17B9D" w:rsidRDefault="00A17B9D" w:rsidP="00C41039">
            <w:pPr>
              <w:pStyle w:val="Tabletext"/>
              <w:rPr>
                <w:highlight w:val="black"/>
              </w:rPr>
            </w:pPr>
            <w:r>
              <w:rPr>
                <w:noProof/>
                <w:color w:val="000000"/>
                <w:highlight w:val="black"/>
              </w:rPr>
              <w:t>'''''''''''' ''' '''''''''''''''</w:t>
            </w:r>
          </w:p>
          <w:p w:rsidR="0075777C" w:rsidRPr="00A17B9D" w:rsidRDefault="00A17B9D" w:rsidP="00C41039">
            <w:pPr>
              <w:pStyle w:val="Tabletext"/>
              <w:rPr>
                <w:highlight w:val="black"/>
              </w:rPr>
            </w:pPr>
            <w:r>
              <w:rPr>
                <w:noProof/>
                <w:color w:val="000000"/>
                <w:highlight w:val="black"/>
              </w:rPr>
              <w:t>''''''''''''' ''' ''''''''''''</w:t>
            </w:r>
          </w:p>
        </w:tc>
        <w:tc>
          <w:tcPr>
            <w:tcW w:w="1984" w:type="dxa"/>
          </w:tcPr>
          <w:p w:rsidR="0075777C" w:rsidRPr="00A17B9D" w:rsidRDefault="00A17B9D" w:rsidP="00C41039">
            <w:pPr>
              <w:pStyle w:val="Tabletext"/>
              <w:rPr>
                <w:highlight w:val="black"/>
              </w:rPr>
            </w:pPr>
            <w:r>
              <w:rPr>
                <w:noProof/>
                <w:color w:val="000000"/>
                <w:highlight w:val="black"/>
              </w:rPr>
              <w:t>''''''''''''''''''' ''''''''''''' ''' ''''''''''''''</w:t>
            </w:r>
          </w:p>
          <w:p w:rsidR="0075777C" w:rsidRPr="00A17B9D" w:rsidRDefault="00A17B9D" w:rsidP="00C41039">
            <w:pPr>
              <w:pStyle w:val="Tabletext"/>
              <w:rPr>
                <w:highlight w:val="black"/>
              </w:rPr>
            </w:pPr>
            <w:r>
              <w:rPr>
                <w:noProof/>
                <w:color w:val="000000"/>
                <w:highlight w:val="black"/>
              </w:rPr>
              <w:t>''''''''''''' ''''''''''''' ''' '''''''''''''</w:t>
            </w:r>
          </w:p>
        </w:tc>
        <w:tc>
          <w:tcPr>
            <w:tcW w:w="1418" w:type="dxa"/>
          </w:tcPr>
          <w:p w:rsidR="0075777C" w:rsidRPr="00A17B9D" w:rsidRDefault="00A17B9D" w:rsidP="00C41039">
            <w:pPr>
              <w:pStyle w:val="Tabletext"/>
              <w:rPr>
                <w:highlight w:val="black"/>
              </w:rPr>
            </w:pPr>
            <w:r>
              <w:rPr>
                <w:noProof/>
                <w:color w:val="000000"/>
                <w:highlight w:val="black"/>
              </w:rPr>
              <w:t>'''''''''''''''' ''' '''''''''''''''</w:t>
            </w:r>
          </w:p>
          <w:p w:rsidR="0075777C" w:rsidRPr="00A17B9D" w:rsidRDefault="00A17B9D" w:rsidP="00C41039">
            <w:pPr>
              <w:pStyle w:val="Tabletext"/>
              <w:rPr>
                <w:highlight w:val="black"/>
              </w:rPr>
            </w:pPr>
            <w:r>
              <w:rPr>
                <w:noProof/>
                <w:color w:val="000000"/>
                <w:highlight w:val="black"/>
              </w:rPr>
              <w:t>'''''''''''''' ''' ''''''''''''''</w:t>
            </w:r>
          </w:p>
        </w:tc>
        <w:tc>
          <w:tcPr>
            <w:tcW w:w="1275" w:type="dxa"/>
          </w:tcPr>
          <w:p w:rsidR="0075777C" w:rsidRPr="00A17B9D" w:rsidRDefault="00A17B9D" w:rsidP="00C41039">
            <w:pPr>
              <w:pStyle w:val="Tabletext"/>
              <w:rPr>
                <w:highlight w:val="black"/>
              </w:rPr>
            </w:pPr>
            <w:r>
              <w:rPr>
                <w:noProof/>
                <w:color w:val="000000"/>
                <w:highlight w:val="black"/>
              </w:rPr>
              <w:t>'''''''''''''''''' ''''''''''''</w:t>
            </w:r>
          </w:p>
          <w:p w:rsidR="0075777C" w:rsidRPr="00A17B9D" w:rsidRDefault="00A17B9D" w:rsidP="00C41039">
            <w:pPr>
              <w:pStyle w:val="Tabletext"/>
              <w:rPr>
                <w:highlight w:val="black"/>
              </w:rPr>
            </w:pPr>
            <w:r>
              <w:rPr>
                <w:noProof/>
                <w:color w:val="000000"/>
                <w:highlight w:val="black"/>
              </w:rPr>
              <w:t>''''''''''' ''''''''''''''</w:t>
            </w:r>
          </w:p>
        </w:tc>
      </w:tr>
    </w:tbl>
    <w:p w:rsidR="000B12FE" w:rsidRPr="000B12FE" w:rsidRDefault="000B12FE" w:rsidP="000B12FE">
      <w:pPr>
        <w:pStyle w:val="Tablenote"/>
      </w:pPr>
      <w:r>
        <w:rPr>
          <w:vertAlign w:val="superscript"/>
        </w:rPr>
        <w:t xml:space="preserve">a </w:t>
      </w:r>
      <w:r>
        <w:t>An increase in EQ-5D indicates better QoL. A decrease in LPH indicates better QoL.</w:t>
      </w:r>
    </w:p>
    <w:p w:rsidR="0075777C" w:rsidRDefault="0075777C" w:rsidP="00C41039">
      <w:pPr>
        <w:pStyle w:val="Tablenote"/>
      </w:pPr>
      <w:r w:rsidRPr="00817DE4">
        <w:rPr>
          <w:vertAlign w:val="superscript"/>
        </w:rPr>
        <w:t>a</w:t>
      </w:r>
      <w:r>
        <w:t xml:space="preserve"> 14% of patients had background </w:t>
      </w:r>
      <w:r w:rsidR="0017012F">
        <w:t>prostanoid</w:t>
      </w:r>
      <w:r>
        <w:t xml:space="preserve"> therapy</w:t>
      </w:r>
    </w:p>
    <w:p w:rsidR="0075777C" w:rsidRPr="00822C52" w:rsidRDefault="0075777C" w:rsidP="00C41039">
      <w:pPr>
        <w:pStyle w:val="Tablenote"/>
      </w:pPr>
      <w:r w:rsidRPr="00822C52">
        <w:t xml:space="preserve">CI = confidence interval; CSR = clinical </w:t>
      </w:r>
      <w:r w:rsidR="00572AE9">
        <w:t xml:space="preserve">study report; EQ-5D = EuroQol 5 </w:t>
      </w:r>
      <w:r w:rsidRPr="00822C52">
        <w:t xml:space="preserve">dimension; ERA = endothelin receptor antagonist; FC = functional class; LPH = living with pulmonary hypertension; N = number of patients; PAH = pulmonary arterial hypertension; QoL = quality of life; SD = standard deviation; </w:t>
      </w:r>
      <w:r w:rsidR="009B47AA" w:rsidRPr="009B47AA">
        <w:t xml:space="preserve">sGC = soluble guanylate cyclase; </w:t>
      </w:r>
      <w:r w:rsidRPr="00822C52">
        <w:t>WHO = World Health Organization</w:t>
      </w:r>
    </w:p>
    <w:p w:rsidR="00761752" w:rsidRPr="006316DF" w:rsidRDefault="00761752" w:rsidP="00761752">
      <w:pPr>
        <w:pStyle w:val="Heading5"/>
      </w:pPr>
      <w:r>
        <w:t>g.</w:t>
      </w:r>
      <w:r>
        <w:tab/>
      </w:r>
      <w:r w:rsidRPr="006316DF">
        <w:t xml:space="preserve">Change in </w:t>
      </w:r>
      <w:r>
        <w:t>haemodynamic parameters</w:t>
      </w:r>
      <w:r w:rsidRPr="006316DF">
        <w:t xml:space="preserve"> from baseline</w:t>
      </w:r>
    </w:p>
    <w:p w:rsidR="00761752" w:rsidRPr="00822C52" w:rsidRDefault="00761752" w:rsidP="00761752">
      <w:pPr>
        <w:pStyle w:val="Heading6"/>
      </w:pPr>
      <w:r>
        <w:t>g</w:t>
      </w:r>
      <w:r w:rsidRPr="00822C52">
        <w:t>.i</w:t>
      </w:r>
      <w:r w:rsidRPr="00822C52">
        <w:tab/>
        <w:t>PAH patients, irrespective of disease severity or aetiology</w:t>
      </w:r>
    </w:p>
    <w:p w:rsidR="00761752" w:rsidRPr="008F78A0" w:rsidRDefault="00761752" w:rsidP="00761752">
      <w:r>
        <w:t xml:space="preserve">In the PATENT-1 trial, </w:t>
      </w:r>
      <w:r w:rsidRPr="000175C0">
        <w:t>patients who were receiving background therapy with a</w:t>
      </w:r>
      <w:r>
        <w:t>n</w:t>
      </w:r>
      <w:r w:rsidRPr="000175C0">
        <w:t xml:space="preserve"> </w:t>
      </w:r>
      <w:r>
        <w:t>ERA</w:t>
      </w:r>
      <w:r w:rsidRPr="000175C0">
        <w:t xml:space="preserve"> and were randomised </w:t>
      </w:r>
      <w:r>
        <w:t xml:space="preserve">to riociguat treatment had a mean baseline PVR </w:t>
      </w:r>
      <w:r w:rsidR="00A17B9D">
        <w:rPr>
          <w:noProof/>
          <w:color w:val="000000"/>
          <w:highlight w:val="black"/>
        </w:rPr>
        <w:t>'''''''''''' ''''''''''</w:t>
      </w:r>
      <w:r>
        <w:t xml:space="preserve"> than those who were randomised to placebo, but both groups are well above the </w:t>
      </w:r>
      <w:r w:rsidRPr="00544FB4">
        <w:t xml:space="preserve">normal </w:t>
      </w:r>
      <w:r>
        <w:t xml:space="preserve">laboratory </w:t>
      </w:r>
      <w:r w:rsidRPr="00544FB4">
        <w:t xml:space="preserve">PVR in adults </w:t>
      </w:r>
      <w:r>
        <w:t>of</w:t>
      </w:r>
      <w:r w:rsidRPr="00544FB4">
        <w:t xml:space="preserve"> &lt;250 dyn</w:t>
      </w:r>
      <w:r w:rsidR="004776AC">
        <w:t>*</w:t>
      </w:r>
      <w:r w:rsidRPr="00544FB4">
        <w:t>sec</w:t>
      </w:r>
      <w:r w:rsidR="004776AC">
        <w:t>*</w:t>
      </w:r>
      <w:r w:rsidRPr="00544FB4">
        <w:t>cm</w:t>
      </w:r>
      <w:r w:rsidR="004776AC" w:rsidRPr="004776AC">
        <w:rPr>
          <w:vertAlign w:val="superscript"/>
        </w:rPr>
        <w:t>-</w:t>
      </w:r>
      <w:r w:rsidRPr="000E7DA6">
        <w:rPr>
          <w:vertAlign w:val="superscript"/>
        </w:rPr>
        <w:t>5</w:t>
      </w:r>
      <w:r>
        <w:t xml:space="preserve">. Any confounding of the treatment effect would </w:t>
      </w:r>
      <w:r w:rsidR="00A17B9D">
        <w:rPr>
          <w:noProof/>
          <w:color w:val="000000"/>
          <w:highlight w:val="black"/>
        </w:rPr>
        <w:t>''''''''''' ''''''' '''''''''''' ''''''''''''''''''' ''''''''''''</w:t>
      </w:r>
      <w:r>
        <w:t xml:space="preserve">. The </w:t>
      </w:r>
      <w:r w:rsidRPr="00544FB4">
        <w:t xml:space="preserve">treatment-naïve patients </w:t>
      </w:r>
      <w:r>
        <w:t>with WHO FC I/II PAH</w:t>
      </w:r>
      <w:r w:rsidRPr="00544FB4">
        <w:t xml:space="preserve"> had a mean </w:t>
      </w:r>
      <w:r>
        <w:t xml:space="preserve">placebo-adjusted </w:t>
      </w:r>
      <w:r w:rsidR="00A17B9D">
        <w:rPr>
          <w:noProof/>
          <w:color w:val="000000"/>
          <w:highlight w:val="black"/>
        </w:rPr>
        <w:t xml:space="preserve">''''''''''''''''' </w:t>
      </w:r>
      <w:r w:rsidRPr="00544FB4">
        <w:t xml:space="preserve">in PVR </w:t>
      </w:r>
      <w:r>
        <w:t xml:space="preserve">of </w:t>
      </w:r>
      <w:r w:rsidR="00A17B9D">
        <w:rPr>
          <w:noProof/>
          <w:color w:val="000000"/>
          <w:highlight w:val="black"/>
        </w:rPr>
        <w:t>''''''''</w:t>
      </w:r>
      <w:r w:rsidRPr="00544FB4">
        <w:t xml:space="preserve"> </w:t>
      </w:r>
      <w:r>
        <w:t>a</w:t>
      </w:r>
      <w:r w:rsidRPr="000E7DA6">
        <w:t xml:space="preserve">fter </w:t>
      </w:r>
      <w:r>
        <w:t>12 weeks</w:t>
      </w:r>
      <w:r w:rsidRPr="000E7DA6">
        <w:t xml:space="preserve"> of riociguat treatment </w:t>
      </w:r>
      <w:r w:rsidRPr="00544FB4">
        <w:t>(</w:t>
      </w:r>
      <w:r w:rsidR="00AA722D">
        <w:t>Table 4.</w:t>
      </w:r>
      <w:r w:rsidR="00AA722D">
        <w:rPr>
          <w:noProof/>
        </w:rPr>
        <w:t>98</w:t>
      </w:r>
      <w:r w:rsidRPr="00544FB4">
        <w:t xml:space="preserve">). </w:t>
      </w:r>
      <w:r w:rsidR="00A17B9D">
        <w:rPr>
          <w:noProof/>
          <w:color w:val="000000"/>
          <w:highlight w:val="black"/>
        </w:rPr>
        <w:t>''' '''' ''''''''''''''''''' ''' ''''''' ''''''''''''''''' ''' '''' '''''''''''' ''''''''''''''''''''''' ''''''''''' '''''' '''''''''' '''''''''''''''' '''' '''''''''''''''' ''''''''''' '''''''' ''''''''''''</w:t>
      </w:r>
    </w:p>
    <w:p w:rsidR="00761752" w:rsidRDefault="00761752" w:rsidP="00761752">
      <w:pPr>
        <w:pStyle w:val="Caption"/>
      </w:pPr>
      <w:bookmarkStart w:id="285" w:name="_Ref506308311"/>
      <w:bookmarkStart w:id="286" w:name="_Toc512855502"/>
      <w:r>
        <w:t>Table 4.</w:t>
      </w:r>
      <w:r w:rsidR="00AA722D">
        <w:rPr>
          <w:noProof/>
        </w:rPr>
        <w:t>98</w:t>
      </w:r>
      <w:bookmarkEnd w:id="285"/>
      <w:r>
        <w:tab/>
      </w:r>
      <w:r w:rsidRPr="006316DF">
        <w:t xml:space="preserve">The effectiveness of </w:t>
      </w:r>
      <w:r w:rsidR="00E35EDB">
        <w:t xml:space="preserve">a </w:t>
      </w:r>
      <w:r w:rsidR="00E35EDB" w:rsidRPr="00E35EDB">
        <w:t xml:space="preserve">sGC stimulator </w:t>
      </w:r>
      <w:r w:rsidR="007E59EC">
        <w:t>in addition to</w:t>
      </w:r>
      <w:r w:rsidR="007E59EC" w:rsidRPr="00DD7790">
        <w:t xml:space="preserve"> </w:t>
      </w:r>
      <w:r w:rsidR="007E59EC">
        <w:t xml:space="preserve">an </w:t>
      </w:r>
      <w:r w:rsidR="007E59EC" w:rsidRPr="00DD7790">
        <w:t xml:space="preserve">ERA </w:t>
      </w:r>
      <w:r w:rsidR="007E59EC" w:rsidRPr="00AA5E50">
        <w:t xml:space="preserve">compared </w:t>
      </w:r>
      <w:r w:rsidR="007E59EC">
        <w:t>with</w:t>
      </w:r>
      <w:r w:rsidR="007E59EC" w:rsidRPr="00DD7790">
        <w:t xml:space="preserve"> ERA</w:t>
      </w:r>
      <w:r w:rsidR="007E59EC">
        <w:t xml:space="preserve"> monotherapy</w:t>
      </w:r>
      <w:r w:rsidR="007E59EC" w:rsidRPr="006316DF">
        <w:t xml:space="preserve"> </w:t>
      </w:r>
      <w:r w:rsidRPr="006316DF">
        <w:t xml:space="preserve">in improving </w:t>
      </w:r>
      <w:r>
        <w:t>PVR</w:t>
      </w:r>
      <w:r w:rsidRPr="00B642BB">
        <w:t xml:space="preserve"> in </w:t>
      </w:r>
      <w:r w:rsidR="00DB6ACB">
        <w:t>all</w:t>
      </w:r>
      <w:r>
        <w:t xml:space="preserve"> PAH </w:t>
      </w:r>
      <w:r w:rsidR="00DB6ACB">
        <w:t>patients</w:t>
      </w:r>
      <w:bookmarkEnd w:id="286"/>
    </w:p>
    <w:tbl>
      <w:tblPr>
        <w:tblStyle w:val="TableGrid"/>
        <w:tblW w:w="9634" w:type="dxa"/>
        <w:tblLayout w:type="fixed"/>
        <w:tblLook w:val="04A0" w:firstRow="1" w:lastRow="0" w:firstColumn="1" w:lastColumn="0" w:noHBand="0" w:noVBand="1"/>
        <w:tblCaption w:val="The effectiveness of a sGC stimulator in addition to an ERA compared with ERA monotherapy in improving PVR in all PAH patients"/>
      </w:tblPr>
      <w:tblGrid>
        <w:gridCol w:w="1271"/>
        <w:gridCol w:w="851"/>
        <w:gridCol w:w="1736"/>
        <w:gridCol w:w="1240"/>
        <w:gridCol w:w="1666"/>
        <w:gridCol w:w="1453"/>
        <w:gridCol w:w="1417"/>
      </w:tblGrid>
      <w:tr w:rsidR="00761752" w:rsidTr="00087C8E">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761752" w:rsidRPr="00FA2050" w:rsidRDefault="00761752" w:rsidP="00973227">
            <w:pPr>
              <w:pStyle w:val="Tabletext"/>
              <w:rPr>
                <w:b/>
              </w:rPr>
            </w:pPr>
            <w:r w:rsidRPr="00FA2050">
              <w:rPr>
                <w:b/>
              </w:rPr>
              <w:t>Study ID</w:t>
            </w:r>
          </w:p>
          <w:p w:rsidR="00087C8E" w:rsidRPr="00FA2050" w:rsidRDefault="00087C8E" w:rsidP="00973227">
            <w:pPr>
              <w:pStyle w:val="Tabletext"/>
              <w:rPr>
                <w:b/>
              </w:rPr>
            </w:pPr>
            <w:r w:rsidRPr="00FA2050">
              <w:rPr>
                <w:b/>
              </w:rPr>
              <w:t>sGC stimulator</w:t>
            </w:r>
          </w:p>
        </w:tc>
        <w:tc>
          <w:tcPr>
            <w:tcW w:w="851" w:type="dxa"/>
            <w:vMerge w:val="restart"/>
            <w:shd w:val="clear" w:color="auto" w:fill="BFBFBF" w:themeFill="background1" w:themeFillShade="BF"/>
          </w:tcPr>
          <w:p w:rsidR="00761752" w:rsidRPr="00FA2050" w:rsidRDefault="00761752" w:rsidP="00973227">
            <w:pPr>
              <w:pStyle w:val="Tabletext"/>
              <w:rPr>
                <w:b/>
              </w:rPr>
            </w:pPr>
            <w:r w:rsidRPr="00FA2050">
              <w:rPr>
                <w:b/>
              </w:rPr>
              <w:t>N</w:t>
            </w:r>
          </w:p>
          <w:p w:rsidR="00761752" w:rsidRPr="00FA2050" w:rsidRDefault="00761752" w:rsidP="00973227">
            <w:pPr>
              <w:pStyle w:val="Tabletext"/>
              <w:rPr>
                <w:b/>
              </w:rPr>
            </w:pPr>
            <w:r w:rsidRPr="00FA2050">
              <w:rPr>
                <w:b/>
              </w:rPr>
              <w:t>Follow-up period</w:t>
            </w:r>
          </w:p>
        </w:tc>
        <w:tc>
          <w:tcPr>
            <w:tcW w:w="2976" w:type="dxa"/>
            <w:gridSpan w:val="2"/>
            <w:shd w:val="clear" w:color="auto" w:fill="BFBFBF" w:themeFill="background1" w:themeFillShade="BF"/>
          </w:tcPr>
          <w:p w:rsidR="00761752" w:rsidRPr="00FA2050" w:rsidRDefault="00761752" w:rsidP="00973227">
            <w:pPr>
              <w:pStyle w:val="Tabletext"/>
              <w:jc w:val="center"/>
              <w:rPr>
                <w:b/>
              </w:rPr>
            </w:pPr>
            <w:r w:rsidRPr="00FA2050">
              <w:rPr>
                <w:b/>
              </w:rPr>
              <w:t>Mean ± SD baseline PVR</w:t>
            </w:r>
            <w:r w:rsidR="000B12FE" w:rsidRPr="000B12FE">
              <w:rPr>
                <w:b/>
                <w:vertAlign w:val="superscript"/>
              </w:rPr>
              <w:t>a</w:t>
            </w:r>
            <w:r w:rsidRPr="00FA2050">
              <w:rPr>
                <w:b/>
              </w:rPr>
              <w:t xml:space="preserve">, </w:t>
            </w:r>
            <w:r w:rsidR="00747709" w:rsidRPr="00747709">
              <w:rPr>
                <w:b/>
              </w:rPr>
              <w:t>dyn*sec*cm</w:t>
            </w:r>
            <w:r w:rsidR="00747709" w:rsidRPr="00747709">
              <w:rPr>
                <w:b/>
                <w:vertAlign w:val="superscript"/>
              </w:rPr>
              <w:t>-5</w:t>
            </w:r>
          </w:p>
        </w:tc>
        <w:tc>
          <w:tcPr>
            <w:tcW w:w="3119" w:type="dxa"/>
            <w:gridSpan w:val="2"/>
            <w:shd w:val="clear" w:color="auto" w:fill="BFBFBF" w:themeFill="background1" w:themeFillShade="BF"/>
          </w:tcPr>
          <w:p w:rsidR="00761752" w:rsidRPr="00FA2050" w:rsidRDefault="00761752" w:rsidP="00237FAE">
            <w:pPr>
              <w:pStyle w:val="Tabletext"/>
              <w:jc w:val="center"/>
              <w:rPr>
                <w:b/>
              </w:rPr>
            </w:pPr>
            <w:r w:rsidRPr="00FA2050">
              <w:rPr>
                <w:b/>
              </w:rPr>
              <w:t>Mean</w:t>
            </w:r>
            <w:r w:rsidR="0095089E" w:rsidRPr="00FA2050">
              <w:rPr>
                <w:b/>
              </w:rPr>
              <w:t xml:space="preserve"> ± SD</w:t>
            </w:r>
            <w:r w:rsidRPr="00FA2050">
              <w:rPr>
                <w:b/>
              </w:rPr>
              <w:t xml:space="preserve"> c</w:t>
            </w:r>
            <w:r w:rsidR="0095089E" w:rsidRPr="00FA2050">
              <w:rPr>
                <w:rFonts w:asciiTheme="minorHAnsi" w:hAnsiTheme="minorHAnsi"/>
                <w:b/>
              </w:rPr>
              <w:t>hange from baseline</w:t>
            </w:r>
            <w:r w:rsidRPr="00FA2050">
              <w:rPr>
                <w:b/>
              </w:rPr>
              <w:t xml:space="preserve">, </w:t>
            </w:r>
            <w:r w:rsidR="00747709" w:rsidRPr="00747709">
              <w:rPr>
                <w:b/>
              </w:rPr>
              <w:t>dyn*sec*cm</w:t>
            </w:r>
            <w:r w:rsidR="00747709" w:rsidRPr="00747709">
              <w:rPr>
                <w:b/>
                <w:vertAlign w:val="superscript"/>
              </w:rPr>
              <w:t>-5</w:t>
            </w:r>
            <w:r w:rsidR="00747709">
              <w:rPr>
                <w:b/>
              </w:rPr>
              <w:t xml:space="preserve"> </w:t>
            </w:r>
            <w:r w:rsidR="00E6350D">
              <w:rPr>
                <w:b/>
              </w:rPr>
              <w:t>(% change from baseline)</w:t>
            </w:r>
          </w:p>
        </w:tc>
        <w:tc>
          <w:tcPr>
            <w:tcW w:w="1417" w:type="dxa"/>
            <w:vMerge w:val="restart"/>
            <w:shd w:val="clear" w:color="auto" w:fill="BFBFBF" w:themeFill="background1" w:themeFillShade="BF"/>
          </w:tcPr>
          <w:p w:rsidR="00761752" w:rsidRPr="00DB5599" w:rsidRDefault="00761752" w:rsidP="00747709">
            <w:pPr>
              <w:pStyle w:val="Tabletext"/>
              <w:rPr>
                <w:b/>
              </w:rPr>
            </w:pPr>
            <w:r w:rsidRPr="00DB5599">
              <w:rPr>
                <w:b/>
              </w:rPr>
              <w:t>Mean d</w:t>
            </w:r>
            <w:r w:rsidRPr="00DB5599">
              <w:rPr>
                <w:rFonts w:asciiTheme="minorHAnsi" w:hAnsiTheme="minorHAnsi"/>
                <w:b/>
              </w:rPr>
              <w:t>ifference</w:t>
            </w:r>
            <w:r w:rsidRPr="00DB5599">
              <w:rPr>
                <w:b/>
              </w:rPr>
              <w:t xml:space="preserve">, </w:t>
            </w:r>
            <w:r w:rsidR="00E6350D">
              <w:rPr>
                <w:b/>
              </w:rPr>
              <w:br/>
            </w:r>
            <w:r w:rsidR="00747709" w:rsidRPr="00747709">
              <w:rPr>
                <w:b/>
              </w:rPr>
              <w:t>dyn*sec*cm</w:t>
            </w:r>
            <w:r w:rsidR="00747709" w:rsidRPr="00747709">
              <w:rPr>
                <w:b/>
                <w:vertAlign w:val="superscript"/>
              </w:rPr>
              <w:t>-5</w:t>
            </w:r>
            <w:r w:rsidR="00747709">
              <w:rPr>
                <w:b/>
              </w:rPr>
              <w:t xml:space="preserve"> </w:t>
            </w:r>
            <w:r w:rsidR="00E6350D">
              <w:rPr>
                <w:b/>
              </w:rPr>
              <w:t>(% change)</w:t>
            </w:r>
          </w:p>
        </w:tc>
      </w:tr>
      <w:tr w:rsidR="00761752" w:rsidTr="00087C8E">
        <w:tc>
          <w:tcPr>
            <w:tcW w:w="1271" w:type="dxa"/>
            <w:vMerge/>
          </w:tcPr>
          <w:p w:rsidR="00761752" w:rsidRPr="00FA2050" w:rsidRDefault="00761752" w:rsidP="00973227">
            <w:pPr>
              <w:pStyle w:val="Tabletext"/>
              <w:rPr>
                <w:b/>
              </w:rPr>
            </w:pPr>
          </w:p>
        </w:tc>
        <w:tc>
          <w:tcPr>
            <w:tcW w:w="851" w:type="dxa"/>
            <w:vMerge/>
          </w:tcPr>
          <w:p w:rsidR="00761752" w:rsidRPr="00FA2050" w:rsidRDefault="00761752" w:rsidP="00973227">
            <w:pPr>
              <w:pStyle w:val="Tabletext"/>
              <w:rPr>
                <w:b/>
              </w:rPr>
            </w:pPr>
          </w:p>
        </w:tc>
        <w:tc>
          <w:tcPr>
            <w:tcW w:w="1736" w:type="dxa"/>
            <w:shd w:val="clear" w:color="auto" w:fill="BFBFBF" w:themeFill="background1" w:themeFillShade="BF"/>
          </w:tcPr>
          <w:p w:rsidR="00761752" w:rsidRPr="00FA2050" w:rsidRDefault="00087C8E" w:rsidP="00087C8E">
            <w:pPr>
              <w:pStyle w:val="Tabletext"/>
              <w:jc w:val="center"/>
              <w:rPr>
                <w:b/>
              </w:rPr>
            </w:pPr>
            <w:r w:rsidRPr="00FA2050">
              <w:rPr>
                <w:b/>
              </w:rPr>
              <w:t xml:space="preserve">sGC stimulator </w:t>
            </w:r>
            <w:r w:rsidR="00761752" w:rsidRPr="00FA2050">
              <w:rPr>
                <w:rFonts w:asciiTheme="minorHAnsi" w:hAnsiTheme="minorHAnsi"/>
                <w:b/>
              </w:rPr>
              <w:t>+ ERA</w:t>
            </w:r>
          </w:p>
        </w:tc>
        <w:tc>
          <w:tcPr>
            <w:tcW w:w="1240" w:type="dxa"/>
            <w:shd w:val="clear" w:color="auto" w:fill="BFBFBF" w:themeFill="background1" w:themeFillShade="BF"/>
          </w:tcPr>
          <w:p w:rsidR="00761752" w:rsidRPr="00FA2050" w:rsidRDefault="00761752" w:rsidP="00973227">
            <w:pPr>
              <w:pStyle w:val="Tabletext"/>
              <w:jc w:val="center"/>
              <w:rPr>
                <w:b/>
              </w:rPr>
            </w:pPr>
            <w:r w:rsidRPr="00FA2050">
              <w:rPr>
                <w:rFonts w:asciiTheme="minorHAnsi" w:hAnsiTheme="minorHAnsi"/>
                <w:b/>
              </w:rPr>
              <w:t>ERA</w:t>
            </w:r>
          </w:p>
        </w:tc>
        <w:tc>
          <w:tcPr>
            <w:tcW w:w="1666" w:type="dxa"/>
            <w:shd w:val="clear" w:color="auto" w:fill="BFBFBF" w:themeFill="background1" w:themeFillShade="BF"/>
          </w:tcPr>
          <w:p w:rsidR="00761752" w:rsidRPr="00FA2050" w:rsidRDefault="00087C8E" w:rsidP="00973227">
            <w:pPr>
              <w:pStyle w:val="Tabletext"/>
              <w:jc w:val="center"/>
              <w:rPr>
                <w:b/>
              </w:rPr>
            </w:pPr>
            <w:r w:rsidRPr="00FA2050">
              <w:rPr>
                <w:b/>
              </w:rPr>
              <w:t xml:space="preserve">sGC stimulator </w:t>
            </w:r>
            <w:r w:rsidR="00761752" w:rsidRPr="00FA2050">
              <w:rPr>
                <w:rFonts w:asciiTheme="minorHAnsi" w:hAnsiTheme="minorHAnsi"/>
                <w:b/>
              </w:rPr>
              <w:t>+ ERA</w:t>
            </w:r>
          </w:p>
        </w:tc>
        <w:tc>
          <w:tcPr>
            <w:tcW w:w="1453" w:type="dxa"/>
            <w:shd w:val="clear" w:color="auto" w:fill="BFBFBF" w:themeFill="background1" w:themeFillShade="BF"/>
          </w:tcPr>
          <w:p w:rsidR="00761752" w:rsidRPr="00FA2050" w:rsidRDefault="00761752" w:rsidP="00973227">
            <w:pPr>
              <w:pStyle w:val="Tabletext"/>
              <w:jc w:val="center"/>
              <w:rPr>
                <w:b/>
              </w:rPr>
            </w:pPr>
            <w:r w:rsidRPr="00FA2050">
              <w:rPr>
                <w:rFonts w:asciiTheme="minorHAnsi" w:hAnsiTheme="minorHAnsi"/>
                <w:b/>
              </w:rPr>
              <w:t>ERA</w:t>
            </w:r>
          </w:p>
        </w:tc>
        <w:tc>
          <w:tcPr>
            <w:tcW w:w="1417" w:type="dxa"/>
            <w:vMerge/>
          </w:tcPr>
          <w:p w:rsidR="00761752" w:rsidRDefault="00761752" w:rsidP="00973227">
            <w:pPr>
              <w:pStyle w:val="Tabletext"/>
            </w:pPr>
          </w:p>
        </w:tc>
      </w:tr>
      <w:tr w:rsidR="00761752" w:rsidTr="00087C8E">
        <w:tc>
          <w:tcPr>
            <w:tcW w:w="1271" w:type="dxa"/>
          </w:tcPr>
          <w:p w:rsidR="00087C8E" w:rsidRPr="00E6350D" w:rsidRDefault="00761752" w:rsidP="00973227">
            <w:pPr>
              <w:pStyle w:val="Tabletext"/>
              <w:rPr>
                <w:rFonts w:cs="Tahoma"/>
              </w:rPr>
            </w:pPr>
            <w:r w:rsidRPr="00E6350D">
              <w:rPr>
                <w:rFonts w:cs="Tahoma"/>
              </w:rPr>
              <w:t>PATENT-1 CSR</w:t>
            </w:r>
          </w:p>
          <w:p w:rsidR="00761752" w:rsidRDefault="00087C8E" w:rsidP="00973227">
            <w:pPr>
              <w:pStyle w:val="Tabletext"/>
            </w:pPr>
            <w:r w:rsidRPr="00E6350D">
              <w:rPr>
                <w:rFonts w:cs="Tahoma"/>
              </w:rPr>
              <w:t>Riociguat</w:t>
            </w:r>
          </w:p>
        </w:tc>
        <w:tc>
          <w:tcPr>
            <w:tcW w:w="851" w:type="dxa"/>
          </w:tcPr>
          <w:p w:rsidR="00761752" w:rsidRPr="006316DF" w:rsidRDefault="00761752" w:rsidP="00973227">
            <w:pPr>
              <w:pStyle w:val="Tabletext"/>
              <w:rPr>
                <w:rFonts w:cs="Tahoma"/>
              </w:rPr>
            </w:pPr>
            <w:r w:rsidRPr="006316DF">
              <w:rPr>
                <w:rFonts w:cs="Tahoma"/>
              </w:rPr>
              <w:t>N=</w:t>
            </w:r>
            <w:r>
              <w:rPr>
                <w:rFonts w:cs="Tahoma"/>
              </w:rPr>
              <w:t>148</w:t>
            </w:r>
          </w:p>
          <w:p w:rsidR="00761752" w:rsidRDefault="00761752" w:rsidP="00973227">
            <w:pPr>
              <w:pStyle w:val="Tabletext"/>
            </w:pPr>
            <w:r>
              <w:rPr>
                <w:rFonts w:cs="Tahoma"/>
              </w:rPr>
              <w:t>12 weeks</w:t>
            </w:r>
          </w:p>
        </w:tc>
        <w:tc>
          <w:tcPr>
            <w:tcW w:w="1736" w:type="dxa"/>
          </w:tcPr>
          <w:p w:rsidR="00761752" w:rsidRPr="00A17B9D" w:rsidRDefault="00A17B9D" w:rsidP="00973227">
            <w:pPr>
              <w:pStyle w:val="Tabletext"/>
              <w:jc w:val="center"/>
              <w:rPr>
                <w:highlight w:val="black"/>
              </w:rPr>
            </w:pPr>
            <w:r>
              <w:rPr>
                <w:rFonts w:cs="Tahoma"/>
                <w:noProof/>
                <w:color w:val="000000"/>
                <w:highlight w:val="black"/>
              </w:rPr>
              <w:t>'''''''' ''' '''''''''</w:t>
            </w:r>
          </w:p>
        </w:tc>
        <w:tc>
          <w:tcPr>
            <w:tcW w:w="1240" w:type="dxa"/>
          </w:tcPr>
          <w:p w:rsidR="00761752" w:rsidRPr="00A17B9D" w:rsidRDefault="00A17B9D" w:rsidP="00973227">
            <w:pPr>
              <w:pStyle w:val="Tabletext"/>
              <w:jc w:val="center"/>
              <w:rPr>
                <w:highlight w:val="black"/>
              </w:rPr>
            </w:pPr>
            <w:r>
              <w:rPr>
                <w:rFonts w:cs="Tahoma"/>
                <w:noProof/>
                <w:color w:val="000000"/>
                <w:highlight w:val="black"/>
              </w:rPr>
              <w:t>''''''''' ''' '''''''''</w:t>
            </w:r>
          </w:p>
        </w:tc>
        <w:tc>
          <w:tcPr>
            <w:tcW w:w="1666" w:type="dxa"/>
          </w:tcPr>
          <w:p w:rsidR="00761752" w:rsidRPr="00A17B9D" w:rsidRDefault="00A17B9D" w:rsidP="00973227">
            <w:pPr>
              <w:pStyle w:val="Tabletext"/>
              <w:jc w:val="center"/>
              <w:rPr>
                <w:rFonts w:cs="Tahoma"/>
                <w:highlight w:val="black"/>
              </w:rPr>
            </w:pPr>
            <w:r>
              <w:rPr>
                <w:rFonts w:cs="Tahoma"/>
                <w:noProof/>
                <w:color w:val="000000"/>
                <w:highlight w:val="black"/>
              </w:rPr>
              <w:t>''''''''''''' ''' ''''''''</w:t>
            </w:r>
          </w:p>
          <w:p w:rsidR="00761752" w:rsidRPr="00A17B9D" w:rsidRDefault="00A17B9D" w:rsidP="00E6350D">
            <w:pPr>
              <w:pStyle w:val="Tabletext"/>
              <w:jc w:val="center"/>
              <w:rPr>
                <w:highlight w:val="black"/>
              </w:rPr>
            </w:pPr>
            <w:r>
              <w:rPr>
                <w:rFonts w:cs="Tahoma"/>
                <w:noProof/>
                <w:color w:val="000000"/>
                <w:highlight w:val="black"/>
              </w:rPr>
              <w:t>'''''''''''''''' '''''''''''''''''''''''</w:t>
            </w:r>
          </w:p>
        </w:tc>
        <w:tc>
          <w:tcPr>
            <w:tcW w:w="1453" w:type="dxa"/>
          </w:tcPr>
          <w:p w:rsidR="00761752" w:rsidRPr="00A17B9D" w:rsidRDefault="00A17B9D" w:rsidP="00973227">
            <w:pPr>
              <w:pStyle w:val="Tabletext"/>
              <w:jc w:val="center"/>
              <w:rPr>
                <w:rFonts w:cs="Tahoma"/>
                <w:highlight w:val="black"/>
              </w:rPr>
            </w:pPr>
            <w:r>
              <w:rPr>
                <w:rFonts w:cs="Tahoma"/>
                <w:noProof/>
                <w:color w:val="000000"/>
                <w:highlight w:val="black"/>
              </w:rPr>
              <w:t>'''''''' ''' ''''''''</w:t>
            </w:r>
          </w:p>
          <w:p w:rsidR="00761752" w:rsidRPr="00A17B9D" w:rsidRDefault="00A17B9D" w:rsidP="00973227">
            <w:pPr>
              <w:pStyle w:val="Tabletext"/>
              <w:jc w:val="center"/>
              <w:rPr>
                <w:highlight w:val="black"/>
              </w:rPr>
            </w:pPr>
            <w:r>
              <w:rPr>
                <w:rFonts w:cs="Tahoma"/>
                <w:noProof/>
                <w:color w:val="000000"/>
                <w:highlight w:val="black"/>
              </w:rPr>
              <w:t>''''''''''''' ''''''''''''''''''''''</w:t>
            </w:r>
          </w:p>
        </w:tc>
        <w:tc>
          <w:tcPr>
            <w:tcW w:w="1417" w:type="dxa"/>
          </w:tcPr>
          <w:p w:rsidR="00761752" w:rsidRPr="00A17B9D" w:rsidRDefault="00A17B9D" w:rsidP="00973227">
            <w:pPr>
              <w:pStyle w:val="Tabletext"/>
              <w:rPr>
                <w:highlight w:val="black"/>
              </w:rPr>
            </w:pPr>
            <w:r>
              <w:rPr>
                <w:rFonts w:cs="Tahoma"/>
                <w:noProof/>
                <w:color w:val="000000"/>
                <w:highlight w:val="black"/>
              </w:rPr>
              <w:t>'''''''''''' '''''''''''''''''''''</w:t>
            </w:r>
          </w:p>
        </w:tc>
      </w:tr>
    </w:tbl>
    <w:p w:rsidR="000B12FE" w:rsidRDefault="000B12FE" w:rsidP="000B12FE">
      <w:pPr>
        <w:pStyle w:val="Tablenote"/>
      </w:pPr>
      <w:r w:rsidRPr="00DE3429">
        <w:rPr>
          <w:vertAlign w:val="superscript"/>
        </w:rPr>
        <w:t>a</w:t>
      </w:r>
      <w:r w:rsidRPr="00822C52">
        <w:t xml:space="preserve"> </w:t>
      </w:r>
      <w:r>
        <w:t xml:space="preserve">A decrease in PVR indicates improvement in </w:t>
      </w:r>
      <w:r w:rsidR="007E658F">
        <w:t>haemodynamic parameters</w:t>
      </w:r>
      <w:r>
        <w:t xml:space="preserve">. </w:t>
      </w:r>
    </w:p>
    <w:p w:rsidR="00087C8E" w:rsidRPr="006316DF" w:rsidRDefault="00761752" w:rsidP="00761752">
      <w:pPr>
        <w:pStyle w:val="Tablenote"/>
      </w:pPr>
      <w:r w:rsidRPr="006316DF">
        <w:t xml:space="preserve">CSR = clinical study report; </w:t>
      </w:r>
      <w:r w:rsidR="00087C8E" w:rsidRPr="00DC16A3">
        <w:t xml:space="preserve">ERA = endothelin receptor antagonist; </w:t>
      </w:r>
      <w:r w:rsidRPr="006316DF">
        <w:t>N = number of patients</w:t>
      </w:r>
      <w:r>
        <w:t xml:space="preserve">; </w:t>
      </w:r>
      <w:r w:rsidR="00087C8E" w:rsidRPr="00DC16A3">
        <w:t xml:space="preserve">PAH = pulmonary arterial hypertension; </w:t>
      </w:r>
      <w:r>
        <w:t xml:space="preserve">PVR = </w:t>
      </w:r>
      <w:r w:rsidRPr="007A4F5B">
        <w:t>pulmonary vascular resistance</w:t>
      </w:r>
      <w:r w:rsidR="009B47AA">
        <w:t xml:space="preserve">; </w:t>
      </w:r>
      <w:r w:rsidR="00087C8E">
        <w:t xml:space="preserve">SD = standard deviation; </w:t>
      </w:r>
      <w:r w:rsidR="009B47AA" w:rsidRPr="009B47AA">
        <w:t>sGC = solub</w:t>
      </w:r>
      <w:r w:rsidR="009B47AA">
        <w:t xml:space="preserve">le guanylate cyclase </w:t>
      </w:r>
    </w:p>
    <w:p w:rsidR="00761752" w:rsidRPr="00822C52" w:rsidRDefault="00761752" w:rsidP="00761752">
      <w:pPr>
        <w:pStyle w:val="Heading6"/>
      </w:pPr>
      <w:r>
        <w:t>g</w:t>
      </w:r>
      <w:r w:rsidRPr="00822C52">
        <w:t>.ii</w:t>
      </w:r>
      <w:r w:rsidRPr="00822C52">
        <w:tab/>
        <w:t>PAH patients with FC III or IV</w:t>
      </w:r>
    </w:p>
    <w:p w:rsidR="00761752" w:rsidRPr="00A17B9D" w:rsidRDefault="00761752" w:rsidP="00761752">
      <w:r>
        <w:t xml:space="preserve">In the PATENT-1 trial, </w:t>
      </w:r>
      <w:r w:rsidRPr="000175C0">
        <w:t xml:space="preserve">patients </w:t>
      </w:r>
      <w:r>
        <w:t xml:space="preserve">with WHO FC III/IV PAH </w:t>
      </w:r>
      <w:r w:rsidRPr="000175C0">
        <w:t>receiving background therapy with a</w:t>
      </w:r>
      <w:r>
        <w:t>n</w:t>
      </w:r>
      <w:r w:rsidRPr="000175C0">
        <w:t xml:space="preserve"> </w:t>
      </w:r>
      <w:r>
        <w:t>ERA</w:t>
      </w:r>
      <w:r w:rsidRPr="000175C0">
        <w:t xml:space="preserve"> </w:t>
      </w:r>
      <w:r>
        <w:t>who</w:t>
      </w:r>
      <w:r w:rsidRPr="000175C0">
        <w:t xml:space="preserve"> were randomised </w:t>
      </w:r>
      <w:r>
        <w:t xml:space="preserve">to riociguat treatment had a mean baseline PVR </w:t>
      </w:r>
      <w:r w:rsidR="00A17B9D">
        <w:rPr>
          <w:noProof/>
          <w:color w:val="000000"/>
          <w:highlight w:val="black"/>
        </w:rPr>
        <w:t>''''''''''' '''''''''''</w:t>
      </w:r>
      <w:r>
        <w:t xml:space="preserve"> than those who were randomised to placebo. Hence, any confounding of the treatment effect would favour </w:t>
      </w:r>
      <w:r w:rsidR="00A17B9D">
        <w:rPr>
          <w:noProof/>
          <w:color w:val="000000"/>
          <w:highlight w:val="black"/>
        </w:rPr>
        <w:t>'''''' '''''''''''' ''''''''''''''''''''' ''''''''''''</w:t>
      </w:r>
      <w:r>
        <w:t xml:space="preserve">. These </w:t>
      </w:r>
      <w:r w:rsidRPr="00544FB4">
        <w:t xml:space="preserve">patients had a mean </w:t>
      </w:r>
      <w:r>
        <w:t xml:space="preserve">placebo-adjusted </w:t>
      </w:r>
      <w:r w:rsidR="00A17B9D">
        <w:rPr>
          <w:noProof/>
          <w:color w:val="000000"/>
          <w:highlight w:val="black"/>
        </w:rPr>
        <w:t>''''''''''''''''</w:t>
      </w:r>
      <w:r>
        <w:t xml:space="preserve"> </w:t>
      </w:r>
      <w:r w:rsidRPr="00544FB4">
        <w:t xml:space="preserve">in PVR </w:t>
      </w:r>
      <w:r>
        <w:t xml:space="preserve">of </w:t>
      </w:r>
      <w:r w:rsidR="00A17B9D">
        <w:rPr>
          <w:noProof/>
          <w:color w:val="000000"/>
          <w:highlight w:val="black"/>
        </w:rPr>
        <w:t>'''''''''</w:t>
      </w:r>
      <w:r w:rsidRPr="00544FB4">
        <w:t xml:space="preserve"> </w:t>
      </w:r>
      <w:r>
        <w:t>a</w:t>
      </w:r>
      <w:r w:rsidRPr="000E7DA6">
        <w:t xml:space="preserve">fter </w:t>
      </w:r>
      <w:r>
        <w:t>12 weeks</w:t>
      </w:r>
      <w:r w:rsidRPr="000E7DA6">
        <w:t xml:space="preserve"> of riociguat treatment </w:t>
      </w:r>
      <w:r w:rsidRPr="00544FB4">
        <w:t>(</w:t>
      </w:r>
      <w:r w:rsidR="00AA722D">
        <w:t>Table 4.</w:t>
      </w:r>
      <w:r w:rsidR="00AA722D">
        <w:rPr>
          <w:noProof/>
        </w:rPr>
        <w:t>99</w:t>
      </w:r>
      <w:r w:rsidRPr="00544FB4">
        <w:t xml:space="preserve">). </w:t>
      </w:r>
      <w:r w:rsidR="00A17B9D">
        <w:rPr>
          <w:noProof/>
          <w:color w:val="000000"/>
          <w:highlight w:val="black"/>
        </w:rPr>
        <w:t>''' ''' ''''''''''' '''''''' '''''' '''''''''''''''''' ''' ''''' '''''''''''' '''''''''''''''''''''''' ''''''''''''''' ''''''' ''''''''''' ''''''''''''''' '''' ''''''''''''''''' '''''''''' '''''''' ''''''''''''</w:t>
      </w:r>
    </w:p>
    <w:p w:rsidR="00761752" w:rsidRDefault="00761752" w:rsidP="00761752">
      <w:pPr>
        <w:pStyle w:val="Caption"/>
      </w:pPr>
      <w:bookmarkStart w:id="287" w:name="_Ref506308397"/>
      <w:bookmarkStart w:id="288" w:name="_Toc512855503"/>
      <w:r>
        <w:lastRenderedPageBreak/>
        <w:t>Table 4.</w:t>
      </w:r>
      <w:r w:rsidR="00AA722D">
        <w:rPr>
          <w:noProof/>
        </w:rPr>
        <w:t>99</w:t>
      </w:r>
      <w:bookmarkEnd w:id="287"/>
      <w:r>
        <w:tab/>
      </w:r>
      <w:r w:rsidRPr="006316DF">
        <w:t xml:space="preserve">The effectiveness of </w:t>
      </w:r>
      <w:r w:rsidR="00E35EDB">
        <w:t xml:space="preserve">a </w:t>
      </w:r>
      <w:r w:rsidR="00E35EDB" w:rsidRPr="00E35EDB">
        <w:t xml:space="preserve">sGC stimulator </w:t>
      </w:r>
      <w:r w:rsidR="007E59EC">
        <w:t>in addition to</w:t>
      </w:r>
      <w:r w:rsidR="007E59EC" w:rsidRPr="00DD7790">
        <w:t xml:space="preserve"> </w:t>
      </w:r>
      <w:r w:rsidR="007E59EC">
        <w:t xml:space="preserve">an </w:t>
      </w:r>
      <w:r w:rsidR="007E59EC" w:rsidRPr="00DD7790">
        <w:t xml:space="preserve">ERA </w:t>
      </w:r>
      <w:r w:rsidR="007E59EC" w:rsidRPr="00AA5E50">
        <w:t xml:space="preserve">compared </w:t>
      </w:r>
      <w:r w:rsidR="007E59EC">
        <w:t>with</w:t>
      </w:r>
      <w:r w:rsidR="007E59EC" w:rsidRPr="00DD7790">
        <w:t xml:space="preserve"> ERA</w:t>
      </w:r>
      <w:r w:rsidR="007E59EC">
        <w:t xml:space="preserve"> monotherapy</w:t>
      </w:r>
      <w:r w:rsidR="007E59EC" w:rsidRPr="00DB5599">
        <w:t xml:space="preserve"> </w:t>
      </w:r>
      <w:r w:rsidRPr="00DB5599">
        <w:t xml:space="preserve">in improving PVR in </w:t>
      </w:r>
      <w:r w:rsidRPr="00B642BB">
        <w:t>patients with WHO FC I</w:t>
      </w:r>
      <w:r>
        <w:t>II</w:t>
      </w:r>
      <w:r w:rsidRPr="00B642BB">
        <w:t>/I</w:t>
      </w:r>
      <w:r>
        <w:t>V</w:t>
      </w:r>
      <w:r w:rsidRPr="00B642BB">
        <w:t xml:space="preserve"> PAH</w:t>
      </w:r>
      <w:bookmarkEnd w:id="288"/>
    </w:p>
    <w:tbl>
      <w:tblPr>
        <w:tblStyle w:val="TableGrid"/>
        <w:tblW w:w="9776" w:type="dxa"/>
        <w:tblLayout w:type="fixed"/>
        <w:tblLook w:val="04A0" w:firstRow="1" w:lastRow="0" w:firstColumn="1" w:lastColumn="0" w:noHBand="0" w:noVBand="1"/>
        <w:tblCaption w:val="The effectiveness of a sGC stimulator in addition to an ERA compared with ERA monotherapy in improving PVR in patients with WHO FC III/IV PAH"/>
      </w:tblPr>
      <w:tblGrid>
        <w:gridCol w:w="1271"/>
        <w:gridCol w:w="851"/>
        <w:gridCol w:w="1736"/>
        <w:gridCol w:w="1382"/>
        <w:gridCol w:w="1701"/>
        <w:gridCol w:w="1276"/>
        <w:gridCol w:w="1559"/>
      </w:tblGrid>
      <w:tr w:rsidR="00761752" w:rsidTr="00FA2050">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761752" w:rsidRPr="00FA2050" w:rsidRDefault="00761752" w:rsidP="00973227">
            <w:pPr>
              <w:pStyle w:val="Tabletext"/>
              <w:rPr>
                <w:b/>
              </w:rPr>
            </w:pPr>
            <w:r w:rsidRPr="00FA2050">
              <w:rPr>
                <w:b/>
              </w:rPr>
              <w:t>Study ID</w:t>
            </w:r>
          </w:p>
          <w:p w:rsidR="00087C8E" w:rsidRPr="00DB5599" w:rsidRDefault="00087C8E" w:rsidP="00973227">
            <w:pPr>
              <w:pStyle w:val="Tabletext"/>
              <w:rPr>
                <w:b/>
              </w:rPr>
            </w:pPr>
            <w:r w:rsidRPr="00FA2050">
              <w:rPr>
                <w:b/>
              </w:rPr>
              <w:t>sGC stimulator</w:t>
            </w:r>
          </w:p>
        </w:tc>
        <w:tc>
          <w:tcPr>
            <w:tcW w:w="851" w:type="dxa"/>
            <w:vMerge w:val="restart"/>
            <w:shd w:val="clear" w:color="auto" w:fill="BFBFBF" w:themeFill="background1" w:themeFillShade="BF"/>
          </w:tcPr>
          <w:p w:rsidR="00761752" w:rsidRPr="00DB5599" w:rsidRDefault="00761752" w:rsidP="00973227">
            <w:pPr>
              <w:pStyle w:val="Tabletext"/>
              <w:rPr>
                <w:b/>
              </w:rPr>
            </w:pPr>
            <w:r w:rsidRPr="00DB5599">
              <w:rPr>
                <w:b/>
              </w:rPr>
              <w:t>N</w:t>
            </w:r>
          </w:p>
          <w:p w:rsidR="00761752" w:rsidRPr="00DB5599" w:rsidRDefault="00761752" w:rsidP="00973227">
            <w:pPr>
              <w:pStyle w:val="Tabletext"/>
              <w:rPr>
                <w:b/>
              </w:rPr>
            </w:pPr>
            <w:r w:rsidRPr="00DB5599">
              <w:rPr>
                <w:b/>
              </w:rPr>
              <w:t>Follow-up period</w:t>
            </w:r>
          </w:p>
        </w:tc>
        <w:tc>
          <w:tcPr>
            <w:tcW w:w="3118" w:type="dxa"/>
            <w:gridSpan w:val="2"/>
            <w:shd w:val="clear" w:color="auto" w:fill="BFBFBF" w:themeFill="background1" w:themeFillShade="BF"/>
          </w:tcPr>
          <w:p w:rsidR="00761752" w:rsidRPr="00DB5599" w:rsidRDefault="00761752" w:rsidP="00973227">
            <w:pPr>
              <w:pStyle w:val="Tabletext"/>
              <w:jc w:val="center"/>
              <w:rPr>
                <w:b/>
              </w:rPr>
            </w:pPr>
            <w:r w:rsidRPr="00DB5599">
              <w:rPr>
                <w:b/>
              </w:rPr>
              <w:t>Mean ± SD baseline PVR</w:t>
            </w:r>
            <w:r w:rsidR="000B12FE" w:rsidRPr="000B12FE">
              <w:rPr>
                <w:b/>
                <w:vertAlign w:val="superscript"/>
              </w:rPr>
              <w:t>a</w:t>
            </w:r>
            <w:r w:rsidRPr="00DB5599">
              <w:rPr>
                <w:b/>
              </w:rPr>
              <w:t xml:space="preserve">, </w:t>
            </w:r>
            <w:r w:rsidR="00747709" w:rsidRPr="00747709">
              <w:rPr>
                <w:b/>
              </w:rPr>
              <w:t>dyn*sec*cm</w:t>
            </w:r>
            <w:r w:rsidR="00747709" w:rsidRPr="00747709">
              <w:rPr>
                <w:b/>
                <w:vertAlign w:val="superscript"/>
              </w:rPr>
              <w:t>-5</w:t>
            </w:r>
          </w:p>
        </w:tc>
        <w:tc>
          <w:tcPr>
            <w:tcW w:w="2977" w:type="dxa"/>
            <w:gridSpan w:val="2"/>
            <w:shd w:val="clear" w:color="auto" w:fill="BFBFBF" w:themeFill="background1" w:themeFillShade="BF"/>
          </w:tcPr>
          <w:p w:rsidR="00761752" w:rsidRPr="0095089E" w:rsidRDefault="00761752" w:rsidP="00747709">
            <w:pPr>
              <w:pStyle w:val="Tabletext"/>
              <w:jc w:val="center"/>
              <w:rPr>
                <w:b/>
              </w:rPr>
            </w:pPr>
            <w:r w:rsidRPr="00DB5599">
              <w:rPr>
                <w:b/>
              </w:rPr>
              <w:t xml:space="preserve">Mean </w:t>
            </w:r>
            <w:r w:rsidR="0095089E" w:rsidRPr="0095089E">
              <w:rPr>
                <w:b/>
              </w:rPr>
              <w:t xml:space="preserve">± SD </w:t>
            </w:r>
            <w:r w:rsidRPr="00DB5599">
              <w:rPr>
                <w:b/>
              </w:rPr>
              <w:t>c</w:t>
            </w:r>
            <w:r w:rsidRPr="00DB5599">
              <w:rPr>
                <w:rFonts w:asciiTheme="minorHAnsi" w:hAnsiTheme="minorHAnsi"/>
                <w:b/>
              </w:rPr>
              <w:t>hange from baseline</w:t>
            </w:r>
            <w:r w:rsidRPr="00DB5599">
              <w:rPr>
                <w:b/>
              </w:rPr>
              <w:t xml:space="preserve">, </w:t>
            </w:r>
            <w:r w:rsidR="00747709" w:rsidRPr="00747709">
              <w:rPr>
                <w:b/>
              </w:rPr>
              <w:t>dyn*sec*cm</w:t>
            </w:r>
            <w:r w:rsidR="00747709" w:rsidRPr="00747709">
              <w:rPr>
                <w:b/>
                <w:vertAlign w:val="superscript"/>
              </w:rPr>
              <w:t>-5</w:t>
            </w:r>
            <w:r w:rsidR="00E6350D">
              <w:rPr>
                <w:b/>
              </w:rPr>
              <w:t xml:space="preserve"> (% change from baseline)</w:t>
            </w:r>
          </w:p>
        </w:tc>
        <w:tc>
          <w:tcPr>
            <w:tcW w:w="1559" w:type="dxa"/>
            <w:vMerge w:val="restart"/>
            <w:shd w:val="clear" w:color="auto" w:fill="BFBFBF" w:themeFill="background1" w:themeFillShade="BF"/>
          </w:tcPr>
          <w:p w:rsidR="00761752" w:rsidRPr="00237FAE" w:rsidRDefault="00761752" w:rsidP="00747709">
            <w:pPr>
              <w:pStyle w:val="Tabletext"/>
              <w:rPr>
                <w:b/>
              </w:rPr>
            </w:pPr>
            <w:r w:rsidRPr="00DB5599">
              <w:rPr>
                <w:b/>
              </w:rPr>
              <w:t>Mean d</w:t>
            </w:r>
            <w:r w:rsidRPr="00DB5599">
              <w:rPr>
                <w:rFonts w:asciiTheme="minorHAnsi" w:hAnsiTheme="minorHAnsi"/>
                <w:b/>
              </w:rPr>
              <w:t>ifference</w:t>
            </w:r>
            <w:r w:rsidRPr="00DB5599">
              <w:rPr>
                <w:b/>
              </w:rPr>
              <w:t xml:space="preserve">, </w:t>
            </w:r>
            <w:r w:rsidR="00747709" w:rsidRPr="00747709">
              <w:rPr>
                <w:b/>
              </w:rPr>
              <w:t>dyn*sec*cm</w:t>
            </w:r>
            <w:r w:rsidR="00747709" w:rsidRPr="00747709">
              <w:rPr>
                <w:b/>
                <w:vertAlign w:val="superscript"/>
              </w:rPr>
              <w:t>-</w:t>
            </w:r>
            <w:r w:rsidR="00747709">
              <w:rPr>
                <w:b/>
                <w:vertAlign w:val="superscript"/>
              </w:rPr>
              <w:t>5</w:t>
            </w:r>
            <w:r w:rsidR="00E6350D">
              <w:rPr>
                <w:b/>
              </w:rPr>
              <w:t xml:space="preserve"> (% change)</w:t>
            </w:r>
          </w:p>
        </w:tc>
      </w:tr>
      <w:tr w:rsidR="00761752" w:rsidTr="00FA2050">
        <w:tc>
          <w:tcPr>
            <w:tcW w:w="1271" w:type="dxa"/>
            <w:vMerge/>
          </w:tcPr>
          <w:p w:rsidR="00761752" w:rsidRDefault="00761752" w:rsidP="00973227">
            <w:pPr>
              <w:pStyle w:val="Tabletext"/>
            </w:pPr>
          </w:p>
        </w:tc>
        <w:tc>
          <w:tcPr>
            <w:tcW w:w="851" w:type="dxa"/>
            <w:vMerge/>
          </w:tcPr>
          <w:p w:rsidR="00761752" w:rsidRDefault="00761752" w:rsidP="00973227">
            <w:pPr>
              <w:pStyle w:val="Tabletext"/>
            </w:pPr>
          </w:p>
        </w:tc>
        <w:tc>
          <w:tcPr>
            <w:tcW w:w="1736" w:type="dxa"/>
            <w:shd w:val="clear" w:color="auto" w:fill="BFBFBF" w:themeFill="background1" w:themeFillShade="BF"/>
          </w:tcPr>
          <w:p w:rsidR="00761752" w:rsidRPr="00FA2050" w:rsidRDefault="00087C8E" w:rsidP="00973227">
            <w:pPr>
              <w:pStyle w:val="Tabletext"/>
              <w:jc w:val="center"/>
              <w:rPr>
                <w:b/>
              </w:rPr>
            </w:pPr>
            <w:r w:rsidRPr="00FA2050">
              <w:rPr>
                <w:b/>
              </w:rPr>
              <w:t xml:space="preserve">sGC stimulator </w:t>
            </w:r>
            <w:r w:rsidR="00761752" w:rsidRPr="00FA2050">
              <w:rPr>
                <w:rFonts w:asciiTheme="minorHAnsi" w:hAnsiTheme="minorHAnsi"/>
                <w:b/>
              </w:rPr>
              <w:t>+ ERA</w:t>
            </w:r>
          </w:p>
        </w:tc>
        <w:tc>
          <w:tcPr>
            <w:tcW w:w="1382" w:type="dxa"/>
            <w:shd w:val="clear" w:color="auto" w:fill="BFBFBF" w:themeFill="background1" w:themeFillShade="BF"/>
          </w:tcPr>
          <w:p w:rsidR="00761752" w:rsidRPr="00FA2050" w:rsidRDefault="00761752" w:rsidP="00973227">
            <w:pPr>
              <w:pStyle w:val="Tabletext"/>
              <w:jc w:val="center"/>
              <w:rPr>
                <w:b/>
              </w:rPr>
            </w:pPr>
            <w:r w:rsidRPr="00FA2050">
              <w:rPr>
                <w:rFonts w:asciiTheme="minorHAnsi" w:hAnsiTheme="minorHAnsi"/>
                <w:b/>
              </w:rPr>
              <w:t>ERA</w:t>
            </w:r>
          </w:p>
        </w:tc>
        <w:tc>
          <w:tcPr>
            <w:tcW w:w="1701" w:type="dxa"/>
            <w:shd w:val="clear" w:color="auto" w:fill="BFBFBF" w:themeFill="background1" w:themeFillShade="BF"/>
          </w:tcPr>
          <w:p w:rsidR="00761752" w:rsidRPr="00FA2050" w:rsidRDefault="00087C8E" w:rsidP="00973227">
            <w:pPr>
              <w:pStyle w:val="Tabletext"/>
              <w:jc w:val="center"/>
              <w:rPr>
                <w:b/>
              </w:rPr>
            </w:pPr>
            <w:r w:rsidRPr="00FA2050">
              <w:rPr>
                <w:b/>
              </w:rPr>
              <w:t xml:space="preserve">sGC stimulator </w:t>
            </w:r>
            <w:r w:rsidR="00761752" w:rsidRPr="00FA2050">
              <w:rPr>
                <w:rFonts w:asciiTheme="minorHAnsi" w:hAnsiTheme="minorHAnsi"/>
                <w:b/>
              </w:rPr>
              <w:t>+ ERA</w:t>
            </w:r>
          </w:p>
        </w:tc>
        <w:tc>
          <w:tcPr>
            <w:tcW w:w="1276" w:type="dxa"/>
            <w:shd w:val="clear" w:color="auto" w:fill="BFBFBF" w:themeFill="background1" w:themeFillShade="BF"/>
          </w:tcPr>
          <w:p w:rsidR="00761752" w:rsidRPr="00FA2050" w:rsidRDefault="00761752" w:rsidP="00973227">
            <w:pPr>
              <w:pStyle w:val="Tabletext"/>
              <w:jc w:val="center"/>
              <w:rPr>
                <w:b/>
              </w:rPr>
            </w:pPr>
            <w:r w:rsidRPr="00FA2050">
              <w:rPr>
                <w:rFonts w:asciiTheme="minorHAnsi" w:hAnsiTheme="minorHAnsi"/>
                <w:b/>
              </w:rPr>
              <w:t>ERA</w:t>
            </w:r>
          </w:p>
        </w:tc>
        <w:tc>
          <w:tcPr>
            <w:tcW w:w="1559" w:type="dxa"/>
            <w:vMerge/>
          </w:tcPr>
          <w:p w:rsidR="00761752" w:rsidRDefault="00761752" w:rsidP="00973227">
            <w:pPr>
              <w:pStyle w:val="Tabletext"/>
            </w:pPr>
          </w:p>
        </w:tc>
      </w:tr>
      <w:tr w:rsidR="00761752" w:rsidTr="00FA2050">
        <w:tc>
          <w:tcPr>
            <w:tcW w:w="1271" w:type="dxa"/>
          </w:tcPr>
          <w:p w:rsidR="00761752" w:rsidRPr="000B12FE" w:rsidRDefault="00761752" w:rsidP="00973227">
            <w:pPr>
              <w:pStyle w:val="Tabletext"/>
              <w:rPr>
                <w:rFonts w:cs="Tahoma"/>
              </w:rPr>
            </w:pPr>
            <w:r w:rsidRPr="000B12FE">
              <w:rPr>
                <w:rFonts w:cs="Tahoma"/>
              </w:rPr>
              <w:t>PATENT-1</w:t>
            </w:r>
            <w:r w:rsidR="000B12FE" w:rsidRPr="000B12FE">
              <w:rPr>
                <w:rFonts w:cs="Tahoma"/>
                <w:vertAlign w:val="superscript"/>
              </w:rPr>
              <w:t>b</w:t>
            </w:r>
            <w:r w:rsidRPr="000B12FE">
              <w:rPr>
                <w:rFonts w:cs="Tahoma"/>
              </w:rPr>
              <w:t xml:space="preserve"> CSR</w:t>
            </w:r>
          </w:p>
          <w:p w:rsidR="00087C8E" w:rsidRDefault="00087C8E" w:rsidP="00973227">
            <w:pPr>
              <w:pStyle w:val="Tabletext"/>
            </w:pPr>
            <w:r w:rsidRPr="000B12FE">
              <w:rPr>
                <w:rFonts w:cs="Tahoma"/>
              </w:rPr>
              <w:t>Riociguat</w:t>
            </w:r>
          </w:p>
        </w:tc>
        <w:tc>
          <w:tcPr>
            <w:tcW w:w="851" w:type="dxa"/>
          </w:tcPr>
          <w:p w:rsidR="00761752" w:rsidRPr="006316DF" w:rsidRDefault="00761752" w:rsidP="00973227">
            <w:pPr>
              <w:pStyle w:val="Tabletext"/>
              <w:rPr>
                <w:rFonts w:cs="Tahoma"/>
              </w:rPr>
            </w:pPr>
            <w:r w:rsidRPr="006316DF">
              <w:rPr>
                <w:rFonts w:cs="Tahoma"/>
              </w:rPr>
              <w:t>N=</w:t>
            </w:r>
            <w:r>
              <w:rPr>
                <w:rFonts w:cs="Tahoma"/>
              </w:rPr>
              <w:t>103</w:t>
            </w:r>
          </w:p>
          <w:p w:rsidR="00761752" w:rsidRDefault="00761752" w:rsidP="00973227">
            <w:pPr>
              <w:pStyle w:val="Tabletext"/>
            </w:pPr>
            <w:r>
              <w:rPr>
                <w:rFonts w:cs="Tahoma"/>
              </w:rPr>
              <w:t>12 weeks</w:t>
            </w:r>
          </w:p>
        </w:tc>
        <w:tc>
          <w:tcPr>
            <w:tcW w:w="1736" w:type="dxa"/>
          </w:tcPr>
          <w:p w:rsidR="00761752" w:rsidRPr="00A17B9D" w:rsidRDefault="00A17B9D" w:rsidP="00973227">
            <w:pPr>
              <w:pStyle w:val="Tabletext"/>
              <w:jc w:val="center"/>
              <w:rPr>
                <w:highlight w:val="black"/>
              </w:rPr>
            </w:pPr>
            <w:r>
              <w:rPr>
                <w:rFonts w:cs="Tahoma"/>
                <w:noProof/>
                <w:color w:val="000000"/>
                <w:highlight w:val="black"/>
              </w:rPr>
              <w:t>'''''''' ''' '''''''''</w:t>
            </w:r>
          </w:p>
        </w:tc>
        <w:tc>
          <w:tcPr>
            <w:tcW w:w="1382" w:type="dxa"/>
          </w:tcPr>
          <w:p w:rsidR="00761752" w:rsidRPr="00A17B9D" w:rsidRDefault="00A17B9D" w:rsidP="00973227">
            <w:pPr>
              <w:pStyle w:val="Tabletext"/>
              <w:jc w:val="center"/>
              <w:rPr>
                <w:highlight w:val="black"/>
              </w:rPr>
            </w:pPr>
            <w:r>
              <w:rPr>
                <w:rFonts w:cs="Tahoma"/>
                <w:noProof/>
                <w:color w:val="000000"/>
                <w:highlight w:val="black"/>
              </w:rPr>
              <w:t>'''''''''' ''' ''''''''''</w:t>
            </w:r>
          </w:p>
        </w:tc>
        <w:tc>
          <w:tcPr>
            <w:tcW w:w="1701" w:type="dxa"/>
          </w:tcPr>
          <w:p w:rsidR="00761752" w:rsidRPr="00A17B9D" w:rsidRDefault="00A17B9D" w:rsidP="00973227">
            <w:pPr>
              <w:pStyle w:val="Tabletext"/>
              <w:jc w:val="center"/>
              <w:rPr>
                <w:rFonts w:cs="Tahoma"/>
                <w:highlight w:val="black"/>
              </w:rPr>
            </w:pPr>
            <w:r>
              <w:rPr>
                <w:rFonts w:cs="Tahoma"/>
                <w:noProof/>
                <w:color w:val="000000"/>
                <w:highlight w:val="black"/>
              </w:rPr>
              <w:t>'''''''''''' ''' '''''''''</w:t>
            </w:r>
          </w:p>
          <w:p w:rsidR="00761752" w:rsidRPr="00A17B9D" w:rsidRDefault="00A17B9D" w:rsidP="00E6350D">
            <w:pPr>
              <w:pStyle w:val="Tabletext"/>
              <w:jc w:val="center"/>
              <w:rPr>
                <w:highlight w:val="black"/>
              </w:rPr>
            </w:pPr>
            <w:r>
              <w:rPr>
                <w:rFonts w:cs="Tahoma"/>
                <w:noProof/>
                <w:color w:val="000000"/>
                <w:highlight w:val="black"/>
              </w:rPr>
              <w:t>''''''''''''''''' '''''''''''''''''''''''</w:t>
            </w:r>
          </w:p>
        </w:tc>
        <w:tc>
          <w:tcPr>
            <w:tcW w:w="1276" w:type="dxa"/>
          </w:tcPr>
          <w:p w:rsidR="00761752" w:rsidRPr="00A17B9D" w:rsidRDefault="00A17B9D" w:rsidP="00973227">
            <w:pPr>
              <w:pStyle w:val="Tabletext"/>
              <w:jc w:val="center"/>
              <w:rPr>
                <w:rFonts w:cs="Tahoma"/>
                <w:highlight w:val="black"/>
              </w:rPr>
            </w:pPr>
            <w:r>
              <w:rPr>
                <w:rFonts w:cs="Tahoma"/>
                <w:noProof/>
                <w:color w:val="000000"/>
                <w:highlight w:val="black"/>
              </w:rPr>
              <w:t>''''''' ''' '''''''''</w:t>
            </w:r>
          </w:p>
          <w:p w:rsidR="00761752" w:rsidRPr="00A17B9D" w:rsidRDefault="00A17B9D" w:rsidP="00E6350D">
            <w:pPr>
              <w:pStyle w:val="Tabletext"/>
              <w:jc w:val="center"/>
              <w:rPr>
                <w:highlight w:val="black"/>
              </w:rPr>
            </w:pPr>
            <w:r>
              <w:rPr>
                <w:rFonts w:cs="Tahoma"/>
                <w:noProof/>
                <w:color w:val="000000"/>
                <w:highlight w:val="black"/>
              </w:rPr>
              <w:t>''''''''''''' ''''''''''''''''''''''</w:t>
            </w:r>
          </w:p>
        </w:tc>
        <w:tc>
          <w:tcPr>
            <w:tcW w:w="1559" w:type="dxa"/>
          </w:tcPr>
          <w:p w:rsidR="00761752" w:rsidRPr="00A17B9D" w:rsidRDefault="00A17B9D" w:rsidP="00E6350D">
            <w:pPr>
              <w:pStyle w:val="Tabletext"/>
              <w:rPr>
                <w:highlight w:val="black"/>
              </w:rPr>
            </w:pPr>
            <w:r>
              <w:rPr>
                <w:rFonts w:cs="Tahoma"/>
                <w:noProof/>
                <w:color w:val="000000"/>
                <w:highlight w:val="black"/>
              </w:rPr>
              <w:t>''''''''''' ''''''''''''''''''''''''</w:t>
            </w:r>
          </w:p>
        </w:tc>
      </w:tr>
    </w:tbl>
    <w:p w:rsidR="000B12FE" w:rsidRDefault="000B12FE" w:rsidP="000B12FE">
      <w:pPr>
        <w:pStyle w:val="Tablenote"/>
      </w:pPr>
      <w:r w:rsidRPr="00DE3429">
        <w:rPr>
          <w:vertAlign w:val="superscript"/>
        </w:rPr>
        <w:t>a</w:t>
      </w:r>
      <w:r w:rsidRPr="00822C52">
        <w:t xml:space="preserve"> </w:t>
      </w:r>
      <w:r>
        <w:t xml:space="preserve">A decrease in PVR indicates improvement in </w:t>
      </w:r>
      <w:r w:rsidR="007E658F">
        <w:t>haemodynamic parameters</w:t>
      </w:r>
      <w:r>
        <w:t xml:space="preserve">. </w:t>
      </w:r>
    </w:p>
    <w:p w:rsidR="00761752" w:rsidRDefault="000B12FE" w:rsidP="00761752">
      <w:pPr>
        <w:pStyle w:val="Tablenote"/>
      </w:pPr>
      <w:r>
        <w:rPr>
          <w:vertAlign w:val="superscript"/>
        </w:rPr>
        <w:t>b</w:t>
      </w:r>
      <w:r w:rsidR="00761752">
        <w:t xml:space="preserve"> 14% of patients had background </w:t>
      </w:r>
      <w:r w:rsidR="0017012F">
        <w:t>prostanoid</w:t>
      </w:r>
      <w:r w:rsidR="00761752">
        <w:t xml:space="preserve"> therapy</w:t>
      </w:r>
    </w:p>
    <w:p w:rsidR="00087C8E" w:rsidRPr="006316DF" w:rsidRDefault="00761752" w:rsidP="00761752">
      <w:pPr>
        <w:pStyle w:val="Tablenote"/>
      </w:pPr>
      <w:r w:rsidRPr="006316DF">
        <w:t xml:space="preserve">CSR = clinical study report; </w:t>
      </w:r>
      <w:r w:rsidR="00087C8E" w:rsidRPr="00DC16A3">
        <w:t xml:space="preserve">ERA = endothelin receptor antagonist; FC = functional class; </w:t>
      </w:r>
      <w:r w:rsidRPr="006316DF">
        <w:t>N = number of patients</w:t>
      </w:r>
      <w:r>
        <w:t xml:space="preserve">; </w:t>
      </w:r>
      <w:r w:rsidR="00087C8E" w:rsidRPr="00DC16A3">
        <w:t xml:space="preserve">PAH = pulmonary arterial hypertension; </w:t>
      </w:r>
      <w:r>
        <w:t xml:space="preserve">PVR = </w:t>
      </w:r>
      <w:r w:rsidRPr="007A4F5B">
        <w:t>pulmonary vascular resistance</w:t>
      </w:r>
      <w:r w:rsidR="009B47AA">
        <w:t>;</w:t>
      </w:r>
      <w:r w:rsidR="009B47AA" w:rsidRPr="009B47AA">
        <w:t xml:space="preserve"> </w:t>
      </w:r>
      <w:r w:rsidR="00087C8E">
        <w:t xml:space="preserve">SD = standard deviation; </w:t>
      </w:r>
      <w:r w:rsidR="009B47AA" w:rsidRPr="00986739">
        <w:t>sGC = solub</w:t>
      </w:r>
      <w:r w:rsidR="009B47AA">
        <w:t>le guanylate cyclase</w:t>
      </w:r>
      <w:r w:rsidR="00087C8E" w:rsidRPr="00DC16A3">
        <w:t>; WHO = World Health Organization</w:t>
      </w:r>
    </w:p>
    <w:p w:rsidR="0075777C" w:rsidRPr="00822C52" w:rsidRDefault="002E4833" w:rsidP="0075777C">
      <w:pPr>
        <w:pStyle w:val="Heading5"/>
      </w:pPr>
      <w:r>
        <w:t xml:space="preserve">h. </w:t>
      </w:r>
      <w:r w:rsidR="0075777C">
        <w:t>Comparative s</w:t>
      </w:r>
      <w:r w:rsidR="0075777C" w:rsidRPr="00822C52">
        <w:t>afety</w:t>
      </w:r>
    </w:p>
    <w:p w:rsidR="0075777C" w:rsidRPr="00822C52" w:rsidRDefault="0075777C" w:rsidP="0075777C">
      <w:r>
        <w:t xml:space="preserve">PATENT-1 did not </w:t>
      </w:r>
      <w:r w:rsidRPr="000D4940">
        <w:t xml:space="preserve">report on the </w:t>
      </w:r>
      <w:r>
        <w:t xml:space="preserve">comparative safety of </w:t>
      </w:r>
      <w:r w:rsidRPr="000D4940">
        <w:t>treat</w:t>
      </w:r>
      <w:r>
        <w:t>m</w:t>
      </w:r>
      <w:r w:rsidRPr="000D4940">
        <w:t>e</w:t>
      </w:r>
      <w:r>
        <w:t>nt</w:t>
      </w:r>
      <w:r w:rsidRPr="000D4940">
        <w:t xml:space="preserve"> with a </w:t>
      </w:r>
      <w:r>
        <w:t>sGC stimulator plus an ERA c</w:t>
      </w:r>
      <w:r w:rsidRPr="000D4940">
        <w:t>ompared with treat</w:t>
      </w:r>
      <w:r>
        <w:t>ment</w:t>
      </w:r>
      <w:r w:rsidRPr="000D4940">
        <w:t xml:space="preserve"> with an ERA alone.</w:t>
      </w:r>
    </w:p>
    <w:p w:rsidR="0075777C" w:rsidRPr="00822C52" w:rsidRDefault="00761752" w:rsidP="0075777C">
      <w:pPr>
        <w:pStyle w:val="Heading4"/>
      </w:pPr>
      <w:r>
        <w:t>4.4.3.</w:t>
      </w:r>
      <w:r w:rsidR="00441F08">
        <w:t>7</w:t>
      </w:r>
      <w:r>
        <w:tab/>
      </w:r>
      <w:r w:rsidR="0075777C">
        <w:t>sGC stimulator</w:t>
      </w:r>
      <w:r w:rsidR="0075777C" w:rsidRPr="00822C52">
        <w:t xml:space="preserve"> in addition to </w:t>
      </w:r>
      <w:r w:rsidR="0075777C">
        <w:t>PDE-5 inhibitor</w:t>
      </w:r>
    </w:p>
    <w:p w:rsidR="0075777C" w:rsidRDefault="0075777C" w:rsidP="0075777C">
      <w:r w:rsidRPr="00326FE2">
        <w:t xml:space="preserve">Only one RCT was identified that reported on the effectiveness of a sGC stimulator </w:t>
      </w:r>
      <w:r>
        <w:t xml:space="preserve">in addition to a </w:t>
      </w:r>
      <w:r w:rsidRPr="000D4940">
        <w:t xml:space="preserve">PDE-5 inhibitor </w:t>
      </w:r>
      <w:r w:rsidRPr="00326FE2">
        <w:t xml:space="preserve">in treating PAH compared with </w:t>
      </w:r>
      <w:r>
        <w:t xml:space="preserve">placebo and a </w:t>
      </w:r>
      <w:r w:rsidRPr="00053F26">
        <w:t xml:space="preserve">PDE-5 inhibitor </w:t>
      </w:r>
      <w:r w:rsidRPr="00326FE2">
        <w:t>in patients with PAH. The PATENT-</w:t>
      </w:r>
      <w:r>
        <w:t>PLUS</w:t>
      </w:r>
      <w:r w:rsidR="001D34EE" w:rsidRPr="001A1C44">
        <w:rPr>
          <w:noProof/>
          <w:vertAlign w:val="superscript"/>
        </w:rPr>
        <w:t>44</w:t>
      </w:r>
      <w:r w:rsidRPr="00326FE2">
        <w:t xml:space="preserve"> doubl</w:t>
      </w:r>
      <w:r>
        <w:t>e-blind trial, with a low</w:t>
      </w:r>
      <w:r w:rsidRPr="00326FE2">
        <w:t xml:space="preserve"> risk of bias, randomised PAH patients</w:t>
      </w:r>
      <w:r>
        <w:t xml:space="preserve"> with </w:t>
      </w:r>
      <w:r w:rsidRPr="00053F26">
        <w:t xml:space="preserve">symptomatic PAH receiving stable sildenafil therapy </w:t>
      </w:r>
      <w:r w:rsidRPr="00326FE2">
        <w:t xml:space="preserve">to receive riociguat or placebo for 12 weeks. </w:t>
      </w:r>
      <w:r>
        <w:t>After 12 weeks, patients were eligible for an open-label long-term extension study to assess the long-term safety and tolerability of the riociguat/sildenafil combination. The combination therapy group had a greater proportion of patients with PAH-CTD (5/12, 42% v</w:t>
      </w:r>
      <w:r w:rsidR="0095089E">
        <w:t>ersu</w:t>
      </w:r>
      <w:r>
        <w:t>s 1/6, 17%), and a smaller proportion of patients with WHO FC II (6/12, 50% v</w:t>
      </w:r>
      <w:r w:rsidR="0095089E">
        <w:t>ersu</w:t>
      </w:r>
      <w:r>
        <w:t>s 4/6, 67%) and baseline 6MWD ≥ 320 m (7/12, 58% v</w:t>
      </w:r>
      <w:r w:rsidR="0095089E">
        <w:t>ersu</w:t>
      </w:r>
      <w:r>
        <w:t xml:space="preserve">s 6/6, 100%). Additionally, the baseline </w:t>
      </w:r>
      <w:r w:rsidRPr="00023C0D">
        <w:t>PVR dyn·s·cm</w:t>
      </w:r>
      <w:r w:rsidRPr="00023C0D">
        <w:rPr>
          <w:vertAlign w:val="superscript"/>
        </w:rPr>
        <w:t>−5</w:t>
      </w:r>
      <w:r w:rsidRPr="00023C0D">
        <w:t xml:space="preserve"> </w:t>
      </w:r>
      <w:r>
        <w:t>was lower in the combination therapy group (</w:t>
      </w:r>
      <w:r w:rsidRPr="00023C0D">
        <w:t>573</w:t>
      </w:r>
      <w:r>
        <w:t xml:space="preserve"> </w:t>
      </w:r>
      <w:r w:rsidRPr="00023C0D">
        <w:t>±</w:t>
      </w:r>
      <w:r>
        <w:t xml:space="preserve"> </w:t>
      </w:r>
      <w:r w:rsidRPr="00023C0D">
        <w:t xml:space="preserve">241 </w:t>
      </w:r>
      <w:r>
        <w:t>v</w:t>
      </w:r>
      <w:r w:rsidR="0095089E">
        <w:t>ersu</w:t>
      </w:r>
      <w:r>
        <w:t xml:space="preserve">s </w:t>
      </w:r>
      <w:r w:rsidRPr="00023C0D">
        <w:t>683</w:t>
      </w:r>
      <w:r>
        <w:t xml:space="preserve"> </w:t>
      </w:r>
      <w:r w:rsidRPr="00023C0D">
        <w:t>±</w:t>
      </w:r>
      <w:r>
        <w:t xml:space="preserve"> </w:t>
      </w:r>
      <w:r w:rsidRPr="00023C0D">
        <w:t>195</w:t>
      </w:r>
      <w:r>
        <w:t>).</w:t>
      </w:r>
      <w:r w:rsidRPr="00023C0D">
        <w:t xml:space="preserve"> </w:t>
      </w:r>
      <w:r>
        <w:t>These imbalances are not surprising considering the small sample size of the study.</w:t>
      </w:r>
    </w:p>
    <w:p w:rsidR="0075777C" w:rsidRPr="00E12BB1" w:rsidRDefault="002E4833" w:rsidP="0075777C">
      <w:pPr>
        <w:pStyle w:val="Heading5"/>
      </w:pPr>
      <w:r>
        <w:t>a.</w:t>
      </w:r>
      <w:r w:rsidR="00761752">
        <w:tab/>
      </w:r>
      <w:r w:rsidR="0075777C" w:rsidRPr="00E12BB1">
        <w:t>Study-defined clinical worsening</w:t>
      </w:r>
    </w:p>
    <w:p w:rsidR="0075777C" w:rsidRDefault="0075777C" w:rsidP="0075777C">
      <w:r w:rsidRPr="00CB0236">
        <w:t xml:space="preserve">The number of patients </w:t>
      </w:r>
      <w:r>
        <w:t xml:space="preserve">receiving sGC stimulator plus PDE-5 inhibitor </w:t>
      </w:r>
      <w:r w:rsidRPr="00CB0236">
        <w:t>combination treatment who</w:t>
      </w:r>
      <w:r>
        <w:t xml:space="preserve"> had clinical worsening </w:t>
      </w:r>
      <w:r w:rsidRPr="00CB0236">
        <w:t xml:space="preserve">compared with </w:t>
      </w:r>
      <w:r>
        <w:t xml:space="preserve">those receiving </w:t>
      </w:r>
      <w:r w:rsidRPr="00CB0236">
        <w:t>PDE-5 inhibitor monotherapy was not reported for the PA</w:t>
      </w:r>
      <w:r>
        <w:t>T</w:t>
      </w:r>
      <w:r w:rsidRPr="00CB0236">
        <w:t>E</w:t>
      </w:r>
      <w:r>
        <w:t>NT-PLU</w:t>
      </w:r>
      <w:r w:rsidRPr="00CB0236">
        <w:t>S trial.</w:t>
      </w:r>
    </w:p>
    <w:p w:rsidR="0075777C" w:rsidRPr="00822C52" w:rsidRDefault="002E4833" w:rsidP="0075777C">
      <w:pPr>
        <w:pStyle w:val="Heading5"/>
      </w:pPr>
      <w:r>
        <w:t>b.</w:t>
      </w:r>
      <w:r w:rsidR="00761752">
        <w:tab/>
      </w:r>
      <w:r w:rsidR="00C828F9">
        <w:t>All-cause m</w:t>
      </w:r>
      <w:r w:rsidR="00C828F9" w:rsidRPr="006316DF">
        <w:t>ortality</w:t>
      </w:r>
    </w:p>
    <w:p w:rsidR="0075777C" w:rsidRPr="00822C52" w:rsidRDefault="002E4833" w:rsidP="0077344D">
      <w:pPr>
        <w:pStyle w:val="Heading6"/>
      </w:pPr>
      <w:r>
        <w:t>b</w:t>
      </w:r>
      <w:r w:rsidR="0075777C" w:rsidRPr="00822C52">
        <w:t>.i</w:t>
      </w:r>
      <w:r w:rsidR="0075777C" w:rsidRPr="00822C52">
        <w:tab/>
        <w:t>PAH patients, irrespective of disease severity or aetiology</w:t>
      </w:r>
    </w:p>
    <w:p w:rsidR="0075777C" w:rsidRDefault="0075777C" w:rsidP="0075777C">
      <w:r>
        <w:t>No patients died during the 12-week randomisation period of PATENT-PLUS study (</w:t>
      </w:r>
      <w:r w:rsidR="00AA722D">
        <w:t>Table 4.</w:t>
      </w:r>
      <w:r w:rsidR="00AA722D">
        <w:rPr>
          <w:noProof/>
        </w:rPr>
        <w:t>100</w:t>
      </w:r>
      <w:r>
        <w:t xml:space="preserve">). Thus, the effect of a sGC stimulator in addition to a </w:t>
      </w:r>
      <w:r w:rsidRPr="00816A99">
        <w:t xml:space="preserve">PDE-5 inhibitor </w:t>
      </w:r>
      <w:r>
        <w:t xml:space="preserve">compared with </w:t>
      </w:r>
      <w:r w:rsidRPr="00816A99">
        <w:t xml:space="preserve">PDE-5 inhibitor </w:t>
      </w:r>
      <w:r>
        <w:t>monotherapy on mortality rates cannot be determined.</w:t>
      </w:r>
    </w:p>
    <w:p w:rsidR="0075777C" w:rsidRPr="00DD7790" w:rsidRDefault="00272F8F" w:rsidP="00BC5A2B">
      <w:pPr>
        <w:pStyle w:val="Caption"/>
      </w:pPr>
      <w:bookmarkStart w:id="289" w:name="_Ref504658473"/>
      <w:bookmarkStart w:id="290" w:name="_Toc512855504"/>
      <w:r>
        <w:lastRenderedPageBreak/>
        <w:t>Table 4.</w:t>
      </w:r>
      <w:r w:rsidR="00AA722D">
        <w:rPr>
          <w:noProof/>
        </w:rPr>
        <w:t>100</w:t>
      </w:r>
      <w:bookmarkEnd w:id="289"/>
      <w:r w:rsidR="00C41039">
        <w:tab/>
      </w:r>
      <w:r w:rsidR="0075777C" w:rsidRPr="00DD7790">
        <w:t xml:space="preserve">Mortality rates for </w:t>
      </w:r>
      <w:r w:rsidR="00AA08D3">
        <w:t xml:space="preserve">a </w:t>
      </w:r>
      <w:r w:rsidR="00E35EDB" w:rsidRPr="00E35EDB">
        <w:t xml:space="preserve">sGC stimulator </w:t>
      </w:r>
      <w:r w:rsidR="007E59EC">
        <w:t>in addition to</w:t>
      </w:r>
      <w:r w:rsidR="0075777C" w:rsidRPr="00DD7790">
        <w:t xml:space="preserve"> </w:t>
      </w:r>
      <w:r w:rsidR="00AA08D3">
        <w:t xml:space="preserve">a </w:t>
      </w:r>
      <w:r w:rsidR="0075777C" w:rsidRPr="00DD7790">
        <w:t xml:space="preserve">PDE-5 inhibitor </w:t>
      </w:r>
      <w:r w:rsidR="0075777C" w:rsidRPr="009B4D64">
        <w:t xml:space="preserve">compared with </w:t>
      </w:r>
      <w:r w:rsidR="0075777C" w:rsidRPr="00DD7790">
        <w:t xml:space="preserve">PDE-5 inhibitor </w:t>
      </w:r>
      <w:r w:rsidR="007E59EC">
        <w:t xml:space="preserve">monotherapy </w:t>
      </w:r>
      <w:r w:rsidR="0075777C" w:rsidRPr="00DD7790">
        <w:t>in all PAH patients</w:t>
      </w:r>
      <w:bookmarkEnd w:id="290"/>
    </w:p>
    <w:tbl>
      <w:tblPr>
        <w:tblStyle w:val="TableGrid7"/>
        <w:tblW w:w="9634" w:type="dxa"/>
        <w:tblLayout w:type="fixed"/>
        <w:tblLook w:val="04A0" w:firstRow="1" w:lastRow="0" w:firstColumn="1" w:lastColumn="0" w:noHBand="0" w:noVBand="1"/>
        <w:tblCaption w:val="Mortality rates for a sGC stimulator in addition to a PDE-5 inhibitor compared with PDE-5 inhibitor monotherapy in all PAH patients"/>
      </w:tblPr>
      <w:tblGrid>
        <w:gridCol w:w="1413"/>
        <w:gridCol w:w="1417"/>
        <w:gridCol w:w="2552"/>
        <w:gridCol w:w="2268"/>
        <w:gridCol w:w="1984"/>
      </w:tblGrid>
      <w:tr w:rsidR="0075777C" w:rsidRPr="00822C52" w:rsidTr="00C41039">
        <w:trPr>
          <w:trHeight w:val="194"/>
          <w:tblHeader/>
        </w:trPr>
        <w:tc>
          <w:tcPr>
            <w:tcW w:w="1413" w:type="dxa"/>
            <w:vMerge w:val="restart"/>
            <w:shd w:val="clear" w:color="auto" w:fill="BFBFBF" w:themeFill="background1" w:themeFillShade="BF"/>
          </w:tcPr>
          <w:p w:rsidR="0075777C" w:rsidRDefault="0075777C" w:rsidP="00C41039">
            <w:pPr>
              <w:pStyle w:val="Tabletext"/>
              <w:rPr>
                <w:b/>
              </w:rPr>
            </w:pPr>
            <w:r w:rsidRPr="00C41039">
              <w:rPr>
                <w:b/>
              </w:rPr>
              <w:t>Study ID</w:t>
            </w:r>
          </w:p>
          <w:p w:rsidR="00AA08D3" w:rsidRPr="00C41039" w:rsidRDefault="00AA08D3" w:rsidP="00C41039">
            <w:pPr>
              <w:pStyle w:val="Tabletext"/>
              <w:rPr>
                <w:b/>
              </w:rPr>
            </w:pPr>
            <w:r w:rsidRPr="00AA08D3">
              <w:rPr>
                <w:b/>
              </w:rPr>
              <w:t>sGC stimulator</w:t>
            </w:r>
          </w:p>
        </w:tc>
        <w:tc>
          <w:tcPr>
            <w:tcW w:w="1417" w:type="dxa"/>
            <w:vMerge w:val="restart"/>
            <w:shd w:val="clear" w:color="auto" w:fill="BFBFBF" w:themeFill="background1" w:themeFillShade="BF"/>
          </w:tcPr>
          <w:p w:rsidR="0075777C" w:rsidRPr="00C41039" w:rsidRDefault="0075777C" w:rsidP="00C41039">
            <w:pPr>
              <w:pStyle w:val="Tabletext"/>
              <w:rPr>
                <w:b/>
              </w:rPr>
            </w:pPr>
            <w:r w:rsidRPr="00C41039">
              <w:rPr>
                <w:b/>
              </w:rPr>
              <w:t>Study period</w:t>
            </w:r>
          </w:p>
          <w:p w:rsidR="0075777C" w:rsidRPr="00C41039" w:rsidRDefault="0075777C" w:rsidP="00C41039">
            <w:pPr>
              <w:pStyle w:val="Tabletext"/>
              <w:rPr>
                <w:b/>
              </w:rPr>
            </w:pPr>
            <w:r w:rsidRPr="00C41039">
              <w:rPr>
                <w:b/>
              </w:rPr>
              <w:t>PDE-5 inhibitor</w:t>
            </w:r>
          </w:p>
        </w:tc>
        <w:tc>
          <w:tcPr>
            <w:tcW w:w="4820" w:type="dxa"/>
            <w:gridSpan w:val="2"/>
            <w:shd w:val="clear" w:color="auto" w:fill="BFBFBF" w:themeFill="background1" w:themeFillShade="BF"/>
          </w:tcPr>
          <w:p w:rsidR="0075777C" w:rsidRPr="00C41039" w:rsidRDefault="0075777C" w:rsidP="00C41039">
            <w:pPr>
              <w:pStyle w:val="Tabletext"/>
              <w:jc w:val="center"/>
              <w:rPr>
                <w:b/>
              </w:rPr>
            </w:pPr>
            <w:r w:rsidRPr="00C41039">
              <w:rPr>
                <w:b/>
              </w:rPr>
              <w:t>n/N (%)</w:t>
            </w:r>
          </w:p>
        </w:tc>
        <w:tc>
          <w:tcPr>
            <w:tcW w:w="1984" w:type="dxa"/>
            <w:vMerge w:val="restart"/>
            <w:shd w:val="clear" w:color="auto" w:fill="BFBFBF" w:themeFill="background1" w:themeFillShade="BF"/>
          </w:tcPr>
          <w:p w:rsidR="0075777C" w:rsidRPr="00C41039" w:rsidRDefault="0075777C" w:rsidP="00C41039">
            <w:pPr>
              <w:pStyle w:val="Tabletext"/>
              <w:rPr>
                <w:b/>
              </w:rPr>
            </w:pPr>
            <w:r w:rsidRPr="00C41039">
              <w:rPr>
                <w:b/>
              </w:rPr>
              <w:t>RR (95% CI)</w:t>
            </w:r>
          </w:p>
        </w:tc>
      </w:tr>
      <w:tr w:rsidR="0075777C" w:rsidRPr="00822C52" w:rsidTr="00AA08D3">
        <w:trPr>
          <w:trHeight w:val="202"/>
          <w:tblHeader/>
        </w:trPr>
        <w:tc>
          <w:tcPr>
            <w:tcW w:w="1413" w:type="dxa"/>
            <w:vMerge/>
            <w:shd w:val="clear" w:color="auto" w:fill="BFBFBF" w:themeFill="background1" w:themeFillShade="BF"/>
          </w:tcPr>
          <w:p w:rsidR="0075777C" w:rsidRPr="00822C52" w:rsidRDefault="0075777C" w:rsidP="00C41039">
            <w:pPr>
              <w:pStyle w:val="Tabletext"/>
            </w:pPr>
          </w:p>
        </w:tc>
        <w:tc>
          <w:tcPr>
            <w:tcW w:w="1417" w:type="dxa"/>
            <w:vMerge/>
            <w:shd w:val="clear" w:color="auto" w:fill="BFBFBF" w:themeFill="background1" w:themeFillShade="BF"/>
          </w:tcPr>
          <w:p w:rsidR="0075777C" w:rsidRPr="00822C52" w:rsidRDefault="0075777C" w:rsidP="00C41039">
            <w:pPr>
              <w:pStyle w:val="Tabletext"/>
            </w:pPr>
          </w:p>
        </w:tc>
        <w:tc>
          <w:tcPr>
            <w:tcW w:w="2552" w:type="dxa"/>
            <w:shd w:val="clear" w:color="auto" w:fill="BFBFBF" w:themeFill="background1" w:themeFillShade="BF"/>
          </w:tcPr>
          <w:p w:rsidR="0075777C" w:rsidRPr="00C41039" w:rsidRDefault="00AA08D3" w:rsidP="00C41039">
            <w:pPr>
              <w:pStyle w:val="Tabletext"/>
              <w:jc w:val="center"/>
              <w:rPr>
                <w:b/>
              </w:rPr>
            </w:pPr>
            <w:r w:rsidRPr="00AA08D3">
              <w:rPr>
                <w:b/>
              </w:rPr>
              <w:t xml:space="preserve">sGC stimulator </w:t>
            </w:r>
            <w:r w:rsidR="0075777C" w:rsidRPr="00C41039">
              <w:rPr>
                <w:b/>
              </w:rPr>
              <w:t>+ PDE-5 inhibitor</w:t>
            </w:r>
          </w:p>
        </w:tc>
        <w:tc>
          <w:tcPr>
            <w:tcW w:w="2268" w:type="dxa"/>
            <w:shd w:val="clear" w:color="auto" w:fill="BFBFBF" w:themeFill="background1" w:themeFillShade="BF"/>
          </w:tcPr>
          <w:p w:rsidR="0075777C" w:rsidRPr="00C41039" w:rsidRDefault="0075777C" w:rsidP="00C41039">
            <w:pPr>
              <w:pStyle w:val="Tabletext"/>
              <w:jc w:val="center"/>
              <w:rPr>
                <w:b/>
              </w:rPr>
            </w:pPr>
            <w:r w:rsidRPr="00C41039">
              <w:rPr>
                <w:b/>
              </w:rPr>
              <w:t>PDE-5 inhibitor</w:t>
            </w:r>
          </w:p>
        </w:tc>
        <w:tc>
          <w:tcPr>
            <w:tcW w:w="1984" w:type="dxa"/>
            <w:vMerge/>
            <w:shd w:val="clear" w:color="auto" w:fill="BFBFBF" w:themeFill="background1" w:themeFillShade="BF"/>
          </w:tcPr>
          <w:p w:rsidR="0075777C" w:rsidRPr="00822C52" w:rsidRDefault="0075777C" w:rsidP="00C41039">
            <w:pPr>
              <w:pStyle w:val="Tabletext"/>
            </w:pPr>
          </w:p>
        </w:tc>
      </w:tr>
      <w:tr w:rsidR="0075777C" w:rsidRPr="00822C52" w:rsidTr="00880228">
        <w:trPr>
          <w:cantSplit/>
          <w:trHeight w:val="70"/>
        </w:trPr>
        <w:tc>
          <w:tcPr>
            <w:tcW w:w="1413" w:type="dxa"/>
            <w:shd w:val="clear" w:color="auto" w:fill="auto"/>
          </w:tcPr>
          <w:p w:rsidR="0075777C" w:rsidRDefault="0075777C" w:rsidP="00742283">
            <w:pPr>
              <w:pStyle w:val="Tabletext"/>
              <w:rPr>
                <w:rFonts w:cs="Tahoma"/>
              </w:rPr>
            </w:pPr>
            <w:r w:rsidRPr="00326FE2">
              <w:rPr>
                <w:rFonts w:cs="Tahoma"/>
              </w:rPr>
              <w:t>PATENT-PLUS</w:t>
            </w:r>
            <w:r w:rsidR="001D34EE" w:rsidRPr="001A1C44">
              <w:rPr>
                <w:rFonts w:cs="Tahoma"/>
                <w:noProof/>
                <w:vertAlign w:val="superscript"/>
              </w:rPr>
              <w:t>44</w:t>
            </w:r>
          </w:p>
          <w:p w:rsidR="00AA08D3" w:rsidRPr="00AA08D3" w:rsidRDefault="00AA08D3" w:rsidP="00742283">
            <w:pPr>
              <w:pStyle w:val="Tabletext"/>
              <w:rPr>
                <w:rFonts w:cs="Tahoma"/>
              </w:rPr>
            </w:pPr>
            <w:r w:rsidRPr="00AA08D3">
              <w:t>Riociguat</w:t>
            </w:r>
          </w:p>
        </w:tc>
        <w:tc>
          <w:tcPr>
            <w:tcW w:w="1417" w:type="dxa"/>
            <w:shd w:val="clear" w:color="auto" w:fill="auto"/>
          </w:tcPr>
          <w:p w:rsidR="0075777C" w:rsidRPr="00326FE2" w:rsidRDefault="0075777C" w:rsidP="00C41039">
            <w:pPr>
              <w:pStyle w:val="Tabletext"/>
              <w:rPr>
                <w:rFonts w:cs="Tahoma"/>
              </w:rPr>
            </w:pPr>
            <w:r w:rsidRPr="00326FE2">
              <w:rPr>
                <w:rFonts w:cs="Tahoma"/>
              </w:rPr>
              <w:t>12 weeks</w:t>
            </w:r>
          </w:p>
          <w:p w:rsidR="0075777C" w:rsidRPr="00326FE2" w:rsidRDefault="0075777C" w:rsidP="00C41039">
            <w:pPr>
              <w:pStyle w:val="Tabletext"/>
              <w:rPr>
                <w:rFonts w:cs="Tahoma"/>
              </w:rPr>
            </w:pPr>
            <w:r w:rsidRPr="00326FE2">
              <w:rPr>
                <w:rFonts w:cs="Tahoma"/>
              </w:rPr>
              <w:t>Sildenafil</w:t>
            </w:r>
          </w:p>
        </w:tc>
        <w:tc>
          <w:tcPr>
            <w:tcW w:w="2552" w:type="dxa"/>
            <w:shd w:val="clear" w:color="auto" w:fill="auto"/>
          </w:tcPr>
          <w:p w:rsidR="0075777C" w:rsidRPr="00326FE2" w:rsidRDefault="0075777C" w:rsidP="00C41039">
            <w:pPr>
              <w:pStyle w:val="Tabletext"/>
              <w:jc w:val="center"/>
              <w:rPr>
                <w:rFonts w:cs="Tahoma"/>
              </w:rPr>
            </w:pPr>
            <w:r w:rsidRPr="00326FE2">
              <w:rPr>
                <w:rFonts w:eastAsia="Times New Roman" w:cs="Tahoma"/>
              </w:rPr>
              <w:t>0/12 (0%)</w:t>
            </w:r>
          </w:p>
        </w:tc>
        <w:tc>
          <w:tcPr>
            <w:tcW w:w="2268" w:type="dxa"/>
            <w:shd w:val="clear" w:color="auto" w:fill="auto"/>
          </w:tcPr>
          <w:p w:rsidR="0075777C" w:rsidRPr="00326FE2" w:rsidRDefault="0075777C" w:rsidP="00C41039">
            <w:pPr>
              <w:pStyle w:val="Tabletext"/>
              <w:jc w:val="center"/>
              <w:rPr>
                <w:rFonts w:cs="Tahoma"/>
              </w:rPr>
            </w:pPr>
            <w:r w:rsidRPr="00326FE2">
              <w:rPr>
                <w:rFonts w:eastAsia="Times New Roman" w:cs="Tahoma"/>
              </w:rPr>
              <w:t>0/6 (0%)</w:t>
            </w:r>
          </w:p>
        </w:tc>
        <w:tc>
          <w:tcPr>
            <w:tcW w:w="1984" w:type="dxa"/>
          </w:tcPr>
          <w:p w:rsidR="0075777C" w:rsidRPr="00326FE2" w:rsidRDefault="0075777C" w:rsidP="00C41039">
            <w:pPr>
              <w:pStyle w:val="Tabletext"/>
              <w:rPr>
                <w:rFonts w:cs="Tahoma"/>
              </w:rPr>
            </w:pPr>
            <w:r w:rsidRPr="00326FE2">
              <w:rPr>
                <w:rFonts w:cs="Tahoma"/>
              </w:rPr>
              <w:t>Not calculable</w:t>
            </w:r>
          </w:p>
        </w:tc>
      </w:tr>
    </w:tbl>
    <w:p w:rsidR="0075777C" w:rsidRPr="00822C52" w:rsidRDefault="0075777C" w:rsidP="00C41039">
      <w:pPr>
        <w:pStyle w:val="Tablenote"/>
      </w:pPr>
      <w:r w:rsidRPr="00822C52">
        <w:t xml:space="preserve">CI = confidence interval; n = number of </w:t>
      </w:r>
      <w:r w:rsidR="00087C8E">
        <w:t xml:space="preserve">patients with </w:t>
      </w:r>
      <w:r w:rsidRPr="00822C52">
        <w:t xml:space="preserve">events; N = number of patients; PAH = pulmonary arterial hypertension; </w:t>
      </w:r>
      <w:r>
        <w:t xml:space="preserve">PDE-5 </w:t>
      </w:r>
      <w:r w:rsidRPr="00822C52">
        <w:t>= phosphodiesterase type-5; RR = relative risk</w:t>
      </w:r>
      <w:r w:rsidR="009B47AA">
        <w:t xml:space="preserve">; </w:t>
      </w:r>
      <w:r w:rsidR="009B47AA" w:rsidRPr="009B47AA">
        <w:t>sGC = solub</w:t>
      </w:r>
      <w:r w:rsidR="009B47AA">
        <w:t xml:space="preserve">le guanylate cyclase </w:t>
      </w:r>
    </w:p>
    <w:p w:rsidR="0075777C" w:rsidRPr="00822C52" w:rsidRDefault="00761752" w:rsidP="0075777C">
      <w:pPr>
        <w:pStyle w:val="Heading5"/>
      </w:pPr>
      <w:r>
        <w:t>c.</w:t>
      </w:r>
      <w:r>
        <w:tab/>
      </w:r>
      <w:r w:rsidR="00C828F9" w:rsidRPr="006316DF">
        <w:t>Hospitalisation</w:t>
      </w:r>
      <w:r w:rsidR="00C828F9" w:rsidRPr="0046652B">
        <w:t xml:space="preserve"> due to worsening PAH</w:t>
      </w:r>
    </w:p>
    <w:p w:rsidR="0075777C" w:rsidRDefault="0075777C" w:rsidP="0075777C">
      <w:r w:rsidRPr="00CB0236">
        <w:t xml:space="preserve">The number of patients </w:t>
      </w:r>
      <w:r>
        <w:t xml:space="preserve">receiving sGC stimulator plus PDE-5 inhibitor </w:t>
      </w:r>
      <w:r w:rsidRPr="00CB0236">
        <w:t>combination treatment who</w:t>
      </w:r>
      <w:r>
        <w:t xml:space="preserve"> were hospitalised </w:t>
      </w:r>
      <w:r w:rsidRPr="00CB0236">
        <w:t xml:space="preserve">compared with </w:t>
      </w:r>
      <w:r>
        <w:t xml:space="preserve">those receiving </w:t>
      </w:r>
      <w:r w:rsidRPr="00CB0236">
        <w:t>PDE-5 inhibitor monotherapy was not reported for the PA</w:t>
      </w:r>
      <w:r>
        <w:t>T</w:t>
      </w:r>
      <w:r w:rsidRPr="00CB0236">
        <w:t>E</w:t>
      </w:r>
      <w:r>
        <w:t>NT-PLU</w:t>
      </w:r>
      <w:r w:rsidRPr="00CB0236">
        <w:t>S trial.</w:t>
      </w:r>
    </w:p>
    <w:p w:rsidR="0075777C" w:rsidRPr="00822C52" w:rsidRDefault="00761752" w:rsidP="00761752">
      <w:pPr>
        <w:pStyle w:val="Heading5"/>
      </w:pPr>
      <w:r>
        <w:t>d.</w:t>
      </w:r>
      <w:r>
        <w:tab/>
      </w:r>
      <w:r w:rsidR="0075777C" w:rsidRPr="00822C52">
        <w:t xml:space="preserve">Change in WHO </w:t>
      </w:r>
      <w:r w:rsidR="0075777C">
        <w:t>FC</w:t>
      </w:r>
      <w:r w:rsidRPr="00761752">
        <w:t xml:space="preserve"> from baseline</w:t>
      </w:r>
    </w:p>
    <w:p w:rsidR="0075777C" w:rsidRPr="00822C52" w:rsidRDefault="002E4833" w:rsidP="0077344D">
      <w:pPr>
        <w:pStyle w:val="Heading6"/>
      </w:pPr>
      <w:r>
        <w:t>d</w:t>
      </w:r>
      <w:r w:rsidR="0075777C" w:rsidRPr="00822C52">
        <w:t>.i</w:t>
      </w:r>
      <w:r w:rsidR="0075777C" w:rsidRPr="00822C52">
        <w:tab/>
        <w:t>PAH patients, irrespective of disease severity or aetiology</w:t>
      </w:r>
    </w:p>
    <w:p w:rsidR="0075777C" w:rsidRDefault="0075777C" w:rsidP="0075777C">
      <w:r w:rsidRPr="00816A99">
        <w:t xml:space="preserve">Patients who received combination therapy were </w:t>
      </w:r>
      <w:r>
        <w:t>approximately 2</w:t>
      </w:r>
      <w:r w:rsidRPr="00816A99">
        <w:t xml:space="preserve">-times </w:t>
      </w:r>
      <w:r>
        <w:t>less</w:t>
      </w:r>
      <w:r w:rsidRPr="00816A99">
        <w:t xml:space="preserve"> likely to improve their WHO FC than those on monotherapy (</w:t>
      </w:r>
      <w:r w:rsidR="00AA722D">
        <w:t>Table 4.</w:t>
      </w:r>
      <w:r w:rsidR="00AA722D">
        <w:rPr>
          <w:noProof/>
        </w:rPr>
        <w:t>101</w:t>
      </w:r>
      <w:r>
        <w:t>)</w:t>
      </w:r>
      <w:r w:rsidRPr="00816A99">
        <w:t>, but this difference was not statistically significant (</w:t>
      </w:r>
      <w:r w:rsidR="00B21201">
        <w:t>ARD</w:t>
      </w:r>
      <w:r w:rsidR="00DB6ACB">
        <w:t> </w:t>
      </w:r>
      <w:r w:rsidRPr="00707847">
        <w:t>=</w:t>
      </w:r>
      <w:r w:rsidR="00DB6ACB">
        <w:t> </w:t>
      </w:r>
      <w:r>
        <w:t>−16.7%; 95% CI −59.9, −26.5; p</w:t>
      </w:r>
      <w:r w:rsidR="00DB6ACB">
        <w:t> </w:t>
      </w:r>
      <w:r>
        <w:t>=</w:t>
      </w:r>
      <w:r w:rsidR="00DB6ACB">
        <w:t> </w:t>
      </w:r>
      <w:r>
        <w:t>0.43)</w:t>
      </w:r>
      <w:r w:rsidRPr="00816A99">
        <w:t>.</w:t>
      </w:r>
      <w:r>
        <w:t xml:space="preserve"> No patients in either group experienced worsening of their WHO FC during the randomisation period.</w:t>
      </w:r>
    </w:p>
    <w:p w:rsidR="0075777C" w:rsidRPr="00DD7790" w:rsidRDefault="00272F8F" w:rsidP="00BC5A2B">
      <w:pPr>
        <w:pStyle w:val="Caption"/>
      </w:pPr>
      <w:bookmarkStart w:id="291" w:name="_Ref504661029"/>
      <w:bookmarkStart w:id="292" w:name="_Toc512855505"/>
      <w:r>
        <w:t>Table 4.</w:t>
      </w:r>
      <w:r w:rsidR="00AA722D">
        <w:rPr>
          <w:noProof/>
        </w:rPr>
        <w:t>101</w:t>
      </w:r>
      <w:bookmarkEnd w:id="291"/>
      <w:r w:rsidR="00C41039">
        <w:tab/>
      </w:r>
      <w:r w:rsidR="0075777C" w:rsidRPr="00DD7790">
        <w:rPr>
          <w:noProof/>
        </w:rPr>
        <w:t xml:space="preserve">The effectiveness of </w:t>
      </w:r>
      <w:r w:rsidR="00AA08D3">
        <w:rPr>
          <w:noProof/>
        </w:rPr>
        <w:t xml:space="preserve">a </w:t>
      </w:r>
      <w:r w:rsidR="00AA08D3" w:rsidRPr="00AA08D3">
        <w:rPr>
          <w:noProof/>
        </w:rPr>
        <w:t xml:space="preserve">sGC stimulator </w:t>
      </w:r>
      <w:r w:rsidR="007E59EC">
        <w:t>in addition to</w:t>
      </w:r>
      <w:r w:rsidR="007E59EC" w:rsidRPr="00DD7790">
        <w:t xml:space="preserve"> </w:t>
      </w:r>
      <w:r w:rsidR="007E59EC">
        <w:t xml:space="preserve">a </w:t>
      </w:r>
      <w:r w:rsidR="007E59EC" w:rsidRPr="00DD7790">
        <w:t xml:space="preserve">PDE-5 inhibitor </w:t>
      </w:r>
      <w:r w:rsidR="007E59EC" w:rsidRPr="009B4D64">
        <w:t xml:space="preserve">compared with </w:t>
      </w:r>
      <w:r w:rsidR="007E59EC" w:rsidRPr="00DD7790">
        <w:t xml:space="preserve">PDE-5 inhibitor </w:t>
      </w:r>
      <w:r w:rsidR="007E59EC">
        <w:t>monotherapy</w:t>
      </w:r>
      <w:r w:rsidR="0075777C" w:rsidRPr="00DD7790">
        <w:rPr>
          <w:noProof/>
        </w:rPr>
        <w:t xml:space="preserve"> in improving WHO FC in all PAH patients</w:t>
      </w:r>
      <w:bookmarkEnd w:id="292"/>
    </w:p>
    <w:tbl>
      <w:tblPr>
        <w:tblStyle w:val="TableGrid7"/>
        <w:tblW w:w="9634" w:type="dxa"/>
        <w:tblLayout w:type="fixed"/>
        <w:tblLook w:val="04A0" w:firstRow="1" w:lastRow="0" w:firstColumn="1" w:lastColumn="0" w:noHBand="0" w:noVBand="1"/>
        <w:tblCaption w:val="The effectiveness of a sGC stimulator in addition to a PDE-5 inhibitor compared with PDE-5 inhibitor monotherapy in improving WHO FC in all PAH patients"/>
      </w:tblPr>
      <w:tblGrid>
        <w:gridCol w:w="1696"/>
        <w:gridCol w:w="1418"/>
        <w:gridCol w:w="2548"/>
        <w:gridCol w:w="2271"/>
        <w:gridCol w:w="1701"/>
      </w:tblGrid>
      <w:tr w:rsidR="0075777C" w:rsidRPr="00822C52" w:rsidTr="00AA08D3">
        <w:trPr>
          <w:trHeight w:val="189"/>
          <w:tblHeader/>
        </w:trPr>
        <w:tc>
          <w:tcPr>
            <w:tcW w:w="1696" w:type="dxa"/>
            <w:vMerge w:val="restart"/>
            <w:shd w:val="clear" w:color="auto" w:fill="BFBFBF" w:themeFill="background1" w:themeFillShade="BF"/>
          </w:tcPr>
          <w:p w:rsidR="0075777C" w:rsidRPr="00C41039" w:rsidRDefault="0075777C" w:rsidP="00C41039">
            <w:pPr>
              <w:pStyle w:val="Tabletext"/>
              <w:rPr>
                <w:b/>
              </w:rPr>
            </w:pPr>
            <w:r w:rsidRPr="00C41039">
              <w:rPr>
                <w:b/>
              </w:rPr>
              <w:t>Study ID</w:t>
            </w:r>
          </w:p>
          <w:p w:rsidR="0075777C" w:rsidRPr="00C41039" w:rsidRDefault="00AA08D3" w:rsidP="00C41039">
            <w:pPr>
              <w:pStyle w:val="Tabletext"/>
              <w:rPr>
                <w:b/>
              </w:rPr>
            </w:pPr>
            <w:r w:rsidRPr="00AA08D3">
              <w:rPr>
                <w:b/>
              </w:rPr>
              <w:t>sGC stimulator</w:t>
            </w:r>
            <w:r>
              <w:rPr>
                <w:b/>
              </w:rPr>
              <w:t>/</w:t>
            </w:r>
            <w:r w:rsidRPr="00AA08D3">
              <w:rPr>
                <w:b/>
              </w:rPr>
              <w:t xml:space="preserve"> </w:t>
            </w:r>
            <w:r w:rsidR="0075777C" w:rsidRPr="00C41039">
              <w:rPr>
                <w:b/>
              </w:rPr>
              <w:t>PDE-5 inhibitor</w:t>
            </w:r>
          </w:p>
        </w:tc>
        <w:tc>
          <w:tcPr>
            <w:tcW w:w="1418" w:type="dxa"/>
            <w:vMerge w:val="restart"/>
            <w:shd w:val="clear" w:color="auto" w:fill="BFBFBF" w:themeFill="background1" w:themeFillShade="BF"/>
          </w:tcPr>
          <w:p w:rsidR="0075777C" w:rsidRPr="00C41039" w:rsidRDefault="0075777C" w:rsidP="00C41039">
            <w:pPr>
              <w:pStyle w:val="Tabletext"/>
              <w:rPr>
                <w:b/>
              </w:rPr>
            </w:pPr>
            <w:r w:rsidRPr="00C41039">
              <w:rPr>
                <w:b/>
              </w:rPr>
              <w:t>Change in WHO FC</w:t>
            </w:r>
          </w:p>
        </w:tc>
        <w:tc>
          <w:tcPr>
            <w:tcW w:w="4819" w:type="dxa"/>
            <w:gridSpan w:val="2"/>
            <w:shd w:val="clear" w:color="auto" w:fill="BFBFBF" w:themeFill="background1" w:themeFillShade="BF"/>
          </w:tcPr>
          <w:p w:rsidR="0075777C" w:rsidRPr="00C41039" w:rsidRDefault="0075777C" w:rsidP="00C41039">
            <w:pPr>
              <w:pStyle w:val="Tabletext"/>
              <w:jc w:val="center"/>
              <w:rPr>
                <w:b/>
              </w:rPr>
            </w:pPr>
            <w:r w:rsidRPr="00C41039">
              <w:rPr>
                <w:b/>
              </w:rPr>
              <w:t>n/N (%)</w:t>
            </w:r>
          </w:p>
        </w:tc>
        <w:tc>
          <w:tcPr>
            <w:tcW w:w="1701" w:type="dxa"/>
            <w:vMerge w:val="restart"/>
            <w:shd w:val="clear" w:color="auto" w:fill="BFBFBF" w:themeFill="background1" w:themeFillShade="BF"/>
          </w:tcPr>
          <w:p w:rsidR="0075777C" w:rsidRPr="00C41039" w:rsidRDefault="0075777C" w:rsidP="00C41039">
            <w:pPr>
              <w:pStyle w:val="Tabletext"/>
              <w:rPr>
                <w:b/>
              </w:rPr>
            </w:pPr>
            <w:r w:rsidRPr="00C41039">
              <w:rPr>
                <w:b/>
              </w:rPr>
              <w:t>RR (95% CI)</w:t>
            </w:r>
          </w:p>
        </w:tc>
      </w:tr>
      <w:tr w:rsidR="0075777C" w:rsidRPr="00822C52" w:rsidTr="00AA08D3">
        <w:trPr>
          <w:trHeight w:val="202"/>
          <w:tblHeader/>
        </w:trPr>
        <w:tc>
          <w:tcPr>
            <w:tcW w:w="1696" w:type="dxa"/>
            <w:vMerge/>
            <w:shd w:val="clear" w:color="auto" w:fill="BFBFBF" w:themeFill="background1" w:themeFillShade="BF"/>
          </w:tcPr>
          <w:p w:rsidR="0075777C" w:rsidRPr="00822C52" w:rsidRDefault="0075777C" w:rsidP="00C41039">
            <w:pPr>
              <w:pStyle w:val="Tabletext"/>
            </w:pPr>
          </w:p>
        </w:tc>
        <w:tc>
          <w:tcPr>
            <w:tcW w:w="1418" w:type="dxa"/>
            <w:vMerge/>
            <w:shd w:val="clear" w:color="auto" w:fill="BFBFBF" w:themeFill="background1" w:themeFillShade="BF"/>
          </w:tcPr>
          <w:p w:rsidR="0075777C" w:rsidRPr="00822C52" w:rsidRDefault="0075777C" w:rsidP="00C41039">
            <w:pPr>
              <w:pStyle w:val="Tabletext"/>
            </w:pPr>
          </w:p>
        </w:tc>
        <w:tc>
          <w:tcPr>
            <w:tcW w:w="2548" w:type="dxa"/>
            <w:shd w:val="clear" w:color="auto" w:fill="BFBFBF" w:themeFill="background1" w:themeFillShade="BF"/>
          </w:tcPr>
          <w:p w:rsidR="0075777C" w:rsidRPr="00C41039" w:rsidRDefault="00AA08D3" w:rsidP="00C41039">
            <w:pPr>
              <w:pStyle w:val="Tabletext"/>
              <w:jc w:val="center"/>
              <w:rPr>
                <w:b/>
              </w:rPr>
            </w:pPr>
            <w:r w:rsidRPr="00AA08D3">
              <w:rPr>
                <w:b/>
              </w:rPr>
              <w:t xml:space="preserve">sGC stimulator </w:t>
            </w:r>
            <w:r w:rsidR="0075777C" w:rsidRPr="00C41039">
              <w:rPr>
                <w:b/>
              </w:rPr>
              <w:t>+ PDE-5 inhibitor</w:t>
            </w:r>
          </w:p>
        </w:tc>
        <w:tc>
          <w:tcPr>
            <w:tcW w:w="2271" w:type="dxa"/>
            <w:shd w:val="clear" w:color="auto" w:fill="BFBFBF" w:themeFill="background1" w:themeFillShade="BF"/>
          </w:tcPr>
          <w:p w:rsidR="0075777C" w:rsidRPr="00C41039" w:rsidRDefault="0075777C" w:rsidP="00C41039">
            <w:pPr>
              <w:pStyle w:val="Tabletext"/>
              <w:jc w:val="center"/>
              <w:rPr>
                <w:b/>
              </w:rPr>
            </w:pPr>
            <w:r w:rsidRPr="00C41039">
              <w:rPr>
                <w:b/>
              </w:rPr>
              <w:t>PDE-5 inhibitor</w:t>
            </w:r>
          </w:p>
        </w:tc>
        <w:tc>
          <w:tcPr>
            <w:tcW w:w="1701" w:type="dxa"/>
            <w:vMerge/>
            <w:shd w:val="clear" w:color="auto" w:fill="BFBFBF" w:themeFill="background1" w:themeFillShade="BF"/>
          </w:tcPr>
          <w:p w:rsidR="0075777C" w:rsidRPr="00822C52" w:rsidRDefault="0075777C" w:rsidP="00C41039">
            <w:pPr>
              <w:pStyle w:val="Tabletext"/>
            </w:pPr>
          </w:p>
        </w:tc>
      </w:tr>
      <w:tr w:rsidR="0075777C" w:rsidRPr="00822C52" w:rsidTr="00AA08D3">
        <w:trPr>
          <w:trHeight w:val="70"/>
        </w:trPr>
        <w:tc>
          <w:tcPr>
            <w:tcW w:w="1696" w:type="dxa"/>
            <w:vMerge w:val="restart"/>
          </w:tcPr>
          <w:p w:rsidR="0075777C" w:rsidRPr="00822C52" w:rsidRDefault="0075777C" w:rsidP="00C41039">
            <w:pPr>
              <w:pStyle w:val="Tabletext"/>
              <w:rPr>
                <w:rFonts w:cs="Tahoma"/>
              </w:rPr>
            </w:pPr>
            <w:r w:rsidRPr="00822C52">
              <w:rPr>
                <w:rFonts w:cs="Tahoma"/>
              </w:rPr>
              <w:t>PATENT-PLUS</w:t>
            </w:r>
            <w:r w:rsidR="001D34EE" w:rsidRPr="001A1C44">
              <w:rPr>
                <w:rFonts w:cs="Tahoma"/>
                <w:noProof/>
                <w:vertAlign w:val="superscript"/>
              </w:rPr>
              <w:t>44</w:t>
            </w:r>
          </w:p>
          <w:p w:rsidR="0075777C" w:rsidRPr="00822C52" w:rsidRDefault="00AA08D3" w:rsidP="00AA08D3">
            <w:pPr>
              <w:pStyle w:val="Tabletext"/>
              <w:rPr>
                <w:rFonts w:cs="Tahoma"/>
              </w:rPr>
            </w:pPr>
            <w:r w:rsidRPr="00AA08D3">
              <w:t>Riociguat</w:t>
            </w:r>
            <w:r>
              <w:t>/s</w:t>
            </w:r>
            <w:r w:rsidR="0075777C" w:rsidRPr="00822C52">
              <w:rPr>
                <w:rFonts w:cs="Tahoma"/>
              </w:rPr>
              <w:t>ildenafil</w:t>
            </w:r>
          </w:p>
        </w:tc>
        <w:tc>
          <w:tcPr>
            <w:tcW w:w="1418" w:type="dxa"/>
          </w:tcPr>
          <w:p w:rsidR="0075777C" w:rsidRPr="00822C52" w:rsidRDefault="0075777C" w:rsidP="00C41039">
            <w:pPr>
              <w:pStyle w:val="Tabletext"/>
              <w:rPr>
                <w:rFonts w:cs="Tahoma"/>
              </w:rPr>
            </w:pPr>
            <w:r w:rsidRPr="00822C52">
              <w:rPr>
                <w:rFonts w:cs="Tahoma"/>
              </w:rPr>
              <w:t>Improved</w:t>
            </w:r>
          </w:p>
        </w:tc>
        <w:tc>
          <w:tcPr>
            <w:tcW w:w="2548" w:type="dxa"/>
            <w:shd w:val="clear" w:color="auto" w:fill="auto"/>
          </w:tcPr>
          <w:p w:rsidR="0075777C" w:rsidRPr="00822C52" w:rsidRDefault="0075777C" w:rsidP="00C41039">
            <w:pPr>
              <w:pStyle w:val="Tabletext"/>
              <w:jc w:val="center"/>
              <w:rPr>
                <w:rFonts w:cs="Tahoma"/>
              </w:rPr>
            </w:pPr>
            <w:r w:rsidRPr="00822C52">
              <w:rPr>
                <w:rFonts w:cs="Tahoma"/>
              </w:rPr>
              <w:t>2/12 (17%)</w:t>
            </w:r>
          </w:p>
        </w:tc>
        <w:tc>
          <w:tcPr>
            <w:tcW w:w="2271" w:type="dxa"/>
            <w:shd w:val="clear" w:color="auto" w:fill="auto"/>
          </w:tcPr>
          <w:p w:rsidR="0075777C" w:rsidRPr="00822C52" w:rsidRDefault="0075777C" w:rsidP="00C41039">
            <w:pPr>
              <w:pStyle w:val="Tabletext"/>
              <w:jc w:val="center"/>
              <w:rPr>
                <w:rFonts w:cs="Tahoma"/>
              </w:rPr>
            </w:pPr>
            <w:r w:rsidRPr="00822C52">
              <w:rPr>
                <w:rFonts w:cs="Tahoma"/>
              </w:rPr>
              <w:t>2/</w:t>
            </w:r>
            <w:r>
              <w:rPr>
                <w:rFonts w:cs="Tahoma"/>
              </w:rPr>
              <w:t>6</w:t>
            </w:r>
            <w:r w:rsidRPr="00822C52">
              <w:rPr>
                <w:rFonts w:cs="Tahoma"/>
              </w:rPr>
              <w:t xml:space="preserve"> (29%)</w:t>
            </w:r>
          </w:p>
        </w:tc>
        <w:tc>
          <w:tcPr>
            <w:tcW w:w="1701" w:type="dxa"/>
          </w:tcPr>
          <w:p w:rsidR="0075777C" w:rsidRPr="00822C52" w:rsidRDefault="0075777C" w:rsidP="00C41039">
            <w:pPr>
              <w:pStyle w:val="Tabletext"/>
              <w:rPr>
                <w:rFonts w:cs="Tahoma"/>
              </w:rPr>
            </w:pPr>
            <w:r>
              <w:rPr>
                <w:rFonts w:cs="Tahoma"/>
              </w:rPr>
              <w:t>0.50 (0.09, 2.73)</w:t>
            </w:r>
          </w:p>
        </w:tc>
      </w:tr>
      <w:tr w:rsidR="0075777C" w:rsidRPr="00822C52" w:rsidTr="00AA08D3">
        <w:trPr>
          <w:trHeight w:val="70"/>
        </w:trPr>
        <w:tc>
          <w:tcPr>
            <w:tcW w:w="1696" w:type="dxa"/>
            <w:vMerge/>
          </w:tcPr>
          <w:p w:rsidR="0075777C" w:rsidRPr="00822C52" w:rsidRDefault="0075777C" w:rsidP="00C41039">
            <w:pPr>
              <w:pStyle w:val="Tabletext"/>
              <w:rPr>
                <w:rFonts w:cs="Tahoma"/>
              </w:rPr>
            </w:pPr>
          </w:p>
        </w:tc>
        <w:tc>
          <w:tcPr>
            <w:tcW w:w="1418" w:type="dxa"/>
          </w:tcPr>
          <w:p w:rsidR="0075777C" w:rsidRPr="00822C52" w:rsidRDefault="0075777C" w:rsidP="00C41039">
            <w:pPr>
              <w:pStyle w:val="Tabletext"/>
              <w:rPr>
                <w:rFonts w:cs="Tahoma"/>
              </w:rPr>
            </w:pPr>
            <w:r w:rsidRPr="00822C52">
              <w:rPr>
                <w:rFonts w:cs="Tahoma"/>
              </w:rPr>
              <w:t>Worsened</w:t>
            </w:r>
          </w:p>
        </w:tc>
        <w:tc>
          <w:tcPr>
            <w:tcW w:w="2548" w:type="dxa"/>
            <w:shd w:val="clear" w:color="auto" w:fill="auto"/>
          </w:tcPr>
          <w:p w:rsidR="0075777C" w:rsidRPr="00822C52" w:rsidRDefault="0075777C" w:rsidP="00C41039">
            <w:pPr>
              <w:pStyle w:val="Tabletext"/>
              <w:jc w:val="center"/>
              <w:rPr>
                <w:rFonts w:cs="Tahoma"/>
              </w:rPr>
            </w:pPr>
            <w:r w:rsidRPr="00822C52">
              <w:rPr>
                <w:rFonts w:cs="Tahoma"/>
              </w:rPr>
              <w:t>0/12 (0%)</w:t>
            </w:r>
          </w:p>
        </w:tc>
        <w:tc>
          <w:tcPr>
            <w:tcW w:w="2271" w:type="dxa"/>
            <w:shd w:val="clear" w:color="auto" w:fill="auto"/>
          </w:tcPr>
          <w:p w:rsidR="0075777C" w:rsidRPr="00822C52" w:rsidRDefault="0075777C" w:rsidP="00C41039">
            <w:pPr>
              <w:pStyle w:val="Tabletext"/>
              <w:jc w:val="center"/>
              <w:rPr>
                <w:rFonts w:cs="Tahoma"/>
              </w:rPr>
            </w:pPr>
            <w:r>
              <w:rPr>
                <w:rFonts w:cs="Tahoma"/>
              </w:rPr>
              <w:t>0/6</w:t>
            </w:r>
            <w:r w:rsidRPr="00822C52">
              <w:rPr>
                <w:rFonts w:cs="Tahoma"/>
              </w:rPr>
              <w:t xml:space="preserve"> (0%)</w:t>
            </w:r>
          </w:p>
        </w:tc>
        <w:tc>
          <w:tcPr>
            <w:tcW w:w="1701" w:type="dxa"/>
          </w:tcPr>
          <w:p w:rsidR="0075777C" w:rsidRPr="00822C52" w:rsidRDefault="0075777C" w:rsidP="00C41039">
            <w:pPr>
              <w:pStyle w:val="Tabletext"/>
              <w:rPr>
                <w:rFonts w:cs="Tahoma"/>
              </w:rPr>
            </w:pPr>
            <w:r>
              <w:rPr>
                <w:rFonts w:cs="Tahoma"/>
              </w:rPr>
              <w:t>Not calculable</w:t>
            </w:r>
          </w:p>
        </w:tc>
      </w:tr>
    </w:tbl>
    <w:p w:rsidR="00087C8E" w:rsidRPr="00822C52" w:rsidRDefault="0075777C" w:rsidP="00C41039">
      <w:pPr>
        <w:pStyle w:val="Tablenote"/>
      </w:pPr>
      <w:r w:rsidRPr="00822C52">
        <w:t xml:space="preserve">CI = confidence interval; FC = functional class; n = number of </w:t>
      </w:r>
      <w:r w:rsidR="008E565E">
        <w:t xml:space="preserve">patients with </w:t>
      </w:r>
      <w:r w:rsidRPr="00822C52">
        <w:t xml:space="preserve">events; N = number of patients; PAH = pulmonary arterial hypertension; </w:t>
      </w:r>
      <w:r>
        <w:t xml:space="preserve">PDE-5 </w:t>
      </w:r>
      <w:r w:rsidRPr="00822C52">
        <w:t xml:space="preserve">= phosphodiesterase type-5; RR = relative risk; </w:t>
      </w:r>
      <w:r w:rsidR="009B47AA" w:rsidRPr="009B47AA">
        <w:t xml:space="preserve">sGC = soluble guanylate cyclase; </w:t>
      </w:r>
      <w:r w:rsidRPr="00822C52">
        <w:t>WHO = World Health Organization</w:t>
      </w:r>
    </w:p>
    <w:p w:rsidR="0075777C" w:rsidRPr="00822C52" w:rsidRDefault="00761752" w:rsidP="0075777C">
      <w:pPr>
        <w:pStyle w:val="Heading5"/>
      </w:pPr>
      <w:r>
        <w:t>e</w:t>
      </w:r>
      <w:r w:rsidR="002E4833">
        <w:t>.</w:t>
      </w:r>
      <w:r>
        <w:tab/>
      </w:r>
      <w:r w:rsidR="0075777C">
        <w:t>Change in 6MWD from baseline</w:t>
      </w:r>
    </w:p>
    <w:p w:rsidR="0075777C" w:rsidRPr="00822C52" w:rsidRDefault="00761752" w:rsidP="0077344D">
      <w:pPr>
        <w:pStyle w:val="Heading6"/>
      </w:pPr>
      <w:r>
        <w:t>e</w:t>
      </w:r>
      <w:r w:rsidR="0075777C" w:rsidRPr="00822C52">
        <w:t>.i</w:t>
      </w:r>
      <w:r w:rsidR="0075777C" w:rsidRPr="00822C52">
        <w:tab/>
        <w:t>PAH patients, irrespective of disease severity or aetiology</w:t>
      </w:r>
    </w:p>
    <w:p w:rsidR="0075777C" w:rsidRPr="00822C52" w:rsidRDefault="0075777C" w:rsidP="0075777C">
      <w:r>
        <w:t>Patients in the monotherapy group had a larger mean improvement in 6MWD than the combination therapy group, but both the distance of improvement and the mean difference between the two treatment groups were not clinically important (</w:t>
      </w:r>
      <w:r w:rsidR="00AA722D">
        <w:t>Table 4.</w:t>
      </w:r>
      <w:r w:rsidR="00AA722D">
        <w:rPr>
          <w:noProof/>
        </w:rPr>
        <w:t>102</w:t>
      </w:r>
      <w:r>
        <w:t>).</w:t>
      </w:r>
    </w:p>
    <w:p w:rsidR="0075777C" w:rsidRDefault="00272F8F" w:rsidP="00BC5A2B">
      <w:pPr>
        <w:pStyle w:val="Caption"/>
      </w:pPr>
      <w:bookmarkStart w:id="293" w:name="_Ref505254030"/>
      <w:bookmarkStart w:id="294" w:name="_Toc512855506"/>
      <w:r>
        <w:lastRenderedPageBreak/>
        <w:t>Table 4.</w:t>
      </w:r>
      <w:r w:rsidR="00AA722D">
        <w:rPr>
          <w:noProof/>
        </w:rPr>
        <w:t>102</w:t>
      </w:r>
      <w:bookmarkEnd w:id="293"/>
      <w:r w:rsidR="00C41039">
        <w:tab/>
      </w:r>
      <w:r w:rsidR="0075777C" w:rsidRPr="00DD7790">
        <w:t xml:space="preserve">The effectiveness of </w:t>
      </w:r>
      <w:r w:rsidR="00AA08D3">
        <w:t xml:space="preserve">a </w:t>
      </w:r>
      <w:r w:rsidR="00AA08D3" w:rsidRPr="00AA08D3">
        <w:t xml:space="preserve">sGC stimulator </w:t>
      </w:r>
      <w:r w:rsidR="007E59EC">
        <w:t>in addition to</w:t>
      </w:r>
      <w:r w:rsidR="007E59EC" w:rsidRPr="00DD7790">
        <w:t xml:space="preserve"> </w:t>
      </w:r>
      <w:r w:rsidR="007E59EC">
        <w:t xml:space="preserve">a </w:t>
      </w:r>
      <w:r w:rsidR="007E59EC" w:rsidRPr="00DD7790">
        <w:t xml:space="preserve">PDE-5 inhibitor </w:t>
      </w:r>
      <w:r w:rsidR="007E59EC" w:rsidRPr="009B4D64">
        <w:t xml:space="preserve">compared with </w:t>
      </w:r>
      <w:r w:rsidR="007E59EC" w:rsidRPr="00DD7790">
        <w:t xml:space="preserve">PDE-5 inhibitor </w:t>
      </w:r>
      <w:r w:rsidR="007E59EC">
        <w:t>monotherapy</w:t>
      </w:r>
      <w:r w:rsidR="007E59EC" w:rsidRPr="00DD7790">
        <w:t xml:space="preserve"> </w:t>
      </w:r>
      <w:r w:rsidR="0075777C" w:rsidRPr="00DD7790">
        <w:t>in improving 6MWD in all PAH patients</w:t>
      </w:r>
      <w:bookmarkEnd w:id="294"/>
    </w:p>
    <w:tbl>
      <w:tblPr>
        <w:tblStyle w:val="TableGrid"/>
        <w:tblW w:w="9634" w:type="dxa"/>
        <w:tblLook w:val="04A0" w:firstRow="1" w:lastRow="0" w:firstColumn="1" w:lastColumn="0" w:noHBand="0" w:noVBand="1"/>
        <w:tblCaption w:val="The effectiveness of a sGC stimulator in addition to a PDE-5 inhibitor compared with PDE-5 inhibitor monotherapy in improving 6MWD in all PAH patients"/>
      </w:tblPr>
      <w:tblGrid>
        <w:gridCol w:w="1782"/>
        <w:gridCol w:w="906"/>
        <w:gridCol w:w="1556"/>
        <w:gridCol w:w="1409"/>
        <w:gridCol w:w="1447"/>
        <w:gridCol w:w="1408"/>
        <w:gridCol w:w="1126"/>
      </w:tblGrid>
      <w:tr w:rsidR="0075777C" w:rsidTr="00AA08D3">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75777C" w:rsidRDefault="0075777C" w:rsidP="00C41039">
            <w:pPr>
              <w:pStyle w:val="Tabletext"/>
              <w:rPr>
                <w:b/>
              </w:rPr>
            </w:pPr>
            <w:r w:rsidRPr="00C41039">
              <w:rPr>
                <w:b/>
              </w:rPr>
              <w:t>Study ID</w:t>
            </w:r>
          </w:p>
          <w:p w:rsidR="00AA08D3" w:rsidRPr="00C41039" w:rsidRDefault="00AA08D3" w:rsidP="00C41039">
            <w:pPr>
              <w:pStyle w:val="Tabletext"/>
              <w:rPr>
                <w:b/>
              </w:rPr>
            </w:pPr>
            <w:r w:rsidRPr="00AA08D3">
              <w:rPr>
                <w:b/>
              </w:rPr>
              <w:t>sGC stimulator</w:t>
            </w:r>
            <w:r>
              <w:rPr>
                <w:b/>
              </w:rPr>
              <w:t>/</w:t>
            </w:r>
            <w:r w:rsidRPr="00AA08D3">
              <w:rPr>
                <w:b/>
              </w:rPr>
              <w:t xml:space="preserve"> </w:t>
            </w:r>
            <w:r w:rsidRPr="00C41039">
              <w:rPr>
                <w:b/>
              </w:rPr>
              <w:t>PDE-5 inhibitor</w:t>
            </w:r>
          </w:p>
        </w:tc>
        <w:tc>
          <w:tcPr>
            <w:tcW w:w="992" w:type="dxa"/>
            <w:vMerge w:val="restart"/>
            <w:shd w:val="clear" w:color="auto" w:fill="BFBFBF" w:themeFill="background1" w:themeFillShade="BF"/>
          </w:tcPr>
          <w:p w:rsidR="0075777C" w:rsidRPr="00C41039" w:rsidRDefault="0075777C" w:rsidP="00C41039">
            <w:pPr>
              <w:pStyle w:val="Tabletext"/>
              <w:rPr>
                <w:b/>
              </w:rPr>
            </w:pPr>
            <w:r w:rsidRPr="00C41039">
              <w:rPr>
                <w:b/>
              </w:rPr>
              <w:t>N</w:t>
            </w:r>
          </w:p>
          <w:p w:rsidR="0075777C" w:rsidRPr="00C41039" w:rsidRDefault="0075777C" w:rsidP="00C41039">
            <w:pPr>
              <w:pStyle w:val="Tabletext"/>
              <w:rPr>
                <w:b/>
              </w:rPr>
            </w:pPr>
            <w:r w:rsidRPr="00C41039">
              <w:rPr>
                <w:b/>
              </w:rPr>
              <w:t>Time point</w:t>
            </w:r>
          </w:p>
        </w:tc>
        <w:tc>
          <w:tcPr>
            <w:tcW w:w="3261" w:type="dxa"/>
            <w:gridSpan w:val="2"/>
            <w:shd w:val="clear" w:color="auto" w:fill="BFBFBF" w:themeFill="background1" w:themeFillShade="BF"/>
          </w:tcPr>
          <w:p w:rsidR="0075777C" w:rsidRPr="00C41039" w:rsidRDefault="00AA08D3" w:rsidP="00AA08D3">
            <w:pPr>
              <w:pStyle w:val="Tabletext"/>
              <w:jc w:val="center"/>
              <w:rPr>
                <w:b/>
              </w:rPr>
            </w:pPr>
            <w:r>
              <w:rPr>
                <w:b/>
              </w:rPr>
              <w:t>M</w:t>
            </w:r>
            <w:r w:rsidRPr="00C41039">
              <w:rPr>
                <w:b/>
              </w:rPr>
              <w:t xml:space="preserve">ean ± SD </w:t>
            </w:r>
            <w:r>
              <w:rPr>
                <w:b/>
              </w:rPr>
              <w:t>b</w:t>
            </w:r>
            <w:r w:rsidR="0075777C" w:rsidRPr="00C41039">
              <w:rPr>
                <w:b/>
              </w:rPr>
              <w:t>aseline</w:t>
            </w:r>
            <w:r>
              <w:rPr>
                <w:b/>
              </w:rPr>
              <w:t xml:space="preserve"> 6MWD</w:t>
            </w:r>
            <w:r w:rsidR="0075777C" w:rsidRPr="00C41039">
              <w:rPr>
                <w:b/>
              </w:rPr>
              <w:t>, meters</w:t>
            </w:r>
          </w:p>
        </w:tc>
        <w:tc>
          <w:tcPr>
            <w:tcW w:w="3118" w:type="dxa"/>
            <w:gridSpan w:val="2"/>
            <w:shd w:val="clear" w:color="auto" w:fill="BFBFBF" w:themeFill="background1" w:themeFillShade="BF"/>
          </w:tcPr>
          <w:p w:rsidR="0075777C" w:rsidRPr="00C41039" w:rsidRDefault="0075777C" w:rsidP="00AA08D3">
            <w:pPr>
              <w:pStyle w:val="Tabletext"/>
              <w:jc w:val="center"/>
              <w:rPr>
                <w:b/>
              </w:rPr>
            </w:pPr>
            <w:r w:rsidRPr="00C41039">
              <w:rPr>
                <w:b/>
              </w:rPr>
              <w:t xml:space="preserve">Mean </w:t>
            </w:r>
            <w:r w:rsidR="00AA08D3" w:rsidRPr="00C41039">
              <w:rPr>
                <w:b/>
              </w:rPr>
              <w:t xml:space="preserve">± SD </w:t>
            </w:r>
            <w:r w:rsidRPr="00C41039">
              <w:rPr>
                <w:b/>
              </w:rPr>
              <w:t>change from baseline, meters</w:t>
            </w:r>
          </w:p>
        </w:tc>
        <w:tc>
          <w:tcPr>
            <w:tcW w:w="992" w:type="dxa"/>
            <w:vMerge w:val="restart"/>
            <w:shd w:val="clear" w:color="auto" w:fill="BFBFBF" w:themeFill="background1" w:themeFillShade="BF"/>
          </w:tcPr>
          <w:p w:rsidR="0075777C" w:rsidRPr="00C41039" w:rsidRDefault="00AA08D3" w:rsidP="00AA08D3">
            <w:pPr>
              <w:pStyle w:val="Tabletext"/>
              <w:rPr>
                <w:b/>
              </w:rPr>
            </w:pPr>
            <w:r>
              <w:rPr>
                <w:b/>
              </w:rPr>
              <w:t>Mean difference</w:t>
            </w:r>
            <w:r w:rsidR="0075777C" w:rsidRPr="00C41039">
              <w:rPr>
                <w:b/>
              </w:rPr>
              <w:t>, meters</w:t>
            </w:r>
          </w:p>
        </w:tc>
      </w:tr>
      <w:tr w:rsidR="0075777C" w:rsidTr="00AA08D3">
        <w:tc>
          <w:tcPr>
            <w:tcW w:w="1271" w:type="dxa"/>
            <w:vMerge/>
          </w:tcPr>
          <w:p w:rsidR="0075777C" w:rsidRDefault="0075777C" w:rsidP="00C41039">
            <w:pPr>
              <w:pStyle w:val="Tabletext"/>
            </w:pPr>
          </w:p>
        </w:tc>
        <w:tc>
          <w:tcPr>
            <w:tcW w:w="992" w:type="dxa"/>
            <w:vMerge/>
          </w:tcPr>
          <w:p w:rsidR="0075777C" w:rsidRDefault="0075777C" w:rsidP="00C41039">
            <w:pPr>
              <w:pStyle w:val="Tabletext"/>
            </w:pPr>
          </w:p>
        </w:tc>
        <w:tc>
          <w:tcPr>
            <w:tcW w:w="1701" w:type="dxa"/>
            <w:shd w:val="clear" w:color="auto" w:fill="BFBFBF" w:themeFill="background1" w:themeFillShade="BF"/>
          </w:tcPr>
          <w:p w:rsidR="0075777C" w:rsidRPr="00C41039" w:rsidRDefault="00AA08D3" w:rsidP="00AA08D3">
            <w:pPr>
              <w:pStyle w:val="Tabletext"/>
              <w:jc w:val="center"/>
              <w:rPr>
                <w:b/>
              </w:rPr>
            </w:pPr>
            <w:r w:rsidRPr="00AA08D3">
              <w:rPr>
                <w:b/>
              </w:rPr>
              <w:t xml:space="preserve">sGC stimulator </w:t>
            </w:r>
            <w:r w:rsidR="0075777C" w:rsidRPr="00C41039">
              <w:rPr>
                <w:b/>
              </w:rPr>
              <w:t>+ PDE-5 inhibitor</w:t>
            </w:r>
          </w:p>
        </w:tc>
        <w:tc>
          <w:tcPr>
            <w:tcW w:w="1560" w:type="dxa"/>
            <w:shd w:val="clear" w:color="auto" w:fill="BFBFBF" w:themeFill="background1" w:themeFillShade="BF"/>
          </w:tcPr>
          <w:p w:rsidR="0075777C" w:rsidRPr="00C41039" w:rsidRDefault="0075777C" w:rsidP="00C41039">
            <w:pPr>
              <w:pStyle w:val="Tabletext"/>
              <w:jc w:val="center"/>
              <w:rPr>
                <w:b/>
              </w:rPr>
            </w:pPr>
            <w:r w:rsidRPr="00C41039">
              <w:rPr>
                <w:b/>
              </w:rPr>
              <w:t>PDE-5 inhibitor</w:t>
            </w:r>
          </w:p>
        </w:tc>
        <w:tc>
          <w:tcPr>
            <w:tcW w:w="1559" w:type="dxa"/>
            <w:shd w:val="clear" w:color="auto" w:fill="BFBFBF" w:themeFill="background1" w:themeFillShade="BF"/>
          </w:tcPr>
          <w:p w:rsidR="0075777C" w:rsidRPr="00C41039" w:rsidRDefault="00AA08D3" w:rsidP="00AA08D3">
            <w:pPr>
              <w:pStyle w:val="Tabletext"/>
              <w:jc w:val="center"/>
              <w:rPr>
                <w:b/>
              </w:rPr>
            </w:pPr>
            <w:r w:rsidRPr="00AA08D3">
              <w:rPr>
                <w:b/>
              </w:rPr>
              <w:t xml:space="preserve">sGC stimulator </w:t>
            </w:r>
            <w:r w:rsidR="0075777C" w:rsidRPr="00C41039">
              <w:rPr>
                <w:b/>
              </w:rPr>
              <w:t>+ PDE-5 inhibitor</w:t>
            </w:r>
          </w:p>
        </w:tc>
        <w:tc>
          <w:tcPr>
            <w:tcW w:w="1559" w:type="dxa"/>
            <w:shd w:val="clear" w:color="auto" w:fill="BFBFBF" w:themeFill="background1" w:themeFillShade="BF"/>
          </w:tcPr>
          <w:p w:rsidR="0075777C" w:rsidRPr="00C41039" w:rsidRDefault="0075777C" w:rsidP="00C41039">
            <w:pPr>
              <w:pStyle w:val="Tabletext"/>
              <w:jc w:val="center"/>
              <w:rPr>
                <w:b/>
              </w:rPr>
            </w:pPr>
            <w:r w:rsidRPr="00C41039">
              <w:rPr>
                <w:b/>
              </w:rPr>
              <w:t>PDE-5 inhibitor</w:t>
            </w:r>
          </w:p>
        </w:tc>
        <w:tc>
          <w:tcPr>
            <w:tcW w:w="992" w:type="dxa"/>
            <w:vMerge/>
          </w:tcPr>
          <w:p w:rsidR="0075777C" w:rsidRDefault="0075777C" w:rsidP="00C41039">
            <w:pPr>
              <w:pStyle w:val="Tabletext"/>
            </w:pPr>
          </w:p>
        </w:tc>
      </w:tr>
      <w:tr w:rsidR="0075777C" w:rsidTr="00AA08D3">
        <w:tc>
          <w:tcPr>
            <w:tcW w:w="1271" w:type="dxa"/>
          </w:tcPr>
          <w:p w:rsidR="0075777C" w:rsidRPr="00822C52" w:rsidRDefault="0075777C" w:rsidP="00C41039">
            <w:pPr>
              <w:pStyle w:val="Tabletext"/>
              <w:rPr>
                <w:rFonts w:cs="Tahoma"/>
              </w:rPr>
            </w:pPr>
            <w:r w:rsidRPr="00822C52">
              <w:rPr>
                <w:rFonts w:cs="Tahoma"/>
              </w:rPr>
              <w:t>PATENT-PLUS</w:t>
            </w:r>
            <w:r w:rsidR="001D34EE" w:rsidRPr="001A1C44">
              <w:rPr>
                <w:rFonts w:cs="Tahoma"/>
                <w:noProof/>
                <w:vertAlign w:val="superscript"/>
              </w:rPr>
              <w:t>44</w:t>
            </w:r>
          </w:p>
          <w:p w:rsidR="0075777C" w:rsidRDefault="00AA08D3" w:rsidP="00AA08D3">
            <w:pPr>
              <w:pStyle w:val="Tabletext"/>
            </w:pPr>
            <w:r w:rsidRPr="00AA08D3">
              <w:t>Riociguat</w:t>
            </w:r>
            <w:r>
              <w:t>/s</w:t>
            </w:r>
            <w:r w:rsidR="0075777C" w:rsidRPr="00822C52">
              <w:rPr>
                <w:rFonts w:cs="Tahoma"/>
              </w:rPr>
              <w:t>ildenafil</w:t>
            </w:r>
          </w:p>
        </w:tc>
        <w:tc>
          <w:tcPr>
            <w:tcW w:w="992" w:type="dxa"/>
          </w:tcPr>
          <w:p w:rsidR="0075777C" w:rsidRPr="00822C52" w:rsidRDefault="0075777C" w:rsidP="00C41039">
            <w:pPr>
              <w:pStyle w:val="Tabletext"/>
              <w:rPr>
                <w:rFonts w:cs="Tahoma"/>
              </w:rPr>
            </w:pPr>
            <w:r w:rsidRPr="00822C52">
              <w:rPr>
                <w:rFonts w:cs="Tahoma"/>
              </w:rPr>
              <w:t>N=20</w:t>
            </w:r>
          </w:p>
          <w:p w:rsidR="0075777C" w:rsidRDefault="0075777C" w:rsidP="00C41039">
            <w:pPr>
              <w:pStyle w:val="Tabletext"/>
            </w:pPr>
            <w:r w:rsidRPr="00822C52">
              <w:rPr>
                <w:rFonts w:cs="Tahoma"/>
              </w:rPr>
              <w:t>Week 12</w:t>
            </w:r>
          </w:p>
        </w:tc>
        <w:tc>
          <w:tcPr>
            <w:tcW w:w="1701" w:type="dxa"/>
          </w:tcPr>
          <w:p w:rsidR="0075777C" w:rsidRDefault="0075777C" w:rsidP="00C41039">
            <w:pPr>
              <w:pStyle w:val="Tabletext"/>
              <w:jc w:val="center"/>
            </w:pPr>
            <w:r w:rsidRPr="00822C52">
              <w:rPr>
                <w:rFonts w:cs="Tahoma"/>
              </w:rPr>
              <w:t>359 ± 122</w:t>
            </w:r>
          </w:p>
        </w:tc>
        <w:tc>
          <w:tcPr>
            <w:tcW w:w="1560" w:type="dxa"/>
          </w:tcPr>
          <w:p w:rsidR="0075777C" w:rsidRDefault="0075777C" w:rsidP="00C41039">
            <w:pPr>
              <w:pStyle w:val="Tabletext"/>
              <w:jc w:val="center"/>
            </w:pPr>
            <w:r w:rsidRPr="00822C52">
              <w:rPr>
                <w:rFonts w:cs="Tahoma"/>
              </w:rPr>
              <w:t>426 ± 66</w:t>
            </w:r>
          </w:p>
        </w:tc>
        <w:tc>
          <w:tcPr>
            <w:tcW w:w="1559" w:type="dxa"/>
          </w:tcPr>
          <w:p w:rsidR="0075777C" w:rsidRDefault="0075777C" w:rsidP="00C41039">
            <w:pPr>
              <w:pStyle w:val="Tabletext"/>
              <w:jc w:val="center"/>
            </w:pPr>
            <w:r w:rsidRPr="00822C52">
              <w:rPr>
                <w:rFonts w:cs="Tahoma"/>
              </w:rPr>
              <w:t>7 ± 48</w:t>
            </w:r>
          </w:p>
        </w:tc>
        <w:tc>
          <w:tcPr>
            <w:tcW w:w="1559" w:type="dxa"/>
          </w:tcPr>
          <w:p w:rsidR="0075777C" w:rsidRDefault="0075777C" w:rsidP="00C41039">
            <w:pPr>
              <w:pStyle w:val="Tabletext"/>
              <w:jc w:val="center"/>
            </w:pPr>
            <w:r w:rsidRPr="00822C52">
              <w:rPr>
                <w:rFonts w:cs="Tahoma"/>
              </w:rPr>
              <w:t>30 ± 56</w:t>
            </w:r>
          </w:p>
        </w:tc>
        <w:tc>
          <w:tcPr>
            <w:tcW w:w="992" w:type="dxa"/>
          </w:tcPr>
          <w:p w:rsidR="0075777C" w:rsidRDefault="0075777C" w:rsidP="00C41039">
            <w:pPr>
              <w:pStyle w:val="Tabletext"/>
            </w:pPr>
            <w:r w:rsidRPr="00822C52">
              <w:rPr>
                <w:rFonts w:cs="Tahoma"/>
              </w:rPr>
              <w:t>–23</w:t>
            </w:r>
          </w:p>
        </w:tc>
      </w:tr>
    </w:tbl>
    <w:p w:rsidR="0075777C" w:rsidRPr="005E6791" w:rsidRDefault="0075777C" w:rsidP="00C41039">
      <w:pPr>
        <w:pStyle w:val="Tablenote"/>
      </w:pPr>
      <w:r w:rsidRPr="005E6791">
        <w:t xml:space="preserve">6MWD = 6-minute </w:t>
      </w:r>
      <w:r w:rsidR="0082368E">
        <w:t>walk distance</w:t>
      </w:r>
      <w:r w:rsidRPr="005E6791">
        <w:t>; CI = confidence interval</w:t>
      </w:r>
      <w:r>
        <w:t xml:space="preserve">; </w:t>
      </w:r>
      <w:r w:rsidRPr="005E6791">
        <w:t>N = number of patients; PAH = pulmonary arterial hypertension; PDE-5 = phosphodiesterase type-5; RR = relative risk; SD = standard deviation</w:t>
      </w:r>
      <w:r w:rsidR="009B47AA">
        <w:t>;</w:t>
      </w:r>
      <w:r w:rsidR="009B47AA" w:rsidRPr="009B47AA">
        <w:t xml:space="preserve"> sGC = solub</w:t>
      </w:r>
      <w:r w:rsidR="009B47AA">
        <w:t xml:space="preserve">le guanylate cyclase </w:t>
      </w:r>
    </w:p>
    <w:p w:rsidR="0075777C" w:rsidRPr="00822C52" w:rsidRDefault="00761752" w:rsidP="00761752">
      <w:pPr>
        <w:pStyle w:val="Heading5"/>
      </w:pPr>
      <w:r>
        <w:t>f</w:t>
      </w:r>
      <w:r w:rsidR="002E4833">
        <w:t>.</w:t>
      </w:r>
      <w:r>
        <w:tab/>
      </w:r>
      <w:r w:rsidRPr="00761752">
        <w:t>Change in QoL from baseline</w:t>
      </w:r>
    </w:p>
    <w:p w:rsidR="0075777C" w:rsidRDefault="0075777C" w:rsidP="0075777C">
      <w:r w:rsidRPr="00CB0236">
        <w:t xml:space="preserve">The </w:t>
      </w:r>
      <w:r>
        <w:t>change in QoL for</w:t>
      </w:r>
      <w:r w:rsidRPr="00CB0236">
        <w:t xml:space="preserve"> patients </w:t>
      </w:r>
      <w:r>
        <w:t xml:space="preserve">receiving </w:t>
      </w:r>
      <w:r w:rsidR="00AA08D3">
        <w:t xml:space="preserve">a </w:t>
      </w:r>
      <w:r>
        <w:t xml:space="preserve">sGC stimulator plus </w:t>
      </w:r>
      <w:r w:rsidR="00AA08D3">
        <w:t xml:space="preserve">a </w:t>
      </w:r>
      <w:r>
        <w:t xml:space="preserve">PDE-5 inhibitor </w:t>
      </w:r>
      <w:r w:rsidRPr="00CB0236">
        <w:t xml:space="preserve">combination treatment compared with </w:t>
      </w:r>
      <w:r>
        <w:t xml:space="preserve">those receiving </w:t>
      </w:r>
      <w:r w:rsidRPr="00CB0236">
        <w:t>PDE-5 inhibitor monotherapy was not reported for the PA</w:t>
      </w:r>
      <w:r>
        <w:t>T</w:t>
      </w:r>
      <w:r w:rsidRPr="00CB0236">
        <w:t>E</w:t>
      </w:r>
      <w:r>
        <w:t>NT-PLU</w:t>
      </w:r>
      <w:r w:rsidRPr="00CB0236">
        <w:t>S trial.</w:t>
      </w:r>
    </w:p>
    <w:p w:rsidR="00761752" w:rsidRDefault="00761752" w:rsidP="00761752">
      <w:pPr>
        <w:pStyle w:val="Heading5"/>
      </w:pPr>
      <w:r>
        <w:t>g.</w:t>
      </w:r>
      <w:r>
        <w:tab/>
      </w:r>
      <w:r w:rsidRPr="006316DF">
        <w:t xml:space="preserve">Change in </w:t>
      </w:r>
      <w:r>
        <w:t>haemodynamic parameters</w:t>
      </w:r>
      <w:r w:rsidRPr="006316DF">
        <w:t xml:space="preserve"> from baseline</w:t>
      </w:r>
    </w:p>
    <w:p w:rsidR="00761752" w:rsidRPr="002E22DB" w:rsidRDefault="00761752" w:rsidP="00761752">
      <w:r>
        <w:t>The PATENT-PLUS trial did not report on any haemodynamic outcomes.</w:t>
      </w:r>
    </w:p>
    <w:p w:rsidR="0075777C" w:rsidRPr="00822C52" w:rsidRDefault="002E4833" w:rsidP="0075777C">
      <w:pPr>
        <w:pStyle w:val="Heading5"/>
      </w:pPr>
      <w:r>
        <w:t>h.</w:t>
      </w:r>
      <w:r w:rsidR="00761752">
        <w:tab/>
      </w:r>
      <w:r w:rsidR="0075777C">
        <w:t>Comparative s</w:t>
      </w:r>
      <w:r w:rsidR="0075777C" w:rsidRPr="00822C52">
        <w:t>afety</w:t>
      </w:r>
    </w:p>
    <w:p w:rsidR="0075777C" w:rsidRPr="00822C52" w:rsidRDefault="002E4833" w:rsidP="0077344D">
      <w:pPr>
        <w:pStyle w:val="Heading6"/>
      </w:pPr>
      <w:r>
        <w:t>h</w:t>
      </w:r>
      <w:r w:rsidR="0075777C" w:rsidRPr="00822C52">
        <w:t>.i</w:t>
      </w:r>
      <w:r w:rsidR="0075777C" w:rsidRPr="00822C52">
        <w:tab/>
        <w:t>PAH patients, irrespective of disease severity or aetiology</w:t>
      </w:r>
    </w:p>
    <w:p w:rsidR="0075777C" w:rsidRPr="00822C52" w:rsidRDefault="0075777C" w:rsidP="0075777C">
      <w:r>
        <w:t>During the 12-week randomised phase of the PATENT-PLUS study, 1.5-times more patients receiving combination therapy had an AE compared with those on monotherapy, but this was not statistically significant (</w:t>
      </w:r>
      <w:r w:rsidR="00AA722D">
        <w:t>Table 4.</w:t>
      </w:r>
      <w:r w:rsidR="00AA722D">
        <w:rPr>
          <w:noProof/>
        </w:rPr>
        <w:t>103</w:t>
      </w:r>
      <w:r>
        <w:t>). Two patients in the combination therapy group had serious AEs compared with no patients in the monotherapy group (</w:t>
      </w:r>
      <w:r w:rsidR="00B21201">
        <w:t>ARD</w:t>
      </w:r>
      <w:r w:rsidR="00DB6ACB">
        <w:t> </w:t>
      </w:r>
      <w:r>
        <w:t>=</w:t>
      </w:r>
      <w:r w:rsidR="00DB6ACB">
        <w:t> </w:t>
      </w:r>
      <w:r>
        <w:t>16.7%; 95% CI −4.4, 37.8; p</w:t>
      </w:r>
      <w:r w:rsidR="00DB6ACB">
        <w:t> </w:t>
      </w:r>
      <w:r>
        <w:t>=</w:t>
      </w:r>
      <w:r w:rsidR="00DB6ACB">
        <w:t> </w:t>
      </w:r>
      <w:r>
        <w:t xml:space="preserve">0.29). Only one </w:t>
      </w:r>
      <w:r w:rsidRPr="00822C52">
        <w:t>patient</w:t>
      </w:r>
      <w:r w:rsidRPr="00A31E5D">
        <w:t xml:space="preserve"> </w:t>
      </w:r>
      <w:r>
        <w:t xml:space="preserve">in the </w:t>
      </w:r>
      <w:r w:rsidRPr="00822C52">
        <w:t>PATENT-PLUS</w:t>
      </w:r>
      <w:r>
        <w:t xml:space="preserve"> study, who had been randomised to combination therapy, </w:t>
      </w:r>
      <w:r w:rsidRPr="00822C52">
        <w:t xml:space="preserve">withdrew from </w:t>
      </w:r>
      <w:r>
        <w:t>treatment</w:t>
      </w:r>
      <w:r w:rsidRPr="00822C52">
        <w:t xml:space="preserve"> due to </w:t>
      </w:r>
      <w:r>
        <w:t xml:space="preserve">an </w:t>
      </w:r>
      <w:r w:rsidRPr="00822C52">
        <w:t>AE (blurred vision)</w:t>
      </w:r>
      <w:r>
        <w:t xml:space="preserve"> (</w:t>
      </w:r>
      <w:r w:rsidR="00B21201">
        <w:t>ARD</w:t>
      </w:r>
      <w:r w:rsidR="00DB6ACB">
        <w:t> </w:t>
      </w:r>
      <w:r>
        <w:t>=</w:t>
      </w:r>
      <w:r w:rsidR="00DB6ACB">
        <w:t> </w:t>
      </w:r>
      <w:r>
        <w:t>8.3%; 95% CI −7.3, 24.0; p</w:t>
      </w:r>
      <w:r w:rsidR="00DB6ACB">
        <w:t> </w:t>
      </w:r>
      <w:r>
        <w:t>=</w:t>
      </w:r>
      <w:r w:rsidR="00DB6ACB">
        <w:t> </w:t>
      </w:r>
      <w:r>
        <w:t>0.47).</w:t>
      </w:r>
    </w:p>
    <w:p w:rsidR="0075777C" w:rsidRPr="00DD7790" w:rsidRDefault="00272F8F" w:rsidP="00BC5A2B">
      <w:pPr>
        <w:pStyle w:val="Caption"/>
      </w:pPr>
      <w:bookmarkStart w:id="295" w:name="_Ref505254066"/>
      <w:bookmarkStart w:id="296" w:name="_Toc512855507"/>
      <w:r>
        <w:t>Table 4.</w:t>
      </w:r>
      <w:r w:rsidR="00AA722D">
        <w:rPr>
          <w:noProof/>
        </w:rPr>
        <w:t>103</w:t>
      </w:r>
      <w:bookmarkEnd w:id="295"/>
      <w:r w:rsidR="00C41039">
        <w:tab/>
      </w:r>
      <w:r w:rsidR="0075777C" w:rsidRPr="00DD7790">
        <w:t xml:space="preserve">The comparative safety of </w:t>
      </w:r>
      <w:r w:rsidR="00AA08D3">
        <w:t xml:space="preserve">a </w:t>
      </w:r>
      <w:r w:rsidR="00AA08D3" w:rsidRPr="00AA08D3">
        <w:t xml:space="preserve">sGC stimulator </w:t>
      </w:r>
      <w:r w:rsidR="007E59EC">
        <w:t>in addition to</w:t>
      </w:r>
      <w:r w:rsidR="007E59EC" w:rsidRPr="00DD7790">
        <w:t xml:space="preserve"> </w:t>
      </w:r>
      <w:r w:rsidR="007E59EC">
        <w:t xml:space="preserve">a </w:t>
      </w:r>
      <w:r w:rsidR="007E59EC" w:rsidRPr="00DD7790">
        <w:t xml:space="preserve">PDE-5 inhibitor </w:t>
      </w:r>
      <w:r w:rsidR="007E59EC" w:rsidRPr="009B4D64">
        <w:t xml:space="preserve">compared with </w:t>
      </w:r>
      <w:r w:rsidR="007E59EC" w:rsidRPr="00DD7790">
        <w:t xml:space="preserve">PDE-5 inhibitor </w:t>
      </w:r>
      <w:r w:rsidR="007E59EC">
        <w:t>monotherapy</w:t>
      </w:r>
      <w:r w:rsidR="007E59EC" w:rsidRPr="00DD7790">
        <w:t xml:space="preserve"> </w:t>
      </w:r>
      <w:r w:rsidR="0075777C" w:rsidRPr="00DD7790">
        <w:t xml:space="preserve">in </w:t>
      </w:r>
      <w:r w:rsidR="0075777C">
        <w:t>all PAH patients</w:t>
      </w:r>
      <w:bookmarkEnd w:id="296"/>
    </w:p>
    <w:tbl>
      <w:tblPr>
        <w:tblStyle w:val="TableGrid7"/>
        <w:tblW w:w="9634" w:type="dxa"/>
        <w:tblLayout w:type="fixed"/>
        <w:tblLook w:val="04A0" w:firstRow="1" w:lastRow="0" w:firstColumn="1" w:lastColumn="0" w:noHBand="0" w:noVBand="1"/>
        <w:tblCaption w:val="The comparative safety of a sGC stimulator in addition to a PDE-5 inhibitor compared with PDE-5 inhibitor monotherapy in all PAH patients"/>
      </w:tblPr>
      <w:tblGrid>
        <w:gridCol w:w="1555"/>
        <w:gridCol w:w="2268"/>
        <w:gridCol w:w="2693"/>
        <w:gridCol w:w="1701"/>
        <w:gridCol w:w="1417"/>
      </w:tblGrid>
      <w:tr w:rsidR="0075777C" w:rsidRPr="00822C52" w:rsidTr="00AA08D3">
        <w:trPr>
          <w:trHeight w:val="228"/>
          <w:tblHeader/>
        </w:trPr>
        <w:tc>
          <w:tcPr>
            <w:tcW w:w="1555" w:type="dxa"/>
            <w:vMerge w:val="restart"/>
            <w:shd w:val="clear" w:color="auto" w:fill="BFBFBF" w:themeFill="background1" w:themeFillShade="BF"/>
          </w:tcPr>
          <w:p w:rsidR="0075777C" w:rsidRPr="00C41039" w:rsidRDefault="0075777C" w:rsidP="00C41039">
            <w:pPr>
              <w:pStyle w:val="Tabletext"/>
              <w:rPr>
                <w:b/>
              </w:rPr>
            </w:pPr>
            <w:r w:rsidRPr="00C41039">
              <w:rPr>
                <w:b/>
              </w:rPr>
              <w:t>Study ID</w:t>
            </w:r>
          </w:p>
          <w:p w:rsidR="0075777C" w:rsidRPr="00C41039" w:rsidRDefault="00AA08D3" w:rsidP="00C41039">
            <w:pPr>
              <w:pStyle w:val="Tabletext"/>
              <w:rPr>
                <w:b/>
              </w:rPr>
            </w:pPr>
            <w:r w:rsidRPr="00AA08D3">
              <w:rPr>
                <w:b/>
              </w:rPr>
              <w:t>sGC stimulator</w:t>
            </w:r>
            <w:r>
              <w:rPr>
                <w:b/>
              </w:rPr>
              <w:t>/</w:t>
            </w:r>
            <w:r w:rsidRPr="00AA08D3">
              <w:rPr>
                <w:b/>
              </w:rPr>
              <w:t xml:space="preserve"> </w:t>
            </w:r>
            <w:r w:rsidR="0075777C" w:rsidRPr="00C41039">
              <w:rPr>
                <w:b/>
              </w:rPr>
              <w:t>PDE-5 inhibitor</w:t>
            </w:r>
          </w:p>
        </w:tc>
        <w:tc>
          <w:tcPr>
            <w:tcW w:w="2268" w:type="dxa"/>
            <w:vMerge w:val="restart"/>
            <w:shd w:val="clear" w:color="auto" w:fill="BFBFBF" w:themeFill="background1" w:themeFillShade="BF"/>
          </w:tcPr>
          <w:p w:rsidR="0075777C" w:rsidRPr="00C41039" w:rsidRDefault="0075777C" w:rsidP="00C41039">
            <w:pPr>
              <w:pStyle w:val="Tabletext"/>
              <w:rPr>
                <w:b/>
              </w:rPr>
            </w:pPr>
            <w:r w:rsidRPr="00C41039">
              <w:rPr>
                <w:b/>
              </w:rPr>
              <w:t>AE</w:t>
            </w:r>
          </w:p>
        </w:tc>
        <w:tc>
          <w:tcPr>
            <w:tcW w:w="4394" w:type="dxa"/>
            <w:gridSpan w:val="2"/>
            <w:shd w:val="clear" w:color="auto" w:fill="BFBFBF" w:themeFill="background1" w:themeFillShade="BF"/>
          </w:tcPr>
          <w:p w:rsidR="0075777C" w:rsidRPr="00C41039" w:rsidRDefault="0075777C" w:rsidP="00C41039">
            <w:pPr>
              <w:pStyle w:val="Tabletext"/>
              <w:jc w:val="center"/>
              <w:rPr>
                <w:b/>
              </w:rPr>
            </w:pPr>
            <w:r w:rsidRPr="00C41039">
              <w:rPr>
                <w:b/>
              </w:rPr>
              <w:t>n/N (%)</w:t>
            </w:r>
          </w:p>
        </w:tc>
        <w:tc>
          <w:tcPr>
            <w:tcW w:w="1417" w:type="dxa"/>
            <w:vMerge w:val="restart"/>
            <w:shd w:val="clear" w:color="auto" w:fill="BFBFBF" w:themeFill="background1" w:themeFillShade="BF"/>
          </w:tcPr>
          <w:p w:rsidR="0075777C" w:rsidRPr="00C41039" w:rsidRDefault="0075777C" w:rsidP="00C41039">
            <w:pPr>
              <w:pStyle w:val="Tabletext"/>
              <w:rPr>
                <w:b/>
              </w:rPr>
            </w:pPr>
            <w:r w:rsidRPr="00C41039">
              <w:rPr>
                <w:b/>
              </w:rPr>
              <w:t>RR (95% CI)</w:t>
            </w:r>
          </w:p>
        </w:tc>
      </w:tr>
      <w:tr w:rsidR="0075777C" w:rsidRPr="00822C52" w:rsidTr="00534ADA">
        <w:trPr>
          <w:trHeight w:val="202"/>
          <w:tblHeader/>
        </w:trPr>
        <w:tc>
          <w:tcPr>
            <w:tcW w:w="1555" w:type="dxa"/>
            <w:vMerge/>
            <w:shd w:val="clear" w:color="auto" w:fill="BFBFBF" w:themeFill="background1" w:themeFillShade="BF"/>
          </w:tcPr>
          <w:p w:rsidR="0075777C" w:rsidRPr="00822C52" w:rsidRDefault="0075777C" w:rsidP="00C41039">
            <w:pPr>
              <w:pStyle w:val="Tabletext"/>
            </w:pPr>
          </w:p>
        </w:tc>
        <w:tc>
          <w:tcPr>
            <w:tcW w:w="2268" w:type="dxa"/>
            <w:vMerge/>
            <w:shd w:val="clear" w:color="auto" w:fill="BFBFBF" w:themeFill="background1" w:themeFillShade="BF"/>
          </w:tcPr>
          <w:p w:rsidR="0075777C" w:rsidRPr="00822C52" w:rsidRDefault="0075777C" w:rsidP="00C41039">
            <w:pPr>
              <w:pStyle w:val="Tabletext"/>
            </w:pPr>
          </w:p>
        </w:tc>
        <w:tc>
          <w:tcPr>
            <w:tcW w:w="2693" w:type="dxa"/>
            <w:shd w:val="clear" w:color="auto" w:fill="BFBFBF" w:themeFill="background1" w:themeFillShade="BF"/>
          </w:tcPr>
          <w:p w:rsidR="0075777C" w:rsidRPr="00C41039" w:rsidRDefault="00AA08D3" w:rsidP="00C41039">
            <w:pPr>
              <w:pStyle w:val="Tabletext"/>
              <w:jc w:val="center"/>
              <w:rPr>
                <w:b/>
              </w:rPr>
            </w:pPr>
            <w:r w:rsidRPr="00AA08D3">
              <w:rPr>
                <w:b/>
              </w:rPr>
              <w:t xml:space="preserve">sGC stimulator </w:t>
            </w:r>
            <w:r w:rsidR="0075777C" w:rsidRPr="00C41039">
              <w:rPr>
                <w:b/>
              </w:rPr>
              <w:t>+  PDE-5 inhibitor</w:t>
            </w:r>
          </w:p>
        </w:tc>
        <w:tc>
          <w:tcPr>
            <w:tcW w:w="1701" w:type="dxa"/>
            <w:shd w:val="clear" w:color="auto" w:fill="BFBFBF" w:themeFill="background1" w:themeFillShade="BF"/>
          </w:tcPr>
          <w:p w:rsidR="0075777C" w:rsidRPr="00C41039" w:rsidRDefault="0075777C" w:rsidP="00C41039">
            <w:pPr>
              <w:pStyle w:val="Tabletext"/>
              <w:jc w:val="center"/>
              <w:rPr>
                <w:b/>
              </w:rPr>
            </w:pPr>
            <w:r w:rsidRPr="00C41039">
              <w:rPr>
                <w:b/>
              </w:rPr>
              <w:t>PDE-5 inhibitor</w:t>
            </w:r>
          </w:p>
        </w:tc>
        <w:tc>
          <w:tcPr>
            <w:tcW w:w="1417" w:type="dxa"/>
            <w:vMerge/>
            <w:shd w:val="clear" w:color="auto" w:fill="BFBFBF" w:themeFill="background1" w:themeFillShade="BF"/>
          </w:tcPr>
          <w:p w:rsidR="0075777C" w:rsidRPr="00822C52" w:rsidRDefault="0075777C" w:rsidP="00C41039">
            <w:pPr>
              <w:pStyle w:val="Tabletext"/>
            </w:pPr>
          </w:p>
        </w:tc>
      </w:tr>
      <w:tr w:rsidR="0075777C" w:rsidRPr="00822C52" w:rsidTr="00534ADA">
        <w:trPr>
          <w:trHeight w:val="70"/>
        </w:trPr>
        <w:tc>
          <w:tcPr>
            <w:tcW w:w="1555" w:type="dxa"/>
            <w:shd w:val="clear" w:color="auto" w:fill="auto"/>
          </w:tcPr>
          <w:p w:rsidR="0075777C" w:rsidRPr="00822C52" w:rsidRDefault="0075777C" w:rsidP="00C41039">
            <w:pPr>
              <w:pStyle w:val="Tabletext"/>
              <w:rPr>
                <w:rFonts w:cs="Tahoma"/>
              </w:rPr>
            </w:pPr>
            <w:r w:rsidRPr="00822C52">
              <w:rPr>
                <w:rFonts w:cs="Tahoma"/>
              </w:rPr>
              <w:t>PATENT-PLUS</w:t>
            </w:r>
            <w:r w:rsidR="001D34EE" w:rsidRPr="001A1C44">
              <w:rPr>
                <w:rFonts w:cs="Tahoma"/>
                <w:noProof/>
                <w:vertAlign w:val="superscript"/>
              </w:rPr>
              <w:t>44</w:t>
            </w:r>
          </w:p>
          <w:p w:rsidR="0075777C" w:rsidRPr="00822C52" w:rsidRDefault="00AA08D3" w:rsidP="00AA08D3">
            <w:pPr>
              <w:pStyle w:val="Tabletext"/>
              <w:rPr>
                <w:rFonts w:cs="Tahoma"/>
              </w:rPr>
            </w:pPr>
            <w:r w:rsidRPr="00AA08D3">
              <w:t>Riociguat</w:t>
            </w:r>
            <w:r>
              <w:rPr>
                <w:rFonts w:cs="Tahoma"/>
              </w:rPr>
              <w:t>/s</w:t>
            </w:r>
            <w:r w:rsidR="0075777C" w:rsidRPr="00822C52">
              <w:rPr>
                <w:rFonts w:cs="Tahoma"/>
              </w:rPr>
              <w:t>ildenafil</w:t>
            </w:r>
          </w:p>
        </w:tc>
        <w:tc>
          <w:tcPr>
            <w:tcW w:w="2268" w:type="dxa"/>
          </w:tcPr>
          <w:p w:rsidR="0075777C" w:rsidRDefault="0075777C" w:rsidP="00C41039">
            <w:pPr>
              <w:pStyle w:val="Tabletext"/>
              <w:rPr>
                <w:rFonts w:cs="Tahoma"/>
              </w:rPr>
            </w:pPr>
            <w:r>
              <w:rPr>
                <w:rFonts w:cs="Tahoma"/>
              </w:rPr>
              <w:t xml:space="preserve">Any </w:t>
            </w:r>
            <w:r w:rsidRPr="00822C52">
              <w:rPr>
                <w:rFonts w:cs="Tahoma"/>
              </w:rPr>
              <w:t>AE</w:t>
            </w:r>
          </w:p>
          <w:p w:rsidR="0075777C" w:rsidRPr="00822C52" w:rsidRDefault="0075777C" w:rsidP="00C41039">
            <w:pPr>
              <w:pStyle w:val="Tabletext"/>
              <w:rPr>
                <w:rFonts w:cs="Tahoma"/>
              </w:rPr>
            </w:pPr>
            <w:r>
              <w:rPr>
                <w:rFonts w:cs="Tahoma"/>
              </w:rPr>
              <w:t>Serious AEs</w:t>
            </w:r>
          </w:p>
          <w:p w:rsidR="0075777C" w:rsidRPr="00822C52" w:rsidRDefault="0075777C" w:rsidP="00C41039">
            <w:pPr>
              <w:pStyle w:val="Tabletext"/>
              <w:rPr>
                <w:rFonts w:cs="Tahoma"/>
              </w:rPr>
            </w:pPr>
            <w:r w:rsidRPr="00D46FAD">
              <w:rPr>
                <w:rFonts w:cs="Tahoma"/>
              </w:rPr>
              <w:t>AEs leading to discontinuation</w:t>
            </w:r>
          </w:p>
        </w:tc>
        <w:tc>
          <w:tcPr>
            <w:tcW w:w="2693" w:type="dxa"/>
            <w:shd w:val="clear" w:color="auto" w:fill="auto"/>
          </w:tcPr>
          <w:p w:rsidR="0075777C" w:rsidRPr="00822C52" w:rsidRDefault="0075777C" w:rsidP="00C41039">
            <w:pPr>
              <w:pStyle w:val="Tabletext"/>
              <w:jc w:val="center"/>
              <w:rPr>
                <w:rFonts w:cs="Tahoma"/>
              </w:rPr>
            </w:pPr>
            <w:r>
              <w:rPr>
                <w:rFonts w:cs="Tahoma"/>
              </w:rPr>
              <w:t>12/12</w:t>
            </w:r>
            <w:r w:rsidRPr="00822C52">
              <w:rPr>
                <w:rFonts w:cs="Tahoma"/>
              </w:rPr>
              <w:t xml:space="preserve"> (</w:t>
            </w:r>
            <w:r>
              <w:rPr>
                <w:rFonts w:cs="Tahoma"/>
              </w:rPr>
              <w:t>100</w:t>
            </w:r>
            <w:r w:rsidRPr="00822C52">
              <w:rPr>
                <w:rFonts w:cs="Tahoma"/>
              </w:rPr>
              <w:t>%)</w:t>
            </w:r>
          </w:p>
          <w:p w:rsidR="0075777C" w:rsidRDefault="0075777C" w:rsidP="00C41039">
            <w:pPr>
              <w:pStyle w:val="Tabletext"/>
              <w:jc w:val="center"/>
              <w:rPr>
                <w:rFonts w:cs="Tahoma"/>
              </w:rPr>
            </w:pPr>
            <w:r>
              <w:rPr>
                <w:rFonts w:cs="Tahoma"/>
              </w:rPr>
              <w:t>2</w:t>
            </w:r>
            <w:r w:rsidRPr="00822C52">
              <w:rPr>
                <w:rFonts w:cs="Tahoma"/>
              </w:rPr>
              <w:t>/1</w:t>
            </w:r>
            <w:r>
              <w:rPr>
                <w:rFonts w:cs="Tahoma"/>
              </w:rPr>
              <w:t>2</w:t>
            </w:r>
            <w:r w:rsidRPr="00822C52">
              <w:rPr>
                <w:rFonts w:cs="Tahoma"/>
              </w:rPr>
              <w:t xml:space="preserve"> (</w:t>
            </w:r>
            <w:r>
              <w:rPr>
                <w:rFonts w:cs="Tahoma"/>
              </w:rPr>
              <w:t>17</w:t>
            </w:r>
            <w:r w:rsidRPr="00822C52">
              <w:rPr>
                <w:rFonts w:cs="Tahoma"/>
              </w:rPr>
              <w:t>%)</w:t>
            </w:r>
          </w:p>
          <w:p w:rsidR="0075777C" w:rsidRPr="00822C52" w:rsidRDefault="0075777C" w:rsidP="00C41039">
            <w:pPr>
              <w:pStyle w:val="Tabletext"/>
              <w:jc w:val="center"/>
              <w:rPr>
                <w:rFonts w:cs="Tahoma"/>
              </w:rPr>
            </w:pPr>
            <w:r>
              <w:rPr>
                <w:rFonts w:cs="Tahoma"/>
              </w:rPr>
              <w:t>1/12 (8%)</w:t>
            </w:r>
          </w:p>
        </w:tc>
        <w:tc>
          <w:tcPr>
            <w:tcW w:w="1701" w:type="dxa"/>
            <w:shd w:val="clear" w:color="auto" w:fill="auto"/>
          </w:tcPr>
          <w:p w:rsidR="0075777C" w:rsidRPr="00822C52" w:rsidRDefault="0075777C" w:rsidP="00C41039">
            <w:pPr>
              <w:pStyle w:val="Tabletext"/>
              <w:jc w:val="center"/>
              <w:rPr>
                <w:rFonts w:cs="Tahoma"/>
              </w:rPr>
            </w:pPr>
            <w:r>
              <w:rPr>
                <w:rFonts w:cs="Tahoma"/>
              </w:rPr>
              <w:t>4</w:t>
            </w:r>
            <w:r w:rsidRPr="00822C52">
              <w:rPr>
                <w:rFonts w:cs="Tahoma"/>
              </w:rPr>
              <w:t>/</w:t>
            </w:r>
            <w:r>
              <w:rPr>
                <w:rFonts w:cs="Tahoma"/>
              </w:rPr>
              <w:t>6</w:t>
            </w:r>
            <w:r w:rsidRPr="00822C52">
              <w:rPr>
                <w:rFonts w:cs="Tahoma"/>
              </w:rPr>
              <w:t xml:space="preserve"> (</w:t>
            </w:r>
            <w:r>
              <w:rPr>
                <w:rFonts w:cs="Tahoma"/>
              </w:rPr>
              <w:t>67</w:t>
            </w:r>
            <w:r w:rsidRPr="00822C52">
              <w:rPr>
                <w:rFonts w:cs="Tahoma"/>
              </w:rPr>
              <w:t>%)</w:t>
            </w:r>
          </w:p>
          <w:p w:rsidR="0075777C" w:rsidRDefault="0075777C" w:rsidP="00C41039">
            <w:pPr>
              <w:pStyle w:val="Tabletext"/>
              <w:jc w:val="center"/>
              <w:rPr>
                <w:rFonts w:cs="Tahoma"/>
              </w:rPr>
            </w:pPr>
            <w:r w:rsidRPr="00822C52">
              <w:rPr>
                <w:rFonts w:cs="Tahoma"/>
              </w:rPr>
              <w:t>0/</w:t>
            </w:r>
            <w:r>
              <w:rPr>
                <w:rFonts w:cs="Tahoma"/>
              </w:rPr>
              <w:t>6</w:t>
            </w:r>
            <w:r w:rsidRPr="00822C52">
              <w:rPr>
                <w:rFonts w:cs="Tahoma"/>
              </w:rPr>
              <w:t xml:space="preserve"> (0%)</w:t>
            </w:r>
          </w:p>
          <w:p w:rsidR="0075777C" w:rsidRPr="00822C52" w:rsidRDefault="0075777C" w:rsidP="00C41039">
            <w:pPr>
              <w:pStyle w:val="Tabletext"/>
              <w:jc w:val="center"/>
              <w:rPr>
                <w:rFonts w:cs="Tahoma"/>
              </w:rPr>
            </w:pPr>
            <w:r>
              <w:rPr>
                <w:rFonts w:cs="Tahoma"/>
              </w:rPr>
              <w:t>0/6 (0%)</w:t>
            </w:r>
          </w:p>
        </w:tc>
        <w:tc>
          <w:tcPr>
            <w:tcW w:w="1417" w:type="dxa"/>
          </w:tcPr>
          <w:p w:rsidR="0075777C" w:rsidRDefault="0075777C" w:rsidP="00C41039">
            <w:pPr>
              <w:pStyle w:val="Tabletext"/>
              <w:rPr>
                <w:rFonts w:cs="Tahoma"/>
              </w:rPr>
            </w:pPr>
            <w:r>
              <w:rPr>
                <w:rFonts w:cs="Tahoma"/>
              </w:rPr>
              <w:t>1.50 (0.85, 2.64)</w:t>
            </w:r>
          </w:p>
          <w:p w:rsidR="0075777C" w:rsidRDefault="0075777C" w:rsidP="00C41039">
            <w:pPr>
              <w:pStyle w:val="Tabletext"/>
              <w:rPr>
                <w:rFonts w:cs="Tahoma"/>
              </w:rPr>
            </w:pPr>
            <w:r>
              <w:rPr>
                <w:rFonts w:cs="Tahoma"/>
              </w:rPr>
              <w:t>Not calculable</w:t>
            </w:r>
          </w:p>
          <w:p w:rsidR="0075777C" w:rsidRPr="00822C52" w:rsidRDefault="0075777C" w:rsidP="00C41039">
            <w:pPr>
              <w:pStyle w:val="Tabletext"/>
              <w:rPr>
                <w:rFonts w:cs="Tahoma"/>
              </w:rPr>
            </w:pPr>
            <w:r w:rsidRPr="00DD20F8">
              <w:rPr>
                <w:rFonts w:cs="Tahoma"/>
              </w:rPr>
              <w:t>Not calculable</w:t>
            </w:r>
          </w:p>
        </w:tc>
      </w:tr>
    </w:tbl>
    <w:p w:rsidR="008E565E" w:rsidRDefault="0075777C" w:rsidP="00C41039">
      <w:pPr>
        <w:pStyle w:val="Tablenote"/>
      </w:pPr>
      <w:r w:rsidRPr="00822C52">
        <w:t xml:space="preserve">AE = adverse event; CI = confidence interval; n = number of events; N = number of patients; PAH = pulmonary arterial hypertension; </w:t>
      </w:r>
      <w:r w:rsidR="008E565E" w:rsidRPr="00DC16A3">
        <w:t xml:space="preserve">PDE-5 = phosphodiesterase type-5; </w:t>
      </w:r>
      <w:r w:rsidRPr="00822C52">
        <w:t xml:space="preserve">RR = relative risk; </w:t>
      </w:r>
      <w:r w:rsidR="009B47AA" w:rsidRPr="009B47AA">
        <w:t>sGC = soluble guanylate</w:t>
      </w:r>
      <w:r w:rsidR="009B47AA">
        <w:t xml:space="preserve"> cyclase </w:t>
      </w:r>
    </w:p>
    <w:p w:rsidR="0075777C" w:rsidRPr="00822C52" w:rsidRDefault="00761752" w:rsidP="0075777C">
      <w:pPr>
        <w:pStyle w:val="Heading4"/>
      </w:pPr>
      <w:r>
        <w:lastRenderedPageBreak/>
        <w:t>4.4.3.</w:t>
      </w:r>
      <w:r w:rsidR="00441F08">
        <w:t>8</w:t>
      </w:r>
      <w:r>
        <w:tab/>
      </w:r>
      <w:r w:rsidR="0075777C">
        <w:t>sGC stimulator</w:t>
      </w:r>
      <w:r w:rsidR="0075777C" w:rsidRPr="00822C52">
        <w:t xml:space="preserve"> in addition to prostanoid</w:t>
      </w:r>
    </w:p>
    <w:p w:rsidR="0075777C" w:rsidRDefault="0075777C" w:rsidP="0075777C">
      <w:r w:rsidRPr="00326FE2">
        <w:t>The PATENT-1</w:t>
      </w:r>
      <w:r w:rsidR="001D34EE" w:rsidRPr="001D34EE">
        <w:rPr>
          <w:noProof/>
          <w:vertAlign w:val="superscript"/>
        </w:rPr>
        <w:t>23</w:t>
      </w:r>
      <w:r w:rsidRPr="00326FE2">
        <w:t xml:space="preserve"> double-blind trial, with a low-to-moderate risk of bias, reported on the effectiveness of a sGC stimulator </w:t>
      </w:r>
      <w:r>
        <w:t xml:space="preserve">plus a </w:t>
      </w:r>
      <w:r w:rsidR="00761752">
        <w:t>prostanoid</w:t>
      </w:r>
      <w:r>
        <w:t xml:space="preserve"> </w:t>
      </w:r>
      <w:r w:rsidRPr="00326FE2">
        <w:t>in treating PAH compared with placebo</w:t>
      </w:r>
      <w:r>
        <w:t xml:space="preserve"> plus </w:t>
      </w:r>
      <w:r w:rsidR="00761752">
        <w:t>prostanoid</w:t>
      </w:r>
      <w:r w:rsidRPr="00326FE2">
        <w:t xml:space="preserve"> in patients with PAH. PAH patients of </w:t>
      </w:r>
      <w:r w:rsidRPr="00157F57">
        <w:t>any</w:t>
      </w:r>
      <w:r w:rsidRPr="00326FE2">
        <w:t xml:space="preserve"> WHO FC</w:t>
      </w:r>
      <w:r w:rsidRPr="00A31E5D">
        <w:t xml:space="preserve"> </w:t>
      </w:r>
      <w:r>
        <w:t xml:space="preserve">with or without background ERA </w:t>
      </w:r>
      <w:r w:rsidRPr="00326FE2">
        <w:t xml:space="preserve">or </w:t>
      </w:r>
      <w:r w:rsidR="00761752" w:rsidRPr="00326FE2">
        <w:t>prostanoid</w:t>
      </w:r>
      <w:r w:rsidRPr="00326FE2">
        <w:t xml:space="preserve"> </w:t>
      </w:r>
      <w:r>
        <w:t>therapy were</w:t>
      </w:r>
      <w:r w:rsidRPr="00326FE2">
        <w:t xml:space="preserve"> randomised to receive riociguat or placebo for 12 weeks. </w:t>
      </w:r>
      <w:r>
        <w:t>However, only</w:t>
      </w:r>
      <w:r w:rsidRPr="00326FE2">
        <w:t xml:space="preserve"> 6% </w:t>
      </w:r>
      <w:r>
        <w:t xml:space="preserve">of enrolled patients were receiving background </w:t>
      </w:r>
      <w:r w:rsidRPr="00326FE2">
        <w:t>prostanoid</w:t>
      </w:r>
      <w:r>
        <w:t xml:space="preserve"> therapy</w:t>
      </w:r>
      <w:r w:rsidRPr="00326FE2">
        <w:t xml:space="preserve"> (primarily inhaled iloprost) at baseline. </w:t>
      </w:r>
      <w:r>
        <w:t xml:space="preserve">Thus this subgroup was very small, involving only 27 patients. </w:t>
      </w:r>
      <w:r w:rsidRPr="00A31E5D">
        <w:t>The</w:t>
      </w:r>
      <w:r>
        <w:t>re were some</w:t>
      </w:r>
      <w:r w:rsidRPr="00A31E5D">
        <w:t xml:space="preserve"> imbalances </w:t>
      </w:r>
      <w:r>
        <w:t>in the baseline characteristics, which is</w:t>
      </w:r>
      <w:r w:rsidRPr="00A31E5D">
        <w:t xml:space="preserve"> not surprising considering the small sample size of the study.</w:t>
      </w:r>
      <w:r w:rsidRPr="00971AFC">
        <w:t xml:space="preserve"> </w:t>
      </w:r>
      <w:r w:rsidRPr="00A31E5D">
        <w:t xml:space="preserve">The combination therapy group had a greater proportion of </w:t>
      </w:r>
      <w:r>
        <w:t xml:space="preserve">female </w:t>
      </w:r>
      <w:r w:rsidRPr="00A31E5D">
        <w:t>patients (5/12, 42% v</w:t>
      </w:r>
      <w:r w:rsidR="0095089E">
        <w:t>ersu</w:t>
      </w:r>
      <w:r w:rsidRPr="00A31E5D">
        <w:t>s 1/6, 17%)</w:t>
      </w:r>
      <w:r>
        <w:t xml:space="preserve"> and </w:t>
      </w:r>
      <w:r w:rsidRPr="00A31E5D">
        <w:t>patients with WHO FC I (</w:t>
      </w:r>
      <w:r>
        <w:t>2</w:t>
      </w:r>
      <w:r w:rsidRPr="00A31E5D">
        <w:t xml:space="preserve">/20, </w:t>
      </w:r>
      <w:r>
        <w:t>10% v</w:t>
      </w:r>
      <w:r w:rsidR="0095089E">
        <w:t>ersu</w:t>
      </w:r>
      <w:r>
        <w:t>s 0</w:t>
      </w:r>
      <w:r w:rsidRPr="00A31E5D">
        <w:t xml:space="preserve">/7, </w:t>
      </w:r>
      <w:r>
        <w:t>0</w:t>
      </w:r>
      <w:r w:rsidRPr="00A31E5D">
        <w:t>%), and a smaller proportion of patients with WHO FC II</w:t>
      </w:r>
      <w:r>
        <w:t>I</w:t>
      </w:r>
      <w:r w:rsidRPr="00A31E5D">
        <w:t xml:space="preserve"> (</w:t>
      </w:r>
      <w:r>
        <w:t>12</w:t>
      </w:r>
      <w:r w:rsidRPr="00A31E5D">
        <w:t>/2</w:t>
      </w:r>
      <w:r>
        <w:t>0</w:t>
      </w:r>
      <w:r w:rsidRPr="00A31E5D">
        <w:t xml:space="preserve">, </w:t>
      </w:r>
      <w:r>
        <w:t>60</w:t>
      </w:r>
      <w:r w:rsidRPr="00A31E5D">
        <w:t>% v</w:t>
      </w:r>
      <w:r w:rsidR="0095089E">
        <w:t>ersu</w:t>
      </w:r>
      <w:r w:rsidRPr="00A31E5D">
        <w:t xml:space="preserve">s </w:t>
      </w:r>
      <w:r>
        <w:t>5</w:t>
      </w:r>
      <w:r w:rsidRPr="00A31E5D">
        <w:t>/</w:t>
      </w:r>
      <w:r>
        <w:t>7</w:t>
      </w:r>
      <w:r w:rsidRPr="00A31E5D">
        <w:t>, 7</w:t>
      </w:r>
      <w:r>
        <w:t>1</w:t>
      </w:r>
      <w:r w:rsidRPr="00A31E5D">
        <w:t xml:space="preserve">%). </w:t>
      </w:r>
      <w:r>
        <w:t>Outcome d</w:t>
      </w:r>
      <w:r w:rsidRPr="00A31E5D">
        <w:t xml:space="preserve">ata was reported for all PAH patients who had background </w:t>
      </w:r>
      <w:r>
        <w:t>prostanoid</w:t>
      </w:r>
      <w:r w:rsidRPr="00A31E5D">
        <w:t xml:space="preserve"> treatment in the CSR</w:t>
      </w:r>
      <w:r w:rsidRPr="00326FE2">
        <w:t xml:space="preserve"> (highlighted in green below).</w:t>
      </w:r>
    </w:p>
    <w:p w:rsidR="0075777C" w:rsidRDefault="002E4833" w:rsidP="0075777C">
      <w:pPr>
        <w:pStyle w:val="Heading5"/>
      </w:pPr>
      <w:r>
        <w:t>a.</w:t>
      </w:r>
      <w:r w:rsidR="00761752">
        <w:tab/>
      </w:r>
      <w:r w:rsidR="0075777C" w:rsidRPr="00822C52">
        <w:t>Study-defined clinical worsening</w:t>
      </w:r>
    </w:p>
    <w:p w:rsidR="0075777C" w:rsidRPr="00F34C0F" w:rsidRDefault="0075777C" w:rsidP="0075777C">
      <w:r>
        <w:t>In the PATENT-1 study, cl</w:t>
      </w:r>
      <w:r w:rsidRPr="00F34C0F">
        <w:t xml:space="preserve">inical worsening was defined as </w:t>
      </w:r>
      <w:r>
        <w:t xml:space="preserve">all-cause mortality, heart/lung transplantation, atrial septostomy, modification of a pre-existing PAH treatment (ERA, </w:t>
      </w:r>
      <w:r w:rsidR="00761752">
        <w:t>prostanoid</w:t>
      </w:r>
      <w:r>
        <w:t xml:space="preserve"> or PDE-5 inhibitor), or hospitali</w:t>
      </w:r>
      <w:r w:rsidR="00C87EC4">
        <w:t>s</w:t>
      </w:r>
      <w:r>
        <w:t>ation persistent decrease in 6MWD or persistent worsening of WHO FC due to worsening of PAH.</w:t>
      </w:r>
    </w:p>
    <w:p w:rsidR="0075777C" w:rsidRPr="00822C52" w:rsidRDefault="002E4833" w:rsidP="0077344D">
      <w:pPr>
        <w:pStyle w:val="Heading6"/>
      </w:pPr>
      <w:r>
        <w:t>a</w:t>
      </w:r>
      <w:r w:rsidR="0075777C" w:rsidRPr="00822C52">
        <w:t>.i</w:t>
      </w:r>
      <w:r w:rsidR="0075777C" w:rsidRPr="00822C52">
        <w:tab/>
        <w:t>PAH patients, irrespective of disease severity or aetiology</w:t>
      </w:r>
    </w:p>
    <w:p w:rsidR="002301D9" w:rsidRPr="00822C52" w:rsidRDefault="00A17B9D" w:rsidP="0075777C">
      <w:r>
        <w:rPr>
          <w:noProof/>
          <w:color w:val="000000"/>
          <w:highlight w:val="black"/>
        </w:rPr>
        <w:t>'''''''' ''''''' '''''''''''''''</w:t>
      </w:r>
      <w:r w:rsidR="0075777C">
        <w:t xml:space="preserve"> receiving </w:t>
      </w:r>
      <w:r w:rsidR="00761752">
        <w:t>prostanoid</w:t>
      </w:r>
      <w:r w:rsidR="0075777C">
        <w:t xml:space="preserve"> monotherapy experienced a clinical worsening event, </w:t>
      </w:r>
      <w:r>
        <w:rPr>
          <w:noProof/>
          <w:color w:val="000000"/>
          <w:highlight w:val="black"/>
        </w:rPr>
        <w:t>''''' '''''' '''''' '''''''''' ''''''' '''''' ''''''''''''''''''''</w:t>
      </w:r>
      <w:r w:rsidR="0075777C">
        <w:t xml:space="preserve"> (</w:t>
      </w:r>
      <w:r w:rsidR="00AA722D">
        <w:t>Table 4.</w:t>
      </w:r>
      <w:r w:rsidR="00AA722D">
        <w:rPr>
          <w:noProof/>
        </w:rPr>
        <w:t>104</w:t>
      </w:r>
      <w:r w:rsidR="0075777C">
        <w:t xml:space="preserve">; </w:t>
      </w:r>
      <w:r w:rsidR="00B21201">
        <w:t>ARD</w:t>
      </w:r>
      <w:r w:rsidR="00DB6ACB">
        <w:t> </w:t>
      </w:r>
      <w:r w:rsidR="0075777C" w:rsidRPr="00707847">
        <w:t>=</w:t>
      </w:r>
      <w:r w:rsidR="00DB6ACB">
        <w:t> </w:t>
      </w:r>
      <w:r>
        <w:rPr>
          <w:noProof/>
          <w:color w:val="000000"/>
          <w:highlight w:val="black"/>
        </w:rPr>
        <w:t>''''''''''''''' '''''''' '''' ''''''''''' ''''''''' ''''''''''''''''''</w:t>
      </w:r>
      <w:r w:rsidR="0075777C" w:rsidRPr="00971AFC">
        <w:t>).</w:t>
      </w:r>
      <w:r w:rsidR="0075777C">
        <w:t xml:space="preserve"> The NNT (inverse of </w:t>
      </w:r>
      <w:r w:rsidR="00B21201">
        <w:t>ARD</w:t>
      </w:r>
      <w:r w:rsidR="0075777C">
        <w:t xml:space="preserve">) indicates that </w:t>
      </w:r>
      <w:r>
        <w:rPr>
          <w:noProof/>
          <w:color w:val="000000"/>
          <w:highlight w:val="black"/>
        </w:rPr>
        <w:t>'''''''''''</w:t>
      </w:r>
      <w:r w:rsidR="0075777C">
        <w:t xml:space="preserve"> patients need to be treated with </w:t>
      </w:r>
      <w:r w:rsidR="0075777C" w:rsidRPr="000B4355">
        <w:t xml:space="preserve">sGC stimulator </w:t>
      </w:r>
      <w:r w:rsidR="0075777C" w:rsidRPr="00CC0E70">
        <w:t>plus prostanoid</w:t>
      </w:r>
      <w:r w:rsidR="0075777C">
        <w:t xml:space="preserve"> combination therapy to prevent one additional patient experiencing clinical worsening compared with </w:t>
      </w:r>
      <w:r w:rsidR="0075777C" w:rsidRPr="00CC0E70">
        <w:t>prostanoid</w:t>
      </w:r>
      <w:r w:rsidR="0075777C">
        <w:t xml:space="preserve"> monotherapy.</w:t>
      </w:r>
    </w:p>
    <w:p w:rsidR="0075777C" w:rsidRPr="00DD7790" w:rsidRDefault="00272F8F" w:rsidP="00BC5A2B">
      <w:pPr>
        <w:pStyle w:val="Caption"/>
      </w:pPr>
      <w:bookmarkStart w:id="297" w:name="_Ref505082468"/>
      <w:bookmarkStart w:id="298" w:name="_Toc512855508"/>
      <w:r>
        <w:t>Table 4.</w:t>
      </w:r>
      <w:r w:rsidR="00AA722D">
        <w:rPr>
          <w:noProof/>
        </w:rPr>
        <w:t>104</w:t>
      </w:r>
      <w:bookmarkEnd w:id="297"/>
      <w:r w:rsidR="00C41039">
        <w:tab/>
      </w:r>
      <w:r w:rsidR="0075777C" w:rsidRPr="00DD7790">
        <w:rPr>
          <w:noProof/>
        </w:rPr>
        <w:t xml:space="preserve">The effectiveness of </w:t>
      </w:r>
      <w:r w:rsidR="00AA08D3">
        <w:rPr>
          <w:noProof/>
        </w:rPr>
        <w:t xml:space="preserve">a </w:t>
      </w:r>
      <w:r w:rsidR="00AA08D3" w:rsidRPr="00AA08D3">
        <w:rPr>
          <w:noProof/>
        </w:rPr>
        <w:t xml:space="preserve">sGC stimulator </w:t>
      </w:r>
      <w:r w:rsidR="007E59EC">
        <w:rPr>
          <w:noProof/>
        </w:rPr>
        <w:t xml:space="preserve">in addition to </w:t>
      </w:r>
      <w:r w:rsidR="00AA08D3">
        <w:rPr>
          <w:noProof/>
        </w:rPr>
        <w:t xml:space="preserve">a </w:t>
      </w:r>
      <w:r w:rsidR="0075777C" w:rsidRPr="009B4D64">
        <w:rPr>
          <w:noProof/>
        </w:rPr>
        <w:t xml:space="preserve">prostanoid compared with prostanoid </w:t>
      </w:r>
      <w:r w:rsidR="007E59EC">
        <w:rPr>
          <w:noProof/>
        </w:rPr>
        <w:t xml:space="preserve">monotherapy </w:t>
      </w:r>
      <w:r w:rsidR="0075777C" w:rsidRPr="00DD7790">
        <w:rPr>
          <w:noProof/>
        </w:rPr>
        <w:t>in preventing clinical worsening in all PAH patients</w:t>
      </w:r>
      <w:bookmarkEnd w:id="298"/>
    </w:p>
    <w:tbl>
      <w:tblPr>
        <w:tblStyle w:val="TableGrid7"/>
        <w:tblW w:w="9634" w:type="dxa"/>
        <w:tblLayout w:type="fixed"/>
        <w:tblLook w:val="04A0" w:firstRow="1" w:lastRow="0" w:firstColumn="1" w:lastColumn="0" w:noHBand="0" w:noVBand="1"/>
        <w:tblCaption w:val="The effectiveness of a sGC stimulator in addition to a prostanoid compared with prostanoid monotherapy in preventing clinical worsening in all PAH patients"/>
      </w:tblPr>
      <w:tblGrid>
        <w:gridCol w:w="1555"/>
        <w:gridCol w:w="1417"/>
        <w:gridCol w:w="2339"/>
        <w:gridCol w:w="2339"/>
        <w:gridCol w:w="1984"/>
      </w:tblGrid>
      <w:tr w:rsidR="0075777C" w:rsidRPr="00822C52" w:rsidTr="00AA08D3">
        <w:trPr>
          <w:trHeight w:val="228"/>
          <w:tblHeader/>
        </w:trPr>
        <w:tc>
          <w:tcPr>
            <w:tcW w:w="1555" w:type="dxa"/>
            <w:vMerge w:val="restart"/>
            <w:shd w:val="clear" w:color="auto" w:fill="BFBFBF" w:themeFill="background1" w:themeFillShade="BF"/>
          </w:tcPr>
          <w:p w:rsidR="0075777C" w:rsidRPr="00C41039" w:rsidRDefault="0075777C" w:rsidP="00C41039">
            <w:pPr>
              <w:pStyle w:val="Tabletext"/>
              <w:rPr>
                <w:b/>
              </w:rPr>
            </w:pPr>
            <w:r w:rsidRPr="00C41039">
              <w:rPr>
                <w:b/>
              </w:rPr>
              <w:t>Study ID</w:t>
            </w:r>
          </w:p>
          <w:p w:rsidR="00AA08D3" w:rsidRPr="00C41039" w:rsidRDefault="00AA08D3" w:rsidP="00AA08D3">
            <w:pPr>
              <w:pStyle w:val="Tabletext"/>
              <w:rPr>
                <w:b/>
              </w:rPr>
            </w:pPr>
            <w:r w:rsidRPr="00AA08D3">
              <w:rPr>
                <w:b/>
              </w:rPr>
              <w:t>sGC stimulator</w:t>
            </w:r>
          </w:p>
        </w:tc>
        <w:tc>
          <w:tcPr>
            <w:tcW w:w="1417" w:type="dxa"/>
            <w:vMerge w:val="restart"/>
            <w:shd w:val="clear" w:color="auto" w:fill="BFBFBF" w:themeFill="background1" w:themeFillShade="BF"/>
          </w:tcPr>
          <w:p w:rsidR="0075777C" w:rsidRPr="00C41039" w:rsidRDefault="0075777C" w:rsidP="00C41039">
            <w:pPr>
              <w:pStyle w:val="Tabletext"/>
              <w:rPr>
                <w:b/>
              </w:rPr>
            </w:pPr>
            <w:r w:rsidRPr="00C41039">
              <w:rPr>
                <w:b/>
              </w:rPr>
              <w:t>Study period</w:t>
            </w:r>
          </w:p>
        </w:tc>
        <w:tc>
          <w:tcPr>
            <w:tcW w:w="4678" w:type="dxa"/>
            <w:gridSpan w:val="2"/>
            <w:shd w:val="clear" w:color="auto" w:fill="BFBFBF" w:themeFill="background1" w:themeFillShade="BF"/>
          </w:tcPr>
          <w:p w:rsidR="0075777C" w:rsidRPr="00C41039" w:rsidRDefault="0075777C" w:rsidP="00C41039">
            <w:pPr>
              <w:pStyle w:val="Tabletext"/>
              <w:jc w:val="center"/>
              <w:rPr>
                <w:b/>
              </w:rPr>
            </w:pPr>
            <w:r w:rsidRPr="00C41039">
              <w:rPr>
                <w:b/>
              </w:rPr>
              <w:t>n/N (%)</w:t>
            </w:r>
          </w:p>
        </w:tc>
        <w:tc>
          <w:tcPr>
            <w:tcW w:w="1984" w:type="dxa"/>
            <w:vMerge w:val="restart"/>
            <w:shd w:val="clear" w:color="auto" w:fill="BFBFBF" w:themeFill="background1" w:themeFillShade="BF"/>
          </w:tcPr>
          <w:p w:rsidR="0075777C" w:rsidRPr="00C41039" w:rsidRDefault="0075777C" w:rsidP="00C41039">
            <w:pPr>
              <w:pStyle w:val="Tabletext"/>
              <w:rPr>
                <w:b/>
              </w:rPr>
            </w:pPr>
            <w:r w:rsidRPr="00C41039">
              <w:rPr>
                <w:b/>
              </w:rPr>
              <w:t>RR (95% CI)</w:t>
            </w:r>
          </w:p>
        </w:tc>
      </w:tr>
      <w:tr w:rsidR="0075777C" w:rsidRPr="00822C52" w:rsidTr="00AA08D3">
        <w:trPr>
          <w:trHeight w:val="202"/>
          <w:tblHeader/>
        </w:trPr>
        <w:tc>
          <w:tcPr>
            <w:tcW w:w="1555" w:type="dxa"/>
            <w:vMerge/>
            <w:shd w:val="clear" w:color="auto" w:fill="BFBFBF" w:themeFill="background1" w:themeFillShade="BF"/>
          </w:tcPr>
          <w:p w:rsidR="0075777C" w:rsidRPr="00822C52" w:rsidRDefault="0075777C" w:rsidP="00C41039">
            <w:pPr>
              <w:pStyle w:val="Tabletext"/>
            </w:pPr>
          </w:p>
        </w:tc>
        <w:tc>
          <w:tcPr>
            <w:tcW w:w="1417" w:type="dxa"/>
            <w:vMerge/>
            <w:shd w:val="clear" w:color="auto" w:fill="BFBFBF" w:themeFill="background1" w:themeFillShade="BF"/>
          </w:tcPr>
          <w:p w:rsidR="0075777C" w:rsidRPr="00822C52" w:rsidRDefault="0075777C" w:rsidP="00C41039">
            <w:pPr>
              <w:pStyle w:val="Tabletext"/>
            </w:pPr>
          </w:p>
        </w:tc>
        <w:tc>
          <w:tcPr>
            <w:tcW w:w="2339" w:type="dxa"/>
            <w:shd w:val="clear" w:color="auto" w:fill="BFBFBF" w:themeFill="background1" w:themeFillShade="BF"/>
          </w:tcPr>
          <w:p w:rsidR="0075777C" w:rsidRPr="00C41039" w:rsidRDefault="00AA08D3" w:rsidP="00C41039">
            <w:pPr>
              <w:pStyle w:val="Tabletext"/>
              <w:jc w:val="center"/>
              <w:rPr>
                <w:b/>
              </w:rPr>
            </w:pPr>
            <w:r w:rsidRPr="00AA08D3">
              <w:rPr>
                <w:b/>
              </w:rPr>
              <w:t xml:space="preserve">sGC stimulator </w:t>
            </w:r>
            <w:r w:rsidR="0075777C" w:rsidRPr="00C41039">
              <w:rPr>
                <w:b/>
              </w:rPr>
              <w:t>+ prostanoid</w:t>
            </w:r>
          </w:p>
        </w:tc>
        <w:tc>
          <w:tcPr>
            <w:tcW w:w="2339" w:type="dxa"/>
            <w:shd w:val="clear" w:color="auto" w:fill="BFBFBF" w:themeFill="background1" w:themeFillShade="BF"/>
          </w:tcPr>
          <w:p w:rsidR="0075777C" w:rsidRPr="00C41039" w:rsidRDefault="00534ADA" w:rsidP="00534ADA">
            <w:pPr>
              <w:pStyle w:val="Tabletext"/>
              <w:jc w:val="center"/>
              <w:rPr>
                <w:b/>
              </w:rPr>
            </w:pPr>
            <w:r>
              <w:rPr>
                <w:b/>
              </w:rPr>
              <w:t>P</w:t>
            </w:r>
            <w:r w:rsidR="0075777C" w:rsidRPr="00C41039">
              <w:rPr>
                <w:b/>
              </w:rPr>
              <w:t>rostanoid</w:t>
            </w:r>
          </w:p>
        </w:tc>
        <w:tc>
          <w:tcPr>
            <w:tcW w:w="1984" w:type="dxa"/>
            <w:vMerge/>
            <w:shd w:val="clear" w:color="auto" w:fill="BFBFBF" w:themeFill="background1" w:themeFillShade="BF"/>
          </w:tcPr>
          <w:p w:rsidR="0075777C" w:rsidRPr="00822C52" w:rsidRDefault="0075777C" w:rsidP="00C41039">
            <w:pPr>
              <w:pStyle w:val="Tabletext"/>
            </w:pPr>
          </w:p>
        </w:tc>
      </w:tr>
      <w:tr w:rsidR="0075777C" w:rsidRPr="00822C52" w:rsidTr="00AA08D3">
        <w:trPr>
          <w:trHeight w:val="70"/>
        </w:trPr>
        <w:tc>
          <w:tcPr>
            <w:tcW w:w="1555" w:type="dxa"/>
            <w:shd w:val="clear" w:color="auto" w:fill="auto"/>
          </w:tcPr>
          <w:p w:rsidR="0075777C" w:rsidRDefault="0075777C" w:rsidP="00C41039">
            <w:pPr>
              <w:pStyle w:val="Tabletext"/>
              <w:rPr>
                <w:rFonts w:cs="Tahoma"/>
              </w:rPr>
            </w:pPr>
            <w:r w:rsidRPr="00822C52">
              <w:rPr>
                <w:rFonts w:cs="Tahoma"/>
              </w:rPr>
              <w:t>PATENT-1 CSR</w:t>
            </w:r>
          </w:p>
          <w:p w:rsidR="00AA08D3" w:rsidRPr="00AA08D3" w:rsidRDefault="00AA08D3" w:rsidP="00C41039">
            <w:pPr>
              <w:pStyle w:val="Tabletext"/>
              <w:rPr>
                <w:rFonts w:cs="Tahoma"/>
              </w:rPr>
            </w:pPr>
            <w:r w:rsidRPr="00AA08D3">
              <w:t>Riociguat</w:t>
            </w:r>
          </w:p>
        </w:tc>
        <w:tc>
          <w:tcPr>
            <w:tcW w:w="1417" w:type="dxa"/>
            <w:shd w:val="clear" w:color="auto" w:fill="auto"/>
          </w:tcPr>
          <w:p w:rsidR="0075777C" w:rsidRPr="00822C52" w:rsidRDefault="0075777C" w:rsidP="00C41039">
            <w:pPr>
              <w:pStyle w:val="Tabletext"/>
              <w:rPr>
                <w:rFonts w:cs="Tahoma"/>
              </w:rPr>
            </w:pPr>
            <w:r w:rsidRPr="00822C52">
              <w:rPr>
                <w:rFonts w:cs="Tahoma"/>
              </w:rPr>
              <w:t>12 weeks</w:t>
            </w:r>
          </w:p>
        </w:tc>
        <w:tc>
          <w:tcPr>
            <w:tcW w:w="2339" w:type="dxa"/>
            <w:shd w:val="clear" w:color="auto" w:fill="auto"/>
          </w:tcPr>
          <w:p w:rsidR="0075777C" w:rsidRPr="00A17B9D" w:rsidRDefault="00A17B9D" w:rsidP="00C41039">
            <w:pPr>
              <w:pStyle w:val="Tabletext"/>
              <w:jc w:val="center"/>
              <w:rPr>
                <w:rFonts w:cs="Tahoma"/>
                <w:highlight w:val="black"/>
              </w:rPr>
            </w:pPr>
            <w:r>
              <w:rPr>
                <w:rFonts w:eastAsia="Times New Roman" w:cs="Tahoma"/>
                <w:noProof/>
                <w:color w:val="000000"/>
                <w:highlight w:val="black"/>
              </w:rPr>
              <w:t>''''''''''' '''''''''''''</w:t>
            </w:r>
          </w:p>
        </w:tc>
        <w:tc>
          <w:tcPr>
            <w:tcW w:w="2339" w:type="dxa"/>
            <w:shd w:val="clear" w:color="auto" w:fill="auto"/>
          </w:tcPr>
          <w:p w:rsidR="0075777C" w:rsidRPr="00A17B9D" w:rsidRDefault="00A17B9D" w:rsidP="00C41039">
            <w:pPr>
              <w:pStyle w:val="Tabletext"/>
              <w:jc w:val="center"/>
              <w:rPr>
                <w:rFonts w:cs="Tahoma"/>
                <w:highlight w:val="black"/>
              </w:rPr>
            </w:pPr>
            <w:r>
              <w:rPr>
                <w:rFonts w:eastAsia="Times New Roman" w:cs="Tahoma"/>
                <w:noProof/>
                <w:color w:val="000000"/>
                <w:highlight w:val="black"/>
              </w:rPr>
              <w:t>'''''''' '''''''''''''</w:t>
            </w:r>
          </w:p>
        </w:tc>
        <w:tc>
          <w:tcPr>
            <w:tcW w:w="1984" w:type="dxa"/>
            <w:shd w:val="clear" w:color="auto" w:fill="auto"/>
          </w:tcPr>
          <w:p w:rsidR="0075777C" w:rsidRPr="00A17B9D" w:rsidRDefault="00A17B9D" w:rsidP="00C41039">
            <w:pPr>
              <w:pStyle w:val="Tabletext"/>
              <w:rPr>
                <w:rFonts w:cs="Tahoma"/>
                <w:highlight w:val="black"/>
              </w:rPr>
            </w:pPr>
            <w:r>
              <w:rPr>
                <w:rFonts w:cs="Tahoma"/>
                <w:noProof/>
                <w:color w:val="000000"/>
                <w:highlight w:val="black"/>
              </w:rPr>
              <w:t>''' ''''''''''' ''''''''''''''''''''''''</w:t>
            </w:r>
          </w:p>
        </w:tc>
      </w:tr>
    </w:tbl>
    <w:p w:rsidR="0075777C" w:rsidRPr="00822C52" w:rsidRDefault="0075777C" w:rsidP="00C41039">
      <w:pPr>
        <w:pStyle w:val="Tablenote"/>
      </w:pPr>
      <w:r w:rsidRPr="00822C52">
        <w:t xml:space="preserve">CI = confidence interval; </w:t>
      </w:r>
      <w:r w:rsidR="008E565E">
        <w:t xml:space="preserve">CSR = clinical study report; </w:t>
      </w:r>
      <w:r w:rsidRPr="00822C52">
        <w:t xml:space="preserve">n = number of </w:t>
      </w:r>
      <w:r w:rsidR="008E565E">
        <w:t xml:space="preserve">patients with </w:t>
      </w:r>
      <w:r w:rsidRPr="00822C52">
        <w:t>events; N = number of patients; PAH = pulmonary arterial hypertension; RR = relative risk</w:t>
      </w:r>
      <w:r w:rsidR="009B47AA">
        <w:t xml:space="preserve">; </w:t>
      </w:r>
      <w:r w:rsidR="009B47AA" w:rsidRPr="009B47AA">
        <w:t>sGC = solub</w:t>
      </w:r>
      <w:r w:rsidR="00074B5F">
        <w:t xml:space="preserve">le guanylate cyclase </w:t>
      </w:r>
    </w:p>
    <w:p w:rsidR="0075777C" w:rsidRPr="00822C52" w:rsidRDefault="002E4833" w:rsidP="0075777C">
      <w:pPr>
        <w:pStyle w:val="Heading5"/>
      </w:pPr>
      <w:r>
        <w:t>b.</w:t>
      </w:r>
      <w:r w:rsidR="00761752">
        <w:tab/>
      </w:r>
      <w:r w:rsidR="00C828F9">
        <w:t>All-cause m</w:t>
      </w:r>
      <w:r w:rsidR="00C828F9" w:rsidRPr="006316DF">
        <w:t>ortality</w:t>
      </w:r>
    </w:p>
    <w:p w:rsidR="0075777C" w:rsidRPr="00822C52" w:rsidRDefault="002E4833" w:rsidP="00A839C6">
      <w:pPr>
        <w:pStyle w:val="Heading6"/>
      </w:pPr>
      <w:r>
        <w:t>b</w:t>
      </w:r>
      <w:r w:rsidR="0075777C" w:rsidRPr="00822C52">
        <w:t>.i</w:t>
      </w:r>
      <w:r w:rsidR="0075777C" w:rsidRPr="00822C52">
        <w:tab/>
        <w:t>PAH patients, irrespective of disease severity or aetiology</w:t>
      </w:r>
    </w:p>
    <w:p w:rsidR="0075777C" w:rsidRPr="00822C52" w:rsidRDefault="00A17B9D" w:rsidP="00A839C6">
      <w:r>
        <w:rPr>
          <w:noProof/>
          <w:color w:val="000000"/>
          <w:highlight w:val="black"/>
        </w:rPr>
        <w:t>'''''''' ''''''' '''''''''''''</w:t>
      </w:r>
      <w:r w:rsidR="0075777C">
        <w:t xml:space="preserve"> receiving </w:t>
      </w:r>
      <w:r w:rsidR="00761752">
        <w:t>prostanoid</w:t>
      </w:r>
      <w:r w:rsidR="0075777C">
        <w:t xml:space="preserve"> monotherapy died during the study period, </w:t>
      </w:r>
      <w:r>
        <w:rPr>
          <w:noProof/>
          <w:color w:val="000000"/>
          <w:highlight w:val="black"/>
        </w:rPr>
        <w:t>'''' ''''''' '''''' ''''''''' ''''''' '''''' '''''''''''''''''''''</w:t>
      </w:r>
      <w:r w:rsidR="0075777C">
        <w:t xml:space="preserve"> (</w:t>
      </w:r>
      <w:r w:rsidR="00AA722D">
        <w:t>Table 4.105</w:t>
      </w:r>
      <w:r w:rsidR="0075777C">
        <w:t xml:space="preserve">; </w:t>
      </w:r>
      <w:r w:rsidR="00B21201">
        <w:t>ARD</w:t>
      </w:r>
      <w:r w:rsidR="00DB6ACB">
        <w:t> </w:t>
      </w:r>
      <w:r w:rsidR="0075777C" w:rsidRPr="00707847">
        <w:t>=</w:t>
      </w:r>
      <w:r w:rsidR="00DB6ACB">
        <w:t> </w:t>
      </w:r>
      <w:r>
        <w:rPr>
          <w:noProof/>
          <w:color w:val="000000"/>
          <w:highlight w:val="black"/>
        </w:rPr>
        <w:t>'''''''''''''''' '''''''' '''' '''''''''''' ''''''''' ''''''''''''''''''</w:t>
      </w:r>
      <w:r w:rsidR="0075777C" w:rsidRPr="00971AFC">
        <w:t>).</w:t>
      </w:r>
      <w:r w:rsidR="0075777C">
        <w:t xml:space="preserve"> As for clinical worsening, </w:t>
      </w:r>
      <w:r>
        <w:rPr>
          <w:noProof/>
          <w:color w:val="000000"/>
          <w:highlight w:val="black"/>
        </w:rPr>
        <w:t>''''''''''''</w:t>
      </w:r>
      <w:r w:rsidR="00A839C6">
        <w:t xml:space="preserve"> </w:t>
      </w:r>
      <w:r w:rsidR="0075777C">
        <w:t xml:space="preserve">patients need to be treated with </w:t>
      </w:r>
      <w:r w:rsidR="0075777C" w:rsidRPr="000B4355">
        <w:t xml:space="preserve">sGC stimulator </w:t>
      </w:r>
      <w:r w:rsidR="0075777C" w:rsidRPr="00CC0E70">
        <w:t>plus prostanoid</w:t>
      </w:r>
      <w:r w:rsidR="0075777C">
        <w:t xml:space="preserve"> combination </w:t>
      </w:r>
      <w:r w:rsidR="0075777C">
        <w:lastRenderedPageBreak/>
        <w:t xml:space="preserve">therapy to prevent one additional patient experiencing clinical worsening compared with </w:t>
      </w:r>
      <w:r w:rsidR="0075777C" w:rsidRPr="00CC0E70">
        <w:t>prostanoid</w:t>
      </w:r>
      <w:r w:rsidR="0075777C">
        <w:t xml:space="preserve"> monotherapy.</w:t>
      </w:r>
    </w:p>
    <w:p w:rsidR="0075777C" w:rsidRPr="00DD7790" w:rsidRDefault="00272F8F" w:rsidP="00BC5A2B">
      <w:pPr>
        <w:pStyle w:val="Caption"/>
      </w:pPr>
      <w:bookmarkStart w:id="299" w:name="_Ref505082674"/>
      <w:bookmarkStart w:id="300" w:name="_Toc512855509"/>
      <w:r>
        <w:t>Table 4.</w:t>
      </w:r>
      <w:r w:rsidR="00AA722D">
        <w:rPr>
          <w:noProof/>
        </w:rPr>
        <w:t>105</w:t>
      </w:r>
      <w:bookmarkEnd w:id="299"/>
      <w:r w:rsidR="00C41039">
        <w:tab/>
      </w:r>
      <w:r w:rsidR="0075777C" w:rsidRPr="00DD7790">
        <w:t xml:space="preserve">Mortality rates for </w:t>
      </w:r>
      <w:r w:rsidR="00AA08D3">
        <w:t xml:space="preserve">a </w:t>
      </w:r>
      <w:r w:rsidR="00AA08D3" w:rsidRPr="00AA08D3">
        <w:t xml:space="preserve">sGC stimulator </w:t>
      </w:r>
      <w:r w:rsidR="007E59EC">
        <w:rPr>
          <w:noProof/>
        </w:rPr>
        <w:t xml:space="preserve">in addition to a </w:t>
      </w:r>
      <w:r w:rsidR="007E59EC" w:rsidRPr="009B4D64">
        <w:rPr>
          <w:noProof/>
        </w:rPr>
        <w:t xml:space="preserve">prostanoid compared with prostanoid </w:t>
      </w:r>
      <w:r w:rsidR="007E59EC">
        <w:rPr>
          <w:noProof/>
        </w:rPr>
        <w:t>monotherapy</w:t>
      </w:r>
      <w:r w:rsidR="0075777C" w:rsidRPr="009B4D64">
        <w:t xml:space="preserve"> </w:t>
      </w:r>
      <w:r w:rsidR="0075777C" w:rsidRPr="00DD7790">
        <w:t>in all PAH patients</w:t>
      </w:r>
      <w:bookmarkEnd w:id="300"/>
    </w:p>
    <w:tbl>
      <w:tblPr>
        <w:tblStyle w:val="TableGrid7"/>
        <w:tblW w:w="9634" w:type="dxa"/>
        <w:tblLayout w:type="fixed"/>
        <w:tblLook w:val="04A0" w:firstRow="1" w:lastRow="0" w:firstColumn="1" w:lastColumn="0" w:noHBand="0" w:noVBand="1"/>
        <w:tblCaption w:val="Mortality rates for a sGC stimulator in addition to a prostanoid compared with prostanoid monotherapy in all PAH patients"/>
      </w:tblPr>
      <w:tblGrid>
        <w:gridCol w:w="1555"/>
        <w:gridCol w:w="1417"/>
        <w:gridCol w:w="2339"/>
        <w:gridCol w:w="2339"/>
        <w:gridCol w:w="1984"/>
      </w:tblGrid>
      <w:tr w:rsidR="0075777C" w:rsidRPr="00822C52" w:rsidTr="00AA08D3">
        <w:trPr>
          <w:trHeight w:val="266"/>
          <w:tblHeader/>
        </w:trPr>
        <w:tc>
          <w:tcPr>
            <w:tcW w:w="1555" w:type="dxa"/>
            <w:vMerge w:val="restart"/>
            <w:shd w:val="clear" w:color="auto" w:fill="BFBFBF" w:themeFill="background1" w:themeFillShade="BF"/>
          </w:tcPr>
          <w:p w:rsidR="0075777C" w:rsidRPr="00C41039" w:rsidRDefault="0075777C" w:rsidP="00C41039">
            <w:pPr>
              <w:pStyle w:val="Tabletext"/>
              <w:rPr>
                <w:b/>
              </w:rPr>
            </w:pPr>
            <w:r w:rsidRPr="00C41039">
              <w:rPr>
                <w:b/>
              </w:rPr>
              <w:t>Study ID</w:t>
            </w:r>
          </w:p>
          <w:p w:rsidR="0075777C" w:rsidRPr="00C41039" w:rsidRDefault="00AA08D3" w:rsidP="00C41039">
            <w:pPr>
              <w:pStyle w:val="Tabletext"/>
              <w:rPr>
                <w:b/>
              </w:rPr>
            </w:pPr>
            <w:r w:rsidRPr="00AA08D3">
              <w:rPr>
                <w:b/>
              </w:rPr>
              <w:t>sGC stimulator</w:t>
            </w:r>
          </w:p>
        </w:tc>
        <w:tc>
          <w:tcPr>
            <w:tcW w:w="1417" w:type="dxa"/>
            <w:vMerge w:val="restart"/>
            <w:shd w:val="clear" w:color="auto" w:fill="BFBFBF" w:themeFill="background1" w:themeFillShade="BF"/>
          </w:tcPr>
          <w:p w:rsidR="0075777C" w:rsidRPr="00C41039" w:rsidRDefault="0075777C" w:rsidP="00C41039">
            <w:pPr>
              <w:pStyle w:val="Tabletext"/>
              <w:rPr>
                <w:b/>
              </w:rPr>
            </w:pPr>
            <w:r w:rsidRPr="00C41039">
              <w:rPr>
                <w:b/>
              </w:rPr>
              <w:t>Study period</w:t>
            </w:r>
          </w:p>
        </w:tc>
        <w:tc>
          <w:tcPr>
            <w:tcW w:w="4678" w:type="dxa"/>
            <w:gridSpan w:val="2"/>
            <w:shd w:val="clear" w:color="auto" w:fill="BFBFBF" w:themeFill="background1" w:themeFillShade="BF"/>
          </w:tcPr>
          <w:p w:rsidR="0075777C" w:rsidRPr="00C41039" w:rsidRDefault="0075777C" w:rsidP="00C41039">
            <w:pPr>
              <w:pStyle w:val="Tabletext"/>
              <w:jc w:val="center"/>
              <w:rPr>
                <w:b/>
              </w:rPr>
            </w:pPr>
            <w:r w:rsidRPr="00C41039">
              <w:rPr>
                <w:b/>
              </w:rPr>
              <w:t>n/N (%)</w:t>
            </w:r>
          </w:p>
        </w:tc>
        <w:tc>
          <w:tcPr>
            <w:tcW w:w="1984" w:type="dxa"/>
            <w:vMerge w:val="restart"/>
            <w:shd w:val="clear" w:color="auto" w:fill="BFBFBF" w:themeFill="background1" w:themeFillShade="BF"/>
          </w:tcPr>
          <w:p w:rsidR="0075777C" w:rsidRPr="00C41039" w:rsidRDefault="0075777C" w:rsidP="00C41039">
            <w:pPr>
              <w:pStyle w:val="Tabletext"/>
              <w:rPr>
                <w:b/>
              </w:rPr>
            </w:pPr>
            <w:r w:rsidRPr="00C41039">
              <w:rPr>
                <w:b/>
              </w:rPr>
              <w:t>RR (95% CI)</w:t>
            </w:r>
          </w:p>
        </w:tc>
      </w:tr>
      <w:tr w:rsidR="0075777C" w:rsidRPr="00822C52" w:rsidTr="00AA08D3">
        <w:trPr>
          <w:trHeight w:val="202"/>
          <w:tblHeader/>
        </w:trPr>
        <w:tc>
          <w:tcPr>
            <w:tcW w:w="1555" w:type="dxa"/>
            <w:vMerge/>
            <w:shd w:val="clear" w:color="auto" w:fill="BFBFBF" w:themeFill="background1" w:themeFillShade="BF"/>
          </w:tcPr>
          <w:p w:rsidR="0075777C" w:rsidRPr="00822C52" w:rsidRDefault="0075777C" w:rsidP="00C41039">
            <w:pPr>
              <w:pStyle w:val="Tabletext"/>
            </w:pPr>
          </w:p>
        </w:tc>
        <w:tc>
          <w:tcPr>
            <w:tcW w:w="1417" w:type="dxa"/>
            <w:vMerge/>
            <w:shd w:val="clear" w:color="auto" w:fill="BFBFBF" w:themeFill="background1" w:themeFillShade="BF"/>
          </w:tcPr>
          <w:p w:rsidR="0075777C" w:rsidRPr="00822C52" w:rsidRDefault="0075777C" w:rsidP="00C41039">
            <w:pPr>
              <w:pStyle w:val="Tabletext"/>
            </w:pPr>
          </w:p>
        </w:tc>
        <w:tc>
          <w:tcPr>
            <w:tcW w:w="2339" w:type="dxa"/>
            <w:shd w:val="clear" w:color="auto" w:fill="BFBFBF" w:themeFill="background1" w:themeFillShade="BF"/>
          </w:tcPr>
          <w:p w:rsidR="0075777C" w:rsidRPr="00C41039" w:rsidRDefault="00AA08D3" w:rsidP="00C41039">
            <w:pPr>
              <w:pStyle w:val="Tabletext"/>
              <w:jc w:val="center"/>
              <w:rPr>
                <w:b/>
              </w:rPr>
            </w:pPr>
            <w:r w:rsidRPr="00AA08D3">
              <w:rPr>
                <w:b/>
              </w:rPr>
              <w:t xml:space="preserve">sGC stimulator </w:t>
            </w:r>
            <w:r w:rsidR="0075777C" w:rsidRPr="00C41039">
              <w:rPr>
                <w:b/>
              </w:rPr>
              <w:t>+ prostanoid</w:t>
            </w:r>
          </w:p>
        </w:tc>
        <w:tc>
          <w:tcPr>
            <w:tcW w:w="2339" w:type="dxa"/>
            <w:shd w:val="clear" w:color="auto" w:fill="BFBFBF" w:themeFill="background1" w:themeFillShade="BF"/>
          </w:tcPr>
          <w:p w:rsidR="0075777C" w:rsidRPr="00C41039" w:rsidRDefault="0075777C" w:rsidP="00534ADA">
            <w:pPr>
              <w:pStyle w:val="Tabletext"/>
              <w:jc w:val="center"/>
              <w:rPr>
                <w:b/>
              </w:rPr>
            </w:pPr>
            <w:r w:rsidRPr="00C41039">
              <w:rPr>
                <w:b/>
              </w:rPr>
              <w:t>Prostanoid</w:t>
            </w:r>
          </w:p>
        </w:tc>
        <w:tc>
          <w:tcPr>
            <w:tcW w:w="1984" w:type="dxa"/>
            <w:vMerge/>
            <w:shd w:val="clear" w:color="auto" w:fill="BFBFBF" w:themeFill="background1" w:themeFillShade="BF"/>
          </w:tcPr>
          <w:p w:rsidR="0075777C" w:rsidRPr="00822C52" w:rsidRDefault="0075777C" w:rsidP="00C41039">
            <w:pPr>
              <w:pStyle w:val="Tabletext"/>
            </w:pPr>
          </w:p>
        </w:tc>
      </w:tr>
      <w:tr w:rsidR="0075777C" w:rsidRPr="00822C52" w:rsidTr="00AA08D3">
        <w:trPr>
          <w:trHeight w:val="70"/>
        </w:trPr>
        <w:tc>
          <w:tcPr>
            <w:tcW w:w="1555" w:type="dxa"/>
            <w:shd w:val="clear" w:color="auto" w:fill="auto"/>
          </w:tcPr>
          <w:p w:rsidR="0075777C" w:rsidRDefault="0075777C" w:rsidP="00C41039">
            <w:pPr>
              <w:pStyle w:val="Tabletext"/>
              <w:rPr>
                <w:rFonts w:cs="Tahoma"/>
              </w:rPr>
            </w:pPr>
            <w:r w:rsidRPr="00822C52">
              <w:rPr>
                <w:rFonts w:cs="Tahoma"/>
              </w:rPr>
              <w:t>PATENT-1 CSR</w:t>
            </w:r>
          </w:p>
          <w:p w:rsidR="00AA08D3" w:rsidRPr="00AA08D3" w:rsidRDefault="00AA08D3" w:rsidP="00C41039">
            <w:pPr>
              <w:pStyle w:val="Tabletext"/>
              <w:rPr>
                <w:rFonts w:cs="Tahoma"/>
              </w:rPr>
            </w:pPr>
            <w:r w:rsidRPr="00AA08D3">
              <w:t>Riociguat</w:t>
            </w:r>
          </w:p>
        </w:tc>
        <w:tc>
          <w:tcPr>
            <w:tcW w:w="1417" w:type="dxa"/>
            <w:shd w:val="clear" w:color="auto" w:fill="auto"/>
          </w:tcPr>
          <w:p w:rsidR="0075777C" w:rsidRPr="00822C52" w:rsidRDefault="0075777C" w:rsidP="00C41039">
            <w:pPr>
              <w:pStyle w:val="Tabletext"/>
              <w:rPr>
                <w:rFonts w:cs="Tahoma"/>
              </w:rPr>
            </w:pPr>
            <w:r w:rsidRPr="00822C52">
              <w:rPr>
                <w:rFonts w:cs="Tahoma"/>
              </w:rPr>
              <w:t>12 weeks</w:t>
            </w:r>
          </w:p>
        </w:tc>
        <w:tc>
          <w:tcPr>
            <w:tcW w:w="2339" w:type="dxa"/>
            <w:shd w:val="clear" w:color="auto" w:fill="auto"/>
          </w:tcPr>
          <w:p w:rsidR="0075777C" w:rsidRPr="00A17B9D" w:rsidRDefault="00A17B9D" w:rsidP="00C41039">
            <w:pPr>
              <w:pStyle w:val="Tabletext"/>
              <w:jc w:val="center"/>
              <w:rPr>
                <w:rFonts w:cs="Tahoma"/>
                <w:highlight w:val="black"/>
              </w:rPr>
            </w:pPr>
            <w:r>
              <w:rPr>
                <w:rFonts w:eastAsia="Times New Roman" w:cs="Tahoma"/>
                <w:noProof/>
                <w:color w:val="000000"/>
                <w:highlight w:val="black"/>
              </w:rPr>
              <w:t>''''''''''' '''''''''''''</w:t>
            </w:r>
          </w:p>
        </w:tc>
        <w:tc>
          <w:tcPr>
            <w:tcW w:w="2339" w:type="dxa"/>
            <w:shd w:val="clear" w:color="auto" w:fill="auto"/>
          </w:tcPr>
          <w:p w:rsidR="0075777C" w:rsidRPr="00A17B9D" w:rsidRDefault="00A17B9D" w:rsidP="00C41039">
            <w:pPr>
              <w:pStyle w:val="Tabletext"/>
              <w:jc w:val="center"/>
              <w:rPr>
                <w:rFonts w:cs="Tahoma"/>
                <w:highlight w:val="black"/>
              </w:rPr>
            </w:pPr>
            <w:r>
              <w:rPr>
                <w:rFonts w:eastAsia="Times New Roman" w:cs="Tahoma"/>
                <w:noProof/>
                <w:color w:val="000000"/>
                <w:highlight w:val="black"/>
              </w:rPr>
              <w:t>'''''''' '''''''''''''</w:t>
            </w:r>
          </w:p>
        </w:tc>
        <w:tc>
          <w:tcPr>
            <w:tcW w:w="1984" w:type="dxa"/>
            <w:shd w:val="clear" w:color="auto" w:fill="auto"/>
          </w:tcPr>
          <w:p w:rsidR="0075777C" w:rsidRPr="00A17B9D" w:rsidRDefault="00A17B9D" w:rsidP="00C41039">
            <w:pPr>
              <w:pStyle w:val="Tabletext"/>
              <w:rPr>
                <w:rFonts w:cs="Tahoma"/>
                <w:highlight w:val="black"/>
              </w:rPr>
            </w:pPr>
            <w:r>
              <w:rPr>
                <w:rFonts w:cs="Tahoma"/>
                <w:noProof/>
                <w:color w:val="000000"/>
                <w:highlight w:val="black"/>
              </w:rPr>
              <w:t>''' ''''''''' '''''''''''''''''''''''''''</w:t>
            </w:r>
          </w:p>
        </w:tc>
      </w:tr>
    </w:tbl>
    <w:p w:rsidR="0075777C" w:rsidRPr="00822C52" w:rsidRDefault="0075777C" w:rsidP="00C41039">
      <w:pPr>
        <w:pStyle w:val="Tablenote"/>
      </w:pPr>
      <w:r w:rsidRPr="00822C52">
        <w:t xml:space="preserve">CI = confidence interval; </w:t>
      </w:r>
      <w:r w:rsidR="008E565E">
        <w:t xml:space="preserve">CSR = clinical study report; </w:t>
      </w:r>
      <w:r w:rsidRPr="00822C52">
        <w:t xml:space="preserve">n = number of </w:t>
      </w:r>
      <w:r w:rsidR="008E565E">
        <w:t xml:space="preserve">patients with </w:t>
      </w:r>
      <w:r w:rsidRPr="00822C52">
        <w:t>events; N = number of patients; PAH = pulmonary arterial hypertension; RR = relative risk</w:t>
      </w:r>
      <w:r w:rsidR="009B47AA">
        <w:t xml:space="preserve">; </w:t>
      </w:r>
      <w:r w:rsidR="009B47AA" w:rsidRPr="009B47AA">
        <w:t xml:space="preserve">sGC = soluble guanylate cyclase </w:t>
      </w:r>
    </w:p>
    <w:p w:rsidR="0075777C" w:rsidRPr="00822C52" w:rsidRDefault="002E4833" w:rsidP="0075777C">
      <w:pPr>
        <w:pStyle w:val="Heading5"/>
      </w:pPr>
      <w:r>
        <w:t>c.</w:t>
      </w:r>
      <w:r w:rsidR="00761752">
        <w:tab/>
      </w:r>
      <w:r w:rsidR="00C828F9" w:rsidRPr="006316DF">
        <w:t>Hospitalisation</w:t>
      </w:r>
      <w:r w:rsidR="00C828F9" w:rsidRPr="0046652B">
        <w:t xml:space="preserve"> due to worsening PAH</w:t>
      </w:r>
    </w:p>
    <w:p w:rsidR="0075777C" w:rsidRPr="00822C52" w:rsidRDefault="002E4833" w:rsidP="00A839C6">
      <w:pPr>
        <w:pStyle w:val="Heading6"/>
      </w:pPr>
      <w:r>
        <w:t>c</w:t>
      </w:r>
      <w:r w:rsidR="0075777C" w:rsidRPr="00822C52">
        <w:t>.i</w:t>
      </w:r>
      <w:r w:rsidR="0075777C" w:rsidRPr="00822C52">
        <w:tab/>
        <w:t>PAH patients, irrespective of disease severity or aetiology</w:t>
      </w:r>
    </w:p>
    <w:p w:rsidR="0075777C" w:rsidRDefault="00A17B9D" w:rsidP="00A839C6">
      <w:r>
        <w:rPr>
          <w:noProof/>
          <w:color w:val="000000"/>
          <w:highlight w:val="black"/>
        </w:rPr>
        <w:t>''''' '''''''''''''''</w:t>
      </w:r>
      <w:r w:rsidR="0075777C">
        <w:t xml:space="preserve"> were hospitalised </w:t>
      </w:r>
      <w:r w:rsidR="00881371">
        <w:t xml:space="preserve">for worsening PAH </w:t>
      </w:r>
      <w:r w:rsidR="0075777C">
        <w:t>during the 12-week study period (</w:t>
      </w:r>
      <w:r w:rsidR="00AA722D">
        <w:t>Table 4.106</w:t>
      </w:r>
      <w:r w:rsidR="0075777C">
        <w:t xml:space="preserve">). Thus, the effect of a sGC stimulator in addition to a </w:t>
      </w:r>
      <w:r w:rsidR="00C41039">
        <w:t>prostanoid</w:t>
      </w:r>
      <w:r w:rsidR="0075777C" w:rsidRPr="00816A99">
        <w:t xml:space="preserve"> </w:t>
      </w:r>
      <w:r w:rsidR="0075777C">
        <w:t xml:space="preserve">compared with </w:t>
      </w:r>
      <w:r w:rsidR="00C41039">
        <w:t>prostanoid</w:t>
      </w:r>
      <w:r w:rsidR="0075777C" w:rsidRPr="00816A99">
        <w:t xml:space="preserve"> </w:t>
      </w:r>
      <w:r w:rsidR="0075777C">
        <w:t xml:space="preserve">monotherapy on mortality rates </w:t>
      </w:r>
      <w:r>
        <w:rPr>
          <w:noProof/>
          <w:color w:val="000000"/>
          <w:highlight w:val="black"/>
        </w:rPr>
        <w:t>''''''''''' ''''''' ''''' ''''''''''''''''''''''</w:t>
      </w:r>
      <w:r w:rsidR="0075777C">
        <w:t>.</w:t>
      </w:r>
    </w:p>
    <w:p w:rsidR="0075777C" w:rsidRPr="00DD7790" w:rsidRDefault="00272F8F" w:rsidP="00BC5A2B">
      <w:pPr>
        <w:pStyle w:val="Caption"/>
      </w:pPr>
      <w:bookmarkStart w:id="301" w:name="_Ref505082821"/>
      <w:bookmarkStart w:id="302" w:name="_Toc512855510"/>
      <w:r>
        <w:t>Table 4.</w:t>
      </w:r>
      <w:r w:rsidR="00AA722D">
        <w:rPr>
          <w:noProof/>
        </w:rPr>
        <w:t>106</w:t>
      </w:r>
      <w:bookmarkEnd w:id="301"/>
      <w:r w:rsidR="00C41039">
        <w:tab/>
      </w:r>
      <w:r w:rsidR="0075777C" w:rsidRPr="00DD7790">
        <w:rPr>
          <w:noProof/>
        </w:rPr>
        <w:t xml:space="preserve">Hospitalisation </w:t>
      </w:r>
      <w:r w:rsidR="00881371">
        <w:rPr>
          <w:noProof/>
        </w:rPr>
        <w:t>due to PAH</w:t>
      </w:r>
      <w:r w:rsidR="00881371" w:rsidRPr="00DD7790">
        <w:rPr>
          <w:noProof/>
        </w:rPr>
        <w:t xml:space="preserve"> </w:t>
      </w:r>
      <w:r w:rsidR="0075777C" w:rsidRPr="00DD7790">
        <w:rPr>
          <w:noProof/>
        </w:rPr>
        <w:t xml:space="preserve">for </w:t>
      </w:r>
      <w:r w:rsidR="00AA08D3">
        <w:rPr>
          <w:noProof/>
        </w:rPr>
        <w:t xml:space="preserve">a </w:t>
      </w:r>
      <w:r w:rsidR="00AA08D3" w:rsidRPr="00AA08D3">
        <w:rPr>
          <w:noProof/>
        </w:rPr>
        <w:t xml:space="preserve">sGC stimulator </w:t>
      </w:r>
      <w:r w:rsidR="007E59EC">
        <w:rPr>
          <w:noProof/>
        </w:rPr>
        <w:t xml:space="preserve">in addition to a </w:t>
      </w:r>
      <w:r w:rsidR="007E59EC" w:rsidRPr="009B4D64">
        <w:rPr>
          <w:noProof/>
        </w:rPr>
        <w:t xml:space="preserve">prostanoid compared with prostanoid </w:t>
      </w:r>
      <w:r w:rsidR="007E59EC">
        <w:rPr>
          <w:noProof/>
        </w:rPr>
        <w:t xml:space="preserve">monotherapy </w:t>
      </w:r>
      <w:r w:rsidR="0075777C" w:rsidRPr="00DD7790">
        <w:t>in all PAH patients</w:t>
      </w:r>
      <w:bookmarkEnd w:id="302"/>
    </w:p>
    <w:tbl>
      <w:tblPr>
        <w:tblStyle w:val="TableGrid7"/>
        <w:tblW w:w="9634" w:type="dxa"/>
        <w:tblLayout w:type="fixed"/>
        <w:tblLook w:val="04A0" w:firstRow="1" w:lastRow="0" w:firstColumn="1" w:lastColumn="0" w:noHBand="0" w:noVBand="1"/>
        <w:tblCaption w:val="Hospitalisation due to PAH for a sGC stimulator in addition to a prostanoid compared with prostanoid monotherapy in all PAH patients"/>
      </w:tblPr>
      <w:tblGrid>
        <w:gridCol w:w="1555"/>
        <w:gridCol w:w="1275"/>
        <w:gridCol w:w="2410"/>
        <w:gridCol w:w="2410"/>
        <w:gridCol w:w="1984"/>
      </w:tblGrid>
      <w:tr w:rsidR="0075777C" w:rsidRPr="00822C52" w:rsidTr="00AA08D3">
        <w:trPr>
          <w:trHeight w:val="212"/>
          <w:tblHeader/>
        </w:trPr>
        <w:tc>
          <w:tcPr>
            <w:tcW w:w="1555" w:type="dxa"/>
            <w:vMerge w:val="restart"/>
            <w:shd w:val="clear" w:color="auto" w:fill="BFBFBF" w:themeFill="background1" w:themeFillShade="BF"/>
          </w:tcPr>
          <w:p w:rsidR="0075777C" w:rsidRPr="00C41039" w:rsidRDefault="0075777C" w:rsidP="00C41039">
            <w:pPr>
              <w:pStyle w:val="Tabletext"/>
              <w:rPr>
                <w:b/>
              </w:rPr>
            </w:pPr>
            <w:r w:rsidRPr="00C41039">
              <w:rPr>
                <w:b/>
              </w:rPr>
              <w:t>Study ID</w:t>
            </w:r>
          </w:p>
          <w:p w:rsidR="0075777C" w:rsidRPr="00C41039" w:rsidRDefault="00AA08D3" w:rsidP="00C41039">
            <w:pPr>
              <w:pStyle w:val="Tabletext"/>
              <w:rPr>
                <w:b/>
              </w:rPr>
            </w:pPr>
            <w:r w:rsidRPr="00AA08D3">
              <w:rPr>
                <w:b/>
              </w:rPr>
              <w:t>sGC stimulator</w:t>
            </w:r>
          </w:p>
        </w:tc>
        <w:tc>
          <w:tcPr>
            <w:tcW w:w="1275" w:type="dxa"/>
            <w:vMerge w:val="restart"/>
            <w:shd w:val="clear" w:color="auto" w:fill="BFBFBF" w:themeFill="background1" w:themeFillShade="BF"/>
          </w:tcPr>
          <w:p w:rsidR="0075777C" w:rsidRPr="00C41039" w:rsidRDefault="0075777C" w:rsidP="00C41039">
            <w:pPr>
              <w:pStyle w:val="Tabletext"/>
              <w:rPr>
                <w:b/>
              </w:rPr>
            </w:pPr>
            <w:r w:rsidRPr="00C41039">
              <w:rPr>
                <w:b/>
              </w:rPr>
              <w:t>Study period</w:t>
            </w:r>
          </w:p>
        </w:tc>
        <w:tc>
          <w:tcPr>
            <w:tcW w:w="4820" w:type="dxa"/>
            <w:gridSpan w:val="2"/>
            <w:shd w:val="clear" w:color="auto" w:fill="BFBFBF" w:themeFill="background1" w:themeFillShade="BF"/>
          </w:tcPr>
          <w:p w:rsidR="0075777C" w:rsidRPr="00C41039" w:rsidRDefault="0075777C" w:rsidP="00C41039">
            <w:pPr>
              <w:pStyle w:val="Tabletext"/>
              <w:jc w:val="center"/>
              <w:rPr>
                <w:b/>
              </w:rPr>
            </w:pPr>
            <w:r w:rsidRPr="00C41039">
              <w:rPr>
                <w:b/>
              </w:rPr>
              <w:t>n/N (%)</w:t>
            </w:r>
          </w:p>
        </w:tc>
        <w:tc>
          <w:tcPr>
            <w:tcW w:w="1984" w:type="dxa"/>
            <w:vMerge w:val="restart"/>
            <w:shd w:val="clear" w:color="auto" w:fill="BFBFBF" w:themeFill="background1" w:themeFillShade="BF"/>
          </w:tcPr>
          <w:p w:rsidR="0075777C" w:rsidRPr="00C41039" w:rsidRDefault="0075777C" w:rsidP="00C41039">
            <w:pPr>
              <w:pStyle w:val="Tabletext"/>
              <w:rPr>
                <w:b/>
              </w:rPr>
            </w:pPr>
            <w:r w:rsidRPr="00C41039">
              <w:rPr>
                <w:b/>
              </w:rPr>
              <w:t>RR (95% CI)</w:t>
            </w:r>
          </w:p>
        </w:tc>
      </w:tr>
      <w:tr w:rsidR="0075777C" w:rsidRPr="00822C52" w:rsidTr="00AA08D3">
        <w:trPr>
          <w:trHeight w:val="202"/>
          <w:tblHeader/>
        </w:trPr>
        <w:tc>
          <w:tcPr>
            <w:tcW w:w="1555" w:type="dxa"/>
            <w:vMerge/>
            <w:shd w:val="clear" w:color="auto" w:fill="BFBFBF" w:themeFill="background1" w:themeFillShade="BF"/>
          </w:tcPr>
          <w:p w:rsidR="0075777C" w:rsidRPr="00822C52" w:rsidRDefault="0075777C" w:rsidP="00C41039">
            <w:pPr>
              <w:pStyle w:val="Tabletext"/>
            </w:pPr>
          </w:p>
        </w:tc>
        <w:tc>
          <w:tcPr>
            <w:tcW w:w="1275" w:type="dxa"/>
            <w:vMerge/>
            <w:shd w:val="clear" w:color="auto" w:fill="BFBFBF" w:themeFill="background1" w:themeFillShade="BF"/>
          </w:tcPr>
          <w:p w:rsidR="0075777C" w:rsidRPr="00822C52" w:rsidRDefault="0075777C" w:rsidP="00C41039">
            <w:pPr>
              <w:pStyle w:val="Tabletext"/>
            </w:pPr>
          </w:p>
        </w:tc>
        <w:tc>
          <w:tcPr>
            <w:tcW w:w="2410" w:type="dxa"/>
            <w:shd w:val="clear" w:color="auto" w:fill="BFBFBF" w:themeFill="background1" w:themeFillShade="BF"/>
          </w:tcPr>
          <w:p w:rsidR="0075777C" w:rsidRPr="00C41039" w:rsidRDefault="00AA08D3" w:rsidP="00C41039">
            <w:pPr>
              <w:pStyle w:val="Tabletext"/>
              <w:jc w:val="center"/>
              <w:rPr>
                <w:b/>
              </w:rPr>
            </w:pPr>
            <w:r w:rsidRPr="00AA08D3">
              <w:rPr>
                <w:b/>
              </w:rPr>
              <w:t xml:space="preserve">sGC stimulator </w:t>
            </w:r>
            <w:r w:rsidR="0075777C" w:rsidRPr="00C41039">
              <w:rPr>
                <w:b/>
              </w:rPr>
              <w:t>+ prostanoid</w:t>
            </w:r>
          </w:p>
        </w:tc>
        <w:tc>
          <w:tcPr>
            <w:tcW w:w="2410" w:type="dxa"/>
            <w:shd w:val="clear" w:color="auto" w:fill="BFBFBF" w:themeFill="background1" w:themeFillShade="BF"/>
          </w:tcPr>
          <w:p w:rsidR="0075777C" w:rsidRPr="00C41039" w:rsidRDefault="0075777C" w:rsidP="00534ADA">
            <w:pPr>
              <w:pStyle w:val="Tabletext"/>
              <w:jc w:val="center"/>
              <w:rPr>
                <w:b/>
              </w:rPr>
            </w:pPr>
            <w:r w:rsidRPr="00C41039">
              <w:rPr>
                <w:b/>
              </w:rPr>
              <w:t>Prostanoid</w:t>
            </w:r>
          </w:p>
        </w:tc>
        <w:tc>
          <w:tcPr>
            <w:tcW w:w="1984" w:type="dxa"/>
            <w:vMerge/>
            <w:shd w:val="clear" w:color="auto" w:fill="BFBFBF" w:themeFill="background1" w:themeFillShade="BF"/>
          </w:tcPr>
          <w:p w:rsidR="0075777C" w:rsidRPr="00822C52" w:rsidRDefault="0075777C" w:rsidP="00C41039">
            <w:pPr>
              <w:pStyle w:val="Tabletext"/>
            </w:pPr>
          </w:p>
        </w:tc>
      </w:tr>
      <w:tr w:rsidR="0075777C" w:rsidRPr="00822C52" w:rsidTr="00AA08D3">
        <w:trPr>
          <w:trHeight w:val="70"/>
        </w:trPr>
        <w:tc>
          <w:tcPr>
            <w:tcW w:w="1555" w:type="dxa"/>
          </w:tcPr>
          <w:p w:rsidR="0075777C" w:rsidRDefault="0075777C" w:rsidP="00C41039">
            <w:pPr>
              <w:pStyle w:val="Tabletext"/>
              <w:rPr>
                <w:rFonts w:cs="Tahoma"/>
              </w:rPr>
            </w:pPr>
            <w:r w:rsidRPr="00822C52">
              <w:rPr>
                <w:rFonts w:cs="Tahoma"/>
              </w:rPr>
              <w:t>PATENT-1 CSR</w:t>
            </w:r>
          </w:p>
          <w:p w:rsidR="00AA08D3" w:rsidRPr="00AA08D3" w:rsidRDefault="00AA08D3" w:rsidP="00C41039">
            <w:pPr>
              <w:pStyle w:val="Tabletext"/>
              <w:rPr>
                <w:rFonts w:cs="Tahoma"/>
              </w:rPr>
            </w:pPr>
            <w:r w:rsidRPr="00AA08D3">
              <w:t>Riociguat</w:t>
            </w:r>
          </w:p>
        </w:tc>
        <w:tc>
          <w:tcPr>
            <w:tcW w:w="1275" w:type="dxa"/>
          </w:tcPr>
          <w:p w:rsidR="0075777C" w:rsidRPr="00822C52" w:rsidRDefault="0075777C" w:rsidP="00C41039">
            <w:pPr>
              <w:pStyle w:val="Tabletext"/>
              <w:rPr>
                <w:rFonts w:cs="Tahoma"/>
              </w:rPr>
            </w:pPr>
            <w:r w:rsidRPr="00822C52">
              <w:rPr>
                <w:rFonts w:cs="Tahoma"/>
              </w:rPr>
              <w:t>12 weeks</w:t>
            </w:r>
          </w:p>
        </w:tc>
        <w:tc>
          <w:tcPr>
            <w:tcW w:w="2410" w:type="dxa"/>
            <w:shd w:val="clear" w:color="auto" w:fill="auto"/>
          </w:tcPr>
          <w:p w:rsidR="0075777C" w:rsidRPr="00A17B9D" w:rsidRDefault="00A17B9D" w:rsidP="00C41039">
            <w:pPr>
              <w:pStyle w:val="Tabletext"/>
              <w:jc w:val="center"/>
              <w:rPr>
                <w:rFonts w:cs="Tahoma"/>
                <w:highlight w:val="black"/>
              </w:rPr>
            </w:pPr>
            <w:r>
              <w:rPr>
                <w:rFonts w:eastAsia="Times New Roman" w:cs="Tahoma"/>
                <w:noProof/>
                <w:color w:val="000000"/>
                <w:highlight w:val="black"/>
              </w:rPr>
              <w:t>''''''''''' ''''''''''''</w:t>
            </w:r>
          </w:p>
        </w:tc>
        <w:tc>
          <w:tcPr>
            <w:tcW w:w="2410" w:type="dxa"/>
            <w:shd w:val="clear" w:color="auto" w:fill="auto"/>
          </w:tcPr>
          <w:p w:rsidR="0075777C" w:rsidRPr="00A17B9D" w:rsidRDefault="00A17B9D" w:rsidP="00C41039">
            <w:pPr>
              <w:pStyle w:val="Tabletext"/>
              <w:jc w:val="center"/>
              <w:rPr>
                <w:rFonts w:cs="Tahoma"/>
                <w:highlight w:val="black"/>
              </w:rPr>
            </w:pPr>
            <w:r>
              <w:rPr>
                <w:rFonts w:eastAsia="Times New Roman" w:cs="Tahoma"/>
                <w:noProof/>
                <w:color w:val="000000"/>
                <w:highlight w:val="black"/>
              </w:rPr>
              <w:t>''''''' ''''''''''''</w:t>
            </w:r>
          </w:p>
        </w:tc>
        <w:tc>
          <w:tcPr>
            <w:tcW w:w="1984" w:type="dxa"/>
            <w:shd w:val="clear" w:color="auto" w:fill="auto"/>
          </w:tcPr>
          <w:p w:rsidR="0075777C" w:rsidRPr="00A17B9D" w:rsidRDefault="00A17B9D" w:rsidP="00C41039">
            <w:pPr>
              <w:pStyle w:val="Tabletext"/>
              <w:rPr>
                <w:rFonts w:cs="Tahoma"/>
                <w:highlight w:val="black"/>
              </w:rPr>
            </w:pPr>
            <w:r>
              <w:rPr>
                <w:rFonts w:cs="Tahoma"/>
                <w:noProof/>
                <w:color w:val="000000"/>
                <w:highlight w:val="black"/>
              </w:rPr>
              <w:t>'''''''' '''''''''''''''''''''''''</w:t>
            </w:r>
          </w:p>
        </w:tc>
      </w:tr>
    </w:tbl>
    <w:p w:rsidR="0075777C" w:rsidRPr="005E6791" w:rsidRDefault="0075777C" w:rsidP="00C41039">
      <w:pPr>
        <w:pStyle w:val="Tablenote"/>
      </w:pPr>
      <w:r w:rsidRPr="005E6791">
        <w:t xml:space="preserve">CI = confidence interval; </w:t>
      </w:r>
      <w:r w:rsidR="008E565E">
        <w:t xml:space="preserve">CSR = clinical study report; </w:t>
      </w:r>
      <w:r w:rsidRPr="005E6791">
        <w:t xml:space="preserve">n = number of </w:t>
      </w:r>
      <w:r w:rsidR="008E565E">
        <w:t xml:space="preserve">patients with </w:t>
      </w:r>
      <w:r w:rsidRPr="005E6791">
        <w:t>events; N = number of patients; PAH = pulmonary arterial hypertension; RR = relative risk</w:t>
      </w:r>
      <w:r w:rsidR="009B47AA">
        <w:t xml:space="preserve">; </w:t>
      </w:r>
      <w:r w:rsidR="009B47AA" w:rsidRPr="009B47AA">
        <w:t>sGC = solub</w:t>
      </w:r>
      <w:r w:rsidR="00074B5F">
        <w:t xml:space="preserve">le guanylate cyclase </w:t>
      </w:r>
    </w:p>
    <w:p w:rsidR="0075777C" w:rsidRPr="00822C52" w:rsidRDefault="002E4833" w:rsidP="00761752">
      <w:pPr>
        <w:pStyle w:val="Heading5"/>
      </w:pPr>
      <w:r>
        <w:t>d.</w:t>
      </w:r>
      <w:r w:rsidR="00761752">
        <w:tab/>
      </w:r>
      <w:r w:rsidR="0075777C" w:rsidRPr="00822C52">
        <w:t xml:space="preserve">Change in WHO </w:t>
      </w:r>
      <w:r w:rsidR="0075777C">
        <w:t>FC</w:t>
      </w:r>
      <w:r w:rsidR="00761752" w:rsidRPr="00761752">
        <w:t xml:space="preserve"> from baseline</w:t>
      </w:r>
    </w:p>
    <w:p w:rsidR="0075777C" w:rsidRPr="00822C52" w:rsidRDefault="002E4833" w:rsidP="0077344D">
      <w:pPr>
        <w:pStyle w:val="Heading6"/>
      </w:pPr>
      <w:r>
        <w:t>d</w:t>
      </w:r>
      <w:r w:rsidR="0075777C" w:rsidRPr="00822C52">
        <w:t>.i</w:t>
      </w:r>
      <w:r w:rsidR="0075777C" w:rsidRPr="00822C52">
        <w:tab/>
        <w:t>PAH patients, irrespective of disease severity or aetiology</w:t>
      </w:r>
    </w:p>
    <w:p w:rsidR="0075777C" w:rsidRPr="00822C52" w:rsidRDefault="0075777C" w:rsidP="0075777C">
      <w:r>
        <w:t xml:space="preserve">Patients receiving </w:t>
      </w:r>
      <w:r w:rsidRPr="00E5296A">
        <w:t>sGC stimulator</w:t>
      </w:r>
      <w:r>
        <w:t xml:space="preserve"> plus </w:t>
      </w:r>
      <w:r w:rsidR="00C41039">
        <w:t>prostanoid</w:t>
      </w:r>
      <w:r>
        <w:t xml:space="preserve"> combination therapy </w:t>
      </w:r>
      <w:r w:rsidR="00A17B9D">
        <w:rPr>
          <w:noProof/>
          <w:color w:val="000000"/>
          <w:highlight w:val="black"/>
        </w:rPr>
        <w:t>''''''''' ''''''''' '''' ''''''''' '''' '''''''''''''''' '''''''' '''''''''' '''''</w:t>
      </w:r>
      <w:r>
        <w:t xml:space="preserve"> than those receiving monotherapy, </w:t>
      </w:r>
      <w:r w:rsidR="00A17B9D">
        <w:rPr>
          <w:noProof/>
          <w:color w:val="000000"/>
          <w:highlight w:val="black"/>
        </w:rPr>
        <w:t>'''''' ''''''' '''''''''''''''''''' '''''''''' ''''' ''''''''''' ''''''''''''''''''' ''''''''''''''''''''</w:t>
      </w:r>
      <w:r>
        <w:t xml:space="preserve"> (</w:t>
      </w:r>
      <w:r w:rsidR="00BE535A">
        <w:t>Table 4.107</w:t>
      </w:r>
      <w:r>
        <w:t xml:space="preserve">; </w:t>
      </w:r>
      <w:r w:rsidR="00B21201">
        <w:t>ARD</w:t>
      </w:r>
      <w:r w:rsidR="00DB6ACB">
        <w:t> </w:t>
      </w:r>
      <w:r w:rsidRPr="00707847">
        <w:t>=</w:t>
      </w:r>
      <w:r w:rsidR="00DB6ACB">
        <w:t> </w:t>
      </w:r>
      <w:r w:rsidR="00A17B9D">
        <w:rPr>
          <w:noProof/>
          <w:color w:val="000000"/>
          <w:highlight w:val="black"/>
        </w:rPr>
        <w:t>''''''''''''' '''''''' '''' ''''''''''' '''''''''' '''''''''''''''</w:t>
      </w:r>
      <w:r w:rsidRPr="00971AFC">
        <w:t>).</w:t>
      </w:r>
      <w:r>
        <w:t xml:space="preserve"> The inverse of the </w:t>
      </w:r>
      <w:r w:rsidR="00B21201">
        <w:t>ARD</w:t>
      </w:r>
      <w:r>
        <w:t xml:space="preserve"> (NNT) indicated that </w:t>
      </w:r>
      <w:r w:rsidR="00A17B9D">
        <w:rPr>
          <w:noProof/>
          <w:color w:val="000000"/>
          <w:highlight w:val="black"/>
        </w:rPr>
        <w:t>'''''''''''</w:t>
      </w:r>
      <w:r>
        <w:t xml:space="preserve"> patients need to be treated with </w:t>
      </w:r>
      <w:r w:rsidRPr="000B4355">
        <w:t xml:space="preserve">sGC stimulator </w:t>
      </w:r>
      <w:r w:rsidRPr="00CC0E70">
        <w:t>plus prostanoid</w:t>
      </w:r>
      <w:r>
        <w:t xml:space="preserve"> combination therapy for one additional patient to improve their WHO FC compared with </w:t>
      </w:r>
      <w:r w:rsidRPr="00CC0E70">
        <w:t>prostanoid</w:t>
      </w:r>
      <w:r>
        <w:t xml:space="preserve"> monotherapy. As </w:t>
      </w:r>
      <w:r w:rsidR="00A17B9D">
        <w:rPr>
          <w:noProof/>
          <w:color w:val="000000"/>
          <w:highlight w:val="black"/>
        </w:rPr>
        <w:t>'''''' ''''''''''''''' '''''''''''''''' ''''''''''''''''''''''''' ''''''''''''''' '''''''' ''''''''''''''''''''' '''' ''''''''' ''''''''' ''''' ''''''' ''''' '''''''''''' '''''''' ''''' '''''''''''''''''' '''''''''''''''''''''''''' ''''''''' '''' '''''''''''' '''''''''' ''''''''''''''''</w:t>
      </w:r>
      <w:r w:rsidRPr="00971AFC">
        <w:t>).</w:t>
      </w:r>
      <w:r>
        <w:t xml:space="preserve"> </w:t>
      </w:r>
      <w:r w:rsidR="00A17B9D">
        <w:rPr>
          <w:noProof/>
          <w:color w:val="000000"/>
          <w:highlight w:val="black"/>
        </w:rPr>
        <w:t>'''''''''''</w:t>
      </w:r>
      <w:r>
        <w:t xml:space="preserve"> patients need to be treated with </w:t>
      </w:r>
      <w:r w:rsidR="00A17B9D">
        <w:rPr>
          <w:noProof/>
          <w:color w:val="000000"/>
          <w:highlight w:val="black"/>
        </w:rPr>
        <w:t>''''''''''''''''''''''''' ''''''''''''''</w:t>
      </w:r>
      <w:r>
        <w:t xml:space="preserve"> to prevent worsening of WHO FC in one additional patient compared with </w:t>
      </w:r>
      <w:r w:rsidR="00A17B9D">
        <w:rPr>
          <w:noProof/>
          <w:color w:val="000000"/>
          <w:highlight w:val="black"/>
        </w:rPr>
        <w:t>'''''''''''''''''''''''</w:t>
      </w:r>
      <w:r>
        <w:t>.</w:t>
      </w:r>
    </w:p>
    <w:p w:rsidR="006E1D91" w:rsidRDefault="006E1D91">
      <w:pPr>
        <w:spacing w:before="0" w:line="240" w:lineRule="auto"/>
        <w:rPr>
          <w:b/>
          <w:iCs/>
          <w:szCs w:val="18"/>
        </w:rPr>
      </w:pPr>
      <w:bookmarkStart w:id="303" w:name="_Ref505083451"/>
      <w:r>
        <w:br w:type="page"/>
      </w:r>
    </w:p>
    <w:p w:rsidR="0075777C" w:rsidRPr="00DD7790" w:rsidRDefault="00272F8F" w:rsidP="00BC5A2B">
      <w:pPr>
        <w:pStyle w:val="Caption"/>
      </w:pPr>
      <w:bookmarkStart w:id="304" w:name="_Toc512855511"/>
      <w:r>
        <w:lastRenderedPageBreak/>
        <w:t>Table 4.</w:t>
      </w:r>
      <w:r w:rsidR="00AA722D">
        <w:rPr>
          <w:noProof/>
        </w:rPr>
        <w:t>107</w:t>
      </w:r>
      <w:bookmarkEnd w:id="303"/>
      <w:r w:rsidR="00C41039">
        <w:tab/>
      </w:r>
      <w:r w:rsidR="0075777C" w:rsidRPr="00DD7790">
        <w:t xml:space="preserve">The effectiveness of </w:t>
      </w:r>
      <w:r w:rsidR="00AA08D3">
        <w:t xml:space="preserve">a </w:t>
      </w:r>
      <w:r w:rsidR="00AA08D3" w:rsidRPr="00AA08D3">
        <w:t xml:space="preserve">sGC stimulator </w:t>
      </w:r>
      <w:r w:rsidR="007E59EC">
        <w:rPr>
          <w:noProof/>
        </w:rPr>
        <w:t xml:space="preserve">in addition to a </w:t>
      </w:r>
      <w:r w:rsidR="007E59EC" w:rsidRPr="009B4D64">
        <w:rPr>
          <w:noProof/>
        </w:rPr>
        <w:t xml:space="preserve">prostanoid compared with prostanoid </w:t>
      </w:r>
      <w:r w:rsidR="007E59EC">
        <w:rPr>
          <w:noProof/>
        </w:rPr>
        <w:t>monotherapy</w:t>
      </w:r>
      <w:r w:rsidR="0075777C" w:rsidRPr="009B4D64">
        <w:t xml:space="preserve"> </w:t>
      </w:r>
      <w:r w:rsidR="0075777C" w:rsidRPr="00DD7790">
        <w:t>in improving WHO FC in all PAH patients</w:t>
      </w:r>
      <w:bookmarkEnd w:id="304"/>
    </w:p>
    <w:tbl>
      <w:tblPr>
        <w:tblStyle w:val="TableGrid7"/>
        <w:tblW w:w="9634" w:type="dxa"/>
        <w:tblLayout w:type="fixed"/>
        <w:tblLook w:val="04A0" w:firstRow="1" w:lastRow="0" w:firstColumn="1" w:lastColumn="0" w:noHBand="0" w:noVBand="1"/>
        <w:tblCaption w:val="The effectiveness of a sGC stimulator in addition to a prostanoid compared with prostanoid monotherapy in improving WHO FC in all PAH patients"/>
      </w:tblPr>
      <w:tblGrid>
        <w:gridCol w:w="1413"/>
        <w:gridCol w:w="1984"/>
        <w:gridCol w:w="2339"/>
        <w:gridCol w:w="2197"/>
        <w:gridCol w:w="1701"/>
      </w:tblGrid>
      <w:tr w:rsidR="0075777C" w:rsidRPr="00822C52" w:rsidTr="00AA08D3">
        <w:trPr>
          <w:trHeight w:val="212"/>
          <w:tblHeader/>
        </w:trPr>
        <w:tc>
          <w:tcPr>
            <w:tcW w:w="1413" w:type="dxa"/>
            <w:vMerge w:val="restart"/>
            <w:shd w:val="clear" w:color="auto" w:fill="BFBFBF" w:themeFill="background1" w:themeFillShade="BF"/>
          </w:tcPr>
          <w:p w:rsidR="0075777C" w:rsidRDefault="0075777C" w:rsidP="00C41039">
            <w:pPr>
              <w:pStyle w:val="Tabletext"/>
              <w:rPr>
                <w:b/>
              </w:rPr>
            </w:pPr>
            <w:r w:rsidRPr="00C41039">
              <w:rPr>
                <w:b/>
              </w:rPr>
              <w:t>Study ID</w:t>
            </w:r>
          </w:p>
          <w:p w:rsidR="00AA08D3" w:rsidRPr="00C41039" w:rsidRDefault="00AA08D3" w:rsidP="00C41039">
            <w:pPr>
              <w:pStyle w:val="Tabletext"/>
              <w:rPr>
                <w:b/>
              </w:rPr>
            </w:pPr>
            <w:r w:rsidRPr="00AA08D3">
              <w:rPr>
                <w:b/>
              </w:rPr>
              <w:t>sGC stimulator</w:t>
            </w:r>
          </w:p>
        </w:tc>
        <w:tc>
          <w:tcPr>
            <w:tcW w:w="1984" w:type="dxa"/>
            <w:vMerge w:val="restart"/>
            <w:shd w:val="clear" w:color="auto" w:fill="BFBFBF" w:themeFill="background1" w:themeFillShade="BF"/>
          </w:tcPr>
          <w:p w:rsidR="0075777C" w:rsidRPr="00C41039" w:rsidRDefault="0075777C" w:rsidP="00C41039">
            <w:pPr>
              <w:pStyle w:val="Tabletext"/>
              <w:rPr>
                <w:b/>
              </w:rPr>
            </w:pPr>
            <w:r w:rsidRPr="00C41039">
              <w:rPr>
                <w:b/>
              </w:rPr>
              <w:t>Change in WHO FC</w:t>
            </w:r>
          </w:p>
        </w:tc>
        <w:tc>
          <w:tcPr>
            <w:tcW w:w="4536" w:type="dxa"/>
            <w:gridSpan w:val="2"/>
            <w:shd w:val="clear" w:color="auto" w:fill="BFBFBF" w:themeFill="background1" w:themeFillShade="BF"/>
          </w:tcPr>
          <w:p w:rsidR="0075777C" w:rsidRPr="00C41039" w:rsidRDefault="0075777C" w:rsidP="00C41039">
            <w:pPr>
              <w:pStyle w:val="Tabletext"/>
              <w:jc w:val="center"/>
              <w:rPr>
                <w:b/>
              </w:rPr>
            </w:pPr>
            <w:r w:rsidRPr="00C41039">
              <w:rPr>
                <w:b/>
              </w:rPr>
              <w:t>n/N (%)</w:t>
            </w:r>
          </w:p>
        </w:tc>
        <w:tc>
          <w:tcPr>
            <w:tcW w:w="1701" w:type="dxa"/>
            <w:vMerge w:val="restart"/>
            <w:shd w:val="clear" w:color="auto" w:fill="BFBFBF" w:themeFill="background1" w:themeFillShade="BF"/>
          </w:tcPr>
          <w:p w:rsidR="0075777C" w:rsidRPr="00C41039" w:rsidRDefault="0075777C" w:rsidP="00C41039">
            <w:pPr>
              <w:pStyle w:val="Tabletext"/>
              <w:rPr>
                <w:b/>
              </w:rPr>
            </w:pPr>
            <w:r w:rsidRPr="00C41039">
              <w:rPr>
                <w:b/>
              </w:rPr>
              <w:t>RR (95% CI)</w:t>
            </w:r>
          </w:p>
        </w:tc>
      </w:tr>
      <w:tr w:rsidR="0075777C" w:rsidRPr="00822C52" w:rsidTr="00AA08D3">
        <w:trPr>
          <w:trHeight w:val="202"/>
          <w:tblHeader/>
        </w:trPr>
        <w:tc>
          <w:tcPr>
            <w:tcW w:w="1413" w:type="dxa"/>
            <w:vMerge/>
            <w:shd w:val="clear" w:color="auto" w:fill="BFBFBF" w:themeFill="background1" w:themeFillShade="BF"/>
          </w:tcPr>
          <w:p w:rsidR="0075777C" w:rsidRPr="00822C52" w:rsidRDefault="0075777C" w:rsidP="00C41039">
            <w:pPr>
              <w:pStyle w:val="Tabletext"/>
            </w:pPr>
          </w:p>
        </w:tc>
        <w:tc>
          <w:tcPr>
            <w:tcW w:w="1984" w:type="dxa"/>
            <w:vMerge/>
            <w:shd w:val="clear" w:color="auto" w:fill="BFBFBF" w:themeFill="background1" w:themeFillShade="BF"/>
          </w:tcPr>
          <w:p w:rsidR="0075777C" w:rsidRPr="00822C52" w:rsidRDefault="0075777C" w:rsidP="00C41039">
            <w:pPr>
              <w:pStyle w:val="Tabletext"/>
            </w:pPr>
          </w:p>
        </w:tc>
        <w:tc>
          <w:tcPr>
            <w:tcW w:w="2339" w:type="dxa"/>
            <w:shd w:val="clear" w:color="auto" w:fill="BFBFBF" w:themeFill="background1" w:themeFillShade="BF"/>
          </w:tcPr>
          <w:p w:rsidR="0075777C" w:rsidRPr="00C41039" w:rsidRDefault="00AA08D3" w:rsidP="00C41039">
            <w:pPr>
              <w:pStyle w:val="Tabletext"/>
              <w:jc w:val="center"/>
              <w:rPr>
                <w:b/>
              </w:rPr>
            </w:pPr>
            <w:r w:rsidRPr="00AA08D3">
              <w:rPr>
                <w:b/>
              </w:rPr>
              <w:t xml:space="preserve">sGC stimulator </w:t>
            </w:r>
            <w:r w:rsidR="0075777C" w:rsidRPr="00C41039">
              <w:rPr>
                <w:b/>
              </w:rPr>
              <w:t>+ prostanoid</w:t>
            </w:r>
          </w:p>
        </w:tc>
        <w:tc>
          <w:tcPr>
            <w:tcW w:w="2197" w:type="dxa"/>
            <w:shd w:val="clear" w:color="auto" w:fill="BFBFBF" w:themeFill="background1" w:themeFillShade="BF"/>
          </w:tcPr>
          <w:p w:rsidR="0075777C" w:rsidRPr="00C41039" w:rsidRDefault="0075777C" w:rsidP="00534ADA">
            <w:pPr>
              <w:pStyle w:val="Tabletext"/>
              <w:jc w:val="center"/>
              <w:rPr>
                <w:b/>
              </w:rPr>
            </w:pPr>
            <w:r w:rsidRPr="00C41039">
              <w:rPr>
                <w:b/>
              </w:rPr>
              <w:t>Prostanoid</w:t>
            </w:r>
          </w:p>
        </w:tc>
        <w:tc>
          <w:tcPr>
            <w:tcW w:w="1701" w:type="dxa"/>
            <w:vMerge/>
            <w:shd w:val="clear" w:color="auto" w:fill="BFBFBF" w:themeFill="background1" w:themeFillShade="BF"/>
          </w:tcPr>
          <w:p w:rsidR="0075777C" w:rsidRPr="00822C52" w:rsidRDefault="0075777C" w:rsidP="00C41039">
            <w:pPr>
              <w:pStyle w:val="Tabletext"/>
            </w:pPr>
          </w:p>
        </w:tc>
      </w:tr>
      <w:tr w:rsidR="0075777C" w:rsidRPr="00822C52" w:rsidTr="00AA08D3">
        <w:trPr>
          <w:trHeight w:val="70"/>
        </w:trPr>
        <w:tc>
          <w:tcPr>
            <w:tcW w:w="1413" w:type="dxa"/>
            <w:vMerge w:val="restart"/>
          </w:tcPr>
          <w:p w:rsidR="00AA08D3" w:rsidRDefault="0075777C" w:rsidP="00C41039">
            <w:pPr>
              <w:pStyle w:val="Tabletext"/>
              <w:rPr>
                <w:rFonts w:cs="Tahoma"/>
              </w:rPr>
            </w:pPr>
            <w:r w:rsidRPr="00822C52">
              <w:rPr>
                <w:rFonts w:cs="Tahoma"/>
              </w:rPr>
              <w:t>PATENT-1 CSR</w:t>
            </w:r>
          </w:p>
          <w:p w:rsidR="0075777C" w:rsidRPr="00822C52" w:rsidRDefault="00AA08D3" w:rsidP="00C41039">
            <w:pPr>
              <w:pStyle w:val="Tabletext"/>
              <w:rPr>
                <w:rFonts w:cs="Tahoma"/>
              </w:rPr>
            </w:pPr>
            <w:r w:rsidRPr="00AA08D3">
              <w:t>Riociguat</w:t>
            </w:r>
          </w:p>
        </w:tc>
        <w:tc>
          <w:tcPr>
            <w:tcW w:w="1984" w:type="dxa"/>
          </w:tcPr>
          <w:p w:rsidR="0075777C" w:rsidRPr="00822C52" w:rsidRDefault="0075777C" w:rsidP="00C41039">
            <w:pPr>
              <w:pStyle w:val="Tabletext"/>
              <w:rPr>
                <w:rFonts w:cs="Tahoma"/>
              </w:rPr>
            </w:pPr>
            <w:r w:rsidRPr="00822C52">
              <w:rPr>
                <w:rFonts w:cs="Tahoma"/>
              </w:rPr>
              <w:t>Improved</w:t>
            </w:r>
          </w:p>
        </w:tc>
        <w:tc>
          <w:tcPr>
            <w:tcW w:w="2339" w:type="dxa"/>
            <w:shd w:val="clear" w:color="auto" w:fill="auto"/>
          </w:tcPr>
          <w:p w:rsidR="0075777C" w:rsidRPr="00A17B9D" w:rsidRDefault="00A17B9D" w:rsidP="00C41039">
            <w:pPr>
              <w:pStyle w:val="Tabletext"/>
              <w:jc w:val="center"/>
              <w:rPr>
                <w:rFonts w:cs="Tahoma"/>
                <w:highlight w:val="black"/>
              </w:rPr>
            </w:pPr>
            <w:r>
              <w:rPr>
                <w:rFonts w:cs="Tahoma"/>
                <w:noProof/>
                <w:color w:val="000000"/>
                <w:highlight w:val="black"/>
              </w:rPr>
              <w:t>'''''''''' ''''''''''''''</w:t>
            </w:r>
          </w:p>
        </w:tc>
        <w:tc>
          <w:tcPr>
            <w:tcW w:w="2197" w:type="dxa"/>
            <w:shd w:val="clear" w:color="auto" w:fill="auto"/>
          </w:tcPr>
          <w:p w:rsidR="0075777C" w:rsidRPr="00A17B9D" w:rsidRDefault="00A17B9D" w:rsidP="00C41039">
            <w:pPr>
              <w:pStyle w:val="Tabletext"/>
              <w:jc w:val="center"/>
              <w:rPr>
                <w:rFonts w:cs="Tahoma"/>
                <w:highlight w:val="black"/>
              </w:rPr>
            </w:pPr>
            <w:r>
              <w:rPr>
                <w:rFonts w:cs="Tahoma"/>
                <w:noProof/>
                <w:color w:val="000000"/>
                <w:highlight w:val="black"/>
              </w:rPr>
              <w:t>''''''' ''''''''''''''''</w:t>
            </w:r>
          </w:p>
        </w:tc>
        <w:tc>
          <w:tcPr>
            <w:tcW w:w="1701" w:type="dxa"/>
            <w:shd w:val="clear" w:color="auto" w:fill="auto"/>
          </w:tcPr>
          <w:p w:rsidR="0075777C" w:rsidRPr="00A17B9D" w:rsidRDefault="00A17B9D" w:rsidP="00C41039">
            <w:pPr>
              <w:pStyle w:val="Tabletext"/>
              <w:rPr>
                <w:rFonts w:cs="Tahoma"/>
                <w:highlight w:val="black"/>
              </w:rPr>
            </w:pPr>
            <w:r>
              <w:rPr>
                <w:rFonts w:cs="Tahoma"/>
                <w:noProof/>
                <w:color w:val="000000"/>
                <w:highlight w:val="black"/>
              </w:rPr>
              <w:t>''''''''''' '''''''''''' ''''''''''''''</w:t>
            </w:r>
          </w:p>
        </w:tc>
      </w:tr>
      <w:tr w:rsidR="0075777C" w:rsidRPr="00822C52" w:rsidTr="00AA08D3">
        <w:trPr>
          <w:trHeight w:val="70"/>
        </w:trPr>
        <w:tc>
          <w:tcPr>
            <w:tcW w:w="1413" w:type="dxa"/>
            <w:vMerge/>
          </w:tcPr>
          <w:p w:rsidR="0075777C" w:rsidRPr="00822C52" w:rsidRDefault="0075777C" w:rsidP="00C41039">
            <w:pPr>
              <w:pStyle w:val="Tabletext"/>
              <w:rPr>
                <w:rFonts w:cs="Tahoma"/>
              </w:rPr>
            </w:pPr>
          </w:p>
        </w:tc>
        <w:tc>
          <w:tcPr>
            <w:tcW w:w="1984" w:type="dxa"/>
          </w:tcPr>
          <w:p w:rsidR="0075777C" w:rsidRPr="00822C52" w:rsidRDefault="0075777C" w:rsidP="00C41039">
            <w:pPr>
              <w:pStyle w:val="Tabletext"/>
              <w:rPr>
                <w:rFonts w:cs="Tahoma"/>
              </w:rPr>
            </w:pPr>
            <w:r w:rsidRPr="00822C52">
              <w:rPr>
                <w:rFonts w:cs="Tahoma"/>
              </w:rPr>
              <w:t>Worsened</w:t>
            </w:r>
          </w:p>
        </w:tc>
        <w:tc>
          <w:tcPr>
            <w:tcW w:w="2339" w:type="dxa"/>
            <w:shd w:val="clear" w:color="auto" w:fill="auto"/>
          </w:tcPr>
          <w:p w:rsidR="0075777C" w:rsidRPr="00A17B9D" w:rsidRDefault="00A17B9D" w:rsidP="00C41039">
            <w:pPr>
              <w:pStyle w:val="Tabletext"/>
              <w:jc w:val="center"/>
              <w:rPr>
                <w:rFonts w:cs="Tahoma"/>
                <w:highlight w:val="black"/>
              </w:rPr>
            </w:pPr>
            <w:r>
              <w:rPr>
                <w:rFonts w:cs="Tahoma"/>
                <w:noProof/>
                <w:color w:val="000000"/>
                <w:highlight w:val="black"/>
              </w:rPr>
              <w:t>'''''''''' '''''''''''''</w:t>
            </w:r>
          </w:p>
        </w:tc>
        <w:tc>
          <w:tcPr>
            <w:tcW w:w="2197" w:type="dxa"/>
            <w:shd w:val="clear" w:color="auto" w:fill="auto"/>
          </w:tcPr>
          <w:p w:rsidR="0075777C" w:rsidRPr="00A17B9D" w:rsidRDefault="00A17B9D" w:rsidP="00C41039">
            <w:pPr>
              <w:pStyle w:val="Tabletext"/>
              <w:jc w:val="center"/>
              <w:rPr>
                <w:rFonts w:cs="Tahoma"/>
                <w:highlight w:val="black"/>
              </w:rPr>
            </w:pPr>
            <w:r>
              <w:rPr>
                <w:rFonts w:cs="Tahoma"/>
                <w:noProof/>
                <w:color w:val="000000"/>
                <w:highlight w:val="black"/>
              </w:rPr>
              <w:t>''''''''' '''''''''''''''</w:t>
            </w:r>
          </w:p>
        </w:tc>
        <w:tc>
          <w:tcPr>
            <w:tcW w:w="1701" w:type="dxa"/>
            <w:shd w:val="clear" w:color="auto" w:fill="auto"/>
          </w:tcPr>
          <w:p w:rsidR="0075777C" w:rsidRPr="00A17B9D" w:rsidRDefault="00A17B9D" w:rsidP="00C41039">
            <w:pPr>
              <w:pStyle w:val="Tabletext"/>
              <w:rPr>
                <w:rFonts w:cs="Tahoma"/>
                <w:highlight w:val="black"/>
              </w:rPr>
            </w:pPr>
            <w:r>
              <w:rPr>
                <w:rFonts w:cs="Tahoma"/>
                <w:noProof/>
                <w:color w:val="000000"/>
                <w:highlight w:val="black"/>
              </w:rPr>
              <w:t>''' ''''''''' ''''''''''''''''''''''''</w:t>
            </w:r>
          </w:p>
        </w:tc>
      </w:tr>
    </w:tbl>
    <w:p w:rsidR="0075777C" w:rsidRPr="00822C52" w:rsidRDefault="0075777C" w:rsidP="00C41039">
      <w:pPr>
        <w:pStyle w:val="Tablenote"/>
      </w:pPr>
      <w:r w:rsidRPr="00822C52">
        <w:t xml:space="preserve">CI = confidence interval; </w:t>
      </w:r>
      <w:r w:rsidR="008E565E">
        <w:t xml:space="preserve">CSR = clinical study report; </w:t>
      </w:r>
      <w:r w:rsidRPr="00822C52">
        <w:t xml:space="preserve">FC = functional class; n = number of </w:t>
      </w:r>
      <w:r w:rsidR="008E565E">
        <w:t xml:space="preserve">patients with </w:t>
      </w:r>
      <w:r w:rsidRPr="00822C52">
        <w:t xml:space="preserve">events; N = number of patients; PAH = pulmonary arterial hypertension; RR = relative risk; </w:t>
      </w:r>
      <w:r w:rsidR="009B47AA" w:rsidRPr="009B47AA">
        <w:t xml:space="preserve">sGC = soluble guanylate cyclase; </w:t>
      </w:r>
      <w:r w:rsidRPr="00822C52">
        <w:t>WHO = World Health Organization</w:t>
      </w:r>
    </w:p>
    <w:p w:rsidR="0075777C" w:rsidRPr="00822C52" w:rsidRDefault="00761752" w:rsidP="0075777C">
      <w:pPr>
        <w:pStyle w:val="Heading5"/>
      </w:pPr>
      <w:r>
        <w:t>e</w:t>
      </w:r>
      <w:r w:rsidR="002E4833">
        <w:t>.</w:t>
      </w:r>
      <w:r>
        <w:tab/>
      </w:r>
      <w:r w:rsidR="0075777C" w:rsidRPr="00822C52">
        <w:t xml:space="preserve">Change in 6MWD from baseline </w:t>
      </w:r>
    </w:p>
    <w:p w:rsidR="0075777C" w:rsidRPr="00822C52" w:rsidRDefault="00761752" w:rsidP="0077344D">
      <w:pPr>
        <w:pStyle w:val="Heading6"/>
      </w:pPr>
      <w:r>
        <w:t>e</w:t>
      </w:r>
      <w:r w:rsidR="0075777C" w:rsidRPr="00822C52">
        <w:t>.i</w:t>
      </w:r>
      <w:r w:rsidR="0075777C" w:rsidRPr="00822C52">
        <w:tab/>
        <w:t>PAH patients, irrespective of disease severity or aetiology</w:t>
      </w:r>
    </w:p>
    <w:p w:rsidR="0075777C" w:rsidRDefault="0075777C" w:rsidP="00FB0A80">
      <w:pPr>
        <w:spacing w:before="0" w:line="240" w:lineRule="auto"/>
      </w:pPr>
      <w:r>
        <w:t xml:space="preserve">There was </w:t>
      </w:r>
      <w:r w:rsidR="00A17B9D">
        <w:rPr>
          <w:noProof/>
          <w:color w:val="000000"/>
          <w:highlight w:val="black"/>
        </w:rPr>
        <w:t>'' ''''''''''''''''' '''''''''''''''''''' '''''''''''''''</w:t>
      </w:r>
      <w:r>
        <w:t xml:space="preserve"> in 6MWD for patients receiving combination therapy (</w:t>
      </w:r>
      <w:r w:rsidR="00FB0A80">
        <w:t>Table 4.108</w:t>
      </w:r>
      <w:r>
        <w:t xml:space="preserve">). </w:t>
      </w:r>
      <w:r w:rsidR="00A17B9D">
        <w:rPr>
          <w:noProof/>
          <w:color w:val="000000"/>
          <w:highlight w:val="black"/>
        </w:rPr>
        <w:t>'''''''' '''''''''''''''''''' ''''''''' ''' '''''''''''''''' '''''''''''''''''''' ''''''''''''''''''</w:t>
      </w:r>
      <w:r>
        <w:t xml:space="preserve"> in 6MWD for the monotherapy group. The mean difference between the combination therapy and monotherapy groups was </w:t>
      </w:r>
      <w:r w:rsidR="00A17B9D">
        <w:rPr>
          <w:noProof/>
          <w:color w:val="000000"/>
          <w:highlight w:val="black"/>
        </w:rPr>
        <w:t>'''''''' ''''''''''''''''' '''''''''''''''''''' '''''' ''''''' '''''''' '''''' '''''' ''''''''''''''' ''''''''''' '''''''''''' '''''''' '''''' '''''' ''''''''''''''' ''''''''''''''''''</w:t>
      </w:r>
    </w:p>
    <w:p w:rsidR="0075777C" w:rsidRDefault="00272F8F" w:rsidP="00BC5A2B">
      <w:pPr>
        <w:pStyle w:val="Caption"/>
      </w:pPr>
      <w:bookmarkStart w:id="305" w:name="_Ref505254142"/>
      <w:bookmarkStart w:id="306" w:name="_Toc512855512"/>
      <w:r>
        <w:t>Table 4.</w:t>
      </w:r>
      <w:r w:rsidR="00AA722D">
        <w:rPr>
          <w:noProof/>
        </w:rPr>
        <w:t>108</w:t>
      </w:r>
      <w:bookmarkEnd w:id="305"/>
      <w:r w:rsidR="00C41039">
        <w:tab/>
      </w:r>
      <w:r w:rsidR="0075777C" w:rsidRPr="00DD7790">
        <w:t xml:space="preserve">The effectiveness of </w:t>
      </w:r>
      <w:r w:rsidR="00AA08D3">
        <w:t xml:space="preserve">a </w:t>
      </w:r>
      <w:r w:rsidR="00AA08D3" w:rsidRPr="00AA08D3">
        <w:t xml:space="preserve">sGC stimulator </w:t>
      </w:r>
      <w:r w:rsidR="007E59EC">
        <w:rPr>
          <w:noProof/>
        </w:rPr>
        <w:t xml:space="preserve">in addition to a </w:t>
      </w:r>
      <w:r w:rsidR="007E59EC" w:rsidRPr="009B4D64">
        <w:rPr>
          <w:noProof/>
        </w:rPr>
        <w:t xml:space="preserve">prostanoid compared with prostanoid </w:t>
      </w:r>
      <w:r w:rsidR="007E59EC">
        <w:rPr>
          <w:noProof/>
        </w:rPr>
        <w:t xml:space="preserve">monotherapy </w:t>
      </w:r>
      <w:r w:rsidR="0075777C" w:rsidRPr="00DD7790">
        <w:t>in improving 6MWD in all PAH patients</w:t>
      </w:r>
      <w:bookmarkEnd w:id="306"/>
    </w:p>
    <w:tbl>
      <w:tblPr>
        <w:tblStyle w:val="TableGrid"/>
        <w:tblW w:w="9634" w:type="dxa"/>
        <w:tblLook w:val="04A0" w:firstRow="1" w:lastRow="0" w:firstColumn="1" w:lastColumn="0" w:noHBand="0" w:noVBand="1"/>
        <w:tblCaption w:val="The effectiveness of a sGC stimulator in addition to a prostanoid compared with prostanoid monotherapy in improving 6MWD in all PAH patients"/>
      </w:tblPr>
      <w:tblGrid>
        <w:gridCol w:w="1271"/>
        <w:gridCol w:w="992"/>
        <w:gridCol w:w="1524"/>
        <w:gridCol w:w="1524"/>
        <w:gridCol w:w="1524"/>
        <w:gridCol w:w="1524"/>
        <w:gridCol w:w="1275"/>
      </w:tblGrid>
      <w:tr w:rsidR="0075777C" w:rsidTr="00AA08D3">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75777C" w:rsidRDefault="0075777C" w:rsidP="00C41039">
            <w:pPr>
              <w:pStyle w:val="Tabletext"/>
              <w:rPr>
                <w:b/>
              </w:rPr>
            </w:pPr>
            <w:r w:rsidRPr="00C41039">
              <w:rPr>
                <w:b/>
              </w:rPr>
              <w:t>Study ID</w:t>
            </w:r>
          </w:p>
          <w:p w:rsidR="00AA08D3" w:rsidRPr="00C41039" w:rsidRDefault="00AA08D3" w:rsidP="00C41039">
            <w:pPr>
              <w:pStyle w:val="Tabletext"/>
              <w:rPr>
                <w:b/>
              </w:rPr>
            </w:pPr>
            <w:r w:rsidRPr="00AA08D3">
              <w:rPr>
                <w:b/>
              </w:rPr>
              <w:t>sGC stimulator</w:t>
            </w:r>
          </w:p>
        </w:tc>
        <w:tc>
          <w:tcPr>
            <w:tcW w:w="992" w:type="dxa"/>
            <w:vMerge w:val="restart"/>
            <w:shd w:val="clear" w:color="auto" w:fill="BFBFBF" w:themeFill="background1" w:themeFillShade="BF"/>
          </w:tcPr>
          <w:p w:rsidR="0075777C" w:rsidRPr="00C41039" w:rsidRDefault="0075777C" w:rsidP="00C41039">
            <w:pPr>
              <w:pStyle w:val="Tabletext"/>
              <w:rPr>
                <w:b/>
              </w:rPr>
            </w:pPr>
            <w:r w:rsidRPr="00C41039">
              <w:rPr>
                <w:b/>
              </w:rPr>
              <w:t>N</w:t>
            </w:r>
          </w:p>
          <w:p w:rsidR="0075777C" w:rsidRPr="00C41039" w:rsidRDefault="0075777C" w:rsidP="00C41039">
            <w:pPr>
              <w:pStyle w:val="Tabletext"/>
              <w:rPr>
                <w:b/>
              </w:rPr>
            </w:pPr>
            <w:r w:rsidRPr="00C41039">
              <w:rPr>
                <w:b/>
              </w:rPr>
              <w:t>Time point</w:t>
            </w:r>
          </w:p>
        </w:tc>
        <w:tc>
          <w:tcPr>
            <w:tcW w:w="3048" w:type="dxa"/>
            <w:gridSpan w:val="2"/>
            <w:shd w:val="clear" w:color="auto" w:fill="BFBFBF" w:themeFill="background1" w:themeFillShade="BF"/>
          </w:tcPr>
          <w:p w:rsidR="0075777C" w:rsidRPr="00C41039" w:rsidRDefault="001A599C" w:rsidP="001A599C">
            <w:pPr>
              <w:pStyle w:val="Tabletext"/>
              <w:jc w:val="center"/>
              <w:rPr>
                <w:b/>
              </w:rPr>
            </w:pPr>
            <w:r>
              <w:rPr>
                <w:b/>
              </w:rPr>
              <w:t>M</w:t>
            </w:r>
            <w:r w:rsidRPr="00C41039">
              <w:rPr>
                <w:b/>
              </w:rPr>
              <w:t xml:space="preserve">ean ± SD </w:t>
            </w:r>
            <w:r>
              <w:rPr>
                <w:b/>
              </w:rPr>
              <w:t>b</w:t>
            </w:r>
            <w:r w:rsidR="0075777C" w:rsidRPr="00C41039">
              <w:rPr>
                <w:b/>
              </w:rPr>
              <w:t>aseline</w:t>
            </w:r>
            <w:r>
              <w:rPr>
                <w:b/>
              </w:rPr>
              <w:t xml:space="preserve"> 6MWD</w:t>
            </w:r>
            <w:r w:rsidR="0075777C" w:rsidRPr="00C41039">
              <w:rPr>
                <w:b/>
              </w:rPr>
              <w:t>, meters</w:t>
            </w:r>
          </w:p>
        </w:tc>
        <w:tc>
          <w:tcPr>
            <w:tcW w:w="3048" w:type="dxa"/>
            <w:gridSpan w:val="2"/>
            <w:shd w:val="clear" w:color="auto" w:fill="BFBFBF" w:themeFill="background1" w:themeFillShade="BF"/>
          </w:tcPr>
          <w:p w:rsidR="0075777C" w:rsidRPr="00C41039" w:rsidRDefault="0075777C" w:rsidP="001A599C">
            <w:pPr>
              <w:pStyle w:val="Tabletext"/>
              <w:jc w:val="center"/>
              <w:rPr>
                <w:b/>
              </w:rPr>
            </w:pPr>
            <w:r w:rsidRPr="00C41039">
              <w:rPr>
                <w:b/>
              </w:rPr>
              <w:t xml:space="preserve">Mean </w:t>
            </w:r>
            <w:r w:rsidR="001A599C" w:rsidRPr="00C41039">
              <w:rPr>
                <w:b/>
              </w:rPr>
              <w:t xml:space="preserve">± SD </w:t>
            </w:r>
            <w:r w:rsidRPr="00C41039">
              <w:rPr>
                <w:b/>
              </w:rPr>
              <w:t>change from baseline, meters</w:t>
            </w:r>
          </w:p>
        </w:tc>
        <w:tc>
          <w:tcPr>
            <w:tcW w:w="1275" w:type="dxa"/>
            <w:vMerge w:val="restart"/>
            <w:shd w:val="clear" w:color="auto" w:fill="BFBFBF" w:themeFill="background1" w:themeFillShade="BF"/>
          </w:tcPr>
          <w:p w:rsidR="0075777C" w:rsidRPr="00C41039" w:rsidRDefault="0075777C" w:rsidP="001A599C">
            <w:pPr>
              <w:pStyle w:val="Tabletext"/>
              <w:rPr>
                <w:b/>
              </w:rPr>
            </w:pPr>
            <w:r w:rsidRPr="00C41039">
              <w:rPr>
                <w:b/>
              </w:rPr>
              <w:t>Mean difference (95% CI), meters</w:t>
            </w:r>
          </w:p>
        </w:tc>
      </w:tr>
      <w:tr w:rsidR="0075777C" w:rsidTr="00AA08D3">
        <w:tc>
          <w:tcPr>
            <w:tcW w:w="1271" w:type="dxa"/>
            <w:vMerge/>
          </w:tcPr>
          <w:p w:rsidR="0075777C" w:rsidRDefault="0075777C" w:rsidP="00C41039">
            <w:pPr>
              <w:pStyle w:val="Tabletext"/>
            </w:pPr>
          </w:p>
        </w:tc>
        <w:tc>
          <w:tcPr>
            <w:tcW w:w="992" w:type="dxa"/>
            <w:vMerge/>
          </w:tcPr>
          <w:p w:rsidR="0075777C" w:rsidRDefault="0075777C" w:rsidP="00C41039">
            <w:pPr>
              <w:pStyle w:val="Tabletext"/>
            </w:pPr>
          </w:p>
        </w:tc>
        <w:tc>
          <w:tcPr>
            <w:tcW w:w="1524" w:type="dxa"/>
            <w:shd w:val="clear" w:color="auto" w:fill="BFBFBF" w:themeFill="background1" w:themeFillShade="BF"/>
          </w:tcPr>
          <w:p w:rsidR="0075777C" w:rsidRPr="00C41039" w:rsidRDefault="00AA08D3" w:rsidP="00C41039">
            <w:pPr>
              <w:pStyle w:val="Tabletext"/>
              <w:jc w:val="center"/>
              <w:rPr>
                <w:b/>
              </w:rPr>
            </w:pPr>
            <w:r w:rsidRPr="00AA08D3">
              <w:rPr>
                <w:b/>
              </w:rPr>
              <w:t xml:space="preserve">sGC stimulator </w:t>
            </w:r>
            <w:r w:rsidR="0075777C" w:rsidRPr="00C41039">
              <w:rPr>
                <w:b/>
              </w:rPr>
              <w:t>+ prostanoid</w:t>
            </w:r>
          </w:p>
        </w:tc>
        <w:tc>
          <w:tcPr>
            <w:tcW w:w="1524" w:type="dxa"/>
            <w:shd w:val="clear" w:color="auto" w:fill="BFBFBF" w:themeFill="background1" w:themeFillShade="BF"/>
          </w:tcPr>
          <w:p w:rsidR="0075777C" w:rsidRPr="00C41039" w:rsidRDefault="00534ADA" w:rsidP="00534ADA">
            <w:pPr>
              <w:pStyle w:val="Tabletext"/>
              <w:jc w:val="center"/>
              <w:rPr>
                <w:b/>
              </w:rPr>
            </w:pPr>
            <w:r>
              <w:rPr>
                <w:b/>
              </w:rPr>
              <w:t>P</w:t>
            </w:r>
            <w:r w:rsidR="0075777C" w:rsidRPr="00C41039">
              <w:rPr>
                <w:b/>
              </w:rPr>
              <w:t>rostanoid</w:t>
            </w:r>
          </w:p>
        </w:tc>
        <w:tc>
          <w:tcPr>
            <w:tcW w:w="1524" w:type="dxa"/>
            <w:shd w:val="clear" w:color="auto" w:fill="BFBFBF" w:themeFill="background1" w:themeFillShade="BF"/>
          </w:tcPr>
          <w:p w:rsidR="0075777C" w:rsidRPr="00C41039" w:rsidRDefault="00AA08D3" w:rsidP="00C41039">
            <w:pPr>
              <w:pStyle w:val="Tabletext"/>
              <w:jc w:val="center"/>
              <w:rPr>
                <w:b/>
              </w:rPr>
            </w:pPr>
            <w:r w:rsidRPr="00AA08D3">
              <w:rPr>
                <w:b/>
              </w:rPr>
              <w:t xml:space="preserve">sGC stimulator </w:t>
            </w:r>
            <w:r w:rsidR="0075777C" w:rsidRPr="00C41039">
              <w:rPr>
                <w:b/>
              </w:rPr>
              <w:t>+ prostanoid</w:t>
            </w:r>
          </w:p>
        </w:tc>
        <w:tc>
          <w:tcPr>
            <w:tcW w:w="1524" w:type="dxa"/>
            <w:shd w:val="clear" w:color="auto" w:fill="BFBFBF" w:themeFill="background1" w:themeFillShade="BF"/>
          </w:tcPr>
          <w:p w:rsidR="0075777C" w:rsidRPr="00C41039" w:rsidRDefault="0075777C" w:rsidP="00534ADA">
            <w:pPr>
              <w:pStyle w:val="Tabletext"/>
              <w:jc w:val="center"/>
              <w:rPr>
                <w:b/>
              </w:rPr>
            </w:pPr>
            <w:r w:rsidRPr="00C41039">
              <w:rPr>
                <w:b/>
              </w:rPr>
              <w:t>Prostanoid</w:t>
            </w:r>
          </w:p>
        </w:tc>
        <w:tc>
          <w:tcPr>
            <w:tcW w:w="1275" w:type="dxa"/>
            <w:vMerge/>
          </w:tcPr>
          <w:p w:rsidR="0075777C" w:rsidRDefault="0075777C" w:rsidP="00C41039">
            <w:pPr>
              <w:pStyle w:val="Tabletext"/>
            </w:pPr>
          </w:p>
        </w:tc>
      </w:tr>
      <w:tr w:rsidR="0075777C" w:rsidTr="00AA08D3">
        <w:tc>
          <w:tcPr>
            <w:tcW w:w="1271" w:type="dxa"/>
          </w:tcPr>
          <w:p w:rsidR="0075777C" w:rsidRDefault="0075777C" w:rsidP="00C41039">
            <w:pPr>
              <w:pStyle w:val="Tabletext"/>
              <w:rPr>
                <w:rFonts w:cs="Tahoma"/>
              </w:rPr>
            </w:pPr>
            <w:r w:rsidRPr="00822C52">
              <w:rPr>
                <w:rFonts w:cs="Tahoma"/>
              </w:rPr>
              <w:t>PATENT-1 CSR</w:t>
            </w:r>
          </w:p>
          <w:p w:rsidR="00AA08D3" w:rsidRPr="001413BB" w:rsidRDefault="00AA08D3" w:rsidP="00C41039">
            <w:pPr>
              <w:pStyle w:val="Tabletext"/>
            </w:pPr>
            <w:r w:rsidRPr="00880228">
              <w:t>Riociguat</w:t>
            </w:r>
          </w:p>
        </w:tc>
        <w:tc>
          <w:tcPr>
            <w:tcW w:w="992" w:type="dxa"/>
          </w:tcPr>
          <w:p w:rsidR="0075777C" w:rsidRPr="00822C52" w:rsidRDefault="0075777C" w:rsidP="00C41039">
            <w:pPr>
              <w:pStyle w:val="Tabletext"/>
              <w:rPr>
                <w:rFonts w:cs="Tahoma"/>
              </w:rPr>
            </w:pPr>
            <w:r w:rsidRPr="00822C52">
              <w:rPr>
                <w:rFonts w:cs="Tahoma"/>
              </w:rPr>
              <w:t>N=167</w:t>
            </w:r>
          </w:p>
          <w:p w:rsidR="0075777C" w:rsidRDefault="0075777C" w:rsidP="00C41039">
            <w:pPr>
              <w:pStyle w:val="Tabletext"/>
            </w:pPr>
            <w:r w:rsidRPr="00822C52">
              <w:rPr>
                <w:rFonts w:cs="Tahoma"/>
              </w:rPr>
              <w:t>Week 12</w:t>
            </w:r>
          </w:p>
        </w:tc>
        <w:tc>
          <w:tcPr>
            <w:tcW w:w="1524" w:type="dxa"/>
          </w:tcPr>
          <w:p w:rsidR="0075777C" w:rsidRPr="00A17B9D" w:rsidRDefault="00A17B9D" w:rsidP="00C41039">
            <w:pPr>
              <w:pStyle w:val="Tabletext"/>
              <w:jc w:val="center"/>
              <w:rPr>
                <w:highlight w:val="black"/>
              </w:rPr>
            </w:pPr>
            <w:r>
              <w:rPr>
                <w:rFonts w:cs="Tahoma"/>
                <w:noProof/>
                <w:color w:val="000000"/>
                <w:highlight w:val="black"/>
              </w:rPr>
              <w:t>'''''''''''''' ''' '''''''''''</w:t>
            </w:r>
          </w:p>
        </w:tc>
        <w:tc>
          <w:tcPr>
            <w:tcW w:w="1524" w:type="dxa"/>
          </w:tcPr>
          <w:p w:rsidR="0075777C" w:rsidRPr="00A17B9D" w:rsidRDefault="00A17B9D" w:rsidP="00C41039">
            <w:pPr>
              <w:pStyle w:val="Tabletext"/>
              <w:jc w:val="center"/>
              <w:rPr>
                <w:highlight w:val="black"/>
              </w:rPr>
            </w:pPr>
            <w:r>
              <w:rPr>
                <w:rFonts w:cs="Tahoma"/>
                <w:noProof/>
                <w:color w:val="000000"/>
                <w:highlight w:val="black"/>
              </w:rPr>
              <w:t>'''''''''''''' ''' '''''''''''</w:t>
            </w:r>
          </w:p>
        </w:tc>
        <w:tc>
          <w:tcPr>
            <w:tcW w:w="1524" w:type="dxa"/>
          </w:tcPr>
          <w:p w:rsidR="0075777C" w:rsidRPr="00A17B9D" w:rsidRDefault="00A17B9D" w:rsidP="00C41039">
            <w:pPr>
              <w:pStyle w:val="Tabletext"/>
              <w:jc w:val="center"/>
              <w:rPr>
                <w:highlight w:val="black"/>
              </w:rPr>
            </w:pPr>
            <w:r>
              <w:rPr>
                <w:rFonts w:cs="Tahoma"/>
                <w:noProof/>
                <w:color w:val="000000"/>
                <w:highlight w:val="black"/>
              </w:rPr>
              <w:t>''''''''''' ''' '''''''''''</w:t>
            </w:r>
          </w:p>
        </w:tc>
        <w:tc>
          <w:tcPr>
            <w:tcW w:w="1524" w:type="dxa"/>
          </w:tcPr>
          <w:p w:rsidR="0075777C" w:rsidRPr="00A17B9D" w:rsidRDefault="00A17B9D" w:rsidP="00C41039">
            <w:pPr>
              <w:pStyle w:val="Tabletext"/>
              <w:jc w:val="center"/>
              <w:rPr>
                <w:highlight w:val="black"/>
              </w:rPr>
            </w:pPr>
            <w:r>
              <w:rPr>
                <w:rFonts w:cs="Tahoma"/>
                <w:noProof/>
                <w:color w:val="000000"/>
                <w:highlight w:val="black"/>
              </w:rPr>
              <w:t>'''''''''''' ''' '''''''''</w:t>
            </w:r>
          </w:p>
        </w:tc>
        <w:tc>
          <w:tcPr>
            <w:tcW w:w="1275" w:type="dxa"/>
          </w:tcPr>
          <w:p w:rsidR="0075777C" w:rsidRPr="00A17B9D" w:rsidRDefault="00A17B9D" w:rsidP="00C41039">
            <w:pPr>
              <w:pStyle w:val="Tabletext"/>
              <w:rPr>
                <w:rFonts w:cs="Tahoma"/>
                <w:highlight w:val="black"/>
              </w:rPr>
            </w:pPr>
            <w:r>
              <w:rPr>
                <w:rFonts w:cs="Tahoma"/>
                <w:noProof/>
                <w:color w:val="000000"/>
                <w:highlight w:val="black"/>
              </w:rPr>
              <w:t>''''''''''''''</w:t>
            </w:r>
          </w:p>
          <w:p w:rsidR="0075777C" w:rsidRPr="00A17B9D" w:rsidRDefault="00A17B9D" w:rsidP="00C41039">
            <w:pPr>
              <w:pStyle w:val="Tabletext"/>
              <w:rPr>
                <w:highlight w:val="black"/>
              </w:rPr>
            </w:pPr>
            <w:r>
              <w:rPr>
                <w:rFonts w:cs="Tahoma"/>
                <w:noProof/>
                <w:color w:val="000000"/>
                <w:highlight w:val="black"/>
              </w:rPr>
              <w:t>''''''''''''''' ''''''''''''''</w:t>
            </w:r>
          </w:p>
        </w:tc>
      </w:tr>
    </w:tbl>
    <w:p w:rsidR="0075777C" w:rsidRPr="00822C52" w:rsidRDefault="0075777C" w:rsidP="00C41039">
      <w:pPr>
        <w:pStyle w:val="Tablenote"/>
      </w:pPr>
      <w:r w:rsidRPr="00822C52">
        <w:t xml:space="preserve">6MWD = 6-minute </w:t>
      </w:r>
      <w:r w:rsidR="0082368E">
        <w:t>walk distance</w:t>
      </w:r>
      <w:r w:rsidRPr="00822C52">
        <w:t xml:space="preserve">; CI = confidence interval; </w:t>
      </w:r>
      <w:r w:rsidR="008E565E">
        <w:t xml:space="preserve">CSR = clinical study report; </w:t>
      </w:r>
      <w:r w:rsidRPr="00822C52">
        <w:t>N = number of patients; PAH = pulmonary arterial hypertension; SD = standard deviation</w:t>
      </w:r>
      <w:r w:rsidR="009B47AA">
        <w:t xml:space="preserve">; </w:t>
      </w:r>
      <w:r w:rsidR="009B47AA" w:rsidRPr="009B47AA">
        <w:t>sGC = solub</w:t>
      </w:r>
      <w:r w:rsidR="00074B5F">
        <w:t xml:space="preserve">le guanylate cyclase </w:t>
      </w:r>
    </w:p>
    <w:p w:rsidR="0075777C" w:rsidRPr="00822C52" w:rsidRDefault="00761752" w:rsidP="00761752">
      <w:pPr>
        <w:pStyle w:val="Heading5"/>
      </w:pPr>
      <w:r>
        <w:t>f</w:t>
      </w:r>
      <w:r w:rsidR="002E4833">
        <w:t>.</w:t>
      </w:r>
      <w:r>
        <w:tab/>
      </w:r>
      <w:r w:rsidRPr="00761752">
        <w:t>Change in QoL from baseline</w:t>
      </w:r>
    </w:p>
    <w:p w:rsidR="0075777C" w:rsidRPr="00822C52" w:rsidRDefault="00761752" w:rsidP="0077344D">
      <w:pPr>
        <w:pStyle w:val="Heading6"/>
      </w:pPr>
      <w:r>
        <w:t>f</w:t>
      </w:r>
      <w:r w:rsidR="0075777C" w:rsidRPr="00822C52">
        <w:t>.i</w:t>
      </w:r>
      <w:r w:rsidR="0075777C" w:rsidRPr="00822C52">
        <w:tab/>
        <w:t>PAH patients, irrespective of disease severity or aetiology</w:t>
      </w:r>
    </w:p>
    <w:p w:rsidR="0075777C" w:rsidRPr="00A17B9D" w:rsidRDefault="0075777C" w:rsidP="00AA722D">
      <w:pPr>
        <w:spacing w:before="0" w:line="240" w:lineRule="auto"/>
      </w:pPr>
      <w:r>
        <w:t>The mean s</w:t>
      </w:r>
      <w:r w:rsidRPr="006316DF">
        <w:t xml:space="preserve">cores for the EQ-5D questionnaire indicated that QoL </w:t>
      </w:r>
      <w:r w:rsidR="00A17B9D">
        <w:rPr>
          <w:noProof/>
          <w:color w:val="000000"/>
          <w:highlight w:val="black"/>
        </w:rPr>
        <w:t>''''''''''''''''' ''''' ''' ''''''''''''''' ''''''''''''''''' '''''''''''</w:t>
      </w:r>
      <w:r w:rsidRPr="004A3983">
        <w:t xml:space="preserve"> </w:t>
      </w:r>
      <w:r>
        <w:t>for patients receiving</w:t>
      </w:r>
      <w:r w:rsidRPr="006316DF">
        <w:t xml:space="preserve"> </w:t>
      </w:r>
      <w:r>
        <w:t xml:space="preserve">combination therapy </w:t>
      </w:r>
      <w:r w:rsidRPr="006316DF">
        <w:t xml:space="preserve">and </w:t>
      </w:r>
      <w:r w:rsidR="00A17B9D">
        <w:rPr>
          <w:noProof/>
          <w:color w:val="000000"/>
          <w:highlight w:val="black"/>
        </w:rPr>
        <w:t>''''''''''''''''''''' ''''' ''' ''''''''''''''''' ''''''''''''''''''' '''''''''''</w:t>
      </w:r>
      <w:r w:rsidRPr="004A3983">
        <w:t xml:space="preserve"> </w:t>
      </w:r>
      <w:r>
        <w:t>for patients receiving</w:t>
      </w:r>
      <w:r w:rsidRPr="006316DF">
        <w:t xml:space="preserve"> </w:t>
      </w:r>
      <w:r>
        <w:t>monotherapy</w:t>
      </w:r>
      <w:r w:rsidRPr="006316DF">
        <w:t xml:space="preserve"> </w:t>
      </w:r>
      <w:r w:rsidR="00AA722D">
        <w:t>(Table 4.109</w:t>
      </w:r>
      <w:r>
        <w:t>)</w:t>
      </w:r>
      <w:r w:rsidRPr="006316DF">
        <w:t xml:space="preserve">. </w:t>
      </w:r>
      <w:r>
        <w:t xml:space="preserve">The mean difference </w:t>
      </w:r>
      <w:r w:rsidR="00116B52">
        <w:rPr>
          <w:noProof/>
          <w:color w:val="000000"/>
          <w:highlight w:val="black"/>
        </w:rPr>
        <w:t>'''' '''''''''''</w:t>
      </w:r>
      <w:r w:rsidRPr="004A3983">
        <w:rPr>
          <w:highlight w:val="green"/>
        </w:rPr>
        <w:t xml:space="preserve"> </w:t>
      </w:r>
      <w:r>
        <w:t xml:space="preserve">suggests that </w:t>
      </w:r>
      <w:r w:rsidR="00A17B9D">
        <w:rPr>
          <w:noProof/>
          <w:color w:val="000000"/>
          <w:highlight w:val="black"/>
        </w:rPr>
        <w:t>'''''''''' ''' ''' '''''''''''''''''' '''''''''''''''''' ''''''''''''''''''''''''' '''' '''''</w:t>
      </w:r>
      <w:r w:rsidR="00116B52">
        <w:rPr>
          <w:noProof/>
          <w:color w:val="000000"/>
          <w:highlight w:val="black"/>
        </w:rPr>
        <w:t xml:space="preserve">''' </w:t>
      </w:r>
      <w:r w:rsidRPr="009C0B64">
        <w:t xml:space="preserve">for patients receiving </w:t>
      </w:r>
      <w:r w:rsidR="00A17B9D">
        <w:rPr>
          <w:noProof/>
          <w:color w:val="000000"/>
          <w:highlight w:val="black"/>
        </w:rPr>
        <w:t>''''''' ''''''''''''''''''' '''''''' ''''''''''''''''''''' ''''''''''''''''''''' '''''''''''''' ''''''''' '''''''''''''''''''''' '''''''''''''''''''''''</w:t>
      </w:r>
      <w:r>
        <w:t>. According to the LPH s</w:t>
      </w:r>
      <w:r w:rsidRPr="006316DF">
        <w:t>cores</w:t>
      </w:r>
      <w:r>
        <w:t xml:space="preserve">, there was </w:t>
      </w:r>
      <w:r w:rsidR="00A17B9D">
        <w:rPr>
          <w:noProof/>
          <w:color w:val="000000"/>
          <w:highlight w:val="black"/>
        </w:rPr>
        <w:t>'' '''''''''''''''''' ''''''''''''''''' ''''''''''''''''''''''''''</w:t>
      </w:r>
      <w:r>
        <w:t xml:space="preserve"> in QoL for the combination therapy group, </w:t>
      </w:r>
      <w:r w:rsidR="00A17B9D">
        <w:rPr>
          <w:noProof/>
          <w:color w:val="000000"/>
          <w:highlight w:val="black"/>
        </w:rPr>
        <w:t>'''''''' '''''''</w:t>
      </w:r>
      <w:r>
        <w:t xml:space="preserve"> the monotherapy group and the difference between them </w:t>
      </w:r>
      <w:r w:rsidR="00A17B9D">
        <w:rPr>
          <w:noProof/>
          <w:color w:val="000000"/>
          <w:highlight w:val="black"/>
        </w:rPr>
        <w:t>''''''' ''''''' ''''''''''''''''' ''''''''''''''''''''''</w:t>
      </w:r>
    </w:p>
    <w:p w:rsidR="006E1D91" w:rsidRDefault="006E1D91">
      <w:pPr>
        <w:spacing w:before="0" w:line="240" w:lineRule="auto"/>
        <w:rPr>
          <w:b/>
          <w:iCs/>
          <w:szCs w:val="18"/>
        </w:rPr>
      </w:pPr>
      <w:bookmarkStart w:id="307" w:name="_Ref505084382"/>
      <w:r>
        <w:br w:type="page"/>
      </w:r>
    </w:p>
    <w:p w:rsidR="0075777C" w:rsidRDefault="00272F8F" w:rsidP="00BC5A2B">
      <w:pPr>
        <w:pStyle w:val="Caption"/>
      </w:pPr>
      <w:bookmarkStart w:id="308" w:name="_Toc512855513"/>
      <w:r>
        <w:lastRenderedPageBreak/>
        <w:t>Table 4.</w:t>
      </w:r>
      <w:r w:rsidR="00AA722D">
        <w:rPr>
          <w:noProof/>
        </w:rPr>
        <w:t>109</w:t>
      </w:r>
      <w:bookmarkEnd w:id="307"/>
      <w:r w:rsidR="00C41039">
        <w:tab/>
      </w:r>
      <w:r w:rsidR="0075777C" w:rsidRPr="00DD7790">
        <w:t xml:space="preserve">The effectiveness of </w:t>
      </w:r>
      <w:r w:rsidR="001A599C">
        <w:t xml:space="preserve">a </w:t>
      </w:r>
      <w:r w:rsidR="001A599C" w:rsidRPr="001A599C">
        <w:t xml:space="preserve">sGC stimulator </w:t>
      </w:r>
      <w:r w:rsidR="007E59EC">
        <w:rPr>
          <w:noProof/>
        </w:rPr>
        <w:t xml:space="preserve">in addition to a </w:t>
      </w:r>
      <w:r w:rsidR="007E59EC" w:rsidRPr="009B4D64">
        <w:rPr>
          <w:noProof/>
        </w:rPr>
        <w:t xml:space="preserve">prostanoid compared with prostanoid </w:t>
      </w:r>
      <w:r w:rsidR="007E59EC">
        <w:rPr>
          <w:noProof/>
        </w:rPr>
        <w:t>monotherapy</w:t>
      </w:r>
      <w:r w:rsidR="0075777C" w:rsidRPr="00DD7790">
        <w:t xml:space="preserve"> in improving QoL in all PAH patients</w:t>
      </w:r>
      <w:bookmarkEnd w:id="308"/>
    </w:p>
    <w:tbl>
      <w:tblPr>
        <w:tblStyle w:val="TableGrid"/>
        <w:tblW w:w="9634" w:type="dxa"/>
        <w:tblLook w:val="04A0" w:firstRow="1" w:lastRow="0" w:firstColumn="1" w:lastColumn="0" w:noHBand="0" w:noVBand="1"/>
        <w:tblCaption w:val="The effectiveness of a sGC stimulator in addition to a prostanoid compared with prostanoid monotherapy in improving QoL in all PAH patients"/>
      </w:tblPr>
      <w:tblGrid>
        <w:gridCol w:w="1081"/>
        <w:gridCol w:w="751"/>
        <w:gridCol w:w="1906"/>
        <w:gridCol w:w="1406"/>
        <w:gridCol w:w="1814"/>
        <w:gridCol w:w="1407"/>
        <w:gridCol w:w="1269"/>
      </w:tblGrid>
      <w:tr w:rsidR="0075777C" w:rsidTr="00C41039">
        <w:trPr>
          <w:cnfStyle w:val="100000000000" w:firstRow="1" w:lastRow="0" w:firstColumn="0" w:lastColumn="0" w:oddVBand="0" w:evenVBand="0" w:oddHBand="0" w:evenHBand="0" w:firstRowFirstColumn="0" w:firstRowLastColumn="0" w:lastRowFirstColumn="0" w:lastRowLastColumn="0"/>
        </w:trPr>
        <w:tc>
          <w:tcPr>
            <w:tcW w:w="988" w:type="dxa"/>
            <w:vMerge w:val="restart"/>
            <w:shd w:val="clear" w:color="auto" w:fill="BFBFBF" w:themeFill="background1" w:themeFillShade="BF"/>
          </w:tcPr>
          <w:p w:rsidR="0075777C" w:rsidRDefault="0075777C" w:rsidP="00C41039">
            <w:pPr>
              <w:pStyle w:val="Tabletext"/>
              <w:rPr>
                <w:b/>
              </w:rPr>
            </w:pPr>
            <w:r w:rsidRPr="00C41039">
              <w:rPr>
                <w:b/>
              </w:rPr>
              <w:t>Study ID</w:t>
            </w:r>
          </w:p>
          <w:p w:rsidR="001A599C" w:rsidRPr="00C41039" w:rsidRDefault="001A599C" w:rsidP="00C41039">
            <w:pPr>
              <w:pStyle w:val="Tabletext"/>
              <w:rPr>
                <w:b/>
              </w:rPr>
            </w:pPr>
            <w:r w:rsidRPr="001A599C">
              <w:rPr>
                <w:b/>
              </w:rPr>
              <w:t>sGC stimulator</w:t>
            </w:r>
          </w:p>
        </w:tc>
        <w:tc>
          <w:tcPr>
            <w:tcW w:w="754" w:type="dxa"/>
            <w:vMerge w:val="restart"/>
            <w:shd w:val="clear" w:color="auto" w:fill="BFBFBF" w:themeFill="background1" w:themeFillShade="BF"/>
          </w:tcPr>
          <w:p w:rsidR="0075777C" w:rsidRPr="00C41039" w:rsidRDefault="0075777C" w:rsidP="00C41039">
            <w:pPr>
              <w:pStyle w:val="Tabletext"/>
              <w:rPr>
                <w:b/>
              </w:rPr>
            </w:pPr>
            <w:r w:rsidRPr="00C41039">
              <w:rPr>
                <w:b/>
              </w:rPr>
              <w:t>N</w:t>
            </w:r>
          </w:p>
          <w:p w:rsidR="0075777C" w:rsidRPr="00C41039" w:rsidRDefault="0075777C" w:rsidP="00C41039">
            <w:pPr>
              <w:pStyle w:val="Tabletext"/>
              <w:rPr>
                <w:b/>
              </w:rPr>
            </w:pPr>
            <w:r w:rsidRPr="00C41039">
              <w:rPr>
                <w:b/>
              </w:rPr>
              <w:t>Time point</w:t>
            </w:r>
          </w:p>
        </w:tc>
        <w:tc>
          <w:tcPr>
            <w:tcW w:w="3356" w:type="dxa"/>
            <w:gridSpan w:val="2"/>
            <w:shd w:val="clear" w:color="auto" w:fill="BFBFBF" w:themeFill="background1" w:themeFillShade="BF"/>
          </w:tcPr>
          <w:p w:rsidR="0075777C" w:rsidRPr="00C41039" w:rsidRDefault="001A599C" w:rsidP="001A599C">
            <w:pPr>
              <w:pStyle w:val="Tabletext"/>
              <w:jc w:val="center"/>
              <w:rPr>
                <w:b/>
              </w:rPr>
            </w:pPr>
            <w:r>
              <w:rPr>
                <w:b/>
              </w:rPr>
              <w:t>M</w:t>
            </w:r>
            <w:r w:rsidRPr="00C41039">
              <w:rPr>
                <w:b/>
              </w:rPr>
              <w:t xml:space="preserve">ean ± SD </w:t>
            </w:r>
            <w:r>
              <w:rPr>
                <w:b/>
              </w:rPr>
              <w:t>b</w:t>
            </w:r>
            <w:r w:rsidR="0075777C" w:rsidRPr="00C41039">
              <w:rPr>
                <w:b/>
              </w:rPr>
              <w:t>aseline QoL</w:t>
            </w:r>
          </w:p>
        </w:tc>
        <w:tc>
          <w:tcPr>
            <w:tcW w:w="3261" w:type="dxa"/>
            <w:gridSpan w:val="2"/>
            <w:shd w:val="clear" w:color="auto" w:fill="BFBFBF" w:themeFill="background1" w:themeFillShade="BF"/>
          </w:tcPr>
          <w:p w:rsidR="0075777C" w:rsidRPr="00C41039" w:rsidRDefault="0075777C" w:rsidP="001A599C">
            <w:pPr>
              <w:pStyle w:val="Tabletext"/>
              <w:jc w:val="center"/>
              <w:rPr>
                <w:b/>
              </w:rPr>
            </w:pPr>
            <w:r w:rsidRPr="00C41039">
              <w:rPr>
                <w:b/>
              </w:rPr>
              <w:t>Mean</w:t>
            </w:r>
            <w:r w:rsidR="001A599C">
              <w:rPr>
                <w:b/>
              </w:rPr>
              <w:t xml:space="preserve"> </w:t>
            </w:r>
            <w:r w:rsidR="001A599C" w:rsidRPr="00C41039">
              <w:rPr>
                <w:b/>
              </w:rPr>
              <w:t>± SD</w:t>
            </w:r>
            <w:r w:rsidRPr="00C41039">
              <w:rPr>
                <w:b/>
              </w:rPr>
              <w:t xml:space="preserve"> change from baseline </w:t>
            </w:r>
          </w:p>
        </w:tc>
        <w:tc>
          <w:tcPr>
            <w:tcW w:w="1275" w:type="dxa"/>
            <w:vMerge w:val="restart"/>
            <w:shd w:val="clear" w:color="auto" w:fill="BFBFBF" w:themeFill="background1" w:themeFillShade="BF"/>
          </w:tcPr>
          <w:p w:rsidR="0075777C" w:rsidRPr="00C41039" w:rsidRDefault="0075777C" w:rsidP="00C41039">
            <w:pPr>
              <w:pStyle w:val="Tabletext"/>
              <w:rPr>
                <w:b/>
              </w:rPr>
            </w:pPr>
            <w:r w:rsidRPr="00C41039">
              <w:rPr>
                <w:b/>
              </w:rPr>
              <w:t>Mean difference</w:t>
            </w:r>
            <w:r w:rsidR="001A599C">
              <w:rPr>
                <w:b/>
              </w:rPr>
              <w:t>, points</w:t>
            </w:r>
            <w:r w:rsidRPr="00C41039">
              <w:rPr>
                <w:b/>
              </w:rPr>
              <w:t xml:space="preserve"> (95% CI)</w:t>
            </w:r>
          </w:p>
        </w:tc>
      </w:tr>
      <w:tr w:rsidR="0075777C" w:rsidTr="00C41039">
        <w:tc>
          <w:tcPr>
            <w:tcW w:w="988" w:type="dxa"/>
            <w:vMerge/>
          </w:tcPr>
          <w:p w:rsidR="0075777C" w:rsidRDefault="0075777C" w:rsidP="00C41039">
            <w:pPr>
              <w:pStyle w:val="Tabletext"/>
            </w:pPr>
          </w:p>
        </w:tc>
        <w:tc>
          <w:tcPr>
            <w:tcW w:w="754" w:type="dxa"/>
            <w:vMerge/>
          </w:tcPr>
          <w:p w:rsidR="0075777C" w:rsidRDefault="0075777C" w:rsidP="00C41039">
            <w:pPr>
              <w:pStyle w:val="Tabletext"/>
            </w:pPr>
          </w:p>
        </w:tc>
        <w:tc>
          <w:tcPr>
            <w:tcW w:w="1939" w:type="dxa"/>
            <w:shd w:val="clear" w:color="auto" w:fill="BFBFBF" w:themeFill="background1" w:themeFillShade="BF"/>
          </w:tcPr>
          <w:p w:rsidR="0075777C" w:rsidRPr="00C41039" w:rsidRDefault="001A599C" w:rsidP="001A599C">
            <w:pPr>
              <w:pStyle w:val="Tabletext"/>
              <w:jc w:val="center"/>
              <w:rPr>
                <w:b/>
              </w:rPr>
            </w:pPr>
            <w:r w:rsidRPr="001A599C">
              <w:rPr>
                <w:b/>
              </w:rPr>
              <w:t xml:space="preserve">sGC stimulator </w:t>
            </w:r>
            <w:r w:rsidR="0075777C" w:rsidRPr="00C41039">
              <w:rPr>
                <w:b/>
              </w:rPr>
              <w:t>+ prostanoid</w:t>
            </w:r>
          </w:p>
        </w:tc>
        <w:tc>
          <w:tcPr>
            <w:tcW w:w="1417" w:type="dxa"/>
            <w:shd w:val="clear" w:color="auto" w:fill="BFBFBF" w:themeFill="background1" w:themeFillShade="BF"/>
          </w:tcPr>
          <w:p w:rsidR="0075777C" w:rsidRPr="00C41039" w:rsidRDefault="0075777C" w:rsidP="00534ADA">
            <w:pPr>
              <w:pStyle w:val="Tabletext"/>
              <w:jc w:val="center"/>
              <w:rPr>
                <w:b/>
              </w:rPr>
            </w:pPr>
            <w:r w:rsidRPr="00C41039">
              <w:rPr>
                <w:b/>
              </w:rPr>
              <w:t>Prostanoid</w:t>
            </w:r>
          </w:p>
        </w:tc>
        <w:tc>
          <w:tcPr>
            <w:tcW w:w="1843" w:type="dxa"/>
            <w:shd w:val="clear" w:color="auto" w:fill="BFBFBF" w:themeFill="background1" w:themeFillShade="BF"/>
          </w:tcPr>
          <w:p w:rsidR="0075777C" w:rsidRPr="00C41039" w:rsidRDefault="001A599C" w:rsidP="001A599C">
            <w:pPr>
              <w:pStyle w:val="Tabletext"/>
              <w:jc w:val="center"/>
              <w:rPr>
                <w:b/>
              </w:rPr>
            </w:pPr>
            <w:r w:rsidRPr="001A599C">
              <w:rPr>
                <w:b/>
              </w:rPr>
              <w:t xml:space="preserve">sGC stimulator </w:t>
            </w:r>
            <w:r>
              <w:rPr>
                <w:b/>
              </w:rPr>
              <w:t xml:space="preserve">+ </w:t>
            </w:r>
            <w:r w:rsidR="0075777C" w:rsidRPr="00C41039">
              <w:rPr>
                <w:b/>
              </w:rPr>
              <w:t>prostanoid</w:t>
            </w:r>
          </w:p>
        </w:tc>
        <w:tc>
          <w:tcPr>
            <w:tcW w:w="1418" w:type="dxa"/>
            <w:shd w:val="clear" w:color="auto" w:fill="BFBFBF" w:themeFill="background1" w:themeFillShade="BF"/>
          </w:tcPr>
          <w:p w:rsidR="0075777C" w:rsidRPr="00C41039" w:rsidRDefault="001A599C" w:rsidP="00534ADA">
            <w:pPr>
              <w:pStyle w:val="Tabletext"/>
              <w:jc w:val="center"/>
              <w:rPr>
                <w:b/>
              </w:rPr>
            </w:pPr>
            <w:r>
              <w:rPr>
                <w:b/>
              </w:rPr>
              <w:t>P</w:t>
            </w:r>
            <w:r w:rsidR="0075777C" w:rsidRPr="00C41039">
              <w:rPr>
                <w:b/>
              </w:rPr>
              <w:t>rostanoid</w:t>
            </w:r>
          </w:p>
        </w:tc>
        <w:tc>
          <w:tcPr>
            <w:tcW w:w="1275" w:type="dxa"/>
            <w:vMerge/>
          </w:tcPr>
          <w:p w:rsidR="0075777C" w:rsidRDefault="0075777C" w:rsidP="00C41039">
            <w:pPr>
              <w:pStyle w:val="Tabletext"/>
            </w:pPr>
          </w:p>
        </w:tc>
      </w:tr>
      <w:tr w:rsidR="0075777C" w:rsidTr="00C41039">
        <w:tc>
          <w:tcPr>
            <w:tcW w:w="988" w:type="dxa"/>
          </w:tcPr>
          <w:p w:rsidR="0075777C" w:rsidRDefault="0075777C" w:rsidP="00C41039">
            <w:pPr>
              <w:pStyle w:val="Tabletext"/>
              <w:rPr>
                <w:rFonts w:cs="Tahoma"/>
              </w:rPr>
            </w:pPr>
            <w:r w:rsidRPr="00822C52">
              <w:rPr>
                <w:rFonts w:cs="Tahoma"/>
              </w:rPr>
              <w:t>PATENT-1 CSR</w:t>
            </w:r>
          </w:p>
          <w:p w:rsidR="001A599C" w:rsidRPr="001A599C" w:rsidRDefault="001A599C" w:rsidP="00C41039">
            <w:pPr>
              <w:pStyle w:val="Tabletext"/>
            </w:pPr>
            <w:r w:rsidRPr="001A599C">
              <w:t>Riociguat</w:t>
            </w:r>
          </w:p>
        </w:tc>
        <w:tc>
          <w:tcPr>
            <w:tcW w:w="754" w:type="dxa"/>
          </w:tcPr>
          <w:p w:rsidR="0075777C" w:rsidRPr="00822C52" w:rsidRDefault="0075777C" w:rsidP="00C41039">
            <w:pPr>
              <w:pStyle w:val="Tabletext"/>
              <w:rPr>
                <w:rFonts w:cs="Tahoma"/>
              </w:rPr>
            </w:pPr>
            <w:r w:rsidRPr="00822C52">
              <w:rPr>
                <w:rFonts w:cs="Tahoma"/>
              </w:rPr>
              <w:t>N=167</w:t>
            </w:r>
          </w:p>
          <w:p w:rsidR="0075777C" w:rsidRDefault="0075777C" w:rsidP="00C41039">
            <w:pPr>
              <w:pStyle w:val="Tabletext"/>
            </w:pPr>
            <w:r w:rsidRPr="00822C52">
              <w:rPr>
                <w:rFonts w:cs="Tahoma"/>
              </w:rPr>
              <w:t>Week 12</w:t>
            </w:r>
          </w:p>
        </w:tc>
        <w:tc>
          <w:tcPr>
            <w:tcW w:w="1939" w:type="dxa"/>
          </w:tcPr>
          <w:p w:rsidR="0075777C" w:rsidRPr="00A17B9D" w:rsidRDefault="00A17B9D" w:rsidP="00C41039">
            <w:pPr>
              <w:pStyle w:val="Tabletext"/>
              <w:rPr>
                <w:highlight w:val="black"/>
              </w:rPr>
            </w:pPr>
            <w:r>
              <w:rPr>
                <w:noProof/>
                <w:color w:val="000000"/>
                <w:highlight w:val="black"/>
              </w:rPr>
              <w:t>''''''''''''''''''' ''''''''''''''' '''' ''''''''''''''</w:t>
            </w:r>
          </w:p>
          <w:p w:rsidR="0075777C" w:rsidRPr="00A17B9D" w:rsidRDefault="00A17B9D" w:rsidP="00C41039">
            <w:pPr>
              <w:pStyle w:val="Tabletext"/>
              <w:rPr>
                <w:highlight w:val="black"/>
              </w:rPr>
            </w:pPr>
            <w:r>
              <w:rPr>
                <w:noProof/>
                <w:color w:val="000000"/>
                <w:highlight w:val="black"/>
              </w:rPr>
              <w:t>''''''''''''''' ''''''''''' ''' '''''''''''</w:t>
            </w:r>
          </w:p>
        </w:tc>
        <w:tc>
          <w:tcPr>
            <w:tcW w:w="1417" w:type="dxa"/>
          </w:tcPr>
          <w:p w:rsidR="0075777C" w:rsidRPr="00A17B9D" w:rsidRDefault="00A17B9D" w:rsidP="00C41039">
            <w:pPr>
              <w:pStyle w:val="Tabletext"/>
              <w:rPr>
                <w:highlight w:val="black"/>
              </w:rPr>
            </w:pPr>
            <w:r>
              <w:rPr>
                <w:noProof/>
                <w:color w:val="000000"/>
                <w:highlight w:val="black"/>
              </w:rPr>
              <w:t>'''''''''''''' ''' '''''''''''''</w:t>
            </w:r>
          </w:p>
          <w:p w:rsidR="0075777C" w:rsidRPr="00A17B9D" w:rsidRDefault="00A17B9D" w:rsidP="00C41039">
            <w:pPr>
              <w:pStyle w:val="Tabletext"/>
              <w:rPr>
                <w:highlight w:val="black"/>
              </w:rPr>
            </w:pPr>
            <w:r>
              <w:rPr>
                <w:noProof/>
                <w:color w:val="000000"/>
                <w:highlight w:val="black"/>
              </w:rPr>
              <w:t>''''''''''' ''' '''''''''</w:t>
            </w:r>
          </w:p>
        </w:tc>
        <w:tc>
          <w:tcPr>
            <w:tcW w:w="1843" w:type="dxa"/>
          </w:tcPr>
          <w:p w:rsidR="0075777C" w:rsidRPr="00A17B9D" w:rsidRDefault="00A17B9D" w:rsidP="00C41039">
            <w:pPr>
              <w:pStyle w:val="Tabletext"/>
              <w:rPr>
                <w:highlight w:val="black"/>
              </w:rPr>
            </w:pPr>
            <w:r>
              <w:rPr>
                <w:noProof/>
                <w:color w:val="000000"/>
                <w:highlight w:val="black"/>
              </w:rPr>
              <w:t>''''''''''''''''''' '''''''''''''' ''' '''''''''''''</w:t>
            </w:r>
          </w:p>
          <w:p w:rsidR="0075777C" w:rsidRPr="00A17B9D" w:rsidRDefault="00A17B9D" w:rsidP="00C41039">
            <w:pPr>
              <w:pStyle w:val="Tabletext"/>
              <w:rPr>
                <w:highlight w:val="black"/>
              </w:rPr>
            </w:pPr>
            <w:r>
              <w:rPr>
                <w:noProof/>
                <w:color w:val="000000"/>
                <w:highlight w:val="black"/>
              </w:rPr>
              <w:t>''''''''''' '''''''''' '''' ''''''''''</w:t>
            </w:r>
          </w:p>
        </w:tc>
        <w:tc>
          <w:tcPr>
            <w:tcW w:w="1418" w:type="dxa"/>
          </w:tcPr>
          <w:p w:rsidR="0075777C" w:rsidRPr="00A17B9D" w:rsidRDefault="00A17B9D" w:rsidP="00C41039">
            <w:pPr>
              <w:pStyle w:val="Tabletext"/>
              <w:rPr>
                <w:highlight w:val="black"/>
              </w:rPr>
            </w:pPr>
            <w:r>
              <w:rPr>
                <w:noProof/>
                <w:color w:val="000000"/>
                <w:highlight w:val="black"/>
              </w:rPr>
              <w:t>'''''''''''''''' ''' ''''''''''''''</w:t>
            </w:r>
          </w:p>
          <w:p w:rsidR="0075777C" w:rsidRPr="00A17B9D" w:rsidRDefault="00A17B9D" w:rsidP="00C41039">
            <w:pPr>
              <w:pStyle w:val="Tabletext"/>
              <w:rPr>
                <w:highlight w:val="black"/>
              </w:rPr>
            </w:pPr>
            <w:r>
              <w:rPr>
                <w:noProof/>
                <w:color w:val="000000"/>
                <w:highlight w:val="black"/>
              </w:rPr>
              <w:t>''''''''' ''' '''''''''''</w:t>
            </w:r>
          </w:p>
        </w:tc>
        <w:tc>
          <w:tcPr>
            <w:tcW w:w="1275" w:type="dxa"/>
          </w:tcPr>
          <w:p w:rsidR="0075777C" w:rsidRPr="00A17B9D" w:rsidRDefault="00A17B9D" w:rsidP="00C41039">
            <w:pPr>
              <w:pStyle w:val="Tabletext"/>
              <w:rPr>
                <w:highlight w:val="black"/>
              </w:rPr>
            </w:pPr>
            <w:r>
              <w:rPr>
                <w:noProof/>
                <w:color w:val="000000"/>
                <w:highlight w:val="black"/>
              </w:rPr>
              <w:t>''''''''''''''''' '''''''''''''</w:t>
            </w:r>
          </w:p>
          <w:p w:rsidR="0075777C" w:rsidRPr="00A17B9D" w:rsidRDefault="00A17B9D" w:rsidP="00B64E57">
            <w:pPr>
              <w:pStyle w:val="Tabletext"/>
              <w:rPr>
                <w:highlight w:val="black"/>
              </w:rPr>
            </w:pPr>
            <w:r>
              <w:rPr>
                <w:noProof/>
                <w:color w:val="000000"/>
                <w:highlight w:val="black"/>
              </w:rPr>
              <w:t>''''''''''' ''''''''''</w:t>
            </w:r>
          </w:p>
        </w:tc>
      </w:tr>
    </w:tbl>
    <w:p w:rsidR="0017449B" w:rsidRDefault="0017449B" w:rsidP="0017449B">
      <w:pPr>
        <w:pStyle w:val="Tablenote"/>
      </w:pPr>
      <w:r>
        <w:rPr>
          <w:vertAlign w:val="superscript"/>
        </w:rPr>
        <w:t xml:space="preserve">a </w:t>
      </w:r>
      <w:r>
        <w:t xml:space="preserve">EQ-5D utility scores range from </w:t>
      </w:r>
      <w:r w:rsidRPr="00C569DB">
        <w:t>−</w:t>
      </w:r>
      <w:r>
        <w:t>0.59 to 1.00. A higher score represents better QoL.</w:t>
      </w:r>
    </w:p>
    <w:p w:rsidR="0017449B" w:rsidRDefault="0017449B" w:rsidP="0017449B">
      <w:pPr>
        <w:pStyle w:val="Tablenote"/>
      </w:pPr>
      <w:r>
        <w:rPr>
          <w:vertAlign w:val="superscript"/>
        </w:rPr>
        <w:t xml:space="preserve">b </w:t>
      </w:r>
      <w:r>
        <w:t>LPH total scores range from 0 to 105. A higher score indicates poorer QoL.</w:t>
      </w:r>
    </w:p>
    <w:p w:rsidR="0075777C" w:rsidRPr="00822C52" w:rsidRDefault="0075777C" w:rsidP="00C41039">
      <w:pPr>
        <w:pStyle w:val="Tablenote"/>
      </w:pPr>
      <w:r w:rsidRPr="00822C52">
        <w:t xml:space="preserve">CI = confidence interval; </w:t>
      </w:r>
      <w:r w:rsidR="00121EF0">
        <w:t xml:space="preserve">CSR = clinical study report; </w:t>
      </w:r>
      <w:r w:rsidR="00572AE9">
        <w:t xml:space="preserve">EQ-5D = EuroQol 5 </w:t>
      </w:r>
      <w:r w:rsidRPr="00822C52">
        <w:t>dimension; LPH = living with pulmonary hypertension; N = number of patients; PAH = pulmonary arterial hypertension; QoL = quality of Life; SD = standard deviation</w:t>
      </w:r>
      <w:r w:rsidR="009B47AA">
        <w:t>;</w:t>
      </w:r>
      <w:r w:rsidR="009B47AA" w:rsidRPr="009B47AA">
        <w:t xml:space="preserve"> sGC = solub</w:t>
      </w:r>
      <w:r w:rsidR="00074B5F">
        <w:t xml:space="preserve">le guanylate cyclase </w:t>
      </w:r>
    </w:p>
    <w:p w:rsidR="00761752" w:rsidRPr="006316DF" w:rsidRDefault="00761752" w:rsidP="00761752">
      <w:pPr>
        <w:pStyle w:val="Heading5"/>
      </w:pPr>
      <w:r>
        <w:t>g.</w:t>
      </w:r>
      <w:r>
        <w:tab/>
      </w:r>
      <w:r w:rsidRPr="006316DF">
        <w:t xml:space="preserve">Change in </w:t>
      </w:r>
      <w:r>
        <w:t>haemodynamic parameters</w:t>
      </w:r>
      <w:r w:rsidRPr="006316DF">
        <w:t xml:space="preserve"> from baseline</w:t>
      </w:r>
    </w:p>
    <w:p w:rsidR="00761752" w:rsidRPr="00822C52" w:rsidRDefault="00761752" w:rsidP="00761752">
      <w:pPr>
        <w:pStyle w:val="Heading6"/>
      </w:pPr>
      <w:r>
        <w:t>g</w:t>
      </w:r>
      <w:r w:rsidRPr="00822C52">
        <w:t>.i</w:t>
      </w:r>
      <w:r w:rsidRPr="00822C52">
        <w:tab/>
        <w:t>PAH patients, irrespective of disease severity or aetiology</w:t>
      </w:r>
    </w:p>
    <w:p w:rsidR="00761752" w:rsidRPr="008F78A0" w:rsidRDefault="00761752" w:rsidP="00761752">
      <w:r>
        <w:t xml:space="preserve">In the PATENT-1 trial, </w:t>
      </w:r>
      <w:r w:rsidRPr="000D1917">
        <w:t xml:space="preserve">patients </w:t>
      </w:r>
      <w:r>
        <w:t xml:space="preserve">who were receiving background therapy with a </w:t>
      </w:r>
      <w:r w:rsidR="0017012F">
        <w:t>prostanoid</w:t>
      </w:r>
      <w:r>
        <w:t xml:space="preserve"> and were</w:t>
      </w:r>
      <w:r w:rsidRPr="000D1917">
        <w:t xml:space="preserve"> </w:t>
      </w:r>
      <w:r>
        <w:t xml:space="preserve">randomised to riociguat treatment </w:t>
      </w:r>
      <w:r w:rsidR="00A17B9D">
        <w:rPr>
          <w:noProof/>
          <w:color w:val="000000"/>
          <w:highlight w:val="black"/>
        </w:rPr>
        <w:t>'''''''' '''''''''''' ''''''''''''</w:t>
      </w:r>
      <w:r>
        <w:t xml:space="preserve"> baseline PVR compared with than those who were randomised to placebo, </w:t>
      </w:r>
      <w:r w:rsidR="00A17B9D">
        <w:rPr>
          <w:noProof/>
          <w:color w:val="000000"/>
          <w:highlight w:val="black"/>
        </w:rPr>
        <w:t>'''''' ''''''''' '''''''''''' '''''' '''''''' ''''''''''' '''''''</w:t>
      </w:r>
      <w:r>
        <w:t xml:space="preserve"> </w:t>
      </w:r>
      <w:r w:rsidRPr="00544FB4">
        <w:t xml:space="preserve">normal </w:t>
      </w:r>
      <w:r>
        <w:t xml:space="preserve">laboratory </w:t>
      </w:r>
      <w:r w:rsidRPr="00544FB4">
        <w:t xml:space="preserve">PVR in adults </w:t>
      </w:r>
      <w:r>
        <w:t>of</w:t>
      </w:r>
      <w:r w:rsidRPr="00544FB4">
        <w:t xml:space="preserve"> &lt;250 dyn</w:t>
      </w:r>
      <w:r w:rsidR="004776AC">
        <w:t>*</w:t>
      </w:r>
      <w:r w:rsidRPr="00544FB4">
        <w:t>sec</w:t>
      </w:r>
      <w:r w:rsidR="004776AC">
        <w:t>*</w:t>
      </w:r>
      <w:r w:rsidRPr="00544FB4">
        <w:t>cm</w:t>
      </w:r>
      <w:r w:rsidR="004776AC" w:rsidRPr="004776AC">
        <w:rPr>
          <w:vertAlign w:val="superscript"/>
        </w:rPr>
        <w:t>-</w:t>
      </w:r>
      <w:r w:rsidRPr="000E7DA6">
        <w:rPr>
          <w:vertAlign w:val="superscript"/>
        </w:rPr>
        <w:t>5</w:t>
      </w:r>
      <w:r>
        <w:t xml:space="preserve">. The </w:t>
      </w:r>
      <w:r w:rsidRPr="00544FB4">
        <w:t xml:space="preserve">treatment-naïve patients </w:t>
      </w:r>
      <w:r>
        <w:t>with WHO FC I/II PAH</w:t>
      </w:r>
      <w:r w:rsidRPr="00544FB4">
        <w:t xml:space="preserve"> had a mean </w:t>
      </w:r>
      <w:r>
        <w:t xml:space="preserve">placebo-adjusted </w:t>
      </w:r>
      <w:r w:rsidR="00A17B9D">
        <w:rPr>
          <w:noProof/>
          <w:color w:val="000000"/>
          <w:highlight w:val="black"/>
        </w:rPr>
        <w:t>''''''''''''''''''</w:t>
      </w:r>
      <w:r>
        <w:t xml:space="preserve"> </w:t>
      </w:r>
      <w:r w:rsidRPr="00544FB4">
        <w:t xml:space="preserve">in PVR </w:t>
      </w:r>
      <w:r>
        <w:t xml:space="preserve">of </w:t>
      </w:r>
      <w:r w:rsidR="00A17B9D">
        <w:rPr>
          <w:noProof/>
          <w:color w:val="000000"/>
          <w:highlight w:val="black"/>
        </w:rPr>
        <w:t>''''''''</w:t>
      </w:r>
      <w:r w:rsidRPr="00544FB4">
        <w:t xml:space="preserve"> </w:t>
      </w:r>
      <w:r>
        <w:t>a</w:t>
      </w:r>
      <w:r w:rsidRPr="000E7DA6">
        <w:t xml:space="preserve">fter </w:t>
      </w:r>
      <w:r>
        <w:t>12 weeks</w:t>
      </w:r>
      <w:r w:rsidRPr="000E7DA6">
        <w:t xml:space="preserve"> of riociguat treatment </w:t>
      </w:r>
      <w:r w:rsidRPr="00544FB4">
        <w:t>(</w:t>
      </w:r>
      <w:r w:rsidR="00AA722D">
        <w:t>Table 4.</w:t>
      </w:r>
      <w:r w:rsidR="00AA722D">
        <w:rPr>
          <w:noProof/>
        </w:rPr>
        <w:t>110</w:t>
      </w:r>
      <w:r w:rsidRPr="00544FB4">
        <w:t>).</w:t>
      </w:r>
      <w:r>
        <w:t xml:space="preserve"> This difference is </w:t>
      </w:r>
      <w:r w:rsidR="00A17B9D">
        <w:rPr>
          <w:noProof/>
          <w:color w:val="000000"/>
          <w:highlight w:val="black"/>
        </w:rPr>
        <w:t>'''''''''' ''''' ''''' ''''' '''''''''''' '''''''''''''''''''''''</w:t>
      </w:r>
      <w:r>
        <w:t>.</w:t>
      </w:r>
    </w:p>
    <w:p w:rsidR="00761752" w:rsidRDefault="00761752" w:rsidP="00761752">
      <w:pPr>
        <w:pStyle w:val="Caption"/>
      </w:pPr>
      <w:bookmarkStart w:id="309" w:name="_Ref505343165"/>
      <w:bookmarkStart w:id="310" w:name="_Toc512855514"/>
      <w:r>
        <w:t>Table 4.</w:t>
      </w:r>
      <w:r w:rsidR="00AA722D">
        <w:rPr>
          <w:noProof/>
        </w:rPr>
        <w:t>110</w:t>
      </w:r>
      <w:bookmarkEnd w:id="309"/>
      <w:r>
        <w:tab/>
      </w:r>
      <w:r w:rsidRPr="006316DF">
        <w:t xml:space="preserve">The effectiveness of </w:t>
      </w:r>
      <w:r w:rsidR="001A599C">
        <w:t xml:space="preserve">a </w:t>
      </w:r>
      <w:r w:rsidR="001A599C" w:rsidRPr="001A599C">
        <w:t xml:space="preserve">sGC stimulator </w:t>
      </w:r>
      <w:r w:rsidR="007E59EC">
        <w:rPr>
          <w:noProof/>
        </w:rPr>
        <w:t xml:space="preserve">in addition to a </w:t>
      </w:r>
      <w:r w:rsidR="007E59EC" w:rsidRPr="009B4D64">
        <w:rPr>
          <w:noProof/>
        </w:rPr>
        <w:t xml:space="preserve">prostanoid compared with prostanoid </w:t>
      </w:r>
      <w:r w:rsidR="007E59EC">
        <w:rPr>
          <w:noProof/>
        </w:rPr>
        <w:t xml:space="preserve">monotherapy </w:t>
      </w:r>
      <w:r w:rsidRPr="006316DF">
        <w:t xml:space="preserve">in improving </w:t>
      </w:r>
      <w:r>
        <w:t>PVR</w:t>
      </w:r>
      <w:r w:rsidRPr="00B642BB">
        <w:t xml:space="preserve"> in </w:t>
      </w:r>
      <w:r>
        <w:t>all PAH patients</w:t>
      </w:r>
      <w:bookmarkEnd w:id="310"/>
    </w:p>
    <w:tbl>
      <w:tblPr>
        <w:tblStyle w:val="TableGrid"/>
        <w:tblW w:w="9634" w:type="dxa"/>
        <w:tblLayout w:type="fixed"/>
        <w:tblLook w:val="04A0" w:firstRow="1" w:lastRow="0" w:firstColumn="1" w:lastColumn="0" w:noHBand="0" w:noVBand="1"/>
        <w:tblCaption w:val="The effectiveness of a sGC stimulator in addition to a prostanoid compared with prostanoid monotherapy in improving PVR in all PAH patients"/>
      </w:tblPr>
      <w:tblGrid>
        <w:gridCol w:w="1271"/>
        <w:gridCol w:w="992"/>
        <w:gridCol w:w="1524"/>
        <w:gridCol w:w="1524"/>
        <w:gridCol w:w="1524"/>
        <w:gridCol w:w="1524"/>
        <w:gridCol w:w="1275"/>
      </w:tblGrid>
      <w:tr w:rsidR="00761752" w:rsidTr="001A599C">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761752" w:rsidRDefault="00761752" w:rsidP="00973227">
            <w:pPr>
              <w:pStyle w:val="Tabletext"/>
              <w:rPr>
                <w:b/>
              </w:rPr>
            </w:pPr>
            <w:r w:rsidRPr="00C41039">
              <w:rPr>
                <w:b/>
              </w:rPr>
              <w:t>Study ID</w:t>
            </w:r>
          </w:p>
          <w:p w:rsidR="001A599C" w:rsidRPr="00C41039" w:rsidRDefault="001A599C" w:rsidP="00973227">
            <w:pPr>
              <w:pStyle w:val="Tabletext"/>
              <w:rPr>
                <w:b/>
              </w:rPr>
            </w:pPr>
            <w:r w:rsidRPr="001A599C">
              <w:rPr>
                <w:b/>
              </w:rPr>
              <w:t>sGC stimulator</w:t>
            </w:r>
          </w:p>
        </w:tc>
        <w:tc>
          <w:tcPr>
            <w:tcW w:w="992" w:type="dxa"/>
            <w:vMerge w:val="restart"/>
            <w:shd w:val="clear" w:color="auto" w:fill="BFBFBF" w:themeFill="background1" w:themeFillShade="BF"/>
          </w:tcPr>
          <w:p w:rsidR="00761752" w:rsidRPr="00C41039" w:rsidRDefault="00761752" w:rsidP="00973227">
            <w:pPr>
              <w:pStyle w:val="Tabletext"/>
              <w:rPr>
                <w:b/>
              </w:rPr>
            </w:pPr>
            <w:r w:rsidRPr="00C41039">
              <w:rPr>
                <w:b/>
              </w:rPr>
              <w:t>N</w:t>
            </w:r>
          </w:p>
          <w:p w:rsidR="00761752" w:rsidRPr="00C41039" w:rsidRDefault="00761752" w:rsidP="00973227">
            <w:pPr>
              <w:pStyle w:val="Tabletext"/>
              <w:rPr>
                <w:b/>
              </w:rPr>
            </w:pPr>
            <w:r w:rsidRPr="00C41039">
              <w:rPr>
                <w:b/>
              </w:rPr>
              <w:t>Follow-up period</w:t>
            </w:r>
          </w:p>
        </w:tc>
        <w:tc>
          <w:tcPr>
            <w:tcW w:w="3048" w:type="dxa"/>
            <w:gridSpan w:val="2"/>
            <w:shd w:val="clear" w:color="auto" w:fill="BFBFBF" w:themeFill="background1" w:themeFillShade="BF"/>
          </w:tcPr>
          <w:p w:rsidR="00761752" w:rsidRPr="00C41039" w:rsidRDefault="00761752" w:rsidP="00973227">
            <w:pPr>
              <w:pStyle w:val="Tabletext"/>
              <w:jc w:val="center"/>
              <w:rPr>
                <w:b/>
              </w:rPr>
            </w:pPr>
            <w:r w:rsidRPr="00C41039">
              <w:rPr>
                <w:b/>
              </w:rPr>
              <w:t>Mean ± SD baseline PVR</w:t>
            </w:r>
            <w:r w:rsidR="00F720FC" w:rsidRPr="00F720FC">
              <w:rPr>
                <w:b/>
                <w:vertAlign w:val="superscript"/>
              </w:rPr>
              <w:t>a</w:t>
            </w:r>
            <w:r w:rsidRPr="00C41039">
              <w:rPr>
                <w:b/>
              </w:rPr>
              <w:t xml:space="preserve">, </w:t>
            </w:r>
            <w:r w:rsidR="00747709" w:rsidRPr="00747709">
              <w:rPr>
                <w:b/>
              </w:rPr>
              <w:t>dyn*sec*cm</w:t>
            </w:r>
            <w:r w:rsidR="00747709" w:rsidRPr="00747709">
              <w:rPr>
                <w:b/>
                <w:vertAlign w:val="superscript"/>
              </w:rPr>
              <w:t>-5</w:t>
            </w:r>
          </w:p>
        </w:tc>
        <w:tc>
          <w:tcPr>
            <w:tcW w:w="3048" w:type="dxa"/>
            <w:gridSpan w:val="2"/>
            <w:shd w:val="clear" w:color="auto" w:fill="BFBFBF" w:themeFill="background1" w:themeFillShade="BF"/>
          </w:tcPr>
          <w:p w:rsidR="00761752" w:rsidRPr="00E6350D" w:rsidRDefault="00761752" w:rsidP="001A599C">
            <w:pPr>
              <w:pStyle w:val="Tabletext"/>
              <w:jc w:val="center"/>
              <w:rPr>
                <w:b/>
              </w:rPr>
            </w:pPr>
            <w:r w:rsidRPr="00C41039">
              <w:rPr>
                <w:b/>
              </w:rPr>
              <w:t xml:space="preserve">Mean </w:t>
            </w:r>
            <w:r w:rsidR="001A599C">
              <w:rPr>
                <w:b/>
              </w:rPr>
              <w:t xml:space="preserve">± SD </w:t>
            </w:r>
            <w:r w:rsidRPr="00C41039">
              <w:rPr>
                <w:b/>
              </w:rPr>
              <w:t>c</w:t>
            </w:r>
            <w:r w:rsidRPr="00C41039">
              <w:rPr>
                <w:rFonts w:asciiTheme="minorHAnsi" w:hAnsiTheme="minorHAnsi"/>
                <w:b/>
              </w:rPr>
              <w:t>hange from baseline</w:t>
            </w:r>
            <w:r w:rsidRPr="00C41039">
              <w:rPr>
                <w:b/>
              </w:rPr>
              <w:t xml:space="preserve">, </w:t>
            </w:r>
            <w:r w:rsidR="00747709" w:rsidRPr="00747709">
              <w:rPr>
                <w:b/>
              </w:rPr>
              <w:t>dyn*sec*cm</w:t>
            </w:r>
            <w:r w:rsidR="00747709" w:rsidRPr="00747709">
              <w:rPr>
                <w:b/>
                <w:vertAlign w:val="superscript"/>
              </w:rPr>
              <w:t>-5</w:t>
            </w:r>
            <w:r w:rsidR="00E6350D">
              <w:rPr>
                <w:b/>
                <w:vertAlign w:val="superscript"/>
              </w:rPr>
              <w:t xml:space="preserve"> </w:t>
            </w:r>
            <w:r w:rsidR="00E6350D">
              <w:rPr>
                <w:b/>
              </w:rPr>
              <w:t>(% change from baseline)</w:t>
            </w:r>
          </w:p>
        </w:tc>
        <w:tc>
          <w:tcPr>
            <w:tcW w:w="1275" w:type="dxa"/>
            <w:vMerge w:val="restart"/>
            <w:shd w:val="clear" w:color="auto" w:fill="BFBFBF" w:themeFill="background1" w:themeFillShade="BF"/>
          </w:tcPr>
          <w:p w:rsidR="00761752" w:rsidRPr="001A599C" w:rsidRDefault="00761752" w:rsidP="001A599C">
            <w:pPr>
              <w:pStyle w:val="Tabletext"/>
              <w:rPr>
                <w:b/>
              </w:rPr>
            </w:pPr>
            <w:r w:rsidRPr="00C41039">
              <w:rPr>
                <w:b/>
              </w:rPr>
              <w:t>Mean d</w:t>
            </w:r>
            <w:r w:rsidR="001A599C">
              <w:rPr>
                <w:rFonts w:asciiTheme="minorHAnsi" w:hAnsiTheme="minorHAnsi"/>
                <w:b/>
              </w:rPr>
              <w:t>ifference</w:t>
            </w:r>
            <w:r w:rsidRPr="00C41039">
              <w:rPr>
                <w:b/>
              </w:rPr>
              <w:t xml:space="preserve">, </w:t>
            </w:r>
            <w:r w:rsidR="00747709" w:rsidRPr="00747709">
              <w:rPr>
                <w:b/>
              </w:rPr>
              <w:t>dyn*sec*cm</w:t>
            </w:r>
            <w:r w:rsidR="00747709" w:rsidRPr="00747709">
              <w:rPr>
                <w:b/>
                <w:vertAlign w:val="superscript"/>
              </w:rPr>
              <w:t>-5</w:t>
            </w:r>
            <w:r w:rsidR="00E6350D">
              <w:rPr>
                <w:b/>
              </w:rPr>
              <w:br/>
              <w:t>(% change)</w:t>
            </w:r>
          </w:p>
        </w:tc>
      </w:tr>
      <w:tr w:rsidR="00761752" w:rsidTr="001A599C">
        <w:tc>
          <w:tcPr>
            <w:tcW w:w="1271" w:type="dxa"/>
            <w:vMerge/>
          </w:tcPr>
          <w:p w:rsidR="00761752" w:rsidRDefault="00761752" w:rsidP="00973227">
            <w:pPr>
              <w:pStyle w:val="Tabletext"/>
            </w:pPr>
          </w:p>
        </w:tc>
        <w:tc>
          <w:tcPr>
            <w:tcW w:w="992" w:type="dxa"/>
            <w:vMerge/>
          </w:tcPr>
          <w:p w:rsidR="00761752" w:rsidRDefault="00761752" w:rsidP="00973227">
            <w:pPr>
              <w:pStyle w:val="Tabletext"/>
            </w:pPr>
          </w:p>
        </w:tc>
        <w:tc>
          <w:tcPr>
            <w:tcW w:w="1524" w:type="dxa"/>
            <w:shd w:val="clear" w:color="auto" w:fill="BFBFBF" w:themeFill="background1" w:themeFillShade="BF"/>
          </w:tcPr>
          <w:p w:rsidR="00761752" w:rsidRPr="00C41039" w:rsidRDefault="001A599C" w:rsidP="00973227">
            <w:pPr>
              <w:pStyle w:val="Tabletext"/>
              <w:jc w:val="center"/>
              <w:rPr>
                <w:b/>
              </w:rPr>
            </w:pPr>
            <w:r w:rsidRPr="001A599C">
              <w:rPr>
                <w:b/>
              </w:rPr>
              <w:t xml:space="preserve">sGC stimulator </w:t>
            </w:r>
            <w:r w:rsidR="00761752" w:rsidRPr="00C41039">
              <w:rPr>
                <w:b/>
              </w:rPr>
              <w:t>+ prostanoid</w:t>
            </w:r>
          </w:p>
        </w:tc>
        <w:tc>
          <w:tcPr>
            <w:tcW w:w="1524" w:type="dxa"/>
            <w:shd w:val="clear" w:color="auto" w:fill="BFBFBF" w:themeFill="background1" w:themeFillShade="BF"/>
          </w:tcPr>
          <w:p w:rsidR="00761752" w:rsidRPr="00C41039" w:rsidRDefault="00761752" w:rsidP="00534ADA">
            <w:pPr>
              <w:pStyle w:val="Tabletext"/>
              <w:jc w:val="center"/>
              <w:rPr>
                <w:b/>
              </w:rPr>
            </w:pPr>
            <w:r w:rsidRPr="00C41039">
              <w:rPr>
                <w:b/>
              </w:rPr>
              <w:t>Prostanoid</w:t>
            </w:r>
          </w:p>
        </w:tc>
        <w:tc>
          <w:tcPr>
            <w:tcW w:w="1524" w:type="dxa"/>
            <w:shd w:val="clear" w:color="auto" w:fill="BFBFBF" w:themeFill="background1" w:themeFillShade="BF"/>
          </w:tcPr>
          <w:p w:rsidR="00761752" w:rsidRPr="00C41039" w:rsidRDefault="001A599C" w:rsidP="00973227">
            <w:pPr>
              <w:pStyle w:val="Tabletext"/>
              <w:jc w:val="center"/>
              <w:rPr>
                <w:b/>
              </w:rPr>
            </w:pPr>
            <w:r w:rsidRPr="001A599C">
              <w:rPr>
                <w:b/>
              </w:rPr>
              <w:t xml:space="preserve">sGC stimulator </w:t>
            </w:r>
            <w:r w:rsidR="00761752" w:rsidRPr="00C41039">
              <w:rPr>
                <w:b/>
              </w:rPr>
              <w:t>+ prostanoid</w:t>
            </w:r>
          </w:p>
        </w:tc>
        <w:tc>
          <w:tcPr>
            <w:tcW w:w="1524" w:type="dxa"/>
            <w:shd w:val="clear" w:color="auto" w:fill="BFBFBF" w:themeFill="background1" w:themeFillShade="BF"/>
          </w:tcPr>
          <w:p w:rsidR="00761752" w:rsidRPr="00C41039" w:rsidRDefault="00761752" w:rsidP="00534ADA">
            <w:pPr>
              <w:pStyle w:val="Tabletext"/>
              <w:jc w:val="center"/>
              <w:rPr>
                <w:b/>
              </w:rPr>
            </w:pPr>
            <w:r w:rsidRPr="00C41039">
              <w:rPr>
                <w:b/>
              </w:rPr>
              <w:t>Prostanoid</w:t>
            </w:r>
          </w:p>
        </w:tc>
        <w:tc>
          <w:tcPr>
            <w:tcW w:w="1275" w:type="dxa"/>
            <w:vMerge/>
          </w:tcPr>
          <w:p w:rsidR="00761752" w:rsidRDefault="00761752" w:rsidP="00973227">
            <w:pPr>
              <w:pStyle w:val="Tabletext"/>
            </w:pPr>
          </w:p>
        </w:tc>
      </w:tr>
      <w:tr w:rsidR="00761752" w:rsidTr="001A599C">
        <w:tc>
          <w:tcPr>
            <w:tcW w:w="1271" w:type="dxa"/>
          </w:tcPr>
          <w:p w:rsidR="001A599C" w:rsidRDefault="00761752" w:rsidP="00973227">
            <w:pPr>
              <w:pStyle w:val="Tabletext"/>
              <w:rPr>
                <w:rFonts w:asciiTheme="minorHAnsi" w:hAnsiTheme="minorHAnsi" w:cs="Tahoma"/>
              </w:rPr>
            </w:pPr>
            <w:r w:rsidRPr="006316DF">
              <w:rPr>
                <w:rFonts w:asciiTheme="minorHAnsi" w:hAnsiTheme="minorHAnsi" w:cs="Tahoma"/>
              </w:rPr>
              <w:t>PATENT-1 CSR</w:t>
            </w:r>
          </w:p>
          <w:p w:rsidR="00761752" w:rsidRPr="001A599C" w:rsidRDefault="001A599C" w:rsidP="00973227">
            <w:pPr>
              <w:pStyle w:val="Tabletext"/>
            </w:pPr>
            <w:r w:rsidRPr="001A599C">
              <w:t>Riociguat</w:t>
            </w:r>
          </w:p>
        </w:tc>
        <w:tc>
          <w:tcPr>
            <w:tcW w:w="992" w:type="dxa"/>
          </w:tcPr>
          <w:p w:rsidR="00761752" w:rsidRPr="006316DF" w:rsidRDefault="00761752" w:rsidP="00973227">
            <w:pPr>
              <w:pStyle w:val="Tabletext"/>
              <w:rPr>
                <w:rFonts w:cs="Tahoma"/>
              </w:rPr>
            </w:pPr>
            <w:r w:rsidRPr="006316DF">
              <w:rPr>
                <w:rFonts w:cs="Tahoma"/>
              </w:rPr>
              <w:t>N=</w:t>
            </w:r>
            <w:r>
              <w:rPr>
                <w:rFonts w:cs="Tahoma"/>
              </w:rPr>
              <w:t>24</w:t>
            </w:r>
          </w:p>
          <w:p w:rsidR="00761752" w:rsidRDefault="00761752" w:rsidP="00973227">
            <w:pPr>
              <w:pStyle w:val="Tabletext"/>
            </w:pPr>
            <w:r>
              <w:rPr>
                <w:rFonts w:cs="Tahoma"/>
              </w:rPr>
              <w:t>12 weeks</w:t>
            </w:r>
          </w:p>
        </w:tc>
        <w:tc>
          <w:tcPr>
            <w:tcW w:w="1524" w:type="dxa"/>
          </w:tcPr>
          <w:p w:rsidR="00761752" w:rsidRPr="00A17B9D" w:rsidRDefault="00A17B9D" w:rsidP="00973227">
            <w:pPr>
              <w:pStyle w:val="Tabletext"/>
              <w:jc w:val="center"/>
              <w:rPr>
                <w:highlight w:val="black"/>
              </w:rPr>
            </w:pPr>
            <w:r>
              <w:rPr>
                <w:rFonts w:cs="Tahoma"/>
                <w:noProof/>
                <w:color w:val="000000"/>
                <w:highlight w:val="black"/>
              </w:rPr>
              <w:t>''''''''' ''' '''''''''</w:t>
            </w:r>
          </w:p>
        </w:tc>
        <w:tc>
          <w:tcPr>
            <w:tcW w:w="1524" w:type="dxa"/>
          </w:tcPr>
          <w:p w:rsidR="00761752" w:rsidRPr="00A17B9D" w:rsidRDefault="00A17B9D" w:rsidP="00973227">
            <w:pPr>
              <w:pStyle w:val="Tabletext"/>
              <w:jc w:val="center"/>
              <w:rPr>
                <w:highlight w:val="black"/>
              </w:rPr>
            </w:pPr>
            <w:r>
              <w:rPr>
                <w:rFonts w:cs="Tahoma"/>
                <w:noProof/>
                <w:color w:val="000000"/>
                <w:highlight w:val="black"/>
              </w:rPr>
              <w:t>'''''''''' ''' ''''''''''</w:t>
            </w:r>
          </w:p>
        </w:tc>
        <w:tc>
          <w:tcPr>
            <w:tcW w:w="1524" w:type="dxa"/>
          </w:tcPr>
          <w:p w:rsidR="00761752" w:rsidRPr="00A17B9D" w:rsidRDefault="00A17B9D" w:rsidP="00973227">
            <w:pPr>
              <w:pStyle w:val="Tabletext"/>
              <w:jc w:val="center"/>
              <w:rPr>
                <w:rFonts w:cs="Tahoma"/>
                <w:highlight w:val="black"/>
              </w:rPr>
            </w:pPr>
            <w:r>
              <w:rPr>
                <w:rFonts w:cs="Tahoma"/>
                <w:noProof/>
                <w:color w:val="000000"/>
                <w:highlight w:val="black"/>
              </w:rPr>
              <w:t>''''''''''' ''' '''''''''</w:t>
            </w:r>
          </w:p>
          <w:p w:rsidR="00761752" w:rsidRPr="00A17B9D" w:rsidRDefault="00A17B9D" w:rsidP="00B64E57">
            <w:pPr>
              <w:pStyle w:val="Tabletext"/>
              <w:jc w:val="center"/>
              <w:rPr>
                <w:highlight w:val="black"/>
              </w:rPr>
            </w:pPr>
            <w:r>
              <w:rPr>
                <w:rFonts w:cs="Tahoma"/>
                <w:noProof/>
                <w:color w:val="000000"/>
                <w:highlight w:val="black"/>
              </w:rPr>
              <w:t>'''''''''''''''' ''''''''''''''''''''''</w:t>
            </w:r>
          </w:p>
        </w:tc>
        <w:tc>
          <w:tcPr>
            <w:tcW w:w="1524" w:type="dxa"/>
          </w:tcPr>
          <w:p w:rsidR="00761752" w:rsidRPr="00A17B9D" w:rsidRDefault="00A17B9D" w:rsidP="00973227">
            <w:pPr>
              <w:pStyle w:val="Tabletext"/>
              <w:jc w:val="center"/>
              <w:rPr>
                <w:rFonts w:cs="Tahoma"/>
                <w:highlight w:val="black"/>
              </w:rPr>
            </w:pPr>
            <w:r>
              <w:rPr>
                <w:rFonts w:cs="Tahoma"/>
                <w:noProof/>
                <w:color w:val="000000"/>
                <w:highlight w:val="black"/>
              </w:rPr>
              <w:t>''''' ''' '''''''''</w:t>
            </w:r>
          </w:p>
          <w:p w:rsidR="00761752" w:rsidRPr="00A17B9D" w:rsidRDefault="00A17B9D" w:rsidP="00E6350D">
            <w:pPr>
              <w:pStyle w:val="Tabletext"/>
              <w:jc w:val="center"/>
              <w:rPr>
                <w:highlight w:val="black"/>
              </w:rPr>
            </w:pPr>
            <w:r>
              <w:rPr>
                <w:rFonts w:cs="Tahoma"/>
                <w:noProof/>
                <w:color w:val="000000"/>
                <w:highlight w:val="black"/>
              </w:rPr>
              <w:t>''''''''''''' ''''''''''''''''''''''''</w:t>
            </w:r>
          </w:p>
        </w:tc>
        <w:tc>
          <w:tcPr>
            <w:tcW w:w="1275" w:type="dxa"/>
          </w:tcPr>
          <w:p w:rsidR="00761752" w:rsidRPr="00A17B9D" w:rsidRDefault="00A17B9D" w:rsidP="00973227">
            <w:pPr>
              <w:pStyle w:val="Tabletext"/>
              <w:rPr>
                <w:rFonts w:cs="Tahoma"/>
                <w:highlight w:val="black"/>
              </w:rPr>
            </w:pPr>
            <w:r>
              <w:rPr>
                <w:rFonts w:cs="Tahoma"/>
                <w:noProof/>
                <w:color w:val="000000"/>
                <w:highlight w:val="black"/>
              </w:rPr>
              <w:t>'''''''''''</w:t>
            </w:r>
          </w:p>
          <w:p w:rsidR="00761752" w:rsidRPr="00A17B9D" w:rsidRDefault="00A17B9D" w:rsidP="00E6350D">
            <w:pPr>
              <w:pStyle w:val="Tabletext"/>
              <w:rPr>
                <w:highlight w:val="black"/>
              </w:rPr>
            </w:pPr>
            <w:r>
              <w:rPr>
                <w:rFonts w:cs="Tahoma"/>
                <w:noProof/>
                <w:color w:val="000000"/>
                <w:highlight w:val="black"/>
              </w:rPr>
              <w:t>'''''''''''''''''''''</w:t>
            </w:r>
          </w:p>
        </w:tc>
      </w:tr>
    </w:tbl>
    <w:p w:rsidR="00F720FC" w:rsidRDefault="00F720FC" w:rsidP="00F720FC">
      <w:pPr>
        <w:pStyle w:val="Tablenote"/>
      </w:pPr>
      <w:r w:rsidRPr="00DE3429">
        <w:rPr>
          <w:vertAlign w:val="superscript"/>
        </w:rPr>
        <w:t>a</w:t>
      </w:r>
      <w:r w:rsidRPr="00822C52">
        <w:t xml:space="preserve"> </w:t>
      </w:r>
      <w:r>
        <w:t xml:space="preserve">A decrease in PVR indicates improvement in </w:t>
      </w:r>
      <w:r w:rsidR="007E658F">
        <w:t>haemodynamic parameters</w:t>
      </w:r>
      <w:r>
        <w:t xml:space="preserve">. </w:t>
      </w:r>
    </w:p>
    <w:p w:rsidR="00761752" w:rsidRPr="006316DF" w:rsidRDefault="00761752" w:rsidP="00761752">
      <w:pPr>
        <w:pStyle w:val="Tablenote"/>
      </w:pPr>
      <w:r w:rsidRPr="006316DF">
        <w:t>CSR = clinical study report; N = number of patients</w:t>
      </w:r>
      <w:r>
        <w:t xml:space="preserve">; PVR = </w:t>
      </w:r>
      <w:r w:rsidRPr="007A4F5B">
        <w:t>pulmonary vascular resistance</w:t>
      </w:r>
      <w:r w:rsidRPr="00C51FB4">
        <w:t>; SD = standard deviation</w:t>
      </w:r>
      <w:r w:rsidR="009B47AA">
        <w:t>;</w:t>
      </w:r>
      <w:r w:rsidR="009B47AA" w:rsidRPr="009B47AA">
        <w:t xml:space="preserve"> sGC = solub</w:t>
      </w:r>
      <w:r w:rsidR="00074B5F">
        <w:t xml:space="preserve">le guanylate cyclase </w:t>
      </w:r>
    </w:p>
    <w:p w:rsidR="0075777C" w:rsidRPr="00822C52" w:rsidRDefault="002E4833" w:rsidP="0075777C">
      <w:pPr>
        <w:pStyle w:val="Heading5"/>
      </w:pPr>
      <w:r>
        <w:t xml:space="preserve">h. </w:t>
      </w:r>
      <w:r w:rsidR="0075777C">
        <w:t>Comparative s</w:t>
      </w:r>
      <w:r w:rsidR="0075777C" w:rsidRPr="00822C52">
        <w:t>afety</w:t>
      </w:r>
    </w:p>
    <w:p w:rsidR="006E1D91" w:rsidRDefault="0075777C" w:rsidP="0075777C">
      <w:r>
        <w:t>The PATENT-1 trial did not</w:t>
      </w:r>
      <w:r w:rsidRPr="006316DF">
        <w:t xml:space="preserve"> report on the comparative safety </w:t>
      </w:r>
      <w:r>
        <w:t xml:space="preserve">of the subgroup of patients </w:t>
      </w:r>
      <w:r w:rsidRPr="006316DF">
        <w:t>with PAH</w:t>
      </w:r>
      <w:r>
        <w:t xml:space="preserve"> receiving background therapy with a </w:t>
      </w:r>
      <w:r w:rsidR="00C41039">
        <w:t>prostanoid</w:t>
      </w:r>
      <w:r>
        <w:t xml:space="preserve"> in addition to the sGC stimulator compared with a placebo plus</w:t>
      </w:r>
      <w:r w:rsidRPr="006316DF">
        <w:t xml:space="preserve"> </w:t>
      </w:r>
      <w:r w:rsidR="00C41039" w:rsidRPr="006316DF">
        <w:t>p</w:t>
      </w:r>
      <w:r w:rsidR="00C41039">
        <w:t>rostanoid</w:t>
      </w:r>
      <w:r>
        <w:t xml:space="preserve"> in the</w:t>
      </w:r>
      <w:r w:rsidRPr="006316DF">
        <w:t xml:space="preserve"> </w:t>
      </w:r>
      <w:r>
        <w:t>treatment.</w:t>
      </w:r>
    </w:p>
    <w:p w:rsidR="006E1D91" w:rsidRDefault="006E1D91">
      <w:pPr>
        <w:spacing w:before="0" w:line="240" w:lineRule="auto"/>
      </w:pPr>
      <w:r>
        <w:br w:type="page"/>
      </w:r>
    </w:p>
    <w:p w:rsidR="008060FB" w:rsidRDefault="008060FB" w:rsidP="00395F6E">
      <w:pPr>
        <w:pStyle w:val="Heading3"/>
      </w:pPr>
      <w:bookmarkStart w:id="311" w:name="_Toc512855391"/>
      <w:r w:rsidRPr="00EB1471">
        <w:lastRenderedPageBreak/>
        <w:t xml:space="preserve">Research question </w:t>
      </w:r>
      <w:r w:rsidR="00395F6E" w:rsidRPr="00EB1471">
        <w:t>4</w:t>
      </w:r>
      <w:bookmarkEnd w:id="311"/>
    </w:p>
    <w:p w:rsidR="0075777C" w:rsidRPr="00BB76F5" w:rsidRDefault="0075777C" w:rsidP="0075777C">
      <w:pPr>
        <w:rPr>
          <w:i/>
        </w:rPr>
      </w:pPr>
      <w:r w:rsidRPr="00BB76F5">
        <w:rPr>
          <w:i/>
        </w:rPr>
        <w:t xml:space="preserve">What is the effectiveness and safety of triple combination therapy involving any combination of an ERA, a </w:t>
      </w:r>
      <w:r>
        <w:rPr>
          <w:i/>
        </w:rPr>
        <w:t>PDE-5 inhibitor</w:t>
      </w:r>
      <w:r w:rsidRPr="00BB76F5">
        <w:rPr>
          <w:i/>
        </w:rPr>
        <w:t xml:space="preserve">, a prostanoid, or a </w:t>
      </w:r>
      <w:r>
        <w:rPr>
          <w:i/>
        </w:rPr>
        <w:t>sGC stimulator</w:t>
      </w:r>
      <w:r w:rsidRPr="00BB76F5">
        <w:rPr>
          <w:i/>
        </w:rPr>
        <w:t>, compared to dual combination therapy, in: i) PAH patients, irrespective of disease severity or aetiology; ii) PAH patients with FC III or IV; and iii) PAH patients with different disease aetiologies?</w:t>
      </w:r>
    </w:p>
    <w:p w:rsidR="005A20F4" w:rsidRPr="005A20F4" w:rsidRDefault="0075777C" w:rsidP="0075777C">
      <w:r w:rsidRPr="006316DF">
        <w:t xml:space="preserve">There was no evidence concerning the effectiveness and safety of </w:t>
      </w:r>
      <w:r w:rsidRPr="00C64992">
        <w:t xml:space="preserve">triple combination therapy </w:t>
      </w:r>
      <w:r w:rsidRPr="006316DF">
        <w:t>with PAH medicine</w:t>
      </w:r>
      <w:r>
        <w:t>s</w:t>
      </w:r>
      <w:r w:rsidRPr="006316DF">
        <w:t xml:space="preserve">, compared to </w:t>
      </w:r>
      <w:r w:rsidRPr="00C64992">
        <w:t>dual combination therapy</w:t>
      </w:r>
      <w:r w:rsidRPr="006316DF">
        <w:t xml:space="preserve">, in </w:t>
      </w:r>
      <w:r>
        <w:t xml:space="preserve">any </w:t>
      </w:r>
      <w:r w:rsidRPr="006316DF">
        <w:t>patients with PAH.</w:t>
      </w:r>
    </w:p>
    <w:p w:rsidR="006966DC" w:rsidRDefault="006966DC" w:rsidP="006966DC">
      <w:pPr>
        <w:pStyle w:val="Heading3"/>
      </w:pPr>
      <w:bookmarkStart w:id="312" w:name="_Toc512855392"/>
      <w:bookmarkEnd w:id="141"/>
      <w:bookmarkEnd w:id="142"/>
      <w:bookmarkEnd w:id="143"/>
      <w:r>
        <w:t xml:space="preserve">Extended assessment of safety of PAH </w:t>
      </w:r>
      <w:r w:rsidR="00701049">
        <w:t>medicine</w:t>
      </w:r>
      <w:r>
        <w:t>s</w:t>
      </w:r>
      <w:bookmarkEnd w:id="312"/>
    </w:p>
    <w:p w:rsidR="008060FB" w:rsidRPr="00EB1471" w:rsidRDefault="00395F6E" w:rsidP="00395F6E">
      <w:pPr>
        <w:pStyle w:val="Heading4"/>
      </w:pPr>
      <w:r w:rsidRPr="00EB1471">
        <w:t>4.4.5.1</w:t>
      </w:r>
      <w:r w:rsidRPr="00EB1471">
        <w:tab/>
      </w:r>
      <w:r w:rsidR="00484F80">
        <w:tab/>
      </w:r>
      <w:r w:rsidR="008060FB" w:rsidRPr="00EB1471">
        <w:t xml:space="preserve">Results from clinical evidence included for extended safety assessment </w:t>
      </w:r>
    </w:p>
    <w:p w:rsidR="001D0FDA" w:rsidRPr="00EB1471" w:rsidRDefault="001D0FDA" w:rsidP="001D0FDA">
      <w:bookmarkStart w:id="313" w:name="_Ref467768016"/>
      <w:bookmarkStart w:id="314" w:name="_Ref467928105"/>
      <w:bookmarkStart w:id="315" w:name="_Ref467938119"/>
      <w:r w:rsidRPr="00EB1471">
        <w:t xml:space="preserve">No studies have been identified to be included in this section for extended assessment of safety concerning macitentan and iloprost. Safety results from clinical studies for other PAH medicines are summarised below. </w:t>
      </w:r>
    </w:p>
    <w:p w:rsidR="001D0FDA" w:rsidRPr="00EB1471" w:rsidRDefault="001D0FDA" w:rsidP="00480FDF">
      <w:pPr>
        <w:pStyle w:val="Heading5"/>
        <w:numPr>
          <w:ilvl w:val="4"/>
          <w:numId w:val="45"/>
        </w:numPr>
      </w:pPr>
      <w:r w:rsidRPr="00EB1471">
        <w:t>ERA</w:t>
      </w:r>
    </w:p>
    <w:p w:rsidR="001D0FDA" w:rsidRPr="00EB1471" w:rsidRDefault="001D0FDA" w:rsidP="00480FDF">
      <w:pPr>
        <w:pStyle w:val="Heading6"/>
        <w:numPr>
          <w:ilvl w:val="5"/>
          <w:numId w:val="45"/>
        </w:numPr>
      </w:pPr>
      <w:r w:rsidRPr="00EB1471">
        <w:t>Bosentan</w:t>
      </w:r>
    </w:p>
    <w:p w:rsidR="001D0FDA" w:rsidRPr="00EB1471" w:rsidRDefault="001D0FDA" w:rsidP="001D0FDA">
      <w:r w:rsidRPr="00EB1471">
        <w:t>A total of five single-arm observational studies were identified for extended safety assessment of bosentan. The follow-up period varied between 2 years to 4.3 years across studies. Among the included studies, Keogh 2011 was the largest study (N=528) which was a prospective, multicentre, Australian registry funded by the sponsor of bosentan (Actelion Pharmaceuticals). The registry was established subsequent to the listing of bosentan on the PBS, as pa</w:t>
      </w:r>
      <w:r w:rsidR="002A66C2">
        <w:t>rt of a risk-sharing agreement.</w:t>
      </w:r>
    </w:p>
    <w:p w:rsidR="001D0FDA" w:rsidRPr="00EB1471" w:rsidRDefault="001D0FDA" w:rsidP="001D0FDA">
      <w:r w:rsidRPr="00EB1471">
        <w:t>Limited safety data were provided by published papers on the five included studies (</w:t>
      </w:r>
      <w:r w:rsidR="00AA722D">
        <w:t>Table 4.</w:t>
      </w:r>
      <w:r w:rsidR="00AA722D">
        <w:rPr>
          <w:noProof/>
        </w:rPr>
        <w:t>111</w:t>
      </w:r>
      <w:r w:rsidRPr="00EB1471">
        <w:t>). The safety profile of bosentan reported in the paediatric PAH patients in Study Hislop 2011</w:t>
      </w:r>
      <w:r w:rsidR="001D34EE" w:rsidRPr="001A1C44">
        <w:rPr>
          <w:noProof/>
          <w:vertAlign w:val="superscript"/>
        </w:rPr>
        <w:t>58</w:t>
      </w:r>
      <w:r w:rsidRPr="00EB1471">
        <w:t xml:space="preserve"> appeared comparable to that in the other four studies whose subjects were all or predominantly adults </w:t>
      </w:r>
      <w:r w:rsidR="001D34EE" w:rsidRPr="001A1C44">
        <w:rPr>
          <w:noProof/>
          <w:vertAlign w:val="superscript"/>
        </w:rPr>
        <w:t>57</w:t>
      </w:r>
      <w:r w:rsidR="001A1C44" w:rsidRPr="001A1C44">
        <w:rPr>
          <w:noProof/>
          <w:vertAlign w:val="superscript"/>
        </w:rPr>
        <w:t xml:space="preserve">, </w:t>
      </w:r>
      <w:r w:rsidR="001D34EE" w:rsidRPr="001A1C44">
        <w:rPr>
          <w:noProof/>
          <w:vertAlign w:val="superscript"/>
        </w:rPr>
        <w:t>60</w:t>
      </w:r>
      <w:r w:rsidR="001A1C44" w:rsidRPr="001A1C44">
        <w:rPr>
          <w:noProof/>
          <w:vertAlign w:val="superscript"/>
        </w:rPr>
        <w:t xml:space="preserve">, </w:t>
      </w:r>
      <w:r w:rsidR="001D34EE" w:rsidRPr="001A1C44">
        <w:rPr>
          <w:noProof/>
          <w:vertAlign w:val="superscript"/>
        </w:rPr>
        <w:t>66</w:t>
      </w:r>
      <w:r w:rsidR="001A1C44" w:rsidRPr="001A1C44">
        <w:rPr>
          <w:noProof/>
          <w:vertAlign w:val="superscript"/>
        </w:rPr>
        <w:t xml:space="preserve">, </w:t>
      </w:r>
      <w:r w:rsidR="001D34EE" w:rsidRPr="001A1C44">
        <w:rPr>
          <w:noProof/>
          <w:vertAlign w:val="superscript"/>
        </w:rPr>
        <w:t>72</w:t>
      </w:r>
      <w:r w:rsidRPr="00EB1471">
        <w:t xml:space="preserve">. None of the studies reported the incidence of any </w:t>
      </w:r>
      <w:r w:rsidR="006B2A7D">
        <w:t>AE</w:t>
      </w:r>
      <w:r w:rsidRPr="00EB1471">
        <w:t xml:space="preserve">s during the study period. Serious </w:t>
      </w:r>
      <w:r w:rsidR="006B2A7D">
        <w:t>AE</w:t>
      </w:r>
      <w:r w:rsidRPr="00EB1471">
        <w:t>s were either not observed (in Hislop 2011) or not reported (in the other four studies). Deaths judged to be related to bosentan were reported in two (1%) patients in the EARLY extension study: convulsion/vasculitis/worsening PAH in one patient and antiphospholipid syndrome/sudden death/systemic lupus erythematosus in the other patient</w:t>
      </w:r>
      <w:r w:rsidR="001D34EE" w:rsidRPr="001A1C44">
        <w:rPr>
          <w:noProof/>
          <w:vertAlign w:val="superscript"/>
        </w:rPr>
        <w:t>57</w:t>
      </w:r>
      <w:r w:rsidRPr="00EB1471">
        <w:t xml:space="preserve">. </w:t>
      </w:r>
      <w:r w:rsidR="006B2A7D">
        <w:t>AE</w:t>
      </w:r>
      <w:r w:rsidRPr="00EB1471">
        <w:t xml:space="preserve">s leading to treatment withdrawal occurred in a higher proportion of patients in the EARLY extension study than in the other four studies (20% vs 0%-6%). Similar trend was observed for </w:t>
      </w:r>
      <w:r w:rsidR="006B2A7D">
        <w:t>AE</w:t>
      </w:r>
      <w:r w:rsidRPr="00EB1471">
        <w:t xml:space="preserve"> of abnormal liver function (17% vs 2%-4%). In the EARLY extension study, a haemoglobin concentration of ≤100 g/L was found in 26 (15%) patients, only one of whom had a pre-treatment baseline value of ≤100 g/L. Peripheral oedema was reported to occur in the EARLY extension study, but the incidence rate was not provided. Information on the occurrence of anaemia and fluid retenti</w:t>
      </w:r>
      <w:r w:rsidR="002A66C2">
        <w:t>on in other studies is lacking.</w:t>
      </w:r>
    </w:p>
    <w:p w:rsidR="001D0FDA" w:rsidRPr="00EB1471" w:rsidRDefault="001D0FDA" w:rsidP="001D0FDA">
      <w:pPr>
        <w:pStyle w:val="Caption"/>
      </w:pPr>
      <w:bookmarkStart w:id="316" w:name="_Ref505949179"/>
      <w:bookmarkStart w:id="317" w:name="_Toc512855515"/>
      <w:r>
        <w:lastRenderedPageBreak/>
        <w:t>Table 4.</w:t>
      </w:r>
      <w:r w:rsidR="00AA722D">
        <w:rPr>
          <w:noProof/>
        </w:rPr>
        <w:t>111</w:t>
      </w:r>
      <w:bookmarkEnd w:id="316"/>
      <w:r>
        <w:tab/>
      </w:r>
      <w:r w:rsidRPr="00EB1471">
        <w:t>AEs reported in bosentan studies included for extended assessment of safety</w:t>
      </w:r>
      <w:bookmarkEnd w:id="317"/>
    </w:p>
    <w:tbl>
      <w:tblPr>
        <w:tblStyle w:val="TableGrid"/>
        <w:tblW w:w="9776" w:type="dxa"/>
        <w:tblLayout w:type="fixed"/>
        <w:tblLook w:val="04A0" w:firstRow="1" w:lastRow="0" w:firstColumn="1" w:lastColumn="0" w:noHBand="0" w:noVBand="1"/>
        <w:tblCaption w:val="AEs reported in bosentan studies included for extended assessment of safety"/>
      </w:tblPr>
      <w:tblGrid>
        <w:gridCol w:w="2122"/>
        <w:gridCol w:w="1559"/>
        <w:gridCol w:w="1418"/>
        <w:gridCol w:w="1559"/>
        <w:gridCol w:w="1559"/>
        <w:gridCol w:w="1559"/>
      </w:tblGrid>
      <w:tr w:rsidR="001D0FDA" w:rsidRPr="00EB1471" w:rsidTr="001D0FDA">
        <w:trPr>
          <w:cnfStyle w:val="100000000000" w:firstRow="1" w:lastRow="0" w:firstColumn="0" w:lastColumn="0" w:oddVBand="0" w:evenVBand="0" w:oddHBand="0" w:evenHBand="0" w:firstRowFirstColumn="0" w:firstRowLastColumn="0" w:lastRowFirstColumn="0" w:lastRowLastColumn="0"/>
        </w:trPr>
        <w:tc>
          <w:tcPr>
            <w:tcW w:w="2122" w:type="dxa"/>
            <w:shd w:val="clear" w:color="auto" w:fill="BFBFBF" w:themeFill="background1" w:themeFillShade="BF"/>
          </w:tcPr>
          <w:p w:rsidR="001D0FDA" w:rsidRPr="00FD0BAE" w:rsidRDefault="00FD0BAE" w:rsidP="001D0FDA">
            <w:pPr>
              <w:pStyle w:val="Tabletext"/>
              <w:rPr>
                <w:b/>
              </w:rPr>
            </w:pPr>
            <w:r w:rsidRPr="00FD0BAE">
              <w:rPr>
                <w:b/>
              </w:rPr>
              <w:t>AEs</w:t>
            </w:r>
          </w:p>
        </w:tc>
        <w:tc>
          <w:tcPr>
            <w:tcW w:w="1559" w:type="dxa"/>
            <w:shd w:val="clear" w:color="auto" w:fill="BFBFBF" w:themeFill="background1" w:themeFillShade="BF"/>
          </w:tcPr>
          <w:p w:rsidR="001D0FDA" w:rsidRPr="00EB1471" w:rsidRDefault="001D0FDA" w:rsidP="001D0FDA">
            <w:pPr>
              <w:pStyle w:val="Tabletext"/>
              <w:jc w:val="center"/>
              <w:rPr>
                <w:rFonts w:cs="Tahoma"/>
                <w:b/>
              </w:rPr>
            </w:pPr>
            <w:r w:rsidRPr="00EB1471">
              <w:rPr>
                <w:rFonts w:cs="Tahoma"/>
                <w:b/>
              </w:rPr>
              <w:t>EARLY extension study</w:t>
            </w:r>
          </w:p>
          <w:p w:rsidR="001D0FDA" w:rsidRPr="00EB1471" w:rsidRDefault="001D0FDA" w:rsidP="001D0FDA">
            <w:pPr>
              <w:pStyle w:val="Tabletext"/>
              <w:jc w:val="center"/>
              <w:rPr>
                <w:rFonts w:cs="Tahoma"/>
                <w:b/>
              </w:rPr>
            </w:pPr>
            <w:r w:rsidRPr="00EB1471">
              <w:rPr>
                <w:rFonts w:cs="Tahoma"/>
                <w:b/>
              </w:rPr>
              <w:t>(N=173)</w:t>
            </w:r>
          </w:p>
        </w:tc>
        <w:tc>
          <w:tcPr>
            <w:tcW w:w="1418" w:type="dxa"/>
            <w:shd w:val="clear" w:color="auto" w:fill="BFBFBF" w:themeFill="background1" w:themeFillShade="BF"/>
          </w:tcPr>
          <w:p w:rsidR="001D0FDA" w:rsidRPr="00EB1471" w:rsidRDefault="001D0FDA" w:rsidP="001D0FDA">
            <w:pPr>
              <w:pStyle w:val="Tabletext"/>
              <w:jc w:val="center"/>
              <w:rPr>
                <w:rFonts w:cs="Tahoma"/>
                <w:b/>
              </w:rPr>
            </w:pPr>
            <w:r w:rsidRPr="00EB1471">
              <w:rPr>
                <w:rFonts w:cs="Tahoma"/>
                <w:b/>
              </w:rPr>
              <w:t>Hislop 2011</w:t>
            </w:r>
          </w:p>
          <w:p w:rsidR="001D0FDA" w:rsidRPr="00EB1471" w:rsidRDefault="001D0FDA" w:rsidP="001D0FDA">
            <w:pPr>
              <w:pStyle w:val="Tabletext"/>
              <w:jc w:val="center"/>
              <w:rPr>
                <w:rFonts w:cs="Tahoma"/>
                <w:b/>
              </w:rPr>
            </w:pPr>
            <w:r w:rsidRPr="00EB1471">
              <w:rPr>
                <w:rFonts w:cs="Tahoma"/>
                <w:b/>
              </w:rPr>
              <w:t>(N=101)</w:t>
            </w:r>
          </w:p>
        </w:tc>
        <w:tc>
          <w:tcPr>
            <w:tcW w:w="1559" w:type="dxa"/>
            <w:shd w:val="clear" w:color="auto" w:fill="BFBFBF" w:themeFill="background1" w:themeFillShade="BF"/>
          </w:tcPr>
          <w:p w:rsidR="001D0FDA" w:rsidRPr="00EB1471" w:rsidRDefault="001D0FDA" w:rsidP="001D0FDA">
            <w:pPr>
              <w:pStyle w:val="Tabletext"/>
              <w:jc w:val="center"/>
              <w:rPr>
                <w:b/>
              </w:rPr>
            </w:pPr>
            <w:r w:rsidRPr="00EB1471">
              <w:rPr>
                <w:b/>
              </w:rPr>
              <w:t>Keogh 2011</w:t>
            </w:r>
          </w:p>
          <w:p w:rsidR="001D0FDA" w:rsidRPr="00EB1471" w:rsidRDefault="001D0FDA" w:rsidP="001D0FDA">
            <w:pPr>
              <w:pStyle w:val="Tabletext"/>
              <w:jc w:val="center"/>
              <w:rPr>
                <w:rFonts w:cs="Tahoma"/>
                <w:b/>
              </w:rPr>
            </w:pPr>
            <w:r w:rsidRPr="00EB1471">
              <w:rPr>
                <w:b/>
              </w:rPr>
              <w:t>(N=528)</w:t>
            </w:r>
          </w:p>
        </w:tc>
        <w:tc>
          <w:tcPr>
            <w:tcW w:w="1559" w:type="dxa"/>
            <w:shd w:val="clear" w:color="auto" w:fill="BFBFBF" w:themeFill="background1" w:themeFillShade="BF"/>
          </w:tcPr>
          <w:p w:rsidR="001D0FDA" w:rsidRPr="00EB1471" w:rsidRDefault="001D0FDA" w:rsidP="001D0FDA">
            <w:pPr>
              <w:pStyle w:val="Tabletext"/>
              <w:jc w:val="center"/>
              <w:rPr>
                <w:rFonts w:cs="Tahoma"/>
                <w:b/>
              </w:rPr>
            </w:pPr>
            <w:r w:rsidRPr="00EB1471">
              <w:rPr>
                <w:rFonts w:cs="Tahoma"/>
                <w:b/>
              </w:rPr>
              <w:t>Provencher 2006</w:t>
            </w:r>
          </w:p>
          <w:p w:rsidR="001D0FDA" w:rsidRPr="00EB1471" w:rsidRDefault="001D0FDA" w:rsidP="001D0FDA">
            <w:pPr>
              <w:pStyle w:val="Tabletext"/>
              <w:jc w:val="center"/>
              <w:rPr>
                <w:rFonts w:cs="Tahoma"/>
                <w:b/>
              </w:rPr>
            </w:pPr>
            <w:r w:rsidRPr="00EB1471">
              <w:rPr>
                <w:rFonts w:cs="Tahoma"/>
                <w:b/>
              </w:rPr>
              <w:t>(N=103)</w:t>
            </w:r>
          </w:p>
        </w:tc>
        <w:tc>
          <w:tcPr>
            <w:tcW w:w="1559" w:type="dxa"/>
            <w:shd w:val="clear" w:color="auto" w:fill="BFBFBF" w:themeFill="background1" w:themeFillShade="BF"/>
          </w:tcPr>
          <w:p w:rsidR="001D0FDA" w:rsidRPr="00EB1471" w:rsidRDefault="001D0FDA" w:rsidP="001D0FDA">
            <w:pPr>
              <w:pStyle w:val="Tabletext"/>
              <w:jc w:val="center"/>
              <w:rPr>
                <w:rFonts w:cs="Tahoma"/>
                <w:b/>
              </w:rPr>
            </w:pPr>
            <w:r w:rsidRPr="00EB1471">
              <w:rPr>
                <w:rFonts w:cs="Tahoma"/>
                <w:b/>
              </w:rPr>
              <w:t>Vis 2013</w:t>
            </w:r>
          </w:p>
          <w:p w:rsidR="001D0FDA" w:rsidRPr="00EB1471" w:rsidRDefault="001D0FDA" w:rsidP="001D0FDA">
            <w:pPr>
              <w:pStyle w:val="Tabletext"/>
              <w:jc w:val="center"/>
              <w:rPr>
                <w:rFonts w:cs="Tahoma"/>
                <w:b/>
              </w:rPr>
            </w:pPr>
            <w:r w:rsidRPr="00EB1471">
              <w:rPr>
                <w:rFonts w:cs="Tahoma"/>
                <w:b/>
              </w:rPr>
              <w:t>(N=64)</w:t>
            </w:r>
          </w:p>
        </w:tc>
      </w:tr>
      <w:tr w:rsidR="001D0FDA" w:rsidRPr="00EB1471" w:rsidTr="001D0FDA">
        <w:trPr>
          <w:trHeight w:val="190"/>
        </w:trPr>
        <w:tc>
          <w:tcPr>
            <w:tcW w:w="2122" w:type="dxa"/>
          </w:tcPr>
          <w:p w:rsidR="001D0FDA" w:rsidRPr="00EB1471" w:rsidRDefault="001D0FDA" w:rsidP="001D0FDA">
            <w:pPr>
              <w:pStyle w:val="Tabletext"/>
            </w:pPr>
            <w:r w:rsidRPr="00EB1471">
              <w:t>Serious AEs</w:t>
            </w:r>
          </w:p>
        </w:tc>
        <w:tc>
          <w:tcPr>
            <w:tcW w:w="1559" w:type="dxa"/>
          </w:tcPr>
          <w:p w:rsidR="001D0FDA" w:rsidRPr="00EB1471" w:rsidRDefault="001D0FDA" w:rsidP="001D0FDA">
            <w:pPr>
              <w:pStyle w:val="Tabletext"/>
              <w:jc w:val="center"/>
            </w:pPr>
            <w:r w:rsidRPr="00EB1471">
              <w:t>NR</w:t>
            </w:r>
          </w:p>
        </w:tc>
        <w:tc>
          <w:tcPr>
            <w:tcW w:w="1418" w:type="dxa"/>
          </w:tcPr>
          <w:p w:rsidR="001D0FDA" w:rsidRPr="00EB1471" w:rsidRDefault="001D0FDA" w:rsidP="001D0FDA">
            <w:pPr>
              <w:pStyle w:val="Tabletext"/>
              <w:jc w:val="center"/>
            </w:pPr>
            <w:r w:rsidRPr="00EB1471">
              <w:t>0 (0%)</w:t>
            </w:r>
          </w:p>
        </w:tc>
        <w:tc>
          <w:tcPr>
            <w:tcW w:w="1559" w:type="dxa"/>
          </w:tcPr>
          <w:p w:rsidR="001D0FDA" w:rsidRPr="00EB1471" w:rsidRDefault="001D0FDA" w:rsidP="001D0FDA">
            <w:pPr>
              <w:pStyle w:val="Tabletext"/>
              <w:jc w:val="center"/>
            </w:pPr>
            <w:r w:rsidRPr="00EB1471">
              <w:t>NR</w:t>
            </w:r>
          </w:p>
        </w:tc>
        <w:tc>
          <w:tcPr>
            <w:tcW w:w="1559" w:type="dxa"/>
          </w:tcPr>
          <w:p w:rsidR="001D0FDA" w:rsidRPr="00EB1471" w:rsidRDefault="001D0FDA" w:rsidP="001D0FDA">
            <w:pPr>
              <w:pStyle w:val="Tabletext"/>
              <w:jc w:val="center"/>
            </w:pPr>
            <w:r w:rsidRPr="00EB1471">
              <w:t>NR</w:t>
            </w:r>
          </w:p>
        </w:tc>
        <w:tc>
          <w:tcPr>
            <w:tcW w:w="1559" w:type="dxa"/>
          </w:tcPr>
          <w:p w:rsidR="001D0FDA" w:rsidRPr="00EB1471" w:rsidRDefault="001D0FDA" w:rsidP="001D0FDA">
            <w:pPr>
              <w:pStyle w:val="Tabletext"/>
              <w:jc w:val="center"/>
            </w:pPr>
            <w:r w:rsidRPr="00EB1471">
              <w:t>NR</w:t>
            </w:r>
          </w:p>
        </w:tc>
      </w:tr>
      <w:tr w:rsidR="001D0FDA" w:rsidRPr="00EB1471" w:rsidTr="001D0FDA">
        <w:trPr>
          <w:trHeight w:val="293"/>
        </w:trPr>
        <w:tc>
          <w:tcPr>
            <w:tcW w:w="2122" w:type="dxa"/>
          </w:tcPr>
          <w:p w:rsidR="001D0FDA" w:rsidRPr="00EB1471" w:rsidRDefault="001D0FDA" w:rsidP="001D0FDA">
            <w:pPr>
              <w:pStyle w:val="Tabletext"/>
            </w:pPr>
            <w:r w:rsidRPr="00EB1471">
              <w:t>AEs leading to treatment withdrawal</w:t>
            </w:r>
          </w:p>
        </w:tc>
        <w:tc>
          <w:tcPr>
            <w:tcW w:w="1559" w:type="dxa"/>
            <w:vAlign w:val="center"/>
          </w:tcPr>
          <w:p w:rsidR="001D0FDA" w:rsidRPr="00EB1471" w:rsidRDefault="001D0FDA" w:rsidP="001D0FDA">
            <w:pPr>
              <w:pStyle w:val="Tabletext"/>
              <w:jc w:val="center"/>
            </w:pPr>
            <w:r w:rsidRPr="00EB1471">
              <w:t>35 (20%)</w:t>
            </w:r>
          </w:p>
        </w:tc>
        <w:tc>
          <w:tcPr>
            <w:tcW w:w="1418" w:type="dxa"/>
            <w:vAlign w:val="center"/>
          </w:tcPr>
          <w:p w:rsidR="001D0FDA" w:rsidRPr="00EB1471" w:rsidRDefault="001D0FDA" w:rsidP="001D0FDA">
            <w:pPr>
              <w:pStyle w:val="Tabletext"/>
              <w:jc w:val="center"/>
            </w:pPr>
            <w:r w:rsidRPr="00EB1471">
              <w:t>2 (2%)</w:t>
            </w:r>
          </w:p>
        </w:tc>
        <w:tc>
          <w:tcPr>
            <w:tcW w:w="1559" w:type="dxa"/>
            <w:vAlign w:val="center"/>
          </w:tcPr>
          <w:p w:rsidR="001D0FDA" w:rsidRPr="00EB1471" w:rsidRDefault="001D0FDA" w:rsidP="001D0FDA">
            <w:pPr>
              <w:pStyle w:val="Tabletext"/>
              <w:jc w:val="center"/>
            </w:pPr>
            <w:r w:rsidRPr="00EB1471">
              <w:t>31 (6%)</w:t>
            </w:r>
          </w:p>
        </w:tc>
        <w:tc>
          <w:tcPr>
            <w:tcW w:w="1559" w:type="dxa"/>
            <w:vAlign w:val="center"/>
          </w:tcPr>
          <w:p w:rsidR="001D0FDA" w:rsidRPr="00EB1471" w:rsidRDefault="001D0FDA" w:rsidP="001D0FDA">
            <w:pPr>
              <w:pStyle w:val="Tabletext"/>
              <w:jc w:val="center"/>
            </w:pPr>
            <w:r w:rsidRPr="00EB1471">
              <w:t>3</w:t>
            </w:r>
            <w:r w:rsidRPr="00EB1471">
              <w:rPr>
                <w:vertAlign w:val="superscript"/>
              </w:rPr>
              <w:t>a</w:t>
            </w:r>
            <w:r w:rsidRPr="00EB1471">
              <w:t xml:space="preserve"> (3%)</w:t>
            </w:r>
          </w:p>
        </w:tc>
        <w:tc>
          <w:tcPr>
            <w:tcW w:w="1559" w:type="dxa"/>
            <w:vAlign w:val="center"/>
          </w:tcPr>
          <w:p w:rsidR="001D0FDA" w:rsidRPr="00EB1471" w:rsidRDefault="001D0FDA" w:rsidP="001D0FDA">
            <w:pPr>
              <w:pStyle w:val="Tabletext"/>
              <w:jc w:val="center"/>
            </w:pPr>
            <w:r w:rsidRPr="00EB1471">
              <w:t>0 (0%)</w:t>
            </w:r>
          </w:p>
        </w:tc>
      </w:tr>
      <w:tr w:rsidR="001D0FDA" w:rsidRPr="00EB1471" w:rsidTr="001D0FDA">
        <w:tc>
          <w:tcPr>
            <w:tcW w:w="2122" w:type="dxa"/>
            <w:tcBorders>
              <w:bottom w:val="single" w:sz="4" w:space="0" w:color="auto"/>
            </w:tcBorders>
          </w:tcPr>
          <w:p w:rsidR="001D0FDA" w:rsidRPr="00EB1471" w:rsidRDefault="001D0FDA" w:rsidP="001D0FDA">
            <w:pPr>
              <w:pStyle w:val="Tabletext"/>
            </w:pPr>
            <w:r w:rsidRPr="00EB1471">
              <w:t>Death due to study drug</w:t>
            </w:r>
          </w:p>
        </w:tc>
        <w:tc>
          <w:tcPr>
            <w:tcW w:w="1559" w:type="dxa"/>
            <w:tcBorders>
              <w:bottom w:val="single" w:sz="4" w:space="0" w:color="auto"/>
            </w:tcBorders>
          </w:tcPr>
          <w:p w:rsidR="001D0FDA" w:rsidRPr="00EB1471" w:rsidRDefault="001D0FDA" w:rsidP="001D0FDA">
            <w:pPr>
              <w:pStyle w:val="Tabletext"/>
              <w:jc w:val="center"/>
            </w:pPr>
            <w:r w:rsidRPr="00EB1471">
              <w:t>2 (1%)</w:t>
            </w:r>
          </w:p>
        </w:tc>
        <w:tc>
          <w:tcPr>
            <w:tcW w:w="1418" w:type="dxa"/>
            <w:tcBorders>
              <w:bottom w:val="single" w:sz="4" w:space="0" w:color="auto"/>
            </w:tcBorders>
          </w:tcPr>
          <w:p w:rsidR="001D0FDA" w:rsidRPr="00EB1471" w:rsidRDefault="001D0FDA" w:rsidP="001D0FDA">
            <w:pPr>
              <w:pStyle w:val="Tabletext"/>
              <w:jc w:val="center"/>
            </w:pPr>
            <w:r w:rsidRPr="00EB1471">
              <w:t>NR</w:t>
            </w:r>
          </w:p>
        </w:tc>
        <w:tc>
          <w:tcPr>
            <w:tcW w:w="1559" w:type="dxa"/>
            <w:tcBorders>
              <w:bottom w:val="single" w:sz="4" w:space="0" w:color="auto"/>
            </w:tcBorders>
          </w:tcPr>
          <w:p w:rsidR="001D0FDA" w:rsidRPr="00EB1471" w:rsidRDefault="001D0FDA" w:rsidP="001D0FDA">
            <w:pPr>
              <w:pStyle w:val="Tabletext"/>
              <w:jc w:val="center"/>
            </w:pPr>
            <w:r w:rsidRPr="00EB1471">
              <w:t>NR</w:t>
            </w:r>
          </w:p>
        </w:tc>
        <w:tc>
          <w:tcPr>
            <w:tcW w:w="1559" w:type="dxa"/>
            <w:tcBorders>
              <w:bottom w:val="single" w:sz="4" w:space="0" w:color="auto"/>
            </w:tcBorders>
          </w:tcPr>
          <w:p w:rsidR="001D0FDA" w:rsidRPr="00EB1471" w:rsidRDefault="001D0FDA" w:rsidP="001D0FDA">
            <w:pPr>
              <w:pStyle w:val="Tabletext"/>
              <w:jc w:val="center"/>
            </w:pPr>
            <w:r w:rsidRPr="00EB1471">
              <w:t>NR</w:t>
            </w:r>
          </w:p>
        </w:tc>
        <w:tc>
          <w:tcPr>
            <w:tcW w:w="1559" w:type="dxa"/>
            <w:tcBorders>
              <w:bottom w:val="single" w:sz="4" w:space="0" w:color="auto"/>
            </w:tcBorders>
          </w:tcPr>
          <w:p w:rsidR="001D0FDA" w:rsidRPr="00EB1471" w:rsidRDefault="001D0FDA" w:rsidP="001D0FDA">
            <w:pPr>
              <w:pStyle w:val="Tabletext"/>
              <w:jc w:val="center"/>
            </w:pPr>
            <w:r w:rsidRPr="00EB1471">
              <w:t>NR</w:t>
            </w:r>
          </w:p>
        </w:tc>
      </w:tr>
      <w:tr w:rsidR="001D0FDA" w:rsidRPr="00EB1471" w:rsidTr="001D0FDA">
        <w:tc>
          <w:tcPr>
            <w:tcW w:w="2122" w:type="dxa"/>
            <w:tcBorders>
              <w:bottom w:val="nil"/>
            </w:tcBorders>
          </w:tcPr>
          <w:p w:rsidR="001D0FDA" w:rsidRPr="00EB1471" w:rsidRDefault="001D0FDA" w:rsidP="001D0FDA">
            <w:pPr>
              <w:pStyle w:val="Tabletext"/>
            </w:pPr>
            <w:r w:rsidRPr="00EB1471">
              <w:t>AEs of interest</w:t>
            </w:r>
          </w:p>
        </w:tc>
        <w:tc>
          <w:tcPr>
            <w:tcW w:w="1559" w:type="dxa"/>
            <w:tcBorders>
              <w:bottom w:val="nil"/>
            </w:tcBorders>
          </w:tcPr>
          <w:p w:rsidR="001D0FDA" w:rsidRPr="00EB1471" w:rsidRDefault="001D0FDA" w:rsidP="001D0FDA">
            <w:pPr>
              <w:pStyle w:val="Tabletext"/>
              <w:jc w:val="center"/>
            </w:pPr>
          </w:p>
        </w:tc>
        <w:tc>
          <w:tcPr>
            <w:tcW w:w="1418" w:type="dxa"/>
            <w:tcBorders>
              <w:bottom w:val="nil"/>
            </w:tcBorders>
          </w:tcPr>
          <w:p w:rsidR="001D0FDA" w:rsidRPr="00EB1471" w:rsidRDefault="001D0FDA" w:rsidP="001D0FDA">
            <w:pPr>
              <w:pStyle w:val="Tabletext"/>
              <w:jc w:val="center"/>
            </w:pPr>
          </w:p>
        </w:tc>
        <w:tc>
          <w:tcPr>
            <w:tcW w:w="1559" w:type="dxa"/>
            <w:tcBorders>
              <w:bottom w:val="nil"/>
            </w:tcBorders>
          </w:tcPr>
          <w:p w:rsidR="001D0FDA" w:rsidRPr="00EB1471" w:rsidRDefault="001D0FDA" w:rsidP="001D0FDA">
            <w:pPr>
              <w:pStyle w:val="Tabletext"/>
              <w:jc w:val="center"/>
            </w:pPr>
          </w:p>
        </w:tc>
        <w:tc>
          <w:tcPr>
            <w:tcW w:w="1559" w:type="dxa"/>
            <w:tcBorders>
              <w:bottom w:val="nil"/>
            </w:tcBorders>
          </w:tcPr>
          <w:p w:rsidR="001D0FDA" w:rsidRPr="00EB1471" w:rsidRDefault="001D0FDA" w:rsidP="001D0FDA">
            <w:pPr>
              <w:pStyle w:val="Tabletext"/>
              <w:jc w:val="center"/>
            </w:pPr>
          </w:p>
        </w:tc>
        <w:tc>
          <w:tcPr>
            <w:tcW w:w="1559" w:type="dxa"/>
            <w:tcBorders>
              <w:bottom w:val="nil"/>
            </w:tcBorders>
          </w:tcPr>
          <w:p w:rsidR="001D0FDA" w:rsidRPr="00EB1471" w:rsidRDefault="001D0FDA" w:rsidP="001D0FDA">
            <w:pPr>
              <w:pStyle w:val="Tabletext"/>
              <w:jc w:val="center"/>
            </w:pPr>
          </w:p>
        </w:tc>
      </w:tr>
      <w:tr w:rsidR="001D0FDA" w:rsidRPr="00EB1471" w:rsidTr="001D0FDA">
        <w:tc>
          <w:tcPr>
            <w:tcW w:w="2122" w:type="dxa"/>
            <w:tcBorders>
              <w:top w:val="nil"/>
              <w:bottom w:val="nil"/>
            </w:tcBorders>
          </w:tcPr>
          <w:p w:rsidR="001D0FDA" w:rsidRPr="00EB1471" w:rsidRDefault="001D0FDA" w:rsidP="001D0FDA">
            <w:pPr>
              <w:pStyle w:val="Tabletext"/>
              <w:ind w:left="222"/>
            </w:pPr>
            <w:r w:rsidRPr="00EB1471">
              <w:t>Hepatic enzyme elevation</w:t>
            </w:r>
            <w:r w:rsidRPr="00EB1471">
              <w:rPr>
                <w:vertAlign w:val="superscript"/>
              </w:rPr>
              <w:t>b</w:t>
            </w:r>
          </w:p>
        </w:tc>
        <w:tc>
          <w:tcPr>
            <w:tcW w:w="1559" w:type="dxa"/>
            <w:tcBorders>
              <w:top w:val="nil"/>
              <w:bottom w:val="nil"/>
            </w:tcBorders>
          </w:tcPr>
          <w:p w:rsidR="001D0FDA" w:rsidRPr="00EB1471" w:rsidRDefault="001D0FDA" w:rsidP="001D0FDA">
            <w:pPr>
              <w:pStyle w:val="Tabletext"/>
              <w:jc w:val="center"/>
            </w:pPr>
            <w:r w:rsidRPr="00EB1471">
              <w:t>29 (17%)</w:t>
            </w:r>
          </w:p>
        </w:tc>
        <w:tc>
          <w:tcPr>
            <w:tcW w:w="1418" w:type="dxa"/>
            <w:tcBorders>
              <w:top w:val="nil"/>
              <w:bottom w:val="nil"/>
            </w:tcBorders>
          </w:tcPr>
          <w:p w:rsidR="001D0FDA" w:rsidRPr="00EB1471" w:rsidRDefault="001D0FDA" w:rsidP="001D0FDA">
            <w:pPr>
              <w:pStyle w:val="Tabletext"/>
              <w:jc w:val="center"/>
            </w:pPr>
            <w:r w:rsidRPr="00EB1471">
              <w:t>3 (3%)</w:t>
            </w:r>
          </w:p>
        </w:tc>
        <w:tc>
          <w:tcPr>
            <w:tcW w:w="1559" w:type="dxa"/>
            <w:tcBorders>
              <w:top w:val="nil"/>
              <w:bottom w:val="nil"/>
            </w:tcBorders>
          </w:tcPr>
          <w:p w:rsidR="001D0FDA" w:rsidRPr="00EB1471" w:rsidRDefault="001D0FDA" w:rsidP="001D0FDA">
            <w:pPr>
              <w:pStyle w:val="Tabletext"/>
              <w:jc w:val="center"/>
            </w:pPr>
            <w:r w:rsidRPr="00EB1471">
              <w:t>NR</w:t>
            </w:r>
          </w:p>
        </w:tc>
        <w:tc>
          <w:tcPr>
            <w:tcW w:w="1559" w:type="dxa"/>
            <w:tcBorders>
              <w:top w:val="nil"/>
              <w:bottom w:val="nil"/>
            </w:tcBorders>
          </w:tcPr>
          <w:p w:rsidR="001D0FDA" w:rsidRPr="00EB1471" w:rsidRDefault="001D0FDA" w:rsidP="001D0FDA">
            <w:pPr>
              <w:pStyle w:val="Tabletext"/>
              <w:jc w:val="center"/>
            </w:pPr>
            <w:r w:rsidRPr="00EB1471">
              <w:t>4 (4%)</w:t>
            </w:r>
          </w:p>
        </w:tc>
        <w:tc>
          <w:tcPr>
            <w:tcW w:w="1559" w:type="dxa"/>
            <w:tcBorders>
              <w:top w:val="nil"/>
              <w:bottom w:val="nil"/>
            </w:tcBorders>
          </w:tcPr>
          <w:p w:rsidR="001D0FDA" w:rsidRPr="00EB1471" w:rsidRDefault="001D0FDA" w:rsidP="001D0FDA">
            <w:pPr>
              <w:pStyle w:val="Tabletext"/>
              <w:jc w:val="center"/>
            </w:pPr>
            <w:r w:rsidRPr="00EB1471">
              <w:t>1 (2%)</w:t>
            </w:r>
          </w:p>
        </w:tc>
      </w:tr>
      <w:tr w:rsidR="001D0FDA" w:rsidRPr="00EB1471" w:rsidTr="001D0FDA">
        <w:tc>
          <w:tcPr>
            <w:tcW w:w="2122" w:type="dxa"/>
            <w:tcBorders>
              <w:top w:val="nil"/>
            </w:tcBorders>
          </w:tcPr>
          <w:p w:rsidR="001D0FDA" w:rsidRPr="00EB1471" w:rsidRDefault="001D0FDA" w:rsidP="001D0FDA">
            <w:pPr>
              <w:pStyle w:val="Tabletext"/>
              <w:ind w:left="222"/>
            </w:pPr>
            <w:r w:rsidRPr="00EB1471">
              <w:t>Decreased haemoglobin</w:t>
            </w:r>
            <w:r w:rsidRPr="00EB1471">
              <w:rPr>
                <w:vertAlign w:val="superscript"/>
              </w:rPr>
              <w:t>c</w:t>
            </w:r>
          </w:p>
        </w:tc>
        <w:tc>
          <w:tcPr>
            <w:tcW w:w="1559" w:type="dxa"/>
            <w:tcBorders>
              <w:top w:val="nil"/>
            </w:tcBorders>
          </w:tcPr>
          <w:p w:rsidR="001D0FDA" w:rsidRPr="00EB1471" w:rsidRDefault="001D0FDA" w:rsidP="001D0FDA">
            <w:pPr>
              <w:pStyle w:val="Tabletext"/>
              <w:jc w:val="center"/>
            </w:pPr>
            <w:r w:rsidRPr="00EB1471">
              <w:t>26 (15%)</w:t>
            </w:r>
          </w:p>
        </w:tc>
        <w:tc>
          <w:tcPr>
            <w:tcW w:w="1418" w:type="dxa"/>
            <w:tcBorders>
              <w:top w:val="nil"/>
            </w:tcBorders>
          </w:tcPr>
          <w:p w:rsidR="001D0FDA" w:rsidRPr="00EB1471" w:rsidRDefault="001D0FDA" w:rsidP="001D0FDA">
            <w:pPr>
              <w:pStyle w:val="Tabletext"/>
              <w:jc w:val="center"/>
            </w:pPr>
            <w:r w:rsidRPr="00EB1471">
              <w:t>NR</w:t>
            </w:r>
          </w:p>
        </w:tc>
        <w:tc>
          <w:tcPr>
            <w:tcW w:w="1559" w:type="dxa"/>
            <w:tcBorders>
              <w:top w:val="nil"/>
            </w:tcBorders>
          </w:tcPr>
          <w:p w:rsidR="001D0FDA" w:rsidRPr="00EB1471" w:rsidRDefault="001D0FDA" w:rsidP="001D0FDA">
            <w:pPr>
              <w:pStyle w:val="Tabletext"/>
              <w:jc w:val="center"/>
            </w:pPr>
            <w:r w:rsidRPr="00EB1471">
              <w:t>NR</w:t>
            </w:r>
          </w:p>
        </w:tc>
        <w:tc>
          <w:tcPr>
            <w:tcW w:w="1559" w:type="dxa"/>
            <w:tcBorders>
              <w:top w:val="nil"/>
            </w:tcBorders>
          </w:tcPr>
          <w:p w:rsidR="001D0FDA" w:rsidRPr="00EB1471" w:rsidRDefault="001D0FDA" w:rsidP="001D0FDA">
            <w:pPr>
              <w:pStyle w:val="Tabletext"/>
              <w:jc w:val="center"/>
            </w:pPr>
            <w:r w:rsidRPr="00EB1471">
              <w:t>NR</w:t>
            </w:r>
          </w:p>
        </w:tc>
        <w:tc>
          <w:tcPr>
            <w:tcW w:w="1559" w:type="dxa"/>
            <w:tcBorders>
              <w:top w:val="nil"/>
            </w:tcBorders>
          </w:tcPr>
          <w:p w:rsidR="001D0FDA" w:rsidRPr="00EB1471" w:rsidRDefault="001D0FDA" w:rsidP="001D0FDA">
            <w:pPr>
              <w:pStyle w:val="Tabletext"/>
              <w:jc w:val="center"/>
            </w:pPr>
            <w:r w:rsidRPr="00EB1471">
              <w:t>NR</w:t>
            </w:r>
          </w:p>
        </w:tc>
      </w:tr>
    </w:tbl>
    <w:p w:rsidR="006D01E8" w:rsidRPr="00EB1471" w:rsidRDefault="006D01E8" w:rsidP="006D01E8">
      <w:pPr>
        <w:pStyle w:val="Tablenote"/>
      </w:pPr>
      <w:r w:rsidRPr="00EB1471">
        <w:rPr>
          <w:vertAlign w:val="superscript"/>
        </w:rPr>
        <w:t>a</w:t>
      </w:r>
      <w:r w:rsidRPr="00EB1471">
        <w:t xml:space="preserve"> 3 patients permanently stopped bosentan therapy due to elevated liver enzymes. It is unclear whether there were more patients withdrew due to other </w:t>
      </w:r>
      <w:r w:rsidR="006B2A7D">
        <w:t>AE</w:t>
      </w:r>
      <w:r w:rsidRPr="00EB1471">
        <w:t>s</w:t>
      </w:r>
    </w:p>
    <w:p w:rsidR="006D01E8" w:rsidRPr="00EB1471" w:rsidRDefault="006D01E8" w:rsidP="006D01E8">
      <w:pPr>
        <w:pStyle w:val="Tablenote"/>
      </w:pPr>
      <w:r w:rsidRPr="00EB1471">
        <w:rPr>
          <w:vertAlign w:val="superscript"/>
        </w:rPr>
        <w:t>b</w:t>
      </w:r>
      <w:r w:rsidRPr="00EB1471">
        <w:t xml:space="preserve"> Defined as alanine aminotransferase or aspartate aminotransferase concentrations &gt;3 x the upper limit of normal</w:t>
      </w:r>
    </w:p>
    <w:p w:rsidR="006D01E8" w:rsidRPr="00EB1471" w:rsidRDefault="006D01E8" w:rsidP="006D01E8">
      <w:pPr>
        <w:pStyle w:val="Tablenote"/>
      </w:pPr>
      <w:r w:rsidRPr="00EB1471">
        <w:rPr>
          <w:vertAlign w:val="superscript"/>
        </w:rPr>
        <w:t>c</w:t>
      </w:r>
      <w:r w:rsidRPr="00EB1471">
        <w:t xml:space="preserve"> Defined as haemoglobin ≤100g/L</w:t>
      </w:r>
    </w:p>
    <w:p w:rsidR="001D0FDA" w:rsidRPr="00EB1471" w:rsidRDefault="001D0FDA" w:rsidP="001D0FDA">
      <w:pPr>
        <w:pStyle w:val="Tablenote"/>
      </w:pPr>
      <w:r w:rsidRPr="00EB1471">
        <w:t>AE = adverse event</w:t>
      </w:r>
      <w:r w:rsidR="00121EF0">
        <w:t>, N = number of patients</w:t>
      </w:r>
    </w:p>
    <w:p w:rsidR="001D0FDA" w:rsidRPr="00EB1471" w:rsidRDefault="001D0FDA" w:rsidP="001D0FDA">
      <w:pPr>
        <w:pStyle w:val="Tablenote"/>
      </w:pPr>
      <w:r w:rsidRPr="00EB1471">
        <w:t>Source: Simonneau et al 2014</w:t>
      </w:r>
      <w:r w:rsidR="001D34EE" w:rsidRPr="001A1C44">
        <w:rPr>
          <w:noProof/>
          <w:vertAlign w:val="superscript"/>
        </w:rPr>
        <w:t>57</w:t>
      </w:r>
      <w:r w:rsidRPr="00EB1471">
        <w:t>; Hislop et al 2011</w:t>
      </w:r>
      <w:r w:rsidR="001D34EE" w:rsidRPr="001A1C44">
        <w:rPr>
          <w:noProof/>
          <w:vertAlign w:val="superscript"/>
        </w:rPr>
        <w:t>58</w:t>
      </w:r>
      <w:r w:rsidRPr="00EB1471">
        <w:t>; Keogh 2011</w:t>
      </w:r>
      <w:r w:rsidR="001D34EE" w:rsidRPr="001A1C44">
        <w:rPr>
          <w:noProof/>
          <w:vertAlign w:val="superscript"/>
        </w:rPr>
        <w:t>60</w:t>
      </w:r>
      <w:r w:rsidRPr="00EB1471">
        <w:t>; Provencher et al 2006</w:t>
      </w:r>
      <w:r w:rsidR="001D34EE" w:rsidRPr="001A1C44">
        <w:rPr>
          <w:noProof/>
          <w:vertAlign w:val="superscript"/>
        </w:rPr>
        <w:t>66</w:t>
      </w:r>
      <w:r w:rsidRPr="00EB1471">
        <w:t>; Vis et al 2013</w:t>
      </w:r>
      <w:r w:rsidR="001D34EE" w:rsidRPr="001A1C44">
        <w:rPr>
          <w:noProof/>
          <w:vertAlign w:val="superscript"/>
        </w:rPr>
        <w:t>72</w:t>
      </w:r>
    </w:p>
    <w:p w:rsidR="001D0FDA" w:rsidRPr="00EB1471" w:rsidRDefault="001D0FDA" w:rsidP="001D0FDA">
      <w:r w:rsidRPr="00EB1471">
        <w:t xml:space="preserve">Overall, no clear safety signals were detected by the five included observational studies. Abnormal liver function, haemoglobin decrease and peripheral oedema are three well-recognised </w:t>
      </w:r>
      <w:r w:rsidR="006B2A7D">
        <w:t>AE</w:t>
      </w:r>
      <w:r w:rsidRPr="00EB1471">
        <w:t xml:space="preserve">s associated with ERAs. No conclusion can be drawn from the two so-called bosentan-related deaths reported in the EARLY extension study, given the absence of detailed information on these cases and the lack of a placebo-control arm. Some of the fatal </w:t>
      </w:r>
      <w:r w:rsidR="006B2A7D">
        <w:t>AE</w:t>
      </w:r>
      <w:r w:rsidRPr="00EB1471">
        <w:t>s reported in the EARLY extension study can either be the primary condition of PAH (eg systemic lupus erythematosus), co-exist with or implicated in development of PAH or its primary conditions (eg vasculitis and antiphospholipid syndrome hypertension)</w:t>
      </w:r>
      <w:r w:rsidR="001D34EE" w:rsidRPr="001A1C44">
        <w:rPr>
          <w:noProof/>
          <w:vertAlign w:val="superscript"/>
        </w:rPr>
        <w:t>87-89</w:t>
      </w:r>
      <w:r w:rsidR="002A66C2">
        <w:t>.</w:t>
      </w:r>
    </w:p>
    <w:p w:rsidR="001D0FDA" w:rsidRPr="00EB1471" w:rsidRDefault="001D0FDA" w:rsidP="00480FDF">
      <w:pPr>
        <w:pStyle w:val="Heading6"/>
        <w:numPr>
          <w:ilvl w:val="5"/>
          <w:numId w:val="45"/>
        </w:numPr>
      </w:pPr>
      <w:r w:rsidRPr="00EB1471">
        <w:t>Ambrisentan</w:t>
      </w:r>
    </w:p>
    <w:p w:rsidR="001D0FDA" w:rsidRPr="00EB1471" w:rsidRDefault="001D0FDA" w:rsidP="001D0FDA">
      <w:r w:rsidRPr="00EB1471">
        <w:t xml:space="preserve">Two observational studies (Vachiéry 2017 and ARIES extension study) were included for extended assessment of safety of ambrisentan. Results from these two studies are summarised in </w:t>
      </w:r>
      <w:r w:rsidR="00AA722D">
        <w:t>Table 4.</w:t>
      </w:r>
      <w:r w:rsidR="00AA722D">
        <w:rPr>
          <w:noProof/>
        </w:rPr>
        <w:t>112</w:t>
      </w:r>
      <w:r w:rsidRPr="00EB1471">
        <w:t xml:space="preserve">. Of note, the safety outcomes reported in the two studies slightly differed: treatment-emergent </w:t>
      </w:r>
      <w:r w:rsidR="006B2A7D">
        <w:t>AE</w:t>
      </w:r>
      <w:r w:rsidRPr="00EB1471">
        <w:t xml:space="preserve">s (defined as undesirable events not present prior to medical treatment or an already present event that worsens either in intensity or frequency following the treatment) in Vachiéry 2017 and any </w:t>
      </w:r>
      <w:r w:rsidR="006B2A7D">
        <w:t>AE</w:t>
      </w:r>
      <w:r w:rsidR="002A66C2">
        <w:t>s in ARIES extension study.</w:t>
      </w:r>
    </w:p>
    <w:p w:rsidR="001D0FDA" w:rsidRPr="00EB1471" w:rsidRDefault="001D0FDA" w:rsidP="001D0FDA">
      <w:r w:rsidRPr="00EB1471">
        <w:t>Vachiéry et al</w:t>
      </w:r>
      <w:r w:rsidR="001D34EE" w:rsidRPr="001A1C44">
        <w:rPr>
          <w:noProof/>
          <w:vertAlign w:val="superscript"/>
        </w:rPr>
        <w:t>70</w:t>
      </w:r>
      <w:r w:rsidRPr="00EB1471">
        <w:t xml:space="preserve"> analysed data from a large post-marketing registry program which enrolled 999 patients from 15 countries who were prescribed ambrisentan for the treatment of PAH. The mean exposure to ambrisentan for the safety population </w:t>
      </w:r>
      <w:r>
        <w:t xml:space="preserve">(N=998, excluding patient who did not receive ambrisentan) </w:t>
      </w:r>
      <w:r w:rsidRPr="00EB1471">
        <w:t xml:space="preserve">was 2.2 years. At baseline, 322 (32%) patients were treated with other PAH-specific therapies in addition to ambrisentan. In total, 83% (n=827) of patients reported ≥1 treatment-emergent </w:t>
      </w:r>
      <w:r w:rsidR="006B2A7D">
        <w:t>AE</w:t>
      </w:r>
      <w:r w:rsidRPr="00EB1471">
        <w:t xml:space="preserve">s during the study period, which were considered by the investigator to be mild to moderate (43%) or severe (38%). The most common </w:t>
      </w:r>
      <w:r w:rsidR="006B2A7D">
        <w:t>AE</w:t>
      </w:r>
      <w:r w:rsidRPr="00EB1471">
        <w:t xml:space="preserve">s were peripheral oedema (23%), dyspnoea (15%), anaemia (14%) and heart failure (13%). Adverse events leading to discontinuation of </w:t>
      </w:r>
      <w:r w:rsidRPr="00EB1471">
        <w:lastRenderedPageBreak/>
        <w:t xml:space="preserve">ambrisentan occurred in 167 (17%) patients. A total of 514 (51%) experienced treatment-emergent </w:t>
      </w:r>
      <w:r w:rsidR="006B2A7D">
        <w:t>AE</w:t>
      </w:r>
      <w:r w:rsidRPr="00EB1471">
        <w:t xml:space="preserve">s of interest. Treatment-emergent non-fatal serious </w:t>
      </w:r>
      <w:r w:rsidR="006B2A7D">
        <w:t>AE</w:t>
      </w:r>
      <w:r w:rsidRPr="00EB1471">
        <w:t xml:space="preserve">s were </w:t>
      </w:r>
      <w:r w:rsidR="002A66C2">
        <w:t>observed in 395 (40%) patients.</w:t>
      </w:r>
    </w:p>
    <w:p w:rsidR="001D0FDA" w:rsidRPr="00EB1471" w:rsidRDefault="001D0FDA" w:rsidP="001D0FDA">
      <w:r w:rsidRPr="00EB1471">
        <w:t>In the ARIES extension study, patients who completed Trials ARIES-1 and ARIES-2 were treated with ambrisentan 2.5 mg, 5 mg or 10 mg od, with dose adjustments permitted per investigator discretion after the first 24 weeks of the extension study</w:t>
      </w:r>
      <w:r w:rsidR="001D34EE" w:rsidRPr="001A1C44">
        <w:rPr>
          <w:noProof/>
          <w:vertAlign w:val="superscript"/>
        </w:rPr>
        <w:t>55</w:t>
      </w:r>
      <w:r w:rsidRPr="00EB1471">
        <w:t xml:space="preserve">. The ambrisentan PI recommended a dose regimen of 5 mg od and stated that additional benefit may be obtained by increasing the dose to 10 mg. The most common </w:t>
      </w:r>
      <w:r w:rsidR="006B2A7D">
        <w:t>AE</w:t>
      </w:r>
      <w:r w:rsidRPr="00EB1471">
        <w:t xml:space="preserve">s during the 2-year treatment period included peripheral oedema (38%), headache, upper respiratory tract infection, and dizziness. A total of 22 (6%) patients discontinued study due to </w:t>
      </w:r>
      <w:r w:rsidR="006B2A7D">
        <w:t>AE</w:t>
      </w:r>
      <w:r w:rsidRPr="00EB1471">
        <w:t xml:space="preserve">s. The most common </w:t>
      </w:r>
      <w:r w:rsidR="006B2A7D">
        <w:t>AE</w:t>
      </w:r>
      <w:r w:rsidRPr="00EB1471">
        <w:t>s that led to ambrisentan withdrawal or death during the study were right ventricular failure and pu</w:t>
      </w:r>
      <w:r w:rsidR="002A66C2">
        <w:t>lmonary hypertension (both 4%).</w:t>
      </w:r>
    </w:p>
    <w:p w:rsidR="001D0FDA" w:rsidRPr="00EB1471" w:rsidRDefault="001D0FDA" w:rsidP="001D0FDA">
      <w:pPr>
        <w:pStyle w:val="Caption"/>
      </w:pPr>
      <w:bookmarkStart w:id="318" w:name="_Ref505949286"/>
      <w:bookmarkStart w:id="319" w:name="_Toc512855516"/>
      <w:r>
        <w:t>Table 4.</w:t>
      </w:r>
      <w:r w:rsidR="00AA722D">
        <w:rPr>
          <w:noProof/>
        </w:rPr>
        <w:t>112</w:t>
      </w:r>
      <w:bookmarkEnd w:id="318"/>
      <w:r>
        <w:tab/>
      </w:r>
      <w:r w:rsidRPr="00EB1471">
        <w:t>AEs reported in Vachiéry 2017 and ARIES extension study</w:t>
      </w:r>
      <w:bookmarkEnd w:id="319"/>
    </w:p>
    <w:tbl>
      <w:tblPr>
        <w:tblStyle w:val="TableGrid"/>
        <w:tblW w:w="9635" w:type="dxa"/>
        <w:tblLayout w:type="fixed"/>
        <w:tblLook w:val="04A0" w:firstRow="1" w:lastRow="0" w:firstColumn="1" w:lastColumn="0" w:noHBand="0" w:noVBand="1"/>
        <w:tblCaption w:val="AEs reported in Vachiéry 2017 and ARIES extension study"/>
      </w:tblPr>
      <w:tblGrid>
        <w:gridCol w:w="3256"/>
        <w:gridCol w:w="3260"/>
        <w:gridCol w:w="3119"/>
      </w:tblGrid>
      <w:tr w:rsidR="001D0FDA" w:rsidRPr="00EB1471" w:rsidTr="001D0FDA">
        <w:trPr>
          <w:cnfStyle w:val="100000000000" w:firstRow="1" w:lastRow="0" w:firstColumn="0" w:lastColumn="0" w:oddVBand="0" w:evenVBand="0" w:oddHBand="0" w:evenHBand="0" w:firstRowFirstColumn="0" w:firstRowLastColumn="0" w:lastRowFirstColumn="0" w:lastRowLastColumn="0"/>
        </w:trPr>
        <w:tc>
          <w:tcPr>
            <w:tcW w:w="3256" w:type="dxa"/>
            <w:shd w:val="clear" w:color="auto" w:fill="BFBFBF" w:themeFill="background1" w:themeFillShade="BF"/>
          </w:tcPr>
          <w:p w:rsidR="001D0FDA" w:rsidRPr="00EB1471" w:rsidRDefault="00FD0BAE" w:rsidP="001D0FDA">
            <w:pPr>
              <w:pStyle w:val="Tabletext"/>
            </w:pPr>
            <w:r w:rsidRPr="00FD0BAE">
              <w:rPr>
                <w:b/>
              </w:rPr>
              <w:t>AEs</w:t>
            </w:r>
          </w:p>
        </w:tc>
        <w:tc>
          <w:tcPr>
            <w:tcW w:w="3260" w:type="dxa"/>
            <w:shd w:val="clear" w:color="auto" w:fill="BFBFBF" w:themeFill="background1" w:themeFillShade="BF"/>
          </w:tcPr>
          <w:p w:rsidR="001D0FDA" w:rsidRPr="00EB1471" w:rsidRDefault="001D0FDA" w:rsidP="001D0FDA">
            <w:pPr>
              <w:pStyle w:val="Tabletext"/>
              <w:jc w:val="center"/>
              <w:rPr>
                <w:b/>
              </w:rPr>
            </w:pPr>
            <w:r w:rsidRPr="00EB1471">
              <w:rPr>
                <w:b/>
              </w:rPr>
              <w:t>Vachiéry 2017</w:t>
            </w:r>
          </w:p>
          <w:p w:rsidR="001D0FDA" w:rsidRPr="00EB1471" w:rsidRDefault="001D0FDA" w:rsidP="001D0FDA">
            <w:pPr>
              <w:pStyle w:val="Tabletext"/>
              <w:jc w:val="center"/>
              <w:rPr>
                <w:b/>
              </w:rPr>
            </w:pPr>
            <w:r w:rsidRPr="00EB1471">
              <w:rPr>
                <w:b/>
              </w:rPr>
              <w:t>(N=999)</w:t>
            </w:r>
          </w:p>
        </w:tc>
        <w:tc>
          <w:tcPr>
            <w:tcW w:w="3119" w:type="dxa"/>
            <w:shd w:val="clear" w:color="auto" w:fill="BFBFBF" w:themeFill="background1" w:themeFillShade="BF"/>
          </w:tcPr>
          <w:p w:rsidR="001D0FDA" w:rsidRPr="00EB1471" w:rsidRDefault="001D0FDA" w:rsidP="001D0FDA">
            <w:pPr>
              <w:pStyle w:val="Tabletext"/>
              <w:jc w:val="center"/>
              <w:rPr>
                <w:b/>
              </w:rPr>
            </w:pPr>
            <w:r w:rsidRPr="00EB1471">
              <w:rPr>
                <w:b/>
              </w:rPr>
              <w:t>ARIES extension study</w:t>
            </w:r>
          </w:p>
          <w:p w:rsidR="001D0FDA" w:rsidRPr="00EB1471" w:rsidRDefault="001D0FDA" w:rsidP="001D0FDA">
            <w:pPr>
              <w:pStyle w:val="Tabletext"/>
              <w:jc w:val="center"/>
              <w:rPr>
                <w:b/>
              </w:rPr>
            </w:pPr>
            <w:r w:rsidRPr="00EB1471">
              <w:rPr>
                <w:b/>
              </w:rPr>
              <w:t>(N=383)</w:t>
            </w:r>
          </w:p>
        </w:tc>
      </w:tr>
      <w:tr w:rsidR="001D0FDA" w:rsidRPr="00EB1471" w:rsidTr="001D0FDA">
        <w:tc>
          <w:tcPr>
            <w:tcW w:w="3256" w:type="dxa"/>
          </w:tcPr>
          <w:p w:rsidR="001D0FDA" w:rsidRPr="00EB1471" w:rsidRDefault="001D0FDA" w:rsidP="001D0FDA">
            <w:pPr>
              <w:pStyle w:val="Tabletext"/>
            </w:pPr>
            <w:r w:rsidRPr="00EB1471">
              <w:t>Any AEs</w:t>
            </w:r>
            <w:r w:rsidRPr="00EB1471">
              <w:rPr>
                <w:vertAlign w:val="superscript"/>
              </w:rPr>
              <w:t>a</w:t>
            </w:r>
          </w:p>
        </w:tc>
        <w:tc>
          <w:tcPr>
            <w:tcW w:w="3260" w:type="dxa"/>
          </w:tcPr>
          <w:p w:rsidR="001D0FDA" w:rsidRPr="00EB1471" w:rsidRDefault="001D0FDA" w:rsidP="001D0FDA">
            <w:pPr>
              <w:pStyle w:val="Tabletext"/>
              <w:jc w:val="center"/>
            </w:pPr>
            <w:r w:rsidRPr="00EB1471">
              <w:t>827 (83%)</w:t>
            </w:r>
          </w:p>
        </w:tc>
        <w:tc>
          <w:tcPr>
            <w:tcW w:w="3119" w:type="dxa"/>
          </w:tcPr>
          <w:p w:rsidR="001D0FDA" w:rsidRPr="00EB1471" w:rsidRDefault="001D0FDA" w:rsidP="001D0FDA">
            <w:pPr>
              <w:pStyle w:val="Tabletext"/>
              <w:jc w:val="center"/>
            </w:pPr>
            <w:r w:rsidRPr="00EB1471">
              <w:t>NR</w:t>
            </w:r>
          </w:p>
        </w:tc>
      </w:tr>
      <w:tr w:rsidR="001D0FDA" w:rsidRPr="00EB1471" w:rsidTr="001D0FDA">
        <w:tc>
          <w:tcPr>
            <w:tcW w:w="3256" w:type="dxa"/>
          </w:tcPr>
          <w:p w:rsidR="001D0FDA" w:rsidRPr="00EB1471" w:rsidRDefault="001D0FDA" w:rsidP="001D0FDA">
            <w:pPr>
              <w:pStyle w:val="Tabletext"/>
            </w:pPr>
            <w:r w:rsidRPr="00EB1471">
              <w:t>Severe AEs</w:t>
            </w:r>
            <w:r w:rsidRPr="00EB1471">
              <w:rPr>
                <w:vertAlign w:val="superscript"/>
              </w:rPr>
              <w:t>a</w:t>
            </w:r>
          </w:p>
        </w:tc>
        <w:tc>
          <w:tcPr>
            <w:tcW w:w="3260" w:type="dxa"/>
          </w:tcPr>
          <w:p w:rsidR="001D0FDA" w:rsidRPr="00EB1471" w:rsidRDefault="001D0FDA" w:rsidP="001D0FDA">
            <w:pPr>
              <w:pStyle w:val="Tabletext"/>
              <w:jc w:val="center"/>
            </w:pPr>
            <w:r w:rsidRPr="00EB1471">
              <w:t>429 (43%)</w:t>
            </w:r>
          </w:p>
        </w:tc>
        <w:tc>
          <w:tcPr>
            <w:tcW w:w="3119" w:type="dxa"/>
          </w:tcPr>
          <w:p w:rsidR="001D0FDA" w:rsidRPr="00EB1471" w:rsidRDefault="001D0FDA" w:rsidP="001D0FDA">
            <w:pPr>
              <w:pStyle w:val="Tabletext"/>
              <w:jc w:val="center"/>
            </w:pPr>
            <w:r w:rsidRPr="00EB1471">
              <w:t>NR</w:t>
            </w:r>
          </w:p>
        </w:tc>
      </w:tr>
      <w:tr w:rsidR="001D0FDA" w:rsidRPr="00EB1471" w:rsidTr="001D0FDA">
        <w:tc>
          <w:tcPr>
            <w:tcW w:w="3256" w:type="dxa"/>
          </w:tcPr>
          <w:p w:rsidR="001D0FDA" w:rsidRPr="00EB1471" w:rsidRDefault="001D0FDA" w:rsidP="001D0FDA">
            <w:pPr>
              <w:pStyle w:val="Tabletext"/>
            </w:pPr>
            <w:r w:rsidRPr="00EB1471">
              <w:t>Non-fatal serious AEs</w:t>
            </w:r>
            <w:r w:rsidRPr="00EB1471">
              <w:rPr>
                <w:vertAlign w:val="superscript"/>
              </w:rPr>
              <w:t>a</w:t>
            </w:r>
          </w:p>
        </w:tc>
        <w:tc>
          <w:tcPr>
            <w:tcW w:w="3260" w:type="dxa"/>
          </w:tcPr>
          <w:p w:rsidR="001D0FDA" w:rsidRPr="00EB1471" w:rsidRDefault="001D0FDA" w:rsidP="001D0FDA">
            <w:pPr>
              <w:pStyle w:val="Tabletext"/>
              <w:jc w:val="center"/>
            </w:pPr>
            <w:r w:rsidRPr="00EB1471">
              <w:t>395 (40%)</w:t>
            </w:r>
          </w:p>
        </w:tc>
        <w:tc>
          <w:tcPr>
            <w:tcW w:w="3119" w:type="dxa"/>
          </w:tcPr>
          <w:p w:rsidR="001D0FDA" w:rsidRPr="00EB1471" w:rsidRDefault="001D0FDA" w:rsidP="001D0FDA">
            <w:pPr>
              <w:pStyle w:val="Tabletext"/>
              <w:jc w:val="center"/>
            </w:pPr>
            <w:r w:rsidRPr="00EB1471">
              <w:t>NR</w:t>
            </w:r>
          </w:p>
        </w:tc>
      </w:tr>
      <w:tr w:rsidR="001D0FDA" w:rsidRPr="00EB1471" w:rsidTr="001D0FDA">
        <w:tc>
          <w:tcPr>
            <w:tcW w:w="3256" w:type="dxa"/>
            <w:tcBorders>
              <w:bottom w:val="single" w:sz="4" w:space="0" w:color="auto"/>
            </w:tcBorders>
          </w:tcPr>
          <w:p w:rsidR="001D0FDA" w:rsidRPr="00EB1471" w:rsidRDefault="001D0FDA" w:rsidP="001D0FDA">
            <w:pPr>
              <w:pStyle w:val="Tabletext"/>
            </w:pPr>
            <w:r w:rsidRPr="00EB1471">
              <w:t>AEs leading discontinuation of ambrisentan</w:t>
            </w:r>
            <w:r w:rsidRPr="00EB1471">
              <w:rPr>
                <w:vertAlign w:val="superscript"/>
              </w:rPr>
              <w:t>a</w:t>
            </w:r>
          </w:p>
        </w:tc>
        <w:tc>
          <w:tcPr>
            <w:tcW w:w="3260" w:type="dxa"/>
            <w:tcBorders>
              <w:bottom w:val="single" w:sz="4" w:space="0" w:color="auto"/>
            </w:tcBorders>
          </w:tcPr>
          <w:p w:rsidR="001D0FDA" w:rsidRPr="00EB1471" w:rsidRDefault="001D0FDA" w:rsidP="001D0FDA">
            <w:pPr>
              <w:pStyle w:val="Tabletext"/>
              <w:jc w:val="center"/>
            </w:pPr>
            <w:r w:rsidRPr="00EB1471">
              <w:t>176 (17%)</w:t>
            </w:r>
          </w:p>
        </w:tc>
        <w:tc>
          <w:tcPr>
            <w:tcW w:w="3119" w:type="dxa"/>
            <w:tcBorders>
              <w:bottom w:val="single" w:sz="4" w:space="0" w:color="auto"/>
            </w:tcBorders>
          </w:tcPr>
          <w:p w:rsidR="001D0FDA" w:rsidRPr="00EB1471" w:rsidRDefault="001D0FDA" w:rsidP="001D0FDA">
            <w:pPr>
              <w:pStyle w:val="Tabletext"/>
              <w:jc w:val="center"/>
            </w:pPr>
            <w:r w:rsidRPr="00EB1471">
              <w:t>22 (6%)</w:t>
            </w:r>
          </w:p>
        </w:tc>
      </w:tr>
      <w:tr w:rsidR="001D0FDA" w:rsidRPr="00EB1471" w:rsidTr="001D0FDA">
        <w:tc>
          <w:tcPr>
            <w:tcW w:w="3256" w:type="dxa"/>
            <w:tcBorders>
              <w:bottom w:val="nil"/>
            </w:tcBorders>
          </w:tcPr>
          <w:p w:rsidR="001D0FDA" w:rsidRPr="00EB1471" w:rsidRDefault="001D0FDA" w:rsidP="001D0FDA">
            <w:pPr>
              <w:pStyle w:val="Tabletext"/>
            </w:pPr>
            <w:r w:rsidRPr="00EB1471">
              <w:t>AEs of special interest</w:t>
            </w:r>
            <w:r w:rsidRPr="00EB1471">
              <w:rPr>
                <w:vertAlign w:val="superscript"/>
              </w:rPr>
              <w:t>a, b</w:t>
            </w:r>
          </w:p>
        </w:tc>
        <w:tc>
          <w:tcPr>
            <w:tcW w:w="3260" w:type="dxa"/>
            <w:tcBorders>
              <w:bottom w:val="nil"/>
            </w:tcBorders>
          </w:tcPr>
          <w:p w:rsidR="001D0FDA" w:rsidRPr="00EB1471" w:rsidRDefault="001D0FDA" w:rsidP="001D0FDA">
            <w:pPr>
              <w:pStyle w:val="Tabletext"/>
              <w:jc w:val="center"/>
            </w:pPr>
            <w:r w:rsidRPr="00EB1471">
              <w:t>514 (52%)</w:t>
            </w:r>
          </w:p>
        </w:tc>
        <w:tc>
          <w:tcPr>
            <w:tcW w:w="3119" w:type="dxa"/>
            <w:tcBorders>
              <w:bottom w:val="nil"/>
            </w:tcBorders>
          </w:tcPr>
          <w:p w:rsidR="001D0FDA" w:rsidRPr="00EB1471" w:rsidRDefault="001D0FDA" w:rsidP="001D0FDA">
            <w:pPr>
              <w:pStyle w:val="Tabletext"/>
              <w:jc w:val="center"/>
            </w:pPr>
            <w:r w:rsidRPr="00EB1471">
              <w:t>NR</w:t>
            </w:r>
          </w:p>
        </w:tc>
      </w:tr>
      <w:tr w:rsidR="001D0FDA" w:rsidRPr="00EB1471" w:rsidTr="001D0FDA">
        <w:tc>
          <w:tcPr>
            <w:tcW w:w="3256" w:type="dxa"/>
            <w:tcBorders>
              <w:top w:val="nil"/>
              <w:bottom w:val="nil"/>
            </w:tcBorders>
          </w:tcPr>
          <w:p w:rsidR="001D0FDA" w:rsidRPr="00EB1471" w:rsidRDefault="001D0FDA" w:rsidP="001D0FDA">
            <w:pPr>
              <w:pStyle w:val="Tabletext"/>
              <w:ind w:left="364"/>
            </w:pPr>
            <w:r w:rsidRPr="00EB1471">
              <w:t xml:space="preserve">Oedema/fluid retention </w:t>
            </w:r>
          </w:p>
        </w:tc>
        <w:tc>
          <w:tcPr>
            <w:tcW w:w="3260" w:type="dxa"/>
            <w:tcBorders>
              <w:top w:val="nil"/>
              <w:bottom w:val="nil"/>
            </w:tcBorders>
          </w:tcPr>
          <w:p w:rsidR="001D0FDA" w:rsidRPr="00EB1471" w:rsidRDefault="001D0FDA" w:rsidP="001D0FDA">
            <w:pPr>
              <w:pStyle w:val="Tabletext"/>
              <w:jc w:val="center"/>
            </w:pPr>
            <w:r w:rsidRPr="00EB1471">
              <w:t>249 (25%)</w:t>
            </w:r>
          </w:p>
        </w:tc>
        <w:tc>
          <w:tcPr>
            <w:tcW w:w="3119" w:type="dxa"/>
            <w:tcBorders>
              <w:top w:val="nil"/>
              <w:bottom w:val="nil"/>
            </w:tcBorders>
          </w:tcPr>
          <w:p w:rsidR="001D0FDA" w:rsidRPr="00EB1471" w:rsidRDefault="001D0FDA" w:rsidP="001D0FDA">
            <w:pPr>
              <w:pStyle w:val="Tabletext"/>
              <w:jc w:val="center"/>
            </w:pPr>
            <w:r w:rsidRPr="00EB1471">
              <w:t>NR (38%)</w:t>
            </w:r>
          </w:p>
        </w:tc>
      </w:tr>
      <w:tr w:rsidR="001D0FDA" w:rsidRPr="00EB1471" w:rsidTr="001D0FDA">
        <w:tc>
          <w:tcPr>
            <w:tcW w:w="3256" w:type="dxa"/>
            <w:tcBorders>
              <w:top w:val="nil"/>
              <w:bottom w:val="nil"/>
            </w:tcBorders>
          </w:tcPr>
          <w:p w:rsidR="001D0FDA" w:rsidRPr="00EB1471" w:rsidRDefault="001D0FDA" w:rsidP="001D0FDA">
            <w:pPr>
              <w:pStyle w:val="Tabletext"/>
              <w:ind w:left="364"/>
            </w:pPr>
            <w:r w:rsidRPr="00EB1471">
              <w:t>Hepatic enzyme elevation</w:t>
            </w:r>
            <w:r w:rsidRPr="00EB1471">
              <w:rPr>
                <w:vertAlign w:val="superscript"/>
              </w:rPr>
              <w:t>c</w:t>
            </w:r>
          </w:p>
        </w:tc>
        <w:tc>
          <w:tcPr>
            <w:tcW w:w="3260" w:type="dxa"/>
            <w:tcBorders>
              <w:top w:val="nil"/>
              <w:bottom w:val="nil"/>
            </w:tcBorders>
          </w:tcPr>
          <w:p w:rsidR="001D0FDA" w:rsidRPr="00EB1471" w:rsidRDefault="001D0FDA" w:rsidP="001D0FDA">
            <w:pPr>
              <w:pStyle w:val="Tabletext"/>
              <w:jc w:val="center"/>
            </w:pPr>
            <w:r w:rsidRPr="00EB1471">
              <w:t>61 (6%)</w:t>
            </w:r>
          </w:p>
        </w:tc>
        <w:tc>
          <w:tcPr>
            <w:tcW w:w="3119" w:type="dxa"/>
            <w:tcBorders>
              <w:top w:val="nil"/>
              <w:bottom w:val="nil"/>
            </w:tcBorders>
          </w:tcPr>
          <w:p w:rsidR="001D0FDA" w:rsidRPr="00EB1471" w:rsidRDefault="001D0FDA" w:rsidP="001D0FDA">
            <w:pPr>
              <w:pStyle w:val="Tabletext"/>
              <w:jc w:val="center"/>
            </w:pPr>
            <w:r w:rsidRPr="00EB1471">
              <w:t>12 (3%)</w:t>
            </w:r>
          </w:p>
        </w:tc>
      </w:tr>
      <w:tr w:rsidR="001D0FDA" w:rsidRPr="00EB1471" w:rsidTr="001D0FDA">
        <w:tc>
          <w:tcPr>
            <w:tcW w:w="3256" w:type="dxa"/>
            <w:tcBorders>
              <w:top w:val="nil"/>
              <w:bottom w:val="nil"/>
            </w:tcBorders>
          </w:tcPr>
          <w:p w:rsidR="001D0FDA" w:rsidRPr="00EB1471" w:rsidRDefault="001D0FDA" w:rsidP="001D0FDA">
            <w:pPr>
              <w:pStyle w:val="Tabletext"/>
              <w:ind w:left="364"/>
            </w:pPr>
            <w:r w:rsidRPr="00EB1471">
              <w:t xml:space="preserve">Anaemia </w:t>
            </w:r>
          </w:p>
        </w:tc>
        <w:tc>
          <w:tcPr>
            <w:tcW w:w="3260" w:type="dxa"/>
            <w:tcBorders>
              <w:top w:val="nil"/>
              <w:bottom w:val="nil"/>
            </w:tcBorders>
          </w:tcPr>
          <w:p w:rsidR="001D0FDA" w:rsidRPr="00EB1471" w:rsidRDefault="001D0FDA" w:rsidP="001D0FDA">
            <w:pPr>
              <w:pStyle w:val="Tabletext"/>
              <w:jc w:val="center"/>
            </w:pPr>
            <w:r w:rsidRPr="00EB1471">
              <w:t>143 (14%)</w:t>
            </w:r>
          </w:p>
        </w:tc>
        <w:tc>
          <w:tcPr>
            <w:tcW w:w="3119" w:type="dxa"/>
            <w:tcBorders>
              <w:top w:val="nil"/>
              <w:bottom w:val="nil"/>
            </w:tcBorders>
          </w:tcPr>
          <w:p w:rsidR="001D0FDA" w:rsidRPr="00EB1471" w:rsidRDefault="001D0FDA" w:rsidP="001D0FDA">
            <w:pPr>
              <w:pStyle w:val="Tabletext"/>
              <w:jc w:val="center"/>
            </w:pPr>
            <w:r w:rsidRPr="00EB1471">
              <w:t>NR</w:t>
            </w:r>
          </w:p>
        </w:tc>
      </w:tr>
      <w:tr w:rsidR="001D0FDA" w:rsidRPr="00EB1471" w:rsidTr="001D0FDA">
        <w:tc>
          <w:tcPr>
            <w:tcW w:w="3256" w:type="dxa"/>
            <w:tcBorders>
              <w:top w:val="nil"/>
              <w:bottom w:val="nil"/>
            </w:tcBorders>
          </w:tcPr>
          <w:p w:rsidR="001D0FDA" w:rsidRPr="00EB1471" w:rsidRDefault="001D0FDA" w:rsidP="001D0FDA">
            <w:pPr>
              <w:pStyle w:val="Tabletext"/>
              <w:ind w:left="364"/>
            </w:pPr>
            <w:r w:rsidRPr="00EB1471">
              <w:t>Heart failure</w:t>
            </w:r>
          </w:p>
        </w:tc>
        <w:tc>
          <w:tcPr>
            <w:tcW w:w="3260" w:type="dxa"/>
            <w:tcBorders>
              <w:top w:val="nil"/>
              <w:bottom w:val="nil"/>
            </w:tcBorders>
          </w:tcPr>
          <w:p w:rsidR="001D0FDA" w:rsidRPr="00EB1471" w:rsidRDefault="001D0FDA" w:rsidP="001D0FDA">
            <w:pPr>
              <w:pStyle w:val="Tabletext"/>
              <w:jc w:val="center"/>
            </w:pPr>
            <w:r w:rsidRPr="00EB1471">
              <w:t>127 (13%)</w:t>
            </w:r>
          </w:p>
        </w:tc>
        <w:tc>
          <w:tcPr>
            <w:tcW w:w="3119" w:type="dxa"/>
            <w:tcBorders>
              <w:top w:val="nil"/>
              <w:bottom w:val="nil"/>
            </w:tcBorders>
          </w:tcPr>
          <w:p w:rsidR="001D0FDA" w:rsidRPr="00EB1471" w:rsidRDefault="001D0FDA" w:rsidP="001D0FDA">
            <w:pPr>
              <w:pStyle w:val="Tabletext"/>
              <w:jc w:val="center"/>
            </w:pPr>
            <w:r w:rsidRPr="00EB1471">
              <w:t>NR</w:t>
            </w:r>
          </w:p>
        </w:tc>
      </w:tr>
      <w:tr w:rsidR="001D0FDA" w:rsidRPr="00EB1471" w:rsidTr="001D0FDA">
        <w:tc>
          <w:tcPr>
            <w:tcW w:w="3256" w:type="dxa"/>
            <w:tcBorders>
              <w:top w:val="nil"/>
              <w:bottom w:val="nil"/>
            </w:tcBorders>
          </w:tcPr>
          <w:p w:rsidR="001D0FDA" w:rsidRPr="00EB1471" w:rsidRDefault="001D0FDA" w:rsidP="001D0FDA">
            <w:pPr>
              <w:pStyle w:val="Tabletext"/>
              <w:ind w:left="364"/>
            </w:pPr>
            <w:r w:rsidRPr="00EB1471">
              <w:t>Hypersensitivity</w:t>
            </w:r>
          </w:p>
        </w:tc>
        <w:tc>
          <w:tcPr>
            <w:tcW w:w="3260" w:type="dxa"/>
            <w:tcBorders>
              <w:top w:val="nil"/>
              <w:bottom w:val="nil"/>
            </w:tcBorders>
          </w:tcPr>
          <w:p w:rsidR="001D0FDA" w:rsidRPr="00EB1471" w:rsidRDefault="001D0FDA" w:rsidP="001D0FDA">
            <w:pPr>
              <w:pStyle w:val="Tabletext"/>
              <w:jc w:val="center"/>
            </w:pPr>
            <w:r w:rsidRPr="00EB1471">
              <w:t>77 (8%)</w:t>
            </w:r>
          </w:p>
        </w:tc>
        <w:tc>
          <w:tcPr>
            <w:tcW w:w="3119" w:type="dxa"/>
            <w:tcBorders>
              <w:top w:val="nil"/>
              <w:bottom w:val="nil"/>
            </w:tcBorders>
          </w:tcPr>
          <w:p w:rsidR="001D0FDA" w:rsidRPr="00EB1471" w:rsidRDefault="001D0FDA" w:rsidP="001D0FDA">
            <w:pPr>
              <w:pStyle w:val="Tabletext"/>
              <w:jc w:val="center"/>
            </w:pPr>
            <w:r w:rsidRPr="00EB1471">
              <w:t>NR</w:t>
            </w:r>
          </w:p>
        </w:tc>
      </w:tr>
      <w:tr w:rsidR="001D0FDA" w:rsidRPr="00EB1471" w:rsidTr="001D0FDA">
        <w:tc>
          <w:tcPr>
            <w:tcW w:w="3256" w:type="dxa"/>
            <w:tcBorders>
              <w:top w:val="nil"/>
              <w:bottom w:val="nil"/>
            </w:tcBorders>
          </w:tcPr>
          <w:p w:rsidR="001D0FDA" w:rsidRPr="00EB1471" w:rsidRDefault="001D0FDA" w:rsidP="001D0FDA">
            <w:pPr>
              <w:pStyle w:val="Tabletext"/>
              <w:ind w:left="364"/>
            </w:pPr>
            <w:r w:rsidRPr="00EB1471">
              <w:t xml:space="preserve">Hypotension </w:t>
            </w:r>
          </w:p>
        </w:tc>
        <w:tc>
          <w:tcPr>
            <w:tcW w:w="3260" w:type="dxa"/>
            <w:tcBorders>
              <w:top w:val="nil"/>
              <w:bottom w:val="nil"/>
            </w:tcBorders>
          </w:tcPr>
          <w:p w:rsidR="001D0FDA" w:rsidRPr="00EB1471" w:rsidRDefault="001D0FDA" w:rsidP="001D0FDA">
            <w:pPr>
              <w:pStyle w:val="Tabletext"/>
              <w:jc w:val="center"/>
            </w:pPr>
            <w:r w:rsidRPr="00EB1471">
              <w:t>67 (7%)</w:t>
            </w:r>
          </w:p>
        </w:tc>
        <w:tc>
          <w:tcPr>
            <w:tcW w:w="3119" w:type="dxa"/>
            <w:tcBorders>
              <w:top w:val="nil"/>
              <w:bottom w:val="nil"/>
            </w:tcBorders>
          </w:tcPr>
          <w:p w:rsidR="001D0FDA" w:rsidRPr="00EB1471" w:rsidRDefault="001D0FDA" w:rsidP="001D0FDA">
            <w:pPr>
              <w:pStyle w:val="Tabletext"/>
              <w:jc w:val="center"/>
            </w:pPr>
            <w:r w:rsidRPr="00EB1471">
              <w:t>NR</w:t>
            </w:r>
          </w:p>
        </w:tc>
      </w:tr>
      <w:tr w:rsidR="001D0FDA" w:rsidRPr="00EB1471" w:rsidTr="001D0FDA">
        <w:tc>
          <w:tcPr>
            <w:tcW w:w="3256" w:type="dxa"/>
            <w:tcBorders>
              <w:top w:val="nil"/>
            </w:tcBorders>
          </w:tcPr>
          <w:p w:rsidR="001D0FDA" w:rsidRPr="00EB1471" w:rsidRDefault="001D0FDA" w:rsidP="001D0FDA">
            <w:pPr>
              <w:pStyle w:val="Tabletext"/>
              <w:ind w:left="364"/>
            </w:pPr>
            <w:r w:rsidRPr="00EB1471">
              <w:t>Renal disorders</w:t>
            </w:r>
          </w:p>
        </w:tc>
        <w:tc>
          <w:tcPr>
            <w:tcW w:w="3260" w:type="dxa"/>
            <w:tcBorders>
              <w:top w:val="nil"/>
            </w:tcBorders>
          </w:tcPr>
          <w:p w:rsidR="001D0FDA" w:rsidRPr="00EB1471" w:rsidRDefault="001D0FDA" w:rsidP="001D0FDA">
            <w:pPr>
              <w:pStyle w:val="Tabletext"/>
              <w:jc w:val="center"/>
            </w:pPr>
            <w:r w:rsidRPr="00EB1471">
              <w:t>56 (6%)</w:t>
            </w:r>
          </w:p>
        </w:tc>
        <w:tc>
          <w:tcPr>
            <w:tcW w:w="3119" w:type="dxa"/>
            <w:tcBorders>
              <w:top w:val="nil"/>
            </w:tcBorders>
          </w:tcPr>
          <w:p w:rsidR="001D0FDA" w:rsidRPr="00EB1471" w:rsidRDefault="001D0FDA" w:rsidP="001D0FDA">
            <w:pPr>
              <w:pStyle w:val="Tabletext"/>
              <w:jc w:val="center"/>
            </w:pPr>
            <w:r w:rsidRPr="00EB1471">
              <w:t>NR</w:t>
            </w:r>
          </w:p>
        </w:tc>
      </w:tr>
    </w:tbl>
    <w:p w:rsidR="006D01E8" w:rsidRPr="00EB1471" w:rsidRDefault="006D01E8" w:rsidP="006D01E8">
      <w:pPr>
        <w:pStyle w:val="Tablenote"/>
      </w:pPr>
      <w:r w:rsidRPr="00EB1471">
        <w:rPr>
          <w:vertAlign w:val="superscript"/>
        </w:rPr>
        <w:t>a</w:t>
      </w:r>
      <w:r w:rsidRPr="00EB1471">
        <w:t xml:space="preserve"> Adverse drug reactions reported in Vachiéry 2017 were treatment-emergent adverse events, not any adverse events. </w:t>
      </w:r>
    </w:p>
    <w:p w:rsidR="006D01E8" w:rsidRPr="00EB1471" w:rsidRDefault="006D01E8" w:rsidP="006D01E8">
      <w:pPr>
        <w:pStyle w:val="Tablenote"/>
      </w:pPr>
      <w:r w:rsidRPr="00EB1471">
        <w:rPr>
          <w:vertAlign w:val="superscript"/>
        </w:rPr>
        <w:t>b</w:t>
      </w:r>
      <w:r w:rsidRPr="00EB1471">
        <w:t xml:space="preserve"> Specified in Study Vachiéry 2017</w:t>
      </w:r>
    </w:p>
    <w:p w:rsidR="006D01E8" w:rsidRPr="00EB1471" w:rsidRDefault="006D01E8" w:rsidP="006D01E8">
      <w:pPr>
        <w:pStyle w:val="Tablenote"/>
      </w:pPr>
      <w:r w:rsidRPr="00EB1471">
        <w:rPr>
          <w:vertAlign w:val="superscript"/>
        </w:rPr>
        <w:t>c</w:t>
      </w:r>
      <w:r w:rsidRPr="00EB1471">
        <w:t xml:space="preserve"> Defined as alanine aminotransferase or aspartate aminotransferase concentrations &gt;3 x the upper limit of normal.</w:t>
      </w:r>
    </w:p>
    <w:p w:rsidR="001D0FDA" w:rsidRPr="00EB1471" w:rsidRDefault="001D0FDA" w:rsidP="001D0FDA">
      <w:pPr>
        <w:pStyle w:val="Tablenote"/>
      </w:pPr>
      <w:r w:rsidRPr="00EB1471">
        <w:t xml:space="preserve">AE = adverse events; </w:t>
      </w:r>
      <w:r w:rsidR="00121EF0">
        <w:t xml:space="preserve">N = number of patients; </w:t>
      </w:r>
      <w:r w:rsidRPr="00EB1471">
        <w:t>NR = not reported</w:t>
      </w:r>
    </w:p>
    <w:p w:rsidR="001D0FDA" w:rsidRPr="00EB1471" w:rsidRDefault="001D0FDA" w:rsidP="001D0FDA">
      <w:pPr>
        <w:pStyle w:val="Tablenote"/>
      </w:pPr>
      <w:r w:rsidRPr="00EB1471">
        <w:t>Source: Vachiéry et al 2017</w:t>
      </w:r>
      <w:r w:rsidR="001D34EE" w:rsidRPr="001A1C44">
        <w:rPr>
          <w:noProof/>
          <w:vertAlign w:val="superscript"/>
        </w:rPr>
        <w:t>70</w:t>
      </w:r>
      <w:r w:rsidRPr="00EB1471">
        <w:t xml:space="preserve"> and Qudiz et al 2009</w:t>
      </w:r>
      <w:r w:rsidR="001D34EE" w:rsidRPr="001A1C44">
        <w:rPr>
          <w:noProof/>
          <w:vertAlign w:val="superscript"/>
        </w:rPr>
        <w:t>55</w:t>
      </w:r>
    </w:p>
    <w:p w:rsidR="001D0FDA" w:rsidRPr="00EB1471" w:rsidRDefault="001D0FDA" w:rsidP="001D0FDA">
      <w:r w:rsidRPr="00EB1471">
        <w:t xml:space="preserve">The safety results reported in Vachiéry 2017 and the ARIES extension study were generally in line with the known safety profile of ambrisentan. The </w:t>
      </w:r>
      <w:r w:rsidR="006B2A7D">
        <w:t>AE</w:t>
      </w:r>
      <w:r w:rsidRPr="00EB1471">
        <w:t xml:space="preserve">s observed in these two single-arm studies were also reported in shorter-term RCTs and noted by the TAG-approved PI, except for renal disorders which occurred in 56 (6%) patients in Study Vachiéry 2017. The ambrisentan PI stated that the magnitude of the decrease in oral clearance is modest and unlikely to be of any clinical relevance in patients with moderate renal impairment. However, caution should be used in patients with severe renal impairment. Renal disorders are not included as </w:t>
      </w:r>
      <w:r w:rsidR="006B2A7D">
        <w:t>AE</w:t>
      </w:r>
      <w:r w:rsidRPr="00EB1471">
        <w:t>s in the ambrisentan PI, n</w:t>
      </w:r>
      <w:r>
        <w:t xml:space="preserve">either </w:t>
      </w:r>
      <w:r w:rsidRPr="00EB1471">
        <w:t>in the other ERA PI documents. Nickel et al (2017)</w:t>
      </w:r>
      <w:r w:rsidR="001D34EE" w:rsidRPr="001A1C44">
        <w:rPr>
          <w:noProof/>
          <w:vertAlign w:val="superscript"/>
        </w:rPr>
        <w:t>90</w:t>
      </w:r>
      <w:r w:rsidRPr="00EB1471">
        <w:t xml:space="preserve"> indicated that kidney dysfunction is a frequent co-morbidity in PAH. Potential mechanisms of PAH affecting the kidneys include increased venous congestion, decreased cardiac output, and neurohormonal activation. On a </w:t>
      </w:r>
      <w:r w:rsidRPr="00EB1471">
        <w:lastRenderedPageBreak/>
        <w:t>molecular level, increased transforming growth factor-β signalling and increased levels of circulating cytokines could have the potential to worsen kidney function. As vasoactive substances, most PAH-targeted therapy was shown to have nephroprotective potential in a pre-clinical or clinical setting</w:t>
      </w:r>
      <w:r w:rsidR="001D34EE" w:rsidRPr="001A1C44">
        <w:rPr>
          <w:noProof/>
          <w:vertAlign w:val="superscript"/>
        </w:rPr>
        <w:t>90</w:t>
      </w:r>
      <w:r w:rsidRPr="00EB1471">
        <w:t>. Large, long-term, placebo-controlled trials are warranted to investigate the impact of PAH-targeted therapy, including a</w:t>
      </w:r>
      <w:r w:rsidR="002A66C2">
        <w:t>mbrisentan, on kidney function.</w:t>
      </w:r>
    </w:p>
    <w:p w:rsidR="001D0FDA" w:rsidRPr="00EB1471" w:rsidRDefault="001D0FDA" w:rsidP="00480FDF">
      <w:pPr>
        <w:pStyle w:val="Heading5"/>
        <w:numPr>
          <w:ilvl w:val="4"/>
          <w:numId w:val="45"/>
        </w:numPr>
      </w:pPr>
      <w:r w:rsidRPr="00EB1471">
        <w:t>PDE-5 inhibitor</w:t>
      </w:r>
    </w:p>
    <w:p w:rsidR="001D0FDA" w:rsidRPr="00EB1471" w:rsidRDefault="001D0FDA" w:rsidP="00480FDF">
      <w:pPr>
        <w:pStyle w:val="Heading6"/>
        <w:numPr>
          <w:ilvl w:val="5"/>
          <w:numId w:val="45"/>
        </w:numPr>
      </w:pPr>
      <w:r w:rsidRPr="00EB1471">
        <w:t>Sildenafil</w:t>
      </w:r>
    </w:p>
    <w:p w:rsidR="001D0FDA" w:rsidRPr="00EB1471" w:rsidRDefault="001D0FDA" w:rsidP="001D0FDA">
      <w:r w:rsidRPr="00EB1471">
        <w:t>A total two RCTs (SUPER-1 and STARTS-1) and two observational studies (Sastry 2017 and STARTS extension study) were included for extended s</w:t>
      </w:r>
      <w:r w:rsidR="009800DB">
        <w:t>afety assessment of sildenafil.</w:t>
      </w:r>
    </w:p>
    <w:p w:rsidR="001D0FDA" w:rsidRPr="00EB1471" w:rsidRDefault="001D0FDA" w:rsidP="001D0FDA">
      <w:r w:rsidRPr="00EB1471">
        <w:t xml:space="preserve">When the PBAC recommended the listing of sildenafil at the November 2006 meeting, the safety results from the key trial SUPER-1 were reviewed. There was one article by Wirostko et al (2012) </w:t>
      </w:r>
      <w:r w:rsidR="001D34EE" w:rsidRPr="001A1C44">
        <w:rPr>
          <w:noProof/>
          <w:vertAlign w:val="superscript"/>
        </w:rPr>
        <w:t>53</w:t>
      </w:r>
      <w:r w:rsidRPr="00EB1471">
        <w:t xml:space="preserve"> published after the listing of sildenafil which reported the ocular safety of sildenafil in SUPER-1. In SUPER-1, patients were randomised to receive sildenafil 20 mg, 40 mg, or 80 mg or placebo tid. Among the different sildenafil doses, only 20 mg tid is the dosage regimen recommended by the PI</w:t>
      </w:r>
      <w:r>
        <w:t xml:space="preserve"> for the treatment of PAH</w:t>
      </w:r>
      <w:r w:rsidRPr="00EB1471">
        <w:t xml:space="preserve">. During the 12-week trial, daily dosing up to 80 mg tid in the trial population was not associated with visual change and had no detrimental effect on best corrected visual acuity, contrast sensitivity, colour vision, or visual field, or on slit lamp examinations, funduscopy, or intraocular pressure. The incidence of observed and reported ocular </w:t>
      </w:r>
      <w:r w:rsidR="006B2A7D">
        <w:t>AE</w:t>
      </w:r>
      <w:r w:rsidRPr="00EB1471">
        <w:t xml:space="preserve">s was low </w:t>
      </w:r>
      <w:r>
        <w:t xml:space="preserve">and comparable between placebo and sildenafil 20 mg groups. A modest, </w:t>
      </w:r>
      <w:r w:rsidRPr="00EB1471">
        <w:t>dose-related increase in the incidence of chromatopsia, cyanopsia, photophobia, visual brightness, and visual disturbance</w:t>
      </w:r>
      <w:r>
        <w:t xml:space="preserve"> was observed</w:t>
      </w:r>
      <w:r w:rsidRPr="00EB1471">
        <w:t>, with the incidence of each of these effects being ≤7% with sildenafil 80 mg, &lt;5% with sildenafil 40 mg and &lt;2% for sildenafil 20 mg and placebo groups. Four cases of retinal haemorrhage were observed in participants receiving warfarin, one each in the sildenafil 20 mg and 80 mg groups (incidence rate of 1%), two in the sildenafil 40 mg group (incidence rate of 3%) and none in the placebo arm. Although Wirostko et al</w:t>
      </w:r>
      <w:r w:rsidR="001D34EE" w:rsidRPr="001A1C44">
        <w:rPr>
          <w:noProof/>
          <w:vertAlign w:val="superscript"/>
        </w:rPr>
        <w:t>53</w:t>
      </w:r>
      <w:r w:rsidRPr="00EB1471">
        <w:t xml:space="preserve"> also reported ocular safety in the SUPER extension study in the same paper, these data were not included in the literature review for assessment of the safety profile of sildenafil, given that a vast majority (&gt;90%) of patients titrated up to 80 mg tid during the extension study, with only ≤3% of patients remaining or titrated down to the PI</w:t>
      </w:r>
      <w:r w:rsidR="009800DB">
        <w:t>-recommended dose of 20 mg tid.</w:t>
      </w:r>
    </w:p>
    <w:p w:rsidR="006E1D91" w:rsidRDefault="006E1D91">
      <w:pPr>
        <w:spacing w:before="0" w:line="240" w:lineRule="auto"/>
        <w:rPr>
          <w:b/>
          <w:iCs/>
          <w:szCs w:val="18"/>
        </w:rPr>
      </w:pPr>
      <w:r>
        <w:br w:type="page"/>
      </w:r>
    </w:p>
    <w:p w:rsidR="001D0FDA" w:rsidRPr="00EB1471" w:rsidRDefault="001D0FDA" w:rsidP="001D0FDA">
      <w:pPr>
        <w:pStyle w:val="Caption"/>
      </w:pPr>
      <w:bookmarkStart w:id="320" w:name="_Toc512855517"/>
      <w:r>
        <w:lastRenderedPageBreak/>
        <w:t>Table 4.</w:t>
      </w:r>
      <w:r w:rsidR="00AA722D">
        <w:rPr>
          <w:noProof/>
        </w:rPr>
        <w:t>113</w:t>
      </w:r>
      <w:r>
        <w:tab/>
      </w:r>
      <w:r w:rsidRPr="00EB1471">
        <w:t>E</w:t>
      </w:r>
      <w:r w:rsidRPr="00EB1471">
        <w:rPr>
          <w:rFonts w:eastAsia="Arial"/>
        </w:rPr>
        <w:t xml:space="preserve">ye disorder </w:t>
      </w:r>
      <w:r w:rsidR="00121EF0">
        <w:rPr>
          <w:rFonts w:eastAsia="Arial"/>
        </w:rPr>
        <w:t>AE</w:t>
      </w:r>
      <w:r w:rsidRPr="00EB1471">
        <w:rPr>
          <w:rFonts w:eastAsia="Arial"/>
        </w:rPr>
        <w:t>s</w:t>
      </w:r>
      <w:r w:rsidRPr="00EB1471">
        <w:rPr>
          <w:rFonts w:eastAsia="Arial"/>
          <w:vertAlign w:val="superscript"/>
        </w:rPr>
        <w:t>a</w:t>
      </w:r>
      <w:r w:rsidRPr="00EB1471">
        <w:rPr>
          <w:rFonts w:eastAsia="Arial"/>
        </w:rPr>
        <w:t xml:space="preserve"> reported in SUPER-1</w:t>
      </w:r>
      <w:bookmarkEnd w:id="32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Caption w:val="Eye disorder AEs reported in SUPER-1"/>
      </w:tblPr>
      <w:tblGrid>
        <w:gridCol w:w="2689"/>
        <w:gridCol w:w="2126"/>
        <w:gridCol w:w="1701"/>
        <w:gridCol w:w="1559"/>
        <w:gridCol w:w="1559"/>
      </w:tblGrid>
      <w:tr w:rsidR="001D0FDA" w:rsidRPr="00EB1471" w:rsidTr="00FD0BAE">
        <w:trPr>
          <w:tblHeader/>
        </w:trPr>
        <w:tc>
          <w:tcPr>
            <w:tcW w:w="2689" w:type="dxa"/>
            <w:vMerge w:val="restart"/>
            <w:shd w:val="clear" w:color="auto" w:fill="BFBFBF" w:themeFill="background1" w:themeFillShade="BF"/>
          </w:tcPr>
          <w:p w:rsidR="001D0FDA" w:rsidRPr="00EB1471" w:rsidRDefault="00121EF0" w:rsidP="00121EF0">
            <w:pPr>
              <w:pStyle w:val="Tabletext"/>
              <w:keepNext/>
              <w:autoSpaceDE/>
              <w:autoSpaceDN/>
              <w:adjustRightInd/>
              <w:rPr>
                <w:rFonts w:eastAsia="Arial"/>
                <w:b/>
              </w:rPr>
            </w:pPr>
            <w:r>
              <w:rPr>
                <w:rFonts w:eastAsia="Arial"/>
                <w:b/>
              </w:rPr>
              <w:t>AE</w:t>
            </w:r>
            <w:r w:rsidR="001D0FDA" w:rsidRPr="00EB1471">
              <w:rPr>
                <w:rFonts w:eastAsia="Arial"/>
                <w:b/>
              </w:rPr>
              <w:t xml:space="preserve"> </w:t>
            </w:r>
            <w:r w:rsidR="001D0FDA" w:rsidRPr="00EB1471">
              <w:rPr>
                <w:rFonts w:eastAsia="Arial"/>
                <w:b/>
              </w:rPr>
              <w:br/>
              <w:t>(MedDRA preferred term)</w:t>
            </w:r>
          </w:p>
        </w:tc>
        <w:tc>
          <w:tcPr>
            <w:tcW w:w="2126" w:type="dxa"/>
            <w:vMerge w:val="restart"/>
            <w:shd w:val="clear" w:color="auto" w:fill="BFBFBF" w:themeFill="background1" w:themeFillShade="BF"/>
          </w:tcPr>
          <w:p w:rsidR="001D0FDA" w:rsidRPr="00EB1471" w:rsidRDefault="001D0FDA" w:rsidP="00121EF0">
            <w:pPr>
              <w:pStyle w:val="Tabletext"/>
              <w:keepNext/>
              <w:autoSpaceDE/>
              <w:autoSpaceDN/>
              <w:adjustRightInd/>
              <w:jc w:val="center"/>
              <w:rPr>
                <w:rFonts w:eastAsia="Arial"/>
                <w:b/>
              </w:rPr>
            </w:pPr>
            <w:r w:rsidRPr="00EB1471">
              <w:rPr>
                <w:rFonts w:eastAsia="Arial"/>
                <w:b/>
              </w:rPr>
              <w:t xml:space="preserve">Placebo </w:t>
            </w:r>
            <w:r w:rsidRPr="00EB1471">
              <w:rPr>
                <w:rFonts w:eastAsia="Arial"/>
                <w:b/>
              </w:rPr>
              <w:br/>
              <w:t>(n=70)</w:t>
            </w:r>
          </w:p>
        </w:tc>
        <w:tc>
          <w:tcPr>
            <w:tcW w:w="4819" w:type="dxa"/>
            <w:gridSpan w:val="3"/>
            <w:shd w:val="clear" w:color="auto" w:fill="BFBFBF" w:themeFill="background1" w:themeFillShade="BF"/>
          </w:tcPr>
          <w:p w:rsidR="001D0FDA" w:rsidRPr="00EB1471" w:rsidRDefault="001D0FDA" w:rsidP="00121EF0">
            <w:pPr>
              <w:pStyle w:val="Tabletext"/>
              <w:keepNext/>
              <w:autoSpaceDE/>
              <w:autoSpaceDN/>
              <w:adjustRightInd/>
              <w:jc w:val="center"/>
              <w:rPr>
                <w:rFonts w:eastAsia="Arial"/>
                <w:b/>
              </w:rPr>
            </w:pPr>
            <w:r w:rsidRPr="00EB1471">
              <w:rPr>
                <w:rFonts w:eastAsia="Arial"/>
                <w:b/>
              </w:rPr>
              <w:t>Sildenafil</w:t>
            </w:r>
          </w:p>
        </w:tc>
      </w:tr>
      <w:tr w:rsidR="001D0FDA" w:rsidRPr="00EB1471" w:rsidTr="00FD0BAE">
        <w:trPr>
          <w:tblHeader/>
        </w:trPr>
        <w:tc>
          <w:tcPr>
            <w:tcW w:w="2689" w:type="dxa"/>
            <w:vMerge/>
            <w:shd w:val="clear" w:color="auto" w:fill="BFBFBF" w:themeFill="background1" w:themeFillShade="BF"/>
          </w:tcPr>
          <w:p w:rsidR="001D0FDA" w:rsidRPr="00EB1471" w:rsidRDefault="001D0FDA" w:rsidP="001D0FDA">
            <w:pPr>
              <w:pStyle w:val="Tabletext"/>
              <w:autoSpaceDE/>
              <w:autoSpaceDN/>
              <w:adjustRightInd/>
              <w:jc w:val="center"/>
              <w:rPr>
                <w:b/>
              </w:rPr>
            </w:pPr>
          </w:p>
        </w:tc>
        <w:tc>
          <w:tcPr>
            <w:tcW w:w="2126" w:type="dxa"/>
            <w:vMerge/>
            <w:shd w:val="clear" w:color="auto" w:fill="BFBFBF" w:themeFill="background1" w:themeFillShade="BF"/>
          </w:tcPr>
          <w:p w:rsidR="001D0FDA" w:rsidRPr="00EB1471" w:rsidRDefault="001D0FDA" w:rsidP="001D0FDA">
            <w:pPr>
              <w:pStyle w:val="Tabletext"/>
              <w:autoSpaceDE/>
              <w:autoSpaceDN/>
              <w:adjustRightInd/>
              <w:jc w:val="center"/>
              <w:rPr>
                <w:b/>
              </w:rPr>
            </w:pPr>
          </w:p>
        </w:tc>
        <w:tc>
          <w:tcPr>
            <w:tcW w:w="1701" w:type="dxa"/>
            <w:shd w:val="clear" w:color="auto" w:fill="BFBFBF" w:themeFill="background1" w:themeFillShade="BF"/>
          </w:tcPr>
          <w:p w:rsidR="001D0FDA" w:rsidRPr="00EB1471" w:rsidRDefault="001D0FDA" w:rsidP="00121EF0">
            <w:pPr>
              <w:pStyle w:val="Tabletext"/>
              <w:autoSpaceDE/>
              <w:autoSpaceDN/>
              <w:adjustRightInd/>
              <w:jc w:val="center"/>
              <w:rPr>
                <w:rFonts w:eastAsia="Arial"/>
                <w:b/>
              </w:rPr>
            </w:pPr>
            <w:r w:rsidRPr="00EB1471">
              <w:rPr>
                <w:rFonts w:eastAsia="Arial"/>
                <w:b/>
              </w:rPr>
              <w:t>20 mg (n=69)</w:t>
            </w:r>
          </w:p>
        </w:tc>
        <w:tc>
          <w:tcPr>
            <w:tcW w:w="1559" w:type="dxa"/>
            <w:shd w:val="clear" w:color="auto" w:fill="BFBFBF" w:themeFill="background1" w:themeFillShade="BF"/>
          </w:tcPr>
          <w:p w:rsidR="001D0FDA" w:rsidRPr="00EB1471" w:rsidRDefault="001D0FDA" w:rsidP="00121EF0">
            <w:pPr>
              <w:pStyle w:val="Tabletext"/>
              <w:autoSpaceDE/>
              <w:autoSpaceDN/>
              <w:adjustRightInd/>
              <w:jc w:val="center"/>
              <w:rPr>
                <w:rFonts w:eastAsia="Arial"/>
                <w:b/>
              </w:rPr>
            </w:pPr>
            <w:r w:rsidRPr="00EB1471">
              <w:rPr>
                <w:rFonts w:eastAsia="Arial"/>
                <w:b/>
              </w:rPr>
              <w:t>40 mg (n=67)</w:t>
            </w:r>
          </w:p>
        </w:tc>
        <w:tc>
          <w:tcPr>
            <w:tcW w:w="1559" w:type="dxa"/>
            <w:shd w:val="clear" w:color="auto" w:fill="BFBFBF" w:themeFill="background1" w:themeFillShade="BF"/>
          </w:tcPr>
          <w:p w:rsidR="001D0FDA" w:rsidRPr="00EB1471" w:rsidRDefault="001D0FDA" w:rsidP="00121EF0">
            <w:pPr>
              <w:pStyle w:val="Tabletext"/>
              <w:autoSpaceDE/>
              <w:autoSpaceDN/>
              <w:adjustRightInd/>
              <w:jc w:val="center"/>
              <w:rPr>
                <w:rFonts w:eastAsia="Arial"/>
                <w:b/>
              </w:rPr>
            </w:pPr>
            <w:r w:rsidRPr="00EB1471">
              <w:rPr>
                <w:rFonts w:eastAsia="Arial"/>
                <w:b/>
              </w:rPr>
              <w:t>80 mg (n=71)</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Abnormal sensation in eye</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2 (2.9%)</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1 (1.5%)</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Chromatopsia</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1 (1.5%)</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3 (4.2%)</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Cyanopsia</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1 (1.5%)</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3 (4.2%)</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Eye haemorrhage NOS</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1 (1.5%)</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Eye irritation</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2 (2.9%)</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2 (2.8%)</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Eye pain</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3 (4.2%)</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Halo vision</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2 (2.8%)</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Photophobia</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4 (5.6%)</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Photophobia  aggravated</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Retinal haemorrhage</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2 (3.0%)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Vision blurred</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4 (5.7%)</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3 (4.3%)</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2 (3.0%)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4 (5.6%)</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Visual acuity reduced</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2 (3.0%)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Visual brightness</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2 (2.8%)</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Visual disturbance NOS</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3 (4.5%)</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5 (7.0%)</w:t>
            </w:r>
          </w:p>
        </w:tc>
      </w:tr>
    </w:tbl>
    <w:p w:rsidR="006D01E8" w:rsidRPr="00EB1471" w:rsidRDefault="006D01E8" w:rsidP="006D01E8">
      <w:pPr>
        <w:pStyle w:val="Tablenote"/>
      </w:pPr>
      <w:r w:rsidRPr="00EB1471">
        <w:rPr>
          <w:vertAlign w:val="superscript"/>
        </w:rPr>
        <w:t>a</w:t>
      </w:r>
      <w:r w:rsidRPr="00EB1471">
        <w:t xml:space="preserve"> With incidence rate of ≥2% in any of the sildenafil arm</w:t>
      </w:r>
    </w:p>
    <w:p w:rsidR="001D0FDA" w:rsidRPr="00EB1471" w:rsidRDefault="00121EF0" w:rsidP="001D0FDA">
      <w:pPr>
        <w:pStyle w:val="Tablenote"/>
      </w:pPr>
      <w:r>
        <w:t xml:space="preserve">AE = adverse event; </w:t>
      </w:r>
      <w:r w:rsidR="00D2075A">
        <w:t>n</w:t>
      </w:r>
      <w:r>
        <w:t xml:space="preserve"> = number of patients; </w:t>
      </w:r>
      <w:r w:rsidR="001D0FDA" w:rsidRPr="00EB1471">
        <w:t>NOS = not otherwise specified</w:t>
      </w:r>
    </w:p>
    <w:p w:rsidR="001D0FDA" w:rsidRPr="00EB1471" w:rsidRDefault="001D0FDA" w:rsidP="001D0FDA">
      <w:pPr>
        <w:pStyle w:val="Tablenote"/>
      </w:pPr>
      <w:r w:rsidRPr="00EB1471">
        <w:t>Source: Wirostko et al 2012</w:t>
      </w:r>
      <w:r w:rsidR="001D34EE" w:rsidRPr="001A1C44">
        <w:rPr>
          <w:noProof/>
          <w:vertAlign w:val="superscript"/>
        </w:rPr>
        <w:t>53</w:t>
      </w:r>
    </w:p>
    <w:p w:rsidR="001D0FDA" w:rsidRPr="00EB1471" w:rsidRDefault="001D0FDA" w:rsidP="001D0FDA">
      <w:r w:rsidRPr="00EB1471">
        <w:t>In Study Sastry 2007</w:t>
      </w:r>
      <w:r w:rsidR="001D34EE" w:rsidRPr="001A1C44">
        <w:rPr>
          <w:noProof/>
          <w:vertAlign w:val="superscript"/>
        </w:rPr>
        <w:t>52</w:t>
      </w:r>
      <w:r w:rsidRPr="00EB1471">
        <w:t xml:space="preserve">, a total of 139 patients receiving sildenafil for treatment of IPAH were followed up to 5 years. The authors reported that all patients tolerated sildenafil well without any major </w:t>
      </w:r>
      <w:r w:rsidR="006B2A7D">
        <w:t>AE</w:t>
      </w:r>
      <w:r w:rsidRPr="00EB1471">
        <w:t>s or treatment discontinuation due to intolerance or adverse. Adverse events observed in this study included dyspepsia, headache and rash. None of the patients hav</w:t>
      </w:r>
      <w:r w:rsidR="009800DB">
        <w:t>e reported any visual problems.</w:t>
      </w:r>
    </w:p>
    <w:p w:rsidR="00AA722D" w:rsidRPr="00AA722D" w:rsidRDefault="001D0FDA" w:rsidP="00AA722D">
      <w:r w:rsidRPr="00EB1471">
        <w:t xml:space="preserve">The safety of sildenafil treatment in paediatric patients were investigated in Trial STARTS-1 and its extension study. In STARTS-1, children (aged 1-17 years) weighing ≥8 kg with IPAH, HPAH, PAH-CTD or PAH-CHD were randomised to low- (10 mg in patients &gt;20 kg; no patients ≤ 20 kg received the low dose), medium- (10 mg in patients 8-20 kg; 20 mg in patients 20-45 kg; 40 mg in patients &gt;45 kg) or high- (20 mg in patients 8-20 kg; 40 mg in patients 20-45 kg; 80 mg in patients &gt;45 kg) dose sildenafil or placebo for 16 weeks. A summary of </w:t>
      </w:r>
      <w:r w:rsidR="006B2A7D">
        <w:t>AE</w:t>
      </w:r>
      <w:r w:rsidRPr="00EB1471">
        <w:t xml:space="preserve">s reported in STARTS-1 is presented in </w:t>
      </w:r>
      <w:r w:rsidR="00AA722D">
        <w:br w:type="page"/>
      </w:r>
    </w:p>
    <w:p w:rsidR="001D0FDA" w:rsidRPr="00EB1471" w:rsidRDefault="00AA722D" w:rsidP="001D0FDA">
      <w:r>
        <w:lastRenderedPageBreak/>
        <w:t>Table 4.114</w:t>
      </w:r>
      <w:r w:rsidR="001D0FDA" w:rsidRPr="00EB1471">
        <w:t xml:space="preserve">. The majority of </w:t>
      </w:r>
      <w:r w:rsidR="006B2A7D">
        <w:t>AE</w:t>
      </w:r>
      <w:r w:rsidR="001D0FDA" w:rsidRPr="00EB1471">
        <w:t xml:space="preserve">s were of mild or moderate intensity. Four (2%) patients in the sildenafil arms discontinued the study, two of which withdrew as a result of </w:t>
      </w:r>
      <w:r w:rsidR="006B2A7D">
        <w:t>AE</w:t>
      </w:r>
      <w:r w:rsidR="001D0FDA" w:rsidRPr="00EB1471">
        <w:t xml:space="preserve">s; meanwhile, </w:t>
      </w:r>
      <w:r w:rsidR="006B2A7D">
        <w:t>AE</w:t>
      </w:r>
      <w:r w:rsidR="001D0FDA" w:rsidRPr="00EB1471">
        <w:t xml:space="preserve">s leading to study discontinuation did not occur in placebo-treated patients. A total of 11 patients reported serious </w:t>
      </w:r>
      <w:r w:rsidR="006B2A7D">
        <w:t>AE</w:t>
      </w:r>
      <w:r w:rsidR="001D0FDA" w:rsidRPr="00EB1471">
        <w:t xml:space="preserve">s, with two considered treatment related (both in the high-dose sildenafil group): stridor and arrhythmia in one patient each. Two patients died before randomisation (1 during and 1 before cardiac catheterisation); no additional deaths occurred during STARTS-1 treatment. Among </w:t>
      </w:r>
      <w:r w:rsidR="006B2A7D">
        <w:t>AE</w:t>
      </w:r>
      <w:r w:rsidR="001D0FDA" w:rsidRPr="00EB1471">
        <w:t>s reported in this trial, pyrexia, increased erection, and upper respiratory tract infection occurred in &gt;5% more patients in the sildenafil combined group versus placebo. Pyrexia, vomiting, and nausea appeared to be dose-related</w:t>
      </w:r>
      <w:r w:rsidR="001D34EE" w:rsidRPr="001A1C44">
        <w:rPr>
          <w:noProof/>
          <w:vertAlign w:val="superscript"/>
        </w:rPr>
        <w:t>54</w:t>
      </w:r>
      <w:r w:rsidR="009800DB">
        <w:t>.</w:t>
      </w:r>
    </w:p>
    <w:p w:rsidR="006E1D91" w:rsidRDefault="006E1D91">
      <w:pPr>
        <w:spacing w:before="0" w:line="240" w:lineRule="auto"/>
        <w:rPr>
          <w:b/>
          <w:iCs/>
          <w:szCs w:val="18"/>
        </w:rPr>
      </w:pPr>
      <w:bookmarkStart w:id="321" w:name="_Ref505077278"/>
      <w:r>
        <w:br w:type="page"/>
      </w:r>
    </w:p>
    <w:p w:rsidR="001D0FDA" w:rsidRPr="00EB1471" w:rsidRDefault="001D0FDA" w:rsidP="001D0FDA">
      <w:pPr>
        <w:pStyle w:val="Caption"/>
        <w:rPr>
          <w:rFonts w:eastAsia="Arial"/>
        </w:rPr>
      </w:pPr>
      <w:bookmarkStart w:id="322" w:name="_Toc512855518"/>
      <w:r>
        <w:lastRenderedPageBreak/>
        <w:t>Table 4.</w:t>
      </w:r>
      <w:r w:rsidR="00AA722D">
        <w:rPr>
          <w:noProof/>
        </w:rPr>
        <w:t>114</w:t>
      </w:r>
      <w:bookmarkEnd w:id="321"/>
      <w:r>
        <w:tab/>
      </w:r>
      <w:r w:rsidRPr="00EB1471">
        <w:t>AEs reported in STARTS-1</w:t>
      </w:r>
      <w:bookmarkEnd w:id="322"/>
      <w:r w:rsidRPr="00EB1471">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Caption w:val="AEs reported in STARTS-1"/>
      </w:tblPr>
      <w:tblGrid>
        <w:gridCol w:w="3397"/>
        <w:gridCol w:w="1276"/>
        <w:gridCol w:w="1276"/>
        <w:gridCol w:w="1185"/>
        <w:gridCol w:w="1366"/>
        <w:gridCol w:w="1276"/>
      </w:tblGrid>
      <w:tr w:rsidR="001D0FDA" w:rsidRPr="00EB1471" w:rsidTr="00D2075A">
        <w:trPr>
          <w:tblHeader/>
        </w:trPr>
        <w:tc>
          <w:tcPr>
            <w:tcW w:w="3397" w:type="dxa"/>
            <w:vMerge w:val="restart"/>
            <w:shd w:val="clear" w:color="auto" w:fill="BFBFBF" w:themeFill="background1" w:themeFillShade="BF"/>
          </w:tcPr>
          <w:p w:rsidR="001D0FDA" w:rsidRPr="00EB1471" w:rsidRDefault="00FD0BAE" w:rsidP="001D0FDA">
            <w:pPr>
              <w:pStyle w:val="TableText0"/>
            </w:pPr>
            <w:r w:rsidRPr="00FD0BAE">
              <w:rPr>
                <w:b/>
              </w:rPr>
              <w:t>AEs</w:t>
            </w:r>
          </w:p>
        </w:tc>
        <w:tc>
          <w:tcPr>
            <w:tcW w:w="1276" w:type="dxa"/>
            <w:vMerge w:val="restart"/>
            <w:shd w:val="clear" w:color="auto" w:fill="BFBFBF" w:themeFill="background1" w:themeFillShade="BF"/>
          </w:tcPr>
          <w:p w:rsidR="001D0FDA" w:rsidRPr="00EB1471" w:rsidRDefault="001D0FDA" w:rsidP="00121EF0">
            <w:pPr>
              <w:pStyle w:val="TableText0"/>
              <w:jc w:val="center"/>
              <w:rPr>
                <w:b/>
              </w:rPr>
            </w:pPr>
            <w:r w:rsidRPr="00EB1471">
              <w:rPr>
                <w:rFonts w:eastAsia="Arial"/>
                <w:b/>
              </w:rPr>
              <w:t xml:space="preserve">Placebo </w:t>
            </w:r>
            <w:r w:rsidRPr="00EB1471">
              <w:rPr>
                <w:rFonts w:eastAsia="Arial"/>
                <w:b/>
              </w:rPr>
              <w:br/>
              <w:t>(n=60)</w:t>
            </w:r>
          </w:p>
        </w:tc>
        <w:tc>
          <w:tcPr>
            <w:tcW w:w="5103" w:type="dxa"/>
            <w:gridSpan w:val="4"/>
            <w:shd w:val="clear" w:color="auto" w:fill="BFBFBF" w:themeFill="background1" w:themeFillShade="BF"/>
          </w:tcPr>
          <w:p w:rsidR="001D0FDA" w:rsidRPr="00EB1471" w:rsidRDefault="001D0FDA" w:rsidP="001D0FDA">
            <w:pPr>
              <w:pStyle w:val="TableText0"/>
              <w:jc w:val="center"/>
              <w:rPr>
                <w:b/>
              </w:rPr>
            </w:pPr>
            <w:r w:rsidRPr="00EB1471">
              <w:rPr>
                <w:b/>
              </w:rPr>
              <w:t>Sildenafil</w:t>
            </w:r>
          </w:p>
        </w:tc>
      </w:tr>
      <w:tr w:rsidR="001D0FDA" w:rsidRPr="00EB1471" w:rsidTr="00D2075A">
        <w:trPr>
          <w:tblHeader/>
        </w:trPr>
        <w:tc>
          <w:tcPr>
            <w:tcW w:w="3397" w:type="dxa"/>
            <w:vMerge/>
            <w:shd w:val="clear" w:color="auto" w:fill="BFBFBF" w:themeFill="background1" w:themeFillShade="BF"/>
          </w:tcPr>
          <w:p w:rsidR="001D0FDA" w:rsidRPr="00EB1471" w:rsidRDefault="001D0FDA" w:rsidP="001D0FDA">
            <w:pPr>
              <w:pStyle w:val="TableText0"/>
            </w:pPr>
          </w:p>
        </w:tc>
        <w:tc>
          <w:tcPr>
            <w:tcW w:w="1276" w:type="dxa"/>
            <w:vMerge/>
            <w:shd w:val="clear" w:color="auto" w:fill="BFBFBF" w:themeFill="background1" w:themeFillShade="BF"/>
          </w:tcPr>
          <w:p w:rsidR="001D0FDA" w:rsidRPr="00EB1471" w:rsidRDefault="001D0FDA" w:rsidP="001D0FDA">
            <w:pPr>
              <w:pStyle w:val="TableText0"/>
              <w:jc w:val="center"/>
              <w:rPr>
                <w:rFonts w:eastAsia="Arial"/>
                <w:b/>
              </w:rPr>
            </w:pPr>
          </w:p>
        </w:tc>
        <w:tc>
          <w:tcPr>
            <w:tcW w:w="1276" w:type="dxa"/>
            <w:shd w:val="clear" w:color="auto" w:fill="BFBFBF" w:themeFill="background1" w:themeFillShade="BF"/>
          </w:tcPr>
          <w:p w:rsidR="001D0FDA" w:rsidRPr="00EB1471" w:rsidRDefault="001D0FDA" w:rsidP="00121EF0">
            <w:pPr>
              <w:pStyle w:val="TableText0"/>
              <w:jc w:val="center"/>
              <w:rPr>
                <w:rFonts w:eastAsia="Arial"/>
                <w:b/>
              </w:rPr>
            </w:pPr>
            <w:r w:rsidRPr="00EB1471">
              <w:rPr>
                <w:rFonts w:eastAsia="Arial"/>
                <w:b/>
              </w:rPr>
              <w:t>Low dose</w:t>
            </w:r>
            <w:r w:rsidRPr="00EB1471">
              <w:rPr>
                <w:rFonts w:eastAsia="Arial"/>
                <w:b/>
              </w:rPr>
              <w:br/>
              <w:t>(n=42)</w:t>
            </w:r>
          </w:p>
        </w:tc>
        <w:tc>
          <w:tcPr>
            <w:tcW w:w="1185" w:type="dxa"/>
            <w:shd w:val="clear" w:color="auto" w:fill="BFBFBF" w:themeFill="background1" w:themeFillShade="BF"/>
          </w:tcPr>
          <w:p w:rsidR="001D0FDA" w:rsidRPr="00EB1471" w:rsidRDefault="001D0FDA" w:rsidP="00121EF0">
            <w:pPr>
              <w:pStyle w:val="TableText0"/>
              <w:jc w:val="center"/>
              <w:rPr>
                <w:rFonts w:eastAsia="Arial"/>
                <w:b/>
              </w:rPr>
            </w:pPr>
            <w:r w:rsidRPr="00EB1471">
              <w:rPr>
                <w:rFonts w:eastAsia="Arial"/>
                <w:b/>
              </w:rPr>
              <w:t>Medium dose (n=55)</w:t>
            </w:r>
          </w:p>
        </w:tc>
        <w:tc>
          <w:tcPr>
            <w:tcW w:w="1366" w:type="dxa"/>
            <w:shd w:val="clear" w:color="auto" w:fill="BFBFBF" w:themeFill="background1" w:themeFillShade="BF"/>
          </w:tcPr>
          <w:p w:rsidR="001D0FDA" w:rsidRPr="00EB1471" w:rsidRDefault="001D0FDA" w:rsidP="00121EF0">
            <w:pPr>
              <w:pStyle w:val="TableText0"/>
              <w:jc w:val="center"/>
              <w:rPr>
                <w:rFonts w:eastAsia="Arial"/>
                <w:b/>
              </w:rPr>
            </w:pPr>
            <w:r w:rsidRPr="00EB1471">
              <w:rPr>
                <w:rFonts w:eastAsia="Arial"/>
                <w:b/>
              </w:rPr>
              <w:t>High dose</w:t>
            </w:r>
            <w:r w:rsidRPr="00EB1471">
              <w:rPr>
                <w:rFonts w:eastAsia="Arial"/>
                <w:b/>
              </w:rPr>
              <w:br/>
              <w:t>(n=77)</w:t>
            </w:r>
          </w:p>
        </w:tc>
        <w:tc>
          <w:tcPr>
            <w:tcW w:w="1276" w:type="dxa"/>
            <w:shd w:val="clear" w:color="auto" w:fill="BFBFBF" w:themeFill="background1" w:themeFillShade="BF"/>
          </w:tcPr>
          <w:p w:rsidR="001D0FDA" w:rsidRPr="00EB1471" w:rsidRDefault="001D0FDA" w:rsidP="00121EF0">
            <w:pPr>
              <w:pStyle w:val="TableText0"/>
              <w:jc w:val="center"/>
              <w:rPr>
                <w:rFonts w:eastAsia="Arial"/>
                <w:b/>
              </w:rPr>
            </w:pPr>
            <w:r w:rsidRPr="00EB1471">
              <w:rPr>
                <w:rFonts w:eastAsia="Arial"/>
                <w:b/>
              </w:rPr>
              <w:t>Combined (n=174)</w:t>
            </w:r>
          </w:p>
        </w:tc>
      </w:tr>
      <w:tr w:rsidR="001D0FDA" w:rsidRPr="00EB1471" w:rsidTr="001D0FDA">
        <w:tc>
          <w:tcPr>
            <w:tcW w:w="3397" w:type="dxa"/>
          </w:tcPr>
          <w:p w:rsidR="001D0FDA" w:rsidRPr="00EB1471" w:rsidRDefault="001D0FDA" w:rsidP="001D0FDA">
            <w:pPr>
              <w:pStyle w:val="TableText0"/>
              <w:spacing w:before="20" w:after="20"/>
              <w:rPr>
                <w:rFonts w:eastAsia="Arial"/>
              </w:rPr>
            </w:pPr>
            <w:r w:rsidRPr="00EB1471">
              <w:rPr>
                <w:rFonts w:eastAsia="Arial"/>
              </w:rPr>
              <w:t>AEs leading to treatment discontinuation</w:t>
            </w:r>
          </w:p>
        </w:tc>
        <w:tc>
          <w:tcPr>
            <w:tcW w:w="1276" w:type="dxa"/>
          </w:tcPr>
          <w:p w:rsidR="001D0FDA" w:rsidRPr="00EB1471" w:rsidRDefault="001D0FDA" w:rsidP="001D0FDA">
            <w:pPr>
              <w:pStyle w:val="TableText0"/>
              <w:spacing w:before="20" w:after="20"/>
              <w:jc w:val="center"/>
              <w:rPr>
                <w:rFonts w:eastAsia="Arial"/>
              </w:rPr>
            </w:pPr>
            <w:r w:rsidRPr="00EB1471">
              <w:rPr>
                <w:rFonts w:eastAsia="Arial"/>
              </w:rPr>
              <w:t>0 (0%)</w:t>
            </w:r>
          </w:p>
        </w:tc>
        <w:tc>
          <w:tcPr>
            <w:tcW w:w="1276" w:type="dxa"/>
          </w:tcPr>
          <w:p w:rsidR="001D0FDA" w:rsidRPr="00EB1471" w:rsidRDefault="001D0FDA" w:rsidP="001D0FDA">
            <w:pPr>
              <w:pStyle w:val="TableText0"/>
              <w:spacing w:before="20" w:after="20"/>
              <w:jc w:val="center"/>
              <w:rPr>
                <w:rFonts w:eastAsia="Arial"/>
              </w:rPr>
            </w:pPr>
            <w:r w:rsidRPr="00EB1471">
              <w:rPr>
                <w:rFonts w:eastAsia="Arial"/>
              </w:rPr>
              <w:t>N</w:t>
            </w:r>
          </w:p>
        </w:tc>
        <w:tc>
          <w:tcPr>
            <w:tcW w:w="1185" w:type="dxa"/>
          </w:tcPr>
          <w:p w:rsidR="001D0FDA" w:rsidRPr="00EB1471" w:rsidRDefault="001D0FDA" w:rsidP="001D0FDA">
            <w:pPr>
              <w:pStyle w:val="TableText0"/>
              <w:spacing w:before="20" w:after="20"/>
              <w:jc w:val="center"/>
              <w:rPr>
                <w:rFonts w:eastAsia="Arial"/>
              </w:rPr>
            </w:pPr>
            <w:r w:rsidRPr="00EB1471">
              <w:rPr>
                <w:rFonts w:eastAsia="Arial"/>
              </w:rPr>
              <w:t>NR</w:t>
            </w:r>
          </w:p>
        </w:tc>
        <w:tc>
          <w:tcPr>
            <w:tcW w:w="1366" w:type="dxa"/>
          </w:tcPr>
          <w:p w:rsidR="001D0FDA" w:rsidRPr="00EB1471" w:rsidRDefault="001D0FDA" w:rsidP="001D0FDA">
            <w:pPr>
              <w:pStyle w:val="TableText0"/>
              <w:spacing w:before="20" w:after="20"/>
              <w:jc w:val="center"/>
              <w:rPr>
                <w:rFonts w:eastAsia="Arial"/>
              </w:rPr>
            </w:pPr>
            <w:r w:rsidRPr="00EB1471">
              <w:rPr>
                <w:rFonts w:eastAsia="Arial"/>
              </w:rPr>
              <w:t>NR</w:t>
            </w:r>
          </w:p>
        </w:tc>
        <w:tc>
          <w:tcPr>
            <w:tcW w:w="1276" w:type="dxa"/>
          </w:tcPr>
          <w:p w:rsidR="001D0FDA" w:rsidRPr="00EB1471" w:rsidRDefault="001D0FDA" w:rsidP="001D0FDA">
            <w:pPr>
              <w:pStyle w:val="TableText0"/>
              <w:spacing w:before="20" w:after="20"/>
              <w:jc w:val="center"/>
              <w:rPr>
                <w:rFonts w:eastAsia="Arial"/>
              </w:rPr>
            </w:pPr>
            <w:r w:rsidRPr="00EB1471">
              <w:rPr>
                <w:rFonts w:eastAsia="Arial"/>
              </w:rPr>
              <w:t>2 (1%)</w:t>
            </w:r>
          </w:p>
        </w:tc>
      </w:tr>
      <w:tr w:rsidR="001D0FDA" w:rsidRPr="00EB1471" w:rsidTr="001D0FDA">
        <w:tc>
          <w:tcPr>
            <w:tcW w:w="3397" w:type="dxa"/>
          </w:tcPr>
          <w:p w:rsidR="001D0FDA" w:rsidRPr="00EB1471" w:rsidRDefault="001D0FDA" w:rsidP="001D0FDA">
            <w:pPr>
              <w:pStyle w:val="TableText0"/>
              <w:spacing w:before="20" w:after="20"/>
              <w:rPr>
                <w:rFonts w:eastAsia="Arial"/>
              </w:rPr>
            </w:pPr>
            <w:r w:rsidRPr="00EB1471">
              <w:rPr>
                <w:rFonts w:eastAsia="Arial"/>
              </w:rPr>
              <w:t>Treatment-related serious AEs</w:t>
            </w:r>
          </w:p>
        </w:tc>
        <w:tc>
          <w:tcPr>
            <w:tcW w:w="1276" w:type="dxa"/>
          </w:tcPr>
          <w:p w:rsidR="001D0FDA" w:rsidRPr="00EB1471" w:rsidRDefault="001D0FDA" w:rsidP="001D0FDA">
            <w:pPr>
              <w:pStyle w:val="TableText0"/>
              <w:spacing w:before="20" w:after="20"/>
              <w:jc w:val="center"/>
              <w:rPr>
                <w:rFonts w:eastAsia="Arial"/>
              </w:rPr>
            </w:pPr>
            <w:r w:rsidRPr="00EB1471">
              <w:rPr>
                <w:rFonts w:eastAsia="Arial"/>
              </w:rPr>
              <w:t>0 (0%)</w:t>
            </w:r>
          </w:p>
        </w:tc>
        <w:tc>
          <w:tcPr>
            <w:tcW w:w="1276" w:type="dxa"/>
          </w:tcPr>
          <w:p w:rsidR="001D0FDA" w:rsidRPr="00EB1471" w:rsidRDefault="001D0FDA" w:rsidP="001D0FDA">
            <w:pPr>
              <w:pStyle w:val="TableText0"/>
              <w:spacing w:before="20" w:after="20"/>
              <w:jc w:val="center"/>
              <w:rPr>
                <w:rFonts w:eastAsia="Arial"/>
              </w:rPr>
            </w:pPr>
            <w:r w:rsidRPr="00EB1471">
              <w:rPr>
                <w:rFonts w:eastAsia="Arial"/>
              </w:rPr>
              <w:t>0 (0%)</w:t>
            </w:r>
          </w:p>
        </w:tc>
        <w:tc>
          <w:tcPr>
            <w:tcW w:w="1185" w:type="dxa"/>
          </w:tcPr>
          <w:p w:rsidR="001D0FDA" w:rsidRPr="00EB1471" w:rsidRDefault="001D0FDA" w:rsidP="001D0FDA">
            <w:pPr>
              <w:pStyle w:val="TableText0"/>
              <w:spacing w:before="20" w:after="20"/>
              <w:jc w:val="center"/>
              <w:rPr>
                <w:rFonts w:eastAsia="Arial"/>
              </w:rPr>
            </w:pPr>
            <w:r w:rsidRPr="00EB1471">
              <w:rPr>
                <w:rFonts w:eastAsia="Arial"/>
              </w:rPr>
              <w:t>0 (0%)</w:t>
            </w:r>
          </w:p>
        </w:tc>
        <w:tc>
          <w:tcPr>
            <w:tcW w:w="1366" w:type="dxa"/>
          </w:tcPr>
          <w:p w:rsidR="001D0FDA" w:rsidRPr="00EB1471" w:rsidRDefault="001D0FDA" w:rsidP="001D0FDA">
            <w:pPr>
              <w:pStyle w:val="TableText0"/>
              <w:spacing w:before="20" w:after="20"/>
              <w:jc w:val="center"/>
              <w:rPr>
                <w:rFonts w:eastAsia="Arial"/>
              </w:rPr>
            </w:pPr>
            <w:r w:rsidRPr="00EB1471">
              <w:rPr>
                <w:rFonts w:eastAsia="Arial"/>
              </w:rPr>
              <w:t>2 (3%)</w:t>
            </w:r>
          </w:p>
        </w:tc>
        <w:tc>
          <w:tcPr>
            <w:tcW w:w="1276" w:type="dxa"/>
          </w:tcPr>
          <w:p w:rsidR="001D0FDA" w:rsidRPr="00EB1471" w:rsidRDefault="001D0FDA" w:rsidP="001D0FDA">
            <w:pPr>
              <w:pStyle w:val="TableText0"/>
              <w:spacing w:before="20" w:after="20"/>
              <w:jc w:val="center"/>
              <w:rPr>
                <w:rFonts w:eastAsia="Arial"/>
              </w:rPr>
            </w:pPr>
            <w:r w:rsidRPr="00EB1471">
              <w:rPr>
                <w:rFonts w:eastAsia="Arial"/>
              </w:rPr>
              <w:t>2 (1%)</w:t>
            </w:r>
          </w:p>
        </w:tc>
      </w:tr>
      <w:tr w:rsidR="001D0FDA" w:rsidRPr="00EB1471" w:rsidTr="001D0FDA">
        <w:tc>
          <w:tcPr>
            <w:tcW w:w="3397" w:type="dxa"/>
            <w:tcBorders>
              <w:bottom w:val="single" w:sz="4" w:space="0" w:color="auto"/>
            </w:tcBorders>
          </w:tcPr>
          <w:p w:rsidR="001D0FDA" w:rsidRPr="00EB1471" w:rsidRDefault="001D0FDA" w:rsidP="001D0FDA">
            <w:pPr>
              <w:pStyle w:val="TableText0"/>
              <w:spacing w:before="20" w:after="20"/>
              <w:rPr>
                <w:rFonts w:eastAsia="Arial"/>
              </w:rPr>
            </w:pPr>
            <w:r w:rsidRPr="00EB1471">
              <w:rPr>
                <w:rFonts w:eastAsia="Arial"/>
              </w:rPr>
              <w:t xml:space="preserve">Fatal AEs </w:t>
            </w:r>
          </w:p>
        </w:tc>
        <w:tc>
          <w:tcPr>
            <w:tcW w:w="1276" w:type="dxa"/>
            <w:tcBorders>
              <w:bottom w:val="single" w:sz="4" w:space="0" w:color="auto"/>
            </w:tcBorders>
          </w:tcPr>
          <w:p w:rsidR="001D0FDA" w:rsidRPr="00EB1471" w:rsidRDefault="001D0FDA" w:rsidP="001D0FDA">
            <w:pPr>
              <w:pStyle w:val="TableText0"/>
              <w:spacing w:before="20" w:after="20"/>
              <w:jc w:val="center"/>
              <w:rPr>
                <w:rFonts w:eastAsia="Arial"/>
              </w:rPr>
            </w:pPr>
            <w:r w:rsidRPr="00EB1471">
              <w:rPr>
                <w:rFonts w:eastAsia="Arial"/>
              </w:rPr>
              <w:t>0 (0%)</w:t>
            </w:r>
          </w:p>
        </w:tc>
        <w:tc>
          <w:tcPr>
            <w:tcW w:w="1276" w:type="dxa"/>
            <w:tcBorders>
              <w:bottom w:val="single" w:sz="4" w:space="0" w:color="auto"/>
            </w:tcBorders>
          </w:tcPr>
          <w:p w:rsidR="001D0FDA" w:rsidRPr="00EB1471" w:rsidRDefault="001D0FDA" w:rsidP="001D0FDA">
            <w:pPr>
              <w:pStyle w:val="TableText0"/>
              <w:spacing w:before="20" w:after="20"/>
              <w:jc w:val="center"/>
              <w:rPr>
                <w:rFonts w:eastAsia="Arial"/>
              </w:rPr>
            </w:pPr>
            <w:r w:rsidRPr="00EB1471">
              <w:rPr>
                <w:rFonts w:eastAsia="Arial"/>
              </w:rPr>
              <w:t>0 (0%)</w:t>
            </w:r>
          </w:p>
        </w:tc>
        <w:tc>
          <w:tcPr>
            <w:tcW w:w="1185" w:type="dxa"/>
            <w:tcBorders>
              <w:bottom w:val="single" w:sz="4" w:space="0" w:color="auto"/>
            </w:tcBorders>
          </w:tcPr>
          <w:p w:rsidR="001D0FDA" w:rsidRPr="00EB1471" w:rsidRDefault="001D0FDA" w:rsidP="001D0FDA">
            <w:pPr>
              <w:pStyle w:val="TableText0"/>
              <w:spacing w:before="20" w:after="20"/>
              <w:jc w:val="center"/>
              <w:rPr>
                <w:rFonts w:eastAsia="Arial"/>
              </w:rPr>
            </w:pPr>
            <w:r w:rsidRPr="00EB1471">
              <w:rPr>
                <w:rFonts w:eastAsia="Arial"/>
              </w:rPr>
              <w:t>0 (0%)</w:t>
            </w:r>
          </w:p>
        </w:tc>
        <w:tc>
          <w:tcPr>
            <w:tcW w:w="1366" w:type="dxa"/>
            <w:tcBorders>
              <w:bottom w:val="single" w:sz="4" w:space="0" w:color="auto"/>
            </w:tcBorders>
          </w:tcPr>
          <w:p w:rsidR="001D0FDA" w:rsidRPr="00EB1471" w:rsidRDefault="001D0FDA" w:rsidP="001D0FDA">
            <w:pPr>
              <w:pStyle w:val="TableText0"/>
              <w:spacing w:before="20" w:after="20"/>
              <w:jc w:val="center"/>
              <w:rPr>
                <w:rFonts w:eastAsia="Arial"/>
              </w:rPr>
            </w:pPr>
            <w:r w:rsidRPr="00EB1471">
              <w:rPr>
                <w:rFonts w:eastAsia="Arial"/>
              </w:rPr>
              <w:t>0 (0%)</w:t>
            </w:r>
          </w:p>
        </w:tc>
        <w:tc>
          <w:tcPr>
            <w:tcW w:w="1276" w:type="dxa"/>
            <w:tcBorders>
              <w:bottom w:val="single" w:sz="4" w:space="0" w:color="auto"/>
            </w:tcBorders>
          </w:tcPr>
          <w:p w:rsidR="001D0FDA" w:rsidRPr="00EB1471" w:rsidRDefault="001D0FDA" w:rsidP="001D0FDA">
            <w:pPr>
              <w:pStyle w:val="TableText0"/>
              <w:spacing w:before="20" w:after="20"/>
              <w:jc w:val="center"/>
              <w:rPr>
                <w:rFonts w:eastAsia="Arial"/>
              </w:rPr>
            </w:pPr>
            <w:r w:rsidRPr="00EB1471">
              <w:rPr>
                <w:rFonts w:eastAsia="Arial"/>
              </w:rPr>
              <w:t>0 (0%)</w:t>
            </w:r>
          </w:p>
        </w:tc>
      </w:tr>
      <w:tr w:rsidR="001D0FDA" w:rsidRPr="00EB1471" w:rsidTr="001D0FDA">
        <w:tc>
          <w:tcPr>
            <w:tcW w:w="3397" w:type="dxa"/>
            <w:tcBorders>
              <w:bottom w:val="nil"/>
            </w:tcBorders>
          </w:tcPr>
          <w:p w:rsidR="001D0FDA" w:rsidRPr="00EB1471" w:rsidRDefault="001D0FDA" w:rsidP="001D0FDA">
            <w:pPr>
              <w:pStyle w:val="TableText0"/>
              <w:spacing w:before="20" w:after="20"/>
              <w:rPr>
                <w:rFonts w:eastAsia="Arial"/>
              </w:rPr>
            </w:pPr>
            <w:r w:rsidRPr="00EB1471">
              <w:rPr>
                <w:rFonts w:eastAsia="Arial"/>
              </w:rPr>
              <w:t>AEs occurred in ≥5% of patients in the sildenafil combined group</w:t>
            </w:r>
          </w:p>
        </w:tc>
        <w:tc>
          <w:tcPr>
            <w:tcW w:w="1276" w:type="dxa"/>
            <w:tcBorders>
              <w:bottom w:val="nil"/>
            </w:tcBorders>
          </w:tcPr>
          <w:p w:rsidR="001D0FDA" w:rsidRPr="00EB1471" w:rsidRDefault="001D0FDA" w:rsidP="001D0FDA">
            <w:pPr>
              <w:pStyle w:val="TableText0"/>
              <w:spacing w:before="20" w:after="20"/>
              <w:jc w:val="center"/>
              <w:rPr>
                <w:rFonts w:eastAsia="Arial"/>
              </w:rPr>
            </w:pPr>
          </w:p>
        </w:tc>
        <w:tc>
          <w:tcPr>
            <w:tcW w:w="1276" w:type="dxa"/>
            <w:tcBorders>
              <w:bottom w:val="nil"/>
            </w:tcBorders>
          </w:tcPr>
          <w:p w:rsidR="001D0FDA" w:rsidRPr="00EB1471" w:rsidRDefault="001D0FDA" w:rsidP="001D0FDA">
            <w:pPr>
              <w:pStyle w:val="TableText0"/>
              <w:spacing w:before="20" w:after="20"/>
              <w:jc w:val="center"/>
              <w:rPr>
                <w:rFonts w:eastAsia="Arial"/>
              </w:rPr>
            </w:pPr>
          </w:p>
        </w:tc>
        <w:tc>
          <w:tcPr>
            <w:tcW w:w="1185" w:type="dxa"/>
            <w:tcBorders>
              <w:bottom w:val="nil"/>
            </w:tcBorders>
          </w:tcPr>
          <w:p w:rsidR="001D0FDA" w:rsidRPr="00EB1471" w:rsidRDefault="001D0FDA" w:rsidP="001D0FDA">
            <w:pPr>
              <w:pStyle w:val="TableText0"/>
              <w:spacing w:before="20" w:after="20"/>
              <w:jc w:val="center"/>
              <w:rPr>
                <w:rFonts w:eastAsia="Arial"/>
              </w:rPr>
            </w:pPr>
          </w:p>
        </w:tc>
        <w:tc>
          <w:tcPr>
            <w:tcW w:w="1366" w:type="dxa"/>
            <w:tcBorders>
              <w:bottom w:val="nil"/>
            </w:tcBorders>
          </w:tcPr>
          <w:p w:rsidR="001D0FDA" w:rsidRPr="00EB1471" w:rsidRDefault="001D0FDA" w:rsidP="001D0FDA">
            <w:pPr>
              <w:pStyle w:val="TableText0"/>
              <w:spacing w:before="20" w:after="20"/>
              <w:jc w:val="center"/>
              <w:rPr>
                <w:rFonts w:eastAsia="Arial"/>
              </w:rPr>
            </w:pPr>
          </w:p>
        </w:tc>
        <w:tc>
          <w:tcPr>
            <w:tcW w:w="1276" w:type="dxa"/>
            <w:tcBorders>
              <w:bottom w:val="nil"/>
            </w:tcBorders>
          </w:tcPr>
          <w:p w:rsidR="001D0FDA" w:rsidRPr="00EB1471" w:rsidRDefault="001D0FDA" w:rsidP="001D0FDA">
            <w:pPr>
              <w:pStyle w:val="TableText0"/>
              <w:spacing w:before="20" w:after="20"/>
              <w:jc w:val="center"/>
              <w:rPr>
                <w:rFonts w:eastAsia="Arial"/>
              </w:rPr>
            </w:pPr>
          </w:p>
        </w:tc>
      </w:tr>
      <w:tr w:rsidR="001D0FDA" w:rsidRPr="00EB1471" w:rsidTr="001D0FDA">
        <w:tc>
          <w:tcPr>
            <w:tcW w:w="3397" w:type="dxa"/>
            <w:tcBorders>
              <w:top w:val="nil"/>
              <w:bottom w:val="nil"/>
            </w:tcBorders>
          </w:tcPr>
          <w:p w:rsidR="001D0FDA" w:rsidRPr="00EB1471" w:rsidRDefault="001D0FDA" w:rsidP="001D0FDA">
            <w:pPr>
              <w:pStyle w:val="TableText0"/>
              <w:spacing w:before="20" w:after="20"/>
              <w:ind w:left="279"/>
              <w:rPr>
                <w:rFonts w:eastAsia="Arial"/>
              </w:rPr>
            </w:pPr>
            <w:r w:rsidRPr="00EB1471">
              <w:rPr>
                <w:rFonts w:eastAsia="Arial"/>
              </w:rPr>
              <w:t>Headache</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8 (13%)</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5 (12%)</w:t>
            </w:r>
          </w:p>
        </w:tc>
        <w:tc>
          <w:tcPr>
            <w:tcW w:w="1185"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6 (11%)</w:t>
            </w:r>
          </w:p>
        </w:tc>
        <w:tc>
          <w:tcPr>
            <w:tcW w:w="136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12 (16%)</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23 (13%)</w:t>
            </w:r>
          </w:p>
        </w:tc>
      </w:tr>
      <w:tr w:rsidR="001D0FDA" w:rsidRPr="00EB1471" w:rsidTr="001D0FDA">
        <w:tc>
          <w:tcPr>
            <w:tcW w:w="3397" w:type="dxa"/>
            <w:tcBorders>
              <w:top w:val="nil"/>
              <w:bottom w:val="nil"/>
            </w:tcBorders>
          </w:tcPr>
          <w:p w:rsidR="001D0FDA" w:rsidRPr="00EB1471" w:rsidRDefault="001D0FDA" w:rsidP="001D0FDA">
            <w:pPr>
              <w:pStyle w:val="TableText0"/>
              <w:spacing w:before="20" w:after="20"/>
              <w:ind w:left="279"/>
              <w:rPr>
                <w:rFonts w:eastAsia="Arial"/>
              </w:rPr>
            </w:pPr>
            <w:r w:rsidRPr="00EB1471">
              <w:rPr>
                <w:rFonts w:eastAsia="Arial"/>
              </w:rPr>
              <w:t>Pyrexia</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1 (2%)</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3 (7%)</w:t>
            </w:r>
          </w:p>
        </w:tc>
        <w:tc>
          <w:tcPr>
            <w:tcW w:w="1185"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8 (15%)</w:t>
            </w:r>
          </w:p>
        </w:tc>
        <w:tc>
          <w:tcPr>
            <w:tcW w:w="136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9 (12%)</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20 (12%)</w:t>
            </w:r>
          </w:p>
        </w:tc>
      </w:tr>
      <w:tr w:rsidR="001D0FDA" w:rsidRPr="00EB1471" w:rsidTr="001D0FDA">
        <w:tc>
          <w:tcPr>
            <w:tcW w:w="3397" w:type="dxa"/>
            <w:tcBorders>
              <w:top w:val="nil"/>
              <w:bottom w:val="nil"/>
            </w:tcBorders>
          </w:tcPr>
          <w:p w:rsidR="001D0FDA" w:rsidRPr="00EB1471" w:rsidRDefault="001D0FDA" w:rsidP="001D0FDA">
            <w:pPr>
              <w:pStyle w:val="TableText0"/>
              <w:spacing w:before="20" w:after="20"/>
              <w:ind w:left="279"/>
              <w:rPr>
                <w:rFonts w:eastAsia="Arial"/>
              </w:rPr>
            </w:pPr>
            <w:r w:rsidRPr="00EB1471">
              <w:rPr>
                <w:rFonts w:eastAsia="Arial"/>
              </w:rPr>
              <w:t>Upper respiratory tract infection</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4 (7%)</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5 (12%)</w:t>
            </w:r>
          </w:p>
        </w:tc>
        <w:tc>
          <w:tcPr>
            <w:tcW w:w="1185"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9 (16%)</w:t>
            </w:r>
          </w:p>
        </w:tc>
        <w:tc>
          <w:tcPr>
            <w:tcW w:w="136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7 (9%)</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21 (12%)</w:t>
            </w:r>
          </w:p>
        </w:tc>
      </w:tr>
      <w:tr w:rsidR="001D0FDA" w:rsidRPr="00EB1471" w:rsidTr="001D0FDA">
        <w:tc>
          <w:tcPr>
            <w:tcW w:w="3397" w:type="dxa"/>
            <w:tcBorders>
              <w:top w:val="nil"/>
              <w:bottom w:val="nil"/>
            </w:tcBorders>
          </w:tcPr>
          <w:p w:rsidR="001D0FDA" w:rsidRPr="00EB1471" w:rsidRDefault="001D0FDA" w:rsidP="001D0FDA">
            <w:pPr>
              <w:pStyle w:val="TableText0"/>
              <w:spacing w:before="20" w:after="20"/>
              <w:ind w:left="279"/>
              <w:rPr>
                <w:rFonts w:eastAsia="Arial"/>
              </w:rPr>
            </w:pPr>
            <w:r w:rsidRPr="00EB1471">
              <w:rPr>
                <w:rFonts w:eastAsia="Arial"/>
              </w:rPr>
              <w:t>Vomiting</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4 (7%)</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3 (7%)</w:t>
            </w:r>
          </w:p>
        </w:tc>
        <w:tc>
          <w:tcPr>
            <w:tcW w:w="1185"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5 (9%)</w:t>
            </w:r>
          </w:p>
        </w:tc>
        <w:tc>
          <w:tcPr>
            <w:tcW w:w="136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11 (14%)</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19 (11%)</w:t>
            </w:r>
          </w:p>
        </w:tc>
      </w:tr>
      <w:tr w:rsidR="001D0FDA" w:rsidRPr="00EB1471" w:rsidTr="001D0FDA">
        <w:tc>
          <w:tcPr>
            <w:tcW w:w="3397" w:type="dxa"/>
            <w:tcBorders>
              <w:top w:val="nil"/>
              <w:bottom w:val="nil"/>
            </w:tcBorders>
          </w:tcPr>
          <w:p w:rsidR="001D0FDA" w:rsidRPr="00EB1471" w:rsidRDefault="001D0FDA" w:rsidP="001D0FDA">
            <w:pPr>
              <w:pStyle w:val="TableText0"/>
              <w:spacing w:before="20" w:after="20"/>
              <w:ind w:left="279"/>
              <w:rPr>
                <w:rFonts w:eastAsia="Arial"/>
                <w:vertAlign w:val="superscript"/>
              </w:rPr>
            </w:pPr>
            <w:r w:rsidRPr="00EB1471">
              <w:rPr>
                <w:rFonts w:eastAsia="Arial"/>
              </w:rPr>
              <w:t>Erection increased</w:t>
            </w:r>
            <w:r w:rsidRPr="00EB1471">
              <w:rPr>
                <w:rFonts w:eastAsia="Arial"/>
                <w:vertAlign w:val="superscript"/>
              </w:rPr>
              <w:t>a</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0 (0%)</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0 (0%)</w:t>
            </w:r>
          </w:p>
        </w:tc>
        <w:tc>
          <w:tcPr>
            <w:tcW w:w="1185"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3 (13)</w:t>
            </w:r>
          </w:p>
        </w:tc>
        <w:tc>
          <w:tcPr>
            <w:tcW w:w="136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3 (12)</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6 (9%)</w:t>
            </w:r>
          </w:p>
        </w:tc>
      </w:tr>
      <w:tr w:rsidR="001D0FDA" w:rsidRPr="00EB1471" w:rsidTr="001D0FDA">
        <w:tc>
          <w:tcPr>
            <w:tcW w:w="3397" w:type="dxa"/>
            <w:tcBorders>
              <w:top w:val="nil"/>
              <w:bottom w:val="nil"/>
            </w:tcBorders>
          </w:tcPr>
          <w:p w:rsidR="001D0FDA" w:rsidRPr="00EB1471" w:rsidRDefault="001D0FDA" w:rsidP="001D0FDA">
            <w:pPr>
              <w:pStyle w:val="TableText0"/>
              <w:spacing w:before="20" w:after="20"/>
              <w:ind w:left="279"/>
              <w:rPr>
                <w:rFonts w:eastAsia="Arial"/>
              </w:rPr>
            </w:pPr>
            <w:r w:rsidRPr="00EB1471">
              <w:rPr>
                <w:rFonts w:eastAsia="Arial"/>
              </w:rPr>
              <w:t>Diarrhoea</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5 (8%)</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2 (5%)</w:t>
            </w:r>
          </w:p>
        </w:tc>
        <w:tc>
          <w:tcPr>
            <w:tcW w:w="1185"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3 (6%)</w:t>
            </w:r>
          </w:p>
        </w:tc>
        <w:tc>
          <w:tcPr>
            <w:tcW w:w="136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7 (9%)</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12 (7%)</w:t>
            </w:r>
          </w:p>
        </w:tc>
      </w:tr>
      <w:tr w:rsidR="001D0FDA" w:rsidRPr="00EB1471" w:rsidTr="001D0FDA">
        <w:tc>
          <w:tcPr>
            <w:tcW w:w="3397" w:type="dxa"/>
            <w:tcBorders>
              <w:top w:val="nil"/>
              <w:bottom w:val="nil"/>
            </w:tcBorders>
          </w:tcPr>
          <w:p w:rsidR="001D0FDA" w:rsidRPr="00EB1471" w:rsidRDefault="001D0FDA" w:rsidP="001D0FDA">
            <w:pPr>
              <w:pStyle w:val="TableText0"/>
              <w:spacing w:before="20" w:after="20"/>
              <w:ind w:left="279"/>
              <w:rPr>
                <w:rFonts w:eastAsia="Arial"/>
              </w:rPr>
            </w:pPr>
            <w:r w:rsidRPr="00EB1471">
              <w:rPr>
                <w:rFonts w:eastAsia="Arial"/>
              </w:rPr>
              <w:t>Bronchitis</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1 (2%)</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2 (5%)</w:t>
            </w:r>
          </w:p>
        </w:tc>
        <w:tc>
          <w:tcPr>
            <w:tcW w:w="1185"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5 (9%)</w:t>
            </w:r>
          </w:p>
        </w:tc>
        <w:tc>
          <w:tcPr>
            <w:tcW w:w="136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3 (4%)</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10 (6%)</w:t>
            </w:r>
          </w:p>
        </w:tc>
      </w:tr>
      <w:tr w:rsidR="001D0FDA" w:rsidRPr="00EB1471" w:rsidTr="001D0FDA">
        <w:tc>
          <w:tcPr>
            <w:tcW w:w="3397" w:type="dxa"/>
            <w:tcBorders>
              <w:top w:val="nil"/>
              <w:bottom w:val="nil"/>
            </w:tcBorders>
          </w:tcPr>
          <w:p w:rsidR="001D0FDA" w:rsidRPr="00EB1471" w:rsidRDefault="001D0FDA" w:rsidP="001D0FDA">
            <w:pPr>
              <w:pStyle w:val="TableText0"/>
              <w:spacing w:before="20" w:after="20"/>
              <w:ind w:left="279"/>
              <w:rPr>
                <w:rFonts w:eastAsia="Arial"/>
              </w:rPr>
            </w:pPr>
            <w:r w:rsidRPr="00EB1471">
              <w:rPr>
                <w:rFonts w:eastAsia="Arial"/>
              </w:rPr>
              <w:t>Cough</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3 (5%)</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2 (5%)</w:t>
            </w:r>
          </w:p>
        </w:tc>
        <w:tc>
          <w:tcPr>
            <w:tcW w:w="1185"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4 (7%)</w:t>
            </w:r>
          </w:p>
        </w:tc>
        <w:tc>
          <w:tcPr>
            <w:tcW w:w="136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2 (3%)</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8 (5%)</w:t>
            </w:r>
          </w:p>
        </w:tc>
      </w:tr>
      <w:tr w:rsidR="001D0FDA" w:rsidRPr="00EB1471" w:rsidTr="001D0FDA">
        <w:tc>
          <w:tcPr>
            <w:tcW w:w="3397" w:type="dxa"/>
            <w:tcBorders>
              <w:top w:val="nil"/>
              <w:bottom w:val="nil"/>
            </w:tcBorders>
          </w:tcPr>
          <w:p w:rsidR="001D0FDA" w:rsidRPr="00EB1471" w:rsidRDefault="001D0FDA" w:rsidP="001D0FDA">
            <w:pPr>
              <w:pStyle w:val="TableText0"/>
              <w:spacing w:before="20" w:after="20"/>
              <w:ind w:left="279"/>
              <w:rPr>
                <w:rFonts w:eastAsia="Arial"/>
              </w:rPr>
            </w:pPr>
            <w:r w:rsidRPr="00EB1471">
              <w:rPr>
                <w:rFonts w:eastAsia="Arial"/>
              </w:rPr>
              <w:t>Nasopharyngitis</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4 (7%)</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3 (7%)</w:t>
            </w:r>
          </w:p>
        </w:tc>
        <w:tc>
          <w:tcPr>
            <w:tcW w:w="1185"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3 (6%)</w:t>
            </w:r>
          </w:p>
        </w:tc>
        <w:tc>
          <w:tcPr>
            <w:tcW w:w="136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2 (3%)</w:t>
            </w:r>
          </w:p>
        </w:tc>
        <w:tc>
          <w:tcPr>
            <w:tcW w:w="1276" w:type="dxa"/>
            <w:tcBorders>
              <w:top w:val="nil"/>
              <w:bottom w:val="nil"/>
            </w:tcBorders>
          </w:tcPr>
          <w:p w:rsidR="001D0FDA" w:rsidRPr="00EB1471" w:rsidRDefault="001D0FDA" w:rsidP="001D0FDA">
            <w:pPr>
              <w:pStyle w:val="TableText0"/>
              <w:spacing w:before="20" w:after="20"/>
              <w:jc w:val="center"/>
              <w:rPr>
                <w:rFonts w:eastAsia="Arial"/>
              </w:rPr>
            </w:pPr>
            <w:r w:rsidRPr="00EB1471">
              <w:rPr>
                <w:rFonts w:eastAsia="Arial"/>
              </w:rPr>
              <w:t>8 (5%)</w:t>
            </w:r>
          </w:p>
        </w:tc>
      </w:tr>
      <w:tr w:rsidR="001D0FDA" w:rsidRPr="00EB1471" w:rsidTr="001D0FDA">
        <w:tc>
          <w:tcPr>
            <w:tcW w:w="3397" w:type="dxa"/>
            <w:tcBorders>
              <w:top w:val="nil"/>
              <w:bottom w:val="single" w:sz="4" w:space="0" w:color="auto"/>
            </w:tcBorders>
          </w:tcPr>
          <w:p w:rsidR="001D0FDA" w:rsidRPr="00EB1471" w:rsidRDefault="001D0FDA" w:rsidP="001D0FDA">
            <w:pPr>
              <w:pStyle w:val="TableText0"/>
              <w:spacing w:before="20" w:after="20"/>
              <w:ind w:left="279"/>
              <w:rPr>
                <w:rFonts w:eastAsia="Arial"/>
              </w:rPr>
            </w:pPr>
            <w:r w:rsidRPr="00EB1471">
              <w:rPr>
                <w:rFonts w:eastAsia="Arial"/>
              </w:rPr>
              <w:t>Nausea</w:t>
            </w:r>
          </w:p>
        </w:tc>
        <w:tc>
          <w:tcPr>
            <w:tcW w:w="1276" w:type="dxa"/>
            <w:tcBorders>
              <w:top w:val="nil"/>
              <w:bottom w:val="single" w:sz="4" w:space="0" w:color="auto"/>
            </w:tcBorders>
          </w:tcPr>
          <w:p w:rsidR="001D0FDA" w:rsidRPr="00EB1471" w:rsidRDefault="001D0FDA" w:rsidP="001D0FDA">
            <w:pPr>
              <w:pStyle w:val="TableText0"/>
              <w:spacing w:before="20" w:after="20"/>
              <w:jc w:val="center"/>
              <w:rPr>
                <w:rFonts w:eastAsia="Arial"/>
              </w:rPr>
            </w:pPr>
            <w:r w:rsidRPr="00EB1471">
              <w:rPr>
                <w:rFonts w:eastAsia="Arial"/>
              </w:rPr>
              <w:t>0 (0%)</w:t>
            </w:r>
          </w:p>
        </w:tc>
        <w:tc>
          <w:tcPr>
            <w:tcW w:w="1276" w:type="dxa"/>
            <w:tcBorders>
              <w:top w:val="nil"/>
              <w:bottom w:val="single" w:sz="4" w:space="0" w:color="auto"/>
            </w:tcBorders>
          </w:tcPr>
          <w:p w:rsidR="001D0FDA" w:rsidRPr="00EB1471" w:rsidRDefault="001D0FDA" w:rsidP="001D0FDA">
            <w:pPr>
              <w:pStyle w:val="TableText0"/>
              <w:spacing w:before="20" w:after="20"/>
              <w:jc w:val="center"/>
              <w:rPr>
                <w:rFonts w:eastAsia="Arial"/>
              </w:rPr>
            </w:pPr>
            <w:r w:rsidRPr="00EB1471">
              <w:rPr>
                <w:rFonts w:eastAsia="Arial"/>
              </w:rPr>
              <w:t>0 (0%)</w:t>
            </w:r>
          </w:p>
        </w:tc>
        <w:tc>
          <w:tcPr>
            <w:tcW w:w="1185" w:type="dxa"/>
            <w:tcBorders>
              <w:top w:val="nil"/>
              <w:bottom w:val="single" w:sz="4" w:space="0" w:color="auto"/>
            </w:tcBorders>
          </w:tcPr>
          <w:p w:rsidR="001D0FDA" w:rsidRPr="00EB1471" w:rsidRDefault="001D0FDA" w:rsidP="001D0FDA">
            <w:pPr>
              <w:pStyle w:val="TableText0"/>
              <w:spacing w:before="20" w:after="20"/>
              <w:jc w:val="center"/>
              <w:rPr>
                <w:rFonts w:eastAsia="Arial"/>
              </w:rPr>
            </w:pPr>
            <w:r w:rsidRPr="00EB1471">
              <w:rPr>
                <w:rFonts w:eastAsia="Arial"/>
              </w:rPr>
              <w:t>4 (7%)</w:t>
            </w:r>
          </w:p>
        </w:tc>
        <w:tc>
          <w:tcPr>
            <w:tcW w:w="1366" w:type="dxa"/>
            <w:tcBorders>
              <w:top w:val="nil"/>
              <w:bottom w:val="single" w:sz="4" w:space="0" w:color="auto"/>
            </w:tcBorders>
          </w:tcPr>
          <w:p w:rsidR="001D0FDA" w:rsidRPr="00EB1471" w:rsidRDefault="001D0FDA" w:rsidP="001D0FDA">
            <w:pPr>
              <w:pStyle w:val="TableText0"/>
              <w:spacing w:before="20" w:after="20"/>
              <w:jc w:val="center"/>
              <w:rPr>
                <w:rFonts w:eastAsia="Arial"/>
              </w:rPr>
            </w:pPr>
            <w:r w:rsidRPr="00EB1471">
              <w:rPr>
                <w:rFonts w:eastAsia="Arial"/>
              </w:rPr>
              <w:t>4 (5%)</w:t>
            </w:r>
          </w:p>
        </w:tc>
        <w:tc>
          <w:tcPr>
            <w:tcW w:w="1276" w:type="dxa"/>
            <w:tcBorders>
              <w:top w:val="nil"/>
              <w:bottom w:val="single" w:sz="4" w:space="0" w:color="auto"/>
            </w:tcBorders>
          </w:tcPr>
          <w:p w:rsidR="001D0FDA" w:rsidRPr="00EB1471" w:rsidRDefault="001D0FDA" w:rsidP="001D0FDA">
            <w:pPr>
              <w:pStyle w:val="TableText0"/>
              <w:spacing w:before="20" w:after="20"/>
              <w:jc w:val="center"/>
              <w:rPr>
                <w:rFonts w:eastAsia="Arial"/>
              </w:rPr>
            </w:pPr>
            <w:r w:rsidRPr="00EB1471">
              <w:rPr>
                <w:rFonts w:eastAsia="Arial"/>
              </w:rPr>
              <w:t>8 (5%)</w:t>
            </w:r>
          </w:p>
        </w:tc>
      </w:tr>
    </w:tbl>
    <w:p w:rsidR="006D01E8" w:rsidRPr="00EB1471" w:rsidRDefault="006D01E8" w:rsidP="006D01E8">
      <w:pPr>
        <w:pStyle w:val="Tablenote"/>
      </w:pPr>
      <w:r w:rsidRPr="00EB1471">
        <w:rPr>
          <w:vertAlign w:val="superscript"/>
        </w:rPr>
        <w:t xml:space="preserve">a </w:t>
      </w:r>
      <w:r w:rsidRPr="00EB1471">
        <w:t>Also included the term spontaneous penile erection. Percentage shown is for boys only: n=22, 17, 24, and 26 for placebo, sildenafil low-, medium-, and high-dose groups, respectively.</w:t>
      </w:r>
    </w:p>
    <w:p w:rsidR="001D0FDA" w:rsidRPr="00EB1471" w:rsidRDefault="001D0FDA" w:rsidP="001D0FDA">
      <w:pPr>
        <w:pStyle w:val="Tablenote"/>
      </w:pPr>
      <w:r w:rsidRPr="00EB1471">
        <w:t xml:space="preserve">AE = adverse event; </w:t>
      </w:r>
      <w:r w:rsidR="00D2075A">
        <w:t>n</w:t>
      </w:r>
      <w:r w:rsidR="00121EF0">
        <w:t xml:space="preserve"> = number of patients; </w:t>
      </w:r>
      <w:r w:rsidRPr="00EB1471">
        <w:t>NR = not reported</w:t>
      </w:r>
    </w:p>
    <w:p w:rsidR="001D0FDA" w:rsidRPr="00EB1471" w:rsidRDefault="001D0FDA" w:rsidP="001D0FDA">
      <w:pPr>
        <w:pStyle w:val="Tablenote"/>
      </w:pPr>
      <w:r w:rsidRPr="00EB1471">
        <w:t>Source: Barst et al 2012</w:t>
      </w:r>
      <w:r w:rsidR="001D34EE" w:rsidRPr="001A1C44">
        <w:rPr>
          <w:noProof/>
          <w:vertAlign w:val="superscript"/>
        </w:rPr>
        <w:t>54</w:t>
      </w:r>
    </w:p>
    <w:p w:rsidR="001D0FDA" w:rsidRPr="00EB1471" w:rsidRDefault="001D0FDA" w:rsidP="001D0FDA">
      <w:r w:rsidRPr="00EB1471">
        <w:t xml:space="preserve">Following completion of the 16-week Trial STARTS-1, subjects entered a long-term extension study. Patients who received sildenafil in STARTS-1 were maintained on the same sildenafil dose; whereas placebo-treated patients were randomised to receive low-, medium-, or high-dose sildenafil. Throughout the STARTS extension study, dose adjustment according to disease progression and tolerability was permitted. Over a median treatment exposure of 4.1 years, most (96%) patients reported ≥1 </w:t>
      </w:r>
      <w:r w:rsidR="006B2A7D">
        <w:t>AE</w:t>
      </w:r>
      <w:r w:rsidRPr="00EB1471">
        <w:t xml:space="preserve">, with the majority of mild or moderate intensity. The most common treatment-related </w:t>
      </w:r>
      <w:r w:rsidR="006B2A7D">
        <w:t>AE</w:t>
      </w:r>
      <w:r w:rsidRPr="00EB1471">
        <w:t xml:space="preserve">s were headache (15%) and vomiting (6%). Serious </w:t>
      </w:r>
      <w:r w:rsidR="006B2A7D">
        <w:t>AE</w:t>
      </w:r>
      <w:r w:rsidRPr="00EB1471">
        <w:t xml:space="preserve">s were reported for 41% of patients (n=97), most commonly infections (28%, including pneumonia (7%) and upper respiratory tract infection (3%)), respiratory disorders (14%, including worsening of PH (5%) and worsening of PAH (3%)), and cardiac disorders (11%, most commonly cardiac failure (5%)). Five (2%) patients had serious </w:t>
      </w:r>
      <w:r w:rsidR="006B2A7D">
        <w:t>AE</w:t>
      </w:r>
      <w:r w:rsidRPr="00EB1471">
        <w:t xml:space="preserve">s that were assessed as treatment-related, including enterocolitis, convulsion, hypoxia, hypersensitivity and stridor, and ventricular arrhythmia. Seventeen (7%) patients permanently discontinued because of </w:t>
      </w:r>
      <w:r w:rsidR="006B2A7D">
        <w:t>AE</w:t>
      </w:r>
      <w:r w:rsidRPr="00EB1471">
        <w:t xml:space="preserve">s; most were considered to be related to the disease under study. The five (2%) discontinuations attributable to </w:t>
      </w:r>
      <w:r w:rsidR="006B2A7D">
        <w:t>AE</w:t>
      </w:r>
      <w:r w:rsidRPr="00EB1471">
        <w:t xml:space="preserve">s that were assessed as treatment-related were decreased weight, convulsion, stridor, dyspnoea and hypoxia, and macular rash </w:t>
      </w:r>
      <w:r w:rsidR="001D34EE" w:rsidRPr="001A1C44">
        <w:rPr>
          <w:noProof/>
          <w:vertAlign w:val="superscript"/>
        </w:rPr>
        <w:t>69</w:t>
      </w:r>
      <w:r w:rsidRPr="00EB1471">
        <w:t>.</w:t>
      </w:r>
    </w:p>
    <w:p w:rsidR="001D0FDA" w:rsidRPr="00EB1471" w:rsidRDefault="001D0FDA" w:rsidP="001D0FDA">
      <w:r>
        <w:t xml:space="preserve">Eye disorders have been observed in temporal association with sildenafil for treatment of PAH and male erectile dysfunction. Results from SUPER-1 showed low (0%-4.3%) incidence of ocular </w:t>
      </w:r>
      <w:r w:rsidR="006B2A7D">
        <w:t>AE</w:t>
      </w:r>
      <w:r>
        <w:t>s in patients receiving the recommended dose of 20 mg tid. Some eye disorders were reported to occur in sildenafil-treated patients but not in the placebo arm, eg retinal haemorrhage,</w:t>
      </w:r>
      <w:r w:rsidRPr="00E57D5C">
        <w:t xml:space="preserve"> abnormal sensation in eye and eye irritation</w:t>
      </w:r>
      <w:r>
        <w:t>. No n</w:t>
      </w:r>
      <w:r w:rsidRPr="00EB1471">
        <w:t>ew safety signal were identified by the clinical evidence included in the literature review. The safety profile seen in the paediatric studies, ie STARTS-1 and its extension study, was generally consistent with that in adults.</w:t>
      </w:r>
    </w:p>
    <w:p w:rsidR="001D0FDA" w:rsidRPr="00EB1471" w:rsidRDefault="001D0FDA" w:rsidP="00480FDF">
      <w:pPr>
        <w:pStyle w:val="Heading6"/>
        <w:numPr>
          <w:ilvl w:val="5"/>
          <w:numId w:val="45"/>
        </w:numPr>
      </w:pPr>
      <w:r w:rsidRPr="00EB1471">
        <w:lastRenderedPageBreak/>
        <w:t>Tadalafil</w:t>
      </w:r>
    </w:p>
    <w:p w:rsidR="001D0FDA" w:rsidRPr="00EB1471" w:rsidRDefault="001D0FDA" w:rsidP="001D0FDA">
      <w:r w:rsidRPr="00EB1471">
        <w:t>The safety of tadalafil as monotherapy in treating PAH patients, regardless of WHO FC, were reported by two short-term RCTs: Mukhopadhyay 2011 and PHIRST. In the double-blind crossover trial by Mukhopadhyay et al (2011)</w:t>
      </w:r>
      <w:r w:rsidR="001D34EE" w:rsidRPr="001A1C44">
        <w:rPr>
          <w:noProof/>
          <w:vertAlign w:val="superscript"/>
        </w:rPr>
        <w:t>40</w:t>
      </w:r>
      <w:r w:rsidRPr="00EB1471">
        <w:t>, tadalafil was well tolerated by all patients during a treatment period of 6 weeks, with no treatment withdrawal due to major adverse effects. Two (7.1%) patients complained of nasal stuffiness and two (7.1%) of headache while on tadalafil therapy. Two (7.1%) placebo-treated patients experienced fatigue and lethargy. No other information on the safety outcomes was provided.</w:t>
      </w:r>
    </w:p>
    <w:p w:rsidR="001D0FDA" w:rsidRDefault="001D0FDA" w:rsidP="001D0FDA">
      <w:r>
        <w:t xml:space="preserve">When the PBAC recommended the listing of tadalafil at the November 2011 meeting, the comparative safety of tadalafil versus placebo was assessed in a mixed population of patients with or without bosentan background therapy in PHIRST. The published paper by </w:t>
      </w:r>
      <w:r w:rsidRPr="00430F39">
        <w:t>Barst et al (2011)</w:t>
      </w:r>
      <w:r w:rsidR="001D34EE" w:rsidRPr="001A1C44">
        <w:rPr>
          <w:noProof/>
          <w:vertAlign w:val="superscript"/>
        </w:rPr>
        <w:t>45</w:t>
      </w:r>
      <w:r>
        <w:t xml:space="preserve"> which reported safety results according to background therapy has not been reviewed by the PBAC and, therefore, was included in the literature review: the safety results of the subgroup of with background therapy were presented in Section 4.4.3 (research question 3: dual therapy versus monotherapy); whereas the safety results of patients with no background therapy, regardless of PAH FC, were not applicable to either research question 1 (monotherapy in WHO FC I-II PAH) or research question 2 (monotherapy in WHO FC III-IV PAH) and, therefore, were presented below for extended assessment of safety. </w:t>
      </w:r>
    </w:p>
    <w:p w:rsidR="001D0FDA" w:rsidRPr="00EB1471" w:rsidRDefault="001D0FDA" w:rsidP="00E80101">
      <w:pPr>
        <w:spacing w:before="0" w:line="240" w:lineRule="auto"/>
      </w:pPr>
      <w:r w:rsidRPr="00EB1471">
        <w:t xml:space="preserve">In PHIRST, PAH patients were randomised to receive placebo or tadalafil 2.5 mg, 10 mg, 20 mg or 40 mg od, with or without bosentan as background therapy, for 16 weeks. The TGA-recommended dose for tadalafil is 40 mg od. Results of </w:t>
      </w:r>
      <w:r w:rsidR="006B2A7D">
        <w:t>AE</w:t>
      </w:r>
      <w:r w:rsidRPr="00EB1471">
        <w:t xml:space="preserve">s in the subgroup of treatment-naïve patients </w:t>
      </w:r>
      <w:r>
        <w:t>(ie without background therapy)</w:t>
      </w:r>
      <w:r w:rsidR="001D34EE" w:rsidRPr="001A1C44">
        <w:rPr>
          <w:noProof/>
          <w:vertAlign w:val="superscript"/>
        </w:rPr>
        <w:t>45</w:t>
      </w:r>
      <w:r w:rsidRPr="00EB1471">
        <w:t xml:space="preserve"> are presented in </w:t>
      </w:r>
      <w:r w:rsidR="00E80101">
        <w:t>Table 4.115</w:t>
      </w:r>
      <w:r w:rsidRPr="00EB1471">
        <w:t xml:space="preserve">. Overall, higher proportion of patients receiving tadalafil 40 mg experienced treatment-emergent </w:t>
      </w:r>
      <w:r w:rsidR="006B2A7D">
        <w:t>AE</w:t>
      </w:r>
      <w:r w:rsidRPr="00EB1471">
        <w:t xml:space="preserve">s than in the placebo group (97% vs 73%; risk difference: 24% (95% CI: 9%, 40%)). Headache was the most common </w:t>
      </w:r>
      <w:r w:rsidR="006B2A7D">
        <w:t>AE</w:t>
      </w:r>
      <w:r w:rsidRPr="00EB1471">
        <w:t xml:space="preserve">, occurring in &gt;30% of patients receiving tadalafil monotherapy compared with 8% in the placebo-treated patients. Other </w:t>
      </w:r>
      <w:r w:rsidR="006B2A7D">
        <w:t>AE</w:t>
      </w:r>
      <w:r w:rsidRPr="00EB1471">
        <w:t xml:space="preserve">s with a notable higher incidence (difference of &gt;5%) in the tadalafil 40 mg group included diarrhoea, nausea, nasopharyngitis, upper respiratory tract infection, myalgia, flushing, dyspepsia and pain </w:t>
      </w:r>
      <w:r w:rsidR="00DB4D9C" w:rsidRPr="00DB4D9C">
        <w:t>in the extremities</w:t>
      </w:r>
      <w:r w:rsidRPr="00EB1471">
        <w:t>.</w:t>
      </w:r>
    </w:p>
    <w:p w:rsidR="005E60A7" w:rsidRDefault="005E60A7">
      <w:pPr>
        <w:spacing w:before="0" w:line="240" w:lineRule="auto"/>
        <w:rPr>
          <w:rFonts w:ascii="Arial" w:hAnsi="Arial"/>
          <w:b/>
          <w:iCs/>
          <w:sz w:val="20"/>
          <w:szCs w:val="18"/>
        </w:rPr>
      </w:pPr>
      <w:bookmarkStart w:id="323" w:name="_Ref505095114"/>
      <w:r>
        <w:br w:type="page"/>
      </w:r>
    </w:p>
    <w:p w:rsidR="001D0FDA" w:rsidRPr="00EB1471" w:rsidRDefault="001D0FDA" w:rsidP="001D0FDA">
      <w:pPr>
        <w:pStyle w:val="Caption"/>
      </w:pPr>
      <w:bookmarkStart w:id="324" w:name="_Toc512855519"/>
      <w:r>
        <w:lastRenderedPageBreak/>
        <w:t>Table 4.</w:t>
      </w:r>
      <w:r w:rsidR="00AA722D">
        <w:rPr>
          <w:noProof/>
        </w:rPr>
        <w:t>115</w:t>
      </w:r>
      <w:bookmarkEnd w:id="323"/>
      <w:r>
        <w:tab/>
      </w:r>
      <w:r w:rsidRPr="00EB1471">
        <w:t>TEAEs reported in PHIRST</w:t>
      </w:r>
      <w:bookmarkEnd w:id="324"/>
    </w:p>
    <w:tbl>
      <w:tblPr>
        <w:tblStyle w:val="TableGrid"/>
        <w:tblW w:w="9608" w:type="dxa"/>
        <w:tblLook w:val="04A0" w:firstRow="1" w:lastRow="0" w:firstColumn="1" w:lastColumn="0" w:noHBand="0" w:noVBand="1"/>
        <w:tblCaption w:val="TEAEs reported in PHIRST"/>
      </w:tblPr>
      <w:tblGrid>
        <w:gridCol w:w="2972"/>
        <w:gridCol w:w="1559"/>
        <w:gridCol w:w="1701"/>
        <w:gridCol w:w="1675"/>
        <w:gridCol w:w="1701"/>
      </w:tblGrid>
      <w:tr w:rsidR="001D0FDA" w:rsidRPr="00EB1471" w:rsidTr="007849BD">
        <w:trPr>
          <w:cnfStyle w:val="100000000000" w:firstRow="1" w:lastRow="0" w:firstColumn="0" w:lastColumn="0" w:oddVBand="0" w:evenVBand="0" w:oddHBand="0" w:evenHBand="0" w:firstRowFirstColumn="0" w:firstRowLastColumn="0" w:lastRowFirstColumn="0" w:lastRowLastColumn="0"/>
        </w:trPr>
        <w:tc>
          <w:tcPr>
            <w:tcW w:w="2972" w:type="dxa"/>
            <w:vMerge w:val="restart"/>
            <w:shd w:val="clear" w:color="auto" w:fill="BFBFBF" w:themeFill="background1" w:themeFillShade="BF"/>
          </w:tcPr>
          <w:p w:rsidR="001D0FDA" w:rsidRPr="00EB1471" w:rsidRDefault="007849BD" w:rsidP="00FD0BAE">
            <w:pPr>
              <w:pStyle w:val="TableText0"/>
              <w:rPr>
                <w:b/>
              </w:rPr>
            </w:pPr>
            <w:r>
              <w:rPr>
                <w:b/>
              </w:rPr>
              <w:t>TE</w:t>
            </w:r>
            <w:r w:rsidR="00FD0BAE" w:rsidRPr="00FD0BAE">
              <w:rPr>
                <w:b/>
              </w:rPr>
              <w:t>AEs</w:t>
            </w:r>
          </w:p>
        </w:tc>
        <w:tc>
          <w:tcPr>
            <w:tcW w:w="1559" w:type="dxa"/>
            <w:vMerge w:val="restart"/>
            <w:shd w:val="clear" w:color="auto" w:fill="BFBFBF" w:themeFill="background1" w:themeFillShade="BF"/>
          </w:tcPr>
          <w:p w:rsidR="001D0FDA" w:rsidRPr="00EB1471" w:rsidRDefault="001D0FDA" w:rsidP="001D0FDA">
            <w:pPr>
              <w:pStyle w:val="TableText0"/>
              <w:jc w:val="center"/>
              <w:rPr>
                <w:b/>
              </w:rPr>
            </w:pPr>
            <w:r w:rsidRPr="00EB1471">
              <w:rPr>
                <w:b/>
              </w:rPr>
              <w:t xml:space="preserve">Placebo </w:t>
            </w:r>
          </w:p>
          <w:p w:rsidR="001D0FDA" w:rsidRPr="00EB1471" w:rsidRDefault="001D0FDA" w:rsidP="00121EF0">
            <w:pPr>
              <w:pStyle w:val="TableText0"/>
              <w:jc w:val="center"/>
              <w:rPr>
                <w:b/>
              </w:rPr>
            </w:pPr>
            <w:r w:rsidRPr="00EB1471">
              <w:rPr>
                <w:b/>
              </w:rPr>
              <w:t>(n=37)</w:t>
            </w:r>
          </w:p>
        </w:tc>
        <w:tc>
          <w:tcPr>
            <w:tcW w:w="5077" w:type="dxa"/>
            <w:gridSpan w:val="3"/>
            <w:shd w:val="clear" w:color="auto" w:fill="BFBFBF" w:themeFill="background1" w:themeFillShade="BF"/>
          </w:tcPr>
          <w:p w:rsidR="001D0FDA" w:rsidRPr="00EB1471" w:rsidRDefault="001D0FDA" w:rsidP="001D0FDA">
            <w:pPr>
              <w:pStyle w:val="TableText0"/>
              <w:jc w:val="center"/>
              <w:rPr>
                <w:b/>
              </w:rPr>
            </w:pPr>
            <w:r w:rsidRPr="00EB1471">
              <w:rPr>
                <w:b/>
              </w:rPr>
              <w:t>Tadalafil</w:t>
            </w:r>
          </w:p>
        </w:tc>
      </w:tr>
      <w:tr w:rsidR="001D0FDA" w:rsidRPr="00EB1471" w:rsidTr="007849BD">
        <w:tc>
          <w:tcPr>
            <w:tcW w:w="2972" w:type="dxa"/>
            <w:vMerge/>
            <w:shd w:val="clear" w:color="auto" w:fill="BFBFBF" w:themeFill="background1" w:themeFillShade="BF"/>
          </w:tcPr>
          <w:p w:rsidR="001D0FDA" w:rsidRPr="00EB1471" w:rsidRDefault="001D0FDA" w:rsidP="001D0FDA">
            <w:pPr>
              <w:pStyle w:val="TableText0"/>
              <w:jc w:val="center"/>
              <w:rPr>
                <w:b/>
              </w:rPr>
            </w:pPr>
          </w:p>
        </w:tc>
        <w:tc>
          <w:tcPr>
            <w:tcW w:w="1559" w:type="dxa"/>
            <w:vMerge/>
            <w:shd w:val="clear" w:color="auto" w:fill="BFBFBF" w:themeFill="background1" w:themeFillShade="BF"/>
          </w:tcPr>
          <w:p w:rsidR="001D0FDA" w:rsidRPr="00EB1471" w:rsidRDefault="001D0FDA" w:rsidP="001D0FDA">
            <w:pPr>
              <w:pStyle w:val="TableText0"/>
              <w:jc w:val="center"/>
              <w:rPr>
                <w:b/>
              </w:rPr>
            </w:pPr>
          </w:p>
        </w:tc>
        <w:tc>
          <w:tcPr>
            <w:tcW w:w="1701" w:type="dxa"/>
            <w:shd w:val="clear" w:color="auto" w:fill="BFBFBF" w:themeFill="background1" w:themeFillShade="BF"/>
          </w:tcPr>
          <w:p w:rsidR="001D0FDA" w:rsidRPr="00EB1471" w:rsidRDefault="001D0FDA" w:rsidP="001D0FDA">
            <w:pPr>
              <w:pStyle w:val="TableText0"/>
              <w:jc w:val="center"/>
              <w:rPr>
                <w:b/>
              </w:rPr>
            </w:pPr>
            <w:r w:rsidRPr="00EB1471">
              <w:rPr>
                <w:b/>
              </w:rPr>
              <w:t>Tadalafil 40 mg</w:t>
            </w:r>
          </w:p>
          <w:p w:rsidR="001D0FDA" w:rsidRPr="00EB1471" w:rsidRDefault="001D0FDA" w:rsidP="00121EF0">
            <w:pPr>
              <w:pStyle w:val="TableText0"/>
              <w:jc w:val="center"/>
              <w:rPr>
                <w:b/>
              </w:rPr>
            </w:pPr>
            <w:r w:rsidRPr="00EB1471">
              <w:rPr>
                <w:b/>
              </w:rPr>
              <w:t>(n=37)</w:t>
            </w:r>
          </w:p>
        </w:tc>
        <w:tc>
          <w:tcPr>
            <w:tcW w:w="1675" w:type="dxa"/>
            <w:shd w:val="clear" w:color="auto" w:fill="BFBFBF" w:themeFill="background1" w:themeFillShade="BF"/>
          </w:tcPr>
          <w:p w:rsidR="001D0FDA" w:rsidRPr="00EB1471" w:rsidRDefault="001D0FDA" w:rsidP="001D0FDA">
            <w:pPr>
              <w:pStyle w:val="TableText0"/>
              <w:jc w:val="center"/>
              <w:rPr>
                <w:b/>
              </w:rPr>
            </w:pPr>
            <w:r w:rsidRPr="00EB1471">
              <w:rPr>
                <w:b/>
              </w:rPr>
              <w:t>Tadalafil 20 mg</w:t>
            </w:r>
          </w:p>
          <w:p w:rsidR="001D0FDA" w:rsidRPr="00EB1471" w:rsidRDefault="001D0FDA" w:rsidP="00121EF0">
            <w:pPr>
              <w:pStyle w:val="TableText0"/>
              <w:jc w:val="center"/>
              <w:rPr>
                <w:b/>
              </w:rPr>
            </w:pPr>
            <w:r w:rsidRPr="00EB1471">
              <w:rPr>
                <w:b/>
              </w:rPr>
              <w:t>(n=37)</w:t>
            </w:r>
          </w:p>
        </w:tc>
        <w:tc>
          <w:tcPr>
            <w:tcW w:w="1701" w:type="dxa"/>
            <w:shd w:val="clear" w:color="auto" w:fill="BFBFBF" w:themeFill="background1" w:themeFillShade="BF"/>
          </w:tcPr>
          <w:p w:rsidR="001D0FDA" w:rsidRPr="00EB1471" w:rsidRDefault="001D0FDA" w:rsidP="001D0FDA">
            <w:pPr>
              <w:pStyle w:val="TableText0"/>
              <w:jc w:val="center"/>
              <w:rPr>
                <w:b/>
              </w:rPr>
            </w:pPr>
            <w:r w:rsidRPr="00EB1471">
              <w:rPr>
                <w:b/>
              </w:rPr>
              <w:t>Combined</w:t>
            </w:r>
            <w:r w:rsidRPr="00EB1471">
              <w:rPr>
                <w:b/>
                <w:vertAlign w:val="superscript"/>
              </w:rPr>
              <w:t>a</w:t>
            </w:r>
          </w:p>
          <w:p w:rsidR="001D0FDA" w:rsidRPr="00EB1471" w:rsidRDefault="001D0FDA" w:rsidP="00121EF0">
            <w:pPr>
              <w:pStyle w:val="TableText0"/>
              <w:jc w:val="center"/>
              <w:rPr>
                <w:b/>
              </w:rPr>
            </w:pPr>
            <w:r w:rsidRPr="00EB1471">
              <w:rPr>
                <w:b/>
              </w:rPr>
              <w:t>(n=152)</w:t>
            </w:r>
          </w:p>
        </w:tc>
      </w:tr>
      <w:tr w:rsidR="001D0FDA" w:rsidRPr="00EB1471" w:rsidTr="001D0FDA">
        <w:tc>
          <w:tcPr>
            <w:tcW w:w="2972" w:type="dxa"/>
            <w:tcBorders>
              <w:bottom w:val="single" w:sz="4" w:space="0" w:color="auto"/>
            </w:tcBorders>
          </w:tcPr>
          <w:p w:rsidR="001D0FDA" w:rsidRPr="00EB1471" w:rsidRDefault="001D0FDA" w:rsidP="001D0FDA">
            <w:pPr>
              <w:pStyle w:val="TableText0"/>
              <w:spacing w:before="20" w:after="20"/>
            </w:pPr>
            <w:r w:rsidRPr="00EB1471">
              <w:t>Patients with ≥1 TEAE</w:t>
            </w:r>
          </w:p>
        </w:tc>
        <w:tc>
          <w:tcPr>
            <w:tcW w:w="1559" w:type="dxa"/>
            <w:tcBorders>
              <w:bottom w:val="single" w:sz="4" w:space="0" w:color="auto"/>
            </w:tcBorders>
          </w:tcPr>
          <w:p w:rsidR="001D0FDA" w:rsidRPr="00EB1471" w:rsidRDefault="001D0FDA" w:rsidP="001D0FDA">
            <w:pPr>
              <w:pStyle w:val="TableText0"/>
              <w:spacing w:before="20" w:after="20"/>
              <w:jc w:val="center"/>
            </w:pPr>
            <w:r w:rsidRPr="00EB1471">
              <w:t>27 (73%)</w:t>
            </w:r>
          </w:p>
        </w:tc>
        <w:tc>
          <w:tcPr>
            <w:tcW w:w="1701" w:type="dxa"/>
            <w:tcBorders>
              <w:bottom w:val="single" w:sz="4" w:space="0" w:color="auto"/>
            </w:tcBorders>
          </w:tcPr>
          <w:p w:rsidR="001D0FDA" w:rsidRPr="00EB1471" w:rsidRDefault="001D0FDA" w:rsidP="001D0FDA">
            <w:pPr>
              <w:pStyle w:val="TableText0"/>
              <w:spacing w:before="20" w:after="20"/>
              <w:jc w:val="center"/>
            </w:pPr>
            <w:r w:rsidRPr="00EB1471">
              <w:t>36 (97%)</w:t>
            </w:r>
          </w:p>
        </w:tc>
        <w:tc>
          <w:tcPr>
            <w:tcW w:w="1675" w:type="dxa"/>
            <w:tcBorders>
              <w:bottom w:val="single" w:sz="4" w:space="0" w:color="auto"/>
            </w:tcBorders>
          </w:tcPr>
          <w:p w:rsidR="001D0FDA" w:rsidRPr="00EB1471" w:rsidRDefault="001D0FDA" w:rsidP="001D0FDA">
            <w:pPr>
              <w:pStyle w:val="TableText0"/>
              <w:spacing w:before="20" w:after="20"/>
              <w:jc w:val="center"/>
            </w:pPr>
            <w:r w:rsidRPr="00EB1471">
              <w:t>32 (86%)</w:t>
            </w:r>
          </w:p>
        </w:tc>
        <w:tc>
          <w:tcPr>
            <w:tcW w:w="1701" w:type="dxa"/>
            <w:tcBorders>
              <w:bottom w:val="single" w:sz="4" w:space="0" w:color="auto"/>
            </w:tcBorders>
          </w:tcPr>
          <w:p w:rsidR="001D0FDA" w:rsidRPr="00EB1471" w:rsidRDefault="001D0FDA" w:rsidP="001D0FDA">
            <w:pPr>
              <w:pStyle w:val="TableText0"/>
              <w:spacing w:before="20" w:after="20"/>
              <w:jc w:val="center"/>
            </w:pPr>
            <w:r w:rsidRPr="00EB1471">
              <w:t>138 (91%)</w:t>
            </w:r>
          </w:p>
        </w:tc>
      </w:tr>
      <w:tr w:rsidR="001D0FDA" w:rsidRPr="00EB1471" w:rsidTr="001D0FDA">
        <w:tc>
          <w:tcPr>
            <w:tcW w:w="2972" w:type="dxa"/>
            <w:tcBorders>
              <w:bottom w:val="nil"/>
            </w:tcBorders>
          </w:tcPr>
          <w:p w:rsidR="001D0FDA" w:rsidRPr="00EB1471" w:rsidRDefault="001D0FDA" w:rsidP="00121EF0">
            <w:pPr>
              <w:pStyle w:val="TableText0"/>
              <w:spacing w:before="20" w:after="0"/>
            </w:pPr>
            <w:r w:rsidRPr="00EB1471">
              <w:t>TEAEs occurred in ≥5% of patients in the tadalafil combined group</w:t>
            </w:r>
          </w:p>
        </w:tc>
        <w:tc>
          <w:tcPr>
            <w:tcW w:w="1559" w:type="dxa"/>
            <w:tcBorders>
              <w:bottom w:val="nil"/>
            </w:tcBorders>
          </w:tcPr>
          <w:p w:rsidR="001D0FDA" w:rsidRPr="00EB1471" w:rsidRDefault="001D0FDA" w:rsidP="00121EF0">
            <w:pPr>
              <w:pStyle w:val="TableText0"/>
              <w:spacing w:before="20" w:after="0"/>
              <w:jc w:val="center"/>
            </w:pPr>
          </w:p>
        </w:tc>
        <w:tc>
          <w:tcPr>
            <w:tcW w:w="1701" w:type="dxa"/>
            <w:tcBorders>
              <w:bottom w:val="nil"/>
            </w:tcBorders>
          </w:tcPr>
          <w:p w:rsidR="001D0FDA" w:rsidRPr="00EB1471" w:rsidRDefault="001D0FDA" w:rsidP="00121EF0">
            <w:pPr>
              <w:pStyle w:val="TableText0"/>
              <w:spacing w:before="20" w:after="0"/>
              <w:jc w:val="center"/>
            </w:pPr>
          </w:p>
        </w:tc>
        <w:tc>
          <w:tcPr>
            <w:tcW w:w="1675" w:type="dxa"/>
            <w:tcBorders>
              <w:bottom w:val="nil"/>
            </w:tcBorders>
          </w:tcPr>
          <w:p w:rsidR="001D0FDA" w:rsidRPr="00EB1471" w:rsidRDefault="001D0FDA" w:rsidP="00121EF0">
            <w:pPr>
              <w:pStyle w:val="TableText0"/>
              <w:spacing w:before="20" w:after="0"/>
              <w:jc w:val="center"/>
            </w:pPr>
          </w:p>
        </w:tc>
        <w:tc>
          <w:tcPr>
            <w:tcW w:w="1701" w:type="dxa"/>
            <w:tcBorders>
              <w:bottom w:val="nil"/>
            </w:tcBorders>
          </w:tcPr>
          <w:p w:rsidR="001D0FDA" w:rsidRPr="00EB1471" w:rsidRDefault="001D0FDA" w:rsidP="00121EF0">
            <w:pPr>
              <w:pStyle w:val="TableText0"/>
              <w:spacing w:before="20" w:after="0"/>
              <w:jc w:val="center"/>
            </w:pPr>
          </w:p>
        </w:tc>
      </w:tr>
      <w:tr w:rsidR="001D0FDA" w:rsidRPr="00EB1471" w:rsidTr="001D0FDA">
        <w:tc>
          <w:tcPr>
            <w:tcW w:w="2972" w:type="dxa"/>
            <w:tcBorders>
              <w:top w:val="nil"/>
              <w:bottom w:val="nil"/>
            </w:tcBorders>
          </w:tcPr>
          <w:p w:rsidR="001D0FDA" w:rsidRPr="00EB1471" w:rsidRDefault="001D0FDA" w:rsidP="00121EF0">
            <w:pPr>
              <w:pStyle w:val="TableText0"/>
              <w:spacing w:before="20" w:after="20"/>
              <w:ind w:left="313"/>
            </w:pPr>
            <w:r w:rsidRPr="00EB1471">
              <w:t>Headache</w:t>
            </w:r>
          </w:p>
        </w:tc>
        <w:tc>
          <w:tcPr>
            <w:tcW w:w="1559" w:type="dxa"/>
            <w:tcBorders>
              <w:top w:val="nil"/>
              <w:bottom w:val="nil"/>
            </w:tcBorders>
          </w:tcPr>
          <w:p w:rsidR="001D0FDA" w:rsidRPr="00EB1471" w:rsidRDefault="001D0FDA" w:rsidP="00121EF0">
            <w:pPr>
              <w:pStyle w:val="TableText0"/>
              <w:spacing w:before="20" w:after="20"/>
              <w:jc w:val="center"/>
            </w:pPr>
            <w:r w:rsidRPr="00EB1471">
              <w:t>3 (8%)</w:t>
            </w:r>
          </w:p>
        </w:tc>
        <w:tc>
          <w:tcPr>
            <w:tcW w:w="1701" w:type="dxa"/>
            <w:tcBorders>
              <w:top w:val="nil"/>
              <w:bottom w:val="nil"/>
            </w:tcBorders>
          </w:tcPr>
          <w:p w:rsidR="001D0FDA" w:rsidRPr="00EB1471" w:rsidRDefault="001D0FDA" w:rsidP="00121EF0">
            <w:pPr>
              <w:pStyle w:val="TableText0"/>
              <w:spacing w:before="20" w:after="20"/>
              <w:jc w:val="center"/>
            </w:pPr>
            <w:r w:rsidRPr="00EB1471">
              <w:t>14 (38%)</w:t>
            </w:r>
          </w:p>
        </w:tc>
        <w:tc>
          <w:tcPr>
            <w:tcW w:w="1675" w:type="dxa"/>
            <w:tcBorders>
              <w:top w:val="nil"/>
              <w:bottom w:val="nil"/>
            </w:tcBorders>
          </w:tcPr>
          <w:p w:rsidR="001D0FDA" w:rsidRPr="00EB1471" w:rsidRDefault="001D0FDA" w:rsidP="00121EF0">
            <w:pPr>
              <w:pStyle w:val="TableText0"/>
              <w:spacing w:before="20" w:after="20"/>
              <w:jc w:val="center"/>
            </w:pPr>
            <w:r w:rsidRPr="00EB1471">
              <w:t>12 (32%)</w:t>
            </w:r>
          </w:p>
        </w:tc>
        <w:tc>
          <w:tcPr>
            <w:tcW w:w="1701" w:type="dxa"/>
            <w:tcBorders>
              <w:top w:val="nil"/>
              <w:bottom w:val="nil"/>
            </w:tcBorders>
          </w:tcPr>
          <w:p w:rsidR="001D0FDA" w:rsidRPr="00EB1471" w:rsidRDefault="001D0FDA" w:rsidP="00121EF0">
            <w:pPr>
              <w:pStyle w:val="TableText0"/>
              <w:spacing w:before="0" w:after="0"/>
              <w:jc w:val="center"/>
            </w:pPr>
            <w:r w:rsidRPr="00EB1471">
              <w:t>47 (31%)</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Diarrhoea</w:t>
            </w:r>
          </w:p>
        </w:tc>
        <w:tc>
          <w:tcPr>
            <w:tcW w:w="1559" w:type="dxa"/>
            <w:tcBorders>
              <w:top w:val="nil"/>
              <w:bottom w:val="nil"/>
            </w:tcBorders>
          </w:tcPr>
          <w:p w:rsidR="001D0FDA" w:rsidRPr="00EB1471" w:rsidRDefault="001D0FDA" w:rsidP="00121EF0">
            <w:pPr>
              <w:pStyle w:val="TableText0"/>
              <w:spacing w:before="0" w:after="0"/>
              <w:jc w:val="center"/>
            </w:pPr>
            <w:r w:rsidRPr="00EB1471">
              <w:t>1 (3%)</w:t>
            </w:r>
          </w:p>
        </w:tc>
        <w:tc>
          <w:tcPr>
            <w:tcW w:w="1701" w:type="dxa"/>
            <w:tcBorders>
              <w:top w:val="nil"/>
              <w:bottom w:val="nil"/>
            </w:tcBorders>
          </w:tcPr>
          <w:p w:rsidR="001D0FDA" w:rsidRPr="00EB1471" w:rsidRDefault="001D0FDA" w:rsidP="00121EF0">
            <w:pPr>
              <w:pStyle w:val="TableText0"/>
              <w:spacing w:before="0" w:after="0"/>
              <w:jc w:val="center"/>
            </w:pPr>
            <w:r w:rsidRPr="00EB1471">
              <w:t>5 (14%)</w:t>
            </w:r>
          </w:p>
        </w:tc>
        <w:tc>
          <w:tcPr>
            <w:tcW w:w="1675" w:type="dxa"/>
            <w:tcBorders>
              <w:top w:val="nil"/>
              <w:bottom w:val="nil"/>
            </w:tcBorders>
          </w:tcPr>
          <w:p w:rsidR="001D0FDA" w:rsidRPr="00EB1471" w:rsidRDefault="001D0FDA" w:rsidP="00121EF0">
            <w:pPr>
              <w:pStyle w:val="TableText0"/>
              <w:spacing w:before="0" w:after="0"/>
              <w:jc w:val="center"/>
            </w:pPr>
            <w:r w:rsidRPr="00EB1471">
              <w:t>4 (11%)</w:t>
            </w:r>
          </w:p>
        </w:tc>
        <w:tc>
          <w:tcPr>
            <w:tcW w:w="1701" w:type="dxa"/>
            <w:tcBorders>
              <w:top w:val="nil"/>
              <w:bottom w:val="nil"/>
            </w:tcBorders>
          </w:tcPr>
          <w:p w:rsidR="001D0FDA" w:rsidRPr="00EB1471" w:rsidRDefault="001D0FDA" w:rsidP="00121EF0">
            <w:pPr>
              <w:pStyle w:val="TableText0"/>
              <w:spacing w:before="0" w:after="0"/>
              <w:jc w:val="center"/>
            </w:pPr>
            <w:r w:rsidRPr="00EB1471">
              <w:t>19 (12%)</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Peripheral oedema</w:t>
            </w:r>
          </w:p>
        </w:tc>
        <w:tc>
          <w:tcPr>
            <w:tcW w:w="1559" w:type="dxa"/>
            <w:tcBorders>
              <w:top w:val="nil"/>
              <w:bottom w:val="nil"/>
            </w:tcBorders>
          </w:tcPr>
          <w:p w:rsidR="001D0FDA" w:rsidRPr="00EB1471" w:rsidRDefault="001D0FDA" w:rsidP="00121EF0">
            <w:pPr>
              <w:pStyle w:val="TableText0"/>
              <w:spacing w:before="0" w:after="0"/>
              <w:jc w:val="center"/>
            </w:pPr>
            <w:r w:rsidRPr="00EB1471">
              <w:t>3 (8%)</w:t>
            </w:r>
          </w:p>
        </w:tc>
        <w:tc>
          <w:tcPr>
            <w:tcW w:w="1701" w:type="dxa"/>
            <w:tcBorders>
              <w:top w:val="nil"/>
              <w:bottom w:val="nil"/>
            </w:tcBorders>
          </w:tcPr>
          <w:p w:rsidR="001D0FDA" w:rsidRPr="00EB1471" w:rsidRDefault="001D0FDA" w:rsidP="00121EF0">
            <w:pPr>
              <w:pStyle w:val="TableText0"/>
              <w:spacing w:before="0" w:after="0"/>
              <w:jc w:val="center"/>
            </w:pPr>
            <w:r w:rsidRPr="00EB1471">
              <w:t>3 (8%)</w:t>
            </w:r>
          </w:p>
        </w:tc>
        <w:tc>
          <w:tcPr>
            <w:tcW w:w="1675" w:type="dxa"/>
            <w:tcBorders>
              <w:top w:val="nil"/>
              <w:bottom w:val="nil"/>
            </w:tcBorders>
          </w:tcPr>
          <w:p w:rsidR="001D0FDA" w:rsidRPr="00EB1471" w:rsidRDefault="001D0FDA" w:rsidP="00121EF0">
            <w:pPr>
              <w:pStyle w:val="TableText0"/>
              <w:spacing w:before="0" w:after="0"/>
              <w:jc w:val="center"/>
            </w:pPr>
            <w:r w:rsidRPr="00EB1471">
              <w:t>6 (16%)</w:t>
            </w:r>
          </w:p>
        </w:tc>
        <w:tc>
          <w:tcPr>
            <w:tcW w:w="1701" w:type="dxa"/>
            <w:tcBorders>
              <w:top w:val="nil"/>
              <w:bottom w:val="nil"/>
            </w:tcBorders>
          </w:tcPr>
          <w:p w:rsidR="001D0FDA" w:rsidRPr="00EB1471" w:rsidRDefault="001D0FDA" w:rsidP="00121EF0">
            <w:pPr>
              <w:pStyle w:val="TableText0"/>
              <w:spacing w:before="0" w:after="0"/>
              <w:jc w:val="center"/>
            </w:pPr>
            <w:r w:rsidRPr="00EB1471">
              <w:t>18 (12%)</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Pulmonary hypertension</w:t>
            </w:r>
          </w:p>
        </w:tc>
        <w:tc>
          <w:tcPr>
            <w:tcW w:w="1559" w:type="dxa"/>
            <w:tcBorders>
              <w:top w:val="nil"/>
              <w:bottom w:val="nil"/>
            </w:tcBorders>
          </w:tcPr>
          <w:p w:rsidR="001D0FDA" w:rsidRPr="00EB1471" w:rsidRDefault="001D0FDA" w:rsidP="00121EF0">
            <w:pPr>
              <w:pStyle w:val="TableText0"/>
              <w:spacing w:before="0" w:after="0"/>
              <w:jc w:val="center"/>
            </w:pPr>
            <w:r w:rsidRPr="00EB1471">
              <w:t>4 (11%)</w:t>
            </w:r>
          </w:p>
        </w:tc>
        <w:tc>
          <w:tcPr>
            <w:tcW w:w="1701" w:type="dxa"/>
            <w:tcBorders>
              <w:top w:val="nil"/>
              <w:bottom w:val="nil"/>
            </w:tcBorders>
          </w:tcPr>
          <w:p w:rsidR="001D0FDA" w:rsidRPr="00EB1471" w:rsidRDefault="001D0FDA" w:rsidP="00121EF0">
            <w:pPr>
              <w:pStyle w:val="TableText0"/>
              <w:spacing w:before="0" w:after="0"/>
              <w:jc w:val="center"/>
            </w:pPr>
            <w:r w:rsidRPr="00EB1471">
              <w:t>4 (11%)</w:t>
            </w:r>
          </w:p>
        </w:tc>
        <w:tc>
          <w:tcPr>
            <w:tcW w:w="1675" w:type="dxa"/>
            <w:tcBorders>
              <w:top w:val="nil"/>
              <w:bottom w:val="nil"/>
            </w:tcBorders>
          </w:tcPr>
          <w:p w:rsidR="001D0FDA" w:rsidRPr="00EB1471" w:rsidRDefault="001D0FDA" w:rsidP="00121EF0">
            <w:pPr>
              <w:pStyle w:val="TableText0"/>
              <w:spacing w:before="0" w:after="0"/>
              <w:jc w:val="center"/>
            </w:pPr>
            <w:r w:rsidRPr="00EB1471">
              <w:t>6 (16%)</w:t>
            </w:r>
          </w:p>
        </w:tc>
        <w:tc>
          <w:tcPr>
            <w:tcW w:w="1701" w:type="dxa"/>
            <w:tcBorders>
              <w:top w:val="nil"/>
              <w:bottom w:val="nil"/>
            </w:tcBorders>
          </w:tcPr>
          <w:p w:rsidR="001D0FDA" w:rsidRPr="00EB1471" w:rsidRDefault="001D0FDA" w:rsidP="00121EF0">
            <w:pPr>
              <w:pStyle w:val="TableText0"/>
              <w:spacing w:before="0" w:after="0"/>
              <w:jc w:val="center"/>
            </w:pPr>
            <w:r w:rsidRPr="00EB1471">
              <w:t>18 (12%)</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Back pain</w:t>
            </w:r>
          </w:p>
        </w:tc>
        <w:tc>
          <w:tcPr>
            <w:tcW w:w="1559" w:type="dxa"/>
            <w:tcBorders>
              <w:top w:val="nil"/>
              <w:bottom w:val="nil"/>
            </w:tcBorders>
          </w:tcPr>
          <w:p w:rsidR="001D0FDA" w:rsidRPr="00EB1471" w:rsidRDefault="001D0FDA" w:rsidP="00121EF0">
            <w:pPr>
              <w:pStyle w:val="TableText0"/>
              <w:spacing w:before="0" w:after="0"/>
              <w:jc w:val="center"/>
            </w:pPr>
            <w:r w:rsidRPr="00EB1471">
              <w:t>2 (5%)</w:t>
            </w:r>
          </w:p>
        </w:tc>
        <w:tc>
          <w:tcPr>
            <w:tcW w:w="1701" w:type="dxa"/>
            <w:tcBorders>
              <w:top w:val="nil"/>
              <w:bottom w:val="nil"/>
            </w:tcBorders>
          </w:tcPr>
          <w:p w:rsidR="001D0FDA" w:rsidRPr="00EB1471" w:rsidRDefault="001D0FDA" w:rsidP="00121EF0">
            <w:pPr>
              <w:pStyle w:val="TableText0"/>
              <w:spacing w:before="0" w:after="0"/>
              <w:jc w:val="center"/>
            </w:pPr>
            <w:r w:rsidRPr="00EB1471">
              <w:t>3 (8%)</w:t>
            </w:r>
          </w:p>
        </w:tc>
        <w:tc>
          <w:tcPr>
            <w:tcW w:w="1675" w:type="dxa"/>
            <w:tcBorders>
              <w:top w:val="nil"/>
              <w:bottom w:val="nil"/>
            </w:tcBorders>
          </w:tcPr>
          <w:p w:rsidR="001D0FDA" w:rsidRPr="00EB1471" w:rsidRDefault="001D0FDA" w:rsidP="00121EF0">
            <w:pPr>
              <w:pStyle w:val="TableText0"/>
              <w:spacing w:before="0" w:after="0"/>
              <w:jc w:val="center"/>
            </w:pPr>
            <w:r w:rsidRPr="00EB1471">
              <w:t>5 (14%)</w:t>
            </w:r>
          </w:p>
        </w:tc>
        <w:tc>
          <w:tcPr>
            <w:tcW w:w="1701" w:type="dxa"/>
            <w:tcBorders>
              <w:top w:val="nil"/>
              <w:bottom w:val="nil"/>
            </w:tcBorders>
          </w:tcPr>
          <w:p w:rsidR="001D0FDA" w:rsidRPr="00EB1471" w:rsidRDefault="001D0FDA" w:rsidP="00121EF0">
            <w:pPr>
              <w:pStyle w:val="TableText0"/>
              <w:spacing w:before="0" w:after="0"/>
              <w:jc w:val="center"/>
            </w:pPr>
            <w:r w:rsidRPr="00EB1471">
              <w:t>16 (10%)</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Nausea</w:t>
            </w:r>
          </w:p>
        </w:tc>
        <w:tc>
          <w:tcPr>
            <w:tcW w:w="1559" w:type="dxa"/>
            <w:tcBorders>
              <w:top w:val="nil"/>
              <w:bottom w:val="nil"/>
            </w:tcBorders>
          </w:tcPr>
          <w:p w:rsidR="001D0FDA" w:rsidRPr="00EB1471" w:rsidRDefault="001D0FDA" w:rsidP="00121EF0">
            <w:pPr>
              <w:pStyle w:val="TableText0"/>
              <w:spacing w:before="0" w:after="0"/>
              <w:jc w:val="center"/>
            </w:pPr>
            <w:r w:rsidRPr="00EB1471">
              <w:t>2 (5%)</w:t>
            </w:r>
          </w:p>
        </w:tc>
        <w:tc>
          <w:tcPr>
            <w:tcW w:w="1701" w:type="dxa"/>
            <w:tcBorders>
              <w:top w:val="nil"/>
              <w:bottom w:val="nil"/>
            </w:tcBorders>
          </w:tcPr>
          <w:p w:rsidR="001D0FDA" w:rsidRPr="00EB1471" w:rsidRDefault="001D0FDA" w:rsidP="00121EF0">
            <w:pPr>
              <w:pStyle w:val="TableText0"/>
              <w:spacing w:before="0" w:after="0"/>
              <w:jc w:val="center"/>
            </w:pPr>
            <w:r w:rsidRPr="00EB1471">
              <w:t>5 (14%)</w:t>
            </w:r>
          </w:p>
        </w:tc>
        <w:tc>
          <w:tcPr>
            <w:tcW w:w="1675" w:type="dxa"/>
            <w:tcBorders>
              <w:top w:val="nil"/>
              <w:bottom w:val="nil"/>
            </w:tcBorders>
          </w:tcPr>
          <w:p w:rsidR="001D0FDA" w:rsidRPr="00EB1471" w:rsidRDefault="001D0FDA" w:rsidP="00121EF0">
            <w:pPr>
              <w:pStyle w:val="TableText0"/>
              <w:spacing w:before="0" w:after="0"/>
              <w:jc w:val="center"/>
            </w:pPr>
            <w:r w:rsidRPr="00EB1471">
              <w:t>6 (16%)</w:t>
            </w:r>
          </w:p>
        </w:tc>
        <w:tc>
          <w:tcPr>
            <w:tcW w:w="1701" w:type="dxa"/>
            <w:tcBorders>
              <w:top w:val="nil"/>
              <w:bottom w:val="nil"/>
            </w:tcBorders>
          </w:tcPr>
          <w:p w:rsidR="001D0FDA" w:rsidRPr="00EB1471" w:rsidRDefault="001D0FDA" w:rsidP="00121EF0">
            <w:pPr>
              <w:pStyle w:val="TableText0"/>
              <w:spacing w:before="0" w:after="0"/>
              <w:jc w:val="center"/>
            </w:pPr>
            <w:r w:rsidRPr="00EB1471">
              <w:t>16 (10%)</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Nasopharyngitis</w:t>
            </w:r>
          </w:p>
        </w:tc>
        <w:tc>
          <w:tcPr>
            <w:tcW w:w="1559" w:type="dxa"/>
            <w:tcBorders>
              <w:top w:val="nil"/>
              <w:bottom w:val="nil"/>
            </w:tcBorders>
          </w:tcPr>
          <w:p w:rsidR="001D0FDA" w:rsidRPr="00EB1471" w:rsidRDefault="001D0FDA" w:rsidP="00121EF0">
            <w:pPr>
              <w:pStyle w:val="TableText0"/>
              <w:spacing w:before="0" w:after="0"/>
              <w:jc w:val="center"/>
            </w:pPr>
            <w:r w:rsidRPr="00EB1471">
              <w:t>1 (3%)</w:t>
            </w:r>
          </w:p>
        </w:tc>
        <w:tc>
          <w:tcPr>
            <w:tcW w:w="1701" w:type="dxa"/>
            <w:tcBorders>
              <w:top w:val="nil"/>
              <w:bottom w:val="nil"/>
            </w:tcBorders>
          </w:tcPr>
          <w:p w:rsidR="001D0FDA" w:rsidRPr="00EB1471" w:rsidRDefault="001D0FDA" w:rsidP="00121EF0">
            <w:pPr>
              <w:pStyle w:val="TableText0"/>
              <w:spacing w:before="0" w:after="0"/>
              <w:jc w:val="center"/>
            </w:pPr>
            <w:r w:rsidRPr="00EB1471">
              <w:t>6 (16%)</w:t>
            </w:r>
          </w:p>
        </w:tc>
        <w:tc>
          <w:tcPr>
            <w:tcW w:w="1675" w:type="dxa"/>
            <w:tcBorders>
              <w:top w:val="nil"/>
              <w:bottom w:val="nil"/>
            </w:tcBorders>
          </w:tcPr>
          <w:p w:rsidR="001D0FDA" w:rsidRPr="00EB1471" w:rsidRDefault="001D0FDA" w:rsidP="00121EF0">
            <w:pPr>
              <w:pStyle w:val="TableText0"/>
              <w:spacing w:before="0" w:after="0"/>
              <w:jc w:val="center"/>
            </w:pPr>
            <w:r w:rsidRPr="00EB1471">
              <w:t>1 (3%)</w:t>
            </w:r>
          </w:p>
        </w:tc>
        <w:tc>
          <w:tcPr>
            <w:tcW w:w="1701" w:type="dxa"/>
            <w:tcBorders>
              <w:top w:val="nil"/>
              <w:bottom w:val="nil"/>
            </w:tcBorders>
          </w:tcPr>
          <w:p w:rsidR="001D0FDA" w:rsidRPr="00EB1471" w:rsidRDefault="001D0FDA" w:rsidP="00121EF0">
            <w:pPr>
              <w:pStyle w:val="TableText0"/>
              <w:spacing w:before="0" w:after="0"/>
              <w:jc w:val="center"/>
            </w:pPr>
            <w:r w:rsidRPr="00EB1471">
              <w:t>14 (9%)</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Dyspnoea</w:t>
            </w:r>
          </w:p>
        </w:tc>
        <w:tc>
          <w:tcPr>
            <w:tcW w:w="1559" w:type="dxa"/>
            <w:tcBorders>
              <w:top w:val="nil"/>
              <w:bottom w:val="nil"/>
            </w:tcBorders>
          </w:tcPr>
          <w:p w:rsidR="001D0FDA" w:rsidRPr="00EB1471" w:rsidRDefault="001D0FDA" w:rsidP="00121EF0">
            <w:pPr>
              <w:pStyle w:val="TableText0"/>
              <w:spacing w:before="0" w:after="0"/>
              <w:jc w:val="center"/>
            </w:pPr>
            <w:r w:rsidRPr="00EB1471">
              <w:t>2 (5%)</w:t>
            </w:r>
          </w:p>
        </w:tc>
        <w:tc>
          <w:tcPr>
            <w:tcW w:w="1701" w:type="dxa"/>
            <w:tcBorders>
              <w:top w:val="nil"/>
              <w:bottom w:val="nil"/>
            </w:tcBorders>
          </w:tcPr>
          <w:p w:rsidR="001D0FDA" w:rsidRPr="00EB1471" w:rsidRDefault="001D0FDA" w:rsidP="00121EF0">
            <w:pPr>
              <w:pStyle w:val="TableText0"/>
              <w:spacing w:before="0" w:after="0"/>
              <w:jc w:val="center"/>
            </w:pPr>
            <w:r w:rsidRPr="00EB1471">
              <w:t>3 (8%)</w:t>
            </w:r>
          </w:p>
        </w:tc>
        <w:tc>
          <w:tcPr>
            <w:tcW w:w="1675" w:type="dxa"/>
            <w:tcBorders>
              <w:top w:val="nil"/>
              <w:bottom w:val="nil"/>
            </w:tcBorders>
          </w:tcPr>
          <w:p w:rsidR="001D0FDA" w:rsidRPr="00EB1471" w:rsidRDefault="001D0FDA" w:rsidP="00121EF0">
            <w:pPr>
              <w:pStyle w:val="TableText0"/>
              <w:spacing w:before="0" w:after="0"/>
              <w:jc w:val="center"/>
            </w:pPr>
            <w:r w:rsidRPr="00EB1471">
              <w:t>2 (5%)</w:t>
            </w:r>
          </w:p>
        </w:tc>
        <w:tc>
          <w:tcPr>
            <w:tcW w:w="1701" w:type="dxa"/>
            <w:tcBorders>
              <w:top w:val="nil"/>
              <w:bottom w:val="nil"/>
            </w:tcBorders>
          </w:tcPr>
          <w:p w:rsidR="001D0FDA" w:rsidRPr="00EB1471" w:rsidRDefault="001D0FDA" w:rsidP="00121EF0">
            <w:pPr>
              <w:pStyle w:val="TableText0"/>
              <w:spacing w:before="0" w:after="0"/>
              <w:jc w:val="center"/>
            </w:pPr>
            <w:r w:rsidRPr="00EB1471">
              <w:t>11 (7%)</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Muscle spasm</w:t>
            </w:r>
          </w:p>
        </w:tc>
        <w:tc>
          <w:tcPr>
            <w:tcW w:w="1559" w:type="dxa"/>
            <w:tcBorders>
              <w:top w:val="nil"/>
              <w:bottom w:val="nil"/>
            </w:tcBorders>
          </w:tcPr>
          <w:p w:rsidR="001D0FDA" w:rsidRPr="00EB1471" w:rsidRDefault="001D0FDA" w:rsidP="00121EF0">
            <w:pPr>
              <w:pStyle w:val="TableText0"/>
              <w:spacing w:before="0" w:after="0"/>
              <w:jc w:val="center"/>
            </w:pPr>
            <w:r w:rsidRPr="00EB1471">
              <w:t>1 (3%)</w:t>
            </w:r>
          </w:p>
        </w:tc>
        <w:tc>
          <w:tcPr>
            <w:tcW w:w="1701" w:type="dxa"/>
            <w:tcBorders>
              <w:top w:val="nil"/>
              <w:bottom w:val="nil"/>
            </w:tcBorders>
          </w:tcPr>
          <w:p w:rsidR="001D0FDA" w:rsidRPr="00EB1471" w:rsidRDefault="001D0FDA" w:rsidP="00121EF0">
            <w:pPr>
              <w:pStyle w:val="TableText0"/>
              <w:spacing w:before="0" w:after="0"/>
              <w:jc w:val="center"/>
            </w:pPr>
            <w:r w:rsidRPr="00EB1471">
              <w:t>1 (3%)</w:t>
            </w:r>
          </w:p>
        </w:tc>
        <w:tc>
          <w:tcPr>
            <w:tcW w:w="1675" w:type="dxa"/>
            <w:tcBorders>
              <w:top w:val="nil"/>
              <w:bottom w:val="nil"/>
            </w:tcBorders>
          </w:tcPr>
          <w:p w:rsidR="001D0FDA" w:rsidRPr="00EB1471" w:rsidRDefault="001D0FDA" w:rsidP="00121EF0">
            <w:pPr>
              <w:pStyle w:val="TableText0"/>
              <w:spacing w:before="0" w:after="0"/>
              <w:jc w:val="center"/>
            </w:pPr>
            <w:r w:rsidRPr="00EB1471">
              <w:t>4 (11%)</w:t>
            </w:r>
          </w:p>
        </w:tc>
        <w:tc>
          <w:tcPr>
            <w:tcW w:w="1701" w:type="dxa"/>
            <w:tcBorders>
              <w:top w:val="nil"/>
              <w:bottom w:val="nil"/>
            </w:tcBorders>
          </w:tcPr>
          <w:p w:rsidR="001D0FDA" w:rsidRPr="00EB1471" w:rsidRDefault="001D0FDA" w:rsidP="00121EF0">
            <w:pPr>
              <w:pStyle w:val="TableText0"/>
              <w:spacing w:before="0" w:after="0"/>
              <w:jc w:val="center"/>
            </w:pPr>
            <w:r w:rsidRPr="00EB1471">
              <w:t>11 (7%)</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Upper respiratory tract infection</w:t>
            </w:r>
          </w:p>
        </w:tc>
        <w:tc>
          <w:tcPr>
            <w:tcW w:w="1559" w:type="dxa"/>
            <w:tcBorders>
              <w:top w:val="nil"/>
              <w:bottom w:val="nil"/>
            </w:tcBorders>
          </w:tcPr>
          <w:p w:rsidR="001D0FDA" w:rsidRPr="00EB1471" w:rsidRDefault="001D0FDA" w:rsidP="00121EF0">
            <w:pPr>
              <w:pStyle w:val="TableText0"/>
              <w:spacing w:before="0" w:after="0"/>
              <w:jc w:val="center"/>
            </w:pPr>
            <w:r w:rsidRPr="00EB1471">
              <w:t>2 (5%)</w:t>
            </w:r>
          </w:p>
        </w:tc>
        <w:tc>
          <w:tcPr>
            <w:tcW w:w="1701" w:type="dxa"/>
            <w:tcBorders>
              <w:top w:val="nil"/>
              <w:bottom w:val="nil"/>
            </w:tcBorders>
          </w:tcPr>
          <w:p w:rsidR="001D0FDA" w:rsidRPr="00EB1471" w:rsidRDefault="001D0FDA" w:rsidP="00121EF0">
            <w:pPr>
              <w:pStyle w:val="TableText0"/>
              <w:spacing w:before="0" w:after="0"/>
              <w:jc w:val="center"/>
            </w:pPr>
            <w:r w:rsidRPr="00EB1471">
              <w:t>4 (11%)</w:t>
            </w:r>
          </w:p>
        </w:tc>
        <w:tc>
          <w:tcPr>
            <w:tcW w:w="1675" w:type="dxa"/>
            <w:tcBorders>
              <w:top w:val="nil"/>
              <w:bottom w:val="nil"/>
            </w:tcBorders>
          </w:tcPr>
          <w:p w:rsidR="001D0FDA" w:rsidRPr="00EB1471" w:rsidRDefault="001D0FDA" w:rsidP="00121EF0">
            <w:pPr>
              <w:pStyle w:val="TableText0"/>
              <w:spacing w:before="0" w:after="0"/>
              <w:jc w:val="center"/>
            </w:pPr>
            <w:r w:rsidRPr="00EB1471">
              <w:t>2 (5%)</w:t>
            </w:r>
          </w:p>
        </w:tc>
        <w:tc>
          <w:tcPr>
            <w:tcW w:w="1701" w:type="dxa"/>
            <w:tcBorders>
              <w:top w:val="nil"/>
              <w:bottom w:val="nil"/>
            </w:tcBorders>
          </w:tcPr>
          <w:p w:rsidR="001D0FDA" w:rsidRPr="00EB1471" w:rsidRDefault="001D0FDA" w:rsidP="00121EF0">
            <w:pPr>
              <w:pStyle w:val="TableText0"/>
              <w:spacing w:before="0" w:after="0"/>
              <w:jc w:val="center"/>
            </w:pPr>
            <w:r w:rsidRPr="00EB1471">
              <w:t>11 (7%)</w:t>
            </w:r>
          </w:p>
        </w:tc>
      </w:tr>
      <w:tr w:rsidR="001D0FDA" w:rsidRPr="00EB1471" w:rsidTr="00121EF0">
        <w:tc>
          <w:tcPr>
            <w:tcW w:w="2972" w:type="dxa"/>
            <w:tcBorders>
              <w:top w:val="nil"/>
              <w:bottom w:val="nil"/>
            </w:tcBorders>
          </w:tcPr>
          <w:p w:rsidR="001D0FDA" w:rsidRPr="00EB1471" w:rsidRDefault="001D0FDA" w:rsidP="00121EF0">
            <w:pPr>
              <w:pStyle w:val="TableText0"/>
              <w:spacing w:before="0" w:after="0"/>
              <w:ind w:left="313"/>
            </w:pPr>
            <w:r w:rsidRPr="00EB1471">
              <w:t>Myalgia</w:t>
            </w:r>
          </w:p>
        </w:tc>
        <w:tc>
          <w:tcPr>
            <w:tcW w:w="1559" w:type="dxa"/>
            <w:tcBorders>
              <w:top w:val="nil"/>
              <w:bottom w:val="nil"/>
            </w:tcBorders>
          </w:tcPr>
          <w:p w:rsidR="001D0FDA" w:rsidRPr="00EB1471" w:rsidRDefault="001D0FDA" w:rsidP="00121EF0">
            <w:pPr>
              <w:pStyle w:val="TableText0"/>
              <w:spacing w:before="0" w:after="0"/>
              <w:jc w:val="center"/>
            </w:pPr>
            <w:r w:rsidRPr="00EB1471">
              <w:t>1 (3%)</w:t>
            </w:r>
          </w:p>
        </w:tc>
        <w:tc>
          <w:tcPr>
            <w:tcW w:w="1701" w:type="dxa"/>
            <w:tcBorders>
              <w:top w:val="nil"/>
              <w:bottom w:val="nil"/>
            </w:tcBorders>
          </w:tcPr>
          <w:p w:rsidR="001D0FDA" w:rsidRPr="00EB1471" w:rsidRDefault="001D0FDA" w:rsidP="00121EF0">
            <w:pPr>
              <w:pStyle w:val="TableText0"/>
              <w:spacing w:before="0" w:after="0"/>
              <w:jc w:val="center"/>
            </w:pPr>
            <w:r w:rsidRPr="00EB1471">
              <w:t>6 (16%)</w:t>
            </w:r>
          </w:p>
        </w:tc>
        <w:tc>
          <w:tcPr>
            <w:tcW w:w="1675" w:type="dxa"/>
            <w:tcBorders>
              <w:top w:val="nil"/>
              <w:bottom w:val="nil"/>
            </w:tcBorders>
          </w:tcPr>
          <w:p w:rsidR="001D0FDA" w:rsidRPr="00EB1471" w:rsidRDefault="001D0FDA" w:rsidP="00121EF0">
            <w:pPr>
              <w:pStyle w:val="TableText0"/>
              <w:spacing w:before="0" w:after="0"/>
              <w:jc w:val="center"/>
            </w:pPr>
            <w:r w:rsidRPr="00EB1471">
              <w:t>2 (5%)</w:t>
            </w:r>
          </w:p>
        </w:tc>
        <w:tc>
          <w:tcPr>
            <w:tcW w:w="1701" w:type="dxa"/>
            <w:tcBorders>
              <w:top w:val="nil"/>
              <w:bottom w:val="nil"/>
            </w:tcBorders>
          </w:tcPr>
          <w:p w:rsidR="001D0FDA" w:rsidRPr="00EB1471" w:rsidRDefault="001D0FDA" w:rsidP="00121EF0">
            <w:pPr>
              <w:pStyle w:val="TableText0"/>
              <w:spacing w:before="0" w:after="0"/>
              <w:jc w:val="center"/>
            </w:pPr>
            <w:r w:rsidRPr="00EB1471">
              <w:t>10 (7%)</w:t>
            </w:r>
          </w:p>
        </w:tc>
      </w:tr>
      <w:tr w:rsidR="001D0FDA" w:rsidRPr="00EB1471" w:rsidTr="00121EF0">
        <w:tc>
          <w:tcPr>
            <w:tcW w:w="2972" w:type="dxa"/>
            <w:tcBorders>
              <w:top w:val="nil"/>
              <w:bottom w:val="nil"/>
            </w:tcBorders>
          </w:tcPr>
          <w:p w:rsidR="001D0FDA" w:rsidRPr="00EB1471" w:rsidRDefault="001D0FDA" w:rsidP="00121EF0">
            <w:pPr>
              <w:pStyle w:val="TableText0"/>
              <w:spacing w:before="0" w:after="0"/>
              <w:ind w:left="313"/>
            </w:pPr>
            <w:r w:rsidRPr="00EB1471">
              <w:t>Dizziness</w:t>
            </w:r>
          </w:p>
        </w:tc>
        <w:tc>
          <w:tcPr>
            <w:tcW w:w="1559" w:type="dxa"/>
            <w:tcBorders>
              <w:top w:val="nil"/>
              <w:bottom w:val="nil"/>
            </w:tcBorders>
          </w:tcPr>
          <w:p w:rsidR="001D0FDA" w:rsidRPr="00EB1471" w:rsidRDefault="001D0FDA" w:rsidP="00121EF0">
            <w:pPr>
              <w:pStyle w:val="TableText0"/>
              <w:spacing w:before="0" w:after="0"/>
              <w:jc w:val="center"/>
            </w:pPr>
            <w:r w:rsidRPr="00EB1471">
              <w:t>4 (11%)</w:t>
            </w:r>
          </w:p>
        </w:tc>
        <w:tc>
          <w:tcPr>
            <w:tcW w:w="1701" w:type="dxa"/>
            <w:tcBorders>
              <w:top w:val="nil"/>
              <w:bottom w:val="nil"/>
            </w:tcBorders>
          </w:tcPr>
          <w:p w:rsidR="001D0FDA" w:rsidRPr="00EB1471" w:rsidRDefault="001D0FDA" w:rsidP="00121EF0">
            <w:pPr>
              <w:pStyle w:val="TableText0"/>
              <w:spacing w:before="0" w:after="0"/>
              <w:jc w:val="center"/>
            </w:pPr>
            <w:r w:rsidRPr="00EB1471">
              <w:t>4 (11%)</w:t>
            </w:r>
          </w:p>
        </w:tc>
        <w:tc>
          <w:tcPr>
            <w:tcW w:w="1675" w:type="dxa"/>
            <w:tcBorders>
              <w:top w:val="nil"/>
              <w:bottom w:val="nil"/>
            </w:tcBorders>
          </w:tcPr>
          <w:p w:rsidR="001D0FDA" w:rsidRPr="00EB1471" w:rsidRDefault="001D0FDA" w:rsidP="00121EF0">
            <w:pPr>
              <w:pStyle w:val="TableText0"/>
              <w:spacing w:before="0" w:after="0"/>
              <w:jc w:val="center"/>
            </w:pPr>
            <w:r w:rsidRPr="00EB1471">
              <w:t>0 (0%)</w:t>
            </w:r>
          </w:p>
        </w:tc>
        <w:tc>
          <w:tcPr>
            <w:tcW w:w="1701" w:type="dxa"/>
            <w:tcBorders>
              <w:top w:val="nil"/>
              <w:bottom w:val="nil"/>
            </w:tcBorders>
          </w:tcPr>
          <w:p w:rsidR="001D0FDA" w:rsidRPr="00EB1471" w:rsidRDefault="001D0FDA" w:rsidP="00121EF0">
            <w:pPr>
              <w:pStyle w:val="TableText0"/>
              <w:spacing w:before="0" w:after="0"/>
              <w:jc w:val="center"/>
            </w:pPr>
            <w:r w:rsidRPr="00EB1471">
              <w:t>9 (6%)</w:t>
            </w:r>
          </w:p>
        </w:tc>
      </w:tr>
      <w:tr w:rsidR="001D0FDA" w:rsidRPr="00EB1471" w:rsidTr="00121EF0">
        <w:tc>
          <w:tcPr>
            <w:tcW w:w="2972" w:type="dxa"/>
            <w:tcBorders>
              <w:top w:val="nil"/>
              <w:bottom w:val="nil"/>
            </w:tcBorders>
          </w:tcPr>
          <w:p w:rsidR="001D0FDA" w:rsidRPr="00EB1471" w:rsidRDefault="001D0FDA" w:rsidP="00121EF0">
            <w:pPr>
              <w:pStyle w:val="TableText0"/>
              <w:spacing w:before="0" w:after="0"/>
              <w:ind w:left="313"/>
            </w:pPr>
            <w:r w:rsidRPr="00EB1471">
              <w:t>Epistaxis</w:t>
            </w:r>
          </w:p>
        </w:tc>
        <w:tc>
          <w:tcPr>
            <w:tcW w:w="1559" w:type="dxa"/>
            <w:tcBorders>
              <w:top w:val="nil"/>
              <w:bottom w:val="nil"/>
            </w:tcBorders>
          </w:tcPr>
          <w:p w:rsidR="001D0FDA" w:rsidRPr="00EB1471" w:rsidRDefault="001D0FDA" w:rsidP="00121EF0">
            <w:pPr>
              <w:pStyle w:val="TableText0"/>
              <w:spacing w:before="0" w:after="0"/>
              <w:jc w:val="center"/>
            </w:pPr>
            <w:r w:rsidRPr="00EB1471">
              <w:t>2 (5%)</w:t>
            </w:r>
          </w:p>
        </w:tc>
        <w:tc>
          <w:tcPr>
            <w:tcW w:w="1701" w:type="dxa"/>
            <w:tcBorders>
              <w:top w:val="nil"/>
              <w:bottom w:val="nil"/>
            </w:tcBorders>
          </w:tcPr>
          <w:p w:rsidR="001D0FDA" w:rsidRPr="00EB1471" w:rsidRDefault="001D0FDA" w:rsidP="00121EF0">
            <w:pPr>
              <w:pStyle w:val="TableText0"/>
              <w:spacing w:before="0" w:after="0"/>
              <w:jc w:val="center"/>
            </w:pPr>
            <w:r w:rsidRPr="00EB1471">
              <w:t>1 (3%)</w:t>
            </w:r>
          </w:p>
        </w:tc>
        <w:tc>
          <w:tcPr>
            <w:tcW w:w="1675" w:type="dxa"/>
            <w:tcBorders>
              <w:top w:val="nil"/>
              <w:bottom w:val="nil"/>
            </w:tcBorders>
          </w:tcPr>
          <w:p w:rsidR="001D0FDA" w:rsidRPr="00EB1471" w:rsidRDefault="001D0FDA" w:rsidP="00121EF0">
            <w:pPr>
              <w:pStyle w:val="TableText0"/>
              <w:spacing w:before="0" w:after="0"/>
              <w:jc w:val="center"/>
            </w:pPr>
            <w:r w:rsidRPr="00EB1471">
              <w:t>4 (11%)</w:t>
            </w:r>
          </w:p>
        </w:tc>
        <w:tc>
          <w:tcPr>
            <w:tcW w:w="1701" w:type="dxa"/>
            <w:tcBorders>
              <w:top w:val="nil"/>
              <w:bottom w:val="nil"/>
            </w:tcBorders>
          </w:tcPr>
          <w:p w:rsidR="001D0FDA" w:rsidRPr="00EB1471" w:rsidRDefault="001D0FDA" w:rsidP="00121EF0">
            <w:pPr>
              <w:pStyle w:val="TableText0"/>
              <w:spacing w:before="0" w:after="0"/>
              <w:jc w:val="center"/>
            </w:pPr>
            <w:r w:rsidRPr="00EB1471">
              <w:t>9 (6%)</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Flushing</w:t>
            </w:r>
          </w:p>
        </w:tc>
        <w:tc>
          <w:tcPr>
            <w:tcW w:w="1559" w:type="dxa"/>
            <w:tcBorders>
              <w:top w:val="nil"/>
              <w:bottom w:val="nil"/>
            </w:tcBorders>
          </w:tcPr>
          <w:p w:rsidR="001D0FDA" w:rsidRPr="00EB1471" w:rsidRDefault="001D0FDA" w:rsidP="00121EF0">
            <w:pPr>
              <w:pStyle w:val="TableText0"/>
              <w:spacing w:before="0" w:after="0"/>
              <w:jc w:val="center"/>
            </w:pPr>
            <w:r w:rsidRPr="00EB1471">
              <w:t>1 (3%)</w:t>
            </w:r>
          </w:p>
        </w:tc>
        <w:tc>
          <w:tcPr>
            <w:tcW w:w="1701" w:type="dxa"/>
            <w:tcBorders>
              <w:top w:val="nil"/>
              <w:bottom w:val="nil"/>
            </w:tcBorders>
          </w:tcPr>
          <w:p w:rsidR="001D0FDA" w:rsidRPr="00EB1471" w:rsidRDefault="001D0FDA" w:rsidP="00121EF0">
            <w:pPr>
              <w:pStyle w:val="TableText0"/>
              <w:spacing w:before="0" w:after="0"/>
              <w:jc w:val="center"/>
            </w:pPr>
            <w:r w:rsidRPr="00EB1471">
              <w:t>4 (11%)</w:t>
            </w:r>
          </w:p>
        </w:tc>
        <w:tc>
          <w:tcPr>
            <w:tcW w:w="1675" w:type="dxa"/>
            <w:tcBorders>
              <w:top w:val="nil"/>
              <w:bottom w:val="nil"/>
            </w:tcBorders>
          </w:tcPr>
          <w:p w:rsidR="001D0FDA" w:rsidRPr="00EB1471" w:rsidRDefault="001D0FDA" w:rsidP="00121EF0">
            <w:pPr>
              <w:pStyle w:val="TableText0"/>
              <w:spacing w:before="0" w:after="0"/>
              <w:jc w:val="center"/>
            </w:pPr>
            <w:r w:rsidRPr="00EB1471">
              <w:t>2 (5%)</w:t>
            </w:r>
          </w:p>
        </w:tc>
        <w:tc>
          <w:tcPr>
            <w:tcW w:w="1701" w:type="dxa"/>
            <w:tcBorders>
              <w:top w:val="nil"/>
              <w:bottom w:val="nil"/>
            </w:tcBorders>
          </w:tcPr>
          <w:p w:rsidR="001D0FDA" w:rsidRPr="00EB1471" w:rsidRDefault="001D0FDA" w:rsidP="00121EF0">
            <w:pPr>
              <w:pStyle w:val="TableText0"/>
              <w:spacing w:before="0" w:after="0"/>
              <w:jc w:val="center"/>
            </w:pPr>
            <w:r w:rsidRPr="00EB1471">
              <w:t>9 (6%)</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Dyspepsia</w:t>
            </w:r>
          </w:p>
        </w:tc>
        <w:tc>
          <w:tcPr>
            <w:tcW w:w="1559" w:type="dxa"/>
            <w:tcBorders>
              <w:top w:val="nil"/>
              <w:bottom w:val="nil"/>
            </w:tcBorders>
          </w:tcPr>
          <w:p w:rsidR="001D0FDA" w:rsidRPr="00EB1471" w:rsidRDefault="001D0FDA" w:rsidP="00121EF0">
            <w:pPr>
              <w:pStyle w:val="TableText0"/>
              <w:spacing w:before="0" w:after="0"/>
              <w:jc w:val="center"/>
            </w:pPr>
            <w:r w:rsidRPr="00EB1471">
              <w:t>0 (0%)</w:t>
            </w:r>
          </w:p>
        </w:tc>
        <w:tc>
          <w:tcPr>
            <w:tcW w:w="1701" w:type="dxa"/>
            <w:tcBorders>
              <w:top w:val="nil"/>
              <w:bottom w:val="nil"/>
            </w:tcBorders>
          </w:tcPr>
          <w:p w:rsidR="001D0FDA" w:rsidRPr="00EB1471" w:rsidRDefault="001D0FDA" w:rsidP="00121EF0">
            <w:pPr>
              <w:pStyle w:val="TableText0"/>
              <w:spacing w:before="0" w:after="0"/>
              <w:jc w:val="center"/>
            </w:pPr>
            <w:r w:rsidRPr="00EB1471">
              <w:t>3 (8%)</w:t>
            </w:r>
          </w:p>
        </w:tc>
        <w:tc>
          <w:tcPr>
            <w:tcW w:w="1675" w:type="dxa"/>
            <w:tcBorders>
              <w:top w:val="nil"/>
              <w:bottom w:val="nil"/>
            </w:tcBorders>
          </w:tcPr>
          <w:p w:rsidR="001D0FDA" w:rsidRPr="00EB1471" w:rsidRDefault="001D0FDA" w:rsidP="00121EF0">
            <w:pPr>
              <w:pStyle w:val="TableText0"/>
              <w:spacing w:before="0" w:after="0"/>
              <w:jc w:val="center"/>
            </w:pPr>
            <w:r w:rsidRPr="00EB1471">
              <w:t>2 (5%)</w:t>
            </w:r>
          </w:p>
        </w:tc>
        <w:tc>
          <w:tcPr>
            <w:tcW w:w="1701" w:type="dxa"/>
            <w:tcBorders>
              <w:top w:val="nil"/>
              <w:bottom w:val="nil"/>
            </w:tcBorders>
          </w:tcPr>
          <w:p w:rsidR="001D0FDA" w:rsidRPr="00EB1471" w:rsidRDefault="001D0FDA" w:rsidP="00121EF0">
            <w:pPr>
              <w:pStyle w:val="TableText0"/>
              <w:spacing w:before="0" w:after="0"/>
              <w:jc w:val="center"/>
            </w:pPr>
            <w:r w:rsidRPr="00EB1471">
              <w:t>8 (5%)</w:t>
            </w:r>
          </w:p>
        </w:tc>
      </w:tr>
      <w:tr w:rsidR="001D0FDA" w:rsidRPr="00EB1471" w:rsidTr="001D0FDA">
        <w:tc>
          <w:tcPr>
            <w:tcW w:w="2972" w:type="dxa"/>
            <w:tcBorders>
              <w:top w:val="nil"/>
            </w:tcBorders>
          </w:tcPr>
          <w:p w:rsidR="001D0FDA" w:rsidRPr="00EB1471" w:rsidRDefault="001D0FDA" w:rsidP="00121EF0">
            <w:pPr>
              <w:pStyle w:val="TableText0"/>
              <w:spacing w:before="0" w:after="20"/>
              <w:ind w:left="313"/>
            </w:pPr>
            <w:r w:rsidRPr="00EB1471">
              <w:t xml:space="preserve">Pain in </w:t>
            </w:r>
            <w:r w:rsidR="00DB4D9C">
              <w:t>the extremities</w:t>
            </w:r>
          </w:p>
        </w:tc>
        <w:tc>
          <w:tcPr>
            <w:tcW w:w="1559" w:type="dxa"/>
            <w:tcBorders>
              <w:top w:val="nil"/>
            </w:tcBorders>
          </w:tcPr>
          <w:p w:rsidR="001D0FDA" w:rsidRPr="00EB1471" w:rsidRDefault="001D0FDA" w:rsidP="00121EF0">
            <w:pPr>
              <w:pStyle w:val="TableText0"/>
              <w:spacing w:before="0" w:after="20"/>
              <w:jc w:val="center"/>
            </w:pPr>
            <w:r w:rsidRPr="00EB1471">
              <w:t>0 (0%)</w:t>
            </w:r>
          </w:p>
        </w:tc>
        <w:tc>
          <w:tcPr>
            <w:tcW w:w="1701" w:type="dxa"/>
            <w:tcBorders>
              <w:top w:val="nil"/>
            </w:tcBorders>
          </w:tcPr>
          <w:p w:rsidR="001D0FDA" w:rsidRPr="00EB1471" w:rsidRDefault="001D0FDA" w:rsidP="00121EF0">
            <w:pPr>
              <w:pStyle w:val="TableText0"/>
              <w:spacing w:before="0" w:after="20"/>
              <w:jc w:val="center"/>
            </w:pPr>
            <w:r w:rsidRPr="00EB1471">
              <w:t>4 (11%)</w:t>
            </w:r>
          </w:p>
        </w:tc>
        <w:tc>
          <w:tcPr>
            <w:tcW w:w="1675" w:type="dxa"/>
            <w:tcBorders>
              <w:top w:val="nil"/>
            </w:tcBorders>
          </w:tcPr>
          <w:p w:rsidR="001D0FDA" w:rsidRPr="00EB1471" w:rsidRDefault="001D0FDA" w:rsidP="00121EF0">
            <w:pPr>
              <w:pStyle w:val="TableText0"/>
              <w:spacing w:before="0" w:after="20"/>
              <w:jc w:val="center"/>
            </w:pPr>
            <w:r w:rsidRPr="00EB1471">
              <w:t>1 (3%)</w:t>
            </w:r>
          </w:p>
        </w:tc>
        <w:tc>
          <w:tcPr>
            <w:tcW w:w="1701" w:type="dxa"/>
            <w:tcBorders>
              <w:top w:val="nil"/>
            </w:tcBorders>
          </w:tcPr>
          <w:p w:rsidR="001D0FDA" w:rsidRPr="00EB1471" w:rsidRDefault="001D0FDA" w:rsidP="00121EF0">
            <w:pPr>
              <w:pStyle w:val="TableText0"/>
              <w:spacing w:before="0" w:after="20"/>
              <w:jc w:val="center"/>
            </w:pPr>
            <w:r w:rsidRPr="00EB1471">
              <w:t>8 (5%)</w:t>
            </w:r>
          </w:p>
        </w:tc>
      </w:tr>
    </w:tbl>
    <w:p w:rsidR="006D01E8" w:rsidRPr="00EB1471" w:rsidRDefault="006D01E8" w:rsidP="006D01E8">
      <w:pPr>
        <w:pStyle w:val="Tablenote"/>
      </w:pPr>
      <w:r w:rsidRPr="00EB1471">
        <w:rPr>
          <w:vertAlign w:val="superscript"/>
        </w:rPr>
        <w:t>a</w:t>
      </w:r>
      <w:r w:rsidRPr="00EB1471">
        <w:t xml:space="preserve"> In addition to those patients receiving tadalafil 20 mg and 40 mg, the combined total includes all treat-native patients who received tadalafil, including those receiving 2.5 mg and 10 mg (data not shown)</w:t>
      </w:r>
    </w:p>
    <w:p w:rsidR="001D0FDA" w:rsidRPr="00EB1471" w:rsidRDefault="00D2075A" w:rsidP="001D0FDA">
      <w:pPr>
        <w:pStyle w:val="Tablenote"/>
      </w:pPr>
      <w:r>
        <w:t>n</w:t>
      </w:r>
      <w:r w:rsidR="00121EF0">
        <w:t xml:space="preserve"> = number of patients; </w:t>
      </w:r>
      <w:r w:rsidR="001D0FDA" w:rsidRPr="00EB1471">
        <w:t xml:space="preserve">TEAE = treatment-emergent adverse event. </w:t>
      </w:r>
    </w:p>
    <w:p w:rsidR="001D0FDA" w:rsidRPr="00EB1471" w:rsidRDefault="001D0FDA" w:rsidP="001D0FDA">
      <w:pPr>
        <w:pStyle w:val="Tablenote"/>
      </w:pPr>
      <w:r w:rsidRPr="00EB1471">
        <w:t>Source: Barst et al 2011</w:t>
      </w:r>
      <w:r w:rsidR="001D34EE" w:rsidRPr="001A1C44">
        <w:rPr>
          <w:noProof/>
          <w:vertAlign w:val="superscript"/>
        </w:rPr>
        <w:t>45</w:t>
      </w:r>
    </w:p>
    <w:p w:rsidR="001D0FDA" w:rsidRPr="00EB1471" w:rsidRDefault="001D0FDA" w:rsidP="001D0FDA">
      <w:r w:rsidRPr="00EB1471">
        <w:t xml:space="preserve">Results from PHIRST support the conclusion of inferior safety of tadalafil monotherapy versus placebo for treatment of patients with PAH. The </w:t>
      </w:r>
      <w:r w:rsidR="006B2A7D">
        <w:t>AE</w:t>
      </w:r>
      <w:r w:rsidRPr="00EB1471">
        <w:t>s reported in Trials PHIRST and Mukhopadhyay 2011 are consistent with the known safety profile of tadalafil, with n</w:t>
      </w:r>
      <w:r w:rsidR="009800DB">
        <w:t>o new safety signal identified.</w:t>
      </w:r>
    </w:p>
    <w:p w:rsidR="001D0FDA" w:rsidRPr="00EB1471" w:rsidRDefault="001D0FDA" w:rsidP="00480FDF">
      <w:pPr>
        <w:pStyle w:val="Heading5"/>
        <w:numPr>
          <w:ilvl w:val="4"/>
          <w:numId w:val="45"/>
        </w:numPr>
      </w:pPr>
      <w:r w:rsidRPr="00EB1471">
        <w:t>Prostacyclin analogue</w:t>
      </w:r>
    </w:p>
    <w:p w:rsidR="001D0FDA" w:rsidRPr="00EB1471" w:rsidRDefault="001D0FDA" w:rsidP="001D0FDA">
      <w:r w:rsidRPr="00EB1471">
        <w:t xml:space="preserve">A total of seven single-arm observational studies were included for extended assessment of safety concerning IV use of epoprostenol. The follow-up period ranged from 2 years to 4 years across these studies. Of these, results of general </w:t>
      </w:r>
      <w:r w:rsidR="006B2A7D">
        <w:t>AE</w:t>
      </w:r>
      <w:r w:rsidRPr="00EB1471">
        <w:t>s were reported by the VA1A4001 extension study</w:t>
      </w:r>
      <w:r w:rsidR="001D34EE" w:rsidRPr="001A1C44">
        <w:rPr>
          <w:noProof/>
          <w:vertAlign w:val="superscript"/>
        </w:rPr>
        <w:t>71</w:t>
      </w:r>
      <w:r w:rsidRPr="00EB1471">
        <w:t xml:space="preserve">. During this 3-year study, all 97 patients enrolled experienced ≥1 </w:t>
      </w:r>
      <w:r w:rsidR="006B2A7D">
        <w:t>AE</w:t>
      </w:r>
      <w:r w:rsidRPr="00EB1471">
        <w:t xml:space="preserve">. The most common </w:t>
      </w:r>
      <w:r w:rsidR="006B2A7D">
        <w:t>AE</w:t>
      </w:r>
      <w:r w:rsidRPr="00EB1471">
        <w:t xml:space="preserve">s were diarrhoea, jaw pain, nausea, headache, pain, rash, flushing, depression, right-heart failure, and infection. Serious </w:t>
      </w:r>
      <w:r w:rsidR="006B2A7D">
        <w:t>AE</w:t>
      </w:r>
      <w:r w:rsidRPr="00EB1471">
        <w:t xml:space="preserve">s occurred in 66 (68%) patients. Two (2%) patients withdrew from the study due to </w:t>
      </w:r>
      <w:r w:rsidR="006B2A7D">
        <w:t>AE</w:t>
      </w:r>
      <w:r w:rsidRPr="00EB1471">
        <w:t xml:space="preserve">s: one patient experienced respiratory distress on the first day of epoprostenol infusion necessitating permanent discontinuation of the medication and died 5 days later; the other patient had </w:t>
      </w:r>
      <w:r w:rsidR="006B2A7D">
        <w:t>AE</w:t>
      </w:r>
      <w:r w:rsidRPr="00EB1471">
        <w:t xml:space="preserve"> of hypotension, which was not alleviated after dose decrease, and permanently withdrew from the study. A total of 44 (45%) deaths were subsequent to various </w:t>
      </w:r>
      <w:r w:rsidR="006B2A7D">
        <w:t>AE</w:t>
      </w:r>
      <w:r w:rsidRPr="00EB1471">
        <w:t>s, with about half deaths following right-heart failure. None of the deaths occurred during the study were judged by the investigators to be related to epoprostenol or the drug delivery system.</w:t>
      </w:r>
    </w:p>
    <w:p w:rsidR="001D0FDA" w:rsidRPr="00EB1471" w:rsidRDefault="001D0FDA" w:rsidP="001D0FDA">
      <w:r w:rsidRPr="00EB1471">
        <w:t xml:space="preserve">The other six studies focused mainly on the </w:t>
      </w:r>
      <w:r w:rsidR="006B2A7D">
        <w:t>AE</w:t>
      </w:r>
      <w:r w:rsidRPr="00EB1471">
        <w:t xml:space="preserve">s attributable to the IV delivery system, particularly bloodstream infection. The incidence of overall adverse effects/complications associated with the </w:t>
      </w:r>
      <w:r w:rsidRPr="00EB1471">
        <w:lastRenderedPageBreak/>
        <w:t>drug delivery system (including bloodstream infection, local port site infection, cutaneous complications, functional port complications and implantation procedure related complications) was provided by Dickinson et al (2009)</w:t>
      </w:r>
      <w:r w:rsidR="001D34EE" w:rsidRPr="001A1C44">
        <w:rPr>
          <w:noProof/>
          <w:vertAlign w:val="superscript"/>
        </w:rPr>
        <w:t>56</w:t>
      </w:r>
      <w:r w:rsidRPr="00EB1471">
        <w:t>, which reported that 73 (66%) patients had a total of 175 complications during a cumulative follow-up period of 104,992 days, resulting in an overall complication rate of 0.61 per patient-year (ppy). In Dickinson 2009, there were a total of 45 bloodstream infections including seven cases of sepsis, corresponding to a rate of 0.15 ppy for bloodstream infections and 0.02 ppy for sepsis. The remaining five observational studies either reported results of bloodstream infections or sepsis, but not both. The rates of bloodstream infections ranged from 0.04 ppy to 0.15 ppy across Studies Kallen 2008</w:t>
      </w:r>
      <w:r w:rsidR="001D34EE" w:rsidRPr="001A1C44">
        <w:rPr>
          <w:noProof/>
          <w:vertAlign w:val="superscript"/>
        </w:rPr>
        <w:t>59</w:t>
      </w:r>
      <w:r w:rsidRPr="00EB1471">
        <w:t>, Kitterman 2012</w:t>
      </w:r>
      <w:r w:rsidR="001D34EE" w:rsidRPr="001A1C44">
        <w:rPr>
          <w:noProof/>
          <w:vertAlign w:val="superscript"/>
        </w:rPr>
        <w:t>61</w:t>
      </w:r>
      <w:r w:rsidRPr="00EB1471">
        <w:t xml:space="preserve"> and Oudiz 2004</w:t>
      </w:r>
      <w:r w:rsidR="001D34EE" w:rsidRPr="001A1C44">
        <w:rPr>
          <w:noProof/>
          <w:vertAlign w:val="superscript"/>
        </w:rPr>
        <w:t>63</w:t>
      </w:r>
      <w:r w:rsidRPr="00EB1471">
        <w:t>; and the sepsis rates were 0.14 ppy in McLaughlin 2002</w:t>
      </w:r>
      <w:r w:rsidR="001D34EE" w:rsidRPr="001A1C44">
        <w:rPr>
          <w:noProof/>
          <w:vertAlign w:val="superscript"/>
        </w:rPr>
        <w:t>62</w:t>
      </w:r>
      <w:r w:rsidRPr="00EB1471">
        <w:t xml:space="preserve"> and 0.19 ppy in Sitbon 2002</w:t>
      </w:r>
      <w:r w:rsidR="001D34EE" w:rsidRPr="001A1C44">
        <w:rPr>
          <w:noProof/>
          <w:vertAlign w:val="superscript"/>
        </w:rPr>
        <w:t>67</w:t>
      </w:r>
      <w:r w:rsidRPr="00EB1471">
        <w:t xml:space="preserve">. The rate of local port site infection was 0.11 ppy and 0.24 ppy in </w:t>
      </w:r>
      <w:r w:rsidR="009800DB">
        <w:t>s</w:t>
      </w:r>
      <w:r w:rsidRPr="00EB1471">
        <w:t>tudies Dickinson 2009 and McLaughlin 2002, respectively. Catheter replacement or removal occurred at a rate of 0.15 ppy in McLaughlin 2002 and 0.31 ppy in Oudiz 2004. The incidence of death related to IV catheter was low, between 0% and 3% across studies, with vast majority (12 out of 13) of fatal cases as a result of catheter infection and the other death due to a peri-operative complication</w:t>
      </w:r>
      <w:r w:rsidR="001D34EE" w:rsidRPr="001A1C44">
        <w:rPr>
          <w:noProof/>
          <w:vertAlign w:val="superscript"/>
        </w:rPr>
        <w:t>56</w:t>
      </w:r>
      <w:r w:rsidR="001A1C44" w:rsidRPr="001A1C44">
        <w:rPr>
          <w:noProof/>
          <w:vertAlign w:val="superscript"/>
        </w:rPr>
        <w:t xml:space="preserve">, </w:t>
      </w:r>
      <w:r w:rsidR="001D34EE" w:rsidRPr="001A1C44">
        <w:rPr>
          <w:noProof/>
          <w:vertAlign w:val="superscript"/>
        </w:rPr>
        <w:t>63</w:t>
      </w:r>
      <w:r w:rsidR="001A1C44" w:rsidRPr="001A1C44">
        <w:rPr>
          <w:noProof/>
          <w:vertAlign w:val="superscript"/>
        </w:rPr>
        <w:t xml:space="preserve">, </w:t>
      </w:r>
      <w:r w:rsidR="001D34EE" w:rsidRPr="001A1C44">
        <w:rPr>
          <w:noProof/>
          <w:vertAlign w:val="superscript"/>
        </w:rPr>
        <w:t>67</w:t>
      </w:r>
      <w:r w:rsidR="001A1C44" w:rsidRPr="001A1C44">
        <w:rPr>
          <w:noProof/>
          <w:vertAlign w:val="superscript"/>
        </w:rPr>
        <w:t xml:space="preserve">, </w:t>
      </w:r>
      <w:r w:rsidR="001D34EE" w:rsidRPr="001A1C44">
        <w:rPr>
          <w:noProof/>
          <w:vertAlign w:val="superscript"/>
        </w:rPr>
        <w:t>71</w:t>
      </w:r>
      <w:r w:rsidR="009800DB">
        <w:t>.</w:t>
      </w:r>
    </w:p>
    <w:p w:rsidR="001D0FDA" w:rsidRPr="00EB1471" w:rsidRDefault="001D0FDA" w:rsidP="001D0FDA">
      <w:pPr>
        <w:pStyle w:val="Caption"/>
      </w:pPr>
      <w:bookmarkStart w:id="325" w:name="_Toc512855520"/>
      <w:r>
        <w:t>Table 4.</w:t>
      </w:r>
      <w:r w:rsidR="00AA722D">
        <w:rPr>
          <w:noProof/>
        </w:rPr>
        <w:t>116</w:t>
      </w:r>
      <w:r>
        <w:tab/>
      </w:r>
      <w:r w:rsidRPr="00EB1471">
        <w:t>AEs reported in epoprostenol studies included for extended assessment of safety</w:t>
      </w:r>
      <w:bookmarkEnd w:id="325"/>
    </w:p>
    <w:tbl>
      <w:tblPr>
        <w:tblStyle w:val="TableGrid"/>
        <w:tblW w:w="9634" w:type="dxa"/>
        <w:tblLayout w:type="fixed"/>
        <w:tblLook w:val="04A0" w:firstRow="1" w:lastRow="0" w:firstColumn="1" w:lastColumn="0" w:noHBand="0" w:noVBand="1"/>
        <w:tblCaption w:val="AEs reported in epoprostenol studies included for extended assessment of safety"/>
      </w:tblPr>
      <w:tblGrid>
        <w:gridCol w:w="2122"/>
        <w:gridCol w:w="1134"/>
        <w:gridCol w:w="1134"/>
        <w:gridCol w:w="992"/>
        <w:gridCol w:w="1134"/>
        <w:gridCol w:w="992"/>
        <w:gridCol w:w="992"/>
        <w:gridCol w:w="1134"/>
      </w:tblGrid>
      <w:tr w:rsidR="001D0FDA" w:rsidRPr="00EB1471" w:rsidTr="001D0FDA">
        <w:trPr>
          <w:cnfStyle w:val="100000000000" w:firstRow="1" w:lastRow="0" w:firstColumn="0" w:lastColumn="0" w:oddVBand="0" w:evenVBand="0" w:oddHBand="0" w:evenHBand="0" w:firstRowFirstColumn="0" w:firstRowLastColumn="0" w:lastRowFirstColumn="0" w:lastRowLastColumn="0"/>
        </w:trPr>
        <w:tc>
          <w:tcPr>
            <w:tcW w:w="2122" w:type="dxa"/>
            <w:shd w:val="clear" w:color="auto" w:fill="BFBFBF" w:themeFill="background1" w:themeFillShade="BF"/>
          </w:tcPr>
          <w:p w:rsidR="001D0FDA" w:rsidRPr="00EB1471" w:rsidRDefault="007849BD" w:rsidP="007849BD">
            <w:pPr>
              <w:pStyle w:val="TableText0"/>
              <w:spacing w:before="20" w:after="20"/>
              <w:rPr>
                <w:b/>
              </w:rPr>
            </w:pPr>
            <w:r w:rsidRPr="00FD0BAE">
              <w:rPr>
                <w:b/>
              </w:rPr>
              <w:t>AEs</w:t>
            </w:r>
          </w:p>
        </w:tc>
        <w:tc>
          <w:tcPr>
            <w:tcW w:w="1134" w:type="dxa"/>
            <w:shd w:val="clear" w:color="auto" w:fill="BFBFBF" w:themeFill="background1" w:themeFillShade="BF"/>
          </w:tcPr>
          <w:p w:rsidR="001D0FDA" w:rsidRPr="00EB1471" w:rsidRDefault="001D0FDA" w:rsidP="001D0FDA">
            <w:pPr>
              <w:pStyle w:val="TableText0"/>
              <w:spacing w:before="20" w:after="20"/>
              <w:jc w:val="center"/>
              <w:rPr>
                <w:b/>
              </w:rPr>
            </w:pPr>
            <w:r w:rsidRPr="00EB1471">
              <w:rPr>
                <w:b/>
              </w:rPr>
              <w:t>Dickinson 2009</w:t>
            </w:r>
          </w:p>
          <w:p w:rsidR="001D0FDA" w:rsidRPr="00EB1471" w:rsidRDefault="001D0FDA" w:rsidP="001D0FDA">
            <w:pPr>
              <w:pStyle w:val="TableText0"/>
              <w:spacing w:before="20" w:after="20"/>
              <w:jc w:val="center"/>
              <w:rPr>
                <w:b/>
              </w:rPr>
            </w:pPr>
            <w:r w:rsidRPr="00EB1471">
              <w:rPr>
                <w:b/>
              </w:rPr>
              <w:t>(N=111)</w:t>
            </w:r>
          </w:p>
        </w:tc>
        <w:tc>
          <w:tcPr>
            <w:tcW w:w="1134" w:type="dxa"/>
            <w:shd w:val="clear" w:color="auto" w:fill="BFBFBF" w:themeFill="background1" w:themeFillShade="BF"/>
          </w:tcPr>
          <w:p w:rsidR="001D0FDA" w:rsidRPr="00EB1471" w:rsidRDefault="001D0FDA" w:rsidP="001D0FDA">
            <w:pPr>
              <w:pStyle w:val="TableText0"/>
              <w:spacing w:before="20" w:after="20"/>
              <w:jc w:val="center"/>
              <w:rPr>
                <w:b/>
              </w:rPr>
            </w:pPr>
            <w:r w:rsidRPr="00EB1471">
              <w:rPr>
                <w:b/>
              </w:rPr>
              <w:t>Kallen 2008</w:t>
            </w:r>
          </w:p>
          <w:p w:rsidR="001D0FDA" w:rsidRPr="00EB1471" w:rsidRDefault="001D0FDA" w:rsidP="001D0FDA">
            <w:pPr>
              <w:pStyle w:val="TableText0"/>
              <w:spacing w:before="20" w:after="20"/>
              <w:jc w:val="center"/>
              <w:rPr>
                <w:b/>
              </w:rPr>
            </w:pPr>
            <w:r w:rsidRPr="00EB1471">
              <w:rPr>
                <w:b/>
              </w:rPr>
              <w:t>(N=195)</w:t>
            </w:r>
          </w:p>
        </w:tc>
        <w:tc>
          <w:tcPr>
            <w:tcW w:w="992" w:type="dxa"/>
            <w:shd w:val="clear" w:color="auto" w:fill="BFBFBF" w:themeFill="background1" w:themeFillShade="BF"/>
          </w:tcPr>
          <w:p w:rsidR="001D0FDA" w:rsidRPr="00EB1471" w:rsidRDefault="001D0FDA" w:rsidP="001D0FDA">
            <w:pPr>
              <w:pStyle w:val="TableText0"/>
              <w:spacing w:before="20" w:after="20"/>
              <w:jc w:val="center"/>
              <w:rPr>
                <w:b/>
              </w:rPr>
            </w:pPr>
            <w:r w:rsidRPr="00EB1471">
              <w:rPr>
                <w:b/>
              </w:rPr>
              <w:t>Kitterman 2012</w:t>
            </w:r>
          </w:p>
          <w:p w:rsidR="001D0FDA" w:rsidRPr="00EB1471" w:rsidRDefault="001D0FDA" w:rsidP="001D0FDA">
            <w:pPr>
              <w:pStyle w:val="TableText0"/>
              <w:spacing w:before="20" w:after="20"/>
              <w:jc w:val="center"/>
              <w:rPr>
                <w:b/>
              </w:rPr>
            </w:pPr>
            <w:r w:rsidRPr="00EB1471">
              <w:rPr>
                <w:b/>
              </w:rPr>
              <w:t>(N=NR)</w:t>
            </w:r>
          </w:p>
        </w:tc>
        <w:tc>
          <w:tcPr>
            <w:tcW w:w="1134" w:type="dxa"/>
            <w:shd w:val="clear" w:color="auto" w:fill="BFBFBF" w:themeFill="background1" w:themeFillShade="BF"/>
          </w:tcPr>
          <w:p w:rsidR="001D0FDA" w:rsidRPr="00EB1471" w:rsidRDefault="001D0FDA" w:rsidP="001D0FDA">
            <w:pPr>
              <w:pStyle w:val="TableText0"/>
              <w:spacing w:before="20" w:after="20"/>
              <w:jc w:val="center"/>
              <w:rPr>
                <w:b/>
              </w:rPr>
            </w:pPr>
            <w:r w:rsidRPr="00EB1471">
              <w:rPr>
                <w:b/>
              </w:rPr>
              <w:t>McLaughlin 2002</w:t>
            </w:r>
          </w:p>
          <w:p w:rsidR="001D0FDA" w:rsidRPr="00EB1471" w:rsidRDefault="001D0FDA" w:rsidP="001D0FDA">
            <w:pPr>
              <w:pStyle w:val="TableText0"/>
              <w:spacing w:before="20" w:after="20"/>
              <w:jc w:val="center"/>
              <w:rPr>
                <w:b/>
              </w:rPr>
            </w:pPr>
            <w:r w:rsidRPr="00EB1471">
              <w:rPr>
                <w:b/>
              </w:rPr>
              <w:t>(N=162)</w:t>
            </w:r>
          </w:p>
        </w:tc>
        <w:tc>
          <w:tcPr>
            <w:tcW w:w="992" w:type="dxa"/>
            <w:shd w:val="clear" w:color="auto" w:fill="BFBFBF" w:themeFill="background1" w:themeFillShade="BF"/>
          </w:tcPr>
          <w:p w:rsidR="001D0FDA" w:rsidRPr="00EB1471" w:rsidRDefault="001D0FDA" w:rsidP="001D0FDA">
            <w:pPr>
              <w:pStyle w:val="TableText0"/>
              <w:spacing w:before="20" w:after="20"/>
              <w:jc w:val="center"/>
              <w:rPr>
                <w:b/>
              </w:rPr>
            </w:pPr>
            <w:r w:rsidRPr="00EB1471">
              <w:rPr>
                <w:b/>
              </w:rPr>
              <w:t>Oudiz 2004</w:t>
            </w:r>
          </w:p>
          <w:p w:rsidR="001D0FDA" w:rsidRPr="00EB1471" w:rsidRDefault="001D0FDA" w:rsidP="001D0FDA">
            <w:pPr>
              <w:pStyle w:val="TableText0"/>
              <w:spacing w:before="20" w:after="20"/>
              <w:jc w:val="center"/>
              <w:rPr>
                <w:b/>
              </w:rPr>
            </w:pPr>
            <w:r w:rsidRPr="00EB1471">
              <w:rPr>
                <w:b/>
              </w:rPr>
              <w:t>(N=192)</w:t>
            </w:r>
          </w:p>
        </w:tc>
        <w:tc>
          <w:tcPr>
            <w:tcW w:w="992" w:type="dxa"/>
            <w:shd w:val="clear" w:color="auto" w:fill="BFBFBF" w:themeFill="background1" w:themeFillShade="BF"/>
          </w:tcPr>
          <w:p w:rsidR="001D0FDA" w:rsidRPr="00EB1471" w:rsidRDefault="001D0FDA" w:rsidP="001D0FDA">
            <w:pPr>
              <w:pStyle w:val="TableText0"/>
              <w:spacing w:before="20" w:after="20"/>
              <w:jc w:val="center"/>
              <w:rPr>
                <w:b/>
              </w:rPr>
            </w:pPr>
            <w:r w:rsidRPr="00EB1471">
              <w:rPr>
                <w:b/>
              </w:rPr>
              <w:t>Sitbon 2002</w:t>
            </w:r>
          </w:p>
          <w:p w:rsidR="001D0FDA" w:rsidRPr="00EB1471" w:rsidRDefault="001D0FDA" w:rsidP="001D0FDA">
            <w:pPr>
              <w:pStyle w:val="TableText0"/>
              <w:spacing w:before="20" w:after="20"/>
              <w:jc w:val="center"/>
              <w:rPr>
                <w:b/>
              </w:rPr>
            </w:pPr>
            <w:r w:rsidRPr="00EB1471">
              <w:rPr>
                <w:b/>
              </w:rPr>
              <w:t>(N=178)</w:t>
            </w:r>
          </w:p>
        </w:tc>
        <w:tc>
          <w:tcPr>
            <w:tcW w:w="1134" w:type="dxa"/>
            <w:shd w:val="clear" w:color="auto" w:fill="BFBFBF" w:themeFill="background1" w:themeFillShade="BF"/>
          </w:tcPr>
          <w:p w:rsidR="001D0FDA" w:rsidRPr="00EB1471" w:rsidRDefault="001D0FDA" w:rsidP="001D0FDA">
            <w:pPr>
              <w:pStyle w:val="TableText0"/>
              <w:spacing w:before="20" w:after="20"/>
              <w:jc w:val="center"/>
              <w:rPr>
                <w:b/>
              </w:rPr>
            </w:pPr>
            <w:r w:rsidRPr="00EB1471">
              <w:rPr>
                <w:b/>
              </w:rPr>
              <w:t>VA1A4001 extension study</w:t>
            </w:r>
          </w:p>
          <w:p w:rsidR="001D0FDA" w:rsidRPr="00EB1471" w:rsidRDefault="001D0FDA" w:rsidP="001D0FDA">
            <w:pPr>
              <w:pStyle w:val="TableText0"/>
              <w:spacing w:before="20" w:after="20"/>
              <w:jc w:val="center"/>
              <w:rPr>
                <w:b/>
              </w:rPr>
            </w:pPr>
            <w:r w:rsidRPr="00EB1471">
              <w:rPr>
                <w:b/>
              </w:rPr>
              <w:t>(N=97)</w:t>
            </w:r>
          </w:p>
        </w:tc>
      </w:tr>
      <w:tr w:rsidR="001D0FDA" w:rsidRPr="00EB1471" w:rsidTr="001D0FDA">
        <w:tc>
          <w:tcPr>
            <w:tcW w:w="2122" w:type="dxa"/>
          </w:tcPr>
          <w:p w:rsidR="001D0FDA" w:rsidRPr="00EB1471" w:rsidRDefault="001D0FDA" w:rsidP="001D0FDA">
            <w:pPr>
              <w:pStyle w:val="TableText0"/>
              <w:spacing w:before="20" w:after="20"/>
            </w:pPr>
            <w:r w:rsidRPr="00EB1471">
              <w:t>Any AEs</w:t>
            </w:r>
          </w:p>
        </w:tc>
        <w:tc>
          <w:tcPr>
            <w:tcW w:w="1134" w:type="dxa"/>
            <w:vAlign w:val="center"/>
          </w:tcPr>
          <w:p w:rsidR="001D0FDA" w:rsidRPr="00EB1471" w:rsidRDefault="001D0FDA" w:rsidP="001D0FDA">
            <w:pPr>
              <w:pStyle w:val="TableText0"/>
              <w:spacing w:before="20" w:after="20"/>
              <w:jc w:val="center"/>
            </w:pPr>
            <w:r w:rsidRPr="00EB1471">
              <w:t>NR</w:t>
            </w:r>
          </w:p>
        </w:tc>
        <w:tc>
          <w:tcPr>
            <w:tcW w:w="1134" w:type="dxa"/>
            <w:vAlign w:val="center"/>
          </w:tcPr>
          <w:p w:rsidR="001D0FDA" w:rsidRPr="00EB1471" w:rsidRDefault="001D0FDA" w:rsidP="001D0FDA">
            <w:pPr>
              <w:pStyle w:val="TableText0"/>
              <w:spacing w:before="20" w:after="20"/>
              <w:jc w:val="center"/>
            </w:pPr>
            <w:r w:rsidRPr="00EB1471">
              <w:t>NR</w:t>
            </w:r>
          </w:p>
        </w:tc>
        <w:tc>
          <w:tcPr>
            <w:tcW w:w="992" w:type="dxa"/>
            <w:vAlign w:val="center"/>
          </w:tcPr>
          <w:p w:rsidR="001D0FDA" w:rsidRPr="00EB1471" w:rsidRDefault="001D0FDA" w:rsidP="001D0FDA">
            <w:pPr>
              <w:pStyle w:val="TableText0"/>
              <w:spacing w:before="20" w:after="20"/>
              <w:jc w:val="center"/>
            </w:pPr>
            <w:r w:rsidRPr="00EB1471">
              <w:t>NR</w:t>
            </w:r>
          </w:p>
        </w:tc>
        <w:tc>
          <w:tcPr>
            <w:tcW w:w="1134" w:type="dxa"/>
            <w:vAlign w:val="center"/>
          </w:tcPr>
          <w:p w:rsidR="001D0FDA" w:rsidRPr="00EB1471" w:rsidRDefault="001D0FDA" w:rsidP="001D0FDA">
            <w:pPr>
              <w:pStyle w:val="TableText0"/>
              <w:spacing w:before="20" w:after="20"/>
              <w:jc w:val="center"/>
            </w:pPr>
            <w:r w:rsidRPr="00EB1471">
              <w:t>NR</w:t>
            </w:r>
          </w:p>
        </w:tc>
        <w:tc>
          <w:tcPr>
            <w:tcW w:w="992" w:type="dxa"/>
            <w:vAlign w:val="center"/>
          </w:tcPr>
          <w:p w:rsidR="001D0FDA" w:rsidRPr="00EB1471" w:rsidRDefault="001D0FDA" w:rsidP="001D0FDA">
            <w:pPr>
              <w:pStyle w:val="TableText0"/>
              <w:spacing w:before="20" w:after="20"/>
              <w:jc w:val="center"/>
            </w:pPr>
            <w:r w:rsidRPr="00EB1471">
              <w:t>NR</w:t>
            </w:r>
          </w:p>
        </w:tc>
        <w:tc>
          <w:tcPr>
            <w:tcW w:w="992" w:type="dxa"/>
            <w:vAlign w:val="center"/>
          </w:tcPr>
          <w:p w:rsidR="001D0FDA" w:rsidRPr="00EB1471" w:rsidRDefault="001D0FDA" w:rsidP="001D0FDA">
            <w:pPr>
              <w:pStyle w:val="TableText0"/>
              <w:spacing w:before="20" w:after="20"/>
              <w:jc w:val="center"/>
            </w:pPr>
            <w:r w:rsidRPr="00EB1471">
              <w:t>NR</w:t>
            </w:r>
          </w:p>
        </w:tc>
        <w:tc>
          <w:tcPr>
            <w:tcW w:w="1134" w:type="dxa"/>
            <w:vAlign w:val="center"/>
          </w:tcPr>
          <w:p w:rsidR="001D0FDA" w:rsidRPr="00EB1471" w:rsidRDefault="001D0FDA" w:rsidP="001D0FDA">
            <w:pPr>
              <w:pStyle w:val="TableText0"/>
              <w:spacing w:before="20" w:after="20"/>
              <w:jc w:val="center"/>
            </w:pPr>
            <w:r w:rsidRPr="00EB1471">
              <w:t>97 (100%)</w:t>
            </w:r>
          </w:p>
        </w:tc>
      </w:tr>
      <w:tr w:rsidR="001D0FDA" w:rsidRPr="00EB1471" w:rsidTr="001D0FDA">
        <w:tc>
          <w:tcPr>
            <w:tcW w:w="2122" w:type="dxa"/>
          </w:tcPr>
          <w:p w:rsidR="001D0FDA" w:rsidRPr="00EB1471" w:rsidRDefault="001D0FDA" w:rsidP="001D0FDA">
            <w:pPr>
              <w:pStyle w:val="TableText0"/>
              <w:spacing w:before="20" w:after="20"/>
            </w:pPr>
            <w:r w:rsidRPr="00EB1471">
              <w:t>Serious AEs</w:t>
            </w:r>
          </w:p>
        </w:tc>
        <w:tc>
          <w:tcPr>
            <w:tcW w:w="1134" w:type="dxa"/>
            <w:vAlign w:val="center"/>
          </w:tcPr>
          <w:p w:rsidR="001D0FDA" w:rsidRPr="00EB1471" w:rsidRDefault="001D0FDA" w:rsidP="001D0FDA">
            <w:pPr>
              <w:pStyle w:val="TableText0"/>
              <w:spacing w:before="20" w:after="20"/>
              <w:jc w:val="center"/>
            </w:pPr>
            <w:r w:rsidRPr="00EB1471">
              <w:t>NR</w:t>
            </w:r>
          </w:p>
        </w:tc>
        <w:tc>
          <w:tcPr>
            <w:tcW w:w="1134" w:type="dxa"/>
            <w:vAlign w:val="center"/>
          </w:tcPr>
          <w:p w:rsidR="001D0FDA" w:rsidRPr="00EB1471" w:rsidRDefault="001D0FDA" w:rsidP="001D0FDA">
            <w:pPr>
              <w:pStyle w:val="TableText0"/>
              <w:spacing w:before="20" w:after="20"/>
              <w:jc w:val="center"/>
            </w:pPr>
            <w:r w:rsidRPr="00EB1471">
              <w:t>NR</w:t>
            </w:r>
          </w:p>
        </w:tc>
        <w:tc>
          <w:tcPr>
            <w:tcW w:w="992" w:type="dxa"/>
            <w:vAlign w:val="center"/>
          </w:tcPr>
          <w:p w:rsidR="001D0FDA" w:rsidRPr="00EB1471" w:rsidRDefault="001D0FDA" w:rsidP="001D0FDA">
            <w:pPr>
              <w:pStyle w:val="TableText0"/>
              <w:spacing w:before="20" w:after="20"/>
              <w:jc w:val="center"/>
            </w:pPr>
            <w:r w:rsidRPr="00EB1471">
              <w:t>NR</w:t>
            </w:r>
          </w:p>
        </w:tc>
        <w:tc>
          <w:tcPr>
            <w:tcW w:w="1134" w:type="dxa"/>
            <w:vAlign w:val="center"/>
          </w:tcPr>
          <w:p w:rsidR="001D0FDA" w:rsidRPr="00EB1471" w:rsidRDefault="001D0FDA" w:rsidP="001D0FDA">
            <w:pPr>
              <w:pStyle w:val="TableText0"/>
              <w:spacing w:before="20" w:after="20"/>
              <w:jc w:val="center"/>
            </w:pPr>
            <w:r w:rsidRPr="00EB1471">
              <w:t>NR</w:t>
            </w:r>
          </w:p>
        </w:tc>
        <w:tc>
          <w:tcPr>
            <w:tcW w:w="992" w:type="dxa"/>
            <w:vAlign w:val="center"/>
          </w:tcPr>
          <w:p w:rsidR="001D0FDA" w:rsidRPr="00EB1471" w:rsidRDefault="001D0FDA" w:rsidP="001D0FDA">
            <w:pPr>
              <w:pStyle w:val="TableText0"/>
              <w:spacing w:before="20" w:after="20"/>
              <w:jc w:val="center"/>
            </w:pPr>
            <w:r w:rsidRPr="00EB1471">
              <w:t>NR</w:t>
            </w:r>
          </w:p>
        </w:tc>
        <w:tc>
          <w:tcPr>
            <w:tcW w:w="992" w:type="dxa"/>
            <w:vAlign w:val="center"/>
          </w:tcPr>
          <w:p w:rsidR="001D0FDA" w:rsidRPr="00EB1471" w:rsidRDefault="001D0FDA" w:rsidP="001D0FDA">
            <w:pPr>
              <w:pStyle w:val="TableText0"/>
              <w:spacing w:before="20" w:after="20"/>
              <w:jc w:val="center"/>
            </w:pPr>
            <w:r w:rsidRPr="00EB1471">
              <w:t>NR</w:t>
            </w:r>
          </w:p>
        </w:tc>
        <w:tc>
          <w:tcPr>
            <w:tcW w:w="1134" w:type="dxa"/>
            <w:vAlign w:val="center"/>
          </w:tcPr>
          <w:p w:rsidR="001D0FDA" w:rsidRPr="00EB1471" w:rsidRDefault="001D0FDA" w:rsidP="001D0FDA">
            <w:pPr>
              <w:pStyle w:val="TableText0"/>
              <w:spacing w:before="20" w:after="20"/>
              <w:jc w:val="center"/>
            </w:pPr>
            <w:r w:rsidRPr="00EB1471">
              <w:t>66 (68%)</w:t>
            </w:r>
          </w:p>
        </w:tc>
      </w:tr>
      <w:tr w:rsidR="001D0FDA" w:rsidRPr="00EB1471" w:rsidTr="001D0FDA">
        <w:tc>
          <w:tcPr>
            <w:tcW w:w="2122" w:type="dxa"/>
          </w:tcPr>
          <w:p w:rsidR="001D0FDA" w:rsidRPr="00EB1471" w:rsidRDefault="001D0FDA" w:rsidP="001D0FDA">
            <w:pPr>
              <w:pStyle w:val="TableText0"/>
              <w:spacing w:before="20" w:after="20"/>
            </w:pPr>
            <w:r w:rsidRPr="00EB1471">
              <w:t>AEs leading to study withdrawal</w:t>
            </w:r>
          </w:p>
        </w:tc>
        <w:tc>
          <w:tcPr>
            <w:tcW w:w="1134" w:type="dxa"/>
            <w:vAlign w:val="center"/>
          </w:tcPr>
          <w:p w:rsidR="001D0FDA" w:rsidRPr="00EB1471" w:rsidRDefault="001D0FDA" w:rsidP="001D0FDA">
            <w:pPr>
              <w:pStyle w:val="TableText0"/>
              <w:spacing w:before="20" w:after="20"/>
              <w:jc w:val="center"/>
            </w:pPr>
            <w:r w:rsidRPr="00EB1471">
              <w:t>NR</w:t>
            </w:r>
          </w:p>
        </w:tc>
        <w:tc>
          <w:tcPr>
            <w:tcW w:w="1134" w:type="dxa"/>
            <w:vAlign w:val="center"/>
          </w:tcPr>
          <w:p w:rsidR="001D0FDA" w:rsidRPr="00EB1471" w:rsidRDefault="001D0FDA" w:rsidP="001D0FDA">
            <w:pPr>
              <w:pStyle w:val="TableText0"/>
              <w:spacing w:before="20" w:after="20"/>
              <w:jc w:val="center"/>
            </w:pPr>
            <w:r w:rsidRPr="00EB1471">
              <w:t>NR</w:t>
            </w:r>
          </w:p>
        </w:tc>
        <w:tc>
          <w:tcPr>
            <w:tcW w:w="992" w:type="dxa"/>
            <w:vAlign w:val="center"/>
          </w:tcPr>
          <w:p w:rsidR="001D0FDA" w:rsidRPr="00EB1471" w:rsidRDefault="001D0FDA" w:rsidP="001D0FDA">
            <w:pPr>
              <w:pStyle w:val="TableText0"/>
              <w:spacing w:before="20" w:after="20"/>
              <w:jc w:val="center"/>
            </w:pPr>
            <w:r w:rsidRPr="00EB1471">
              <w:t>NR</w:t>
            </w:r>
          </w:p>
        </w:tc>
        <w:tc>
          <w:tcPr>
            <w:tcW w:w="1134" w:type="dxa"/>
            <w:vAlign w:val="center"/>
          </w:tcPr>
          <w:p w:rsidR="001D0FDA" w:rsidRPr="00EB1471" w:rsidRDefault="001D0FDA" w:rsidP="001D0FDA">
            <w:pPr>
              <w:pStyle w:val="TableText0"/>
              <w:spacing w:before="20" w:after="20"/>
              <w:jc w:val="center"/>
            </w:pPr>
            <w:r w:rsidRPr="00EB1471">
              <w:t>NR</w:t>
            </w:r>
          </w:p>
        </w:tc>
        <w:tc>
          <w:tcPr>
            <w:tcW w:w="992" w:type="dxa"/>
            <w:vAlign w:val="center"/>
          </w:tcPr>
          <w:p w:rsidR="001D0FDA" w:rsidRPr="00EB1471" w:rsidRDefault="001D0FDA" w:rsidP="001D0FDA">
            <w:pPr>
              <w:pStyle w:val="TableText0"/>
              <w:spacing w:before="20" w:after="20"/>
              <w:jc w:val="center"/>
            </w:pPr>
            <w:r w:rsidRPr="00EB1471">
              <w:t>NR</w:t>
            </w:r>
          </w:p>
        </w:tc>
        <w:tc>
          <w:tcPr>
            <w:tcW w:w="992" w:type="dxa"/>
            <w:vAlign w:val="center"/>
          </w:tcPr>
          <w:p w:rsidR="001D0FDA" w:rsidRPr="00EB1471" w:rsidRDefault="001D0FDA" w:rsidP="001D0FDA">
            <w:pPr>
              <w:pStyle w:val="TableText0"/>
              <w:spacing w:before="20" w:after="20"/>
              <w:jc w:val="center"/>
            </w:pPr>
            <w:r w:rsidRPr="00EB1471">
              <w:t>NR</w:t>
            </w:r>
          </w:p>
        </w:tc>
        <w:tc>
          <w:tcPr>
            <w:tcW w:w="1134" w:type="dxa"/>
            <w:vAlign w:val="center"/>
          </w:tcPr>
          <w:p w:rsidR="001D0FDA" w:rsidRPr="00EB1471" w:rsidRDefault="001D0FDA" w:rsidP="001D0FDA">
            <w:pPr>
              <w:pStyle w:val="TableText0"/>
              <w:spacing w:before="20" w:after="20"/>
              <w:jc w:val="center"/>
            </w:pPr>
            <w:r w:rsidRPr="00EB1471">
              <w:t>2 (2%)</w:t>
            </w:r>
          </w:p>
        </w:tc>
      </w:tr>
      <w:tr w:rsidR="001D0FDA" w:rsidRPr="00EB1471" w:rsidTr="001D0FDA">
        <w:tc>
          <w:tcPr>
            <w:tcW w:w="2122" w:type="dxa"/>
            <w:tcBorders>
              <w:bottom w:val="single" w:sz="4" w:space="0" w:color="auto"/>
            </w:tcBorders>
          </w:tcPr>
          <w:p w:rsidR="001D0FDA" w:rsidRPr="00EB1471" w:rsidRDefault="001D0FDA" w:rsidP="001D0FDA">
            <w:pPr>
              <w:pStyle w:val="TableText0"/>
              <w:spacing w:before="20" w:after="20"/>
            </w:pPr>
            <w:r w:rsidRPr="00EB1471">
              <w:t>Death due to drug-related AEs</w:t>
            </w:r>
          </w:p>
        </w:tc>
        <w:tc>
          <w:tcPr>
            <w:tcW w:w="1134" w:type="dxa"/>
            <w:tcBorders>
              <w:bottom w:val="single" w:sz="4" w:space="0" w:color="auto"/>
            </w:tcBorders>
            <w:vAlign w:val="center"/>
          </w:tcPr>
          <w:p w:rsidR="001D0FDA" w:rsidRPr="00EB1471" w:rsidRDefault="001D0FDA" w:rsidP="001D0FDA">
            <w:pPr>
              <w:pStyle w:val="TableText0"/>
              <w:spacing w:before="20" w:after="20"/>
              <w:jc w:val="center"/>
            </w:pPr>
            <w:r w:rsidRPr="00EB1471">
              <w:t>NR</w:t>
            </w:r>
          </w:p>
        </w:tc>
        <w:tc>
          <w:tcPr>
            <w:tcW w:w="1134" w:type="dxa"/>
            <w:tcBorders>
              <w:bottom w:val="single" w:sz="4" w:space="0" w:color="auto"/>
            </w:tcBorders>
            <w:vAlign w:val="center"/>
          </w:tcPr>
          <w:p w:rsidR="001D0FDA" w:rsidRPr="00EB1471" w:rsidRDefault="001D0FDA" w:rsidP="001D0FDA">
            <w:pPr>
              <w:pStyle w:val="TableText0"/>
              <w:spacing w:before="20" w:after="20"/>
              <w:jc w:val="center"/>
            </w:pPr>
            <w:r w:rsidRPr="00EB1471">
              <w:t>NR</w:t>
            </w:r>
          </w:p>
        </w:tc>
        <w:tc>
          <w:tcPr>
            <w:tcW w:w="992" w:type="dxa"/>
            <w:tcBorders>
              <w:bottom w:val="single" w:sz="4" w:space="0" w:color="auto"/>
            </w:tcBorders>
            <w:vAlign w:val="center"/>
          </w:tcPr>
          <w:p w:rsidR="001D0FDA" w:rsidRPr="00EB1471" w:rsidRDefault="001D0FDA" w:rsidP="001D0FDA">
            <w:pPr>
              <w:pStyle w:val="TableText0"/>
              <w:spacing w:before="20" w:after="20"/>
              <w:jc w:val="center"/>
            </w:pPr>
            <w:r w:rsidRPr="00EB1471">
              <w:t>NR</w:t>
            </w:r>
          </w:p>
        </w:tc>
        <w:tc>
          <w:tcPr>
            <w:tcW w:w="1134" w:type="dxa"/>
            <w:tcBorders>
              <w:bottom w:val="single" w:sz="4" w:space="0" w:color="auto"/>
            </w:tcBorders>
            <w:vAlign w:val="center"/>
          </w:tcPr>
          <w:p w:rsidR="001D0FDA" w:rsidRPr="00EB1471" w:rsidRDefault="001D0FDA" w:rsidP="001D0FDA">
            <w:pPr>
              <w:pStyle w:val="TableText0"/>
              <w:spacing w:before="20" w:after="20"/>
              <w:jc w:val="center"/>
            </w:pPr>
            <w:r w:rsidRPr="00EB1471">
              <w:t>NR</w:t>
            </w:r>
          </w:p>
        </w:tc>
        <w:tc>
          <w:tcPr>
            <w:tcW w:w="992" w:type="dxa"/>
            <w:tcBorders>
              <w:bottom w:val="single" w:sz="4" w:space="0" w:color="auto"/>
            </w:tcBorders>
            <w:vAlign w:val="center"/>
          </w:tcPr>
          <w:p w:rsidR="001D0FDA" w:rsidRPr="00EB1471" w:rsidRDefault="001D0FDA" w:rsidP="001D0FDA">
            <w:pPr>
              <w:pStyle w:val="TableText0"/>
              <w:spacing w:before="20" w:after="20"/>
              <w:jc w:val="center"/>
            </w:pPr>
            <w:r w:rsidRPr="00EB1471">
              <w:t>NR</w:t>
            </w:r>
          </w:p>
        </w:tc>
        <w:tc>
          <w:tcPr>
            <w:tcW w:w="992" w:type="dxa"/>
            <w:tcBorders>
              <w:bottom w:val="single" w:sz="4" w:space="0" w:color="auto"/>
            </w:tcBorders>
            <w:vAlign w:val="center"/>
          </w:tcPr>
          <w:p w:rsidR="001D0FDA" w:rsidRPr="00EB1471" w:rsidRDefault="001D0FDA" w:rsidP="001D0FDA">
            <w:pPr>
              <w:pStyle w:val="TableText0"/>
              <w:spacing w:before="20" w:after="20"/>
              <w:jc w:val="center"/>
            </w:pPr>
            <w:r w:rsidRPr="00EB1471">
              <w:t>NR</w:t>
            </w:r>
          </w:p>
        </w:tc>
        <w:tc>
          <w:tcPr>
            <w:tcW w:w="1134" w:type="dxa"/>
            <w:tcBorders>
              <w:bottom w:val="single" w:sz="4" w:space="0" w:color="auto"/>
            </w:tcBorders>
            <w:vAlign w:val="center"/>
          </w:tcPr>
          <w:p w:rsidR="001D0FDA" w:rsidRPr="00EB1471" w:rsidRDefault="001D0FDA" w:rsidP="001D0FDA">
            <w:pPr>
              <w:pStyle w:val="TableText0"/>
              <w:spacing w:before="20" w:after="20"/>
              <w:jc w:val="center"/>
            </w:pPr>
            <w:r w:rsidRPr="00EB1471">
              <w:t>0 (0%)</w:t>
            </w:r>
          </w:p>
        </w:tc>
      </w:tr>
      <w:tr w:rsidR="001D0FDA" w:rsidRPr="00EB1471" w:rsidTr="001D0FDA">
        <w:tc>
          <w:tcPr>
            <w:tcW w:w="2122" w:type="dxa"/>
            <w:tcBorders>
              <w:bottom w:val="nil"/>
            </w:tcBorders>
          </w:tcPr>
          <w:p w:rsidR="001D0FDA" w:rsidRPr="00EB1471" w:rsidRDefault="001D0FDA" w:rsidP="001D0FDA">
            <w:pPr>
              <w:pStyle w:val="TableText0"/>
              <w:spacing w:before="20" w:after="20"/>
            </w:pPr>
            <w:r w:rsidRPr="00EB1471">
              <w:t>Any AEs related to drug delivery system</w:t>
            </w:r>
          </w:p>
        </w:tc>
        <w:tc>
          <w:tcPr>
            <w:tcW w:w="1134" w:type="dxa"/>
            <w:tcBorders>
              <w:bottom w:val="nil"/>
            </w:tcBorders>
            <w:vAlign w:val="center"/>
          </w:tcPr>
          <w:p w:rsidR="001D0FDA" w:rsidRPr="00EB1471" w:rsidRDefault="001D0FDA" w:rsidP="001D0FDA">
            <w:pPr>
              <w:pStyle w:val="TableText0"/>
              <w:spacing w:before="20" w:after="20"/>
              <w:jc w:val="center"/>
            </w:pPr>
            <w:r w:rsidRPr="00EB1471">
              <w:t>73 (66%)</w:t>
            </w:r>
          </w:p>
        </w:tc>
        <w:tc>
          <w:tcPr>
            <w:tcW w:w="1134" w:type="dxa"/>
            <w:tcBorders>
              <w:bottom w:val="nil"/>
            </w:tcBorders>
            <w:vAlign w:val="center"/>
          </w:tcPr>
          <w:p w:rsidR="001D0FDA" w:rsidRPr="00EB1471" w:rsidRDefault="001D0FDA" w:rsidP="001D0FDA">
            <w:pPr>
              <w:pStyle w:val="TableText0"/>
              <w:spacing w:before="20" w:after="20"/>
              <w:jc w:val="center"/>
            </w:pPr>
            <w:r w:rsidRPr="00EB1471">
              <w:t>NR</w:t>
            </w:r>
          </w:p>
        </w:tc>
        <w:tc>
          <w:tcPr>
            <w:tcW w:w="992" w:type="dxa"/>
            <w:tcBorders>
              <w:bottom w:val="nil"/>
            </w:tcBorders>
            <w:vAlign w:val="center"/>
          </w:tcPr>
          <w:p w:rsidR="001D0FDA" w:rsidRPr="00EB1471" w:rsidRDefault="001D0FDA" w:rsidP="001D0FDA">
            <w:pPr>
              <w:pStyle w:val="TableText0"/>
              <w:spacing w:before="20" w:after="20"/>
              <w:jc w:val="center"/>
            </w:pPr>
            <w:r w:rsidRPr="00EB1471">
              <w:t>NR</w:t>
            </w:r>
          </w:p>
        </w:tc>
        <w:tc>
          <w:tcPr>
            <w:tcW w:w="1134" w:type="dxa"/>
            <w:tcBorders>
              <w:bottom w:val="nil"/>
            </w:tcBorders>
            <w:vAlign w:val="center"/>
          </w:tcPr>
          <w:p w:rsidR="001D0FDA" w:rsidRPr="00EB1471" w:rsidRDefault="001D0FDA" w:rsidP="001D0FDA">
            <w:pPr>
              <w:pStyle w:val="TableText0"/>
              <w:spacing w:before="20" w:after="20"/>
              <w:jc w:val="center"/>
            </w:pPr>
            <w:r w:rsidRPr="00EB1471">
              <w:t>NR</w:t>
            </w:r>
          </w:p>
        </w:tc>
        <w:tc>
          <w:tcPr>
            <w:tcW w:w="992" w:type="dxa"/>
            <w:tcBorders>
              <w:bottom w:val="nil"/>
            </w:tcBorders>
            <w:vAlign w:val="center"/>
          </w:tcPr>
          <w:p w:rsidR="001D0FDA" w:rsidRPr="00EB1471" w:rsidRDefault="001D0FDA" w:rsidP="001D0FDA">
            <w:pPr>
              <w:pStyle w:val="TableText0"/>
              <w:spacing w:before="20" w:after="20"/>
              <w:jc w:val="center"/>
            </w:pPr>
            <w:r w:rsidRPr="00EB1471">
              <w:t>NR</w:t>
            </w:r>
          </w:p>
        </w:tc>
        <w:tc>
          <w:tcPr>
            <w:tcW w:w="992" w:type="dxa"/>
            <w:tcBorders>
              <w:bottom w:val="nil"/>
            </w:tcBorders>
            <w:vAlign w:val="center"/>
          </w:tcPr>
          <w:p w:rsidR="001D0FDA" w:rsidRPr="00EB1471" w:rsidRDefault="001D0FDA" w:rsidP="001D0FDA">
            <w:pPr>
              <w:pStyle w:val="TableText0"/>
              <w:spacing w:before="20" w:after="20"/>
              <w:jc w:val="center"/>
            </w:pPr>
            <w:r w:rsidRPr="00EB1471">
              <w:t>NR</w:t>
            </w:r>
          </w:p>
        </w:tc>
        <w:tc>
          <w:tcPr>
            <w:tcW w:w="1134" w:type="dxa"/>
            <w:tcBorders>
              <w:bottom w:val="nil"/>
            </w:tcBorders>
            <w:vAlign w:val="center"/>
          </w:tcPr>
          <w:p w:rsidR="001D0FDA" w:rsidRPr="00EB1471" w:rsidRDefault="001D0FDA" w:rsidP="001D0FDA">
            <w:pPr>
              <w:pStyle w:val="TableText0"/>
              <w:spacing w:before="20" w:after="20"/>
              <w:jc w:val="center"/>
            </w:pPr>
            <w:r w:rsidRPr="00EB1471">
              <w:t>NR</w:t>
            </w:r>
          </w:p>
        </w:tc>
      </w:tr>
      <w:tr w:rsidR="001D0FDA" w:rsidRPr="00EB1471" w:rsidTr="001D0FDA">
        <w:tc>
          <w:tcPr>
            <w:tcW w:w="2122" w:type="dxa"/>
            <w:tcBorders>
              <w:top w:val="nil"/>
              <w:bottom w:val="nil"/>
            </w:tcBorders>
          </w:tcPr>
          <w:p w:rsidR="001D0FDA" w:rsidRPr="00EB1471" w:rsidRDefault="001D0FDA" w:rsidP="001D0FDA">
            <w:pPr>
              <w:pStyle w:val="TableText0"/>
              <w:spacing w:before="20" w:after="20"/>
              <w:ind w:left="171"/>
            </w:pPr>
            <w:r w:rsidRPr="00EB1471">
              <w:t>Local port site infection</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0.11 ppy</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0.24 ppy</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NR</w:t>
            </w:r>
          </w:p>
        </w:tc>
      </w:tr>
      <w:tr w:rsidR="001D0FDA" w:rsidRPr="00EB1471" w:rsidTr="001D0FDA">
        <w:tc>
          <w:tcPr>
            <w:tcW w:w="2122" w:type="dxa"/>
            <w:tcBorders>
              <w:top w:val="nil"/>
              <w:bottom w:val="nil"/>
            </w:tcBorders>
          </w:tcPr>
          <w:p w:rsidR="001D0FDA" w:rsidRPr="00EB1471" w:rsidRDefault="001D0FDA" w:rsidP="001D0FDA">
            <w:pPr>
              <w:pStyle w:val="TableText0"/>
              <w:spacing w:before="20" w:after="20"/>
              <w:ind w:left="171"/>
            </w:pPr>
            <w:r w:rsidRPr="00EB1471">
              <w:t>Bloodstream infection</w:t>
            </w:r>
            <w:r w:rsidRPr="00EB1471">
              <w:rPr>
                <w:vertAlign w:val="superscript"/>
              </w:rPr>
              <w:t>a</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0.15 ppy</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0.15 ppy</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0.04 ppy</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0.06 ppy</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NR</w:t>
            </w:r>
          </w:p>
        </w:tc>
      </w:tr>
      <w:tr w:rsidR="001D0FDA" w:rsidRPr="00EB1471" w:rsidTr="001D0FDA">
        <w:tc>
          <w:tcPr>
            <w:tcW w:w="2122" w:type="dxa"/>
            <w:tcBorders>
              <w:top w:val="nil"/>
              <w:bottom w:val="nil"/>
            </w:tcBorders>
          </w:tcPr>
          <w:p w:rsidR="001D0FDA" w:rsidRPr="00EB1471" w:rsidRDefault="001D0FDA" w:rsidP="001D0FDA">
            <w:pPr>
              <w:pStyle w:val="TableText0"/>
              <w:spacing w:before="20" w:after="20"/>
              <w:ind w:left="171"/>
            </w:pPr>
            <w:r w:rsidRPr="00EB1471">
              <w:t>Sepsis</w:t>
            </w:r>
            <w:r w:rsidRPr="00EB1471">
              <w:rPr>
                <w:vertAlign w:val="superscript"/>
              </w:rPr>
              <w:t>a</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0.02 ppy</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0.14 ppy</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0.19 ppy</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NR</w:t>
            </w:r>
          </w:p>
        </w:tc>
      </w:tr>
      <w:tr w:rsidR="001D0FDA" w:rsidRPr="00EB1471" w:rsidTr="001D0FDA">
        <w:tc>
          <w:tcPr>
            <w:tcW w:w="2122" w:type="dxa"/>
            <w:tcBorders>
              <w:top w:val="nil"/>
              <w:bottom w:val="nil"/>
            </w:tcBorders>
          </w:tcPr>
          <w:p w:rsidR="001D0FDA" w:rsidRPr="00EB1471" w:rsidRDefault="001D0FDA" w:rsidP="001D0FDA">
            <w:pPr>
              <w:pStyle w:val="TableText0"/>
              <w:spacing w:before="20" w:after="20"/>
              <w:ind w:left="171"/>
            </w:pPr>
            <w:r w:rsidRPr="00EB1471">
              <w:t xml:space="preserve">Catheter replacement or removal required </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0.15 ppy</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0.31 ppy</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NR</w:t>
            </w:r>
          </w:p>
        </w:tc>
      </w:tr>
      <w:tr w:rsidR="001D0FDA" w:rsidRPr="00EB1471" w:rsidTr="001D0FDA">
        <w:tc>
          <w:tcPr>
            <w:tcW w:w="2122" w:type="dxa"/>
            <w:tcBorders>
              <w:top w:val="nil"/>
            </w:tcBorders>
          </w:tcPr>
          <w:p w:rsidR="001D0FDA" w:rsidRPr="00EB1471" w:rsidRDefault="001D0FDA" w:rsidP="001D0FDA">
            <w:pPr>
              <w:pStyle w:val="TableText0"/>
              <w:spacing w:before="20" w:after="20"/>
              <w:ind w:left="171"/>
            </w:pPr>
            <w:r w:rsidRPr="00EB1471">
              <w:t>Death related to drug delivery system</w:t>
            </w:r>
          </w:p>
        </w:tc>
        <w:tc>
          <w:tcPr>
            <w:tcW w:w="1134" w:type="dxa"/>
            <w:tcBorders>
              <w:top w:val="nil"/>
            </w:tcBorders>
            <w:vAlign w:val="center"/>
          </w:tcPr>
          <w:p w:rsidR="001D0FDA" w:rsidRPr="00EB1471" w:rsidRDefault="001D0FDA" w:rsidP="001D0FDA">
            <w:pPr>
              <w:pStyle w:val="TableText0"/>
              <w:spacing w:before="20" w:after="20"/>
              <w:jc w:val="center"/>
            </w:pPr>
            <w:r w:rsidRPr="00EB1471">
              <w:t>3 (3%)</w:t>
            </w:r>
          </w:p>
        </w:tc>
        <w:tc>
          <w:tcPr>
            <w:tcW w:w="1134" w:type="dxa"/>
            <w:tcBorders>
              <w:top w:val="nil"/>
            </w:tcBorders>
            <w:vAlign w:val="center"/>
          </w:tcPr>
          <w:p w:rsidR="001D0FDA" w:rsidRPr="00EB1471" w:rsidRDefault="001D0FDA" w:rsidP="001D0FDA">
            <w:pPr>
              <w:pStyle w:val="TableText0"/>
              <w:spacing w:before="20" w:after="20"/>
              <w:jc w:val="center"/>
            </w:pPr>
            <w:r w:rsidRPr="00EB1471">
              <w:t>NR</w:t>
            </w:r>
          </w:p>
        </w:tc>
        <w:tc>
          <w:tcPr>
            <w:tcW w:w="992" w:type="dxa"/>
            <w:tcBorders>
              <w:top w:val="nil"/>
            </w:tcBorders>
            <w:vAlign w:val="center"/>
          </w:tcPr>
          <w:p w:rsidR="001D0FDA" w:rsidRPr="00EB1471" w:rsidRDefault="001D0FDA" w:rsidP="001D0FDA">
            <w:pPr>
              <w:pStyle w:val="TableText0"/>
              <w:spacing w:before="20" w:after="20"/>
              <w:jc w:val="center"/>
            </w:pPr>
            <w:r w:rsidRPr="00EB1471">
              <w:t>NR</w:t>
            </w:r>
          </w:p>
        </w:tc>
        <w:tc>
          <w:tcPr>
            <w:tcW w:w="1134" w:type="dxa"/>
            <w:tcBorders>
              <w:top w:val="nil"/>
            </w:tcBorders>
            <w:vAlign w:val="center"/>
          </w:tcPr>
          <w:p w:rsidR="001D0FDA" w:rsidRPr="00EB1471" w:rsidRDefault="001D0FDA" w:rsidP="001D0FDA">
            <w:pPr>
              <w:pStyle w:val="TableText0"/>
              <w:spacing w:before="20" w:after="20"/>
              <w:jc w:val="center"/>
            </w:pPr>
            <w:r w:rsidRPr="00EB1471">
              <w:t>4 (2%)</w:t>
            </w:r>
          </w:p>
        </w:tc>
        <w:tc>
          <w:tcPr>
            <w:tcW w:w="992" w:type="dxa"/>
            <w:tcBorders>
              <w:top w:val="nil"/>
            </w:tcBorders>
            <w:vAlign w:val="center"/>
          </w:tcPr>
          <w:p w:rsidR="001D0FDA" w:rsidRPr="00EB1471" w:rsidRDefault="001D0FDA" w:rsidP="001D0FDA">
            <w:pPr>
              <w:pStyle w:val="TableText0"/>
              <w:spacing w:before="20" w:after="20"/>
              <w:jc w:val="center"/>
            </w:pPr>
            <w:r w:rsidRPr="00EB1471">
              <w:t>2 (1%)</w:t>
            </w:r>
          </w:p>
        </w:tc>
        <w:tc>
          <w:tcPr>
            <w:tcW w:w="992" w:type="dxa"/>
            <w:tcBorders>
              <w:top w:val="nil"/>
            </w:tcBorders>
            <w:vAlign w:val="center"/>
          </w:tcPr>
          <w:p w:rsidR="001D0FDA" w:rsidRPr="00EB1471" w:rsidRDefault="001D0FDA" w:rsidP="001D0FDA">
            <w:pPr>
              <w:pStyle w:val="TableText0"/>
              <w:spacing w:before="20" w:after="20"/>
              <w:jc w:val="center"/>
            </w:pPr>
            <w:r w:rsidRPr="00EB1471">
              <w:t>4 (2%)</w:t>
            </w:r>
          </w:p>
        </w:tc>
        <w:tc>
          <w:tcPr>
            <w:tcW w:w="1134" w:type="dxa"/>
            <w:tcBorders>
              <w:top w:val="nil"/>
            </w:tcBorders>
            <w:vAlign w:val="center"/>
          </w:tcPr>
          <w:p w:rsidR="001D0FDA" w:rsidRPr="00EB1471" w:rsidRDefault="001D0FDA" w:rsidP="001D0FDA">
            <w:pPr>
              <w:pStyle w:val="TableText0"/>
              <w:spacing w:before="20" w:after="20"/>
              <w:jc w:val="center"/>
            </w:pPr>
            <w:r w:rsidRPr="00EB1471">
              <w:t>0 (0%)</w:t>
            </w:r>
          </w:p>
        </w:tc>
      </w:tr>
    </w:tbl>
    <w:p w:rsidR="006D01E8" w:rsidRPr="00EB1471" w:rsidRDefault="006D01E8" w:rsidP="006D01E8">
      <w:pPr>
        <w:pStyle w:val="Tablenote"/>
      </w:pPr>
      <w:r w:rsidRPr="00EB1471">
        <w:rPr>
          <w:vertAlign w:val="superscript"/>
        </w:rPr>
        <w:t>a</w:t>
      </w:r>
      <w:r w:rsidRPr="00EB1471">
        <w:t xml:space="preserve"> Bloodstream infection was defined as a positive blood culture. If a positive blood culture was associated with clinical signs of a systemic infection (eg temperature &gt;38°C, tachycardia, tachypnoea, chills, general malaise, low blood pressure), the infection was defined as sepsis.</w:t>
      </w:r>
    </w:p>
    <w:p w:rsidR="001D0FDA" w:rsidRPr="00EB1471" w:rsidRDefault="00D2075A" w:rsidP="001D0FDA">
      <w:pPr>
        <w:pStyle w:val="Tablenote"/>
      </w:pPr>
      <w:r>
        <w:t xml:space="preserve">AE = adverse event; N = number of patients; </w:t>
      </w:r>
      <w:r w:rsidR="001D0FDA" w:rsidRPr="00EB1471">
        <w:t>NR = not reported; ppy = per patient year</w:t>
      </w:r>
    </w:p>
    <w:p w:rsidR="001D0FDA" w:rsidRPr="00EB1471" w:rsidRDefault="001D0FDA" w:rsidP="001D0FDA">
      <w:pPr>
        <w:pStyle w:val="Tablenote"/>
      </w:pPr>
      <w:r w:rsidRPr="00EB1471">
        <w:t>Source: Dickinson et al 2009</w:t>
      </w:r>
      <w:r w:rsidR="001D34EE" w:rsidRPr="001A1C44">
        <w:rPr>
          <w:noProof/>
          <w:vertAlign w:val="superscript"/>
        </w:rPr>
        <w:t>56</w:t>
      </w:r>
      <w:r w:rsidRPr="00EB1471">
        <w:t>; Kallen et al 2008</w:t>
      </w:r>
      <w:r w:rsidR="001D34EE" w:rsidRPr="001A1C44">
        <w:rPr>
          <w:noProof/>
          <w:vertAlign w:val="superscript"/>
        </w:rPr>
        <w:t>59</w:t>
      </w:r>
      <w:r w:rsidRPr="00EB1471">
        <w:t>; Kitterman et al 2012</w:t>
      </w:r>
      <w:r w:rsidR="001D34EE" w:rsidRPr="001A1C44">
        <w:rPr>
          <w:noProof/>
          <w:vertAlign w:val="superscript"/>
        </w:rPr>
        <w:t>61</w:t>
      </w:r>
      <w:r w:rsidRPr="00EB1471">
        <w:t>; McLaughlin et al 2002</w:t>
      </w:r>
      <w:r w:rsidR="001D34EE" w:rsidRPr="001A1C44">
        <w:rPr>
          <w:noProof/>
          <w:vertAlign w:val="superscript"/>
        </w:rPr>
        <w:t>62</w:t>
      </w:r>
      <w:r w:rsidRPr="00EB1471">
        <w:t>; Oudiz et al 2004</w:t>
      </w:r>
      <w:r w:rsidR="001D34EE" w:rsidRPr="001A1C44">
        <w:rPr>
          <w:noProof/>
          <w:vertAlign w:val="superscript"/>
        </w:rPr>
        <w:t>63</w:t>
      </w:r>
      <w:r w:rsidRPr="00EB1471">
        <w:t>; Sitbon et al 2002</w:t>
      </w:r>
      <w:r w:rsidR="001D34EE" w:rsidRPr="001A1C44">
        <w:rPr>
          <w:noProof/>
          <w:vertAlign w:val="superscript"/>
        </w:rPr>
        <w:t>67</w:t>
      </w:r>
      <w:r w:rsidRPr="00EB1471">
        <w:t>; Badesch et al 2009</w:t>
      </w:r>
      <w:r w:rsidR="001D34EE" w:rsidRPr="001A1C44">
        <w:rPr>
          <w:noProof/>
          <w:vertAlign w:val="superscript"/>
        </w:rPr>
        <w:t>71</w:t>
      </w:r>
    </w:p>
    <w:p w:rsidR="001D0FDA" w:rsidRPr="00EB1471" w:rsidRDefault="001D0FDA" w:rsidP="001D0FDA">
      <w:r w:rsidRPr="00EB1471">
        <w:t xml:space="preserve">Overall, the seven studies included for extended safety assessment of epoprostenol did not detect any new safety signals. The IV administration route of epoprostenol pose additional safety concerns compared with other oral PAH medications. </w:t>
      </w:r>
    </w:p>
    <w:p w:rsidR="001D0FDA" w:rsidRPr="00EB1471" w:rsidRDefault="001D0FDA" w:rsidP="00480FDF">
      <w:pPr>
        <w:pStyle w:val="Heading5"/>
        <w:numPr>
          <w:ilvl w:val="4"/>
          <w:numId w:val="45"/>
        </w:numPr>
      </w:pPr>
      <w:r w:rsidRPr="00EB1471">
        <w:lastRenderedPageBreak/>
        <w:t>sCG stimulator</w:t>
      </w:r>
    </w:p>
    <w:p w:rsidR="001D0FDA" w:rsidRPr="00EB1471" w:rsidRDefault="001D0FDA" w:rsidP="001D0FDA">
      <w:r w:rsidRPr="00EB1471">
        <w:t>The PATENT extension study</w:t>
      </w:r>
      <w:r w:rsidR="001D34EE" w:rsidRPr="001A1C44">
        <w:rPr>
          <w:noProof/>
          <w:vertAlign w:val="superscript"/>
        </w:rPr>
        <w:t>65</w:t>
      </w:r>
      <w:r w:rsidRPr="00EB1471">
        <w:t xml:space="preserve"> was a multicentre, open-label, long-term study where all patients received riociguat individually adjusted to a maximum dose of 2.5 mg tid, with or without background therapy. During a median treatment duration of 2.7 years, almost all patients (98%) treated with riociguat experienced </w:t>
      </w:r>
      <w:r w:rsidR="006B2A7D">
        <w:t>AE</w:t>
      </w:r>
      <w:r w:rsidRPr="00EB1471">
        <w:t xml:space="preserve">s. Both drug-related </w:t>
      </w:r>
      <w:r w:rsidR="006B2A7D">
        <w:t>AE</w:t>
      </w:r>
      <w:r w:rsidRPr="00EB1471">
        <w:t xml:space="preserve">s and serious </w:t>
      </w:r>
      <w:r w:rsidR="006B2A7D">
        <w:t>AE</w:t>
      </w:r>
      <w:r w:rsidRPr="00EB1471">
        <w:t xml:space="preserve">s occurred in around 60% of the overall population, with </w:t>
      </w:r>
      <w:r w:rsidR="006B2A7D">
        <w:t>AE</w:t>
      </w:r>
      <w:r w:rsidRPr="00EB1471">
        <w:t>s more frequent in the pre-treated group (receiving background therapy with ERA and/or prostanoid) than the treatment-naïve group (without background therapy) (</w:t>
      </w:r>
      <w:r w:rsidR="00AA722D">
        <w:t>Table 4.</w:t>
      </w:r>
      <w:r w:rsidR="00AA722D">
        <w:rPr>
          <w:noProof/>
        </w:rPr>
        <w:t>117</w:t>
      </w:r>
      <w:r w:rsidRPr="00EB1471">
        <w:t xml:space="preserve">). The most common serious </w:t>
      </w:r>
      <w:r w:rsidR="006B2A7D">
        <w:t>AE</w:t>
      </w:r>
      <w:r w:rsidRPr="00EB1471">
        <w:t xml:space="preserve">s were syncope (in 10% patients, with 3% considered drug-related), worsening PAH (10% patients, 1% drug-related), and right ventricular failure (8% patients, 0% drug-related). Serious </w:t>
      </w:r>
      <w:r w:rsidR="006B2A7D">
        <w:t>AE</w:t>
      </w:r>
      <w:r w:rsidRPr="00EB1471">
        <w:t xml:space="preserve">s of haemoptysis and pulmonary haemorrhage occurred in 13 patients (3%). Of these 13 patients, the cases were considered study-drug related by the investigators in four (1%) patients, including two (0.5%) fatal cases. There were 45 (11%) patients in the PATENT extension study discontinued riociguat treatment as a result of </w:t>
      </w:r>
      <w:r w:rsidR="006B2A7D">
        <w:t>AE</w:t>
      </w:r>
      <w:r w:rsidR="00D27594">
        <w:t>s.</w:t>
      </w:r>
    </w:p>
    <w:p w:rsidR="001D0FDA" w:rsidRPr="00EB1471" w:rsidRDefault="001D0FDA" w:rsidP="001D0FDA">
      <w:r w:rsidRPr="00EB1471">
        <w:t xml:space="preserve">The safety profile section of the riociguat PI was based on two short-term (12-16 weeks) placebo-controlled RCTs in patients with PAH (PATENT-1) and in patients with chronic thromboembolic pulmonary hypertension (CHEST-1). The </w:t>
      </w:r>
      <w:r w:rsidR="006B2A7D">
        <w:t>AE</w:t>
      </w:r>
      <w:r w:rsidRPr="00EB1471">
        <w:t>s observed in the PATENT extension study were also reported in these two RCTs, but generally with a higher incidence rate due to its longer follow-up (2.7 years). Serious haemoptysis and pulmonary haemorrhage, including cases with fatal outcome have been included in the riociguat PI.</w:t>
      </w:r>
    </w:p>
    <w:p w:rsidR="001D0FDA" w:rsidRPr="00EB1471" w:rsidRDefault="001D0FDA" w:rsidP="001D0FDA">
      <w:pPr>
        <w:pStyle w:val="Caption"/>
      </w:pPr>
      <w:bookmarkStart w:id="326" w:name="_Ref504666759"/>
      <w:bookmarkStart w:id="327" w:name="_Toc512855521"/>
      <w:r>
        <w:t>Table 4.</w:t>
      </w:r>
      <w:r w:rsidR="00AA722D">
        <w:rPr>
          <w:noProof/>
        </w:rPr>
        <w:t>117</w:t>
      </w:r>
      <w:bookmarkEnd w:id="326"/>
      <w:r>
        <w:tab/>
      </w:r>
      <w:r w:rsidRPr="00EB1471">
        <w:t>AEs reported in the PATENT extension study</w:t>
      </w:r>
      <w:bookmarkEnd w:id="327"/>
    </w:p>
    <w:tbl>
      <w:tblPr>
        <w:tblStyle w:val="TableGrid"/>
        <w:tblW w:w="9776" w:type="dxa"/>
        <w:tblLook w:val="04A0" w:firstRow="1" w:lastRow="0" w:firstColumn="1" w:lastColumn="0" w:noHBand="0" w:noVBand="1"/>
        <w:tblCaption w:val="AEs reported in the PATENT extension study"/>
      </w:tblPr>
      <w:tblGrid>
        <w:gridCol w:w="3397"/>
        <w:gridCol w:w="3260"/>
        <w:gridCol w:w="3119"/>
      </w:tblGrid>
      <w:tr w:rsidR="001D0FDA" w:rsidRPr="00EB1471" w:rsidTr="001D0FDA">
        <w:trPr>
          <w:cnfStyle w:val="100000000000" w:firstRow="1" w:lastRow="0" w:firstColumn="0" w:lastColumn="0" w:oddVBand="0" w:evenVBand="0" w:oddHBand="0" w:evenHBand="0" w:firstRowFirstColumn="0" w:firstRowLastColumn="0" w:lastRowFirstColumn="0" w:lastRowLastColumn="0"/>
        </w:trPr>
        <w:tc>
          <w:tcPr>
            <w:tcW w:w="3397" w:type="dxa"/>
            <w:shd w:val="clear" w:color="auto" w:fill="BFBFBF" w:themeFill="background1" w:themeFillShade="BF"/>
          </w:tcPr>
          <w:p w:rsidR="001D0FDA" w:rsidRPr="00EB1471" w:rsidRDefault="007849BD" w:rsidP="001D0FDA">
            <w:pPr>
              <w:pStyle w:val="Tabletext"/>
              <w:rPr>
                <w:b/>
              </w:rPr>
            </w:pPr>
            <w:r w:rsidRPr="007849BD">
              <w:rPr>
                <w:b/>
              </w:rPr>
              <w:t>AEs</w:t>
            </w:r>
          </w:p>
        </w:tc>
        <w:tc>
          <w:tcPr>
            <w:tcW w:w="3260" w:type="dxa"/>
            <w:shd w:val="clear" w:color="auto" w:fill="BFBFBF" w:themeFill="background1" w:themeFillShade="BF"/>
          </w:tcPr>
          <w:p w:rsidR="001D0FDA" w:rsidRPr="00EB1471" w:rsidRDefault="001D0FDA" w:rsidP="001D0FDA">
            <w:pPr>
              <w:pStyle w:val="Tabletext"/>
              <w:jc w:val="center"/>
              <w:rPr>
                <w:b/>
              </w:rPr>
            </w:pPr>
            <w:r w:rsidRPr="00EB1471">
              <w:rPr>
                <w:b/>
              </w:rPr>
              <w:t xml:space="preserve">Riociguat </w:t>
            </w:r>
            <w:r w:rsidRPr="00EB1471">
              <w:rPr>
                <w:b/>
              </w:rPr>
              <w:br/>
              <w:t>(n=197)</w:t>
            </w:r>
          </w:p>
        </w:tc>
        <w:tc>
          <w:tcPr>
            <w:tcW w:w="3119" w:type="dxa"/>
            <w:shd w:val="clear" w:color="auto" w:fill="BFBFBF" w:themeFill="background1" w:themeFillShade="BF"/>
          </w:tcPr>
          <w:p w:rsidR="001D0FDA" w:rsidRPr="00EB1471" w:rsidRDefault="001D0FDA" w:rsidP="001D0FDA">
            <w:pPr>
              <w:pStyle w:val="Tabletext"/>
              <w:jc w:val="center"/>
              <w:rPr>
                <w:b/>
              </w:rPr>
            </w:pPr>
            <w:r w:rsidRPr="00EB1471">
              <w:rPr>
                <w:b/>
              </w:rPr>
              <w:t xml:space="preserve">Riociguat ± ERA and/or prostanoid </w:t>
            </w:r>
            <w:r w:rsidRPr="00EB1471">
              <w:rPr>
                <w:b/>
              </w:rPr>
              <w:br/>
              <w:t>(n=199)</w:t>
            </w:r>
          </w:p>
        </w:tc>
      </w:tr>
      <w:tr w:rsidR="001D0FDA" w:rsidRPr="00EB1471" w:rsidTr="001D0FDA">
        <w:tc>
          <w:tcPr>
            <w:tcW w:w="3397" w:type="dxa"/>
          </w:tcPr>
          <w:p w:rsidR="001D0FDA" w:rsidRPr="00EB1471" w:rsidRDefault="001D0FDA" w:rsidP="001D0FDA">
            <w:pPr>
              <w:pStyle w:val="Tabletext"/>
            </w:pPr>
            <w:r w:rsidRPr="00EB1471">
              <w:t>Any AEs</w:t>
            </w:r>
          </w:p>
        </w:tc>
        <w:tc>
          <w:tcPr>
            <w:tcW w:w="3260" w:type="dxa"/>
          </w:tcPr>
          <w:p w:rsidR="001D0FDA" w:rsidRPr="00EB1471" w:rsidRDefault="001D0FDA" w:rsidP="001D0FDA">
            <w:pPr>
              <w:pStyle w:val="Tabletext"/>
              <w:jc w:val="center"/>
            </w:pPr>
            <w:r w:rsidRPr="00EB1471">
              <w:t>190 (96%)</w:t>
            </w:r>
          </w:p>
        </w:tc>
        <w:tc>
          <w:tcPr>
            <w:tcW w:w="3119" w:type="dxa"/>
          </w:tcPr>
          <w:p w:rsidR="001D0FDA" w:rsidRPr="00EB1471" w:rsidRDefault="001D0FDA" w:rsidP="001D0FDA">
            <w:pPr>
              <w:pStyle w:val="Tabletext"/>
              <w:jc w:val="center"/>
            </w:pPr>
            <w:r w:rsidRPr="00EB1471">
              <w:t>198 (99%)</w:t>
            </w:r>
          </w:p>
        </w:tc>
      </w:tr>
      <w:tr w:rsidR="001D0FDA" w:rsidRPr="00EB1471" w:rsidTr="001D0FDA">
        <w:tc>
          <w:tcPr>
            <w:tcW w:w="3397" w:type="dxa"/>
          </w:tcPr>
          <w:p w:rsidR="001D0FDA" w:rsidRPr="00EB1471" w:rsidRDefault="001D0FDA" w:rsidP="001D0FDA">
            <w:pPr>
              <w:pStyle w:val="Tabletext"/>
            </w:pPr>
            <w:r w:rsidRPr="00EB1471">
              <w:t>Drug-related AEs</w:t>
            </w:r>
          </w:p>
        </w:tc>
        <w:tc>
          <w:tcPr>
            <w:tcW w:w="3260" w:type="dxa"/>
          </w:tcPr>
          <w:p w:rsidR="001D0FDA" w:rsidRPr="00EB1471" w:rsidRDefault="001D0FDA" w:rsidP="001D0FDA">
            <w:pPr>
              <w:pStyle w:val="Tabletext"/>
              <w:jc w:val="center"/>
            </w:pPr>
            <w:r w:rsidRPr="00EB1471">
              <w:t>104 (53%)</w:t>
            </w:r>
          </w:p>
        </w:tc>
        <w:tc>
          <w:tcPr>
            <w:tcW w:w="3119" w:type="dxa"/>
          </w:tcPr>
          <w:p w:rsidR="001D0FDA" w:rsidRPr="00EB1471" w:rsidRDefault="001D0FDA" w:rsidP="001D0FDA">
            <w:pPr>
              <w:pStyle w:val="Tabletext"/>
              <w:jc w:val="center"/>
            </w:pPr>
            <w:r w:rsidRPr="00EB1471">
              <w:t>128 (64%)</w:t>
            </w:r>
          </w:p>
        </w:tc>
      </w:tr>
      <w:tr w:rsidR="001D0FDA" w:rsidRPr="00EB1471" w:rsidTr="001D0FDA">
        <w:tc>
          <w:tcPr>
            <w:tcW w:w="3397" w:type="dxa"/>
          </w:tcPr>
          <w:p w:rsidR="001D0FDA" w:rsidRPr="00EB1471" w:rsidRDefault="001D0FDA" w:rsidP="001D0FDA">
            <w:pPr>
              <w:pStyle w:val="Tabletext"/>
            </w:pPr>
            <w:r w:rsidRPr="00EB1471">
              <w:t>Serious AEs</w:t>
            </w:r>
          </w:p>
        </w:tc>
        <w:tc>
          <w:tcPr>
            <w:tcW w:w="3260" w:type="dxa"/>
          </w:tcPr>
          <w:p w:rsidR="001D0FDA" w:rsidRPr="00EB1471" w:rsidRDefault="001D0FDA" w:rsidP="001D0FDA">
            <w:pPr>
              <w:pStyle w:val="Tabletext"/>
              <w:jc w:val="center"/>
            </w:pPr>
            <w:r w:rsidRPr="00EB1471">
              <w:t>103 (52%)</w:t>
            </w:r>
          </w:p>
        </w:tc>
        <w:tc>
          <w:tcPr>
            <w:tcW w:w="3119" w:type="dxa"/>
          </w:tcPr>
          <w:p w:rsidR="001D0FDA" w:rsidRPr="00EB1471" w:rsidRDefault="001D0FDA" w:rsidP="001D0FDA">
            <w:pPr>
              <w:pStyle w:val="Tabletext"/>
              <w:jc w:val="center"/>
            </w:pPr>
            <w:r w:rsidRPr="00EB1471">
              <w:t>135 (68%)</w:t>
            </w:r>
          </w:p>
        </w:tc>
      </w:tr>
      <w:tr w:rsidR="001D0FDA" w:rsidRPr="00EB1471" w:rsidTr="001D0FDA">
        <w:tc>
          <w:tcPr>
            <w:tcW w:w="3397" w:type="dxa"/>
          </w:tcPr>
          <w:p w:rsidR="001D0FDA" w:rsidRPr="00EB1471" w:rsidRDefault="001D0FDA" w:rsidP="001D0FDA">
            <w:pPr>
              <w:pStyle w:val="Tabletext"/>
            </w:pPr>
            <w:r w:rsidRPr="00EB1471">
              <w:t>Discontinuation due to AEs</w:t>
            </w:r>
          </w:p>
        </w:tc>
        <w:tc>
          <w:tcPr>
            <w:tcW w:w="3260" w:type="dxa"/>
          </w:tcPr>
          <w:p w:rsidR="001D0FDA" w:rsidRPr="00EB1471" w:rsidRDefault="001D0FDA" w:rsidP="001D0FDA">
            <w:pPr>
              <w:pStyle w:val="Tabletext"/>
              <w:jc w:val="center"/>
            </w:pPr>
            <w:r w:rsidRPr="00EB1471">
              <w:t>14 (7%)</w:t>
            </w:r>
          </w:p>
        </w:tc>
        <w:tc>
          <w:tcPr>
            <w:tcW w:w="3119" w:type="dxa"/>
          </w:tcPr>
          <w:p w:rsidR="001D0FDA" w:rsidRPr="00EB1471" w:rsidRDefault="001D0FDA" w:rsidP="001D0FDA">
            <w:pPr>
              <w:pStyle w:val="Tabletext"/>
              <w:jc w:val="center"/>
            </w:pPr>
            <w:r w:rsidRPr="00EB1471">
              <w:t>31 (16%)</w:t>
            </w:r>
          </w:p>
        </w:tc>
      </w:tr>
      <w:tr w:rsidR="001D0FDA" w:rsidRPr="00EB1471" w:rsidTr="001D0FDA">
        <w:tc>
          <w:tcPr>
            <w:tcW w:w="3397" w:type="dxa"/>
            <w:tcBorders>
              <w:bottom w:val="nil"/>
            </w:tcBorders>
          </w:tcPr>
          <w:p w:rsidR="001D0FDA" w:rsidRPr="00EB1471" w:rsidRDefault="001D0FDA" w:rsidP="001D0FDA">
            <w:pPr>
              <w:pStyle w:val="Tabletext"/>
            </w:pPr>
            <w:r w:rsidRPr="00EB1471">
              <w:t>AEs of special interest in &gt;5% of overall population</w:t>
            </w:r>
          </w:p>
        </w:tc>
        <w:tc>
          <w:tcPr>
            <w:tcW w:w="3260" w:type="dxa"/>
            <w:tcBorders>
              <w:bottom w:val="nil"/>
            </w:tcBorders>
          </w:tcPr>
          <w:p w:rsidR="001D0FDA" w:rsidRPr="00EB1471" w:rsidRDefault="001D0FDA" w:rsidP="001D0FDA">
            <w:pPr>
              <w:pStyle w:val="Tabletext"/>
              <w:jc w:val="center"/>
            </w:pPr>
          </w:p>
        </w:tc>
        <w:tc>
          <w:tcPr>
            <w:tcW w:w="3119" w:type="dxa"/>
            <w:tcBorders>
              <w:bottom w:val="nil"/>
            </w:tcBorders>
          </w:tcPr>
          <w:p w:rsidR="001D0FDA" w:rsidRPr="00EB1471" w:rsidRDefault="001D0FDA" w:rsidP="001D0FDA">
            <w:pPr>
              <w:pStyle w:val="Tabletext"/>
              <w:jc w:val="center"/>
            </w:pPr>
          </w:p>
        </w:tc>
      </w:tr>
      <w:tr w:rsidR="001D0FDA" w:rsidRPr="00EB1471" w:rsidTr="001D0FDA">
        <w:tc>
          <w:tcPr>
            <w:tcW w:w="3397" w:type="dxa"/>
            <w:tcBorders>
              <w:top w:val="nil"/>
              <w:bottom w:val="nil"/>
            </w:tcBorders>
          </w:tcPr>
          <w:p w:rsidR="001D0FDA" w:rsidRPr="00EB1471" w:rsidRDefault="001D0FDA" w:rsidP="001D0FDA">
            <w:pPr>
              <w:pStyle w:val="Tabletext"/>
              <w:ind w:left="171"/>
            </w:pPr>
            <w:r w:rsidRPr="00EB1471">
              <w:t>Hypotension</w:t>
            </w:r>
          </w:p>
        </w:tc>
        <w:tc>
          <w:tcPr>
            <w:tcW w:w="3260" w:type="dxa"/>
            <w:tcBorders>
              <w:top w:val="nil"/>
              <w:bottom w:val="nil"/>
            </w:tcBorders>
          </w:tcPr>
          <w:p w:rsidR="001D0FDA" w:rsidRPr="00EB1471" w:rsidRDefault="001D0FDA" w:rsidP="001D0FDA">
            <w:pPr>
              <w:pStyle w:val="Tabletext"/>
              <w:jc w:val="center"/>
            </w:pPr>
            <w:r w:rsidRPr="00EB1471">
              <w:t>21 (11%)</w:t>
            </w:r>
          </w:p>
        </w:tc>
        <w:tc>
          <w:tcPr>
            <w:tcW w:w="3119" w:type="dxa"/>
            <w:tcBorders>
              <w:top w:val="nil"/>
              <w:bottom w:val="nil"/>
            </w:tcBorders>
          </w:tcPr>
          <w:p w:rsidR="001D0FDA" w:rsidRPr="00EB1471" w:rsidRDefault="001D0FDA" w:rsidP="001D0FDA">
            <w:pPr>
              <w:pStyle w:val="Tabletext"/>
              <w:jc w:val="center"/>
            </w:pPr>
            <w:r w:rsidRPr="00EB1471">
              <w:t>30 (15%)</w:t>
            </w:r>
          </w:p>
        </w:tc>
      </w:tr>
      <w:tr w:rsidR="001D0FDA" w:rsidRPr="00EB1471" w:rsidTr="001D0FDA">
        <w:tc>
          <w:tcPr>
            <w:tcW w:w="3397" w:type="dxa"/>
            <w:tcBorders>
              <w:top w:val="nil"/>
              <w:bottom w:val="nil"/>
            </w:tcBorders>
          </w:tcPr>
          <w:p w:rsidR="001D0FDA" w:rsidRPr="00EB1471" w:rsidRDefault="001D0FDA" w:rsidP="001D0FDA">
            <w:pPr>
              <w:pStyle w:val="Tabletext"/>
              <w:ind w:left="171"/>
            </w:pPr>
            <w:r w:rsidRPr="00EB1471">
              <w:t xml:space="preserve">Syncope </w:t>
            </w:r>
          </w:p>
        </w:tc>
        <w:tc>
          <w:tcPr>
            <w:tcW w:w="3260" w:type="dxa"/>
            <w:tcBorders>
              <w:top w:val="nil"/>
              <w:bottom w:val="nil"/>
            </w:tcBorders>
          </w:tcPr>
          <w:p w:rsidR="001D0FDA" w:rsidRPr="00EB1471" w:rsidRDefault="001D0FDA" w:rsidP="001D0FDA">
            <w:pPr>
              <w:pStyle w:val="Tabletext"/>
              <w:jc w:val="center"/>
            </w:pPr>
            <w:r w:rsidRPr="00EB1471">
              <w:t>11 (6%)</w:t>
            </w:r>
          </w:p>
        </w:tc>
        <w:tc>
          <w:tcPr>
            <w:tcW w:w="3119" w:type="dxa"/>
            <w:tcBorders>
              <w:top w:val="nil"/>
              <w:bottom w:val="nil"/>
            </w:tcBorders>
          </w:tcPr>
          <w:p w:rsidR="001D0FDA" w:rsidRPr="00EB1471" w:rsidRDefault="001D0FDA" w:rsidP="001D0FDA">
            <w:pPr>
              <w:pStyle w:val="Tabletext"/>
              <w:jc w:val="center"/>
            </w:pPr>
            <w:r w:rsidRPr="00EB1471">
              <w:t>27 (14%)</w:t>
            </w:r>
          </w:p>
        </w:tc>
      </w:tr>
      <w:tr w:rsidR="001D0FDA" w:rsidRPr="00EB1471" w:rsidTr="001D0FDA">
        <w:tc>
          <w:tcPr>
            <w:tcW w:w="3397" w:type="dxa"/>
            <w:tcBorders>
              <w:top w:val="nil"/>
            </w:tcBorders>
          </w:tcPr>
          <w:p w:rsidR="001D0FDA" w:rsidRPr="00EB1471" w:rsidRDefault="001D0FDA" w:rsidP="001D0FDA">
            <w:pPr>
              <w:pStyle w:val="Tabletext"/>
              <w:ind w:left="171"/>
            </w:pPr>
            <w:r w:rsidRPr="00EB1471">
              <w:t xml:space="preserve">Haemoptysis or pulmonary haemorrhage </w:t>
            </w:r>
          </w:p>
        </w:tc>
        <w:tc>
          <w:tcPr>
            <w:tcW w:w="3260" w:type="dxa"/>
            <w:tcBorders>
              <w:top w:val="nil"/>
            </w:tcBorders>
          </w:tcPr>
          <w:p w:rsidR="001D0FDA" w:rsidRPr="00EB1471" w:rsidRDefault="001D0FDA" w:rsidP="001D0FDA">
            <w:pPr>
              <w:pStyle w:val="Tabletext"/>
              <w:jc w:val="center"/>
            </w:pPr>
            <w:r w:rsidRPr="00EB1471">
              <w:t>18 (9%)</w:t>
            </w:r>
          </w:p>
        </w:tc>
        <w:tc>
          <w:tcPr>
            <w:tcW w:w="3119" w:type="dxa"/>
            <w:tcBorders>
              <w:top w:val="nil"/>
            </w:tcBorders>
          </w:tcPr>
          <w:p w:rsidR="001D0FDA" w:rsidRPr="00EB1471" w:rsidRDefault="001D0FDA" w:rsidP="001D0FDA">
            <w:pPr>
              <w:pStyle w:val="Tabletext"/>
              <w:jc w:val="center"/>
            </w:pPr>
            <w:r w:rsidRPr="00EB1471">
              <w:t>12 (6%)</w:t>
            </w:r>
          </w:p>
        </w:tc>
      </w:tr>
    </w:tbl>
    <w:p w:rsidR="001D0FDA" w:rsidRPr="00EB1471" w:rsidRDefault="001D0FDA" w:rsidP="001D0FDA">
      <w:pPr>
        <w:pStyle w:val="Tablenote"/>
      </w:pPr>
      <w:r w:rsidRPr="00EB1471">
        <w:t>AE = adverse event; ERA = endothelin receptor antagonist</w:t>
      </w:r>
      <w:r w:rsidR="00D2075A">
        <w:t>; n = number of patients</w:t>
      </w:r>
    </w:p>
    <w:p w:rsidR="001D0FDA" w:rsidRPr="00EB1471" w:rsidRDefault="001D0FDA" w:rsidP="001D0FDA">
      <w:pPr>
        <w:pStyle w:val="Tablenote"/>
      </w:pPr>
      <w:r w:rsidRPr="00EB1471">
        <w:t>Source: Ghofrani et al 2016</w:t>
      </w:r>
      <w:r w:rsidR="001D34EE" w:rsidRPr="001A1C44">
        <w:rPr>
          <w:noProof/>
          <w:vertAlign w:val="superscript"/>
        </w:rPr>
        <w:t>65</w:t>
      </w:r>
    </w:p>
    <w:p w:rsidR="001D0FDA" w:rsidRPr="00EB1471" w:rsidRDefault="001D0FDA" w:rsidP="00480FDF">
      <w:pPr>
        <w:pStyle w:val="Heading5"/>
        <w:numPr>
          <w:ilvl w:val="4"/>
          <w:numId w:val="45"/>
        </w:numPr>
      </w:pPr>
      <w:r w:rsidRPr="00EB1471">
        <w:t>ERA in combination with PDE-5 inhibitor</w:t>
      </w:r>
    </w:p>
    <w:p w:rsidR="001D0FDA" w:rsidRPr="00EB1471" w:rsidRDefault="001D0FDA" w:rsidP="001D0FDA">
      <w:r w:rsidRPr="00EB1471">
        <w:t>Sitbon et al</w:t>
      </w:r>
      <w:r w:rsidR="001D34EE" w:rsidRPr="001A1C44">
        <w:rPr>
          <w:noProof/>
          <w:vertAlign w:val="superscript"/>
        </w:rPr>
        <w:t>68</w:t>
      </w:r>
      <w:r w:rsidRPr="00EB1471">
        <w:t xml:space="preserve"> conducted a retrospective analysis of real-world clinical data in 97 patients with newly diagnosed WHO FC III-IV PAH who were treated with upfront combination therapy of bosentan + sildenafil (63%), bosentan + tadalafil (18%), ambrisentan + tadalafil (11%) or ambrisentan + sildenafil (8%). The authors concluded that ERA in combination with PDE-5 inhibitor </w:t>
      </w:r>
      <w:r w:rsidRPr="00EB1471">
        <w:lastRenderedPageBreak/>
        <w:t xml:space="preserve">were generally well tolerated with </w:t>
      </w:r>
      <w:r w:rsidR="006B2A7D">
        <w:t>AE</w:t>
      </w:r>
      <w:r w:rsidRPr="00EB1471">
        <w:t xml:space="preserve">s consistent with the drugs' known side effect profiles. Over a median follow-up period of 2.5 years, treatment discontinuation or switching due to </w:t>
      </w:r>
      <w:r w:rsidR="006B2A7D">
        <w:t>AE</w:t>
      </w:r>
      <w:r w:rsidRPr="00EB1471">
        <w:t xml:space="preserve">s occurred in five (5%) patients: one patient stopped sildenafil due to blurred vision; two patients were switched from bosentan to ambrisentan due to elevated liver enzyme &gt; 5 ULN; and the other two were switched from ambrisentan to bosentan due to leg oedema. All switches between ERAs led to resolution of the </w:t>
      </w:r>
      <w:r w:rsidR="006B2A7D">
        <w:t>AE</w:t>
      </w:r>
      <w:r w:rsidRPr="00EB1471">
        <w:t xml:space="preserve">. No other safety results were provided by the published paper. </w:t>
      </w:r>
    </w:p>
    <w:p w:rsidR="001D0FDA" w:rsidRPr="00EB1471" w:rsidRDefault="001D0FDA" w:rsidP="001D0FDA">
      <w:r w:rsidRPr="00EB1471">
        <w:t xml:space="preserve">Visual disturbance </w:t>
      </w:r>
      <w:r>
        <w:t>in patients receiving sildenafil has been noted by sildenafil PI</w:t>
      </w:r>
      <w:r w:rsidRPr="00EB1471">
        <w:t>. ERAs are known to be associated with increased risk of abnormal liver function and peripheral oedema. In summary, the safety data from Sitbon 2016 do not reveal any new safety concerns.</w:t>
      </w:r>
    </w:p>
    <w:p w:rsidR="001D0FDA" w:rsidRPr="00EB1471" w:rsidRDefault="001D0FDA" w:rsidP="00480FDF">
      <w:pPr>
        <w:pStyle w:val="Heading5"/>
        <w:numPr>
          <w:ilvl w:val="4"/>
          <w:numId w:val="45"/>
        </w:numPr>
      </w:pPr>
      <w:r w:rsidRPr="00EB1471">
        <w:t>PDE-5 inhibitor in combination with prostacyclin analogue</w:t>
      </w:r>
    </w:p>
    <w:p w:rsidR="001D0FDA" w:rsidRPr="00EB1471" w:rsidRDefault="001D0FDA" w:rsidP="001D0FDA">
      <w:r w:rsidRPr="00EB1471">
        <w:t>Long-term safety results of combination therapy with sildenafil and epoprostenol were reported by the PACES extension study which recruited patients with IPAH or PAH-CTD who completed the randomised placebo-controlled Trial PACES-1</w:t>
      </w:r>
      <w:r w:rsidR="001D34EE" w:rsidRPr="001A1C44">
        <w:rPr>
          <w:noProof/>
          <w:vertAlign w:val="superscript"/>
        </w:rPr>
        <w:t>64</w:t>
      </w:r>
      <w:r w:rsidRPr="00EB1471">
        <w:t xml:space="preserve">. Over median sildenafil exposure of 3.2 years, all patients experienced ≥1 </w:t>
      </w:r>
      <w:r w:rsidR="006B2A7D">
        <w:t>AE</w:t>
      </w:r>
      <w:r w:rsidRPr="00EB1471">
        <w:t xml:space="preserve">s. Most </w:t>
      </w:r>
      <w:r w:rsidR="006B2A7D">
        <w:t>AE</w:t>
      </w:r>
      <w:r w:rsidRPr="00EB1471">
        <w:t xml:space="preserve">s were mild or moderate in severity. The most common treatment-related </w:t>
      </w:r>
      <w:r w:rsidR="006B2A7D">
        <w:t>AE</w:t>
      </w:r>
      <w:r w:rsidRPr="00EB1471">
        <w:t xml:space="preserve">s included headache (49%), flushing (22%), and nausea (17%). Serious </w:t>
      </w:r>
      <w:r w:rsidR="006B2A7D">
        <w:t>AE</w:t>
      </w:r>
      <w:r w:rsidRPr="00EB1471">
        <w:t xml:space="preserve">s occurred in 77% of patients; however, only 7% of patients had a serious </w:t>
      </w:r>
      <w:r w:rsidR="006B2A7D">
        <w:t>AE</w:t>
      </w:r>
      <w:r w:rsidRPr="00EB1471">
        <w:t xml:space="preserve"> which was considered to be treatment-related. Adverse events leading to premature discontinuation were reported in 19% of patients. Treatment-related serious </w:t>
      </w:r>
      <w:r w:rsidR="006B2A7D">
        <w:t>AE</w:t>
      </w:r>
      <w:r w:rsidRPr="00EB1471">
        <w:t>s that resulted in discontinuation included, in 1 (0.4%) patient each, cardiac failure, cardiac arrest, thrombolic thrombocytopenic purpura, rectal haemorrhage, skin reaction and suicide attempt. There were no discontinuations because of laboratory test abnormalities during the study. The investigator considered two (0.8%) deaths, both from cardiac arrest, to be related to sildenafil treatment.</w:t>
      </w:r>
    </w:p>
    <w:p w:rsidR="001D0FDA" w:rsidRPr="00EB1471" w:rsidRDefault="001D0FDA" w:rsidP="001D0FDA">
      <w:r w:rsidRPr="00EB1471">
        <w:t>One (0.4%) patient in the PACES extension study withdrew</w:t>
      </w:r>
      <w:r>
        <w:t xml:space="preserve"> due to suicide attempt judged by the investigator to be treatment-related. </w:t>
      </w:r>
      <w:r w:rsidRPr="00EB1471">
        <w:t xml:space="preserve">This </w:t>
      </w:r>
      <w:r w:rsidR="006B2A7D">
        <w:t>AE</w:t>
      </w:r>
      <w:r w:rsidRPr="00EB1471">
        <w:t xml:space="preserve"> </w:t>
      </w:r>
      <w:r>
        <w:t>has not been noted</w:t>
      </w:r>
      <w:r w:rsidRPr="00EB1471">
        <w:t xml:space="preserve"> in the sildenafil PI, n</w:t>
      </w:r>
      <w:r>
        <w:t>either</w:t>
      </w:r>
      <w:r w:rsidRPr="00EB1471">
        <w:t xml:space="preserve"> in the epoprostenol PI. </w:t>
      </w:r>
      <w:r>
        <w:t>G</w:t>
      </w:r>
      <w:r w:rsidRPr="00EB1471">
        <w:t xml:space="preserve">iven </w:t>
      </w:r>
      <w:r>
        <w:t xml:space="preserve">its </w:t>
      </w:r>
      <w:r w:rsidRPr="00EB1471">
        <w:t xml:space="preserve">low incidence and the absence of control group in the PACES extension study, the temporal association between this </w:t>
      </w:r>
      <w:r w:rsidR="006B2A7D">
        <w:t>AE</w:t>
      </w:r>
      <w:r w:rsidRPr="00EB1471">
        <w:t xml:space="preserve"> and combination therapy with sildenafil and epoprostenol cannot be </w:t>
      </w:r>
      <w:r>
        <w:t>established</w:t>
      </w:r>
      <w:r w:rsidRPr="00EB1471">
        <w:t xml:space="preserve">. </w:t>
      </w:r>
      <w:r>
        <w:t>Other</w:t>
      </w:r>
      <w:r w:rsidRPr="00EB1471">
        <w:t xml:space="preserve"> </w:t>
      </w:r>
      <w:r w:rsidR="006B2A7D">
        <w:t>AE</w:t>
      </w:r>
      <w:r w:rsidRPr="00EB1471">
        <w:t xml:space="preserve">s reported in PACES extension study have been identified by clinical trials or post-marketing data and are noted by sildenafil and/or epoprostenol PI document(s): for example, cardia arrest in the sildenafil PI; thrombocytopenia and increased risk of haemorrhage in the epoprostenol PI; headache, flushing, nausea, and skin reaction for both PI documents. </w:t>
      </w:r>
    </w:p>
    <w:p w:rsidR="001D0FDA" w:rsidRDefault="001D0FDA" w:rsidP="00480FDF">
      <w:pPr>
        <w:pStyle w:val="Heading4"/>
        <w:numPr>
          <w:ilvl w:val="3"/>
          <w:numId w:val="45"/>
        </w:numPr>
      </w:pPr>
      <w:r w:rsidRPr="00EB1471">
        <w:t>4.4.5.2</w:t>
      </w:r>
      <w:r w:rsidRPr="00EB1471">
        <w:tab/>
      </w:r>
      <w:r w:rsidR="00484F80">
        <w:tab/>
      </w:r>
      <w:r w:rsidRPr="00EB1471">
        <w:t xml:space="preserve">Safety information from regulatory agency </w:t>
      </w:r>
    </w:p>
    <w:p w:rsidR="001D0FDA" w:rsidRDefault="001D0FDA" w:rsidP="00480FDF">
      <w:pPr>
        <w:pStyle w:val="Heading5"/>
        <w:numPr>
          <w:ilvl w:val="4"/>
          <w:numId w:val="45"/>
        </w:numPr>
      </w:pPr>
      <w:bookmarkStart w:id="328" w:name="_Ref504508062"/>
      <w:r>
        <w:t>Safety s</w:t>
      </w:r>
      <w:r w:rsidRPr="00A96B79">
        <w:t>ignals</w:t>
      </w:r>
      <w:r>
        <w:t xml:space="preserve"> from </w:t>
      </w:r>
      <w:r w:rsidRPr="00A96B79">
        <w:t xml:space="preserve">variations </w:t>
      </w:r>
      <w:r>
        <w:t>to the EMA PI</w:t>
      </w:r>
    </w:p>
    <w:p w:rsidR="001D0FDA" w:rsidRDefault="001D0FDA" w:rsidP="001D0FDA">
      <w:r>
        <w:t xml:space="preserve">As stated in the Methodology section 4.3.4, among the three </w:t>
      </w:r>
      <w:r w:rsidRPr="006708E5">
        <w:t>regulatory agenc</w:t>
      </w:r>
      <w:r>
        <w:t>ies of</w:t>
      </w:r>
      <w:r w:rsidRPr="006708E5">
        <w:t xml:space="preserve"> </w:t>
      </w:r>
      <w:r>
        <w:t xml:space="preserve">TGA, EMA and FDA, the EMA is the only one which provides the </w:t>
      </w:r>
      <w:r w:rsidRPr="00520120">
        <w:t xml:space="preserve">systematic information </w:t>
      </w:r>
      <w:r>
        <w:t xml:space="preserve">on </w:t>
      </w:r>
      <w:r w:rsidRPr="00520120">
        <w:t xml:space="preserve">variations and updates to </w:t>
      </w:r>
      <w:r>
        <w:t>the PI (also called SmPC)</w:t>
      </w:r>
      <w:r w:rsidRPr="00520120">
        <w:t xml:space="preserve"> on its website</w:t>
      </w:r>
      <w:r>
        <w:t xml:space="preserve"> for products that are centrally authorised.</w:t>
      </w:r>
      <w:r w:rsidRPr="006708E5">
        <w:t xml:space="preserve"> Changes arose due to new clinical trial data, extensions to indications or amendments triggered by periodic safety update reports</w:t>
      </w:r>
      <w:r>
        <w:t xml:space="preserve">. In order to identify any safety signals that has not been identified by the </w:t>
      </w:r>
      <w:r>
        <w:lastRenderedPageBreak/>
        <w:t xml:space="preserve">TGA, the safety-related changes to the EMA SmPC were compared against the current Australian PI approved by the TGA and FDA product label. The key differences are summarised in </w:t>
      </w:r>
      <w:r w:rsidR="00AA722D">
        <w:t>Table 4.</w:t>
      </w:r>
      <w:r w:rsidR="00AA722D">
        <w:rPr>
          <w:noProof/>
        </w:rPr>
        <w:t>118</w:t>
      </w:r>
      <w:r>
        <w:t xml:space="preserve">. </w:t>
      </w:r>
    </w:p>
    <w:p w:rsidR="001D0FDA" w:rsidRPr="00EA41C2" w:rsidRDefault="001D0FDA" w:rsidP="001D0FDA">
      <w:pPr>
        <w:pStyle w:val="Caption"/>
      </w:pPr>
      <w:bookmarkStart w:id="329" w:name="_Ref506216084"/>
      <w:bookmarkStart w:id="330" w:name="_Toc512855522"/>
      <w:bookmarkEnd w:id="328"/>
      <w:r>
        <w:t>Table 4.</w:t>
      </w:r>
      <w:r w:rsidR="00AA722D">
        <w:rPr>
          <w:noProof/>
        </w:rPr>
        <w:t>118</w:t>
      </w:r>
      <w:bookmarkEnd w:id="329"/>
      <w:r>
        <w:tab/>
        <w:t>Comparison of changes to EMA SmPC with FDA PL and TGA PI</w:t>
      </w:r>
      <w:bookmarkEnd w:id="330"/>
      <w:r>
        <w:t xml:space="preserve"> </w:t>
      </w:r>
    </w:p>
    <w:tbl>
      <w:tblPr>
        <w:tblStyle w:val="TableGrid7"/>
        <w:tblW w:w="5000" w:type="pct"/>
        <w:tblLook w:val="04A0" w:firstRow="1" w:lastRow="0" w:firstColumn="1" w:lastColumn="0" w:noHBand="0" w:noVBand="1"/>
        <w:tblCaption w:val="Comparison of changes to EMA SmPC with FDA PL and TGA PI "/>
      </w:tblPr>
      <w:tblGrid>
        <w:gridCol w:w="4138"/>
        <w:gridCol w:w="3000"/>
        <w:gridCol w:w="2716"/>
      </w:tblGrid>
      <w:tr w:rsidR="001D0FDA" w:rsidRPr="00E7528C" w:rsidTr="001D0FDA">
        <w:trPr>
          <w:tblHeader/>
        </w:trPr>
        <w:tc>
          <w:tcPr>
            <w:tcW w:w="2100" w:type="pct"/>
            <w:tcBorders>
              <w:bottom w:val="single" w:sz="4" w:space="0" w:color="auto"/>
            </w:tcBorders>
            <w:shd w:val="clear" w:color="auto" w:fill="BFBFBF" w:themeFill="background1" w:themeFillShade="BF"/>
          </w:tcPr>
          <w:p w:rsidR="001D0FDA" w:rsidRDefault="001D0FDA" w:rsidP="001D0FDA">
            <w:pPr>
              <w:pStyle w:val="Tabletext"/>
              <w:rPr>
                <w:rFonts w:eastAsia="Calibri"/>
                <w:b/>
              </w:rPr>
            </w:pPr>
            <w:r>
              <w:rPr>
                <w:rFonts w:eastAsia="Calibri"/>
                <w:b/>
              </w:rPr>
              <w:t>EC approval date</w:t>
            </w:r>
          </w:p>
          <w:p w:rsidR="001D0FDA" w:rsidRPr="00E7528C" w:rsidRDefault="001D0FDA" w:rsidP="001D0FDA">
            <w:pPr>
              <w:pStyle w:val="Tabletext"/>
              <w:rPr>
                <w:rFonts w:eastAsia="Calibri"/>
                <w:b/>
              </w:rPr>
            </w:pPr>
            <w:r>
              <w:rPr>
                <w:rFonts w:eastAsia="Calibri"/>
                <w:b/>
              </w:rPr>
              <w:t>V</w:t>
            </w:r>
            <w:r w:rsidRPr="00E7528C">
              <w:rPr>
                <w:rFonts w:eastAsia="Calibri"/>
                <w:b/>
              </w:rPr>
              <w:t>ariations</w:t>
            </w:r>
            <w:r>
              <w:rPr>
                <w:rFonts w:eastAsia="Calibri"/>
                <w:b/>
              </w:rPr>
              <w:t xml:space="preserve"> to EMA SmPC (safety-related only)</w:t>
            </w:r>
          </w:p>
        </w:tc>
        <w:tc>
          <w:tcPr>
            <w:tcW w:w="1522" w:type="pct"/>
            <w:tcBorders>
              <w:bottom w:val="single" w:sz="4" w:space="0" w:color="auto"/>
            </w:tcBorders>
            <w:shd w:val="clear" w:color="auto" w:fill="BFBFBF" w:themeFill="background1" w:themeFillShade="BF"/>
          </w:tcPr>
          <w:p w:rsidR="001D0FDA" w:rsidRPr="00E7528C" w:rsidRDefault="001D0FDA" w:rsidP="001D0FDA">
            <w:pPr>
              <w:pStyle w:val="Tabletext"/>
              <w:rPr>
                <w:rFonts w:eastAsia="Calibri"/>
                <w:b/>
              </w:rPr>
            </w:pPr>
            <w:r w:rsidRPr="00E7528C">
              <w:rPr>
                <w:rFonts w:eastAsia="Calibri"/>
                <w:b/>
              </w:rPr>
              <w:t>FDA PL</w:t>
            </w:r>
          </w:p>
        </w:tc>
        <w:tc>
          <w:tcPr>
            <w:tcW w:w="1378" w:type="pct"/>
            <w:tcBorders>
              <w:bottom w:val="single" w:sz="4" w:space="0" w:color="auto"/>
            </w:tcBorders>
            <w:shd w:val="clear" w:color="auto" w:fill="BFBFBF" w:themeFill="background1" w:themeFillShade="BF"/>
          </w:tcPr>
          <w:p w:rsidR="001D0FDA" w:rsidRPr="00E7528C" w:rsidRDefault="001D0FDA" w:rsidP="001D0FDA">
            <w:pPr>
              <w:pStyle w:val="Tabletext"/>
              <w:rPr>
                <w:rFonts w:eastAsia="Calibri"/>
                <w:b/>
              </w:rPr>
            </w:pPr>
            <w:r w:rsidRPr="00E7528C">
              <w:rPr>
                <w:rFonts w:eastAsia="Calibri"/>
                <w:b/>
              </w:rPr>
              <w:t>TGA PI</w:t>
            </w:r>
          </w:p>
        </w:tc>
      </w:tr>
      <w:tr w:rsidR="001D0FDA" w:rsidRPr="00847A11" w:rsidTr="001D0FDA">
        <w:tc>
          <w:tcPr>
            <w:tcW w:w="2100" w:type="pct"/>
            <w:shd w:val="clear" w:color="auto" w:fill="000000" w:themeFill="text1"/>
          </w:tcPr>
          <w:p w:rsidR="001D0FDA" w:rsidRPr="00847A11" w:rsidRDefault="001D0FDA" w:rsidP="001D0FDA">
            <w:pPr>
              <w:pStyle w:val="Tabletext"/>
              <w:rPr>
                <w:rFonts w:eastAsia="Calibri"/>
                <w:b/>
                <w:color w:val="FFFFFF" w:themeColor="background1"/>
              </w:rPr>
            </w:pPr>
            <w:r w:rsidRPr="00847A11">
              <w:rPr>
                <w:rFonts w:eastAsia="Calibri"/>
                <w:b/>
                <w:color w:val="FFFFFF" w:themeColor="background1"/>
              </w:rPr>
              <w:t xml:space="preserve">Bosentan </w:t>
            </w:r>
          </w:p>
        </w:tc>
        <w:tc>
          <w:tcPr>
            <w:tcW w:w="1522" w:type="pct"/>
            <w:shd w:val="clear" w:color="auto" w:fill="000000" w:themeFill="text1"/>
          </w:tcPr>
          <w:p w:rsidR="001D0FDA" w:rsidRPr="00847A11" w:rsidRDefault="001D0FDA" w:rsidP="001D0FDA">
            <w:pPr>
              <w:pStyle w:val="Tabletext"/>
              <w:rPr>
                <w:rFonts w:eastAsia="Calibri"/>
                <w:color w:val="FFFFFF" w:themeColor="background1"/>
              </w:rPr>
            </w:pPr>
          </w:p>
        </w:tc>
        <w:tc>
          <w:tcPr>
            <w:tcW w:w="1378" w:type="pct"/>
            <w:shd w:val="clear" w:color="auto" w:fill="000000" w:themeFill="text1"/>
          </w:tcPr>
          <w:p w:rsidR="001D0FDA" w:rsidRPr="00847A11" w:rsidRDefault="001D0FDA" w:rsidP="001D0FDA">
            <w:pPr>
              <w:pStyle w:val="Tabletext"/>
              <w:rPr>
                <w:rFonts w:eastAsia="Calibri"/>
                <w:color w:val="FFFFFF" w:themeColor="background1"/>
              </w:rPr>
            </w:pPr>
          </w:p>
        </w:tc>
      </w:tr>
      <w:tr w:rsidR="001D0FDA" w:rsidRPr="00D24E86" w:rsidTr="001D0FDA">
        <w:tc>
          <w:tcPr>
            <w:tcW w:w="2100" w:type="pct"/>
          </w:tcPr>
          <w:p w:rsidR="001D0FDA" w:rsidRPr="00D24E86" w:rsidRDefault="001D0FDA" w:rsidP="001D0FDA">
            <w:pPr>
              <w:pStyle w:val="Tabletext"/>
              <w:rPr>
                <w:rFonts w:eastAsia="Calibri"/>
              </w:rPr>
            </w:pPr>
            <w:r w:rsidRPr="00D24E86">
              <w:rPr>
                <w:rFonts w:eastAsia="Calibri"/>
              </w:rPr>
              <w:t>26/09/2017</w:t>
            </w:r>
          </w:p>
          <w:p w:rsidR="001D0FDA" w:rsidRPr="00D24E86" w:rsidRDefault="001D0FDA" w:rsidP="001D0FDA">
            <w:pPr>
              <w:pStyle w:val="Tabletext"/>
              <w:rPr>
                <w:rFonts w:eastAsia="Calibri"/>
              </w:rPr>
            </w:pPr>
            <w:r w:rsidRPr="00847A11">
              <w:rPr>
                <w:rFonts w:eastAsia="Calibri"/>
              </w:rPr>
              <w:t>Pharmacokinetic</w:t>
            </w:r>
            <w:r w:rsidRPr="00D24E86">
              <w:rPr>
                <w:rFonts w:eastAsia="Calibri"/>
              </w:rPr>
              <w:t xml:space="preserve"> interaction between tadalafil and bosentan to be mentioned in the bosentan </w:t>
            </w:r>
            <w:r>
              <w:rPr>
                <w:rFonts w:eastAsia="Calibri"/>
              </w:rPr>
              <w:t>SmPC</w:t>
            </w:r>
            <w:r w:rsidRPr="00D24E86">
              <w:rPr>
                <w:rFonts w:eastAsia="Calibri"/>
              </w:rPr>
              <w:t xml:space="preserve"> per Srinivas et al (2016), ie the exposure of tadalafil was reduced by bosentan; whilst tadalafil did not affect the exposure of bosentan or its metabolites.</w:t>
            </w:r>
          </w:p>
        </w:tc>
        <w:tc>
          <w:tcPr>
            <w:tcW w:w="1522" w:type="pct"/>
          </w:tcPr>
          <w:p w:rsidR="001D0FDA" w:rsidRPr="00D24E86" w:rsidRDefault="001D0FDA" w:rsidP="001D0FDA">
            <w:pPr>
              <w:pStyle w:val="Tabletext"/>
              <w:rPr>
                <w:rFonts w:eastAsia="Calibri"/>
              </w:rPr>
            </w:pPr>
            <w:r w:rsidRPr="00D24E86">
              <w:rPr>
                <w:rFonts w:eastAsia="Calibri"/>
              </w:rPr>
              <w:t>The drug interaction between tadalafil has been noted in the tadalafil PL, but not in the bosentan PL.</w:t>
            </w:r>
          </w:p>
        </w:tc>
        <w:tc>
          <w:tcPr>
            <w:tcW w:w="1378" w:type="pct"/>
          </w:tcPr>
          <w:p w:rsidR="001D0FDA" w:rsidRPr="00D24E86" w:rsidRDefault="001D0FDA" w:rsidP="001D0FDA">
            <w:pPr>
              <w:pStyle w:val="Tabletext"/>
              <w:rPr>
                <w:rFonts w:eastAsia="Calibri"/>
              </w:rPr>
            </w:pPr>
            <w:r w:rsidRPr="00D24E86">
              <w:rPr>
                <w:rFonts w:eastAsia="Calibri"/>
              </w:rPr>
              <w:t>The drug interaction between tadalafil has been noted in the tadalafil PI, but not in the bosentan PI.</w:t>
            </w:r>
          </w:p>
        </w:tc>
      </w:tr>
      <w:tr w:rsidR="001D0FDA" w:rsidRPr="00D24E86" w:rsidTr="001D0FDA">
        <w:tc>
          <w:tcPr>
            <w:tcW w:w="2100" w:type="pct"/>
            <w:tcBorders>
              <w:bottom w:val="single" w:sz="4" w:space="0" w:color="auto"/>
            </w:tcBorders>
          </w:tcPr>
          <w:p w:rsidR="001D0FDA" w:rsidRPr="00D24E86" w:rsidRDefault="001D0FDA" w:rsidP="001D0FDA">
            <w:pPr>
              <w:pStyle w:val="Tabletext"/>
              <w:rPr>
                <w:rFonts w:eastAsia="Calibri"/>
              </w:rPr>
            </w:pPr>
            <w:r w:rsidRPr="00D24E86">
              <w:rPr>
                <w:rFonts w:eastAsia="Calibri"/>
              </w:rPr>
              <w:t>22/04/2010</w:t>
            </w:r>
          </w:p>
          <w:p w:rsidR="001D0FDA" w:rsidRPr="00D24E86" w:rsidRDefault="001D0FDA" w:rsidP="001D0FDA">
            <w:pPr>
              <w:pStyle w:val="Tabletext"/>
              <w:rPr>
                <w:rFonts w:eastAsia="Calibri"/>
              </w:rPr>
            </w:pPr>
            <w:r w:rsidRPr="00D24E86">
              <w:rPr>
                <w:rFonts w:eastAsia="Calibri"/>
              </w:rPr>
              <w:t>A new warning statement against use of bosentan in COPD based on results of an exploratory safety study, and a note that “an increase in minute ventilation and a decrease in oxygen saturation were observed and the most frequent adverse event was dyspnoea, which resolved with discontinuation of bosentan”.</w:t>
            </w:r>
          </w:p>
        </w:tc>
        <w:tc>
          <w:tcPr>
            <w:tcW w:w="1522" w:type="pct"/>
            <w:tcBorders>
              <w:bottom w:val="single" w:sz="4" w:space="0" w:color="auto"/>
            </w:tcBorders>
          </w:tcPr>
          <w:p w:rsidR="001D0FDA" w:rsidRPr="00D24E86" w:rsidRDefault="001D0FDA" w:rsidP="001D0FDA">
            <w:pPr>
              <w:pStyle w:val="Tabletext"/>
              <w:rPr>
                <w:rFonts w:eastAsia="Calibri"/>
              </w:rPr>
            </w:pPr>
            <w:r>
              <w:rPr>
                <w:rFonts w:eastAsia="Calibri"/>
              </w:rPr>
              <w:t xml:space="preserve">Such warning is not included in </w:t>
            </w:r>
            <w:r w:rsidRPr="00D24E86">
              <w:rPr>
                <w:rFonts w:eastAsia="Calibri"/>
              </w:rPr>
              <w:t>the FDA PL</w:t>
            </w:r>
          </w:p>
        </w:tc>
        <w:tc>
          <w:tcPr>
            <w:tcW w:w="1378" w:type="pct"/>
            <w:tcBorders>
              <w:bottom w:val="single" w:sz="4" w:space="0" w:color="auto"/>
            </w:tcBorders>
          </w:tcPr>
          <w:p w:rsidR="001D0FDA" w:rsidRPr="00D24E86" w:rsidRDefault="001D0FDA" w:rsidP="001D0FDA">
            <w:pPr>
              <w:pStyle w:val="Tabletext"/>
              <w:rPr>
                <w:rFonts w:eastAsia="Calibri"/>
              </w:rPr>
            </w:pPr>
            <w:r>
              <w:rPr>
                <w:rFonts w:eastAsia="Calibri"/>
              </w:rPr>
              <w:t>Such warning is n</w:t>
            </w:r>
            <w:r w:rsidRPr="00D24E86">
              <w:rPr>
                <w:rFonts w:eastAsia="Calibri"/>
              </w:rPr>
              <w:t xml:space="preserve">ot </w:t>
            </w:r>
            <w:r>
              <w:rPr>
                <w:rFonts w:eastAsia="Calibri"/>
              </w:rPr>
              <w:t>included in</w:t>
            </w:r>
            <w:r w:rsidRPr="00D24E86">
              <w:rPr>
                <w:rFonts w:eastAsia="Calibri"/>
              </w:rPr>
              <w:t xml:space="preserve"> the TGA PI</w:t>
            </w:r>
          </w:p>
        </w:tc>
      </w:tr>
      <w:tr w:rsidR="001D0FDA" w:rsidRPr="00847A11" w:rsidTr="001D0FDA">
        <w:tc>
          <w:tcPr>
            <w:tcW w:w="2100" w:type="pct"/>
            <w:shd w:val="clear" w:color="auto" w:fill="000000" w:themeFill="text1"/>
          </w:tcPr>
          <w:p w:rsidR="001D0FDA" w:rsidRPr="00847A11" w:rsidRDefault="001D0FDA" w:rsidP="001D0FDA">
            <w:pPr>
              <w:pStyle w:val="Tabletext"/>
              <w:rPr>
                <w:rFonts w:eastAsia="Calibri"/>
                <w:b/>
                <w:color w:val="FFFFFF" w:themeColor="background1"/>
              </w:rPr>
            </w:pPr>
            <w:r w:rsidRPr="00847A11">
              <w:rPr>
                <w:rFonts w:eastAsia="Calibri"/>
                <w:b/>
                <w:color w:val="FFFFFF" w:themeColor="background1"/>
              </w:rPr>
              <w:t>Ambrisentan</w:t>
            </w:r>
          </w:p>
        </w:tc>
        <w:tc>
          <w:tcPr>
            <w:tcW w:w="1522" w:type="pct"/>
            <w:shd w:val="clear" w:color="auto" w:fill="000000" w:themeFill="text1"/>
          </w:tcPr>
          <w:p w:rsidR="001D0FDA" w:rsidRPr="00847A11" w:rsidRDefault="001D0FDA" w:rsidP="001D0FDA">
            <w:pPr>
              <w:pStyle w:val="Tabletext"/>
              <w:rPr>
                <w:rFonts w:eastAsia="Calibri"/>
                <w:color w:val="FFFFFF" w:themeColor="background1"/>
              </w:rPr>
            </w:pPr>
          </w:p>
        </w:tc>
        <w:tc>
          <w:tcPr>
            <w:tcW w:w="1378" w:type="pct"/>
            <w:shd w:val="clear" w:color="auto" w:fill="000000" w:themeFill="text1"/>
          </w:tcPr>
          <w:p w:rsidR="001D0FDA" w:rsidRPr="00847A11" w:rsidRDefault="001D0FDA" w:rsidP="001D0FDA">
            <w:pPr>
              <w:pStyle w:val="Tabletext"/>
              <w:rPr>
                <w:rFonts w:eastAsia="Calibri"/>
                <w:color w:val="FFFFFF" w:themeColor="background1"/>
              </w:rPr>
            </w:pPr>
          </w:p>
        </w:tc>
      </w:tr>
      <w:tr w:rsidR="001D0FDA" w:rsidRPr="00EA41C2" w:rsidTr="001D0FDA">
        <w:tc>
          <w:tcPr>
            <w:tcW w:w="2100" w:type="pct"/>
            <w:tcBorders>
              <w:bottom w:val="single" w:sz="4" w:space="0" w:color="auto"/>
            </w:tcBorders>
          </w:tcPr>
          <w:p w:rsidR="001D0FDA" w:rsidRDefault="001D0FDA" w:rsidP="001D0FDA">
            <w:pPr>
              <w:pStyle w:val="Tabletext"/>
              <w:rPr>
                <w:rFonts w:eastAsia="Calibri"/>
              </w:rPr>
            </w:pPr>
            <w:r>
              <w:rPr>
                <w:rFonts w:eastAsia="Calibri"/>
              </w:rPr>
              <w:t>23/03/2010</w:t>
            </w:r>
          </w:p>
          <w:p w:rsidR="001D0FDA" w:rsidRPr="0011408C" w:rsidRDefault="001D0FDA" w:rsidP="001D0FDA">
            <w:pPr>
              <w:pStyle w:val="Tabletext"/>
              <w:rPr>
                <w:rFonts w:eastAsia="Calibri"/>
              </w:rPr>
            </w:pPr>
            <w:r w:rsidRPr="0011408C">
              <w:rPr>
                <w:rFonts w:eastAsia="Calibri"/>
              </w:rPr>
              <w:t>Based on results of a drug-drug interaction study with rifampicin</w:t>
            </w:r>
            <w:r>
              <w:rPr>
                <w:rFonts w:eastAsia="Calibri"/>
              </w:rPr>
              <w:t xml:space="preserve">, </w:t>
            </w:r>
            <w:r w:rsidRPr="0011408C">
              <w:rPr>
                <w:rFonts w:eastAsia="Calibri"/>
              </w:rPr>
              <w:t xml:space="preserve">Sections 4.5 </w:t>
            </w:r>
            <w:r>
              <w:rPr>
                <w:rFonts w:eastAsia="Calibri"/>
              </w:rPr>
              <w:t>(I</w:t>
            </w:r>
            <w:r w:rsidRPr="0011408C">
              <w:rPr>
                <w:rFonts w:eastAsia="Calibri"/>
              </w:rPr>
              <w:t xml:space="preserve">nteraction with other medicinal products) </w:t>
            </w:r>
            <w:r>
              <w:rPr>
                <w:rFonts w:eastAsia="Calibri"/>
              </w:rPr>
              <w:t>and 5.2 (P</w:t>
            </w:r>
            <w:r w:rsidRPr="0011408C">
              <w:rPr>
                <w:rFonts w:eastAsia="Calibri"/>
              </w:rPr>
              <w:t xml:space="preserve">harmacokinetic properties) updated to include a transient (approximately 2-fold) increase in ambrisentan exposure (not clinically relevant) in patients receiving rifampicin. </w:t>
            </w:r>
          </w:p>
          <w:p w:rsidR="001D0FDA" w:rsidRPr="00D24E86" w:rsidRDefault="001D0FDA" w:rsidP="001D0FDA">
            <w:pPr>
              <w:pStyle w:val="Tabletext"/>
              <w:rPr>
                <w:rFonts w:eastAsia="Calibri"/>
              </w:rPr>
            </w:pPr>
            <w:r w:rsidRPr="0011408C">
              <w:rPr>
                <w:rFonts w:eastAsia="Calibri"/>
              </w:rPr>
              <w:t xml:space="preserve">A warning statement is added in section 4.4 </w:t>
            </w:r>
            <w:r>
              <w:rPr>
                <w:rFonts w:eastAsia="Calibri"/>
              </w:rPr>
              <w:t xml:space="preserve">(Special warnings and precautions for use) </w:t>
            </w:r>
            <w:r w:rsidRPr="0011408C">
              <w:rPr>
                <w:rFonts w:eastAsia="Calibri"/>
              </w:rPr>
              <w:t>that patients on ambrisentan therapy should be closely monitored when star</w:t>
            </w:r>
            <w:r>
              <w:rPr>
                <w:rFonts w:eastAsia="Calibri"/>
              </w:rPr>
              <w:t>ting treatment with rifampicin.</w:t>
            </w:r>
          </w:p>
        </w:tc>
        <w:tc>
          <w:tcPr>
            <w:tcW w:w="1522" w:type="pct"/>
            <w:tcBorders>
              <w:bottom w:val="single" w:sz="4" w:space="0" w:color="auto"/>
            </w:tcBorders>
          </w:tcPr>
          <w:p w:rsidR="001D0FDA" w:rsidRPr="00D24E86" w:rsidRDefault="001D0FDA" w:rsidP="001D0FDA">
            <w:pPr>
              <w:pStyle w:val="Tabletext"/>
              <w:rPr>
                <w:rFonts w:eastAsia="Calibri"/>
              </w:rPr>
            </w:pPr>
            <w:r>
              <w:rPr>
                <w:rFonts w:eastAsia="Calibri"/>
              </w:rPr>
              <w:t>Drug interaction between ambrisentan and rifampicin is not included in the FDA PL</w:t>
            </w:r>
          </w:p>
        </w:tc>
        <w:tc>
          <w:tcPr>
            <w:tcW w:w="1378" w:type="pct"/>
            <w:tcBorders>
              <w:bottom w:val="single" w:sz="4" w:space="0" w:color="auto"/>
            </w:tcBorders>
          </w:tcPr>
          <w:p w:rsidR="001D0FDA" w:rsidRPr="00D24E86" w:rsidRDefault="001D0FDA" w:rsidP="001D0FDA">
            <w:pPr>
              <w:pStyle w:val="Tabletext"/>
              <w:rPr>
                <w:rFonts w:eastAsia="Calibri"/>
              </w:rPr>
            </w:pPr>
            <w:r>
              <w:rPr>
                <w:rFonts w:eastAsia="Calibri"/>
              </w:rPr>
              <w:t xml:space="preserve">Although the TGA PI included information on drug interaction between ambrisentan and rifampicin, no </w:t>
            </w:r>
            <w:r w:rsidRPr="0011408C">
              <w:rPr>
                <w:rFonts w:eastAsia="Calibri"/>
              </w:rPr>
              <w:t xml:space="preserve">warning statement </w:t>
            </w:r>
            <w:r>
              <w:rPr>
                <w:rFonts w:eastAsia="Calibri"/>
              </w:rPr>
              <w:t xml:space="preserve">is included regarding the requirement of close monitoring in patients on </w:t>
            </w:r>
            <w:r w:rsidRPr="0011408C">
              <w:rPr>
                <w:rFonts w:eastAsia="Calibri"/>
              </w:rPr>
              <w:t xml:space="preserve">ambrisentan therapy </w:t>
            </w:r>
            <w:r>
              <w:rPr>
                <w:rFonts w:eastAsia="Calibri"/>
              </w:rPr>
              <w:t xml:space="preserve">when </w:t>
            </w:r>
            <w:r w:rsidRPr="0011408C">
              <w:rPr>
                <w:rFonts w:eastAsia="Calibri"/>
              </w:rPr>
              <w:t>sta</w:t>
            </w:r>
            <w:r>
              <w:rPr>
                <w:rFonts w:eastAsia="Calibri"/>
              </w:rPr>
              <w:t>rting treatment with rifampicin</w:t>
            </w:r>
          </w:p>
        </w:tc>
      </w:tr>
      <w:tr w:rsidR="001D0FDA" w:rsidRPr="00847A11" w:rsidTr="001D0FDA">
        <w:tc>
          <w:tcPr>
            <w:tcW w:w="2100" w:type="pct"/>
            <w:shd w:val="clear" w:color="auto" w:fill="000000" w:themeFill="text1"/>
          </w:tcPr>
          <w:p w:rsidR="001D0FDA" w:rsidRPr="00847A11" w:rsidRDefault="001D0FDA" w:rsidP="001D0FDA">
            <w:pPr>
              <w:pStyle w:val="Tabletext"/>
              <w:rPr>
                <w:rFonts w:eastAsia="Calibri"/>
                <w:b/>
                <w:color w:val="FFFFFF" w:themeColor="background1"/>
              </w:rPr>
            </w:pPr>
            <w:r w:rsidRPr="00847A11">
              <w:rPr>
                <w:rFonts w:eastAsia="Calibri"/>
                <w:b/>
                <w:color w:val="FFFFFF" w:themeColor="background1"/>
              </w:rPr>
              <w:t>Sildenafil</w:t>
            </w:r>
          </w:p>
        </w:tc>
        <w:tc>
          <w:tcPr>
            <w:tcW w:w="1522" w:type="pct"/>
            <w:shd w:val="clear" w:color="auto" w:fill="000000" w:themeFill="text1"/>
          </w:tcPr>
          <w:p w:rsidR="001D0FDA" w:rsidRPr="00847A11" w:rsidRDefault="001D0FDA" w:rsidP="001D0FDA">
            <w:pPr>
              <w:pStyle w:val="Tabletext"/>
              <w:rPr>
                <w:rFonts w:eastAsia="Calibri"/>
                <w:color w:val="FFFFFF" w:themeColor="background1"/>
              </w:rPr>
            </w:pPr>
          </w:p>
        </w:tc>
        <w:tc>
          <w:tcPr>
            <w:tcW w:w="1378" w:type="pct"/>
            <w:shd w:val="clear" w:color="auto" w:fill="000000" w:themeFill="text1"/>
          </w:tcPr>
          <w:p w:rsidR="001D0FDA" w:rsidRPr="00847A11" w:rsidRDefault="001D0FDA" w:rsidP="001D0FDA">
            <w:pPr>
              <w:pStyle w:val="Tabletext"/>
              <w:rPr>
                <w:rFonts w:eastAsia="Calibri"/>
                <w:color w:val="FFFFFF" w:themeColor="background1"/>
              </w:rPr>
            </w:pPr>
          </w:p>
        </w:tc>
      </w:tr>
      <w:tr w:rsidR="001D0FDA" w:rsidRPr="00EA41C2" w:rsidTr="001D0FDA">
        <w:tc>
          <w:tcPr>
            <w:tcW w:w="2100" w:type="pct"/>
          </w:tcPr>
          <w:p w:rsidR="001D0FDA" w:rsidRDefault="001D0FDA" w:rsidP="001D0FDA">
            <w:pPr>
              <w:pStyle w:val="Tabletext"/>
              <w:rPr>
                <w:rFonts w:eastAsia="Calibri"/>
              </w:rPr>
            </w:pPr>
            <w:r>
              <w:rPr>
                <w:rFonts w:eastAsia="Calibri"/>
              </w:rPr>
              <w:t>Pending</w:t>
            </w:r>
          </w:p>
          <w:p w:rsidR="001D0FDA" w:rsidRDefault="001D0FDA" w:rsidP="001D0FDA">
            <w:pPr>
              <w:pStyle w:val="Tabletext"/>
              <w:rPr>
                <w:rFonts w:eastAsia="Calibri"/>
              </w:rPr>
            </w:pPr>
            <w:r w:rsidRPr="00110084">
              <w:rPr>
                <w:rFonts w:eastAsia="Calibri"/>
              </w:rPr>
              <w:t>There are no adequate and well controlled studies in lactating women. Based on data from one lactating woman, it has been concluded that sildenafil and its active metabolite N-desmethylsildenafil are excreted into b</w:t>
            </w:r>
            <w:r>
              <w:rPr>
                <w:rFonts w:eastAsia="Calibri"/>
              </w:rPr>
              <w:t xml:space="preserve">reast milk at very low levels. </w:t>
            </w:r>
          </w:p>
        </w:tc>
        <w:tc>
          <w:tcPr>
            <w:tcW w:w="1522" w:type="pct"/>
          </w:tcPr>
          <w:p w:rsidR="001D0FDA" w:rsidRDefault="001D0FDA" w:rsidP="001D0FDA">
            <w:pPr>
              <w:pStyle w:val="Tabletext"/>
              <w:rPr>
                <w:rFonts w:eastAsia="Calibri"/>
              </w:rPr>
            </w:pPr>
            <w:r>
              <w:rPr>
                <w:rFonts w:eastAsia="Calibri"/>
              </w:rPr>
              <w:t>The FDA PL states that i</w:t>
            </w:r>
            <w:r w:rsidRPr="00110084">
              <w:rPr>
                <w:rFonts w:eastAsia="Calibri"/>
              </w:rPr>
              <w:t xml:space="preserve">t is not known if sildenafil or its metabolites are excreted in human breast milk. Because many drugs are excreted in human milk, caution should be exercised when </w:t>
            </w:r>
            <w:r>
              <w:rPr>
                <w:rFonts w:eastAsia="Calibri"/>
              </w:rPr>
              <w:t>sildenafil</w:t>
            </w:r>
            <w:r w:rsidRPr="00110084">
              <w:rPr>
                <w:rFonts w:eastAsia="Calibri"/>
              </w:rPr>
              <w:t xml:space="preserve"> is a</w:t>
            </w:r>
            <w:r>
              <w:rPr>
                <w:rFonts w:eastAsia="Calibri"/>
              </w:rPr>
              <w:t>dministered to a nursing woman.</w:t>
            </w:r>
          </w:p>
        </w:tc>
        <w:tc>
          <w:tcPr>
            <w:tcW w:w="1378" w:type="pct"/>
          </w:tcPr>
          <w:p w:rsidR="001D0FDA" w:rsidRDefault="001D0FDA" w:rsidP="001D0FDA">
            <w:pPr>
              <w:pStyle w:val="Tabletext"/>
              <w:rPr>
                <w:rFonts w:eastAsia="Calibri"/>
              </w:rPr>
            </w:pPr>
            <w:r>
              <w:rPr>
                <w:rFonts w:eastAsia="Calibri"/>
              </w:rPr>
              <w:t>The TGA PI states that n</w:t>
            </w:r>
            <w:r w:rsidRPr="00110084">
              <w:rPr>
                <w:rFonts w:eastAsia="Calibri"/>
              </w:rPr>
              <w:t>o information is available on its secretion into breast milk. Sildenafil should not be administered to breast-feeding mothe</w:t>
            </w:r>
            <w:r>
              <w:rPr>
                <w:rFonts w:eastAsia="Calibri"/>
              </w:rPr>
              <w:t>rs.</w:t>
            </w:r>
          </w:p>
        </w:tc>
      </w:tr>
      <w:tr w:rsidR="001D0FDA" w:rsidRPr="00EA41C2" w:rsidTr="001D0FDA">
        <w:tc>
          <w:tcPr>
            <w:tcW w:w="2100" w:type="pct"/>
          </w:tcPr>
          <w:p w:rsidR="001D0FDA" w:rsidRDefault="001D0FDA" w:rsidP="001D0FDA">
            <w:pPr>
              <w:pStyle w:val="Tabletext"/>
              <w:rPr>
                <w:rFonts w:eastAsia="Calibri"/>
              </w:rPr>
            </w:pPr>
            <w:r w:rsidRPr="00937F58">
              <w:rPr>
                <w:rFonts w:eastAsia="Calibri"/>
              </w:rPr>
              <w:t>13/12/2013</w:t>
            </w:r>
          </w:p>
          <w:p w:rsidR="001D0FDA" w:rsidRDefault="001D0FDA" w:rsidP="001D0FDA">
            <w:pPr>
              <w:pStyle w:val="Tabletext"/>
              <w:rPr>
                <w:rFonts w:eastAsia="Calibri"/>
              </w:rPr>
            </w:pPr>
            <w:r w:rsidRPr="00937F58">
              <w:rPr>
                <w:rFonts w:eastAsia="Calibri"/>
              </w:rPr>
              <w:t xml:space="preserve">The assessment of the data concerning background incidence, literature, clinical trials, post-marketing experience, and data mining leads to inclusion of the terms </w:t>
            </w:r>
            <w:r>
              <w:rPr>
                <w:rFonts w:eastAsia="Calibri"/>
              </w:rPr>
              <w:t>‘p</w:t>
            </w:r>
            <w:r w:rsidRPr="00937F58">
              <w:rPr>
                <w:rFonts w:eastAsia="Calibri"/>
              </w:rPr>
              <w:t>enile haemorrhage</w:t>
            </w:r>
            <w:r>
              <w:rPr>
                <w:rFonts w:eastAsia="Calibri"/>
              </w:rPr>
              <w:t>’</w:t>
            </w:r>
            <w:r w:rsidRPr="00937F58">
              <w:rPr>
                <w:rFonts w:eastAsia="Calibri"/>
              </w:rPr>
              <w:t xml:space="preserve">, </w:t>
            </w:r>
            <w:r>
              <w:rPr>
                <w:rFonts w:eastAsia="Calibri"/>
              </w:rPr>
              <w:t>‘h</w:t>
            </w:r>
            <w:r w:rsidRPr="00937F58">
              <w:rPr>
                <w:rFonts w:eastAsia="Calibri"/>
              </w:rPr>
              <w:t>aematospermia</w:t>
            </w:r>
            <w:r>
              <w:rPr>
                <w:rFonts w:eastAsia="Calibri"/>
              </w:rPr>
              <w:t>’</w:t>
            </w:r>
            <w:r w:rsidRPr="00937F58">
              <w:rPr>
                <w:rFonts w:eastAsia="Calibri"/>
              </w:rPr>
              <w:t xml:space="preserve">, and </w:t>
            </w:r>
            <w:r>
              <w:rPr>
                <w:rFonts w:eastAsia="Calibri"/>
              </w:rPr>
              <w:t>‘h</w:t>
            </w:r>
            <w:r w:rsidRPr="00937F58">
              <w:rPr>
                <w:rFonts w:eastAsia="Calibri"/>
              </w:rPr>
              <w:t>aematuria</w:t>
            </w:r>
            <w:r>
              <w:rPr>
                <w:rFonts w:eastAsia="Calibri"/>
              </w:rPr>
              <w:t>’</w:t>
            </w:r>
            <w:r w:rsidRPr="00937F58">
              <w:rPr>
                <w:rFonts w:eastAsia="Calibri"/>
              </w:rPr>
              <w:t xml:space="preserve"> to Section 4.8 </w:t>
            </w:r>
            <w:r>
              <w:rPr>
                <w:rFonts w:eastAsia="Calibri"/>
              </w:rPr>
              <w:lastRenderedPageBreak/>
              <w:t xml:space="preserve">(Undesirable effects) </w:t>
            </w:r>
            <w:r w:rsidRPr="00937F58">
              <w:rPr>
                <w:rFonts w:eastAsia="Calibri"/>
              </w:rPr>
              <w:t xml:space="preserve">with a frequency of uncommon. This was the outcome of a safety review initiated by the EMA that concluded these genitourinary bleeding events were a class effect of PDE-5 inhibitors and should be reflected in product information for both PAH and erectile dysfunction indications.  </w:t>
            </w:r>
          </w:p>
        </w:tc>
        <w:tc>
          <w:tcPr>
            <w:tcW w:w="1522" w:type="pct"/>
          </w:tcPr>
          <w:p w:rsidR="001D0FDA" w:rsidRDefault="001D0FDA" w:rsidP="001D0FDA">
            <w:pPr>
              <w:pStyle w:val="Tabletext"/>
              <w:rPr>
                <w:rFonts w:eastAsia="Calibri"/>
              </w:rPr>
            </w:pPr>
            <w:r>
              <w:rPr>
                <w:rFonts w:eastAsia="Calibri"/>
              </w:rPr>
              <w:lastRenderedPageBreak/>
              <w:t xml:space="preserve">AEs of </w:t>
            </w:r>
            <w:r w:rsidRPr="00B8486E">
              <w:rPr>
                <w:rFonts w:eastAsia="Calibri"/>
              </w:rPr>
              <w:t xml:space="preserve">‘penile haemorrhage’, ‘haematospermia’, and ‘haematuria’ </w:t>
            </w:r>
            <w:r>
              <w:rPr>
                <w:rFonts w:eastAsia="Calibri"/>
              </w:rPr>
              <w:t>are not included in the FDA PL</w:t>
            </w:r>
          </w:p>
        </w:tc>
        <w:tc>
          <w:tcPr>
            <w:tcW w:w="1378" w:type="pct"/>
          </w:tcPr>
          <w:p w:rsidR="001D0FDA" w:rsidRDefault="001D0FDA" w:rsidP="001D0FDA">
            <w:pPr>
              <w:pStyle w:val="Tabletext"/>
              <w:rPr>
                <w:rFonts w:eastAsia="Calibri"/>
              </w:rPr>
            </w:pPr>
            <w:r>
              <w:rPr>
                <w:rFonts w:eastAsia="Calibri"/>
              </w:rPr>
              <w:t xml:space="preserve">AEs of </w:t>
            </w:r>
            <w:r w:rsidRPr="00B8486E">
              <w:rPr>
                <w:rFonts w:eastAsia="Calibri"/>
              </w:rPr>
              <w:t xml:space="preserve">‘penile haemorrhage’, ‘haematospermia’, and ‘haematuria’ </w:t>
            </w:r>
            <w:r>
              <w:rPr>
                <w:rFonts w:eastAsia="Calibri"/>
              </w:rPr>
              <w:t>are not included in the TGA PI</w:t>
            </w:r>
          </w:p>
        </w:tc>
      </w:tr>
      <w:tr w:rsidR="001D0FDA" w:rsidRPr="00EA41C2" w:rsidTr="001D0FDA">
        <w:tc>
          <w:tcPr>
            <w:tcW w:w="2100" w:type="pct"/>
          </w:tcPr>
          <w:p w:rsidR="001D0FDA" w:rsidRDefault="001D0FDA" w:rsidP="001D0FDA">
            <w:pPr>
              <w:pStyle w:val="Tabletext"/>
              <w:rPr>
                <w:rFonts w:eastAsia="Calibri"/>
              </w:rPr>
            </w:pPr>
            <w:r w:rsidRPr="00937F58">
              <w:rPr>
                <w:rFonts w:eastAsia="Calibri"/>
              </w:rPr>
              <w:lastRenderedPageBreak/>
              <w:t>13/04/2012</w:t>
            </w:r>
          </w:p>
          <w:p w:rsidR="001D0FDA" w:rsidRDefault="001D0FDA" w:rsidP="001D0FDA">
            <w:pPr>
              <w:pStyle w:val="Tabletext"/>
              <w:rPr>
                <w:rFonts w:eastAsia="Calibri"/>
              </w:rPr>
            </w:pPr>
            <w:r>
              <w:rPr>
                <w:rFonts w:eastAsia="Calibri"/>
              </w:rPr>
              <w:t>Update of S</w:t>
            </w:r>
            <w:r w:rsidRPr="00937F58">
              <w:rPr>
                <w:rFonts w:eastAsia="Calibri"/>
              </w:rPr>
              <w:t xml:space="preserve">ection 4.4 </w:t>
            </w:r>
            <w:r>
              <w:rPr>
                <w:rFonts w:eastAsia="Calibri"/>
              </w:rPr>
              <w:t xml:space="preserve">(Special warnings and precautions for use) of the SmPC </w:t>
            </w:r>
            <w:r w:rsidRPr="00937F58">
              <w:rPr>
                <w:rFonts w:eastAsia="Calibri"/>
              </w:rPr>
              <w:t>following CHMP request in order to add a section regarding the potential for vaso-occlusive crises occurring in patients being treated for pulmonary hypertension se</w:t>
            </w:r>
            <w:r>
              <w:rPr>
                <w:rFonts w:eastAsia="Calibri"/>
              </w:rPr>
              <w:t>condary to sickle cell anaemia.</w:t>
            </w:r>
          </w:p>
        </w:tc>
        <w:tc>
          <w:tcPr>
            <w:tcW w:w="1522" w:type="pct"/>
          </w:tcPr>
          <w:p w:rsidR="001D0FDA" w:rsidRDefault="001D0FDA" w:rsidP="001D0FDA">
            <w:pPr>
              <w:pStyle w:val="Tabletext"/>
              <w:rPr>
                <w:rFonts w:eastAsia="Calibri"/>
              </w:rPr>
            </w:pPr>
            <w:r>
              <w:rPr>
                <w:rFonts w:eastAsia="Calibri"/>
              </w:rPr>
              <w:t>Such waring has been included in the FDA PL.</w:t>
            </w:r>
          </w:p>
        </w:tc>
        <w:tc>
          <w:tcPr>
            <w:tcW w:w="1378" w:type="pct"/>
          </w:tcPr>
          <w:p w:rsidR="001D0FDA" w:rsidRDefault="001D0FDA" w:rsidP="001D0FDA">
            <w:pPr>
              <w:pStyle w:val="Tabletext"/>
              <w:rPr>
                <w:rFonts w:eastAsia="Calibri"/>
              </w:rPr>
            </w:pPr>
            <w:r>
              <w:rPr>
                <w:rFonts w:eastAsia="Calibri"/>
              </w:rPr>
              <w:t>Such waring is not included in the TGA PI.</w:t>
            </w:r>
          </w:p>
        </w:tc>
      </w:tr>
      <w:tr w:rsidR="001D0FDA" w:rsidRPr="00EA41C2" w:rsidTr="001D0FDA">
        <w:tc>
          <w:tcPr>
            <w:tcW w:w="2100" w:type="pct"/>
            <w:tcBorders>
              <w:bottom w:val="single" w:sz="4" w:space="0" w:color="auto"/>
            </w:tcBorders>
          </w:tcPr>
          <w:p w:rsidR="001D0FDA" w:rsidRDefault="001D0FDA" w:rsidP="001D0FDA">
            <w:pPr>
              <w:pStyle w:val="Tabletext"/>
              <w:rPr>
                <w:rFonts w:eastAsia="Calibri"/>
              </w:rPr>
            </w:pPr>
            <w:r w:rsidRPr="00937F58">
              <w:rPr>
                <w:rFonts w:eastAsia="Calibri"/>
              </w:rPr>
              <w:t>24/10/2011</w:t>
            </w:r>
          </w:p>
          <w:p w:rsidR="001D0FDA" w:rsidRDefault="001D0FDA" w:rsidP="001D0FDA">
            <w:pPr>
              <w:pStyle w:val="Tabletext"/>
              <w:rPr>
                <w:rFonts w:eastAsia="Calibri"/>
              </w:rPr>
            </w:pPr>
            <w:r w:rsidRPr="00937F58">
              <w:rPr>
                <w:rFonts w:eastAsia="Calibri"/>
              </w:rPr>
              <w:t xml:space="preserve">Following deaths related to an ongoing paediatric study </w:t>
            </w:r>
            <w:r>
              <w:rPr>
                <w:rFonts w:eastAsia="Calibri"/>
              </w:rPr>
              <w:t xml:space="preserve">(the STARTS extension study) </w:t>
            </w:r>
            <w:r w:rsidRPr="00937F58">
              <w:rPr>
                <w:rFonts w:eastAsia="Calibri"/>
              </w:rPr>
              <w:t>and corresponding Data Monitoring Board recommendations, u</w:t>
            </w:r>
            <w:r>
              <w:rPr>
                <w:rFonts w:eastAsia="Calibri"/>
              </w:rPr>
              <w:t>pdate to S</w:t>
            </w:r>
            <w:r w:rsidRPr="00937F58">
              <w:rPr>
                <w:rFonts w:eastAsia="Calibri"/>
              </w:rPr>
              <w:t>ections 4.2</w:t>
            </w:r>
            <w:r>
              <w:rPr>
                <w:rFonts w:eastAsia="Calibri"/>
              </w:rPr>
              <w:t xml:space="preserve"> (</w:t>
            </w:r>
            <w:r w:rsidRPr="00605E8B">
              <w:rPr>
                <w:rFonts w:eastAsia="Calibri"/>
              </w:rPr>
              <w:t>Posology and method of administration</w:t>
            </w:r>
            <w:r>
              <w:rPr>
                <w:rFonts w:eastAsia="Calibri"/>
              </w:rPr>
              <w:t>)</w:t>
            </w:r>
            <w:r w:rsidRPr="00937F58">
              <w:rPr>
                <w:rFonts w:eastAsia="Calibri"/>
              </w:rPr>
              <w:t xml:space="preserve">, 4.4 </w:t>
            </w:r>
            <w:r>
              <w:rPr>
                <w:rFonts w:eastAsia="Calibri"/>
              </w:rPr>
              <w:t xml:space="preserve">(Special warnings and precautions for use) </w:t>
            </w:r>
            <w:r w:rsidRPr="00937F58">
              <w:rPr>
                <w:rFonts w:eastAsia="Calibri"/>
              </w:rPr>
              <w:t>and 5.1</w:t>
            </w:r>
            <w:r>
              <w:rPr>
                <w:rFonts w:eastAsia="Calibri"/>
              </w:rPr>
              <w:t xml:space="preserve"> (</w:t>
            </w:r>
            <w:r w:rsidRPr="00605E8B">
              <w:rPr>
                <w:rFonts w:eastAsia="Calibri"/>
              </w:rPr>
              <w:t>Pharmacodynamic properties</w:t>
            </w:r>
            <w:r>
              <w:rPr>
                <w:rFonts w:eastAsia="Calibri"/>
              </w:rPr>
              <w:t>)</w:t>
            </w:r>
            <w:r w:rsidRPr="00937F58">
              <w:rPr>
                <w:rFonts w:eastAsia="Calibri"/>
              </w:rPr>
              <w:t xml:space="preserve">, to highlight that in paediatric patients, doses higher than the recommended doses (10 mg </w:t>
            </w:r>
            <w:r>
              <w:rPr>
                <w:rFonts w:eastAsia="Calibri"/>
              </w:rPr>
              <w:t>tid</w:t>
            </w:r>
            <w:r w:rsidRPr="00937F58">
              <w:rPr>
                <w:rFonts w:eastAsia="Calibri"/>
              </w:rPr>
              <w:t xml:space="preserve"> in children weighing </w:t>
            </w:r>
            <w:r>
              <w:rPr>
                <w:rFonts w:eastAsia="Calibri"/>
              </w:rPr>
              <w:t>&lt;</w:t>
            </w:r>
            <w:r w:rsidRPr="00937F58">
              <w:rPr>
                <w:rFonts w:eastAsia="Calibri"/>
              </w:rPr>
              <w:t xml:space="preserve">20 kg and 20 mg </w:t>
            </w:r>
            <w:r>
              <w:rPr>
                <w:rFonts w:eastAsia="Calibri"/>
              </w:rPr>
              <w:t>tid</w:t>
            </w:r>
            <w:r w:rsidRPr="00937F58">
              <w:rPr>
                <w:rFonts w:eastAsia="Calibri"/>
              </w:rPr>
              <w:t xml:space="preserve"> in those </w:t>
            </w:r>
            <w:r>
              <w:rPr>
                <w:rFonts w:eastAsia="Calibri"/>
              </w:rPr>
              <w:t>&gt;</w:t>
            </w:r>
            <w:r w:rsidRPr="00937F58">
              <w:rPr>
                <w:rFonts w:eastAsia="Calibri"/>
              </w:rPr>
              <w:t>20 kg</w:t>
            </w:r>
            <w:r>
              <w:rPr>
                <w:rFonts w:eastAsia="Calibri"/>
              </w:rPr>
              <w:t>) should not be used.</w:t>
            </w:r>
          </w:p>
          <w:p w:rsidR="001D0FDA" w:rsidRDefault="001D0FDA" w:rsidP="001D0FDA">
            <w:pPr>
              <w:pStyle w:val="Tabletext"/>
              <w:rPr>
                <w:rFonts w:eastAsia="Calibri"/>
              </w:rPr>
            </w:pPr>
            <w:r>
              <w:rPr>
                <w:rFonts w:eastAsia="Calibri"/>
              </w:rPr>
              <w:t>ps: the Sections</w:t>
            </w:r>
            <w:r w:rsidRPr="00605E8B">
              <w:rPr>
                <w:rFonts w:eastAsia="Calibri"/>
              </w:rPr>
              <w:t xml:space="preserve"> 4.8 (Undesirable effects) and 5.1 (Pharmacodynamic properties) of the </w:t>
            </w:r>
            <w:r w:rsidRPr="00347EB8">
              <w:rPr>
                <w:rFonts w:eastAsia="Calibri"/>
              </w:rPr>
              <w:t>SmPC</w:t>
            </w:r>
            <w:r w:rsidRPr="00605E8B">
              <w:rPr>
                <w:rFonts w:eastAsia="Calibri"/>
              </w:rPr>
              <w:t xml:space="preserve"> </w:t>
            </w:r>
            <w:r>
              <w:rPr>
                <w:rFonts w:eastAsia="Calibri"/>
              </w:rPr>
              <w:t xml:space="preserve">were revised </w:t>
            </w:r>
            <w:r w:rsidRPr="00605E8B">
              <w:rPr>
                <w:rFonts w:eastAsia="Calibri"/>
              </w:rPr>
              <w:t>following submission of the final study report of the STARTS extension study in the paediatric population</w:t>
            </w:r>
            <w:r>
              <w:rPr>
                <w:rFonts w:eastAsia="Calibri"/>
              </w:rPr>
              <w:t xml:space="preserve"> (EC approved date: </w:t>
            </w:r>
            <w:r w:rsidRPr="00347EB8">
              <w:rPr>
                <w:rFonts w:eastAsia="Calibri"/>
              </w:rPr>
              <w:t>17/11/2014</w:t>
            </w:r>
            <w:r>
              <w:rPr>
                <w:rFonts w:eastAsia="Calibri"/>
              </w:rPr>
              <w:t>)</w:t>
            </w:r>
            <w:r w:rsidRPr="00605E8B">
              <w:rPr>
                <w:rFonts w:eastAsia="Calibri"/>
              </w:rPr>
              <w:t>.</w:t>
            </w:r>
          </w:p>
        </w:tc>
        <w:tc>
          <w:tcPr>
            <w:tcW w:w="1522" w:type="pct"/>
            <w:tcBorders>
              <w:bottom w:val="single" w:sz="4" w:space="0" w:color="auto"/>
            </w:tcBorders>
          </w:tcPr>
          <w:p w:rsidR="001D0FDA" w:rsidRDefault="001D0FDA" w:rsidP="001D0FDA">
            <w:pPr>
              <w:pStyle w:val="Tabletext"/>
              <w:rPr>
                <w:rFonts w:eastAsia="Calibri"/>
              </w:rPr>
            </w:pPr>
            <w:r w:rsidRPr="00605E8B">
              <w:rPr>
                <w:rFonts w:eastAsia="Calibri"/>
              </w:rPr>
              <w:t xml:space="preserve">Use of </w:t>
            </w:r>
            <w:r>
              <w:rPr>
                <w:rFonts w:eastAsia="Calibri"/>
              </w:rPr>
              <w:t>sildenafil</w:t>
            </w:r>
            <w:r w:rsidRPr="00605E8B">
              <w:rPr>
                <w:rFonts w:eastAsia="Calibri"/>
              </w:rPr>
              <w:t>, particularly chronic use, is not recommended in children.</w:t>
            </w:r>
            <w:r>
              <w:rPr>
                <w:rFonts w:eastAsia="Calibri"/>
              </w:rPr>
              <w:t xml:space="preserve"> </w:t>
            </w:r>
          </w:p>
        </w:tc>
        <w:tc>
          <w:tcPr>
            <w:tcW w:w="1378" w:type="pct"/>
            <w:tcBorders>
              <w:bottom w:val="single" w:sz="4" w:space="0" w:color="auto"/>
            </w:tcBorders>
          </w:tcPr>
          <w:p w:rsidR="001D0FDA" w:rsidRDefault="001D0FDA" w:rsidP="001D0FDA">
            <w:pPr>
              <w:pStyle w:val="Tabletext"/>
              <w:rPr>
                <w:rFonts w:eastAsia="Calibri"/>
              </w:rPr>
            </w:pPr>
            <w:r>
              <w:rPr>
                <w:rFonts w:eastAsia="Calibri"/>
              </w:rPr>
              <w:t xml:space="preserve">Sildenafil </w:t>
            </w:r>
            <w:r w:rsidRPr="00347EB8">
              <w:rPr>
                <w:rFonts w:eastAsia="Calibri"/>
              </w:rPr>
              <w:t>is not indicated for use in children under 18 years of age.</w:t>
            </w:r>
          </w:p>
        </w:tc>
      </w:tr>
      <w:tr w:rsidR="001D0FDA" w:rsidRPr="00847A11" w:rsidTr="001D0FDA">
        <w:tc>
          <w:tcPr>
            <w:tcW w:w="2100" w:type="pct"/>
            <w:shd w:val="clear" w:color="auto" w:fill="000000" w:themeFill="text1"/>
          </w:tcPr>
          <w:p w:rsidR="001D0FDA" w:rsidRPr="00847A11" w:rsidRDefault="001D0FDA" w:rsidP="001D0FDA">
            <w:pPr>
              <w:pStyle w:val="Tabletext"/>
              <w:rPr>
                <w:rFonts w:eastAsia="Calibri"/>
                <w:b/>
                <w:color w:val="FFFFFF" w:themeColor="background1"/>
              </w:rPr>
            </w:pPr>
            <w:r w:rsidRPr="00847A11">
              <w:rPr>
                <w:rFonts w:eastAsia="Calibri"/>
                <w:b/>
                <w:color w:val="FFFFFF" w:themeColor="background1"/>
              </w:rPr>
              <w:t xml:space="preserve">Tadalafil </w:t>
            </w:r>
          </w:p>
        </w:tc>
        <w:tc>
          <w:tcPr>
            <w:tcW w:w="1522" w:type="pct"/>
            <w:shd w:val="clear" w:color="auto" w:fill="000000" w:themeFill="text1"/>
          </w:tcPr>
          <w:p w:rsidR="001D0FDA" w:rsidRPr="00847A11" w:rsidRDefault="001D0FDA" w:rsidP="001D0FDA">
            <w:pPr>
              <w:pStyle w:val="Tabletext"/>
              <w:rPr>
                <w:rFonts w:eastAsia="Calibri"/>
                <w:b/>
                <w:color w:val="FFFFFF" w:themeColor="background1"/>
              </w:rPr>
            </w:pPr>
          </w:p>
        </w:tc>
        <w:tc>
          <w:tcPr>
            <w:tcW w:w="1378" w:type="pct"/>
            <w:shd w:val="clear" w:color="auto" w:fill="000000" w:themeFill="text1"/>
          </w:tcPr>
          <w:p w:rsidR="001D0FDA" w:rsidRPr="00847A11" w:rsidRDefault="001D0FDA" w:rsidP="001D0FDA">
            <w:pPr>
              <w:pStyle w:val="Tabletext"/>
              <w:rPr>
                <w:rFonts w:eastAsia="Calibri"/>
                <w:b/>
                <w:color w:val="FFFFFF" w:themeColor="background1"/>
              </w:rPr>
            </w:pPr>
          </w:p>
        </w:tc>
      </w:tr>
      <w:tr w:rsidR="001D0FDA" w:rsidRPr="00EA41C2" w:rsidTr="001D0FDA">
        <w:tc>
          <w:tcPr>
            <w:tcW w:w="2100" w:type="pct"/>
          </w:tcPr>
          <w:p w:rsidR="001D0FDA" w:rsidRDefault="001D0FDA" w:rsidP="001D0FDA">
            <w:pPr>
              <w:pStyle w:val="Tabletext"/>
              <w:rPr>
                <w:rFonts w:eastAsia="Calibri"/>
              </w:rPr>
            </w:pPr>
            <w:r w:rsidRPr="00347EB8">
              <w:rPr>
                <w:rFonts w:eastAsia="Calibri"/>
              </w:rPr>
              <w:t>24/01/2013</w:t>
            </w:r>
          </w:p>
          <w:p w:rsidR="001D0FDA" w:rsidRPr="00937F58" w:rsidRDefault="001D0FDA" w:rsidP="001D0FDA">
            <w:pPr>
              <w:pStyle w:val="Tabletext"/>
              <w:rPr>
                <w:rFonts w:eastAsia="Calibri"/>
              </w:rPr>
            </w:pPr>
            <w:r w:rsidRPr="00347EB8">
              <w:rPr>
                <w:rFonts w:eastAsia="Calibri"/>
              </w:rPr>
              <w:t>The EMA requested the manufacturers of all PDE-5 inhibitors to compile a cumulative review of all penile haemorrhage, haematospermia, haematuria and penile hematoma adverse events with a view to considering whether genitourinary b</w:t>
            </w:r>
            <w:r>
              <w:rPr>
                <w:rFonts w:eastAsia="Calibri"/>
              </w:rPr>
              <w:t xml:space="preserve">leeding may be a class effect. </w:t>
            </w:r>
            <w:r w:rsidRPr="00347EB8">
              <w:rPr>
                <w:rFonts w:eastAsia="Calibri"/>
              </w:rPr>
              <w:t xml:space="preserve">As a result, haematuria, haematospermia and penile haemorrhage have been added to section 4.8 </w:t>
            </w:r>
            <w:r>
              <w:rPr>
                <w:rFonts w:eastAsia="Calibri"/>
              </w:rPr>
              <w:t xml:space="preserve">(Undesirable effects) </w:t>
            </w:r>
            <w:r w:rsidRPr="00347EB8">
              <w:rPr>
                <w:rFonts w:eastAsia="Calibri"/>
              </w:rPr>
              <w:t xml:space="preserve">of the </w:t>
            </w:r>
            <w:r>
              <w:rPr>
                <w:rFonts w:eastAsia="Calibri"/>
              </w:rPr>
              <w:t xml:space="preserve">tadalafil </w:t>
            </w:r>
            <w:r w:rsidRPr="00347EB8">
              <w:rPr>
                <w:rFonts w:eastAsia="Calibri"/>
              </w:rPr>
              <w:t>SmPC with a frequency of uncomm</w:t>
            </w:r>
            <w:r>
              <w:rPr>
                <w:rFonts w:eastAsia="Calibri"/>
              </w:rPr>
              <w:t>on.</w:t>
            </w:r>
          </w:p>
        </w:tc>
        <w:tc>
          <w:tcPr>
            <w:tcW w:w="1522" w:type="pct"/>
          </w:tcPr>
          <w:p w:rsidR="001D0FDA" w:rsidRPr="00605E8B" w:rsidRDefault="001D0FDA" w:rsidP="001D0FDA">
            <w:pPr>
              <w:pStyle w:val="Tabletext"/>
              <w:rPr>
                <w:rFonts w:eastAsia="Calibri"/>
              </w:rPr>
            </w:pPr>
            <w:r>
              <w:rPr>
                <w:rFonts w:eastAsia="Calibri"/>
              </w:rPr>
              <w:t xml:space="preserve">AEs of </w:t>
            </w:r>
            <w:r w:rsidRPr="00B8486E">
              <w:rPr>
                <w:rFonts w:eastAsia="Calibri"/>
              </w:rPr>
              <w:t>haematuria, haematospermia and penile haemorrhage</w:t>
            </w:r>
            <w:r>
              <w:rPr>
                <w:rFonts w:eastAsia="Calibri"/>
              </w:rPr>
              <w:t xml:space="preserve"> are not included in the FDA PL</w:t>
            </w:r>
          </w:p>
        </w:tc>
        <w:tc>
          <w:tcPr>
            <w:tcW w:w="1378" w:type="pct"/>
          </w:tcPr>
          <w:p w:rsidR="001D0FDA" w:rsidRDefault="001D0FDA" w:rsidP="001D0FDA">
            <w:pPr>
              <w:pStyle w:val="Tabletext"/>
              <w:rPr>
                <w:rFonts w:eastAsia="Calibri"/>
              </w:rPr>
            </w:pPr>
            <w:r>
              <w:rPr>
                <w:rFonts w:eastAsia="Calibri"/>
              </w:rPr>
              <w:t xml:space="preserve">AEs of </w:t>
            </w:r>
            <w:r w:rsidRPr="00B8486E">
              <w:rPr>
                <w:rFonts w:eastAsia="Calibri"/>
              </w:rPr>
              <w:t>haematuria, haematospermia and penile haemorrhage</w:t>
            </w:r>
            <w:r>
              <w:rPr>
                <w:rFonts w:eastAsia="Calibri"/>
              </w:rPr>
              <w:t xml:space="preserve"> are not included in the TGA PI</w:t>
            </w:r>
          </w:p>
        </w:tc>
      </w:tr>
      <w:tr w:rsidR="001D0FDA" w:rsidRPr="00EA41C2" w:rsidTr="001D0FDA">
        <w:tc>
          <w:tcPr>
            <w:tcW w:w="2100" w:type="pct"/>
            <w:tcBorders>
              <w:bottom w:val="single" w:sz="4" w:space="0" w:color="auto"/>
            </w:tcBorders>
          </w:tcPr>
          <w:p w:rsidR="001D0FDA" w:rsidRDefault="001D0FDA" w:rsidP="001D0FDA">
            <w:pPr>
              <w:pStyle w:val="Tabletext"/>
              <w:rPr>
                <w:rFonts w:eastAsia="Calibri"/>
              </w:rPr>
            </w:pPr>
            <w:r w:rsidRPr="00347EB8">
              <w:rPr>
                <w:rFonts w:eastAsia="Calibri"/>
              </w:rPr>
              <w:t>26/03/2010</w:t>
            </w:r>
          </w:p>
          <w:p w:rsidR="001D0FDA" w:rsidRDefault="001D0FDA" w:rsidP="001D0FDA">
            <w:pPr>
              <w:pStyle w:val="Tabletext"/>
              <w:rPr>
                <w:rFonts w:eastAsia="Calibri"/>
              </w:rPr>
            </w:pPr>
            <w:r w:rsidRPr="00347EB8">
              <w:rPr>
                <w:rFonts w:eastAsia="Calibri"/>
              </w:rPr>
              <w:t xml:space="preserve">Following the assessment of PSUR 10 (reports from 16 October 2007 - 15 October 2008) section 4.8 </w:t>
            </w:r>
            <w:r>
              <w:rPr>
                <w:rFonts w:eastAsia="Calibri"/>
              </w:rPr>
              <w:t xml:space="preserve">(Undesirable effects) </w:t>
            </w:r>
            <w:r w:rsidRPr="00347EB8">
              <w:rPr>
                <w:rFonts w:eastAsia="Calibri"/>
              </w:rPr>
              <w:t xml:space="preserve">of the SmPC was modified to add text [underlined] “stroke </w:t>
            </w:r>
            <w:r w:rsidRPr="00B8486E">
              <w:rPr>
                <w:rFonts w:eastAsia="Calibri"/>
                <w:u w:val="single"/>
              </w:rPr>
              <w:t>including haemorrhagic events</w:t>
            </w:r>
            <w:r w:rsidRPr="00347EB8">
              <w:rPr>
                <w:rFonts w:eastAsia="Calibri"/>
              </w:rPr>
              <w:t>”</w:t>
            </w:r>
          </w:p>
          <w:p w:rsidR="0060538E" w:rsidRDefault="0060538E" w:rsidP="001D0FDA">
            <w:pPr>
              <w:pStyle w:val="Tabletext"/>
              <w:rPr>
                <w:rFonts w:eastAsia="Calibri"/>
              </w:rPr>
            </w:pPr>
          </w:p>
          <w:p w:rsidR="0060538E" w:rsidRPr="00347EB8" w:rsidRDefault="0060538E" w:rsidP="001D0FDA">
            <w:pPr>
              <w:pStyle w:val="Tabletext"/>
              <w:rPr>
                <w:rFonts w:eastAsia="Calibri"/>
              </w:rPr>
            </w:pPr>
          </w:p>
        </w:tc>
        <w:tc>
          <w:tcPr>
            <w:tcW w:w="1522" w:type="pct"/>
            <w:tcBorders>
              <w:bottom w:val="single" w:sz="4" w:space="0" w:color="auto"/>
            </w:tcBorders>
          </w:tcPr>
          <w:p w:rsidR="001D0FDA" w:rsidRPr="00605E8B" w:rsidRDefault="001D0FDA" w:rsidP="001D0FDA">
            <w:pPr>
              <w:pStyle w:val="Tabletext"/>
              <w:rPr>
                <w:rFonts w:eastAsia="Calibri"/>
              </w:rPr>
            </w:pPr>
            <w:r>
              <w:rPr>
                <w:rFonts w:eastAsia="Calibri"/>
              </w:rPr>
              <w:t>Although stroke is included as an AE, the text ‘including haemorrhagic events’ is not.</w:t>
            </w:r>
          </w:p>
        </w:tc>
        <w:tc>
          <w:tcPr>
            <w:tcW w:w="1378" w:type="pct"/>
            <w:tcBorders>
              <w:bottom w:val="single" w:sz="4" w:space="0" w:color="auto"/>
            </w:tcBorders>
          </w:tcPr>
          <w:p w:rsidR="001D0FDA" w:rsidRDefault="001D0FDA" w:rsidP="001D0FDA">
            <w:pPr>
              <w:pStyle w:val="Tabletext"/>
              <w:rPr>
                <w:rFonts w:eastAsia="Calibri"/>
              </w:rPr>
            </w:pPr>
            <w:r>
              <w:rPr>
                <w:rFonts w:eastAsia="Calibri"/>
              </w:rPr>
              <w:t>Although stroke is included as an AE, the text ‘including haemorrhagic events’ is not.</w:t>
            </w:r>
          </w:p>
        </w:tc>
      </w:tr>
      <w:tr w:rsidR="001D0FDA" w:rsidRPr="00847A11" w:rsidTr="001D0FDA">
        <w:tc>
          <w:tcPr>
            <w:tcW w:w="2100" w:type="pct"/>
            <w:shd w:val="clear" w:color="auto" w:fill="000000" w:themeFill="text1"/>
          </w:tcPr>
          <w:p w:rsidR="001D0FDA" w:rsidRPr="00847A11" w:rsidRDefault="001D0FDA" w:rsidP="001D0FDA">
            <w:pPr>
              <w:pStyle w:val="Tabletext"/>
              <w:rPr>
                <w:rFonts w:eastAsia="Calibri"/>
                <w:b/>
                <w:color w:val="FFFFFF" w:themeColor="background1"/>
              </w:rPr>
            </w:pPr>
            <w:r w:rsidRPr="00847A11">
              <w:rPr>
                <w:rFonts w:eastAsia="Calibri"/>
                <w:b/>
                <w:color w:val="FFFFFF" w:themeColor="background1"/>
              </w:rPr>
              <w:lastRenderedPageBreak/>
              <w:t>Riociguat</w:t>
            </w:r>
          </w:p>
        </w:tc>
        <w:tc>
          <w:tcPr>
            <w:tcW w:w="1522" w:type="pct"/>
            <w:shd w:val="clear" w:color="auto" w:fill="000000" w:themeFill="text1"/>
          </w:tcPr>
          <w:p w:rsidR="001D0FDA" w:rsidRPr="00847A11" w:rsidRDefault="001D0FDA" w:rsidP="001D0FDA">
            <w:pPr>
              <w:pStyle w:val="Tabletext"/>
              <w:rPr>
                <w:rFonts w:eastAsia="Calibri"/>
                <w:b/>
                <w:color w:val="FFFFFF" w:themeColor="background1"/>
              </w:rPr>
            </w:pPr>
          </w:p>
        </w:tc>
        <w:tc>
          <w:tcPr>
            <w:tcW w:w="1378" w:type="pct"/>
            <w:shd w:val="clear" w:color="auto" w:fill="000000" w:themeFill="text1"/>
          </w:tcPr>
          <w:p w:rsidR="001D0FDA" w:rsidRPr="00847A11" w:rsidRDefault="001D0FDA" w:rsidP="001D0FDA">
            <w:pPr>
              <w:pStyle w:val="Tabletext"/>
              <w:rPr>
                <w:rFonts w:eastAsia="Calibri"/>
                <w:b/>
                <w:color w:val="FFFFFF" w:themeColor="background1"/>
              </w:rPr>
            </w:pPr>
          </w:p>
        </w:tc>
      </w:tr>
      <w:tr w:rsidR="001D0FDA" w:rsidRPr="00EA41C2" w:rsidTr="001D0FDA">
        <w:tc>
          <w:tcPr>
            <w:tcW w:w="2100" w:type="pct"/>
          </w:tcPr>
          <w:p w:rsidR="001D0FDA" w:rsidRDefault="001D0FDA" w:rsidP="001D0FDA">
            <w:pPr>
              <w:pStyle w:val="Tabletext"/>
              <w:rPr>
                <w:rFonts w:eastAsia="Calibri"/>
              </w:rPr>
            </w:pPr>
            <w:r w:rsidRPr="00847A11">
              <w:rPr>
                <w:rFonts w:eastAsia="Calibri"/>
              </w:rPr>
              <w:t>02/05/2017</w:t>
            </w:r>
          </w:p>
          <w:p w:rsidR="001D0FDA" w:rsidRPr="00937F58" w:rsidRDefault="001D0FDA" w:rsidP="001D0FDA">
            <w:pPr>
              <w:pStyle w:val="Tabletext"/>
              <w:rPr>
                <w:rFonts w:eastAsia="Calibri"/>
              </w:rPr>
            </w:pPr>
            <w:r w:rsidRPr="00847A11">
              <w:rPr>
                <w:rFonts w:eastAsia="Calibri"/>
              </w:rPr>
              <w:t>Results of an interaction study indicated that ethinyl estradiol and levonorgestrel exposure was not affected when administered on top of a treatment with riociguat. Text added, including “Based on this study and as riociguat is not an inducer of any of the relevant metabolic enzymes, also no pharmacokinetic interaction is expected with o</w:t>
            </w:r>
            <w:r>
              <w:rPr>
                <w:rFonts w:eastAsia="Calibri"/>
              </w:rPr>
              <w:t xml:space="preserve">ther hormonal contraceptives” </w:t>
            </w:r>
          </w:p>
        </w:tc>
        <w:tc>
          <w:tcPr>
            <w:tcW w:w="1522" w:type="pct"/>
          </w:tcPr>
          <w:p w:rsidR="001D0FDA" w:rsidRPr="00605E8B" w:rsidRDefault="001D0FDA" w:rsidP="001D0FDA">
            <w:pPr>
              <w:pStyle w:val="Tabletext"/>
              <w:rPr>
                <w:rFonts w:eastAsia="Calibri"/>
              </w:rPr>
            </w:pPr>
            <w:r>
              <w:rPr>
                <w:rFonts w:eastAsia="Calibri"/>
              </w:rPr>
              <w:t>Information on the drug interaction between riociguat and hormonal contraceptives is not included in the FDA PL</w:t>
            </w:r>
          </w:p>
        </w:tc>
        <w:tc>
          <w:tcPr>
            <w:tcW w:w="1378" w:type="pct"/>
          </w:tcPr>
          <w:p w:rsidR="001D0FDA" w:rsidRDefault="001D0FDA" w:rsidP="001D0FDA">
            <w:pPr>
              <w:pStyle w:val="Tabletext"/>
              <w:rPr>
                <w:rFonts w:eastAsia="Calibri"/>
              </w:rPr>
            </w:pPr>
            <w:r>
              <w:rPr>
                <w:rFonts w:eastAsia="Calibri"/>
              </w:rPr>
              <w:t>Information on the drug interaction between riociguat and hormonal contraceptives is not included in the TGA PI</w:t>
            </w:r>
          </w:p>
        </w:tc>
      </w:tr>
    </w:tbl>
    <w:p w:rsidR="001D0FDA" w:rsidRDefault="001D0FDA" w:rsidP="001D0FDA">
      <w:pPr>
        <w:pStyle w:val="Tablenote"/>
      </w:pPr>
      <w:r>
        <w:t xml:space="preserve">AE= adverse event; CHMP = </w:t>
      </w:r>
      <w:r w:rsidRPr="00EB7BEA">
        <w:t>Committee for Medicinal Products for Human Use</w:t>
      </w:r>
      <w:r>
        <w:t>; COPD = c</w:t>
      </w:r>
      <w:r w:rsidRPr="00EB7BEA">
        <w:t>hronic obstructive pulmonary disease</w:t>
      </w:r>
      <w:r>
        <w:t xml:space="preserve">; EC = European </w:t>
      </w:r>
      <w:r w:rsidRPr="007C3385">
        <w:t>Commission</w:t>
      </w:r>
      <w:r>
        <w:t>;</w:t>
      </w:r>
      <w:r w:rsidRPr="007C3385">
        <w:t xml:space="preserve"> </w:t>
      </w:r>
      <w:r>
        <w:t xml:space="preserve">EMA = </w:t>
      </w:r>
      <w:r w:rsidRPr="00EB7BEA">
        <w:t>European Medicines Agency</w:t>
      </w:r>
      <w:r>
        <w:t>;</w:t>
      </w:r>
      <w:r w:rsidRPr="00EB7BEA">
        <w:t xml:space="preserve"> </w:t>
      </w:r>
      <w:r>
        <w:t xml:space="preserve">FDA = Food and Drug Administration; PDE-5 = </w:t>
      </w:r>
      <w:r w:rsidRPr="00520120">
        <w:t>phosphodiesterase type 5</w:t>
      </w:r>
      <w:r>
        <w:t xml:space="preserve">; PI = Product Information; PL = Product Label; PSUR = </w:t>
      </w:r>
      <w:r w:rsidRPr="00847A11">
        <w:t>Periodic Safety Update Repor</w:t>
      </w:r>
      <w:r>
        <w:t xml:space="preserve">t; SmPC = Summary of Product Characteristics; TGA = </w:t>
      </w:r>
      <w:r w:rsidRPr="00EB7BEA">
        <w:t>Therapeutic Goods Administration</w:t>
      </w:r>
      <w:r w:rsidRPr="0045440E">
        <w:t xml:space="preserve"> </w:t>
      </w:r>
    </w:p>
    <w:p w:rsidR="001D0FDA" w:rsidRDefault="001D0FDA" w:rsidP="001D0FDA">
      <w:pPr>
        <w:pStyle w:val="Tablenote"/>
      </w:pPr>
      <w:r w:rsidRPr="0045440E">
        <w:t xml:space="preserve">Source: </w:t>
      </w:r>
      <w:r w:rsidRPr="00A17B9D">
        <w:t>www.ema.europa.eu</w:t>
      </w:r>
    </w:p>
    <w:p w:rsidR="001D0FDA" w:rsidRDefault="001D0FDA" w:rsidP="001D0FDA">
      <w:r>
        <w:t xml:space="preserve">Apart from the five PAH medicines listed in the table above, no key differences were identified for macitentan and iloprost between the PI documents from the three regulatory agencies. The other PAH medicine, ie </w:t>
      </w:r>
      <w:r w:rsidRPr="00EB7BEA">
        <w:t>epoprostenol</w:t>
      </w:r>
      <w:r>
        <w:t xml:space="preserve">, </w:t>
      </w:r>
      <w:r w:rsidRPr="00EB7BEA">
        <w:t>is not centrally authorised</w:t>
      </w:r>
      <w:r>
        <w:t xml:space="preserve"> (</w:t>
      </w:r>
      <w:r w:rsidRPr="00EB7BEA">
        <w:t>authorised on a country-by-country basis</w:t>
      </w:r>
      <w:r>
        <w:t xml:space="preserve"> instead)</w:t>
      </w:r>
      <w:r w:rsidRPr="00EB7BEA">
        <w:t xml:space="preserve">. Thus the same type of </w:t>
      </w:r>
      <w:r>
        <w:t xml:space="preserve">SmPC </w:t>
      </w:r>
      <w:r w:rsidRPr="00EB7BEA">
        <w:t xml:space="preserve">changes to safety information is not available for epoprostenol brands. However, the </w:t>
      </w:r>
      <w:r>
        <w:t>PI</w:t>
      </w:r>
      <w:r w:rsidRPr="00EB7BEA">
        <w:t xml:space="preserve"> for epoprostenol was ‘harmonised’ in 2012 to ensure currency and consis</w:t>
      </w:r>
      <w:r>
        <w:t xml:space="preserve">tency across the 14 countries, including the UK. </w:t>
      </w:r>
      <w:r w:rsidRPr="00EB7BEA">
        <w:t>This process was coordinated by the EMA and, based on a comprehensive review of efficacy and safety data, resulted in a single consistent S</w:t>
      </w:r>
      <w:r>
        <w:t xml:space="preserve">mPC text for all 14 countries. </w:t>
      </w:r>
      <w:r w:rsidRPr="00EB7BEA">
        <w:t>A comparison of the current UK SmPC with the 2012 document from the EMA process indicates there have been minimal changes in terms of safety data.</w:t>
      </w:r>
    </w:p>
    <w:p w:rsidR="001D0FDA" w:rsidRDefault="001D0FDA" w:rsidP="001D0FDA">
      <w:r>
        <w:t xml:space="preserve">Potential important safety signals identified via reviewing the safety-related variations to the EMA SmPC include: use of bosentan in patients with chronic obstructive pulmonary disease; </w:t>
      </w:r>
      <w:r w:rsidR="006B2A7D">
        <w:t>AE</w:t>
      </w:r>
      <w:r>
        <w:t xml:space="preserve">s of </w:t>
      </w:r>
      <w:r w:rsidRPr="008D3B22">
        <w:t>penile haemorrhage</w:t>
      </w:r>
      <w:r>
        <w:t xml:space="preserve"> and</w:t>
      </w:r>
      <w:r w:rsidRPr="008D3B22">
        <w:t xml:space="preserve"> haematospermia</w:t>
      </w:r>
      <w:r>
        <w:t xml:space="preserve"> in patients receiving PDE-5 inhibitors (both sildenafil and tadalafil); </w:t>
      </w:r>
      <w:r w:rsidRPr="008D3B22">
        <w:t xml:space="preserve">potential for vaso-occlusive crises </w:t>
      </w:r>
      <w:r>
        <w:t xml:space="preserve">in </w:t>
      </w:r>
      <w:r w:rsidRPr="008D3B22">
        <w:t xml:space="preserve">patients </w:t>
      </w:r>
      <w:r>
        <w:t>receiving sildenafil for PH</w:t>
      </w:r>
      <w:r w:rsidRPr="008D3B22">
        <w:t xml:space="preserve"> secondary to sickle cell anaemia</w:t>
      </w:r>
      <w:r>
        <w:t xml:space="preserve">; and </w:t>
      </w:r>
      <w:r w:rsidRPr="008D3B22">
        <w:t xml:space="preserve">intracerebral </w:t>
      </w:r>
      <w:r>
        <w:t>haemorrhage in tadalafil-treated patients.</w:t>
      </w:r>
    </w:p>
    <w:p w:rsidR="001D0FDA" w:rsidRDefault="001D0FDA" w:rsidP="001D0FDA">
      <w:r>
        <w:t xml:space="preserve">The EMA SmPC states that sildenafil is indicated for treatment of paediatric patients aged 1 year to 17 years old with PAH. The SmPC also indicates that efficacy of sildenafil in terms of improvement of exercise capacity or pulmonary </w:t>
      </w:r>
      <w:r w:rsidR="007E658F" w:rsidRPr="007E658F">
        <w:t>haemodynamic parameters</w:t>
      </w:r>
      <w:r>
        <w:t xml:space="preserve"> has been shown in children with primary pulmonary hypertension and PAH-CHD, which was supported by clinical data from short-term RCT STARTS-1. In the long-term STARTS extension study, however, an increase in deaths was observed in patients administered higher doses of sildenafil. During a median follow-up of 4.6 years, there were a total of 42 deaths reported. Thirty-seven deaths occurred prior to a decision taken by the Data Monitoring Committee to down titrate subjects to a lower dosage, based on an observed mortality imbalance with increasing sildenafil doses. Among these 37 deaths, the number (%) of deaths was 5/55 (9.1%), 10/74 (13.5%), and 22/100 (22%) in the sildenafil low, medium, and high dose groups, respectively, with causes of deaths being related to PAH. to PAH. Based on this result, the EMA SmPC highlights that doses higher than the </w:t>
      </w:r>
      <w:r>
        <w:lastRenderedPageBreak/>
        <w:t>recommended doses (</w:t>
      </w:r>
      <w:r w:rsidRPr="001301D0">
        <w:t>ie 10 mg tid in children weighing &lt;20 kg and 20 mg tid in those &gt;20 kg)</w:t>
      </w:r>
      <w:r>
        <w:t xml:space="preserve"> should not be used in paediatric patients with PA</w:t>
      </w:r>
      <w:r w:rsidR="00F8498A">
        <w:t>H.</w:t>
      </w:r>
    </w:p>
    <w:p w:rsidR="001D0FDA" w:rsidRDefault="001D0FDA" w:rsidP="001D0FDA">
      <w:r>
        <w:t xml:space="preserve">Based on the observation of increasing mortality with increasing sildenafil doses in the STARTS extension study, the FDA revised the Revatio (sildenafil) drug label in August 2012, adding a warning stating that “use of Revatio, particularly chronic use, is not recommended in children.” This recommendation was FDA also issued a Drug Safety Communication at that time. In Marh 2014, </w:t>
      </w:r>
      <w:r w:rsidRPr="00066698">
        <w:t>The FDA</w:t>
      </w:r>
      <w:r>
        <w:t xml:space="preserve"> clarified its previous</w:t>
      </w:r>
      <w:r w:rsidRPr="00066698">
        <w:t xml:space="preserve"> recommendation related to prescribing sildenafil for children with PAH</w:t>
      </w:r>
      <w:r>
        <w:t>: sildenafil</w:t>
      </w:r>
      <w:r w:rsidRPr="00066698">
        <w:t xml:space="preserve"> is FDA-approved only to treat PAH in adults, not in children; however, health care professionals must consider whether the benefits of treatment with the drug are likely to outweigh its potential risks for each patient.</w:t>
      </w:r>
      <w:r>
        <w:t xml:space="preserve"> </w:t>
      </w:r>
    </w:p>
    <w:p w:rsidR="001D0FDA" w:rsidRDefault="001D0FDA" w:rsidP="001D0FDA">
      <w:r>
        <w:t xml:space="preserve">The results from the short-term Trial STARTS-1 and its long-term extension study have been included in the TGA-approved PI. The Australian PI clearly states that sildenafil </w:t>
      </w:r>
      <w:r w:rsidRPr="00066698">
        <w:t>is not indicated for use in children under 18 years of age.</w:t>
      </w:r>
      <w:r>
        <w:t xml:space="preserve"> The use of sildenafil in paediatric patients was also discussed in ToR 1 section (guideline review). </w:t>
      </w:r>
    </w:p>
    <w:p w:rsidR="001D0FDA" w:rsidRDefault="001D0FDA" w:rsidP="00480FDF">
      <w:pPr>
        <w:pStyle w:val="Heading5"/>
        <w:numPr>
          <w:ilvl w:val="4"/>
          <w:numId w:val="45"/>
        </w:numPr>
      </w:pPr>
      <w:r w:rsidRPr="00A96B79">
        <w:t xml:space="preserve">Other safety signal </w:t>
      </w:r>
      <w:r>
        <w:t>d</w:t>
      </w:r>
      <w:r w:rsidRPr="00A96B79">
        <w:t>etection</w:t>
      </w:r>
    </w:p>
    <w:p w:rsidR="001D0FDA" w:rsidRDefault="001D0FDA" w:rsidP="00FB0A80">
      <w:pPr>
        <w:spacing w:before="0" w:line="240" w:lineRule="auto"/>
      </w:pPr>
      <w:r>
        <w:t xml:space="preserve">In addition to safety signals brought forward within the routine </w:t>
      </w:r>
      <w:r w:rsidRPr="00A96B79">
        <w:t>periodic safety update reports</w:t>
      </w:r>
      <w:r>
        <w:t xml:space="preserve"> and variations procedures, the EMA maintains a list of all safety signals that have triggered further investigation outside (or in addition to) those procedures by the </w:t>
      </w:r>
      <w:r w:rsidRPr="00350A77">
        <w:t>Pharmacovigilance Ri</w:t>
      </w:r>
      <w:r>
        <w:t>sk Assessment Committee since September 2012</w:t>
      </w:r>
      <w:r>
        <w:rPr>
          <w:rStyle w:val="FootnoteReference"/>
        </w:rPr>
        <w:footnoteReference w:id="4"/>
      </w:r>
      <w:r>
        <w:t>. A summary for PAH medicines is presented in</w:t>
      </w:r>
      <w:r w:rsidR="00FB0A80">
        <w:t xml:space="preserve"> Table 4.119</w:t>
      </w:r>
      <w:r>
        <w:t>. Safety signals can arise from any source including pharmacovigilance reporting, but also ongoing clinical trials, literature repor</w:t>
      </w:r>
      <w:r w:rsidR="00FB0A80">
        <w:t>ts and so on.</w:t>
      </w:r>
    </w:p>
    <w:p w:rsidR="005E60A7" w:rsidRDefault="005E60A7">
      <w:pPr>
        <w:spacing w:before="0" w:line="240" w:lineRule="auto"/>
        <w:rPr>
          <w:rFonts w:ascii="Arial" w:hAnsi="Arial"/>
          <w:b/>
          <w:iCs/>
          <w:sz w:val="20"/>
          <w:szCs w:val="18"/>
        </w:rPr>
      </w:pPr>
      <w:bookmarkStart w:id="331" w:name="_Ref506217373"/>
      <w:r>
        <w:br w:type="page"/>
      </w:r>
    </w:p>
    <w:p w:rsidR="001D0FDA" w:rsidRDefault="001D0FDA" w:rsidP="001D0FDA">
      <w:pPr>
        <w:pStyle w:val="Caption"/>
      </w:pPr>
      <w:bookmarkStart w:id="332" w:name="_Toc512855523"/>
      <w:r>
        <w:lastRenderedPageBreak/>
        <w:t>Table 4.</w:t>
      </w:r>
      <w:r w:rsidR="00AA722D">
        <w:rPr>
          <w:noProof/>
        </w:rPr>
        <w:t>119</w:t>
      </w:r>
      <w:bookmarkEnd w:id="331"/>
      <w:r>
        <w:tab/>
        <w:t>PAH safety signals considered by PRAC since September 2012</w:t>
      </w:r>
      <w:bookmarkEnd w:id="332"/>
    </w:p>
    <w:tbl>
      <w:tblPr>
        <w:tblStyle w:val="TableGrid"/>
        <w:tblW w:w="9686" w:type="dxa"/>
        <w:tblLook w:val="04A0" w:firstRow="1" w:lastRow="0" w:firstColumn="1" w:lastColumn="0" w:noHBand="0" w:noVBand="1"/>
        <w:tblCaption w:val="PAH safety signals considered by PRAC since September 2012"/>
      </w:tblPr>
      <w:tblGrid>
        <w:gridCol w:w="1404"/>
        <w:gridCol w:w="1390"/>
        <w:gridCol w:w="1670"/>
        <w:gridCol w:w="2065"/>
        <w:gridCol w:w="3157"/>
      </w:tblGrid>
      <w:tr w:rsidR="001D0FDA" w:rsidRPr="007C3385" w:rsidTr="001D0FDA">
        <w:trPr>
          <w:cnfStyle w:val="100000000000" w:firstRow="1" w:lastRow="0" w:firstColumn="0" w:lastColumn="0" w:oddVBand="0" w:evenVBand="0" w:oddHBand="0" w:evenHBand="0" w:firstRowFirstColumn="0" w:firstRowLastColumn="0" w:lastRowFirstColumn="0" w:lastRowLastColumn="0"/>
        </w:trPr>
        <w:tc>
          <w:tcPr>
            <w:tcW w:w="1413" w:type="dxa"/>
            <w:tcBorders>
              <w:bottom w:val="single" w:sz="4" w:space="0" w:color="auto"/>
            </w:tcBorders>
          </w:tcPr>
          <w:p w:rsidR="001D0FDA" w:rsidRPr="007C3385" w:rsidRDefault="001D0FDA" w:rsidP="001D0FDA">
            <w:pPr>
              <w:pStyle w:val="Tabletext"/>
              <w:rPr>
                <w:b/>
              </w:rPr>
            </w:pPr>
            <w:r w:rsidRPr="007C3385">
              <w:rPr>
                <w:b/>
              </w:rPr>
              <w:t>Type of Safety Signal</w:t>
            </w:r>
          </w:p>
        </w:tc>
        <w:tc>
          <w:tcPr>
            <w:tcW w:w="1417" w:type="dxa"/>
            <w:tcBorders>
              <w:bottom w:val="single" w:sz="4" w:space="0" w:color="auto"/>
            </w:tcBorders>
          </w:tcPr>
          <w:p w:rsidR="001D0FDA" w:rsidRPr="007C3385" w:rsidRDefault="001D0FDA" w:rsidP="001D0FDA">
            <w:pPr>
              <w:pStyle w:val="Tabletext"/>
              <w:rPr>
                <w:b/>
              </w:rPr>
            </w:pPr>
            <w:r w:rsidRPr="007C3385">
              <w:rPr>
                <w:b/>
              </w:rPr>
              <w:t>PRAC Meeting</w:t>
            </w:r>
          </w:p>
        </w:tc>
        <w:tc>
          <w:tcPr>
            <w:tcW w:w="1417" w:type="dxa"/>
            <w:tcBorders>
              <w:bottom w:val="single" w:sz="4" w:space="0" w:color="auto"/>
            </w:tcBorders>
          </w:tcPr>
          <w:p w:rsidR="001D0FDA" w:rsidRPr="007C3385" w:rsidRDefault="001D0FDA" w:rsidP="001D0FDA">
            <w:pPr>
              <w:pStyle w:val="Tabletext"/>
              <w:rPr>
                <w:b/>
              </w:rPr>
            </w:pPr>
            <w:r w:rsidRPr="007C3385">
              <w:rPr>
                <w:b/>
              </w:rPr>
              <w:t xml:space="preserve">Update to </w:t>
            </w:r>
            <w:r>
              <w:rPr>
                <w:b/>
              </w:rPr>
              <w:t>SmPC</w:t>
            </w:r>
            <w:r w:rsidRPr="007C3385">
              <w:rPr>
                <w:b/>
              </w:rPr>
              <w:t xml:space="preserve"> Recommended? </w:t>
            </w:r>
          </w:p>
        </w:tc>
        <w:tc>
          <w:tcPr>
            <w:tcW w:w="2127" w:type="dxa"/>
            <w:tcBorders>
              <w:bottom w:val="single" w:sz="4" w:space="0" w:color="auto"/>
            </w:tcBorders>
          </w:tcPr>
          <w:p w:rsidR="001D0FDA" w:rsidRPr="007C3385" w:rsidRDefault="001D0FDA" w:rsidP="001D0FDA">
            <w:pPr>
              <w:pStyle w:val="Tabletext"/>
              <w:rPr>
                <w:b/>
              </w:rPr>
            </w:pPr>
            <w:r>
              <w:rPr>
                <w:b/>
              </w:rPr>
              <w:t>FDA PL</w:t>
            </w:r>
          </w:p>
        </w:tc>
        <w:tc>
          <w:tcPr>
            <w:tcW w:w="3312" w:type="dxa"/>
            <w:tcBorders>
              <w:bottom w:val="single" w:sz="4" w:space="0" w:color="auto"/>
            </w:tcBorders>
          </w:tcPr>
          <w:p w:rsidR="001D0FDA" w:rsidRPr="007C3385" w:rsidRDefault="001D0FDA" w:rsidP="001D0FDA">
            <w:pPr>
              <w:pStyle w:val="Tabletext"/>
              <w:rPr>
                <w:b/>
              </w:rPr>
            </w:pPr>
            <w:r>
              <w:rPr>
                <w:b/>
              </w:rPr>
              <w:t>TGA PI</w:t>
            </w:r>
          </w:p>
        </w:tc>
      </w:tr>
      <w:tr w:rsidR="001D0FDA" w:rsidRPr="007C3385" w:rsidTr="001D0FDA">
        <w:tc>
          <w:tcPr>
            <w:tcW w:w="1413" w:type="dxa"/>
            <w:shd w:val="clear" w:color="auto" w:fill="000000" w:themeFill="text1"/>
          </w:tcPr>
          <w:p w:rsidR="001D0FDA" w:rsidRPr="007C3385" w:rsidRDefault="001D0FDA" w:rsidP="001D0FDA">
            <w:pPr>
              <w:pStyle w:val="Tabletext"/>
              <w:rPr>
                <w:b/>
                <w:color w:val="FFFFFF" w:themeColor="background1"/>
              </w:rPr>
            </w:pPr>
            <w:r w:rsidRPr="007C3385">
              <w:rPr>
                <w:b/>
                <w:color w:val="FFFFFF" w:themeColor="background1"/>
              </w:rPr>
              <w:t>Sildenafil</w:t>
            </w:r>
          </w:p>
        </w:tc>
        <w:tc>
          <w:tcPr>
            <w:tcW w:w="1417" w:type="dxa"/>
            <w:shd w:val="clear" w:color="auto" w:fill="000000" w:themeFill="text1"/>
          </w:tcPr>
          <w:p w:rsidR="001D0FDA" w:rsidRPr="007C3385" w:rsidRDefault="001D0FDA" w:rsidP="001D0FDA">
            <w:pPr>
              <w:pStyle w:val="Tabletext"/>
              <w:rPr>
                <w:rFonts w:eastAsiaTheme="majorEastAsia"/>
                <w:b/>
                <w:color w:val="FFFFFF" w:themeColor="background1"/>
              </w:rPr>
            </w:pPr>
          </w:p>
        </w:tc>
        <w:tc>
          <w:tcPr>
            <w:tcW w:w="1417" w:type="dxa"/>
            <w:shd w:val="clear" w:color="auto" w:fill="000000" w:themeFill="text1"/>
          </w:tcPr>
          <w:p w:rsidR="001D0FDA" w:rsidRPr="007C3385" w:rsidRDefault="001D0FDA" w:rsidP="001D0FDA">
            <w:pPr>
              <w:pStyle w:val="Tabletext"/>
              <w:rPr>
                <w:b/>
                <w:color w:val="FFFFFF" w:themeColor="background1"/>
              </w:rPr>
            </w:pPr>
          </w:p>
        </w:tc>
        <w:tc>
          <w:tcPr>
            <w:tcW w:w="2127" w:type="dxa"/>
            <w:shd w:val="clear" w:color="auto" w:fill="000000" w:themeFill="text1"/>
          </w:tcPr>
          <w:p w:rsidR="001D0FDA" w:rsidRPr="007C3385" w:rsidRDefault="001D0FDA" w:rsidP="001D0FDA">
            <w:pPr>
              <w:pStyle w:val="Tabletext"/>
              <w:rPr>
                <w:b/>
                <w:color w:val="FFFFFF" w:themeColor="background1"/>
              </w:rPr>
            </w:pPr>
          </w:p>
        </w:tc>
        <w:tc>
          <w:tcPr>
            <w:tcW w:w="3312" w:type="dxa"/>
            <w:shd w:val="clear" w:color="auto" w:fill="000000" w:themeFill="text1"/>
          </w:tcPr>
          <w:p w:rsidR="001D0FDA" w:rsidRPr="007C3385" w:rsidRDefault="001D0FDA" w:rsidP="001D0FDA">
            <w:pPr>
              <w:pStyle w:val="Tabletext"/>
              <w:rPr>
                <w:b/>
                <w:color w:val="FFFFFF" w:themeColor="background1"/>
              </w:rPr>
            </w:pPr>
          </w:p>
        </w:tc>
      </w:tr>
      <w:tr w:rsidR="001D0FDA" w:rsidTr="001D0FDA">
        <w:tc>
          <w:tcPr>
            <w:tcW w:w="1413" w:type="dxa"/>
          </w:tcPr>
          <w:p w:rsidR="001D0FDA" w:rsidRDefault="001D0FDA" w:rsidP="001D0FDA">
            <w:pPr>
              <w:pStyle w:val="Tabletext"/>
            </w:pPr>
            <w:r w:rsidRPr="007D566C">
              <w:t>Increased risk of incident melanoma</w:t>
            </w:r>
          </w:p>
        </w:tc>
        <w:tc>
          <w:tcPr>
            <w:tcW w:w="1417" w:type="dxa"/>
          </w:tcPr>
          <w:p w:rsidR="001D0FDA" w:rsidRDefault="001D0FDA" w:rsidP="001D0FDA">
            <w:pPr>
              <w:pStyle w:val="Tabletext"/>
              <w:rPr>
                <w:rFonts w:eastAsiaTheme="majorEastAsia"/>
              </w:rPr>
            </w:pPr>
            <w:r>
              <w:rPr>
                <w:rFonts w:eastAsiaTheme="majorEastAsia"/>
              </w:rPr>
              <w:t>July 2014</w:t>
            </w:r>
          </w:p>
          <w:p w:rsidR="001D0FDA" w:rsidRDefault="001D0FDA" w:rsidP="001D0FDA">
            <w:pPr>
              <w:pStyle w:val="Tabletext"/>
              <w:rPr>
                <w:rFonts w:eastAsiaTheme="majorEastAsia"/>
              </w:rPr>
            </w:pPr>
            <w:r w:rsidRPr="007D566C">
              <w:rPr>
                <w:rFonts w:eastAsiaTheme="majorEastAsia"/>
              </w:rPr>
              <w:t>November 2014</w:t>
            </w:r>
          </w:p>
          <w:p w:rsidR="001D0FDA" w:rsidRDefault="001D0FDA" w:rsidP="001D0FDA">
            <w:pPr>
              <w:pStyle w:val="Tabletext"/>
            </w:pPr>
            <w:r w:rsidRPr="007D566C">
              <w:rPr>
                <w:rFonts w:eastAsiaTheme="majorEastAsia"/>
              </w:rPr>
              <w:t xml:space="preserve"> </w:t>
            </w:r>
          </w:p>
        </w:tc>
        <w:tc>
          <w:tcPr>
            <w:tcW w:w="1417" w:type="dxa"/>
          </w:tcPr>
          <w:p w:rsidR="001D0FDA" w:rsidRDefault="001D0FDA" w:rsidP="001D0FDA">
            <w:pPr>
              <w:pStyle w:val="Tabletext"/>
            </w:pPr>
            <w:r>
              <w:t>No</w:t>
            </w:r>
          </w:p>
        </w:tc>
        <w:tc>
          <w:tcPr>
            <w:tcW w:w="2127" w:type="dxa"/>
          </w:tcPr>
          <w:p w:rsidR="001D0FDA" w:rsidRDefault="001D0FDA" w:rsidP="001D0FDA">
            <w:pPr>
              <w:pStyle w:val="Tabletext"/>
            </w:pPr>
            <w:r>
              <w:t>Not included in the FDA PL</w:t>
            </w:r>
          </w:p>
        </w:tc>
        <w:tc>
          <w:tcPr>
            <w:tcW w:w="3312" w:type="dxa"/>
          </w:tcPr>
          <w:p w:rsidR="001D0FDA" w:rsidRDefault="001D0FDA" w:rsidP="001D0FDA">
            <w:pPr>
              <w:pStyle w:val="Tabletext"/>
            </w:pPr>
            <w:r>
              <w:t>Not included in the TGA PI</w:t>
            </w:r>
          </w:p>
        </w:tc>
      </w:tr>
      <w:tr w:rsidR="001D0FDA" w:rsidTr="001D0FDA">
        <w:tc>
          <w:tcPr>
            <w:tcW w:w="1413" w:type="dxa"/>
          </w:tcPr>
          <w:p w:rsidR="001D0FDA" w:rsidRPr="007D566C" w:rsidRDefault="001D0FDA" w:rsidP="001D0FDA">
            <w:pPr>
              <w:pStyle w:val="Tabletext"/>
            </w:pPr>
            <w:r>
              <w:t>NAION</w:t>
            </w:r>
          </w:p>
        </w:tc>
        <w:tc>
          <w:tcPr>
            <w:tcW w:w="1417" w:type="dxa"/>
          </w:tcPr>
          <w:p w:rsidR="001D0FDA" w:rsidRDefault="001D0FDA" w:rsidP="001D0FDA">
            <w:pPr>
              <w:pStyle w:val="Tabletext"/>
            </w:pPr>
            <w:r w:rsidRPr="007D566C">
              <w:rPr>
                <w:rFonts w:eastAsiaTheme="majorEastAsia"/>
              </w:rPr>
              <w:t>April 2015</w:t>
            </w:r>
          </w:p>
        </w:tc>
        <w:tc>
          <w:tcPr>
            <w:tcW w:w="1417" w:type="dxa"/>
          </w:tcPr>
          <w:p w:rsidR="001D0FDA" w:rsidRDefault="001D0FDA" w:rsidP="001D0FDA">
            <w:pPr>
              <w:pStyle w:val="Tabletext"/>
            </w:pPr>
            <w:r w:rsidRPr="007D566C">
              <w:t>No</w:t>
            </w:r>
          </w:p>
        </w:tc>
        <w:tc>
          <w:tcPr>
            <w:tcW w:w="2127" w:type="dxa"/>
          </w:tcPr>
          <w:p w:rsidR="001D0FDA" w:rsidRPr="007D566C" w:rsidRDefault="001D0FDA" w:rsidP="001D0FDA">
            <w:pPr>
              <w:pStyle w:val="Tabletext"/>
            </w:pPr>
            <w:r w:rsidRPr="005D3751">
              <w:t>When used to treat erectile dysfunction, NAION, a cause of decreased vision including permanent loss of vision, has been reported post</w:t>
            </w:r>
            <w:r>
              <w:t>-</w:t>
            </w:r>
            <w:r w:rsidRPr="005D3751">
              <w:t>marketing in temporal association with the use of PDE-5 inhibitors, including sildenafil.</w:t>
            </w:r>
          </w:p>
        </w:tc>
        <w:tc>
          <w:tcPr>
            <w:tcW w:w="3312" w:type="dxa"/>
          </w:tcPr>
          <w:p w:rsidR="001D0FDA" w:rsidRPr="007D566C" w:rsidRDefault="001D0FDA" w:rsidP="001D0FDA">
            <w:pPr>
              <w:pStyle w:val="Tabletext"/>
            </w:pPr>
            <w:r w:rsidRPr="00863A40">
              <w:t>Physicians should advise patients to stop use of all PDE</w:t>
            </w:r>
            <w:r>
              <w:t>-</w:t>
            </w:r>
            <w:r w:rsidRPr="00863A40">
              <w:t xml:space="preserve">5 inhibitors, including </w:t>
            </w:r>
            <w:r>
              <w:t>sildenafil</w:t>
            </w:r>
            <w:r w:rsidRPr="00863A40">
              <w:t>, and seek immediate medical attention in the event of a sudden loss of vision in one or both eyes. Such an event may be a sign of NAION, a cause of decreased vision including permanent loss of vision, that has been reported rarely post-marketing in temporal association with the use of all PDE</w:t>
            </w:r>
            <w:r>
              <w:t>-</w:t>
            </w:r>
            <w:r w:rsidRPr="00863A40">
              <w:t>5 inhibitors when used in the treatment of male-erectile dysfunction.</w:t>
            </w:r>
          </w:p>
        </w:tc>
      </w:tr>
      <w:tr w:rsidR="001D0FDA" w:rsidTr="001D0FDA">
        <w:tc>
          <w:tcPr>
            <w:tcW w:w="1413" w:type="dxa"/>
            <w:tcBorders>
              <w:bottom w:val="single" w:sz="4" w:space="0" w:color="auto"/>
            </w:tcBorders>
          </w:tcPr>
          <w:p w:rsidR="001D0FDA" w:rsidRPr="007D566C" w:rsidRDefault="001D0FDA" w:rsidP="001D0FDA">
            <w:pPr>
              <w:pStyle w:val="Tabletext"/>
            </w:pPr>
            <w:r w:rsidRPr="007D566C">
              <w:t>Pulmonary haemorrhage in off label paediatric use</w:t>
            </w:r>
          </w:p>
        </w:tc>
        <w:tc>
          <w:tcPr>
            <w:tcW w:w="1417" w:type="dxa"/>
            <w:tcBorders>
              <w:bottom w:val="single" w:sz="4" w:space="0" w:color="auto"/>
            </w:tcBorders>
          </w:tcPr>
          <w:p w:rsidR="001D0FDA" w:rsidRDefault="001D0FDA" w:rsidP="001D0FDA">
            <w:pPr>
              <w:pStyle w:val="Tabletext"/>
              <w:rPr>
                <w:rFonts w:eastAsiaTheme="majorEastAsia"/>
              </w:rPr>
            </w:pPr>
            <w:r w:rsidRPr="007D566C">
              <w:rPr>
                <w:rFonts w:eastAsiaTheme="majorEastAsia"/>
              </w:rPr>
              <w:t>January 2015</w:t>
            </w:r>
          </w:p>
          <w:p w:rsidR="001D0FDA" w:rsidRDefault="001D0FDA" w:rsidP="001D0FDA">
            <w:pPr>
              <w:pStyle w:val="Tabletext"/>
            </w:pPr>
            <w:r w:rsidRPr="007D566C">
              <w:rPr>
                <w:rFonts w:eastAsiaTheme="majorEastAsia"/>
              </w:rPr>
              <w:t>May 2015</w:t>
            </w:r>
          </w:p>
        </w:tc>
        <w:tc>
          <w:tcPr>
            <w:tcW w:w="1417" w:type="dxa"/>
            <w:tcBorders>
              <w:bottom w:val="single" w:sz="4" w:space="0" w:color="auto"/>
            </w:tcBorders>
          </w:tcPr>
          <w:p w:rsidR="001D0FDA" w:rsidRDefault="001D0FDA" w:rsidP="001D0FDA">
            <w:pPr>
              <w:pStyle w:val="Tabletext"/>
            </w:pPr>
            <w:r w:rsidRPr="007D566C">
              <w:t>No</w:t>
            </w:r>
          </w:p>
        </w:tc>
        <w:tc>
          <w:tcPr>
            <w:tcW w:w="2127" w:type="dxa"/>
            <w:tcBorders>
              <w:bottom w:val="single" w:sz="4" w:space="0" w:color="auto"/>
            </w:tcBorders>
          </w:tcPr>
          <w:p w:rsidR="001D0FDA" w:rsidRDefault="001D0FDA" w:rsidP="001D0FDA">
            <w:pPr>
              <w:pStyle w:val="Tabletext"/>
            </w:pPr>
            <w:r>
              <w:t xml:space="preserve">Not included in the FDA PL. </w:t>
            </w:r>
          </w:p>
          <w:p w:rsidR="001D0FDA" w:rsidRPr="007D566C" w:rsidRDefault="001D0FDA" w:rsidP="001D0FDA">
            <w:pPr>
              <w:pStyle w:val="Tabletext"/>
            </w:pPr>
            <w:r w:rsidRPr="005D3751">
              <w:t>Use of sildenafil, particularly chronic use, i</w:t>
            </w:r>
            <w:r>
              <w:t xml:space="preserve">s not recommended in children. </w:t>
            </w:r>
          </w:p>
        </w:tc>
        <w:tc>
          <w:tcPr>
            <w:tcW w:w="3312" w:type="dxa"/>
            <w:tcBorders>
              <w:bottom w:val="single" w:sz="4" w:space="0" w:color="auto"/>
            </w:tcBorders>
          </w:tcPr>
          <w:p w:rsidR="001D0FDA" w:rsidRDefault="001D0FDA" w:rsidP="001D0FDA">
            <w:pPr>
              <w:pStyle w:val="Tabletext"/>
            </w:pPr>
            <w:r>
              <w:t>Not included in the TGA PI.</w:t>
            </w:r>
          </w:p>
          <w:p w:rsidR="001D0FDA" w:rsidRPr="007D566C" w:rsidRDefault="001D0FDA" w:rsidP="001D0FDA">
            <w:pPr>
              <w:pStyle w:val="Tabletext"/>
            </w:pPr>
            <w:r w:rsidRPr="005D3751">
              <w:t xml:space="preserve"> Sildenafil is not indicated for use in children under 18 years of age.</w:t>
            </w:r>
          </w:p>
        </w:tc>
      </w:tr>
      <w:tr w:rsidR="001D0FDA" w:rsidRPr="007C3385" w:rsidTr="001D0FDA">
        <w:tc>
          <w:tcPr>
            <w:tcW w:w="1413" w:type="dxa"/>
            <w:shd w:val="clear" w:color="auto" w:fill="000000" w:themeFill="text1"/>
          </w:tcPr>
          <w:p w:rsidR="001D0FDA" w:rsidRPr="007C3385" w:rsidRDefault="001D0FDA" w:rsidP="001D0FDA">
            <w:pPr>
              <w:pStyle w:val="Tabletext"/>
              <w:rPr>
                <w:b/>
                <w:color w:val="FFFFFF" w:themeColor="background1"/>
              </w:rPr>
            </w:pPr>
            <w:r w:rsidRPr="007C3385">
              <w:rPr>
                <w:b/>
                <w:color w:val="FFFFFF" w:themeColor="background1"/>
              </w:rPr>
              <w:t>Iloprost</w:t>
            </w:r>
          </w:p>
        </w:tc>
        <w:tc>
          <w:tcPr>
            <w:tcW w:w="1417" w:type="dxa"/>
            <w:shd w:val="clear" w:color="auto" w:fill="000000" w:themeFill="text1"/>
          </w:tcPr>
          <w:p w:rsidR="001D0FDA" w:rsidRPr="007C3385" w:rsidRDefault="001D0FDA" w:rsidP="001D0FDA">
            <w:pPr>
              <w:pStyle w:val="Tabletext"/>
              <w:rPr>
                <w:rFonts w:eastAsiaTheme="majorEastAsia"/>
                <w:b/>
                <w:color w:val="FFFFFF" w:themeColor="background1"/>
              </w:rPr>
            </w:pPr>
          </w:p>
        </w:tc>
        <w:tc>
          <w:tcPr>
            <w:tcW w:w="1417" w:type="dxa"/>
            <w:shd w:val="clear" w:color="auto" w:fill="000000" w:themeFill="text1"/>
          </w:tcPr>
          <w:p w:rsidR="001D0FDA" w:rsidRPr="007C3385" w:rsidRDefault="001D0FDA" w:rsidP="001D0FDA">
            <w:pPr>
              <w:pStyle w:val="Tabletext"/>
              <w:rPr>
                <w:b/>
                <w:color w:val="FFFFFF" w:themeColor="background1"/>
              </w:rPr>
            </w:pPr>
          </w:p>
        </w:tc>
        <w:tc>
          <w:tcPr>
            <w:tcW w:w="2127" w:type="dxa"/>
            <w:shd w:val="clear" w:color="auto" w:fill="000000" w:themeFill="text1"/>
          </w:tcPr>
          <w:p w:rsidR="001D0FDA" w:rsidRPr="007C3385" w:rsidRDefault="001D0FDA" w:rsidP="001D0FDA">
            <w:pPr>
              <w:pStyle w:val="Tabletext"/>
              <w:rPr>
                <w:b/>
                <w:color w:val="FFFFFF" w:themeColor="background1"/>
              </w:rPr>
            </w:pPr>
          </w:p>
        </w:tc>
        <w:tc>
          <w:tcPr>
            <w:tcW w:w="3312" w:type="dxa"/>
            <w:shd w:val="clear" w:color="auto" w:fill="000000" w:themeFill="text1"/>
          </w:tcPr>
          <w:p w:rsidR="001D0FDA" w:rsidRPr="007C3385" w:rsidRDefault="001D0FDA" w:rsidP="001D0FDA">
            <w:pPr>
              <w:pStyle w:val="Tabletext"/>
              <w:rPr>
                <w:b/>
                <w:color w:val="FFFFFF" w:themeColor="background1"/>
              </w:rPr>
            </w:pPr>
          </w:p>
        </w:tc>
      </w:tr>
      <w:tr w:rsidR="001D0FDA" w:rsidTr="001D0FDA">
        <w:tc>
          <w:tcPr>
            <w:tcW w:w="1413" w:type="dxa"/>
            <w:tcBorders>
              <w:bottom w:val="single" w:sz="4" w:space="0" w:color="auto"/>
            </w:tcBorders>
          </w:tcPr>
          <w:p w:rsidR="001D0FDA" w:rsidRDefault="001D0FDA" w:rsidP="001D0FDA">
            <w:pPr>
              <w:pStyle w:val="Tabletext"/>
            </w:pPr>
            <w:r w:rsidRPr="007D566C">
              <w:t>Bradycardia</w:t>
            </w:r>
          </w:p>
        </w:tc>
        <w:tc>
          <w:tcPr>
            <w:tcW w:w="1417" w:type="dxa"/>
            <w:tcBorders>
              <w:bottom w:val="single" w:sz="4" w:space="0" w:color="auto"/>
            </w:tcBorders>
          </w:tcPr>
          <w:p w:rsidR="001D0FDA" w:rsidRPr="007D566C" w:rsidRDefault="001D0FDA" w:rsidP="001D0FDA">
            <w:pPr>
              <w:pStyle w:val="Tabletext"/>
            </w:pPr>
            <w:r w:rsidRPr="007D566C">
              <w:rPr>
                <w:rFonts w:eastAsiaTheme="majorEastAsia"/>
              </w:rPr>
              <w:t>September 2017</w:t>
            </w:r>
          </w:p>
        </w:tc>
        <w:tc>
          <w:tcPr>
            <w:tcW w:w="1417" w:type="dxa"/>
            <w:tcBorders>
              <w:bottom w:val="single" w:sz="4" w:space="0" w:color="auto"/>
            </w:tcBorders>
          </w:tcPr>
          <w:p w:rsidR="001D0FDA" w:rsidRDefault="001D0FDA" w:rsidP="001D0FDA">
            <w:pPr>
              <w:pStyle w:val="Tabletext"/>
            </w:pPr>
            <w:r w:rsidRPr="007D566C">
              <w:t>No</w:t>
            </w:r>
          </w:p>
        </w:tc>
        <w:tc>
          <w:tcPr>
            <w:tcW w:w="2127" w:type="dxa"/>
            <w:tcBorders>
              <w:bottom w:val="single" w:sz="4" w:space="0" w:color="auto"/>
            </w:tcBorders>
          </w:tcPr>
          <w:p w:rsidR="001D0FDA" w:rsidRPr="007D566C" w:rsidRDefault="008B751B" w:rsidP="001D0FDA">
            <w:pPr>
              <w:pStyle w:val="Tabletext"/>
            </w:pPr>
            <w:r>
              <w:t>–</w:t>
            </w:r>
          </w:p>
        </w:tc>
        <w:tc>
          <w:tcPr>
            <w:tcW w:w="3312" w:type="dxa"/>
            <w:tcBorders>
              <w:bottom w:val="single" w:sz="4" w:space="0" w:color="auto"/>
            </w:tcBorders>
          </w:tcPr>
          <w:p w:rsidR="001D0FDA" w:rsidRPr="007D566C" w:rsidRDefault="001D0FDA" w:rsidP="001D0FDA">
            <w:pPr>
              <w:pStyle w:val="Tabletext"/>
            </w:pPr>
            <w:r>
              <w:t>Bradycardia is a f</w:t>
            </w:r>
            <w:r w:rsidRPr="00F7695D">
              <w:t xml:space="preserve">requently observed symptom following overdose </w:t>
            </w:r>
            <w:r>
              <w:t xml:space="preserve">of iloprost. </w:t>
            </w:r>
          </w:p>
        </w:tc>
      </w:tr>
      <w:tr w:rsidR="001D0FDA" w:rsidRPr="007C3385" w:rsidTr="001D0FDA">
        <w:tc>
          <w:tcPr>
            <w:tcW w:w="1413" w:type="dxa"/>
            <w:shd w:val="clear" w:color="auto" w:fill="000000" w:themeFill="text1"/>
          </w:tcPr>
          <w:p w:rsidR="001D0FDA" w:rsidRPr="007C3385" w:rsidRDefault="001D0FDA" w:rsidP="001D0FDA">
            <w:pPr>
              <w:pStyle w:val="Tabletext"/>
              <w:rPr>
                <w:b/>
                <w:color w:val="FFFFFF" w:themeColor="background1"/>
              </w:rPr>
            </w:pPr>
            <w:r w:rsidRPr="007C3385">
              <w:rPr>
                <w:b/>
                <w:color w:val="FFFFFF" w:themeColor="background1"/>
              </w:rPr>
              <w:t>Riociguat</w:t>
            </w:r>
          </w:p>
        </w:tc>
        <w:tc>
          <w:tcPr>
            <w:tcW w:w="1417" w:type="dxa"/>
            <w:shd w:val="clear" w:color="auto" w:fill="000000" w:themeFill="text1"/>
          </w:tcPr>
          <w:p w:rsidR="001D0FDA" w:rsidRPr="007C3385" w:rsidRDefault="001D0FDA" w:rsidP="001D0FDA">
            <w:pPr>
              <w:pStyle w:val="Tabletext"/>
              <w:rPr>
                <w:rFonts w:eastAsiaTheme="majorEastAsia"/>
                <w:b/>
                <w:color w:val="FFFFFF" w:themeColor="background1"/>
              </w:rPr>
            </w:pPr>
          </w:p>
        </w:tc>
        <w:tc>
          <w:tcPr>
            <w:tcW w:w="1417" w:type="dxa"/>
            <w:shd w:val="clear" w:color="auto" w:fill="000000" w:themeFill="text1"/>
          </w:tcPr>
          <w:p w:rsidR="001D0FDA" w:rsidRPr="007C3385" w:rsidRDefault="001D0FDA" w:rsidP="001D0FDA">
            <w:pPr>
              <w:pStyle w:val="Tabletext"/>
              <w:rPr>
                <w:b/>
                <w:color w:val="FFFFFF" w:themeColor="background1"/>
              </w:rPr>
            </w:pPr>
          </w:p>
        </w:tc>
        <w:tc>
          <w:tcPr>
            <w:tcW w:w="2127" w:type="dxa"/>
            <w:shd w:val="clear" w:color="auto" w:fill="000000" w:themeFill="text1"/>
          </w:tcPr>
          <w:p w:rsidR="001D0FDA" w:rsidRPr="007C3385" w:rsidRDefault="001D0FDA" w:rsidP="001D0FDA">
            <w:pPr>
              <w:pStyle w:val="Tabletext"/>
              <w:rPr>
                <w:b/>
                <w:color w:val="FFFFFF" w:themeColor="background1"/>
              </w:rPr>
            </w:pPr>
          </w:p>
        </w:tc>
        <w:tc>
          <w:tcPr>
            <w:tcW w:w="3312" w:type="dxa"/>
            <w:shd w:val="clear" w:color="auto" w:fill="000000" w:themeFill="text1"/>
          </w:tcPr>
          <w:p w:rsidR="001D0FDA" w:rsidRPr="007C3385" w:rsidRDefault="001D0FDA" w:rsidP="001D0FDA">
            <w:pPr>
              <w:pStyle w:val="Tabletext"/>
              <w:rPr>
                <w:b/>
                <w:color w:val="FFFFFF" w:themeColor="background1"/>
              </w:rPr>
            </w:pPr>
          </w:p>
        </w:tc>
      </w:tr>
      <w:tr w:rsidR="001D0FDA" w:rsidTr="001D0FDA">
        <w:tc>
          <w:tcPr>
            <w:tcW w:w="1413" w:type="dxa"/>
          </w:tcPr>
          <w:p w:rsidR="001D0FDA" w:rsidRDefault="001D0FDA" w:rsidP="001D0FDA">
            <w:pPr>
              <w:pStyle w:val="Tabletext"/>
            </w:pPr>
            <w:r w:rsidRPr="007D566C">
              <w:t xml:space="preserve">Increased mortality and </w:t>
            </w:r>
            <w:r>
              <w:t>SAEs</w:t>
            </w:r>
            <w:r w:rsidRPr="007D566C">
              <w:t xml:space="preserve"> in patients with </w:t>
            </w:r>
            <w:r>
              <w:t>PH-IIP</w:t>
            </w:r>
            <w:r w:rsidRPr="007D566C">
              <w:t xml:space="preserve"> in a single clinical trial</w:t>
            </w:r>
          </w:p>
        </w:tc>
        <w:tc>
          <w:tcPr>
            <w:tcW w:w="1417" w:type="dxa"/>
          </w:tcPr>
          <w:p w:rsidR="001D0FDA" w:rsidRDefault="001D0FDA" w:rsidP="001D0FDA">
            <w:pPr>
              <w:pStyle w:val="Tabletext"/>
              <w:rPr>
                <w:rFonts w:eastAsiaTheme="majorEastAsia"/>
              </w:rPr>
            </w:pPr>
            <w:r w:rsidRPr="007D566C">
              <w:rPr>
                <w:rFonts w:eastAsiaTheme="majorEastAsia"/>
              </w:rPr>
              <w:t>June 2016</w:t>
            </w:r>
          </w:p>
          <w:p w:rsidR="001D0FDA" w:rsidRDefault="001D0FDA" w:rsidP="001D0FDA">
            <w:pPr>
              <w:pStyle w:val="Tabletext"/>
            </w:pPr>
            <w:r w:rsidRPr="007D566C">
              <w:rPr>
                <w:rFonts w:eastAsiaTheme="majorEastAsia"/>
              </w:rPr>
              <w:t xml:space="preserve">October 2016 </w:t>
            </w:r>
          </w:p>
        </w:tc>
        <w:tc>
          <w:tcPr>
            <w:tcW w:w="1417" w:type="dxa"/>
          </w:tcPr>
          <w:p w:rsidR="001D0FDA" w:rsidRDefault="001D0FDA" w:rsidP="001D0FDA">
            <w:pPr>
              <w:pStyle w:val="Tabletext"/>
            </w:pPr>
            <w:r w:rsidRPr="007D566C">
              <w:t>Yes</w:t>
            </w:r>
          </w:p>
          <w:p w:rsidR="001D0FDA" w:rsidRDefault="001D0FDA" w:rsidP="001D0FDA">
            <w:pPr>
              <w:pStyle w:val="Tabletext"/>
            </w:pPr>
            <w:r w:rsidRPr="007D566C">
              <w:t>No</w:t>
            </w:r>
          </w:p>
        </w:tc>
        <w:tc>
          <w:tcPr>
            <w:tcW w:w="2127" w:type="dxa"/>
          </w:tcPr>
          <w:p w:rsidR="001D0FDA" w:rsidRPr="007D566C" w:rsidRDefault="008B751B" w:rsidP="001D0FDA">
            <w:pPr>
              <w:pStyle w:val="Tabletext"/>
            </w:pPr>
            <w:r>
              <w:t>–</w:t>
            </w:r>
          </w:p>
        </w:tc>
        <w:tc>
          <w:tcPr>
            <w:tcW w:w="3312" w:type="dxa"/>
          </w:tcPr>
          <w:p w:rsidR="001D0FDA" w:rsidRDefault="001D0FDA" w:rsidP="001D0FDA">
            <w:pPr>
              <w:pStyle w:val="Tabletext"/>
            </w:pPr>
            <w:r>
              <w:t>Riociguat</w:t>
            </w:r>
            <w:r w:rsidRPr="00F7695D">
              <w:t xml:space="preserve"> is contraindicated in patients with </w:t>
            </w:r>
            <w:r>
              <w:t>PH-IIP</w:t>
            </w:r>
            <w:r w:rsidRPr="00F7695D">
              <w:t>.</w:t>
            </w:r>
          </w:p>
          <w:p w:rsidR="001D0FDA" w:rsidRPr="007D566C" w:rsidRDefault="001D0FDA" w:rsidP="001D0FDA">
            <w:pPr>
              <w:pStyle w:val="Tabletext"/>
            </w:pPr>
            <w:r>
              <w:t xml:space="preserve">No further information provided. </w:t>
            </w:r>
          </w:p>
        </w:tc>
      </w:tr>
    </w:tbl>
    <w:p w:rsidR="001D0FDA" w:rsidRDefault="001D0FDA" w:rsidP="001D0FDA">
      <w:pPr>
        <w:pStyle w:val="Tablenote"/>
      </w:pPr>
      <w:r>
        <w:t>NAION = n</w:t>
      </w:r>
      <w:r w:rsidRPr="007C3385">
        <w:t xml:space="preserve">on-arteritic anterior ischaemic optic neuropathy; </w:t>
      </w:r>
      <w:r>
        <w:t xml:space="preserve">FDA = Food and Drug Administration; PDE=5 = phosphodiesterase type 5; PH-IIP = </w:t>
      </w:r>
      <w:r w:rsidRPr="00F7695D">
        <w:t>pulmonary hypertension associated with idiopathic interstitial pneumonias</w:t>
      </w:r>
      <w:r>
        <w:t xml:space="preserve">; PI = Product Information; PL = Product Label; PRAC = </w:t>
      </w:r>
      <w:r w:rsidRPr="00F7695D">
        <w:t xml:space="preserve">Pharmacovigilance </w:t>
      </w:r>
      <w:r>
        <w:t xml:space="preserve">Risk Assessment Committee; SAE = serious adverse event; SmPC = </w:t>
      </w:r>
      <w:r w:rsidRPr="007C3385">
        <w:t>Summary of Product Characteristics</w:t>
      </w:r>
      <w:r>
        <w:t>; TGA = Therapeutic Goods Administration</w:t>
      </w:r>
    </w:p>
    <w:p w:rsidR="001D0FDA" w:rsidRDefault="001D0FDA" w:rsidP="001D0FDA">
      <w:pPr>
        <w:pStyle w:val="Tablenote"/>
        <w:rPr>
          <w:rStyle w:val="Hyperlink"/>
          <w:color w:val="auto"/>
          <w:u w:val="none"/>
        </w:rPr>
      </w:pPr>
      <w:r w:rsidRPr="0045440E">
        <w:t xml:space="preserve">Source: </w:t>
      </w:r>
      <w:r w:rsidRPr="00A17B9D">
        <w:t>www.ema.europa.eu</w:t>
      </w:r>
    </w:p>
    <w:p w:rsidR="0045440E" w:rsidRPr="0045440E" w:rsidRDefault="001D0FDA" w:rsidP="001D0FDA">
      <w:r w:rsidRPr="0045440E">
        <w:rPr>
          <w:rStyle w:val="Hyperlink"/>
          <w:color w:val="auto"/>
          <w:u w:val="none"/>
        </w:rPr>
        <w:t xml:space="preserve">A trend to increased mortality was observed in a Phase II clinical trial of patients with idiopathic interstitial pneumonia and who received </w:t>
      </w:r>
      <w:r>
        <w:rPr>
          <w:rStyle w:val="Hyperlink"/>
          <w:color w:val="auto"/>
          <w:u w:val="none"/>
        </w:rPr>
        <w:t>riociguat (the RISE-IIP study).</w:t>
      </w:r>
      <w:r w:rsidRPr="0045440E">
        <w:rPr>
          <w:rStyle w:val="Hyperlink"/>
          <w:color w:val="auto"/>
          <w:u w:val="none"/>
        </w:rPr>
        <w:t xml:space="preserve"> The trial was </w:t>
      </w:r>
      <w:r>
        <w:rPr>
          <w:rStyle w:val="Hyperlink"/>
          <w:color w:val="auto"/>
          <w:u w:val="none"/>
        </w:rPr>
        <w:t xml:space="preserve">terminated early as a result. </w:t>
      </w:r>
      <w:r w:rsidRPr="0045440E">
        <w:rPr>
          <w:rStyle w:val="Hyperlink"/>
          <w:color w:val="auto"/>
          <w:u w:val="none"/>
        </w:rPr>
        <w:t xml:space="preserve">The </w:t>
      </w:r>
      <w:r w:rsidRPr="00B83EA6">
        <w:rPr>
          <w:rStyle w:val="Hyperlink"/>
          <w:color w:val="auto"/>
          <w:u w:val="none"/>
        </w:rPr>
        <w:t>Pharmacovigilance Risk Assessment Committee</w:t>
      </w:r>
      <w:r w:rsidRPr="0045440E">
        <w:rPr>
          <w:rStyle w:val="Hyperlink"/>
          <w:color w:val="auto"/>
          <w:u w:val="none"/>
        </w:rPr>
        <w:t xml:space="preserve"> initially recommended a contraindication for </w:t>
      </w:r>
      <w:r w:rsidRPr="00B83EA6">
        <w:rPr>
          <w:rStyle w:val="Hyperlink"/>
          <w:color w:val="auto"/>
          <w:u w:val="none"/>
        </w:rPr>
        <w:t xml:space="preserve">idiopathic interstitial pneumonia </w:t>
      </w:r>
      <w:r>
        <w:rPr>
          <w:rStyle w:val="Hyperlink"/>
          <w:color w:val="auto"/>
          <w:u w:val="none"/>
        </w:rPr>
        <w:t>patients</w:t>
      </w:r>
      <w:r w:rsidRPr="0045440E">
        <w:rPr>
          <w:rStyle w:val="Hyperlink"/>
          <w:color w:val="auto"/>
          <w:u w:val="none"/>
        </w:rPr>
        <w:t xml:space="preserve"> and in June 2016, the EMA published an advisory that riociguat is not indicated for treatment of patients with </w:t>
      </w:r>
      <w:r>
        <w:rPr>
          <w:rStyle w:val="Hyperlink"/>
          <w:color w:val="auto"/>
          <w:u w:val="none"/>
        </w:rPr>
        <w:t xml:space="preserve">idiopathic </w:t>
      </w:r>
      <w:r w:rsidRPr="0045440E">
        <w:rPr>
          <w:rStyle w:val="Hyperlink"/>
          <w:color w:val="auto"/>
          <w:u w:val="none"/>
        </w:rPr>
        <w:t>interstitial pneumonia and furthermore should not be used in such patients in light of th</w:t>
      </w:r>
      <w:r>
        <w:rPr>
          <w:rStyle w:val="Hyperlink"/>
          <w:color w:val="auto"/>
          <w:u w:val="none"/>
        </w:rPr>
        <w:t xml:space="preserve">e trial </w:t>
      </w:r>
      <w:r>
        <w:rPr>
          <w:rStyle w:val="Hyperlink"/>
          <w:color w:val="auto"/>
          <w:u w:val="none"/>
        </w:rPr>
        <w:lastRenderedPageBreak/>
        <w:t xml:space="preserve">results in idiopathic </w:t>
      </w:r>
      <w:r w:rsidRPr="0045440E">
        <w:rPr>
          <w:rStyle w:val="Hyperlink"/>
          <w:color w:val="auto"/>
          <w:u w:val="none"/>
        </w:rPr>
        <w:t>interstitial pneumonia</w:t>
      </w:r>
      <w:r>
        <w:rPr>
          <w:rStyle w:val="Hyperlink"/>
          <w:color w:val="auto"/>
          <w:u w:val="none"/>
        </w:rPr>
        <w:t xml:space="preserve"> patients. </w:t>
      </w:r>
      <w:r w:rsidRPr="0045440E">
        <w:rPr>
          <w:rStyle w:val="Hyperlink"/>
          <w:color w:val="auto"/>
          <w:u w:val="none"/>
        </w:rPr>
        <w:t xml:space="preserve">After a second </w:t>
      </w:r>
      <w:r w:rsidRPr="00B83EA6">
        <w:rPr>
          <w:rStyle w:val="Hyperlink"/>
          <w:color w:val="auto"/>
          <w:u w:val="none"/>
        </w:rPr>
        <w:t>Pharmacovigilance Risk Assessment Committee</w:t>
      </w:r>
      <w:r w:rsidRPr="0045440E">
        <w:rPr>
          <w:rStyle w:val="Hyperlink"/>
          <w:color w:val="auto"/>
          <w:u w:val="none"/>
        </w:rPr>
        <w:t xml:space="preserve"> consideration in October 2016, the </w:t>
      </w:r>
      <w:r>
        <w:rPr>
          <w:rStyle w:val="Hyperlink"/>
          <w:color w:val="auto"/>
          <w:u w:val="none"/>
        </w:rPr>
        <w:t>Committee</w:t>
      </w:r>
      <w:r w:rsidRPr="0045440E">
        <w:rPr>
          <w:rStyle w:val="Hyperlink"/>
          <w:color w:val="auto"/>
          <w:u w:val="none"/>
        </w:rPr>
        <w:t xml:space="preserve"> revised its view on receiving further</w:t>
      </w:r>
      <w:r>
        <w:rPr>
          <w:rStyle w:val="Hyperlink"/>
          <w:color w:val="auto"/>
          <w:u w:val="none"/>
        </w:rPr>
        <w:t xml:space="preserve"> information from the sponsor. </w:t>
      </w:r>
      <w:r w:rsidRPr="0045440E">
        <w:rPr>
          <w:rStyle w:val="Hyperlink"/>
          <w:color w:val="auto"/>
          <w:u w:val="none"/>
        </w:rPr>
        <w:t xml:space="preserve">The </w:t>
      </w:r>
      <w:r>
        <w:rPr>
          <w:rStyle w:val="Hyperlink"/>
          <w:color w:val="auto"/>
          <w:u w:val="none"/>
        </w:rPr>
        <w:t xml:space="preserve">Committee </w:t>
      </w:r>
      <w:r w:rsidRPr="0045440E">
        <w:rPr>
          <w:rStyle w:val="Hyperlink"/>
          <w:color w:val="auto"/>
          <w:u w:val="none"/>
        </w:rPr>
        <w:t xml:space="preserve">considered that “no definitive underlying mechanisms or subgroups at risk could be identified” and imposed a suite of follow-up measures relating to the potential link between mortality, riociguat and both </w:t>
      </w:r>
      <w:r>
        <w:rPr>
          <w:rStyle w:val="Hyperlink"/>
          <w:color w:val="auto"/>
          <w:u w:val="none"/>
        </w:rPr>
        <w:t xml:space="preserve">idiopathic </w:t>
      </w:r>
      <w:r w:rsidRPr="0045440E">
        <w:rPr>
          <w:rStyle w:val="Hyperlink"/>
          <w:color w:val="auto"/>
          <w:u w:val="none"/>
        </w:rPr>
        <w:t>interstitial pneumonia</w:t>
      </w:r>
      <w:r>
        <w:rPr>
          <w:rStyle w:val="Hyperlink"/>
          <w:color w:val="auto"/>
          <w:u w:val="none"/>
        </w:rPr>
        <w:t xml:space="preserve"> </w:t>
      </w:r>
      <w:r w:rsidRPr="0045440E">
        <w:rPr>
          <w:rStyle w:val="Hyperlink"/>
          <w:color w:val="auto"/>
          <w:u w:val="none"/>
        </w:rPr>
        <w:t>and also combined pul</w:t>
      </w:r>
      <w:r>
        <w:rPr>
          <w:rStyle w:val="Hyperlink"/>
          <w:color w:val="auto"/>
          <w:u w:val="none"/>
        </w:rPr>
        <w:t xml:space="preserve">monary fibrosis and emphysema. </w:t>
      </w:r>
      <w:r w:rsidRPr="0045440E">
        <w:rPr>
          <w:rStyle w:val="Hyperlink"/>
          <w:color w:val="auto"/>
          <w:u w:val="none"/>
        </w:rPr>
        <w:t xml:space="preserve">No change has been made to the </w:t>
      </w:r>
      <w:r>
        <w:rPr>
          <w:rStyle w:val="Hyperlink"/>
          <w:color w:val="auto"/>
          <w:u w:val="none"/>
        </w:rPr>
        <w:t>SmPC</w:t>
      </w:r>
      <w:r w:rsidRPr="0045440E">
        <w:rPr>
          <w:rStyle w:val="Hyperlink"/>
          <w:color w:val="auto"/>
          <w:u w:val="none"/>
        </w:rPr>
        <w:t xml:space="preserve"> regarding interstitial pneumonia. </w:t>
      </w:r>
      <w:r>
        <w:rPr>
          <w:rStyle w:val="Hyperlink"/>
          <w:color w:val="auto"/>
          <w:u w:val="none"/>
        </w:rPr>
        <w:t>Both TGA PI and FDA product label contraindicate use of riociguat in patients with pulmonary hypertension associated with idiopathic interstitial pneumonias. No further safety information regarding the use of riociguat (ie results from Tri</w:t>
      </w:r>
      <w:r w:rsidR="000077A0">
        <w:rPr>
          <w:rStyle w:val="Hyperlink"/>
          <w:color w:val="auto"/>
          <w:u w:val="none"/>
        </w:rPr>
        <w:t>al RISE-IIP) has been included.</w:t>
      </w:r>
    </w:p>
    <w:p w:rsidR="006966DC" w:rsidRPr="00EB1471" w:rsidRDefault="006966DC" w:rsidP="006966DC">
      <w:pPr>
        <w:pStyle w:val="Heading2"/>
      </w:pPr>
      <w:bookmarkStart w:id="333" w:name="_Toc512855393"/>
      <w:bookmarkStart w:id="334" w:name="_Toc468022812"/>
      <w:bookmarkStart w:id="335" w:name="_Toc482191522"/>
      <w:bookmarkStart w:id="336" w:name="_Toc486515189"/>
      <w:bookmarkEnd w:id="313"/>
      <w:bookmarkEnd w:id="314"/>
      <w:bookmarkEnd w:id="315"/>
      <w:r>
        <w:t>Conclusions</w:t>
      </w:r>
      <w:bookmarkEnd w:id="333"/>
    </w:p>
    <w:p w:rsidR="005A20F4" w:rsidRPr="005A20F4" w:rsidRDefault="005A20F4" w:rsidP="005A20F4">
      <w:pPr>
        <w:pStyle w:val="Heading3"/>
      </w:pPr>
      <w:bookmarkStart w:id="337" w:name="_Toc512855394"/>
      <w:bookmarkEnd w:id="334"/>
      <w:bookmarkEnd w:id="335"/>
      <w:bookmarkEnd w:id="336"/>
      <w:r w:rsidRPr="005A20F4">
        <w:t>Effectiveness and safety of monotherapy in WHO FC I or II</w:t>
      </w:r>
      <w:r w:rsidR="00126F99">
        <w:t xml:space="preserve"> PAH</w:t>
      </w:r>
      <w:bookmarkEnd w:id="337"/>
    </w:p>
    <w:p w:rsidR="0075777C" w:rsidRPr="006316DF" w:rsidRDefault="00441F08" w:rsidP="0075777C">
      <w:pPr>
        <w:pStyle w:val="Heading4"/>
      </w:pPr>
      <w:r>
        <w:t>4.5.1.1</w:t>
      </w:r>
      <w:r>
        <w:tab/>
      </w:r>
      <w:r w:rsidR="0075777C" w:rsidRPr="006316DF">
        <w:t>ERA versus placebo</w:t>
      </w:r>
    </w:p>
    <w:p w:rsidR="0075777C" w:rsidRPr="00107676" w:rsidRDefault="0075777C" w:rsidP="0075777C">
      <w:pPr>
        <w:pStyle w:val="Heading5"/>
      </w:pPr>
      <w:r w:rsidRPr="00107676">
        <w:t>Clinical effectiveness</w:t>
      </w:r>
    </w:p>
    <w:p w:rsidR="0075777C" w:rsidRDefault="0075777C" w:rsidP="0075777C">
      <w:pPr>
        <w:rPr>
          <w:rFonts w:eastAsia="Times New Roman" w:cs="Cambria Math"/>
          <w:bCs/>
        </w:rPr>
      </w:pPr>
      <w:r w:rsidRPr="006316DF">
        <w:t xml:space="preserve">The </w:t>
      </w:r>
      <w:r>
        <w:t xml:space="preserve">detailed </w:t>
      </w:r>
      <w:r w:rsidRPr="006316DF">
        <w:t>GRADE</w:t>
      </w:r>
      <w:r w:rsidR="001D34EE" w:rsidRPr="001D34EE">
        <w:rPr>
          <w:noProof/>
          <w:vertAlign w:val="superscript"/>
        </w:rPr>
        <w:t>1</w:t>
      </w:r>
      <w:r w:rsidRPr="006316DF">
        <w:t xml:space="preserve"> assessments of the outcomes when comparing an ERA with placebo are reported in </w:t>
      </w:r>
      <w:r w:rsidR="00AA722D">
        <w:t>Table 4.</w:t>
      </w:r>
      <w:r w:rsidR="00AA722D">
        <w:rPr>
          <w:noProof/>
        </w:rPr>
        <w:t>146</w:t>
      </w:r>
      <w:r w:rsidR="00796F18">
        <w:t xml:space="preserve"> </w:t>
      </w:r>
      <w:r w:rsidRPr="006316DF">
        <w:t xml:space="preserve">in Appendix </w:t>
      </w:r>
      <w:r w:rsidR="00DA2636">
        <w:t>4</w:t>
      </w:r>
      <w:r w:rsidR="001B552D">
        <w:t>C</w:t>
      </w:r>
      <w:r w:rsidRPr="006316DF">
        <w:t xml:space="preserve">. A summary of these results is provided in </w:t>
      </w:r>
      <w:r w:rsidR="00FB0A80">
        <w:t>Table 4.120</w:t>
      </w:r>
      <w:r w:rsidRPr="006316DF">
        <w:t xml:space="preserve">. The evidence base for the outcomes ranked as critical </w:t>
      </w:r>
      <w:r>
        <w:t xml:space="preserve">and not important </w:t>
      </w:r>
      <w:r w:rsidRPr="006316DF">
        <w:t>w</w:t>
      </w:r>
      <w:r>
        <w:t>ere</w:t>
      </w:r>
      <w:r w:rsidRPr="006316DF">
        <w:t xml:space="preserve"> considered to be of </w:t>
      </w:r>
      <w:r>
        <w:t>high</w:t>
      </w:r>
      <w:r w:rsidRPr="006316DF">
        <w:t xml:space="preserve"> quality (GRADE </w:t>
      </w:r>
      <w:r w:rsidRPr="008727D6">
        <w:rPr>
          <w:rFonts w:ascii="Cambria Math" w:eastAsia="Times New Roman" w:hAnsi="Cambria Math" w:cs="Tahoma"/>
          <w:bCs/>
          <w:color w:val="00B050"/>
        </w:rPr>
        <w:t>⨁⨁⨁⨁</w:t>
      </w:r>
      <w:r w:rsidRPr="006316DF">
        <w:rPr>
          <w:rFonts w:eastAsia="Times New Roman" w:cs="Cambria Math"/>
          <w:bCs/>
        </w:rPr>
        <w:t>)</w:t>
      </w:r>
      <w:r>
        <w:rPr>
          <w:rFonts w:eastAsia="Times New Roman" w:cs="Cambria Math"/>
          <w:bCs/>
        </w:rPr>
        <w:t xml:space="preserve"> and</w:t>
      </w:r>
      <w:r w:rsidRPr="006316DF">
        <w:rPr>
          <w:rFonts w:eastAsia="Times New Roman" w:cs="Cambria Math"/>
          <w:bCs/>
        </w:rPr>
        <w:t xml:space="preserve"> </w:t>
      </w:r>
      <w:r>
        <w:rPr>
          <w:rFonts w:eastAsia="Times New Roman" w:cs="Cambria Math"/>
          <w:bCs/>
        </w:rPr>
        <w:t>t</w:t>
      </w:r>
      <w:r w:rsidRPr="006316DF">
        <w:t xml:space="preserve">he evidence base for the outcomes ranked as important was considered to be of moderate (GRADE </w:t>
      </w:r>
      <w:r w:rsidRPr="008727D6">
        <w:rPr>
          <w:rFonts w:ascii="Cambria Math" w:eastAsia="Times New Roman" w:hAnsi="Cambria Math" w:cs="Tahoma"/>
          <w:bCs/>
          <w:color w:val="00B050"/>
        </w:rPr>
        <w:t>⨁⨁⨁</w:t>
      </w:r>
      <w:r w:rsidRPr="008727D6">
        <w:rPr>
          <w:rFonts w:ascii="Cambria Math" w:eastAsia="Times New Roman" w:hAnsi="Cambria Math" w:cs="Cambria Math"/>
          <w:bCs/>
          <w:color w:val="C00000"/>
        </w:rPr>
        <w:t>⨀</w:t>
      </w:r>
      <w:r w:rsidR="00796F18" w:rsidRPr="00880228">
        <w:rPr>
          <w:rFonts w:eastAsia="Times New Roman" w:cs="Cambria Math"/>
          <w:bCs/>
        </w:rPr>
        <w:t>)</w:t>
      </w:r>
      <w:r w:rsidR="00880228" w:rsidRPr="00880228">
        <w:rPr>
          <w:rFonts w:eastAsia="Times New Roman" w:cs="Cambria Math"/>
          <w:bCs/>
        </w:rPr>
        <w:t xml:space="preserve"> or low</w:t>
      </w:r>
      <w:r w:rsidR="00880228" w:rsidRPr="00880228">
        <w:t xml:space="preserve"> (GRADE</w:t>
      </w:r>
      <w:r w:rsidR="00880228">
        <w:t xml:space="preserve"> </w:t>
      </w:r>
      <w:r w:rsidR="00880228" w:rsidRPr="008727D6">
        <w:rPr>
          <w:rFonts w:ascii="Cambria Math" w:eastAsia="Times New Roman" w:hAnsi="Cambria Math" w:cs="Tahoma"/>
          <w:bCs/>
          <w:color w:val="00B050"/>
        </w:rPr>
        <w:t>⨁⨁</w:t>
      </w:r>
      <w:r w:rsidR="00880228" w:rsidRPr="008727D6">
        <w:rPr>
          <w:rFonts w:ascii="Cambria Math" w:eastAsia="Times New Roman" w:hAnsi="Cambria Math" w:cs="Cambria Math"/>
          <w:bCs/>
          <w:color w:val="C00000"/>
        </w:rPr>
        <w:t>⨀⨀</w:t>
      </w:r>
      <w:r w:rsidR="00880228" w:rsidRPr="00880228">
        <w:t xml:space="preserve">) </w:t>
      </w:r>
      <w:r w:rsidR="00880228" w:rsidRPr="006316DF">
        <w:t>quality</w:t>
      </w:r>
      <w:r w:rsidR="00CB794E">
        <w:t>.</w:t>
      </w:r>
    </w:p>
    <w:p w:rsidR="0075777C" w:rsidRPr="006316DF" w:rsidRDefault="0075777C" w:rsidP="0075777C">
      <w:r w:rsidRPr="006316DF">
        <w:t xml:space="preserve">When taking </w:t>
      </w:r>
      <w:r>
        <w:t>the whole body of evidence</w:t>
      </w:r>
      <w:r w:rsidRPr="006316DF">
        <w:t xml:space="preserve"> into </w:t>
      </w:r>
      <w:r w:rsidRPr="00796F18">
        <w:t>account, there w</w:t>
      </w:r>
      <w:r w:rsidR="004C7BB4">
        <w:t>ere</w:t>
      </w:r>
      <w:r w:rsidRPr="00796F18">
        <w:t xml:space="preserve"> </w:t>
      </w:r>
      <w:r w:rsidR="00A17B9D">
        <w:rPr>
          <w:noProof/>
          <w:color w:val="000000"/>
          <w:highlight w:val="black"/>
        </w:rPr>
        <w:t>''''''''''''''''''''''' ''''''''''</w:t>
      </w:r>
      <w:r w:rsidRPr="00796F18">
        <w:t xml:space="preserve"> </w:t>
      </w:r>
      <w:r w:rsidR="004C7BB4">
        <w:t>patients experiencing clinical worsening when taking an ERA medication compared with placebo. There was also a clinically important placebo-adjusted difference from baseline in PVR in the ERA group</w:t>
      </w:r>
      <w:r w:rsidRPr="00796F18">
        <w:t>.</w:t>
      </w:r>
      <w:r w:rsidRPr="006316DF">
        <w:t xml:space="preserve"> All </w:t>
      </w:r>
      <w:r>
        <w:t xml:space="preserve">other </w:t>
      </w:r>
      <w:r w:rsidRPr="006316DF">
        <w:t xml:space="preserve">outcomes </w:t>
      </w:r>
      <w:r>
        <w:t xml:space="preserve">also </w:t>
      </w:r>
      <w:r w:rsidRPr="006316DF">
        <w:t>favour</w:t>
      </w:r>
      <w:r>
        <w:t>ed</w:t>
      </w:r>
      <w:r w:rsidRPr="006316DF">
        <w:t xml:space="preserve"> the use of an ERA over a placebo, but the range of point estimates included in the </w:t>
      </w:r>
      <w:r w:rsidR="00D84687">
        <w:t>95% CI indicates</w:t>
      </w:r>
      <w:r w:rsidRPr="006316DF">
        <w:t xml:space="preserve"> that a lack</w:t>
      </w:r>
      <w:r w:rsidR="00CB794E">
        <w:t xml:space="preserve"> of effect cannot be ruled out.</w:t>
      </w:r>
    </w:p>
    <w:p w:rsidR="0075777C" w:rsidRPr="006316DF" w:rsidRDefault="00BC5A2B" w:rsidP="0075777C">
      <w:r w:rsidRPr="00BC5A2B">
        <w:t xml:space="preserve">Thus, the use of an ERA medication to treat patients with WHO FC I/II </w:t>
      </w:r>
      <w:r w:rsidR="00796F18">
        <w:t>PAH is likely to be beneficial.</w:t>
      </w:r>
    </w:p>
    <w:p w:rsidR="005E60A7" w:rsidRDefault="005E60A7">
      <w:pPr>
        <w:spacing w:before="0" w:line="240" w:lineRule="auto"/>
        <w:rPr>
          <w:rFonts w:ascii="Arial" w:hAnsi="Arial"/>
          <w:b/>
          <w:iCs/>
          <w:sz w:val="20"/>
          <w:szCs w:val="18"/>
        </w:rPr>
      </w:pPr>
      <w:bookmarkStart w:id="338" w:name="_Ref501359627"/>
      <w:bookmarkStart w:id="339" w:name="_Ref436651097"/>
      <w:bookmarkStart w:id="340" w:name="_Toc439954430"/>
      <w:r>
        <w:br w:type="page"/>
      </w:r>
    </w:p>
    <w:p w:rsidR="0075777C" w:rsidRPr="00BC5A2B" w:rsidRDefault="00272F8F" w:rsidP="00BC5A2B">
      <w:pPr>
        <w:pStyle w:val="Caption"/>
      </w:pPr>
      <w:bookmarkStart w:id="341" w:name="_Toc512855524"/>
      <w:r w:rsidRPr="00BC5A2B">
        <w:lastRenderedPageBreak/>
        <w:t>Table 4.</w:t>
      </w:r>
      <w:r w:rsidR="00AA722D">
        <w:rPr>
          <w:noProof/>
        </w:rPr>
        <w:t>120</w:t>
      </w:r>
      <w:bookmarkEnd w:id="338"/>
      <w:bookmarkEnd w:id="339"/>
      <w:r w:rsidR="00BC5A2B" w:rsidRPr="00BC5A2B">
        <w:tab/>
      </w:r>
      <w:r w:rsidR="0075777C" w:rsidRPr="00BC5A2B">
        <w:t xml:space="preserve">Balance of clinical benefits and harms of </w:t>
      </w:r>
      <w:r w:rsidR="007E59EC">
        <w:t xml:space="preserve">an </w:t>
      </w:r>
      <w:r w:rsidR="0075777C" w:rsidRPr="00BC5A2B">
        <w:t xml:space="preserve">ERA, relative to </w:t>
      </w:r>
      <w:bookmarkEnd w:id="340"/>
      <w:r w:rsidR="0075777C" w:rsidRPr="00BC5A2B">
        <w:t>placebo</w:t>
      </w:r>
      <w:bookmarkEnd w:id="341"/>
    </w:p>
    <w:tbl>
      <w:tblPr>
        <w:tblStyle w:val="TableGrid"/>
        <w:tblW w:w="9634" w:type="dxa"/>
        <w:tblLayout w:type="fixed"/>
        <w:tblLook w:val="04A0" w:firstRow="1" w:lastRow="0" w:firstColumn="1" w:lastColumn="0" w:noHBand="0" w:noVBand="1"/>
        <w:tblCaption w:val="Balance of clinical benefits and harms of an ERA, relative to placebo"/>
      </w:tblPr>
      <w:tblGrid>
        <w:gridCol w:w="1560"/>
        <w:gridCol w:w="1275"/>
        <w:gridCol w:w="1701"/>
        <w:gridCol w:w="1413"/>
        <w:gridCol w:w="2551"/>
        <w:gridCol w:w="1134"/>
      </w:tblGrid>
      <w:tr w:rsidR="0075777C" w:rsidRPr="00BC5A2B" w:rsidTr="00BC5A2B">
        <w:trPr>
          <w:cnfStyle w:val="100000000000" w:firstRow="1" w:lastRow="0" w:firstColumn="0" w:lastColumn="0" w:oddVBand="0" w:evenVBand="0" w:oddHBand="0" w:evenHBand="0" w:firstRowFirstColumn="0" w:firstRowLastColumn="0" w:lastRowFirstColumn="0" w:lastRowLastColumn="0"/>
          <w:trHeight w:val="293"/>
        </w:trPr>
        <w:tc>
          <w:tcPr>
            <w:tcW w:w="1560" w:type="dxa"/>
          </w:tcPr>
          <w:p w:rsidR="0075777C" w:rsidRPr="00BC5A2B" w:rsidRDefault="0075777C" w:rsidP="00BC5A2B">
            <w:pPr>
              <w:pStyle w:val="TableText0"/>
              <w:spacing w:before="20" w:after="20"/>
              <w:rPr>
                <w:b/>
                <w:noProof/>
              </w:rPr>
            </w:pPr>
            <w:r w:rsidRPr="00BC5A2B">
              <w:rPr>
                <w:b/>
                <w:noProof/>
              </w:rPr>
              <w:t xml:space="preserve">Outcomes </w:t>
            </w:r>
          </w:p>
        </w:tc>
        <w:tc>
          <w:tcPr>
            <w:tcW w:w="1275" w:type="dxa"/>
          </w:tcPr>
          <w:p w:rsidR="0075777C" w:rsidRPr="00BC5A2B" w:rsidRDefault="0075777C" w:rsidP="00BC5A2B">
            <w:pPr>
              <w:pStyle w:val="TableText0"/>
              <w:spacing w:before="20" w:after="20"/>
              <w:rPr>
                <w:b/>
                <w:noProof/>
              </w:rPr>
            </w:pPr>
            <w:r w:rsidRPr="00BC5A2B">
              <w:rPr>
                <w:b/>
                <w:noProof/>
              </w:rPr>
              <w:t>Participants (studies)</w:t>
            </w:r>
          </w:p>
        </w:tc>
        <w:tc>
          <w:tcPr>
            <w:tcW w:w="1701" w:type="dxa"/>
          </w:tcPr>
          <w:p w:rsidR="0075777C" w:rsidRPr="00BC5A2B" w:rsidRDefault="0075777C" w:rsidP="00BC5A2B">
            <w:pPr>
              <w:pStyle w:val="TableText0"/>
              <w:spacing w:before="20" w:after="20"/>
              <w:rPr>
                <w:b/>
                <w:noProof/>
              </w:rPr>
            </w:pPr>
            <w:r w:rsidRPr="00BC5A2B">
              <w:rPr>
                <w:b/>
                <w:noProof/>
              </w:rPr>
              <w:t>Quality of evidence</w:t>
            </w:r>
          </w:p>
        </w:tc>
        <w:tc>
          <w:tcPr>
            <w:tcW w:w="1413" w:type="dxa"/>
          </w:tcPr>
          <w:p w:rsidR="0075777C" w:rsidRPr="00BC5A2B" w:rsidRDefault="0075777C" w:rsidP="00BC5A2B">
            <w:pPr>
              <w:pStyle w:val="TableText0"/>
              <w:spacing w:before="20" w:after="20"/>
              <w:rPr>
                <w:b/>
                <w:noProof/>
              </w:rPr>
            </w:pPr>
            <w:r w:rsidRPr="00BC5A2B">
              <w:rPr>
                <w:b/>
                <w:noProof/>
              </w:rPr>
              <w:t>Results</w:t>
            </w:r>
          </w:p>
        </w:tc>
        <w:tc>
          <w:tcPr>
            <w:tcW w:w="2551" w:type="dxa"/>
          </w:tcPr>
          <w:p w:rsidR="0075777C" w:rsidRPr="00BC5A2B" w:rsidRDefault="0075777C" w:rsidP="00BC5A2B">
            <w:pPr>
              <w:pStyle w:val="TableText0"/>
              <w:spacing w:before="20" w:after="20"/>
              <w:rPr>
                <w:b/>
                <w:noProof/>
              </w:rPr>
            </w:pPr>
            <w:r w:rsidRPr="00BC5A2B">
              <w:rPr>
                <w:b/>
                <w:noProof/>
              </w:rPr>
              <w:t>Interpretation</w:t>
            </w:r>
          </w:p>
        </w:tc>
        <w:tc>
          <w:tcPr>
            <w:tcW w:w="1134" w:type="dxa"/>
          </w:tcPr>
          <w:p w:rsidR="0075777C" w:rsidRPr="00BC5A2B" w:rsidRDefault="0075777C" w:rsidP="00BC5A2B">
            <w:pPr>
              <w:pStyle w:val="TableText0"/>
              <w:spacing w:before="20" w:after="20"/>
              <w:rPr>
                <w:b/>
                <w:noProof/>
              </w:rPr>
            </w:pPr>
            <w:r w:rsidRPr="00BC5A2B">
              <w:rPr>
                <w:b/>
                <w:noProof/>
              </w:rPr>
              <w:t>GRADE</w:t>
            </w:r>
            <w:r w:rsidR="00D2075A" w:rsidRPr="00D2075A">
              <w:rPr>
                <w:b/>
                <w:noProof/>
                <w:vertAlign w:val="superscript"/>
              </w:rPr>
              <w:t>a</w:t>
            </w:r>
          </w:p>
          <w:p w:rsidR="0075777C" w:rsidRPr="00BC5A2B" w:rsidRDefault="0075777C" w:rsidP="00BC5A2B">
            <w:pPr>
              <w:pStyle w:val="TableText0"/>
              <w:spacing w:before="20" w:after="20"/>
              <w:rPr>
                <w:b/>
                <w:noProof/>
              </w:rPr>
            </w:pPr>
            <w:r w:rsidRPr="00BC5A2B">
              <w:rPr>
                <w:b/>
                <w:noProof/>
              </w:rPr>
              <w:t>Importance</w:t>
            </w:r>
          </w:p>
        </w:tc>
      </w:tr>
      <w:tr w:rsidR="0075777C" w:rsidRPr="006316DF" w:rsidTr="00BC5A2B">
        <w:tc>
          <w:tcPr>
            <w:tcW w:w="1560" w:type="dxa"/>
          </w:tcPr>
          <w:p w:rsidR="0075777C" w:rsidRPr="006316DF" w:rsidRDefault="0075777C" w:rsidP="00BC5A2B">
            <w:pPr>
              <w:pStyle w:val="TableText0"/>
              <w:spacing w:before="20" w:after="20"/>
            </w:pPr>
            <w:r w:rsidRPr="006316DF">
              <w:t xml:space="preserve">Clinical worsening </w:t>
            </w:r>
          </w:p>
        </w:tc>
        <w:tc>
          <w:tcPr>
            <w:tcW w:w="1275" w:type="dxa"/>
          </w:tcPr>
          <w:p w:rsidR="0075777C" w:rsidRPr="006316DF" w:rsidRDefault="0075777C" w:rsidP="00BC5A2B">
            <w:pPr>
              <w:pStyle w:val="TableText0"/>
              <w:spacing w:before="20" w:after="20"/>
            </w:pPr>
            <w:r w:rsidRPr="006316DF">
              <w:t>N=357</w:t>
            </w:r>
          </w:p>
          <w:p w:rsidR="0075777C" w:rsidRPr="006316DF" w:rsidRDefault="0075777C" w:rsidP="00BC5A2B">
            <w:pPr>
              <w:pStyle w:val="TableText0"/>
              <w:spacing w:before="20" w:after="20"/>
            </w:pPr>
            <w:r w:rsidRPr="006316DF">
              <w:t>k=</w:t>
            </w:r>
            <w:r w:rsidR="00EA33A7">
              <w:t>4</w:t>
            </w:r>
            <w:r w:rsidRPr="006316DF">
              <w:t xml:space="preserve"> RCTs</w:t>
            </w:r>
          </w:p>
        </w:tc>
        <w:tc>
          <w:tcPr>
            <w:tcW w:w="1701" w:type="dxa"/>
          </w:tcPr>
          <w:p w:rsidR="0075777C" w:rsidRPr="006316DF" w:rsidRDefault="0075777C" w:rsidP="00BC5A2B">
            <w:pPr>
              <w:pStyle w:val="TableText0"/>
              <w:spacing w:before="20" w:after="20"/>
            </w:pPr>
            <w:r>
              <w:t>Risk of bias: −</w:t>
            </w:r>
            <w:r w:rsidRPr="006316DF">
              <w:t>1</w:t>
            </w:r>
          </w:p>
          <w:p w:rsidR="0075777C" w:rsidRPr="006316DF" w:rsidRDefault="0075777C" w:rsidP="00BC5A2B">
            <w:pPr>
              <w:pStyle w:val="TableText0"/>
              <w:spacing w:before="20" w:after="20"/>
            </w:pPr>
            <w:r w:rsidRPr="006316DF">
              <w:t>Inconsistency: 0</w:t>
            </w:r>
          </w:p>
          <w:p w:rsidR="0075777C" w:rsidRPr="006316DF" w:rsidRDefault="0075777C" w:rsidP="00BC5A2B">
            <w:pPr>
              <w:pStyle w:val="TableText0"/>
              <w:spacing w:before="20" w:after="20"/>
            </w:pPr>
            <w:r w:rsidRPr="006316DF">
              <w:t>Indirectness: 0</w:t>
            </w:r>
          </w:p>
          <w:p w:rsidR="0075777C" w:rsidRDefault="0075777C" w:rsidP="00BC5A2B">
            <w:pPr>
              <w:pStyle w:val="TableText0"/>
              <w:spacing w:before="20" w:after="20"/>
            </w:pPr>
            <w:r w:rsidRPr="006316DF">
              <w:t>Imprecision: 0</w:t>
            </w:r>
          </w:p>
          <w:p w:rsidR="0075777C" w:rsidRDefault="0075777C" w:rsidP="00BC5A2B">
            <w:pPr>
              <w:pStyle w:val="TableText0"/>
              <w:spacing w:before="20" w:after="20"/>
            </w:pPr>
            <w:r w:rsidRPr="006316DF">
              <w:t>Publication bias: 0</w:t>
            </w:r>
          </w:p>
          <w:p w:rsidR="0075777C" w:rsidRPr="006316DF" w:rsidRDefault="0075777C" w:rsidP="00BC5A2B">
            <w:pPr>
              <w:pStyle w:val="TableText0"/>
              <w:spacing w:before="20" w:after="20"/>
            </w:pPr>
            <w:r>
              <w:t>Association: +2</w:t>
            </w:r>
          </w:p>
        </w:tc>
        <w:tc>
          <w:tcPr>
            <w:tcW w:w="1413" w:type="dxa"/>
          </w:tcPr>
          <w:p w:rsidR="0075777C" w:rsidRPr="00A17B9D" w:rsidRDefault="00A17B9D" w:rsidP="00BC5A2B">
            <w:pPr>
              <w:pStyle w:val="TableText0"/>
              <w:spacing w:before="20" w:after="20"/>
              <w:rPr>
                <w:highlight w:val="black"/>
              </w:rPr>
            </w:pPr>
            <w:r>
              <w:rPr>
                <w:noProof/>
                <w:color w:val="000000"/>
                <w:highlight w:val="black"/>
              </w:rPr>
              <w:t>''''''''''''''' ''''''''' ''' '''''''''' ''''''''''''' ''''''' ''''''''''''' '''''''''''''</w:t>
            </w:r>
          </w:p>
        </w:tc>
        <w:tc>
          <w:tcPr>
            <w:tcW w:w="2551" w:type="dxa"/>
          </w:tcPr>
          <w:p w:rsidR="0075777C" w:rsidRPr="00A17B9D" w:rsidRDefault="00A17B9D" w:rsidP="00BC5A2B">
            <w:pPr>
              <w:pStyle w:val="TableText0"/>
              <w:spacing w:before="20" w:after="20"/>
              <w:rPr>
                <w:highlight w:val="black"/>
              </w:rPr>
            </w:pPr>
            <w:r>
              <w:rPr>
                <w:noProof/>
                <w:color w:val="000000"/>
                <w:highlight w:val="black"/>
              </w:rPr>
              <w:t>'''''''''''''''''''''''''' '''''''''''' '''''''''''''''''''' '''''''''''''''''''''''''''' ''''''''''''''' '''''''''''''''''''''''''' ''''''''''''' ''''''''''''''''' '''''''''' ''''''' ''''''''''' ''''''''''''''''''''''''' '''''''''' ''''''''''''''''''''</w:t>
            </w:r>
          </w:p>
        </w:tc>
        <w:tc>
          <w:tcPr>
            <w:tcW w:w="1134" w:type="dxa"/>
          </w:tcPr>
          <w:p w:rsidR="0075777C" w:rsidRPr="006316DF" w:rsidRDefault="0075777C" w:rsidP="00BC5A2B">
            <w:pPr>
              <w:pStyle w:val="TableText0"/>
              <w:spacing w:before="20" w:after="20"/>
            </w:pPr>
            <w:r>
              <w:t>High</w:t>
            </w:r>
          </w:p>
          <w:p w:rsidR="0075777C" w:rsidRPr="006316DF" w:rsidRDefault="0075777C" w:rsidP="00BC5A2B">
            <w:pPr>
              <w:pStyle w:val="TableText0"/>
              <w:spacing w:before="20" w:after="20"/>
              <w:rPr>
                <w:rFonts w:cs="Cambria Math"/>
                <w:bCs/>
              </w:rPr>
            </w:pPr>
            <w:r w:rsidRPr="006316DF">
              <w:rPr>
                <w:rFonts w:ascii="Cambria Math" w:hAnsi="Cambria Math" w:cs="Cambria Math"/>
                <w:bCs/>
                <w:color w:val="00B050"/>
              </w:rPr>
              <w:t>⨁⨁⨁⨁</w:t>
            </w:r>
          </w:p>
          <w:p w:rsidR="0075777C" w:rsidRPr="006316DF" w:rsidRDefault="0075777C" w:rsidP="00BC5A2B">
            <w:pPr>
              <w:pStyle w:val="TableText0"/>
              <w:spacing w:before="20" w:after="20"/>
            </w:pPr>
            <w:r w:rsidRPr="006316DF">
              <w:rPr>
                <w:rFonts w:cs="Cambria Math"/>
                <w:bCs/>
              </w:rPr>
              <w:t xml:space="preserve">Critical </w:t>
            </w:r>
          </w:p>
        </w:tc>
      </w:tr>
      <w:tr w:rsidR="0075777C" w:rsidRPr="006316DF" w:rsidTr="00BC5A2B">
        <w:tc>
          <w:tcPr>
            <w:tcW w:w="1560" w:type="dxa"/>
          </w:tcPr>
          <w:p w:rsidR="0075777C" w:rsidRPr="006316DF" w:rsidRDefault="0075777C" w:rsidP="00BC5A2B">
            <w:pPr>
              <w:pStyle w:val="TableText0"/>
              <w:spacing w:before="20" w:after="20"/>
            </w:pPr>
            <w:r w:rsidRPr="006316DF">
              <w:t>All-cause mortality</w:t>
            </w:r>
          </w:p>
        </w:tc>
        <w:tc>
          <w:tcPr>
            <w:tcW w:w="1275" w:type="dxa"/>
          </w:tcPr>
          <w:p w:rsidR="0075777C" w:rsidRPr="006316DF" w:rsidRDefault="0075777C" w:rsidP="00BC5A2B">
            <w:pPr>
              <w:pStyle w:val="TableText0"/>
              <w:spacing w:before="20" w:after="20"/>
            </w:pPr>
            <w:r w:rsidRPr="006316DF">
              <w:t>N=256</w:t>
            </w:r>
          </w:p>
          <w:p w:rsidR="0075777C" w:rsidRPr="006316DF" w:rsidRDefault="0075777C" w:rsidP="00BC5A2B">
            <w:pPr>
              <w:pStyle w:val="TableText0"/>
              <w:spacing w:before="20" w:after="20"/>
            </w:pPr>
            <w:r w:rsidRPr="006316DF">
              <w:t>k=2 RCTs</w:t>
            </w:r>
          </w:p>
        </w:tc>
        <w:tc>
          <w:tcPr>
            <w:tcW w:w="1701" w:type="dxa"/>
          </w:tcPr>
          <w:p w:rsidR="0075777C" w:rsidRPr="006316DF" w:rsidRDefault="0075777C" w:rsidP="00BC5A2B">
            <w:pPr>
              <w:pStyle w:val="TableText0"/>
              <w:spacing w:before="20" w:after="20"/>
            </w:pPr>
            <w:r>
              <w:t>Risk of bias: −</w:t>
            </w:r>
            <w:r w:rsidRPr="006316DF">
              <w:t>1</w:t>
            </w:r>
          </w:p>
          <w:p w:rsidR="0075777C" w:rsidRPr="006316DF" w:rsidRDefault="0075777C" w:rsidP="00BC5A2B">
            <w:pPr>
              <w:pStyle w:val="TableText0"/>
              <w:spacing w:before="20" w:after="20"/>
            </w:pPr>
            <w:r w:rsidRPr="006316DF">
              <w:t>Inconsistency: 0</w:t>
            </w:r>
          </w:p>
          <w:p w:rsidR="0075777C" w:rsidRPr="006316DF" w:rsidRDefault="0075777C" w:rsidP="00BC5A2B">
            <w:pPr>
              <w:pStyle w:val="TableText0"/>
              <w:spacing w:before="20" w:after="20"/>
            </w:pPr>
            <w:r w:rsidRPr="006316DF">
              <w:t>Indirectness: 0</w:t>
            </w:r>
          </w:p>
          <w:p w:rsidR="0075777C" w:rsidRDefault="0075777C" w:rsidP="00BC5A2B">
            <w:pPr>
              <w:pStyle w:val="TableText0"/>
              <w:spacing w:before="20" w:after="20"/>
            </w:pPr>
            <w:r w:rsidRPr="006316DF">
              <w:t>Imprecision: 0</w:t>
            </w:r>
          </w:p>
          <w:p w:rsidR="0075777C" w:rsidRDefault="0075777C" w:rsidP="00BC5A2B">
            <w:pPr>
              <w:pStyle w:val="TableText0"/>
              <w:spacing w:before="20" w:after="20"/>
            </w:pPr>
            <w:r w:rsidRPr="006316DF">
              <w:t>Publication bias: 0</w:t>
            </w:r>
          </w:p>
          <w:p w:rsidR="0075777C" w:rsidRPr="006316DF" w:rsidRDefault="0075777C" w:rsidP="00BC5A2B">
            <w:pPr>
              <w:pStyle w:val="TableText0"/>
              <w:spacing w:before="20" w:after="20"/>
            </w:pPr>
            <w:r>
              <w:t>Association: +1</w:t>
            </w:r>
          </w:p>
        </w:tc>
        <w:tc>
          <w:tcPr>
            <w:tcW w:w="1413" w:type="dxa"/>
          </w:tcPr>
          <w:p w:rsidR="0075777C" w:rsidRPr="00A17B9D" w:rsidRDefault="00A17B9D" w:rsidP="00BC5A2B">
            <w:pPr>
              <w:pStyle w:val="TableText0"/>
              <w:spacing w:before="20" w:after="20"/>
              <w:rPr>
                <w:highlight w:val="black"/>
              </w:rPr>
            </w:pPr>
            <w:r>
              <w:rPr>
                <w:noProof/>
                <w:color w:val="000000"/>
                <w:highlight w:val="black"/>
              </w:rPr>
              <w:t>''''''''''''''''' ''''''''' '''' ''''''''''' ''''''''''''' '''''' '''''''''''' ''''''''''''</w:t>
            </w:r>
          </w:p>
        </w:tc>
        <w:tc>
          <w:tcPr>
            <w:tcW w:w="2551" w:type="dxa"/>
          </w:tcPr>
          <w:p w:rsidR="0075777C" w:rsidRPr="00A17B9D" w:rsidRDefault="00A17B9D" w:rsidP="00BC5A2B">
            <w:pPr>
              <w:pStyle w:val="TableText0"/>
              <w:spacing w:before="20" w:after="20"/>
              <w:rPr>
                <w:highlight w:val="black"/>
              </w:rPr>
            </w:pPr>
            <w:r>
              <w:rPr>
                <w:noProof/>
                <w:color w:val="000000"/>
                <w:highlight w:val="black"/>
              </w:rPr>
              <w:t>'''''''''''''''' ''''''''''''''''' '''''''''' '''''''''' ''''''''' '''''''''''''' ''''''''''''' '''''''''''''' '''''' '''''''''' '''''''''''''''''''''' ''''''''' '''''''''''''''''' ''''''''' '''''''' ''''''''''' '''''' ''''''''''''''''''''''' '''''''' '''''''''''' '''''''''' ''''''''' '''''' '''''' ''''''''''''''</w:t>
            </w:r>
          </w:p>
        </w:tc>
        <w:tc>
          <w:tcPr>
            <w:tcW w:w="1134" w:type="dxa"/>
          </w:tcPr>
          <w:p w:rsidR="0075777C" w:rsidRPr="006316DF" w:rsidRDefault="0075777C" w:rsidP="00BC5A2B">
            <w:pPr>
              <w:pStyle w:val="TableText0"/>
              <w:spacing w:before="20" w:after="20"/>
            </w:pPr>
            <w:r>
              <w:t>High</w:t>
            </w:r>
          </w:p>
          <w:p w:rsidR="0075777C" w:rsidRPr="006316DF" w:rsidRDefault="0075777C" w:rsidP="00BC5A2B">
            <w:pPr>
              <w:pStyle w:val="TableText0"/>
              <w:spacing w:before="20" w:after="20"/>
              <w:rPr>
                <w:rFonts w:cs="Cambria Math"/>
                <w:bCs/>
              </w:rPr>
            </w:pPr>
            <w:r w:rsidRPr="006316DF">
              <w:rPr>
                <w:rFonts w:ascii="Cambria Math" w:hAnsi="Cambria Math" w:cs="Cambria Math"/>
                <w:bCs/>
                <w:color w:val="00B050"/>
              </w:rPr>
              <w:t>⨁⨁⨁⨁</w:t>
            </w:r>
          </w:p>
          <w:p w:rsidR="0075777C" w:rsidRPr="006316DF" w:rsidRDefault="0075777C" w:rsidP="00BC5A2B">
            <w:pPr>
              <w:pStyle w:val="TableText0"/>
              <w:spacing w:before="20" w:after="20"/>
            </w:pPr>
            <w:r w:rsidRPr="006316DF">
              <w:t>Critical</w:t>
            </w:r>
          </w:p>
        </w:tc>
      </w:tr>
      <w:tr w:rsidR="0075777C" w:rsidRPr="006316DF" w:rsidTr="00BC5A2B">
        <w:tc>
          <w:tcPr>
            <w:tcW w:w="1560" w:type="dxa"/>
          </w:tcPr>
          <w:p w:rsidR="0075777C" w:rsidRPr="006316DF" w:rsidRDefault="0075777C" w:rsidP="00BC5A2B">
            <w:pPr>
              <w:pStyle w:val="TableText0"/>
              <w:spacing w:before="20" w:after="20"/>
            </w:pPr>
            <w:r w:rsidRPr="006316DF">
              <w:t>Improved WHO FC</w:t>
            </w:r>
          </w:p>
        </w:tc>
        <w:tc>
          <w:tcPr>
            <w:tcW w:w="1275" w:type="dxa"/>
          </w:tcPr>
          <w:p w:rsidR="0075777C" w:rsidRPr="006316DF" w:rsidRDefault="0075777C" w:rsidP="00BC5A2B">
            <w:pPr>
              <w:pStyle w:val="TableText0"/>
              <w:spacing w:before="20" w:after="20"/>
            </w:pPr>
            <w:r w:rsidRPr="006316DF">
              <w:t>N=101</w:t>
            </w:r>
          </w:p>
          <w:p w:rsidR="0075777C" w:rsidRPr="006316DF" w:rsidRDefault="0075777C" w:rsidP="00BC5A2B">
            <w:pPr>
              <w:pStyle w:val="TableText0"/>
              <w:spacing w:before="20" w:after="20"/>
            </w:pPr>
            <w:r w:rsidRPr="006316DF">
              <w:t>k=</w:t>
            </w:r>
            <w:r w:rsidR="00EA33A7">
              <w:t>2</w:t>
            </w:r>
            <w:r w:rsidRPr="006316DF">
              <w:t xml:space="preserve"> RCT</w:t>
            </w:r>
            <w:r w:rsidR="00EA33A7">
              <w:t>s</w:t>
            </w:r>
          </w:p>
        </w:tc>
        <w:tc>
          <w:tcPr>
            <w:tcW w:w="1701" w:type="dxa"/>
          </w:tcPr>
          <w:p w:rsidR="0075777C" w:rsidRPr="006316DF" w:rsidRDefault="0075777C" w:rsidP="00BC5A2B">
            <w:pPr>
              <w:pStyle w:val="TableText0"/>
              <w:spacing w:before="20" w:after="20"/>
            </w:pPr>
            <w:r>
              <w:t>Risk of bias: −</w:t>
            </w:r>
            <w:r w:rsidRPr="006316DF">
              <w:t>1</w:t>
            </w:r>
          </w:p>
          <w:p w:rsidR="0075777C" w:rsidRPr="006316DF" w:rsidRDefault="0075777C" w:rsidP="00BC5A2B">
            <w:pPr>
              <w:pStyle w:val="TableText0"/>
              <w:spacing w:before="20" w:after="20"/>
            </w:pPr>
            <w:r w:rsidRPr="006316DF">
              <w:t>Inconsistency: 0</w:t>
            </w:r>
          </w:p>
          <w:p w:rsidR="0075777C" w:rsidRPr="006316DF" w:rsidRDefault="0075777C" w:rsidP="00BC5A2B">
            <w:pPr>
              <w:pStyle w:val="TableText0"/>
              <w:spacing w:before="20" w:after="20"/>
            </w:pPr>
            <w:r w:rsidRPr="006316DF">
              <w:t>Indirectness: 0</w:t>
            </w:r>
          </w:p>
          <w:p w:rsidR="0075777C" w:rsidRDefault="0075777C" w:rsidP="00BC5A2B">
            <w:pPr>
              <w:pStyle w:val="TableText0"/>
              <w:spacing w:before="20" w:after="20"/>
            </w:pPr>
            <w:r w:rsidRPr="006316DF">
              <w:t>Imprecision: 0</w:t>
            </w:r>
          </w:p>
          <w:p w:rsidR="0075777C" w:rsidRDefault="0075777C" w:rsidP="00BC5A2B">
            <w:pPr>
              <w:pStyle w:val="TableText0"/>
              <w:spacing w:before="20" w:after="20"/>
            </w:pPr>
            <w:r w:rsidRPr="006316DF">
              <w:t>Publication bias: 0</w:t>
            </w:r>
          </w:p>
          <w:p w:rsidR="0075777C" w:rsidRPr="006316DF" w:rsidRDefault="0075777C" w:rsidP="00BC5A2B">
            <w:pPr>
              <w:pStyle w:val="TableText0"/>
              <w:spacing w:before="20" w:after="20"/>
            </w:pPr>
            <w:r>
              <w:t>Association: 0</w:t>
            </w:r>
          </w:p>
        </w:tc>
        <w:tc>
          <w:tcPr>
            <w:tcW w:w="1413" w:type="dxa"/>
          </w:tcPr>
          <w:p w:rsidR="0075777C" w:rsidRPr="002812F2" w:rsidRDefault="00B21201" w:rsidP="00BC5A2B">
            <w:pPr>
              <w:pStyle w:val="TableText0"/>
              <w:spacing w:before="20" w:after="20"/>
            </w:pPr>
            <w:r>
              <w:rPr>
                <w:rFonts w:eastAsiaTheme="minorEastAsia"/>
              </w:rPr>
              <w:t>ARD</w:t>
            </w:r>
            <w:r w:rsidR="0075777C" w:rsidRPr="002812F2">
              <w:rPr>
                <w:rFonts w:eastAsiaTheme="minorEastAsia"/>
              </w:rPr>
              <w:t xml:space="preserve"> = 14.0% (</w:t>
            </w:r>
            <w:r w:rsidR="0075777C">
              <w:rPr>
                <w:rFonts w:eastAsiaTheme="minorEastAsia"/>
              </w:rPr>
              <w:t xml:space="preserve">95% CI </w:t>
            </w:r>
            <w:r w:rsidR="0075777C" w:rsidRPr="002812F2">
              <w:rPr>
                <w:rFonts w:eastAsiaTheme="minorEastAsia"/>
              </w:rPr>
              <w:t>4.4, 23.6)</w:t>
            </w:r>
          </w:p>
        </w:tc>
        <w:tc>
          <w:tcPr>
            <w:tcW w:w="2551" w:type="dxa"/>
          </w:tcPr>
          <w:p w:rsidR="0075777C" w:rsidRPr="002812F2" w:rsidRDefault="007E59EC" w:rsidP="007E59EC">
            <w:pPr>
              <w:pStyle w:val="TableText0"/>
              <w:spacing w:before="20" w:after="20"/>
            </w:pPr>
            <w:r>
              <w:t>Significantly m</w:t>
            </w:r>
            <w:r w:rsidR="0075777C" w:rsidRPr="002812F2">
              <w:t xml:space="preserve">ore patients </w:t>
            </w:r>
            <w:r w:rsidR="0075777C">
              <w:t>treated with</w:t>
            </w:r>
            <w:r w:rsidR="0075777C" w:rsidRPr="002812F2">
              <w:t xml:space="preserve"> an ERA improve</w:t>
            </w:r>
            <w:r w:rsidR="0075777C">
              <w:t>d</w:t>
            </w:r>
            <w:r w:rsidR="0075777C" w:rsidRPr="002812F2">
              <w:t xml:space="preserve"> their WHO </w:t>
            </w:r>
            <w:r>
              <w:t>FC compared with placebo</w:t>
            </w:r>
            <w:r w:rsidR="0075777C">
              <w:t xml:space="preserve"> (</w:t>
            </w:r>
            <w:r w:rsidR="0075777C">
              <w:rPr>
                <w:rFonts w:eastAsiaTheme="minorEastAsia"/>
              </w:rPr>
              <w:t>p = 0.0</w:t>
            </w:r>
            <w:r>
              <w:rPr>
                <w:rFonts w:eastAsiaTheme="minorEastAsia"/>
              </w:rPr>
              <w:t>0</w:t>
            </w:r>
            <w:r w:rsidR="0075777C">
              <w:rPr>
                <w:rFonts w:eastAsiaTheme="minorEastAsia"/>
              </w:rPr>
              <w:t>56)</w:t>
            </w:r>
          </w:p>
        </w:tc>
        <w:tc>
          <w:tcPr>
            <w:tcW w:w="1134" w:type="dxa"/>
          </w:tcPr>
          <w:p w:rsidR="0075777C" w:rsidRPr="006316DF" w:rsidRDefault="0075777C" w:rsidP="00BC5A2B">
            <w:pPr>
              <w:pStyle w:val="TableText0"/>
              <w:spacing w:before="20" w:after="20"/>
            </w:pPr>
            <w:r w:rsidRPr="006316DF">
              <w:t>Moderate</w:t>
            </w:r>
          </w:p>
          <w:p w:rsidR="0075777C" w:rsidRPr="006316DF" w:rsidRDefault="0075777C" w:rsidP="00BC5A2B">
            <w:pPr>
              <w:pStyle w:val="TableText0"/>
              <w:spacing w:before="20" w:after="20"/>
              <w:rPr>
                <w:rFonts w:cs="Cambria Math"/>
                <w:bCs/>
              </w:rPr>
            </w:pPr>
            <w:r w:rsidRPr="006316DF">
              <w:rPr>
                <w:rFonts w:ascii="Cambria Math" w:hAnsi="Cambria Math" w:cs="Cambria Math"/>
                <w:bCs/>
                <w:color w:val="00B050"/>
              </w:rPr>
              <w:t>⨁⨁⨁</w:t>
            </w:r>
            <w:r w:rsidRPr="006316DF">
              <w:rPr>
                <w:rFonts w:ascii="Cambria Math" w:hAnsi="Cambria Math" w:cs="Cambria Math"/>
                <w:bCs/>
                <w:color w:val="C00000"/>
              </w:rPr>
              <w:t>⨀</w:t>
            </w:r>
          </w:p>
          <w:p w:rsidR="0075777C" w:rsidRPr="006316DF" w:rsidRDefault="0075777C" w:rsidP="00BC5A2B">
            <w:pPr>
              <w:pStyle w:val="TableText0"/>
              <w:spacing w:before="20" w:after="20"/>
            </w:pPr>
            <w:r w:rsidRPr="006316DF">
              <w:t>Important</w:t>
            </w:r>
          </w:p>
        </w:tc>
      </w:tr>
      <w:tr w:rsidR="0075777C" w:rsidRPr="006316DF" w:rsidTr="00BC5A2B">
        <w:tc>
          <w:tcPr>
            <w:tcW w:w="1560" w:type="dxa"/>
          </w:tcPr>
          <w:p w:rsidR="0075777C" w:rsidRPr="006316DF" w:rsidRDefault="0075777C" w:rsidP="00BC5A2B">
            <w:pPr>
              <w:pStyle w:val="TableText0"/>
              <w:spacing w:before="20" w:after="20"/>
            </w:pPr>
            <w:r w:rsidRPr="006316DF">
              <w:t>Worsened WHO FC</w:t>
            </w:r>
          </w:p>
        </w:tc>
        <w:tc>
          <w:tcPr>
            <w:tcW w:w="1275" w:type="dxa"/>
          </w:tcPr>
          <w:p w:rsidR="0075777C" w:rsidRPr="006316DF" w:rsidRDefault="0075777C" w:rsidP="00BC5A2B">
            <w:pPr>
              <w:pStyle w:val="TableText0"/>
              <w:spacing w:before="20" w:after="20"/>
            </w:pPr>
            <w:r w:rsidRPr="006316DF">
              <w:t>N=101</w:t>
            </w:r>
          </w:p>
          <w:p w:rsidR="0075777C" w:rsidRPr="006316DF" w:rsidRDefault="0075777C" w:rsidP="00BC5A2B">
            <w:pPr>
              <w:pStyle w:val="TableText0"/>
              <w:spacing w:before="20" w:after="20"/>
            </w:pPr>
            <w:r w:rsidRPr="006316DF">
              <w:t>k=</w:t>
            </w:r>
            <w:r w:rsidR="00EA33A7">
              <w:t>2</w:t>
            </w:r>
            <w:r w:rsidRPr="006316DF">
              <w:t xml:space="preserve"> RCT</w:t>
            </w:r>
            <w:r w:rsidR="00EA33A7">
              <w:t>s</w:t>
            </w:r>
          </w:p>
        </w:tc>
        <w:tc>
          <w:tcPr>
            <w:tcW w:w="1701" w:type="dxa"/>
          </w:tcPr>
          <w:p w:rsidR="0075777C" w:rsidRPr="006316DF" w:rsidRDefault="0075777C" w:rsidP="00BC5A2B">
            <w:pPr>
              <w:pStyle w:val="TableText0"/>
              <w:spacing w:before="20" w:after="20"/>
            </w:pPr>
            <w:r w:rsidRPr="006316DF">
              <w:t xml:space="preserve">Risk of bias: </w:t>
            </w:r>
            <w:r>
              <w:t>−</w:t>
            </w:r>
            <w:r w:rsidRPr="006316DF">
              <w:t>1</w:t>
            </w:r>
          </w:p>
          <w:p w:rsidR="0075777C" w:rsidRPr="006316DF" w:rsidRDefault="0075777C" w:rsidP="00BC5A2B">
            <w:pPr>
              <w:pStyle w:val="TableText0"/>
              <w:spacing w:before="20" w:after="20"/>
            </w:pPr>
            <w:r w:rsidRPr="006316DF">
              <w:t>Inconsistency: 0</w:t>
            </w:r>
          </w:p>
          <w:p w:rsidR="0075777C" w:rsidRPr="006316DF" w:rsidRDefault="0075777C" w:rsidP="00BC5A2B">
            <w:pPr>
              <w:pStyle w:val="TableText0"/>
              <w:spacing w:before="20" w:after="20"/>
            </w:pPr>
            <w:r w:rsidRPr="006316DF">
              <w:t>Indirectness: 0</w:t>
            </w:r>
          </w:p>
          <w:p w:rsidR="0075777C" w:rsidRDefault="0075777C" w:rsidP="00BC5A2B">
            <w:pPr>
              <w:pStyle w:val="TableText0"/>
              <w:spacing w:before="20" w:after="20"/>
            </w:pPr>
            <w:r>
              <w:t>Imprecision: −1</w:t>
            </w:r>
          </w:p>
          <w:p w:rsidR="0075777C" w:rsidRDefault="0075777C" w:rsidP="00BC5A2B">
            <w:pPr>
              <w:pStyle w:val="TableText0"/>
              <w:spacing w:before="20" w:after="20"/>
            </w:pPr>
            <w:r w:rsidRPr="006316DF">
              <w:t>Publication bias: 0</w:t>
            </w:r>
          </w:p>
          <w:p w:rsidR="0075777C" w:rsidRPr="006316DF" w:rsidRDefault="00437968" w:rsidP="00BC5A2B">
            <w:pPr>
              <w:pStyle w:val="TableText0"/>
              <w:spacing w:before="20" w:after="20"/>
            </w:pPr>
            <w:r>
              <w:t>Association: 0</w:t>
            </w:r>
          </w:p>
        </w:tc>
        <w:tc>
          <w:tcPr>
            <w:tcW w:w="1413" w:type="dxa"/>
          </w:tcPr>
          <w:p w:rsidR="0075777C" w:rsidRPr="002812F2" w:rsidRDefault="0075777C" w:rsidP="00BC5A2B">
            <w:pPr>
              <w:pStyle w:val="TableText0"/>
              <w:spacing w:before="20" w:after="20"/>
            </w:pPr>
            <w:r w:rsidRPr="002812F2">
              <w:t>RR = 0.25 (95% CI 0.03, 2.20)</w:t>
            </w:r>
          </w:p>
        </w:tc>
        <w:tc>
          <w:tcPr>
            <w:tcW w:w="2551" w:type="dxa"/>
          </w:tcPr>
          <w:p w:rsidR="0075777C" w:rsidRPr="002812F2" w:rsidRDefault="0075777C" w:rsidP="007E59EC">
            <w:pPr>
              <w:pStyle w:val="TableText0"/>
              <w:spacing w:before="20" w:after="20"/>
            </w:pPr>
            <w:r>
              <w:t>F</w:t>
            </w:r>
            <w:r w:rsidRPr="002812F2">
              <w:t>ewer patients ha</w:t>
            </w:r>
            <w:r>
              <w:t xml:space="preserve">d </w:t>
            </w:r>
            <w:r w:rsidRPr="002812F2">
              <w:t xml:space="preserve">WHO FC worsening </w:t>
            </w:r>
            <w:r>
              <w:t>when treated with</w:t>
            </w:r>
            <w:r w:rsidRPr="002812F2">
              <w:t xml:space="preserve"> an ERA </w:t>
            </w:r>
            <w:r>
              <w:t>compared with</w:t>
            </w:r>
            <w:r w:rsidRPr="002812F2">
              <w:t xml:space="preserve"> placebo, but the </w:t>
            </w:r>
            <w:r w:rsidR="00D84687">
              <w:t>95% CI indicates</w:t>
            </w:r>
            <w:r w:rsidRPr="002812F2">
              <w:t xml:space="preserve"> that there could also be </w:t>
            </w:r>
            <w:r w:rsidR="007E59EC">
              <w:t>the opposite</w:t>
            </w:r>
            <w:r w:rsidRPr="002812F2">
              <w:t xml:space="preserve"> effect</w:t>
            </w:r>
          </w:p>
        </w:tc>
        <w:tc>
          <w:tcPr>
            <w:tcW w:w="1134" w:type="dxa"/>
          </w:tcPr>
          <w:p w:rsidR="00437968" w:rsidRPr="006316DF" w:rsidRDefault="00437968" w:rsidP="00437968">
            <w:pPr>
              <w:pStyle w:val="TableText0"/>
              <w:spacing w:before="20" w:after="20"/>
            </w:pPr>
            <w:r>
              <w:t>Low</w:t>
            </w:r>
          </w:p>
          <w:p w:rsidR="00437968" w:rsidRPr="006316DF" w:rsidRDefault="00437968" w:rsidP="00437968">
            <w:pPr>
              <w:pStyle w:val="TableText0"/>
              <w:spacing w:before="20" w:after="20"/>
              <w:rPr>
                <w:rFonts w:cs="Cambria Math"/>
                <w:bCs/>
              </w:rPr>
            </w:pPr>
            <w:r w:rsidRPr="006316DF">
              <w:rPr>
                <w:rFonts w:ascii="Cambria Math" w:hAnsi="Cambria Math" w:cs="Cambria Math"/>
                <w:bCs/>
                <w:color w:val="00B050"/>
              </w:rPr>
              <w:t>⨁⨁</w:t>
            </w:r>
            <w:r w:rsidRPr="006316DF">
              <w:rPr>
                <w:rFonts w:ascii="Cambria Math" w:hAnsi="Cambria Math" w:cs="Cambria Math"/>
                <w:color w:val="C00000"/>
              </w:rPr>
              <w:t>⨀⨀</w:t>
            </w:r>
          </w:p>
          <w:p w:rsidR="0075777C" w:rsidRPr="006316DF" w:rsidRDefault="0075777C" w:rsidP="00BC5A2B">
            <w:pPr>
              <w:pStyle w:val="TableText0"/>
              <w:spacing w:before="20" w:after="20"/>
            </w:pPr>
            <w:r w:rsidRPr="006316DF">
              <w:t>Important</w:t>
            </w:r>
          </w:p>
        </w:tc>
      </w:tr>
      <w:tr w:rsidR="00796F18" w:rsidRPr="006316DF" w:rsidTr="00796F18">
        <w:tc>
          <w:tcPr>
            <w:tcW w:w="1560" w:type="dxa"/>
          </w:tcPr>
          <w:p w:rsidR="00796F18" w:rsidRPr="006316DF" w:rsidRDefault="00796F18" w:rsidP="00796F18">
            <w:pPr>
              <w:pStyle w:val="TableText0"/>
              <w:spacing w:before="20" w:after="20"/>
            </w:pPr>
            <w:r w:rsidRPr="006316DF">
              <w:t>Change in 6MWD</w:t>
            </w:r>
            <w:r w:rsidR="00FC3493">
              <w:t xml:space="preserve"> from baseline</w:t>
            </w:r>
          </w:p>
        </w:tc>
        <w:tc>
          <w:tcPr>
            <w:tcW w:w="1275" w:type="dxa"/>
          </w:tcPr>
          <w:p w:rsidR="00796F18" w:rsidRPr="006316DF" w:rsidRDefault="00796F18" w:rsidP="00796F18">
            <w:pPr>
              <w:pStyle w:val="TableText0"/>
              <w:spacing w:before="20" w:after="20"/>
            </w:pPr>
            <w:r w:rsidRPr="006316DF">
              <w:t>N=154</w:t>
            </w:r>
          </w:p>
          <w:p w:rsidR="00796F18" w:rsidRPr="006316DF" w:rsidRDefault="00796F18" w:rsidP="001F1FDD">
            <w:pPr>
              <w:pStyle w:val="TableText0"/>
              <w:spacing w:before="20" w:after="20"/>
            </w:pPr>
            <w:r w:rsidRPr="006316DF">
              <w:t>k=</w:t>
            </w:r>
            <w:r w:rsidR="00EA33A7">
              <w:t>3</w:t>
            </w:r>
            <w:r w:rsidRPr="006316DF">
              <w:t xml:space="preserve"> RCT</w:t>
            </w:r>
            <w:r w:rsidR="001F1FDD">
              <w:t>s</w:t>
            </w:r>
          </w:p>
        </w:tc>
        <w:tc>
          <w:tcPr>
            <w:tcW w:w="1701" w:type="dxa"/>
          </w:tcPr>
          <w:p w:rsidR="00796F18" w:rsidRPr="006316DF" w:rsidRDefault="00796F18" w:rsidP="00796F18">
            <w:pPr>
              <w:pStyle w:val="TableText0"/>
              <w:spacing w:before="20" w:after="20"/>
            </w:pPr>
            <w:r>
              <w:t>Risk of bias: 0</w:t>
            </w:r>
          </w:p>
          <w:p w:rsidR="00796F18" w:rsidRPr="006316DF" w:rsidRDefault="00796F18" w:rsidP="00796F18">
            <w:pPr>
              <w:pStyle w:val="TableText0"/>
              <w:spacing w:before="20" w:after="20"/>
            </w:pPr>
            <w:r w:rsidRPr="006316DF">
              <w:t>Inconsistency: 0</w:t>
            </w:r>
          </w:p>
          <w:p w:rsidR="00796F18" w:rsidRPr="006316DF" w:rsidRDefault="00796F18" w:rsidP="00796F18">
            <w:pPr>
              <w:pStyle w:val="TableText0"/>
              <w:spacing w:before="20" w:after="20"/>
            </w:pPr>
            <w:r w:rsidRPr="006316DF">
              <w:t xml:space="preserve">Indirectness: </w:t>
            </w:r>
            <w:r w:rsidR="00963EDC">
              <w:t>−1</w:t>
            </w:r>
          </w:p>
          <w:p w:rsidR="00796F18" w:rsidRDefault="00796F18" w:rsidP="00796F18">
            <w:pPr>
              <w:pStyle w:val="TableText0"/>
              <w:spacing w:before="20" w:after="20"/>
            </w:pPr>
            <w:r w:rsidRPr="006316DF">
              <w:t>Imprecision: 0</w:t>
            </w:r>
          </w:p>
          <w:p w:rsidR="00796F18" w:rsidRDefault="00796F18" w:rsidP="00796F18">
            <w:pPr>
              <w:pStyle w:val="TableText0"/>
              <w:spacing w:before="20" w:after="20"/>
            </w:pPr>
            <w:r w:rsidRPr="006316DF">
              <w:t>Publication bias: 0</w:t>
            </w:r>
          </w:p>
          <w:p w:rsidR="00796F18" w:rsidRPr="006316DF" w:rsidRDefault="00796F18" w:rsidP="00796F18">
            <w:pPr>
              <w:pStyle w:val="TableText0"/>
              <w:spacing w:before="20" w:after="20"/>
            </w:pPr>
            <w:r>
              <w:t>Association: 0</w:t>
            </w:r>
          </w:p>
        </w:tc>
        <w:tc>
          <w:tcPr>
            <w:tcW w:w="1413" w:type="dxa"/>
          </w:tcPr>
          <w:p w:rsidR="00796F18" w:rsidRPr="004C7BB4" w:rsidRDefault="00FA2050" w:rsidP="00FA2050">
            <w:pPr>
              <w:pStyle w:val="TableText0"/>
              <w:spacing w:before="20" w:after="20"/>
            </w:pPr>
            <w:r w:rsidRPr="004C7BB4">
              <w:t>R</w:t>
            </w:r>
            <w:r w:rsidR="00796F18" w:rsidRPr="004C7BB4">
              <w:t>ange 25.7</w:t>
            </w:r>
            <w:r w:rsidR="009B6434" w:rsidRPr="004C7BB4">
              <w:t>−</w:t>
            </w:r>
            <w:r w:rsidR="00796F18" w:rsidRPr="004C7BB4">
              <w:t>40.0</w:t>
            </w:r>
            <w:r w:rsidRPr="004C7BB4">
              <w:t> </w:t>
            </w:r>
            <w:r w:rsidR="009B6434" w:rsidRPr="004C7BB4">
              <w:t xml:space="preserve">m </w:t>
            </w:r>
            <w:r w:rsidR="008E6DA8" w:rsidRPr="004C7BB4">
              <w:t>further</w:t>
            </w:r>
          </w:p>
        </w:tc>
        <w:tc>
          <w:tcPr>
            <w:tcW w:w="2551" w:type="dxa"/>
          </w:tcPr>
          <w:p w:rsidR="00796F18" w:rsidRPr="004C7BB4" w:rsidRDefault="00796F18" w:rsidP="00DD704F">
            <w:pPr>
              <w:pStyle w:val="TableText0"/>
              <w:spacing w:before="20" w:after="20"/>
            </w:pPr>
            <w:r w:rsidRPr="004C7BB4">
              <w:t>Patients treated with an ERA had a larger mean improvement in their 6MWD compared with those on placebo</w:t>
            </w:r>
            <w:r w:rsidR="00DD704F">
              <w:t>,</w:t>
            </w:r>
            <w:r w:rsidR="004C7BB4">
              <w:t xml:space="preserve"> </w:t>
            </w:r>
            <w:r w:rsidR="004C7BB4" w:rsidRPr="004C7BB4">
              <w:t xml:space="preserve">and the difference </w:t>
            </w:r>
            <w:r w:rsidR="00DD704F">
              <w:t>could be</w:t>
            </w:r>
            <w:r w:rsidR="004C7BB4" w:rsidRPr="004C7BB4">
              <w:t xml:space="preserve"> clinically important in 2 out of 3 studies</w:t>
            </w:r>
          </w:p>
        </w:tc>
        <w:tc>
          <w:tcPr>
            <w:tcW w:w="1134" w:type="dxa"/>
          </w:tcPr>
          <w:p w:rsidR="00796F18" w:rsidRPr="006316DF" w:rsidRDefault="00963EDC" w:rsidP="00796F18">
            <w:pPr>
              <w:pStyle w:val="TableText0"/>
              <w:spacing w:before="20" w:after="20"/>
            </w:pPr>
            <w:r>
              <w:t>Moderate</w:t>
            </w:r>
          </w:p>
          <w:p w:rsidR="00796F18" w:rsidRPr="006316DF" w:rsidRDefault="00796F18" w:rsidP="00796F18">
            <w:pPr>
              <w:pStyle w:val="TableText0"/>
              <w:spacing w:before="20" w:after="20"/>
              <w:rPr>
                <w:rFonts w:cs="Cambria Math"/>
                <w:bCs/>
              </w:rPr>
            </w:pPr>
            <w:r w:rsidRPr="006316DF">
              <w:rPr>
                <w:rFonts w:ascii="Cambria Math" w:hAnsi="Cambria Math" w:cs="Cambria Math"/>
                <w:bCs/>
                <w:color w:val="00B050"/>
              </w:rPr>
              <w:t>⨁⨁⨁</w:t>
            </w:r>
            <w:r w:rsidR="00963EDC" w:rsidRPr="006316DF">
              <w:rPr>
                <w:rFonts w:ascii="Cambria Math" w:hAnsi="Cambria Math" w:cs="Cambria Math"/>
                <w:color w:val="C00000"/>
              </w:rPr>
              <w:t>⨀</w:t>
            </w:r>
          </w:p>
          <w:p w:rsidR="00796F18" w:rsidRPr="006316DF" w:rsidRDefault="00796F18" w:rsidP="00796F18">
            <w:pPr>
              <w:pStyle w:val="TableText0"/>
              <w:spacing w:before="20" w:after="20"/>
            </w:pPr>
            <w:r>
              <w:t>I</w:t>
            </w:r>
            <w:r w:rsidRPr="006316DF">
              <w:t>mportant</w:t>
            </w:r>
          </w:p>
        </w:tc>
      </w:tr>
      <w:tr w:rsidR="0075777C" w:rsidRPr="006316DF" w:rsidTr="00BC5A2B">
        <w:tc>
          <w:tcPr>
            <w:tcW w:w="1560" w:type="dxa"/>
          </w:tcPr>
          <w:p w:rsidR="0075777C" w:rsidRPr="006316DF" w:rsidRDefault="0075777C" w:rsidP="00BC5A2B">
            <w:pPr>
              <w:pStyle w:val="TableText0"/>
              <w:spacing w:before="20" w:after="20"/>
            </w:pPr>
            <w:r>
              <w:t>Change in haemodynamic parameters</w:t>
            </w:r>
            <w:r w:rsidR="00FC3493">
              <w:t xml:space="preserve"> from baseline</w:t>
            </w:r>
          </w:p>
        </w:tc>
        <w:tc>
          <w:tcPr>
            <w:tcW w:w="1275" w:type="dxa"/>
          </w:tcPr>
          <w:p w:rsidR="0075777C" w:rsidRPr="006316DF" w:rsidRDefault="0075777C" w:rsidP="00BC5A2B">
            <w:pPr>
              <w:pStyle w:val="TableText0"/>
              <w:spacing w:before="20" w:after="20"/>
            </w:pPr>
            <w:r w:rsidRPr="006316DF">
              <w:t>N=15</w:t>
            </w:r>
            <w:r>
              <w:t>6</w:t>
            </w:r>
          </w:p>
          <w:p w:rsidR="0075777C" w:rsidRPr="006316DF" w:rsidRDefault="0075777C" w:rsidP="00BC5A2B">
            <w:pPr>
              <w:pStyle w:val="TableText0"/>
              <w:spacing w:before="20" w:after="20"/>
            </w:pPr>
            <w:r w:rsidRPr="006316DF">
              <w:t>k=1 RCT</w:t>
            </w:r>
          </w:p>
        </w:tc>
        <w:tc>
          <w:tcPr>
            <w:tcW w:w="1701" w:type="dxa"/>
          </w:tcPr>
          <w:p w:rsidR="0075777C" w:rsidRPr="006316DF" w:rsidRDefault="0075777C" w:rsidP="00BC5A2B">
            <w:pPr>
              <w:pStyle w:val="TableText0"/>
              <w:spacing w:before="20" w:after="20"/>
            </w:pPr>
            <w:r>
              <w:t>Risk of bias: 0</w:t>
            </w:r>
          </w:p>
          <w:p w:rsidR="0075777C" w:rsidRPr="006316DF" w:rsidRDefault="0075777C" w:rsidP="00BC5A2B">
            <w:pPr>
              <w:pStyle w:val="TableText0"/>
              <w:spacing w:before="20" w:after="20"/>
            </w:pPr>
            <w:r w:rsidRPr="006316DF">
              <w:t>Inconsistency: 0</w:t>
            </w:r>
          </w:p>
          <w:p w:rsidR="0075777C" w:rsidRPr="006316DF" w:rsidRDefault="0075777C" w:rsidP="00BC5A2B">
            <w:pPr>
              <w:pStyle w:val="TableText0"/>
              <w:spacing w:before="20" w:after="20"/>
            </w:pPr>
            <w:r w:rsidRPr="006316DF">
              <w:t xml:space="preserve">Indirectness: </w:t>
            </w:r>
            <w:r w:rsidR="00963EDC">
              <w:t>−2</w:t>
            </w:r>
          </w:p>
          <w:p w:rsidR="0075777C" w:rsidRDefault="0075777C" w:rsidP="00BC5A2B">
            <w:pPr>
              <w:pStyle w:val="TableText0"/>
              <w:spacing w:before="20" w:after="20"/>
            </w:pPr>
            <w:r w:rsidRPr="006316DF">
              <w:t>Imprecision: 0</w:t>
            </w:r>
          </w:p>
          <w:p w:rsidR="0075777C" w:rsidRDefault="0075777C" w:rsidP="00BC5A2B">
            <w:pPr>
              <w:pStyle w:val="TableText0"/>
              <w:spacing w:before="20" w:after="20"/>
            </w:pPr>
            <w:r w:rsidRPr="006316DF">
              <w:t>Publication bias: 0</w:t>
            </w:r>
          </w:p>
          <w:p w:rsidR="0075777C" w:rsidRPr="006316DF" w:rsidRDefault="0075777C" w:rsidP="00BC5A2B">
            <w:pPr>
              <w:pStyle w:val="TableText0"/>
              <w:spacing w:before="20" w:after="20"/>
            </w:pPr>
            <w:r>
              <w:t>Association: 0</w:t>
            </w:r>
          </w:p>
        </w:tc>
        <w:tc>
          <w:tcPr>
            <w:tcW w:w="1413" w:type="dxa"/>
          </w:tcPr>
          <w:p w:rsidR="0075777C" w:rsidRPr="004C7BB4" w:rsidRDefault="0075777C" w:rsidP="00057A82">
            <w:pPr>
              <w:pStyle w:val="TableText0"/>
              <w:spacing w:before="20" w:after="20"/>
            </w:pPr>
            <w:r w:rsidRPr="004C7BB4">
              <w:t>PVR</w:t>
            </w:r>
            <w:r w:rsidRPr="004C7BB4">
              <w:br/>
              <w:t xml:space="preserve">MD = 23.1% </w:t>
            </w:r>
            <w:r w:rsidR="00057A82" w:rsidRPr="004C7BB4">
              <w:t>i</w:t>
            </w:r>
            <w:r w:rsidR="00FF14C8" w:rsidRPr="004C7BB4">
              <w:t>mprovement (95% CI 8.</w:t>
            </w:r>
            <w:r w:rsidR="00057A82" w:rsidRPr="004C7BB4">
              <w:t>9, 35.1)</w:t>
            </w:r>
          </w:p>
        </w:tc>
        <w:tc>
          <w:tcPr>
            <w:tcW w:w="2551" w:type="dxa"/>
          </w:tcPr>
          <w:p w:rsidR="0075777C" w:rsidRPr="004C7BB4" w:rsidRDefault="0075777C" w:rsidP="00BC5A2B">
            <w:pPr>
              <w:pStyle w:val="TableText0"/>
              <w:spacing w:before="20" w:after="20"/>
            </w:pPr>
            <w:r w:rsidRPr="004C7BB4">
              <w:t xml:space="preserve">Patients treated with an ERA had a larger mean improvement in their haemodynamic parameters compared with those on placebo </w:t>
            </w:r>
          </w:p>
        </w:tc>
        <w:tc>
          <w:tcPr>
            <w:tcW w:w="1134" w:type="dxa"/>
          </w:tcPr>
          <w:p w:rsidR="0075777C" w:rsidRPr="006316DF" w:rsidRDefault="00963EDC" w:rsidP="00BC5A2B">
            <w:pPr>
              <w:pStyle w:val="TableText0"/>
              <w:spacing w:before="20" w:after="20"/>
            </w:pPr>
            <w:r>
              <w:t>Low</w:t>
            </w:r>
          </w:p>
          <w:p w:rsidR="0075777C" w:rsidRPr="006316DF" w:rsidRDefault="0075777C" w:rsidP="00BC5A2B">
            <w:pPr>
              <w:pStyle w:val="TableText0"/>
              <w:spacing w:before="20" w:after="20"/>
              <w:rPr>
                <w:rFonts w:cs="Cambria Math"/>
                <w:bCs/>
              </w:rPr>
            </w:pPr>
            <w:r w:rsidRPr="006316DF">
              <w:rPr>
                <w:rFonts w:ascii="Cambria Math" w:hAnsi="Cambria Math" w:cs="Cambria Math"/>
                <w:bCs/>
                <w:color w:val="00B050"/>
              </w:rPr>
              <w:t>⨁⨁</w:t>
            </w:r>
            <w:r w:rsidR="00963EDC" w:rsidRPr="006316DF">
              <w:rPr>
                <w:rFonts w:ascii="Cambria Math" w:hAnsi="Cambria Math" w:cs="Cambria Math"/>
                <w:color w:val="C00000"/>
              </w:rPr>
              <w:t>⨀⨀</w:t>
            </w:r>
          </w:p>
          <w:p w:rsidR="0075777C" w:rsidRPr="006316DF" w:rsidRDefault="0075777C" w:rsidP="00BC5A2B">
            <w:pPr>
              <w:pStyle w:val="TableText0"/>
              <w:spacing w:before="20" w:after="20"/>
            </w:pPr>
            <w:r w:rsidRPr="006316DF">
              <w:t>Not important</w:t>
            </w:r>
          </w:p>
        </w:tc>
      </w:tr>
    </w:tbl>
    <w:p w:rsidR="0075777C" w:rsidRPr="006316DF" w:rsidRDefault="0075777C" w:rsidP="00BC5A2B">
      <w:pPr>
        <w:pStyle w:val="Tablenote"/>
      </w:pPr>
      <w:r w:rsidRPr="006316DF">
        <w:rPr>
          <w:vertAlign w:val="superscript"/>
        </w:rPr>
        <w:t xml:space="preserve">a </w:t>
      </w:r>
      <w:r w:rsidRPr="006316DF">
        <w:t xml:space="preserve">GRADE Working Group grades of evidence </w:t>
      </w:r>
      <w:r w:rsidR="001D34EE" w:rsidRPr="001D34EE">
        <w:rPr>
          <w:noProof/>
          <w:vertAlign w:val="superscript"/>
        </w:rPr>
        <w:t>1</w:t>
      </w:r>
    </w:p>
    <w:p w:rsidR="0075777C" w:rsidRPr="006316DF" w:rsidRDefault="0075777C" w:rsidP="00BC5A2B">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75777C" w:rsidRPr="006316DF" w:rsidRDefault="0075777C" w:rsidP="00BC5A2B">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Moderate quality:</w:t>
      </w:r>
      <w:r w:rsidRPr="006316DF">
        <w:t xml:space="preserve"> We are moderately confident in the effect estimate: The true effect is likely to be close to the estimate of the effect, but there is a possibility that it is substantially different</w:t>
      </w:r>
    </w:p>
    <w:p w:rsidR="007C2D99" w:rsidRPr="006316DF" w:rsidRDefault="007C2D99" w:rsidP="007C2D99">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D2075A" w:rsidRPr="006316DF" w:rsidRDefault="0075777C" w:rsidP="00BC5A2B">
      <w:pPr>
        <w:pStyle w:val="Tablenote"/>
      </w:pPr>
      <w:r>
        <w:t xml:space="preserve">6MWD = 6-minute </w:t>
      </w:r>
      <w:r w:rsidR="0082368E">
        <w:t>walk distance</w:t>
      </w:r>
      <w:r w:rsidR="00B21201">
        <w:t>; ARD</w:t>
      </w:r>
      <w:r>
        <w:t xml:space="preserve"> = absolute risk </w:t>
      </w:r>
      <w:r w:rsidR="00B21201">
        <w:t>difference</w:t>
      </w:r>
      <w:r>
        <w: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D2075A" w:rsidRPr="00DC16A3">
        <w:t xml:space="preserve">; </w:t>
      </w:r>
      <w:r w:rsidR="00D2075A">
        <w:t xml:space="preserve">k = number of studies; </w:t>
      </w:r>
      <w:r>
        <w:t xml:space="preserve">MD = mean difference; N = number of patients; </w:t>
      </w:r>
      <w:r w:rsidRPr="00D65221">
        <w:t>PVR</w:t>
      </w:r>
      <w:r>
        <w:t xml:space="preserve"> = p</w:t>
      </w:r>
      <w:r w:rsidRPr="00D65221">
        <w:t xml:space="preserve">ulmonary </w:t>
      </w:r>
      <w:r>
        <w:t>v</w:t>
      </w:r>
      <w:r w:rsidRPr="00D65221">
        <w:t xml:space="preserve">ascular </w:t>
      </w:r>
      <w:r>
        <w:t>r</w:t>
      </w:r>
      <w:r w:rsidRPr="00D65221">
        <w:t>esistance</w:t>
      </w:r>
      <w:r>
        <w:t>; RCT = randomised controlled trial; RR = relative risk; WHO = World Health Organization</w:t>
      </w:r>
    </w:p>
    <w:p w:rsidR="0075777C" w:rsidRPr="006316DF" w:rsidRDefault="0075777C" w:rsidP="0075777C">
      <w:pPr>
        <w:pStyle w:val="Heading5"/>
      </w:pPr>
      <w:r w:rsidRPr="006316DF">
        <w:t>Safety</w:t>
      </w:r>
    </w:p>
    <w:p w:rsidR="0075777C" w:rsidRPr="006316DF" w:rsidRDefault="00F9638D" w:rsidP="0075777C">
      <w:r w:rsidRPr="00F9638D">
        <w:t xml:space="preserve">No conclusions about the comparative safety of an </w:t>
      </w:r>
      <w:r>
        <w:t>ERA medication</w:t>
      </w:r>
      <w:r w:rsidRPr="00F9638D">
        <w:t xml:space="preserve"> versus placebo in patients with WHO FC I/II PAH could be made due to a lack of evidence.</w:t>
      </w:r>
    </w:p>
    <w:p w:rsidR="0075777C" w:rsidRPr="006316DF" w:rsidRDefault="00441F08" w:rsidP="0075777C">
      <w:pPr>
        <w:pStyle w:val="Heading4"/>
      </w:pPr>
      <w:r>
        <w:lastRenderedPageBreak/>
        <w:t>4.5.1.2</w:t>
      </w:r>
      <w:r>
        <w:tab/>
      </w:r>
      <w:r w:rsidR="0075777C">
        <w:t>PDE-5 inhibitor</w:t>
      </w:r>
      <w:r w:rsidR="0075777C" w:rsidRPr="006316DF">
        <w:t xml:space="preserve"> versus placebo</w:t>
      </w:r>
    </w:p>
    <w:p w:rsidR="0075777C" w:rsidRPr="006316DF" w:rsidRDefault="0075777C" w:rsidP="0075777C">
      <w:pPr>
        <w:pStyle w:val="Heading5"/>
      </w:pPr>
      <w:r w:rsidRPr="006316DF">
        <w:t>Clinical effectiveness</w:t>
      </w:r>
    </w:p>
    <w:p w:rsidR="0075777C" w:rsidRPr="006316DF" w:rsidRDefault="0075777C" w:rsidP="0075777C">
      <w:r w:rsidRPr="006316DF">
        <w:t xml:space="preserve">The </w:t>
      </w:r>
      <w:r>
        <w:t xml:space="preserve">detailed </w:t>
      </w:r>
      <w:r w:rsidRPr="006316DF">
        <w:t>GRADE</w:t>
      </w:r>
      <w:r w:rsidR="001D34EE" w:rsidRPr="001D34EE">
        <w:rPr>
          <w:noProof/>
          <w:vertAlign w:val="superscript"/>
        </w:rPr>
        <w:t>1</w:t>
      </w:r>
      <w:r w:rsidRPr="006316DF">
        <w:t xml:space="preserve"> assessments of the outcomes when comparing a </w:t>
      </w:r>
      <w:r>
        <w:t>PDE-5 inhibitor</w:t>
      </w:r>
      <w:r w:rsidRPr="006316DF">
        <w:t xml:space="preserve"> with placebo are </w:t>
      </w:r>
      <w:r w:rsidRPr="00BB76F5">
        <w:t xml:space="preserve">reported in </w:t>
      </w:r>
      <w:r w:rsidR="00AA722D" w:rsidRPr="00AA722D">
        <w:rPr>
          <w:rFonts w:eastAsia="Times New Roman"/>
          <w:bCs/>
          <w:szCs w:val="18"/>
        </w:rPr>
        <w:t xml:space="preserve">Table </w:t>
      </w:r>
      <w:r w:rsidR="00AA722D" w:rsidRPr="00AA722D">
        <w:rPr>
          <w:rFonts w:eastAsia="Times New Roman"/>
          <w:bCs/>
          <w:noProof/>
          <w:szCs w:val="18"/>
        </w:rPr>
        <w:t>4.147</w:t>
      </w:r>
      <w:r w:rsidRPr="00BB76F5">
        <w:t xml:space="preserve"> in Appendix </w:t>
      </w:r>
      <w:r w:rsidR="00DA2636">
        <w:t>4</w:t>
      </w:r>
      <w:r w:rsidR="001B552D">
        <w:t>C</w:t>
      </w:r>
      <w:r w:rsidRPr="00BB76F5">
        <w:t>.</w:t>
      </w:r>
      <w:r w:rsidRPr="006316DF">
        <w:t xml:space="preserve"> A summary of these results is provided in </w:t>
      </w:r>
      <w:r w:rsidR="00AA722D">
        <w:t xml:space="preserve">Table </w:t>
      </w:r>
      <w:r w:rsidR="00AA722D">
        <w:rPr>
          <w:noProof/>
        </w:rPr>
        <w:t>4.121</w:t>
      </w:r>
      <w:r w:rsidRPr="006316DF">
        <w:t xml:space="preserve">. The evidence base for the critical outcome of all-cause mortality is derived from </w:t>
      </w:r>
      <w:r>
        <w:t>two</w:t>
      </w:r>
      <w:r w:rsidRPr="006316DF">
        <w:t xml:space="preserve"> observational cohort stud</w:t>
      </w:r>
      <w:r>
        <w:t>ies</w:t>
      </w:r>
      <w:r w:rsidRPr="006316DF">
        <w:t xml:space="preserve"> and is of very low quality (GRADE </w:t>
      </w:r>
      <w:r w:rsidRPr="008727D6">
        <w:rPr>
          <w:rFonts w:ascii="Cambria Math" w:eastAsia="Times New Roman" w:hAnsi="Cambria Math" w:cs="Cambria Math"/>
          <w:bCs/>
          <w:color w:val="00B050"/>
        </w:rPr>
        <w:t>⨁</w:t>
      </w:r>
      <w:r w:rsidRPr="008727D6">
        <w:rPr>
          <w:rFonts w:ascii="Cambria Math" w:eastAsia="Times New Roman" w:hAnsi="Cambria Math" w:cs="Cambria Math"/>
          <w:bCs/>
          <w:color w:val="C00000"/>
        </w:rPr>
        <w:t>⨀⨀⨀</w:t>
      </w:r>
      <w:r w:rsidRPr="006316DF">
        <w:t xml:space="preserve">). Thus, although the </w:t>
      </w:r>
      <w:r w:rsidRPr="00362C8C">
        <w:t xml:space="preserve">RR </w:t>
      </w:r>
      <w:r w:rsidRPr="006316DF">
        <w:t xml:space="preserve">favours </w:t>
      </w:r>
      <w:r>
        <w:t>PDE-5 inhibitor</w:t>
      </w:r>
      <w:r w:rsidRPr="006316DF">
        <w:t xml:space="preserve"> over conventional therapy, the true effect is </w:t>
      </w:r>
      <w:r>
        <w:t>uncertain</w:t>
      </w:r>
      <w:r w:rsidRPr="0080120D">
        <w:t xml:space="preserve"> </w:t>
      </w:r>
      <w:r>
        <w:t>as</w:t>
      </w:r>
      <w:r w:rsidRPr="0080120D">
        <w:t xml:space="preserve"> the </w:t>
      </w:r>
      <w:r w:rsidR="00D84687">
        <w:t>95% CI indicates</w:t>
      </w:r>
      <w:r w:rsidRPr="0080120D">
        <w:t xml:space="preserve"> that there may also be no or the opposite effect.</w:t>
      </w:r>
    </w:p>
    <w:p w:rsidR="0075777C" w:rsidRPr="00796F18" w:rsidRDefault="0075777C" w:rsidP="0075777C">
      <w:r w:rsidRPr="006316DF">
        <w:t xml:space="preserve">The evidence base </w:t>
      </w:r>
      <w:r>
        <w:t xml:space="preserve">presented </w:t>
      </w:r>
      <w:r w:rsidRPr="006316DF">
        <w:t xml:space="preserve">for </w:t>
      </w:r>
      <w:r>
        <w:t xml:space="preserve">important outcomes of improved or worsened WHO FC </w:t>
      </w:r>
      <w:r w:rsidRPr="006316DF">
        <w:t>w</w:t>
      </w:r>
      <w:r>
        <w:t>as</w:t>
      </w:r>
      <w:r w:rsidRPr="006316DF">
        <w:t xml:space="preserve"> considered to be of </w:t>
      </w:r>
      <w:r w:rsidR="00FC3493">
        <w:t>low</w:t>
      </w:r>
      <w:r w:rsidRPr="006316DF">
        <w:t xml:space="preserve"> quality (GRADE </w:t>
      </w:r>
      <w:r w:rsidRPr="008727D6">
        <w:rPr>
          <w:rFonts w:ascii="Cambria Math" w:eastAsia="Times New Roman" w:hAnsi="Cambria Math" w:cs="Tahoma"/>
          <w:bCs/>
          <w:color w:val="00B050"/>
        </w:rPr>
        <w:t>⨁⨁</w:t>
      </w:r>
      <w:r w:rsidR="00FC3493" w:rsidRPr="008727D6">
        <w:rPr>
          <w:rFonts w:ascii="Cambria Math" w:eastAsia="Times New Roman" w:hAnsi="Cambria Math" w:cs="Cambria Math"/>
          <w:bCs/>
          <w:color w:val="C00000"/>
        </w:rPr>
        <w:t>⨀⨀</w:t>
      </w:r>
      <w:r w:rsidRPr="00796F18">
        <w:t xml:space="preserve">). Thus, the true effect of treating WHO FC I/II PAH with a PDE-5 inhibitor compared with a placebo is </w:t>
      </w:r>
      <w:r w:rsidR="00FC3493">
        <w:t>uncertain</w:t>
      </w:r>
      <w:r w:rsidRPr="00796F18">
        <w:t xml:space="preserve">. The estimates suggested there was no difference in the proportion of patients whose WHO FC either improved or worsened, indicating that PDE-5 inhibitor may be equally as effective as placebo with respect to changing the WHO FC of patients with WHO FC I/II PAH. However, the wide 95% CIs </w:t>
      </w:r>
      <w:r w:rsidR="00FC3493">
        <w:t>and small study size indicate the</w:t>
      </w:r>
      <w:r w:rsidRPr="00796F18">
        <w:t xml:space="preserve"> study was likely underpowered to detect a difference.</w:t>
      </w:r>
    </w:p>
    <w:p w:rsidR="0075777C" w:rsidRPr="006316DF" w:rsidRDefault="00BC5A2B" w:rsidP="0075777C">
      <w:r w:rsidRPr="00BC5A2B">
        <w:t>Thus, there is considerable uncertainty as to whether the use of a PDE-5 inhibitor medication to treat patients with WHO F</w:t>
      </w:r>
      <w:r w:rsidR="00796F18">
        <w:t>C I/II PAH would be beneficial.</w:t>
      </w:r>
    </w:p>
    <w:p w:rsidR="0075777C" w:rsidRPr="006316DF" w:rsidRDefault="00272F8F" w:rsidP="00BC5A2B">
      <w:pPr>
        <w:pStyle w:val="Caption"/>
        <w:rPr>
          <w:noProof/>
          <w:snapToGrid w:val="0"/>
        </w:rPr>
      </w:pPr>
      <w:bookmarkStart w:id="342" w:name="_Ref501368586"/>
      <w:bookmarkStart w:id="343" w:name="_Toc512855525"/>
      <w:r>
        <w:t>Table 4.</w:t>
      </w:r>
      <w:r w:rsidR="00AA722D">
        <w:rPr>
          <w:noProof/>
        </w:rPr>
        <w:t>121</w:t>
      </w:r>
      <w:bookmarkEnd w:id="342"/>
      <w:r w:rsidR="00BC5A2B">
        <w:tab/>
      </w:r>
      <w:r w:rsidR="0075777C" w:rsidRPr="006316DF">
        <w:rPr>
          <w:noProof/>
          <w:snapToGrid w:val="0"/>
        </w:rPr>
        <w:t xml:space="preserve">Balance of clinical benefits and harms of </w:t>
      </w:r>
      <w:r w:rsidR="007E59EC">
        <w:rPr>
          <w:noProof/>
          <w:snapToGrid w:val="0"/>
        </w:rPr>
        <w:t xml:space="preserve">a </w:t>
      </w:r>
      <w:r w:rsidR="0075777C">
        <w:rPr>
          <w:noProof/>
          <w:snapToGrid w:val="0"/>
        </w:rPr>
        <w:t>PDE-5 inhibitor</w:t>
      </w:r>
      <w:r w:rsidR="0075777C" w:rsidRPr="006316DF">
        <w:rPr>
          <w:noProof/>
          <w:snapToGrid w:val="0"/>
        </w:rPr>
        <w:t>, relative to placebo or conventional therapy</w:t>
      </w:r>
      <w:bookmarkEnd w:id="343"/>
    </w:p>
    <w:tbl>
      <w:tblPr>
        <w:tblStyle w:val="TableGrid"/>
        <w:tblW w:w="9634" w:type="dxa"/>
        <w:tblLayout w:type="fixed"/>
        <w:tblLook w:val="04A0" w:firstRow="1" w:lastRow="0" w:firstColumn="1" w:lastColumn="0" w:noHBand="0" w:noVBand="1"/>
        <w:tblCaption w:val="Balance of clinical benefits and harms of a PDE-5 inhibitor, relative to placebo or conventional therapy"/>
      </w:tblPr>
      <w:tblGrid>
        <w:gridCol w:w="1560"/>
        <w:gridCol w:w="1275"/>
        <w:gridCol w:w="1701"/>
        <w:gridCol w:w="1555"/>
        <w:gridCol w:w="2409"/>
        <w:gridCol w:w="1134"/>
      </w:tblGrid>
      <w:tr w:rsidR="0075777C" w:rsidRPr="00BC5A2B" w:rsidTr="00796F18">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BC5A2B" w:rsidRDefault="0075777C" w:rsidP="00BC5A2B">
            <w:pPr>
              <w:pStyle w:val="TableText0"/>
              <w:spacing w:before="20" w:after="20"/>
              <w:rPr>
                <w:b/>
                <w:noProof/>
              </w:rPr>
            </w:pPr>
            <w:r w:rsidRPr="00BC5A2B">
              <w:rPr>
                <w:b/>
                <w:noProof/>
              </w:rPr>
              <w:t xml:space="preserve">Outcomes </w:t>
            </w:r>
          </w:p>
        </w:tc>
        <w:tc>
          <w:tcPr>
            <w:tcW w:w="1275" w:type="dxa"/>
          </w:tcPr>
          <w:p w:rsidR="0075777C" w:rsidRPr="00BC5A2B" w:rsidRDefault="0075777C" w:rsidP="00BC5A2B">
            <w:pPr>
              <w:pStyle w:val="TableText0"/>
              <w:spacing w:before="20" w:after="20"/>
              <w:rPr>
                <w:b/>
                <w:noProof/>
              </w:rPr>
            </w:pPr>
            <w:r w:rsidRPr="00BC5A2B">
              <w:rPr>
                <w:b/>
                <w:noProof/>
              </w:rPr>
              <w:t>Participants (studies)</w:t>
            </w:r>
          </w:p>
        </w:tc>
        <w:tc>
          <w:tcPr>
            <w:tcW w:w="1701" w:type="dxa"/>
          </w:tcPr>
          <w:p w:rsidR="0075777C" w:rsidRPr="00BC5A2B" w:rsidRDefault="0075777C" w:rsidP="00BC5A2B">
            <w:pPr>
              <w:pStyle w:val="TableText0"/>
              <w:spacing w:before="20" w:after="20"/>
              <w:rPr>
                <w:b/>
                <w:noProof/>
              </w:rPr>
            </w:pPr>
            <w:r w:rsidRPr="00BC5A2B">
              <w:rPr>
                <w:b/>
                <w:noProof/>
              </w:rPr>
              <w:t>Quality of evidence</w:t>
            </w:r>
          </w:p>
        </w:tc>
        <w:tc>
          <w:tcPr>
            <w:tcW w:w="1555" w:type="dxa"/>
          </w:tcPr>
          <w:p w:rsidR="0075777C" w:rsidRPr="00BC5A2B" w:rsidRDefault="0075777C" w:rsidP="00BC5A2B">
            <w:pPr>
              <w:pStyle w:val="TableText0"/>
              <w:spacing w:before="20" w:after="20"/>
              <w:rPr>
                <w:b/>
                <w:noProof/>
              </w:rPr>
            </w:pPr>
            <w:r w:rsidRPr="00BC5A2B">
              <w:rPr>
                <w:b/>
                <w:noProof/>
              </w:rPr>
              <w:t>Results</w:t>
            </w:r>
          </w:p>
        </w:tc>
        <w:tc>
          <w:tcPr>
            <w:tcW w:w="2409" w:type="dxa"/>
          </w:tcPr>
          <w:p w:rsidR="0075777C" w:rsidRPr="00BC5A2B" w:rsidRDefault="0075777C" w:rsidP="00BC5A2B">
            <w:pPr>
              <w:pStyle w:val="TableText0"/>
              <w:spacing w:before="20" w:after="20"/>
              <w:rPr>
                <w:b/>
                <w:noProof/>
              </w:rPr>
            </w:pPr>
            <w:r w:rsidRPr="00BC5A2B">
              <w:rPr>
                <w:b/>
                <w:noProof/>
              </w:rPr>
              <w:t>Interpretation</w:t>
            </w:r>
          </w:p>
        </w:tc>
        <w:tc>
          <w:tcPr>
            <w:tcW w:w="1134" w:type="dxa"/>
          </w:tcPr>
          <w:p w:rsidR="0075777C" w:rsidRPr="00BC5A2B" w:rsidRDefault="0075777C" w:rsidP="00BC5A2B">
            <w:pPr>
              <w:pStyle w:val="TableText0"/>
              <w:spacing w:before="20" w:after="20"/>
              <w:rPr>
                <w:b/>
                <w:noProof/>
              </w:rPr>
            </w:pPr>
            <w:r w:rsidRPr="00BC5A2B">
              <w:rPr>
                <w:b/>
                <w:noProof/>
              </w:rPr>
              <w:t>GRADE</w:t>
            </w:r>
            <w:r w:rsidR="008E6DA8" w:rsidRPr="008E6DA8">
              <w:rPr>
                <w:b/>
                <w:noProof/>
                <w:vertAlign w:val="superscript"/>
              </w:rPr>
              <w:t>a</w:t>
            </w:r>
          </w:p>
          <w:p w:rsidR="0075777C" w:rsidRPr="00BC5A2B" w:rsidRDefault="0075777C" w:rsidP="00BC5A2B">
            <w:pPr>
              <w:pStyle w:val="TableText0"/>
              <w:spacing w:before="20" w:after="20"/>
              <w:rPr>
                <w:b/>
                <w:noProof/>
              </w:rPr>
            </w:pPr>
            <w:r w:rsidRPr="00BC5A2B">
              <w:rPr>
                <w:b/>
                <w:noProof/>
              </w:rPr>
              <w:t>Importance</w:t>
            </w:r>
          </w:p>
        </w:tc>
      </w:tr>
      <w:tr w:rsidR="0075777C" w:rsidRPr="006316DF" w:rsidTr="00796F18">
        <w:tc>
          <w:tcPr>
            <w:tcW w:w="1560" w:type="dxa"/>
          </w:tcPr>
          <w:p w:rsidR="0075777C" w:rsidRPr="006316DF" w:rsidRDefault="0075777C" w:rsidP="00BC5A2B">
            <w:pPr>
              <w:pStyle w:val="TableText0"/>
              <w:spacing w:before="20" w:after="20"/>
            </w:pPr>
            <w:r w:rsidRPr="006316DF">
              <w:t>All-cause mortality</w:t>
            </w:r>
          </w:p>
        </w:tc>
        <w:tc>
          <w:tcPr>
            <w:tcW w:w="1275" w:type="dxa"/>
          </w:tcPr>
          <w:p w:rsidR="0075777C" w:rsidRPr="006316DF" w:rsidRDefault="0075777C" w:rsidP="00BC5A2B">
            <w:pPr>
              <w:pStyle w:val="TableText0"/>
              <w:spacing w:before="20" w:after="20"/>
            </w:pPr>
            <w:r w:rsidRPr="006316DF">
              <w:t>N=76</w:t>
            </w:r>
          </w:p>
          <w:p w:rsidR="0075777C" w:rsidRPr="006316DF" w:rsidRDefault="0075777C" w:rsidP="00BC5A2B">
            <w:pPr>
              <w:pStyle w:val="TableText0"/>
              <w:spacing w:before="20" w:after="20"/>
            </w:pPr>
            <w:r w:rsidRPr="006316DF">
              <w:t>k=</w:t>
            </w:r>
            <w:r>
              <w:t>2</w:t>
            </w:r>
            <w:r w:rsidRPr="006316DF">
              <w:t xml:space="preserve"> cohort</w:t>
            </w:r>
          </w:p>
        </w:tc>
        <w:tc>
          <w:tcPr>
            <w:tcW w:w="1701" w:type="dxa"/>
          </w:tcPr>
          <w:p w:rsidR="0075777C" w:rsidRPr="006316DF" w:rsidRDefault="0075777C" w:rsidP="00BC5A2B">
            <w:pPr>
              <w:pStyle w:val="TableText0"/>
              <w:spacing w:before="20" w:after="20"/>
            </w:pPr>
            <w:r>
              <w:t>Risk of bias: −1</w:t>
            </w:r>
          </w:p>
          <w:p w:rsidR="0075777C" w:rsidRPr="006316DF" w:rsidRDefault="0075777C" w:rsidP="00BC5A2B">
            <w:pPr>
              <w:pStyle w:val="TableText0"/>
              <w:spacing w:before="20" w:after="20"/>
            </w:pPr>
            <w:r w:rsidRPr="006316DF">
              <w:t>Inconsistency: 0</w:t>
            </w:r>
          </w:p>
          <w:p w:rsidR="0075777C" w:rsidRPr="006316DF" w:rsidRDefault="0075777C" w:rsidP="00BC5A2B">
            <w:pPr>
              <w:pStyle w:val="TableText0"/>
              <w:spacing w:before="20" w:after="20"/>
            </w:pPr>
            <w:r w:rsidRPr="006316DF">
              <w:t>Indirectness: 0</w:t>
            </w:r>
          </w:p>
          <w:p w:rsidR="0075777C" w:rsidRDefault="0075777C" w:rsidP="00BC5A2B">
            <w:pPr>
              <w:pStyle w:val="TableText0"/>
              <w:spacing w:before="20" w:after="20"/>
            </w:pPr>
            <w:r>
              <w:t>Imprecision: −1</w:t>
            </w:r>
          </w:p>
          <w:p w:rsidR="0075777C" w:rsidRDefault="0075777C" w:rsidP="00BC5A2B">
            <w:pPr>
              <w:pStyle w:val="TableText0"/>
              <w:spacing w:before="20" w:after="20"/>
            </w:pPr>
            <w:r w:rsidRPr="006316DF">
              <w:t>Publication bias: 0</w:t>
            </w:r>
          </w:p>
          <w:p w:rsidR="0075777C" w:rsidRPr="006316DF" w:rsidRDefault="0075777C" w:rsidP="00BC5A2B">
            <w:pPr>
              <w:pStyle w:val="TableText0"/>
              <w:spacing w:before="20" w:after="20"/>
            </w:pPr>
            <w:r>
              <w:t>Association: +1</w:t>
            </w:r>
          </w:p>
        </w:tc>
        <w:tc>
          <w:tcPr>
            <w:tcW w:w="1555" w:type="dxa"/>
          </w:tcPr>
          <w:p w:rsidR="0075777C" w:rsidRPr="006316DF" w:rsidRDefault="0075777C" w:rsidP="00BC5A2B">
            <w:pPr>
              <w:pStyle w:val="TableText0"/>
              <w:spacing w:before="20" w:after="20"/>
            </w:pPr>
            <w:r>
              <w:rPr>
                <w:rFonts w:eastAsiaTheme="minorEastAsia"/>
              </w:rPr>
              <w:t>RR = 0.32 (95% CI 0.05, 1.90)</w:t>
            </w:r>
          </w:p>
        </w:tc>
        <w:tc>
          <w:tcPr>
            <w:tcW w:w="2409" w:type="dxa"/>
          </w:tcPr>
          <w:p w:rsidR="0075777C" w:rsidRPr="006316DF" w:rsidRDefault="0075777C" w:rsidP="00BC5A2B">
            <w:pPr>
              <w:pStyle w:val="TableText0"/>
              <w:spacing w:before="20" w:after="20"/>
            </w:pPr>
            <w:r w:rsidRPr="0070079B">
              <w:t xml:space="preserve">Fewer patients died from any cause when </w:t>
            </w:r>
            <w:r>
              <w:t>treated with a PDE-5 inhibitor</w:t>
            </w:r>
            <w:r w:rsidRPr="0070079B">
              <w:t xml:space="preserve"> compared with placebo, but the </w:t>
            </w:r>
            <w:r w:rsidR="00D84687">
              <w:t>95% CI indicates</w:t>
            </w:r>
            <w:r w:rsidRPr="0070079B">
              <w:t xml:space="preserve"> that there may also be no </w:t>
            </w:r>
            <w:r>
              <w:t xml:space="preserve">or the opposite </w:t>
            </w:r>
            <w:r w:rsidRPr="0070079B">
              <w:t>effect.</w:t>
            </w:r>
          </w:p>
        </w:tc>
        <w:tc>
          <w:tcPr>
            <w:tcW w:w="1134" w:type="dxa"/>
          </w:tcPr>
          <w:p w:rsidR="0075777C" w:rsidRPr="006316DF" w:rsidRDefault="0075777C" w:rsidP="00BC5A2B">
            <w:pPr>
              <w:pStyle w:val="TableText0"/>
              <w:spacing w:before="20" w:after="20"/>
              <w:rPr>
                <w:bCs/>
              </w:rPr>
            </w:pPr>
            <w:r w:rsidRPr="006316DF">
              <w:rPr>
                <w:bCs/>
              </w:rPr>
              <w:t>Very low</w:t>
            </w:r>
          </w:p>
          <w:p w:rsidR="0075777C" w:rsidRPr="006316DF" w:rsidRDefault="0075777C" w:rsidP="00BC5A2B">
            <w:pPr>
              <w:pStyle w:val="TableText0"/>
              <w:spacing w:before="20" w:after="20"/>
              <w:rPr>
                <w:rFonts w:ascii="Cambria Math" w:hAnsi="Cambria Math" w:cs="Cambria Math"/>
                <w:bCs/>
              </w:rPr>
            </w:pPr>
            <w:r w:rsidRPr="006316DF">
              <w:rPr>
                <w:rFonts w:ascii="Cambria Math" w:hAnsi="Cambria Math" w:cs="Cambria Math"/>
                <w:bCs/>
                <w:color w:val="00B050"/>
              </w:rPr>
              <w:t>⨁</w:t>
            </w:r>
            <w:r w:rsidRPr="006316DF">
              <w:rPr>
                <w:rFonts w:ascii="Cambria Math" w:hAnsi="Cambria Math" w:cs="Cambria Math"/>
                <w:bCs/>
                <w:color w:val="C00000"/>
              </w:rPr>
              <w:t>⨀⨀⨀</w:t>
            </w:r>
          </w:p>
          <w:p w:rsidR="0075777C" w:rsidRPr="006316DF" w:rsidRDefault="0075777C" w:rsidP="00BC5A2B">
            <w:pPr>
              <w:pStyle w:val="TableText0"/>
              <w:spacing w:before="20" w:after="20"/>
            </w:pPr>
            <w:r>
              <w:t>Critical</w:t>
            </w:r>
          </w:p>
        </w:tc>
      </w:tr>
      <w:tr w:rsidR="00FC3493" w:rsidRPr="006316DF" w:rsidTr="00796F18">
        <w:tc>
          <w:tcPr>
            <w:tcW w:w="1560" w:type="dxa"/>
          </w:tcPr>
          <w:p w:rsidR="00FC3493" w:rsidRPr="006316DF" w:rsidRDefault="00FC3493" w:rsidP="00FC3493">
            <w:pPr>
              <w:pStyle w:val="TableText0"/>
              <w:spacing w:before="20" w:after="20"/>
            </w:pPr>
            <w:r w:rsidRPr="006316DF">
              <w:t>Improved W</w:t>
            </w:r>
            <w:r>
              <w:t>HO</w:t>
            </w:r>
            <w:r w:rsidRPr="006316DF">
              <w:t xml:space="preserve"> FC</w:t>
            </w:r>
          </w:p>
        </w:tc>
        <w:tc>
          <w:tcPr>
            <w:tcW w:w="1275" w:type="dxa"/>
          </w:tcPr>
          <w:p w:rsidR="00FC3493" w:rsidRPr="006316DF" w:rsidRDefault="00FC3493" w:rsidP="00FC3493">
            <w:pPr>
              <w:pStyle w:val="TableText0"/>
              <w:spacing w:before="20" w:after="20"/>
            </w:pPr>
            <w:r w:rsidRPr="006316DF">
              <w:t>N=22</w:t>
            </w:r>
          </w:p>
          <w:p w:rsidR="00FC3493" w:rsidRPr="006316DF" w:rsidRDefault="00FC3493" w:rsidP="00FC3493">
            <w:pPr>
              <w:pStyle w:val="TableText0"/>
              <w:spacing w:before="20" w:after="20"/>
            </w:pPr>
            <w:r w:rsidRPr="006316DF">
              <w:t>k=1 RCT</w:t>
            </w:r>
          </w:p>
        </w:tc>
        <w:tc>
          <w:tcPr>
            <w:tcW w:w="1701" w:type="dxa"/>
          </w:tcPr>
          <w:p w:rsidR="00FC3493" w:rsidRPr="006316DF" w:rsidRDefault="00FC3493" w:rsidP="00FC3493">
            <w:pPr>
              <w:pStyle w:val="TableText0"/>
              <w:spacing w:before="20" w:after="20"/>
            </w:pPr>
            <w:r w:rsidRPr="006316DF">
              <w:t>Risk of bias: 0</w:t>
            </w:r>
          </w:p>
          <w:p w:rsidR="00FC3493" w:rsidRPr="006316DF" w:rsidRDefault="00FC3493" w:rsidP="00FC3493">
            <w:pPr>
              <w:pStyle w:val="TableText0"/>
              <w:spacing w:before="20" w:after="20"/>
            </w:pPr>
            <w:r w:rsidRPr="006316DF">
              <w:t>Inconsistency: 0</w:t>
            </w:r>
          </w:p>
          <w:p w:rsidR="00FC3493" w:rsidRPr="006316DF" w:rsidRDefault="00FC3493" w:rsidP="00FC3493">
            <w:pPr>
              <w:pStyle w:val="TableText0"/>
              <w:spacing w:before="20" w:after="20"/>
            </w:pPr>
            <w:r w:rsidRPr="006316DF">
              <w:t>Indirectness: 0</w:t>
            </w:r>
          </w:p>
          <w:p w:rsidR="00FC3493" w:rsidRDefault="00FC3493" w:rsidP="00FC3493">
            <w:pPr>
              <w:pStyle w:val="TableText0"/>
              <w:spacing w:before="20" w:after="20"/>
            </w:pPr>
            <w:r>
              <w:t>Imprecision: −2</w:t>
            </w:r>
          </w:p>
          <w:p w:rsidR="00FC3493" w:rsidRDefault="00FC3493" w:rsidP="00FC3493">
            <w:pPr>
              <w:pStyle w:val="TableText0"/>
              <w:spacing w:before="20" w:after="20"/>
            </w:pPr>
            <w:r w:rsidRPr="006316DF">
              <w:t>Publication bias: 0</w:t>
            </w:r>
          </w:p>
          <w:p w:rsidR="00FC3493" w:rsidRPr="006316DF" w:rsidRDefault="00FC3493" w:rsidP="00FC3493">
            <w:pPr>
              <w:pStyle w:val="TableText0"/>
              <w:spacing w:before="20" w:after="20"/>
            </w:pPr>
            <w:r>
              <w:t>Association: 0</w:t>
            </w:r>
          </w:p>
        </w:tc>
        <w:tc>
          <w:tcPr>
            <w:tcW w:w="1555" w:type="dxa"/>
          </w:tcPr>
          <w:p w:rsidR="00FC3493" w:rsidRPr="006316DF" w:rsidRDefault="00FC3493" w:rsidP="00FC3493">
            <w:pPr>
              <w:pStyle w:val="TableText0"/>
              <w:spacing w:before="20" w:after="20"/>
            </w:pPr>
            <w:r w:rsidRPr="006316DF">
              <w:t>RR = 1.00 (95% CI 0.07, 15.00)</w:t>
            </w:r>
          </w:p>
        </w:tc>
        <w:tc>
          <w:tcPr>
            <w:tcW w:w="2409" w:type="dxa"/>
          </w:tcPr>
          <w:p w:rsidR="00FC3493" w:rsidRPr="006316DF" w:rsidRDefault="00FC3493" w:rsidP="00FC3493">
            <w:pPr>
              <w:pStyle w:val="TableText0"/>
              <w:spacing w:before="20" w:after="20"/>
            </w:pPr>
            <w:r w:rsidRPr="00AE06C3">
              <w:t xml:space="preserve">The same proportion of patients improved their WHO FC taking a PDE-5 inhibitor compared with placebo, </w:t>
            </w:r>
            <w:r w:rsidR="00DD704F">
              <w:t>but the wide 95% CI indicates that the study was underpowered for this outcome</w:t>
            </w:r>
          </w:p>
        </w:tc>
        <w:tc>
          <w:tcPr>
            <w:tcW w:w="1134" w:type="dxa"/>
          </w:tcPr>
          <w:p w:rsidR="00FC3493" w:rsidRPr="006316DF" w:rsidRDefault="00FC3493" w:rsidP="00FC3493">
            <w:pPr>
              <w:pStyle w:val="TableText0"/>
              <w:spacing w:before="20" w:after="20"/>
            </w:pPr>
            <w:r>
              <w:t>Low</w:t>
            </w:r>
          </w:p>
          <w:p w:rsidR="00FC3493" w:rsidRPr="006316DF" w:rsidRDefault="00FC3493" w:rsidP="00FC3493">
            <w:pPr>
              <w:pStyle w:val="TableText0"/>
              <w:spacing w:before="20" w:after="20"/>
              <w:rPr>
                <w:rFonts w:cs="Cambria Math"/>
                <w:bCs/>
              </w:rPr>
            </w:pPr>
            <w:r w:rsidRPr="006316DF">
              <w:rPr>
                <w:rFonts w:ascii="Cambria Math" w:hAnsi="Cambria Math" w:cs="Cambria Math"/>
                <w:bCs/>
                <w:color w:val="00B050"/>
              </w:rPr>
              <w:t>⨁⨁</w:t>
            </w:r>
            <w:r w:rsidRPr="006316DF">
              <w:rPr>
                <w:rFonts w:ascii="Cambria Math" w:hAnsi="Cambria Math" w:cs="Cambria Math"/>
                <w:color w:val="C00000"/>
              </w:rPr>
              <w:t>⨀⨀</w:t>
            </w:r>
          </w:p>
          <w:p w:rsidR="00FC3493" w:rsidRPr="006316DF" w:rsidRDefault="00FC3493" w:rsidP="00FC3493">
            <w:pPr>
              <w:pStyle w:val="TableText0"/>
              <w:spacing w:before="20" w:after="20"/>
            </w:pPr>
            <w:r w:rsidRPr="006316DF">
              <w:t>Important</w:t>
            </w:r>
          </w:p>
        </w:tc>
      </w:tr>
      <w:tr w:rsidR="00FC3493" w:rsidRPr="006316DF" w:rsidTr="00796F18">
        <w:tc>
          <w:tcPr>
            <w:tcW w:w="1560" w:type="dxa"/>
          </w:tcPr>
          <w:p w:rsidR="00FC3493" w:rsidRPr="006316DF" w:rsidRDefault="00FC3493" w:rsidP="00FC3493">
            <w:pPr>
              <w:pStyle w:val="TableText0"/>
              <w:spacing w:before="20" w:after="20"/>
            </w:pPr>
            <w:r w:rsidRPr="006316DF">
              <w:t>Worsened WHO FC</w:t>
            </w:r>
          </w:p>
        </w:tc>
        <w:tc>
          <w:tcPr>
            <w:tcW w:w="1275" w:type="dxa"/>
          </w:tcPr>
          <w:p w:rsidR="00FC3493" w:rsidRPr="006316DF" w:rsidRDefault="00FC3493" w:rsidP="00FC3493">
            <w:pPr>
              <w:pStyle w:val="TableText0"/>
              <w:spacing w:before="20" w:after="20"/>
            </w:pPr>
            <w:r w:rsidRPr="006316DF">
              <w:t>N=22</w:t>
            </w:r>
          </w:p>
          <w:p w:rsidR="00FC3493" w:rsidRPr="006316DF" w:rsidRDefault="00FC3493" w:rsidP="00FC3493">
            <w:pPr>
              <w:pStyle w:val="TableText0"/>
              <w:spacing w:before="20" w:after="20"/>
            </w:pPr>
            <w:r w:rsidRPr="006316DF">
              <w:t>k=1 RCT</w:t>
            </w:r>
          </w:p>
        </w:tc>
        <w:tc>
          <w:tcPr>
            <w:tcW w:w="1701" w:type="dxa"/>
          </w:tcPr>
          <w:p w:rsidR="00FC3493" w:rsidRPr="006316DF" w:rsidRDefault="00FC3493" w:rsidP="00FC3493">
            <w:pPr>
              <w:pStyle w:val="TableText0"/>
              <w:spacing w:before="20" w:after="20"/>
            </w:pPr>
            <w:r w:rsidRPr="006316DF">
              <w:t>Risk of bias: 0</w:t>
            </w:r>
          </w:p>
          <w:p w:rsidR="00FC3493" w:rsidRPr="006316DF" w:rsidRDefault="00FC3493" w:rsidP="00FC3493">
            <w:pPr>
              <w:pStyle w:val="TableText0"/>
              <w:spacing w:before="20" w:after="20"/>
            </w:pPr>
            <w:r w:rsidRPr="006316DF">
              <w:t>Inconsistency: 0</w:t>
            </w:r>
          </w:p>
          <w:p w:rsidR="00FC3493" w:rsidRPr="006316DF" w:rsidRDefault="00FC3493" w:rsidP="00FC3493">
            <w:pPr>
              <w:pStyle w:val="TableText0"/>
              <w:spacing w:before="20" w:after="20"/>
            </w:pPr>
            <w:r w:rsidRPr="006316DF">
              <w:t>Indirectness: 0</w:t>
            </w:r>
          </w:p>
          <w:p w:rsidR="00FC3493" w:rsidRDefault="00FC3493" w:rsidP="00FC3493">
            <w:pPr>
              <w:pStyle w:val="TableText0"/>
              <w:spacing w:before="20" w:after="20"/>
            </w:pPr>
            <w:r w:rsidRPr="006316DF">
              <w:t xml:space="preserve">Imprecision: </w:t>
            </w:r>
            <w:r>
              <w:t>−2</w:t>
            </w:r>
          </w:p>
          <w:p w:rsidR="00FC3493" w:rsidRDefault="00FC3493" w:rsidP="00FC3493">
            <w:pPr>
              <w:pStyle w:val="TableText0"/>
              <w:spacing w:before="20" w:after="20"/>
            </w:pPr>
            <w:r w:rsidRPr="006316DF">
              <w:t>Publication bias: 0</w:t>
            </w:r>
          </w:p>
          <w:p w:rsidR="00FC3493" w:rsidRPr="006316DF" w:rsidRDefault="00FC3493" w:rsidP="00FC3493">
            <w:pPr>
              <w:pStyle w:val="TableText0"/>
              <w:spacing w:before="20" w:after="20"/>
            </w:pPr>
            <w:r>
              <w:t>Association:</w:t>
            </w:r>
          </w:p>
        </w:tc>
        <w:tc>
          <w:tcPr>
            <w:tcW w:w="1555" w:type="dxa"/>
          </w:tcPr>
          <w:p w:rsidR="00FC3493" w:rsidRPr="006316DF" w:rsidRDefault="00FC3493" w:rsidP="00FC3493">
            <w:pPr>
              <w:pStyle w:val="TableText0"/>
              <w:spacing w:before="20" w:after="20"/>
            </w:pPr>
            <w:r>
              <w:t>Not estimable</w:t>
            </w:r>
          </w:p>
        </w:tc>
        <w:tc>
          <w:tcPr>
            <w:tcW w:w="2409" w:type="dxa"/>
          </w:tcPr>
          <w:p w:rsidR="00FC3493" w:rsidRPr="006316DF" w:rsidRDefault="00FC3493" w:rsidP="00FC3493">
            <w:pPr>
              <w:pStyle w:val="TableText0"/>
              <w:spacing w:before="20" w:after="20"/>
            </w:pPr>
            <w:r w:rsidRPr="006316DF">
              <w:t xml:space="preserve">The WHO FC did not worsen for any </w:t>
            </w:r>
            <w:r>
              <w:t>patient during the study period</w:t>
            </w:r>
          </w:p>
        </w:tc>
        <w:tc>
          <w:tcPr>
            <w:tcW w:w="1134" w:type="dxa"/>
          </w:tcPr>
          <w:p w:rsidR="00FC3493" w:rsidRPr="006316DF" w:rsidRDefault="00FC3493" w:rsidP="00FC3493">
            <w:pPr>
              <w:pStyle w:val="TableText0"/>
              <w:spacing w:before="20" w:after="20"/>
            </w:pPr>
            <w:r>
              <w:t>Low</w:t>
            </w:r>
          </w:p>
          <w:p w:rsidR="00FC3493" w:rsidRPr="006316DF" w:rsidRDefault="00FC3493" w:rsidP="00FC3493">
            <w:pPr>
              <w:pStyle w:val="TableText0"/>
              <w:spacing w:before="20" w:after="20"/>
              <w:rPr>
                <w:bCs/>
              </w:rPr>
            </w:pPr>
            <w:r w:rsidRPr="006316DF">
              <w:rPr>
                <w:rFonts w:ascii="Cambria Math" w:hAnsi="Cambria Math" w:cs="Cambria Math"/>
                <w:bCs/>
                <w:color w:val="00B050"/>
              </w:rPr>
              <w:t>⨁⨁</w:t>
            </w:r>
            <w:r w:rsidRPr="006316DF">
              <w:rPr>
                <w:rFonts w:ascii="Cambria Math" w:hAnsi="Cambria Math" w:cs="Cambria Math"/>
                <w:bCs/>
                <w:color w:val="C00000"/>
              </w:rPr>
              <w:t>⨀⨀</w:t>
            </w:r>
          </w:p>
          <w:p w:rsidR="00FC3493" w:rsidRPr="006316DF" w:rsidRDefault="00FC3493" w:rsidP="00FC3493">
            <w:pPr>
              <w:pStyle w:val="TableText0"/>
              <w:spacing w:before="20" w:after="20"/>
            </w:pPr>
            <w:r w:rsidRPr="006316DF">
              <w:t>Important</w:t>
            </w:r>
          </w:p>
        </w:tc>
      </w:tr>
      <w:tr w:rsidR="00FC3493" w:rsidRPr="006316DF" w:rsidTr="00796F18">
        <w:tc>
          <w:tcPr>
            <w:tcW w:w="1560" w:type="dxa"/>
          </w:tcPr>
          <w:p w:rsidR="00FC3493" w:rsidRPr="006316DF" w:rsidRDefault="00FC3493" w:rsidP="00FC3493">
            <w:pPr>
              <w:pStyle w:val="TableText0"/>
              <w:spacing w:before="20" w:after="20"/>
            </w:pPr>
            <w:r w:rsidRPr="006316DF">
              <w:t>Change in 6MWD</w:t>
            </w:r>
            <w:r>
              <w:t xml:space="preserve"> from baseline</w:t>
            </w:r>
          </w:p>
        </w:tc>
        <w:tc>
          <w:tcPr>
            <w:tcW w:w="1275" w:type="dxa"/>
          </w:tcPr>
          <w:p w:rsidR="00FC3493" w:rsidRPr="006316DF" w:rsidRDefault="00FC3493" w:rsidP="00FC3493">
            <w:pPr>
              <w:pStyle w:val="TableText0"/>
              <w:spacing w:before="20" w:after="20"/>
            </w:pPr>
            <w:r w:rsidRPr="006316DF">
              <w:t>N=73</w:t>
            </w:r>
          </w:p>
          <w:p w:rsidR="00FC3493" w:rsidRPr="006316DF" w:rsidRDefault="00FC3493" w:rsidP="00FC3493">
            <w:pPr>
              <w:pStyle w:val="TableText0"/>
              <w:spacing w:before="20" w:after="20"/>
            </w:pPr>
            <w:r w:rsidRPr="006316DF">
              <w:t>k=</w:t>
            </w:r>
            <w:r>
              <w:t>2</w:t>
            </w:r>
            <w:r w:rsidRPr="006316DF">
              <w:t xml:space="preserve"> RCT</w:t>
            </w:r>
            <w:r>
              <w:t>s</w:t>
            </w:r>
          </w:p>
        </w:tc>
        <w:tc>
          <w:tcPr>
            <w:tcW w:w="1701" w:type="dxa"/>
          </w:tcPr>
          <w:p w:rsidR="00FC3493" w:rsidRPr="006316DF" w:rsidRDefault="00FC3493" w:rsidP="00FC3493">
            <w:pPr>
              <w:pStyle w:val="TableText0"/>
              <w:spacing w:before="20" w:after="20"/>
            </w:pPr>
            <w:r w:rsidRPr="006316DF">
              <w:t xml:space="preserve">Risk of bias: </w:t>
            </w:r>
            <w:r>
              <w:t>−</w:t>
            </w:r>
            <w:r w:rsidRPr="006316DF">
              <w:t>1</w:t>
            </w:r>
          </w:p>
          <w:p w:rsidR="00FC3493" w:rsidRPr="006316DF" w:rsidRDefault="00FC3493" w:rsidP="00FC3493">
            <w:pPr>
              <w:pStyle w:val="TableText0"/>
              <w:spacing w:before="20" w:after="20"/>
            </w:pPr>
            <w:r w:rsidRPr="006316DF">
              <w:t>Inconsistency: 0</w:t>
            </w:r>
          </w:p>
          <w:p w:rsidR="00FC3493" w:rsidRPr="006316DF" w:rsidRDefault="00FC3493" w:rsidP="00FC3493">
            <w:pPr>
              <w:pStyle w:val="TableText0"/>
              <w:spacing w:before="20" w:after="20"/>
            </w:pPr>
            <w:r w:rsidRPr="006316DF">
              <w:t xml:space="preserve">Indirectness: </w:t>
            </w:r>
            <w:r>
              <w:t>−1</w:t>
            </w:r>
          </w:p>
          <w:p w:rsidR="00FC3493" w:rsidRDefault="00FC3493" w:rsidP="00FC3493">
            <w:pPr>
              <w:pStyle w:val="TableText0"/>
              <w:spacing w:before="20" w:after="20"/>
            </w:pPr>
            <w:r w:rsidRPr="006316DF">
              <w:t>Imprecision: 0</w:t>
            </w:r>
          </w:p>
          <w:p w:rsidR="00FC3493" w:rsidRDefault="00FC3493" w:rsidP="00FC3493">
            <w:pPr>
              <w:pStyle w:val="TableText0"/>
              <w:spacing w:before="20" w:after="20"/>
            </w:pPr>
            <w:r w:rsidRPr="006316DF">
              <w:t>Publication bias: 0</w:t>
            </w:r>
          </w:p>
          <w:p w:rsidR="00FC3493" w:rsidRPr="006316DF" w:rsidRDefault="00FC3493" w:rsidP="00FC3493">
            <w:pPr>
              <w:pStyle w:val="TableText0"/>
              <w:spacing w:before="20" w:after="20"/>
            </w:pPr>
            <w:r>
              <w:t>Association: 0</w:t>
            </w:r>
          </w:p>
        </w:tc>
        <w:tc>
          <w:tcPr>
            <w:tcW w:w="1555" w:type="dxa"/>
          </w:tcPr>
          <w:p w:rsidR="00FC3493" w:rsidRPr="006316DF" w:rsidRDefault="00FC3493" w:rsidP="00FC3493">
            <w:pPr>
              <w:pStyle w:val="TableText0"/>
              <w:spacing w:before="20" w:after="20"/>
            </w:pPr>
            <w:r w:rsidRPr="006C17EE">
              <w:rPr>
                <w:rFonts w:eastAsiaTheme="minorEastAsia"/>
              </w:rPr>
              <w:t xml:space="preserve">Range </w:t>
            </w:r>
            <w:r w:rsidR="00A17B9D">
              <w:rPr>
                <w:rFonts w:eastAsiaTheme="minorEastAsia"/>
                <w:noProof/>
                <w:color w:val="000000"/>
                <w:highlight w:val="black"/>
              </w:rPr>
              <w:t>''''''''''''''''''''''''' ''''''</w:t>
            </w:r>
            <w:r w:rsidRPr="006C17EE">
              <w:rPr>
                <w:rFonts w:eastAsiaTheme="minorEastAsia"/>
              </w:rPr>
              <w:t xml:space="preserve"> further</w:t>
            </w:r>
          </w:p>
        </w:tc>
        <w:tc>
          <w:tcPr>
            <w:tcW w:w="2409" w:type="dxa"/>
          </w:tcPr>
          <w:p w:rsidR="00FC3493" w:rsidRPr="006316DF" w:rsidRDefault="00FC3493" w:rsidP="00FC3493">
            <w:pPr>
              <w:pStyle w:val="TableText0"/>
              <w:spacing w:before="20" w:after="20"/>
            </w:pPr>
            <w:r w:rsidRPr="006C17EE">
              <w:t xml:space="preserve">Patients treated with a PDE-5 inhibitor had a larger improvement in </w:t>
            </w:r>
            <w:r w:rsidRPr="00703136">
              <w:t xml:space="preserve">6MWD </w:t>
            </w:r>
            <w:r w:rsidRPr="006C17EE">
              <w:t>compared with those on placebo</w:t>
            </w:r>
            <w:r w:rsidR="00DD704F" w:rsidRPr="00DD704F">
              <w:t xml:space="preserve">, and the difference was clinically important in </w:t>
            </w:r>
            <w:r w:rsidR="00A17B9D">
              <w:rPr>
                <w:noProof/>
                <w:color w:val="000000"/>
                <w:highlight w:val="black"/>
              </w:rPr>
              <w:t>''' '''''''''''''</w:t>
            </w:r>
          </w:p>
        </w:tc>
        <w:tc>
          <w:tcPr>
            <w:tcW w:w="1134" w:type="dxa"/>
          </w:tcPr>
          <w:p w:rsidR="00FC3493" w:rsidRPr="006316DF" w:rsidRDefault="00FC3493" w:rsidP="00FC3493">
            <w:pPr>
              <w:pStyle w:val="TableText0"/>
              <w:spacing w:before="20" w:after="20"/>
            </w:pPr>
            <w:r>
              <w:t>Low</w:t>
            </w:r>
          </w:p>
          <w:p w:rsidR="00FC3493" w:rsidRPr="006316DF" w:rsidRDefault="00FC3493" w:rsidP="00FC3493">
            <w:pPr>
              <w:pStyle w:val="TableText0"/>
              <w:spacing w:before="20" w:after="20"/>
              <w:rPr>
                <w:rFonts w:cs="Cambria Math"/>
                <w:bCs/>
              </w:rPr>
            </w:pPr>
            <w:r w:rsidRPr="006316DF">
              <w:rPr>
                <w:rFonts w:ascii="Cambria Math" w:hAnsi="Cambria Math" w:cs="Cambria Math"/>
                <w:bCs/>
                <w:color w:val="00B050"/>
              </w:rPr>
              <w:t>⨁⨁</w:t>
            </w:r>
            <w:r w:rsidRPr="006316DF">
              <w:rPr>
                <w:rFonts w:ascii="Cambria Math" w:hAnsi="Cambria Math" w:cs="Cambria Math"/>
                <w:color w:val="C00000"/>
              </w:rPr>
              <w:t>⨀</w:t>
            </w:r>
            <w:r w:rsidRPr="006316DF">
              <w:rPr>
                <w:rFonts w:ascii="Cambria Math" w:hAnsi="Cambria Math" w:cs="Cambria Math"/>
                <w:bCs/>
                <w:color w:val="C00000"/>
              </w:rPr>
              <w:t>⨀</w:t>
            </w:r>
          </w:p>
          <w:p w:rsidR="00FC3493" w:rsidRPr="006316DF" w:rsidRDefault="00FC3493" w:rsidP="00FC3493">
            <w:pPr>
              <w:pStyle w:val="TableText0"/>
              <w:spacing w:before="20" w:after="20"/>
            </w:pPr>
            <w:r>
              <w:t>I</w:t>
            </w:r>
            <w:r w:rsidRPr="006316DF">
              <w:t>mportant</w:t>
            </w:r>
          </w:p>
        </w:tc>
      </w:tr>
    </w:tbl>
    <w:p w:rsidR="0075777C" w:rsidRPr="006316DF" w:rsidRDefault="0075777C" w:rsidP="00BC5A2B">
      <w:pPr>
        <w:pStyle w:val="Tablenote"/>
      </w:pPr>
      <w:r w:rsidRPr="006316DF">
        <w:rPr>
          <w:vertAlign w:val="superscript"/>
        </w:rPr>
        <w:t xml:space="preserve">a </w:t>
      </w:r>
      <w:r w:rsidRPr="006316DF">
        <w:t>GRADE Working Group grades of evidence</w:t>
      </w:r>
      <w:r w:rsidR="001D34EE" w:rsidRPr="001D34EE">
        <w:rPr>
          <w:noProof/>
          <w:vertAlign w:val="superscript"/>
        </w:rPr>
        <w:t>1</w:t>
      </w:r>
    </w:p>
    <w:p w:rsidR="007C2D99" w:rsidRPr="006316DF" w:rsidRDefault="007C2D99" w:rsidP="007C2D99">
      <w:pPr>
        <w:pStyle w:val="Tablenote"/>
      </w:pPr>
      <w:r w:rsidRPr="006316DF">
        <w:rPr>
          <w:rFonts w:ascii="Cambria Math" w:hAnsi="Cambria Math" w:cs="Cambria Math"/>
          <w:color w:val="00B050"/>
        </w:rPr>
        <w:lastRenderedPageBreak/>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75777C" w:rsidRDefault="0075777C" w:rsidP="00BC5A2B">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Very low quality:</w:t>
      </w:r>
      <w:r w:rsidRPr="006316DF">
        <w:t xml:space="preserve"> We have very little confidence in the effect estimate: The true effect is likely to be substantially different from the estimate of effect</w:t>
      </w:r>
    </w:p>
    <w:p w:rsidR="0075777C" w:rsidRPr="006316DF" w:rsidRDefault="0075777C" w:rsidP="00BC5A2B">
      <w:pPr>
        <w:pStyle w:val="Tablenote"/>
      </w:pPr>
      <w:r>
        <w:t xml:space="preserve">6MWD = 6-minute </w:t>
      </w:r>
      <w:r w:rsidR="0082368E">
        <w:t>walk distance</w:t>
      </w:r>
      <w:r>
        <w:t xml:space="preserve">; CI = confidence interval; FC = functional class; </w:t>
      </w:r>
      <w:r w:rsidR="00385E5A">
        <w:t>GRADE = grading of recommendations assessment, development and evaluation</w:t>
      </w:r>
      <w:r w:rsidR="001D34EE" w:rsidRPr="001D34EE">
        <w:rPr>
          <w:noProof/>
          <w:vertAlign w:val="superscript"/>
        </w:rPr>
        <w:t>1</w:t>
      </w:r>
      <w:r w:rsidR="008E6DA8" w:rsidRPr="00DC16A3">
        <w:t xml:space="preserve">; </w:t>
      </w:r>
      <w:r w:rsidR="008E6DA8">
        <w:t xml:space="preserve">k = number of studies; </w:t>
      </w:r>
      <w:r>
        <w:t>N = number of patients; PDE-5 = p</w:t>
      </w:r>
      <w:r w:rsidRPr="00107676">
        <w:t>hosphodiesterase</w:t>
      </w:r>
      <w:r>
        <w:t xml:space="preserve"> type 5; RCT = randomised controlled trial; RR = relative risk; WHO = World Health Organization</w:t>
      </w:r>
    </w:p>
    <w:p w:rsidR="0075777C" w:rsidRDefault="0075777C" w:rsidP="0075777C">
      <w:pPr>
        <w:pStyle w:val="Heading5"/>
      </w:pPr>
      <w:r w:rsidRPr="006316DF">
        <w:t>Safety</w:t>
      </w:r>
    </w:p>
    <w:p w:rsidR="0075777C" w:rsidRPr="00CF2F31" w:rsidRDefault="00F9638D" w:rsidP="0075777C">
      <w:r w:rsidRPr="00F9638D">
        <w:t>No conclusions about the comparative safety of a PDE-5 inhibitor versus placebo in patients with WHO FC I/II PAH could be made due to a lack of evidence.</w:t>
      </w:r>
    </w:p>
    <w:p w:rsidR="0075777C" w:rsidRPr="006316DF" w:rsidRDefault="00441F08" w:rsidP="0075777C">
      <w:pPr>
        <w:pStyle w:val="Heading4"/>
      </w:pPr>
      <w:r>
        <w:t>4.5.1.3</w:t>
      </w:r>
      <w:r>
        <w:tab/>
      </w:r>
      <w:r w:rsidR="0075777C" w:rsidRPr="006316DF">
        <w:t>Prostanoid versus placebo</w:t>
      </w:r>
    </w:p>
    <w:p w:rsidR="0075777C" w:rsidRDefault="00F9638D" w:rsidP="0075777C">
      <w:r w:rsidRPr="00F9638D">
        <w:t>There was no evidence to inform on the safety and effectiveness of prostanoids in treating patients with WHO FC I/II PAH.</w:t>
      </w:r>
    </w:p>
    <w:p w:rsidR="0075777C" w:rsidRPr="006316DF" w:rsidRDefault="000E0079" w:rsidP="0075777C">
      <w:pPr>
        <w:pStyle w:val="Heading4"/>
      </w:pPr>
      <w:r>
        <w:t>4.5.1.4</w:t>
      </w:r>
      <w:r>
        <w:tab/>
      </w:r>
      <w:r w:rsidR="0075777C">
        <w:t>sGC stimulator</w:t>
      </w:r>
      <w:r w:rsidR="0075777C" w:rsidRPr="006A4CC2">
        <w:t xml:space="preserve"> </w:t>
      </w:r>
      <w:r w:rsidR="0075777C" w:rsidRPr="006316DF">
        <w:t>versus placebo</w:t>
      </w:r>
    </w:p>
    <w:p w:rsidR="0075777C" w:rsidRPr="006316DF" w:rsidRDefault="0075777C" w:rsidP="0075777C">
      <w:pPr>
        <w:pStyle w:val="Heading5"/>
      </w:pPr>
      <w:r w:rsidRPr="006316DF">
        <w:t>Clinical effectiveness</w:t>
      </w:r>
    </w:p>
    <w:p w:rsidR="0075777C" w:rsidRPr="00796F18" w:rsidRDefault="0075777C" w:rsidP="0075777C">
      <w:r w:rsidRPr="006316DF">
        <w:t xml:space="preserve">The evidence for the </w:t>
      </w:r>
      <w:r>
        <w:t>sGC stimulators</w:t>
      </w:r>
      <w:r w:rsidRPr="006A4CC2">
        <w:t xml:space="preserve"> </w:t>
      </w:r>
      <w:r w:rsidRPr="006316DF">
        <w:t>comes from a single RCT</w:t>
      </w:r>
      <w:r w:rsidR="001D34EE" w:rsidRPr="001D34EE">
        <w:rPr>
          <w:noProof/>
          <w:vertAlign w:val="superscript"/>
        </w:rPr>
        <w:t>23</w:t>
      </w:r>
      <w:r w:rsidRPr="006316DF">
        <w:t>. The GRADE</w:t>
      </w:r>
      <w:r w:rsidR="001D34EE" w:rsidRPr="001D34EE">
        <w:rPr>
          <w:noProof/>
          <w:vertAlign w:val="superscript"/>
        </w:rPr>
        <w:t>1</w:t>
      </w:r>
      <w:r w:rsidRPr="006316DF">
        <w:t xml:space="preserve"> assessments of the outcomes when comparing a </w:t>
      </w:r>
      <w:r>
        <w:t>sGC stimulator</w:t>
      </w:r>
      <w:r w:rsidRPr="006A4CC2">
        <w:t xml:space="preserve"> </w:t>
      </w:r>
      <w:r w:rsidRPr="006316DF">
        <w:t xml:space="preserve">with placebo are reported in </w:t>
      </w:r>
      <w:r w:rsidR="00AA722D">
        <w:t>Table 4.</w:t>
      </w:r>
      <w:r w:rsidR="00AA722D">
        <w:rPr>
          <w:noProof/>
        </w:rPr>
        <w:t>148</w:t>
      </w:r>
      <w:r>
        <w:t xml:space="preserve"> </w:t>
      </w:r>
      <w:r w:rsidR="00DA2636">
        <w:t>in Appendix 4</w:t>
      </w:r>
      <w:r w:rsidR="001B552D">
        <w:t>C</w:t>
      </w:r>
      <w:r w:rsidRPr="006316DF">
        <w:t xml:space="preserve">. A summary of these results is provided in </w:t>
      </w:r>
      <w:r w:rsidR="00FB0A80">
        <w:t>Table 4.122</w:t>
      </w:r>
      <w:r w:rsidRPr="006316DF">
        <w:t xml:space="preserve">. The evidence base for all outcomes was considered to be of high quality (GRADE </w:t>
      </w:r>
      <w:r w:rsidRPr="008727D6">
        <w:rPr>
          <w:rFonts w:ascii="Cambria Math" w:eastAsia="Times New Roman" w:hAnsi="Cambria Math" w:cs="Tahoma"/>
          <w:bCs/>
          <w:color w:val="00B050"/>
        </w:rPr>
        <w:t>⨁⨁⨁⨁</w:t>
      </w:r>
      <w:r w:rsidRPr="00796F18">
        <w:t xml:space="preserve">). Thus, the true effect of treating WHO FC I/II PAH with an </w:t>
      </w:r>
      <w:r w:rsidR="00F05E1B">
        <w:t>sGC stimulator</w:t>
      </w:r>
      <w:r w:rsidRPr="00796F18">
        <w:t xml:space="preserve"> compared with placebo is likely to be close to the reported point estimate.</w:t>
      </w:r>
    </w:p>
    <w:p w:rsidR="0075777C" w:rsidRPr="00F25F74" w:rsidRDefault="0075777C" w:rsidP="0075777C">
      <w:r w:rsidRPr="00F25F74">
        <w:t xml:space="preserve">When taking GRADE into account, the evidence favouring the use of a sGC stimulator over placebo </w:t>
      </w:r>
      <w:r w:rsidR="00A17B9D">
        <w:rPr>
          <w:noProof/>
          <w:color w:val="000000"/>
          <w:highlight w:val="black"/>
        </w:rPr>
        <w:t>''''''' '''''''''''''''''''''' '''''''''''''''''' ''''' ''''''' ''''''' ''''''''''''''''''' '''' '''''''''''''''''''' ''''''''''''''''''''' '''' ''''''''''' ''''''</w:t>
      </w:r>
      <w:r w:rsidRPr="00F25F74">
        <w:t xml:space="preserve"> There was also </w:t>
      </w:r>
      <w:r w:rsidR="00A17B9D">
        <w:rPr>
          <w:noProof/>
          <w:color w:val="000000"/>
          <w:highlight w:val="black"/>
        </w:rPr>
        <w:t>''' ''''''''''''''' '''''''''''''''''''</w:t>
      </w:r>
      <w:r w:rsidRPr="00F25F74">
        <w:t xml:space="preserve"> placebo-adjusted mean difference </w:t>
      </w:r>
      <w:r w:rsidR="00A17B9D">
        <w:rPr>
          <w:noProof/>
          <w:color w:val="000000"/>
          <w:highlight w:val="black"/>
        </w:rPr>
        <w:t>'''' '''''''''''''''''''''''''''</w:t>
      </w:r>
      <w:r w:rsidRPr="00F25F74">
        <w:t xml:space="preserve"> of the haemodynamic parameter, PVR. There was </w:t>
      </w:r>
      <w:r w:rsidR="00A17B9D">
        <w:rPr>
          <w:noProof/>
          <w:color w:val="000000"/>
          <w:highlight w:val="black"/>
        </w:rPr>
        <w:t>'''''' '''''''''''''''''</w:t>
      </w:r>
      <w:r w:rsidRPr="00F25F74">
        <w:t xml:space="preserve"> to determine whether treatment with an sGC stimulator prevents hospitalisation. This was also true for preventing mortality </w:t>
      </w:r>
      <w:r w:rsidR="00A17B9D">
        <w:rPr>
          <w:noProof/>
          <w:color w:val="000000"/>
          <w:highlight w:val="black"/>
        </w:rPr>
        <w:t>'''' '''''''' '''''''' ''''''''''''''' ''''''' '''''' '''''''''''''''''''' ''''''''''''''''''''' '''''''''</w:t>
      </w:r>
      <w:r w:rsidRPr="00F25F74">
        <w:t xml:space="preserve"> over the 12-week study period. There was </w:t>
      </w:r>
      <w:r w:rsidR="00A17B9D">
        <w:rPr>
          <w:noProof/>
          <w:color w:val="000000"/>
          <w:highlight w:val="black"/>
        </w:rPr>
        <w:t>''''''''' '''''''''''''''''''' '''''''' ''''' '''''' '''''''''' '''''''</w:t>
      </w:r>
      <w:r w:rsidRPr="00F25F74">
        <w:t xml:space="preserve"> for the remaining outcomes. Giv</w:t>
      </w:r>
      <w:r w:rsidR="00B050ED">
        <w:t>en the short study period of 12 </w:t>
      </w:r>
      <w:r w:rsidRPr="00F25F74">
        <w:t xml:space="preserve">weeks, the study was </w:t>
      </w:r>
      <w:r w:rsidR="00A17B9D">
        <w:rPr>
          <w:noProof/>
          <w:color w:val="000000"/>
          <w:highlight w:val="black"/>
        </w:rPr>
        <w:t>''''''''' '''''''''' '''''''''''''''''''''''''''''' '''' ''''''''''' ''' '''''''' '''''''''''' ''''' '''' '''''''''''''''''''''</w:t>
      </w:r>
    </w:p>
    <w:p w:rsidR="0075777C" w:rsidRPr="006316DF" w:rsidRDefault="00796F18" w:rsidP="0075777C">
      <w:r w:rsidRPr="00796F18">
        <w:t xml:space="preserve">Thus, there is </w:t>
      </w:r>
      <w:r w:rsidR="00A17B9D">
        <w:rPr>
          <w:noProof/>
          <w:color w:val="000000"/>
          <w:highlight w:val="black"/>
        </w:rPr>
        <w:t>''''''''''''''''''''''' ''''''''''''''''''''''</w:t>
      </w:r>
      <w:r w:rsidRPr="00796F18">
        <w:t xml:space="preserve"> as to whether the use of a sGC stimulator medication to treat patients with</w:t>
      </w:r>
      <w:r>
        <w:t xml:space="preserve"> WHO FC I/II PAH </w:t>
      </w:r>
      <w:r w:rsidR="00A17B9D">
        <w:rPr>
          <w:noProof/>
          <w:color w:val="000000"/>
          <w:highlight w:val="black"/>
        </w:rPr>
        <w:t>''' '''''''''''''''''''</w:t>
      </w:r>
      <w:r>
        <w:t>.</w:t>
      </w:r>
    </w:p>
    <w:p w:rsidR="005E60A7" w:rsidRDefault="005E60A7">
      <w:pPr>
        <w:spacing w:before="0" w:line="240" w:lineRule="auto"/>
        <w:rPr>
          <w:rFonts w:ascii="Arial" w:hAnsi="Arial"/>
          <w:b/>
          <w:iCs/>
          <w:sz w:val="20"/>
          <w:szCs w:val="18"/>
        </w:rPr>
      </w:pPr>
      <w:bookmarkStart w:id="344" w:name="_Ref501370028"/>
      <w:r>
        <w:br w:type="page"/>
      </w:r>
    </w:p>
    <w:p w:rsidR="0075777C" w:rsidRPr="006316DF" w:rsidRDefault="00272F8F" w:rsidP="00BC5A2B">
      <w:pPr>
        <w:pStyle w:val="Caption"/>
        <w:rPr>
          <w:noProof/>
          <w:snapToGrid w:val="0"/>
        </w:rPr>
      </w:pPr>
      <w:bookmarkStart w:id="345" w:name="_Toc512855526"/>
      <w:r>
        <w:lastRenderedPageBreak/>
        <w:t>Table 4.</w:t>
      </w:r>
      <w:r w:rsidR="00AA722D">
        <w:rPr>
          <w:noProof/>
        </w:rPr>
        <w:t>122</w:t>
      </w:r>
      <w:bookmarkEnd w:id="344"/>
      <w:r w:rsidR="00796F18">
        <w:tab/>
      </w:r>
      <w:r w:rsidR="0075777C" w:rsidRPr="006316DF">
        <w:rPr>
          <w:noProof/>
          <w:snapToGrid w:val="0"/>
        </w:rPr>
        <w:t xml:space="preserve">Balance of clinical benefits and harms of </w:t>
      </w:r>
      <w:r w:rsidR="007E59EC">
        <w:rPr>
          <w:noProof/>
          <w:snapToGrid w:val="0"/>
        </w:rPr>
        <w:t xml:space="preserve">a </w:t>
      </w:r>
      <w:r w:rsidR="0075777C">
        <w:rPr>
          <w:noProof/>
          <w:snapToGrid w:val="0"/>
        </w:rPr>
        <w:t>sGC stimulator</w:t>
      </w:r>
      <w:r w:rsidR="0075777C" w:rsidRPr="006316DF">
        <w:rPr>
          <w:noProof/>
          <w:snapToGrid w:val="0"/>
        </w:rPr>
        <w:t>, relative to placebo</w:t>
      </w:r>
      <w:bookmarkEnd w:id="345"/>
    </w:p>
    <w:tbl>
      <w:tblPr>
        <w:tblStyle w:val="TableGrid"/>
        <w:tblW w:w="9634" w:type="dxa"/>
        <w:tblLayout w:type="fixed"/>
        <w:tblLook w:val="04A0" w:firstRow="1" w:lastRow="0" w:firstColumn="1" w:lastColumn="0" w:noHBand="0" w:noVBand="1"/>
        <w:tblCaption w:val="Balance of clinical benefits and harms of a sGC stimulator, relative to placebo"/>
      </w:tblPr>
      <w:tblGrid>
        <w:gridCol w:w="1560"/>
        <w:gridCol w:w="1275"/>
        <w:gridCol w:w="1701"/>
        <w:gridCol w:w="1555"/>
        <w:gridCol w:w="2409"/>
        <w:gridCol w:w="1134"/>
      </w:tblGrid>
      <w:tr w:rsidR="0075777C" w:rsidRPr="00796F18" w:rsidTr="00796F18">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796F18" w:rsidRDefault="0075777C" w:rsidP="00796F18">
            <w:pPr>
              <w:pStyle w:val="TableText0"/>
              <w:spacing w:before="20" w:after="20"/>
              <w:rPr>
                <w:b/>
                <w:noProof/>
              </w:rPr>
            </w:pPr>
            <w:r w:rsidRPr="00796F18">
              <w:rPr>
                <w:b/>
                <w:noProof/>
              </w:rPr>
              <w:t xml:space="preserve">Outcomes </w:t>
            </w:r>
          </w:p>
        </w:tc>
        <w:tc>
          <w:tcPr>
            <w:tcW w:w="1275" w:type="dxa"/>
          </w:tcPr>
          <w:p w:rsidR="0075777C" w:rsidRPr="00796F18" w:rsidRDefault="0075777C" w:rsidP="00796F18">
            <w:pPr>
              <w:pStyle w:val="TableText0"/>
              <w:spacing w:before="20" w:after="20"/>
              <w:rPr>
                <w:b/>
                <w:noProof/>
              </w:rPr>
            </w:pPr>
            <w:r w:rsidRPr="00796F18">
              <w:rPr>
                <w:b/>
                <w:noProof/>
              </w:rPr>
              <w:t>Participants (studies)</w:t>
            </w:r>
          </w:p>
        </w:tc>
        <w:tc>
          <w:tcPr>
            <w:tcW w:w="1701" w:type="dxa"/>
          </w:tcPr>
          <w:p w:rsidR="0075777C" w:rsidRPr="00796F18" w:rsidRDefault="0075777C" w:rsidP="00796F18">
            <w:pPr>
              <w:pStyle w:val="TableText0"/>
              <w:spacing w:before="20" w:after="20"/>
              <w:rPr>
                <w:b/>
                <w:noProof/>
              </w:rPr>
            </w:pPr>
            <w:r w:rsidRPr="00796F18">
              <w:rPr>
                <w:b/>
                <w:noProof/>
              </w:rPr>
              <w:t>Quality of evidence</w:t>
            </w:r>
          </w:p>
        </w:tc>
        <w:tc>
          <w:tcPr>
            <w:tcW w:w="1555" w:type="dxa"/>
          </w:tcPr>
          <w:p w:rsidR="0075777C" w:rsidRPr="00796F18" w:rsidRDefault="0075777C" w:rsidP="00796F18">
            <w:pPr>
              <w:pStyle w:val="TableText0"/>
              <w:spacing w:before="20" w:after="20"/>
              <w:rPr>
                <w:b/>
                <w:noProof/>
              </w:rPr>
            </w:pPr>
            <w:r w:rsidRPr="00796F18">
              <w:rPr>
                <w:b/>
                <w:noProof/>
              </w:rPr>
              <w:t>Results</w:t>
            </w:r>
          </w:p>
        </w:tc>
        <w:tc>
          <w:tcPr>
            <w:tcW w:w="2409" w:type="dxa"/>
          </w:tcPr>
          <w:p w:rsidR="0075777C" w:rsidRPr="00796F18" w:rsidRDefault="0075777C" w:rsidP="00796F18">
            <w:pPr>
              <w:pStyle w:val="TableText0"/>
              <w:spacing w:before="20" w:after="20"/>
              <w:rPr>
                <w:b/>
                <w:noProof/>
              </w:rPr>
            </w:pPr>
            <w:r w:rsidRPr="00796F18">
              <w:rPr>
                <w:b/>
                <w:noProof/>
              </w:rPr>
              <w:t>Interpretation</w:t>
            </w:r>
          </w:p>
        </w:tc>
        <w:tc>
          <w:tcPr>
            <w:tcW w:w="1134" w:type="dxa"/>
          </w:tcPr>
          <w:p w:rsidR="0075777C" w:rsidRPr="00796F18" w:rsidRDefault="0075777C" w:rsidP="00796F18">
            <w:pPr>
              <w:pStyle w:val="TableText0"/>
              <w:spacing w:before="20" w:after="20"/>
              <w:rPr>
                <w:b/>
                <w:noProof/>
              </w:rPr>
            </w:pPr>
            <w:r w:rsidRPr="00796F18">
              <w:rPr>
                <w:b/>
                <w:noProof/>
              </w:rPr>
              <w:t>GRADE</w:t>
            </w:r>
            <w:r w:rsidR="008E6DA8" w:rsidRPr="008E6DA8">
              <w:rPr>
                <w:b/>
                <w:noProof/>
                <w:vertAlign w:val="superscript"/>
              </w:rPr>
              <w:t>a</w:t>
            </w:r>
          </w:p>
          <w:p w:rsidR="0075777C" w:rsidRPr="00796F18" w:rsidRDefault="0075777C" w:rsidP="00796F18">
            <w:pPr>
              <w:pStyle w:val="TableText0"/>
              <w:spacing w:before="20" w:after="20"/>
              <w:rPr>
                <w:b/>
                <w:noProof/>
              </w:rPr>
            </w:pPr>
            <w:r w:rsidRPr="00796F18">
              <w:rPr>
                <w:b/>
                <w:noProof/>
              </w:rPr>
              <w:t>Importance</w:t>
            </w:r>
          </w:p>
        </w:tc>
      </w:tr>
      <w:tr w:rsidR="00FC3493" w:rsidRPr="006316DF" w:rsidTr="00796F18">
        <w:tc>
          <w:tcPr>
            <w:tcW w:w="1560" w:type="dxa"/>
          </w:tcPr>
          <w:p w:rsidR="00FC3493" w:rsidRPr="006316DF" w:rsidRDefault="00FC3493" w:rsidP="00FC3493">
            <w:pPr>
              <w:pStyle w:val="TableText0"/>
              <w:spacing w:before="20" w:after="20"/>
            </w:pPr>
            <w:r w:rsidRPr="006316DF">
              <w:t xml:space="preserve">Clinical worsening </w:t>
            </w:r>
          </w:p>
        </w:tc>
        <w:tc>
          <w:tcPr>
            <w:tcW w:w="1275" w:type="dxa"/>
          </w:tcPr>
          <w:p w:rsidR="00FC3493" w:rsidRPr="006316DF" w:rsidRDefault="00FC3493" w:rsidP="00FC3493">
            <w:pPr>
              <w:pStyle w:val="TableText0"/>
              <w:spacing w:before="20" w:after="20"/>
            </w:pPr>
            <w:r w:rsidRPr="006316DF">
              <w:t>N=107</w:t>
            </w:r>
          </w:p>
          <w:p w:rsidR="00FC3493" w:rsidRPr="006316DF" w:rsidRDefault="00FC3493" w:rsidP="00FC3493">
            <w:pPr>
              <w:pStyle w:val="TableText0"/>
              <w:spacing w:before="20" w:after="20"/>
            </w:pPr>
            <w:r w:rsidRPr="006316DF">
              <w:t>k=1 RCT</w:t>
            </w:r>
          </w:p>
        </w:tc>
        <w:tc>
          <w:tcPr>
            <w:tcW w:w="1701" w:type="dxa"/>
          </w:tcPr>
          <w:p w:rsidR="00FC3493" w:rsidRPr="006316DF" w:rsidRDefault="00FC3493" w:rsidP="00FC3493">
            <w:pPr>
              <w:pStyle w:val="TableText0"/>
              <w:spacing w:before="20" w:after="20"/>
            </w:pPr>
            <w:r w:rsidRPr="006316DF">
              <w:t>Risk of bias: 0</w:t>
            </w:r>
          </w:p>
          <w:p w:rsidR="00FC3493" w:rsidRPr="006316DF" w:rsidRDefault="00FC3493" w:rsidP="00FC3493">
            <w:pPr>
              <w:pStyle w:val="TableText0"/>
              <w:spacing w:before="20" w:after="20"/>
            </w:pPr>
            <w:r w:rsidRPr="006316DF">
              <w:t>Inconsistency: 0</w:t>
            </w:r>
          </w:p>
          <w:p w:rsidR="00FC3493" w:rsidRPr="006316DF" w:rsidRDefault="00FC3493" w:rsidP="00FC3493">
            <w:pPr>
              <w:pStyle w:val="TableText0"/>
              <w:spacing w:before="20" w:after="20"/>
            </w:pPr>
            <w:r w:rsidRPr="006316DF">
              <w:t>Indirectness: 0</w:t>
            </w:r>
          </w:p>
          <w:p w:rsidR="00FC3493" w:rsidRDefault="00FC3493" w:rsidP="00FC3493">
            <w:pPr>
              <w:pStyle w:val="TableText0"/>
              <w:spacing w:before="20" w:after="20"/>
            </w:pPr>
            <w:r w:rsidRPr="006316DF">
              <w:t xml:space="preserve">Imprecision: </w:t>
            </w:r>
            <w:r>
              <w:t>−2</w:t>
            </w:r>
          </w:p>
          <w:p w:rsidR="00FC3493" w:rsidRDefault="00FC3493" w:rsidP="00FC3493">
            <w:pPr>
              <w:pStyle w:val="TableText0"/>
              <w:spacing w:before="20" w:after="20"/>
            </w:pPr>
            <w:r w:rsidRPr="006316DF">
              <w:t>Publication bias: 0</w:t>
            </w:r>
          </w:p>
          <w:p w:rsidR="00FC3493" w:rsidRPr="006316DF" w:rsidRDefault="00FC3493" w:rsidP="00FC3493">
            <w:pPr>
              <w:pStyle w:val="TableText0"/>
              <w:spacing w:before="20" w:after="20"/>
            </w:pPr>
            <w:r>
              <w:t>Association: 0</w:t>
            </w:r>
          </w:p>
        </w:tc>
        <w:tc>
          <w:tcPr>
            <w:tcW w:w="1555" w:type="dxa"/>
          </w:tcPr>
          <w:p w:rsidR="00FC3493" w:rsidRPr="00A17B9D" w:rsidRDefault="00A17B9D" w:rsidP="00FC3493">
            <w:pPr>
              <w:pStyle w:val="TableText0"/>
              <w:spacing w:before="20" w:after="20"/>
              <w:rPr>
                <w:highlight w:val="black"/>
              </w:rPr>
            </w:pPr>
            <w:r>
              <w:rPr>
                <w:noProof/>
                <w:color w:val="000000"/>
                <w:highlight w:val="black"/>
              </w:rPr>
              <w:t>'''''''' ''' ''''''''''' ''''''''''''' ''''' ''''''''''' ''''''''''''</w:t>
            </w:r>
          </w:p>
        </w:tc>
        <w:tc>
          <w:tcPr>
            <w:tcW w:w="2409" w:type="dxa"/>
          </w:tcPr>
          <w:p w:rsidR="00FC3493" w:rsidRPr="00A17B9D" w:rsidRDefault="00A17B9D" w:rsidP="00FC3493">
            <w:pPr>
              <w:pStyle w:val="TableText0"/>
              <w:spacing w:before="20" w:after="20"/>
              <w:rPr>
                <w:highlight w:val="black"/>
              </w:rPr>
            </w:pPr>
            <w:r>
              <w:rPr>
                <w:noProof/>
                <w:color w:val="000000"/>
                <w:highlight w:val="black"/>
              </w:rPr>
              <w:t>''''''''''''''' ''''''''''''''''' ''''''''''' ''''''''''' '''''''''' ''''''''''''''' ''''''''''''' ''''''''''''''' '''''''''' '''' '''''''''' '''''''''''''''''''''''' '''''''''''''''''''''''' ''''''''''' ''''''''''''''''''' '''''''' ''''''' '''''''''' '''''' '''''''''''''''''''''''' ''''''''' '''''''''''' '''''''''' ''''''''''' '''''' ''''''' '''''' ''''''' '''''''''''''''''' '''''''''''''</w:t>
            </w:r>
          </w:p>
        </w:tc>
        <w:tc>
          <w:tcPr>
            <w:tcW w:w="1134" w:type="dxa"/>
          </w:tcPr>
          <w:p w:rsidR="00FC3493" w:rsidRPr="006316DF" w:rsidRDefault="00FC3493" w:rsidP="00FC3493">
            <w:pPr>
              <w:pStyle w:val="TableText0"/>
              <w:spacing w:before="20" w:after="20"/>
            </w:pPr>
            <w:r>
              <w:t>Low</w:t>
            </w:r>
          </w:p>
          <w:p w:rsidR="00FC3493" w:rsidRPr="006316DF" w:rsidRDefault="00FC3493" w:rsidP="00FC3493">
            <w:pPr>
              <w:pStyle w:val="TableText0"/>
              <w:spacing w:before="20" w:after="20"/>
              <w:rPr>
                <w:bCs/>
              </w:rPr>
            </w:pPr>
            <w:r w:rsidRPr="006316DF">
              <w:rPr>
                <w:rFonts w:ascii="Cambria Math" w:hAnsi="Cambria Math" w:cs="Cambria Math"/>
                <w:bCs/>
                <w:color w:val="00B050"/>
              </w:rPr>
              <w:t>⨁⨁</w:t>
            </w:r>
            <w:r w:rsidRPr="006316DF">
              <w:rPr>
                <w:rFonts w:ascii="Cambria Math" w:hAnsi="Cambria Math" w:cs="Cambria Math"/>
                <w:color w:val="C00000"/>
              </w:rPr>
              <w:t>⨀⨀</w:t>
            </w:r>
          </w:p>
          <w:p w:rsidR="00FC3493" w:rsidRPr="006316DF" w:rsidRDefault="00FC3493" w:rsidP="00FC3493">
            <w:pPr>
              <w:pStyle w:val="TableText0"/>
              <w:spacing w:before="20" w:after="20"/>
            </w:pPr>
            <w:r w:rsidRPr="006316DF">
              <w:t>Critical</w:t>
            </w:r>
          </w:p>
        </w:tc>
      </w:tr>
      <w:tr w:rsidR="0075777C" w:rsidRPr="006316DF" w:rsidTr="00796F18">
        <w:tc>
          <w:tcPr>
            <w:tcW w:w="1560" w:type="dxa"/>
          </w:tcPr>
          <w:p w:rsidR="0075777C" w:rsidRPr="00163A1F" w:rsidRDefault="0075777C" w:rsidP="00796F18">
            <w:pPr>
              <w:pStyle w:val="TableText0"/>
              <w:spacing w:before="20" w:after="20"/>
            </w:pPr>
            <w:r w:rsidRPr="00163A1F">
              <w:t>All-cause mortality</w:t>
            </w:r>
          </w:p>
        </w:tc>
        <w:tc>
          <w:tcPr>
            <w:tcW w:w="1275" w:type="dxa"/>
          </w:tcPr>
          <w:p w:rsidR="0075777C" w:rsidRPr="006316DF" w:rsidRDefault="0075777C" w:rsidP="00796F18">
            <w:pPr>
              <w:pStyle w:val="TableText0"/>
              <w:spacing w:before="20" w:after="20"/>
            </w:pPr>
            <w:r w:rsidRPr="006316DF">
              <w:t>N=107</w:t>
            </w:r>
          </w:p>
          <w:p w:rsidR="0075777C" w:rsidRPr="006316DF" w:rsidRDefault="0075777C" w:rsidP="00796F18">
            <w:pPr>
              <w:pStyle w:val="TableText0"/>
              <w:spacing w:before="20" w:after="20"/>
            </w:pPr>
            <w:r w:rsidRPr="006316DF">
              <w:t>k=1 RCT</w:t>
            </w:r>
          </w:p>
        </w:tc>
        <w:tc>
          <w:tcPr>
            <w:tcW w:w="1701" w:type="dxa"/>
          </w:tcPr>
          <w:p w:rsidR="0075777C" w:rsidRPr="006316DF" w:rsidRDefault="0075777C" w:rsidP="00796F18">
            <w:pPr>
              <w:pStyle w:val="TableText0"/>
              <w:spacing w:before="20" w:after="20"/>
            </w:pPr>
            <w:r w:rsidRPr="006316DF">
              <w:t>Risk of bias: 0</w:t>
            </w:r>
          </w:p>
          <w:p w:rsidR="0075777C" w:rsidRPr="006316DF" w:rsidRDefault="0075777C" w:rsidP="00796F18">
            <w:pPr>
              <w:pStyle w:val="TableText0"/>
              <w:spacing w:before="20" w:after="20"/>
            </w:pPr>
            <w:r w:rsidRPr="006316DF">
              <w:t>Inconsistency: 0</w:t>
            </w:r>
          </w:p>
          <w:p w:rsidR="0075777C" w:rsidRPr="006316DF" w:rsidRDefault="0075777C" w:rsidP="00796F18">
            <w:pPr>
              <w:pStyle w:val="TableText0"/>
              <w:spacing w:before="20" w:after="20"/>
            </w:pPr>
            <w:r w:rsidRPr="006316DF">
              <w:t>Indirectness: 0</w:t>
            </w:r>
          </w:p>
          <w:p w:rsidR="00FC3493" w:rsidRDefault="0075777C" w:rsidP="00796F18">
            <w:pPr>
              <w:pStyle w:val="TableText0"/>
              <w:spacing w:before="20" w:after="20"/>
            </w:pPr>
            <w:r w:rsidRPr="006316DF">
              <w:t>Imprecision: 0</w:t>
            </w:r>
          </w:p>
          <w:p w:rsidR="0075777C" w:rsidRDefault="0075777C" w:rsidP="00796F18">
            <w:pPr>
              <w:pStyle w:val="TableText0"/>
              <w:spacing w:before="20" w:after="20"/>
            </w:pPr>
            <w:r w:rsidRPr="006316DF">
              <w:t>Publication bias: 0</w:t>
            </w:r>
          </w:p>
          <w:p w:rsidR="0075777C" w:rsidRPr="006316DF" w:rsidRDefault="0075777C" w:rsidP="00796F18">
            <w:pPr>
              <w:pStyle w:val="TableText0"/>
              <w:spacing w:before="20" w:after="20"/>
            </w:pPr>
            <w:r>
              <w:t>Association: 0</w:t>
            </w:r>
          </w:p>
        </w:tc>
        <w:tc>
          <w:tcPr>
            <w:tcW w:w="1555" w:type="dxa"/>
          </w:tcPr>
          <w:p w:rsidR="0075777C" w:rsidRPr="00A17B9D" w:rsidRDefault="00A17B9D" w:rsidP="004B668A">
            <w:pPr>
              <w:pStyle w:val="TableText0"/>
              <w:spacing w:before="20" w:after="20"/>
              <w:rPr>
                <w:highlight w:val="black"/>
              </w:rPr>
            </w:pPr>
            <w:r>
              <w:rPr>
                <w:rFonts w:eastAsiaTheme="minorEastAsia"/>
                <w:noProof/>
                <w:color w:val="000000"/>
                <w:highlight w:val="black"/>
              </w:rPr>
              <w:t>''''''''''' '''' '''''''''''' ''''''''''''' '''''' '''''''''''' ''''''''''</w:t>
            </w:r>
          </w:p>
        </w:tc>
        <w:tc>
          <w:tcPr>
            <w:tcW w:w="2409" w:type="dxa"/>
          </w:tcPr>
          <w:p w:rsidR="0075777C" w:rsidRPr="00A17B9D" w:rsidRDefault="00A17B9D" w:rsidP="00796F18">
            <w:pPr>
              <w:pStyle w:val="TableText0"/>
              <w:spacing w:before="20" w:after="20"/>
              <w:rPr>
                <w:highlight w:val="black"/>
              </w:rPr>
            </w:pPr>
            <w:r>
              <w:rPr>
                <w:noProof/>
                <w:color w:val="000000"/>
                <w:highlight w:val="black"/>
              </w:rPr>
              <w:t>'''''''''' ''''''''' '''''''''''''''' '''''''''' '''' '''''''' ''''''''''''' '''''''''''''''''''''' ''''''''''''''' ''''''''' '''''''' '''''''''''''''''''''''' '''''''''' ''''''' '''''''''''''''''''''''''''' ''''''''''''''''''''''' ''''' ''' '''''''''''''</w:t>
            </w:r>
          </w:p>
        </w:tc>
        <w:tc>
          <w:tcPr>
            <w:tcW w:w="1134" w:type="dxa"/>
          </w:tcPr>
          <w:p w:rsidR="0075777C" w:rsidRPr="006316DF" w:rsidRDefault="0075777C" w:rsidP="00796F18">
            <w:pPr>
              <w:pStyle w:val="TableText0"/>
              <w:spacing w:before="20" w:after="20"/>
            </w:pPr>
            <w:r w:rsidRPr="006316DF">
              <w:t>High</w:t>
            </w:r>
          </w:p>
          <w:p w:rsidR="0075777C" w:rsidRPr="006316DF" w:rsidRDefault="0075777C" w:rsidP="00796F18">
            <w:pPr>
              <w:pStyle w:val="TableText0"/>
              <w:spacing w:before="20" w:after="20"/>
              <w:rPr>
                <w:bCs/>
              </w:rPr>
            </w:pPr>
            <w:r w:rsidRPr="006316DF">
              <w:rPr>
                <w:rFonts w:ascii="Cambria Math" w:hAnsi="Cambria Math" w:cs="Cambria Math"/>
                <w:bCs/>
                <w:color w:val="00B050"/>
              </w:rPr>
              <w:t>⨁⨁⨁⨁</w:t>
            </w:r>
          </w:p>
          <w:p w:rsidR="0075777C" w:rsidRPr="006316DF" w:rsidRDefault="0075777C" w:rsidP="00796F18">
            <w:pPr>
              <w:pStyle w:val="TableText0"/>
              <w:spacing w:before="20" w:after="20"/>
            </w:pPr>
            <w:r w:rsidRPr="006316DF">
              <w:t>Critical</w:t>
            </w:r>
          </w:p>
        </w:tc>
      </w:tr>
      <w:tr w:rsidR="0075777C" w:rsidRPr="006316DF" w:rsidTr="00796F18">
        <w:tc>
          <w:tcPr>
            <w:tcW w:w="1560" w:type="dxa"/>
          </w:tcPr>
          <w:p w:rsidR="0075777C" w:rsidRPr="006316DF" w:rsidRDefault="0075777C" w:rsidP="00796F18">
            <w:pPr>
              <w:pStyle w:val="TableText0"/>
              <w:spacing w:before="20" w:after="20"/>
            </w:pPr>
            <w:r w:rsidRPr="006316DF">
              <w:t>Hospitalisation</w:t>
            </w:r>
            <w:r w:rsidR="00086A04">
              <w:t xml:space="preserve"> due to </w:t>
            </w:r>
            <w:r w:rsidR="00FC3493">
              <w:t xml:space="preserve">worsening </w:t>
            </w:r>
            <w:r w:rsidR="00086A04">
              <w:t>PAH</w:t>
            </w:r>
          </w:p>
        </w:tc>
        <w:tc>
          <w:tcPr>
            <w:tcW w:w="1275" w:type="dxa"/>
          </w:tcPr>
          <w:p w:rsidR="0075777C" w:rsidRPr="006316DF" w:rsidRDefault="0075777C" w:rsidP="00796F18">
            <w:pPr>
              <w:pStyle w:val="TableText0"/>
              <w:spacing w:before="20" w:after="20"/>
            </w:pPr>
            <w:r w:rsidRPr="006316DF">
              <w:t>N=107</w:t>
            </w:r>
          </w:p>
          <w:p w:rsidR="0075777C" w:rsidRPr="006316DF" w:rsidRDefault="0075777C" w:rsidP="00796F18">
            <w:pPr>
              <w:pStyle w:val="TableText0"/>
              <w:spacing w:before="20" w:after="20"/>
            </w:pPr>
            <w:r w:rsidRPr="006316DF">
              <w:t>k=1 RCT</w:t>
            </w:r>
          </w:p>
        </w:tc>
        <w:tc>
          <w:tcPr>
            <w:tcW w:w="1701" w:type="dxa"/>
          </w:tcPr>
          <w:p w:rsidR="0075777C" w:rsidRPr="006316DF" w:rsidRDefault="0075777C" w:rsidP="00796F18">
            <w:pPr>
              <w:pStyle w:val="TableText0"/>
              <w:spacing w:before="20" w:after="20"/>
            </w:pPr>
            <w:r w:rsidRPr="006316DF">
              <w:t>Risk of bias: 0</w:t>
            </w:r>
          </w:p>
          <w:p w:rsidR="0075777C" w:rsidRPr="006316DF" w:rsidRDefault="0075777C" w:rsidP="00796F18">
            <w:pPr>
              <w:pStyle w:val="TableText0"/>
              <w:spacing w:before="20" w:after="20"/>
            </w:pPr>
            <w:r w:rsidRPr="006316DF">
              <w:t>Inconsistency: 0</w:t>
            </w:r>
          </w:p>
          <w:p w:rsidR="0075777C" w:rsidRPr="006316DF" w:rsidRDefault="0075777C" w:rsidP="00796F18">
            <w:pPr>
              <w:pStyle w:val="TableText0"/>
              <w:spacing w:before="20" w:after="20"/>
            </w:pPr>
            <w:r w:rsidRPr="006316DF">
              <w:t>Indirectness: 0</w:t>
            </w:r>
          </w:p>
          <w:p w:rsidR="0075777C" w:rsidRDefault="0075777C" w:rsidP="00796F18">
            <w:pPr>
              <w:pStyle w:val="TableText0"/>
              <w:spacing w:before="20" w:after="20"/>
            </w:pPr>
            <w:r w:rsidRPr="006316DF">
              <w:t>Imprecision: 0</w:t>
            </w:r>
          </w:p>
          <w:p w:rsidR="0075777C" w:rsidRDefault="0075777C" w:rsidP="00796F18">
            <w:pPr>
              <w:pStyle w:val="TableText0"/>
              <w:spacing w:before="20" w:after="20"/>
            </w:pPr>
            <w:r w:rsidRPr="006316DF">
              <w:t>Publication bias: 0</w:t>
            </w:r>
          </w:p>
          <w:p w:rsidR="0075777C" w:rsidRPr="006316DF" w:rsidRDefault="0075777C" w:rsidP="00796F18">
            <w:pPr>
              <w:pStyle w:val="TableText0"/>
              <w:spacing w:before="20" w:after="20"/>
            </w:pPr>
            <w:r>
              <w:t>Association: 0</w:t>
            </w:r>
          </w:p>
        </w:tc>
        <w:tc>
          <w:tcPr>
            <w:tcW w:w="1555" w:type="dxa"/>
          </w:tcPr>
          <w:p w:rsidR="0075777C" w:rsidRPr="00A17B9D" w:rsidRDefault="00A17B9D" w:rsidP="00796F18">
            <w:pPr>
              <w:pStyle w:val="TableText0"/>
              <w:spacing w:before="20" w:after="20"/>
              <w:rPr>
                <w:highlight w:val="black"/>
              </w:rPr>
            </w:pPr>
            <w:r>
              <w:rPr>
                <w:noProof/>
                <w:color w:val="000000"/>
                <w:highlight w:val="black"/>
              </w:rPr>
              <w:t>''''''''' ''''''''''''''''''''''</w:t>
            </w:r>
          </w:p>
        </w:tc>
        <w:tc>
          <w:tcPr>
            <w:tcW w:w="2409" w:type="dxa"/>
          </w:tcPr>
          <w:p w:rsidR="0075777C" w:rsidRPr="00A17B9D" w:rsidRDefault="00A17B9D" w:rsidP="00796F18">
            <w:pPr>
              <w:pStyle w:val="TableText0"/>
              <w:spacing w:before="20" w:after="20"/>
              <w:rPr>
                <w:highlight w:val="black"/>
              </w:rPr>
            </w:pPr>
            <w:r>
              <w:rPr>
                <w:noProof/>
                <w:color w:val="000000"/>
                <w:highlight w:val="black"/>
              </w:rPr>
              <w:t>'''''''' '''''''''''''''''' '''''''''' '''''''''''''''''''''''''''''' '''''''''''''' ''''''''' ''''''''''''' ''''''''''''''''</w:t>
            </w:r>
          </w:p>
        </w:tc>
        <w:tc>
          <w:tcPr>
            <w:tcW w:w="1134" w:type="dxa"/>
          </w:tcPr>
          <w:p w:rsidR="0075777C" w:rsidRPr="006316DF" w:rsidRDefault="0075777C" w:rsidP="00796F18">
            <w:pPr>
              <w:pStyle w:val="TableText0"/>
              <w:spacing w:before="20" w:after="20"/>
            </w:pPr>
            <w:r w:rsidRPr="006316DF">
              <w:t>High</w:t>
            </w:r>
          </w:p>
          <w:p w:rsidR="0075777C" w:rsidRPr="006316DF" w:rsidRDefault="0075777C" w:rsidP="00796F18">
            <w:pPr>
              <w:pStyle w:val="TableText0"/>
              <w:spacing w:before="20" w:after="20"/>
              <w:rPr>
                <w:bCs/>
              </w:rPr>
            </w:pPr>
            <w:r w:rsidRPr="006316DF">
              <w:rPr>
                <w:rFonts w:ascii="Cambria Math" w:hAnsi="Cambria Math" w:cs="Cambria Math"/>
                <w:bCs/>
                <w:color w:val="00B050"/>
              </w:rPr>
              <w:t>⨁⨁⨁⨁</w:t>
            </w:r>
          </w:p>
          <w:p w:rsidR="0075777C" w:rsidRPr="006316DF" w:rsidRDefault="000647C6" w:rsidP="00796F18">
            <w:pPr>
              <w:pStyle w:val="TableText0"/>
              <w:spacing w:before="20" w:after="20"/>
            </w:pPr>
            <w:r>
              <w:t>Important</w:t>
            </w:r>
          </w:p>
        </w:tc>
      </w:tr>
      <w:tr w:rsidR="0075777C" w:rsidRPr="006316DF" w:rsidTr="00796F18">
        <w:tc>
          <w:tcPr>
            <w:tcW w:w="1560" w:type="dxa"/>
          </w:tcPr>
          <w:p w:rsidR="0075777C" w:rsidRPr="006316DF" w:rsidRDefault="0075777C" w:rsidP="00796F18">
            <w:pPr>
              <w:pStyle w:val="TableText0"/>
              <w:spacing w:before="20" w:after="20"/>
            </w:pPr>
            <w:r w:rsidRPr="006316DF">
              <w:t>Improved W</w:t>
            </w:r>
            <w:r>
              <w:t>HO</w:t>
            </w:r>
            <w:r w:rsidRPr="006316DF">
              <w:t xml:space="preserve"> FC</w:t>
            </w:r>
          </w:p>
        </w:tc>
        <w:tc>
          <w:tcPr>
            <w:tcW w:w="1275" w:type="dxa"/>
          </w:tcPr>
          <w:p w:rsidR="0075777C" w:rsidRPr="006316DF" w:rsidRDefault="0075777C" w:rsidP="00796F18">
            <w:pPr>
              <w:pStyle w:val="TableText0"/>
              <w:spacing w:before="20" w:after="20"/>
            </w:pPr>
            <w:r w:rsidRPr="006316DF">
              <w:t>N=107</w:t>
            </w:r>
          </w:p>
          <w:p w:rsidR="0075777C" w:rsidRPr="006316DF" w:rsidRDefault="0075777C" w:rsidP="00796F18">
            <w:pPr>
              <w:pStyle w:val="TableText0"/>
              <w:spacing w:before="20" w:after="20"/>
            </w:pPr>
            <w:r w:rsidRPr="006316DF">
              <w:t>k=1 RCT</w:t>
            </w:r>
          </w:p>
        </w:tc>
        <w:tc>
          <w:tcPr>
            <w:tcW w:w="1701" w:type="dxa"/>
          </w:tcPr>
          <w:p w:rsidR="0075777C" w:rsidRPr="006316DF" w:rsidRDefault="0075777C" w:rsidP="00796F18">
            <w:pPr>
              <w:pStyle w:val="TableText0"/>
              <w:spacing w:before="20" w:after="20"/>
            </w:pPr>
            <w:r w:rsidRPr="006316DF">
              <w:t>Risk of bias: 0</w:t>
            </w:r>
          </w:p>
          <w:p w:rsidR="0075777C" w:rsidRPr="006316DF" w:rsidRDefault="0075777C" w:rsidP="00796F18">
            <w:pPr>
              <w:pStyle w:val="TableText0"/>
              <w:spacing w:before="20" w:after="20"/>
            </w:pPr>
            <w:r w:rsidRPr="006316DF">
              <w:t>Inconsistency: 0</w:t>
            </w:r>
          </w:p>
          <w:p w:rsidR="0075777C" w:rsidRPr="006316DF" w:rsidRDefault="0075777C" w:rsidP="00796F18">
            <w:pPr>
              <w:pStyle w:val="TableText0"/>
              <w:spacing w:before="20" w:after="20"/>
            </w:pPr>
            <w:r w:rsidRPr="006316DF">
              <w:t>Indirectness: 0</w:t>
            </w:r>
          </w:p>
          <w:p w:rsidR="0075777C" w:rsidRDefault="0075777C" w:rsidP="00796F18">
            <w:pPr>
              <w:pStyle w:val="TableText0"/>
              <w:spacing w:before="20" w:after="20"/>
            </w:pPr>
            <w:r>
              <w:t>Imprecision: −1</w:t>
            </w:r>
          </w:p>
          <w:p w:rsidR="0075777C" w:rsidRDefault="0075777C" w:rsidP="00796F18">
            <w:pPr>
              <w:pStyle w:val="TableText0"/>
              <w:spacing w:before="20" w:after="20"/>
            </w:pPr>
            <w:r w:rsidRPr="006316DF">
              <w:t>Publication bias: 0</w:t>
            </w:r>
          </w:p>
          <w:p w:rsidR="0075777C" w:rsidRPr="006316DF" w:rsidRDefault="008B0C36" w:rsidP="00796F18">
            <w:pPr>
              <w:pStyle w:val="TableText0"/>
              <w:spacing w:before="20" w:after="20"/>
            </w:pPr>
            <w:r>
              <w:t>Association: 0</w:t>
            </w:r>
          </w:p>
        </w:tc>
        <w:tc>
          <w:tcPr>
            <w:tcW w:w="1555" w:type="dxa"/>
          </w:tcPr>
          <w:p w:rsidR="0075777C" w:rsidRPr="00A17B9D" w:rsidRDefault="00A17B9D" w:rsidP="00796F18">
            <w:pPr>
              <w:pStyle w:val="TableText0"/>
              <w:spacing w:before="20" w:after="20"/>
              <w:rPr>
                <w:highlight w:val="black"/>
              </w:rPr>
            </w:pPr>
            <w:r>
              <w:rPr>
                <w:noProof/>
                <w:color w:val="000000"/>
                <w:highlight w:val="black"/>
              </w:rPr>
              <w:t>'''''''' ''' '''''''''' '''''''''''' '''''' ''''''''''''' ''''''''''''</w:t>
            </w:r>
          </w:p>
        </w:tc>
        <w:tc>
          <w:tcPr>
            <w:tcW w:w="2409" w:type="dxa"/>
          </w:tcPr>
          <w:p w:rsidR="0075777C" w:rsidRPr="00A17B9D" w:rsidRDefault="00A17B9D" w:rsidP="00796F18">
            <w:pPr>
              <w:pStyle w:val="TableText0"/>
              <w:spacing w:before="20" w:after="20"/>
              <w:rPr>
                <w:highlight w:val="black"/>
              </w:rPr>
            </w:pPr>
            <w:r>
              <w:rPr>
                <w:noProof/>
                <w:color w:val="000000"/>
                <w:highlight w:val="black"/>
              </w:rPr>
              <w:t>'''''''''''''' '''''''''''''''''' ''''''''''''''''''''''' ''''''''''' '''''''''''' '''''''' ''''''''''''' '''''''''''''''''' ''''''''' ''' '''''''''' '''''''''''''''''''''''' '''''''''''''''''''''''' ''''''''''' ''''''''''''''''''''' '''''''' ''''''''' ''''''''''' '''''' '''''''''''''''''''''' '''''''' '''''''''''' '''''''''''' '''''''''' ''''''' '''''' ''''' ''''''''' '''''''''''''''''' '''''''''''''</w:t>
            </w:r>
          </w:p>
        </w:tc>
        <w:tc>
          <w:tcPr>
            <w:tcW w:w="1134" w:type="dxa"/>
          </w:tcPr>
          <w:p w:rsidR="008B0C36" w:rsidRPr="006316DF" w:rsidRDefault="008B0C36" w:rsidP="008B0C36">
            <w:pPr>
              <w:pStyle w:val="TableText0"/>
              <w:spacing w:before="20" w:after="20"/>
            </w:pPr>
            <w:r>
              <w:t>Moderate</w:t>
            </w:r>
          </w:p>
          <w:p w:rsidR="008B0C36" w:rsidRPr="006316DF" w:rsidRDefault="008B0C36" w:rsidP="008B0C36">
            <w:pPr>
              <w:pStyle w:val="TableText0"/>
              <w:spacing w:before="20" w:after="20"/>
              <w:rPr>
                <w:bCs/>
              </w:rPr>
            </w:pPr>
            <w:r w:rsidRPr="006316DF">
              <w:rPr>
                <w:rFonts w:ascii="Cambria Math" w:hAnsi="Cambria Math" w:cs="Cambria Math"/>
                <w:bCs/>
                <w:color w:val="00B050"/>
              </w:rPr>
              <w:t>⨁⨁⨁</w:t>
            </w:r>
            <w:r w:rsidRPr="006316DF">
              <w:rPr>
                <w:rFonts w:ascii="Cambria Math" w:hAnsi="Cambria Math" w:cs="Cambria Math"/>
                <w:color w:val="C00000"/>
              </w:rPr>
              <w:t>⨀</w:t>
            </w:r>
          </w:p>
          <w:p w:rsidR="0075777C" w:rsidRPr="006316DF" w:rsidRDefault="0075777C" w:rsidP="00796F18">
            <w:pPr>
              <w:pStyle w:val="TableText0"/>
              <w:spacing w:before="20" w:after="20"/>
            </w:pPr>
            <w:r w:rsidRPr="006316DF">
              <w:t>Important</w:t>
            </w:r>
          </w:p>
        </w:tc>
      </w:tr>
      <w:tr w:rsidR="0075777C" w:rsidRPr="006316DF" w:rsidTr="00796F18">
        <w:tc>
          <w:tcPr>
            <w:tcW w:w="1560" w:type="dxa"/>
          </w:tcPr>
          <w:p w:rsidR="0075777C" w:rsidRPr="006316DF" w:rsidRDefault="0075777C" w:rsidP="00796F18">
            <w:pPr>
              <w:pStyle w:val="TableText0"/>
              <w:spacing w:before="20" w:after="20"/>
            </w:pPr>
            <w:r w:rsidRPr="006316DF">
              <w:t>Worsened WHO FC</w:t>
            </w:r>
          </w:p>
        </w:tc>
        <w:tc>
          <w:tcPr>
            <w:tcW w:w="1275" w:type="dxa"/>
          </w:tcPr>
          <w:p w:rsidR="0075777C" w:rsidRPr="006316DF" w:rsidRDefault="0075777C" w:rsidP="00796F18">
            <w:pPr>
              <w:pStyle w:val="TableText0"/>
              <w:spacing w:before="20" w:after="20"/>
            </w:pPr>
            <w:r w:rsidRPr="006316DF">
              <w:t>N=107</w:t>
            </w:r>
          </w:p>
          <w:p w:rsidR="0075777C" w:rsidRPr="006316DF" w:rsidRDefault="0075777C" w:rsidP="00796F18">
            <w:pPr>
              <w:pStyle w:val="TableText0"/>
              <w:spacing w:before="20" w:after="20"/>
            </w:pPr>
            <w:r w:rsidRPr="006316DF">
              <w:t>k=1 RCT</w:t>
            </w:r>
          </w:p>
        </w:tc>
        <w:tc>
          <w:tcPr>
            <w:tcW w:w="1701" w:type="dxa"/>
          </w:tcPr>
          <w:p w:rsidR="0075777C" w:rsidRPr="006316DF" w:rsidRDefault="0075777C" w:rsidP="00796F18">
            <w:pPr>
              <w:pStyle w:val="TableText0"/>
              <w:spacing w:before="20" w:after="20"/>
            </w:pPr>
            <w:r w:rsidRPr="006316DF">
              <w:t>Risk of bias: 0</w:t>
            </w:r>
          </w:p>
          <w:p w:rsidR="0075777C" w:rsidRPr="006316DF" w:rsidRDefault="0075777C" w:rsidP="00796F18">
            <w:pPr>
              <w:pStyle w:val="TableText0"/>
              <w:spacing w:before="20" w:after="20"/>
            </w:pPr>
            <w:r w:rsidRPr="006316DF">
              <w:t>Inconsistency: 0</w:t>
            </w:r>
          </w:p>
          <w:p w:rsidR="0075777C" w:rsidRPr="006316DF" w:rsidRDefault="0075777C" w:rsidP="00796F18">
            <w:pPr>
              <w:pStyle w:val="TableText0"/>
              <w:spacing w:before="20" w:after="20"/>
            </w:pPr>
            <w:r w:rsidRPr="006316DF">
              <w:t>Indirectness: 0</w:t>
            </w:r>
          </w:p>
          <w:p w:rsidR="0075777C" w:rsidRDefault="0075777C" w:rsidP="00796F18">
            <w:pPr>
              <w:pStyle w:val="TableText0"/>
              <w:spacing w:before="20" w:after="20"/>
            </w:pPr>
            <w:r w:rsidRPr="006316DF">
              <w:t>Imprecision: 0</w:t>
            </w:r>
          </w:p>
          <w:p w:rsidR="0075777C" w:rsidRDefault="0075777C" w:rsidP="00796F18">
            <w:pPr>
              <w:pStyle w:val="TableText0"/>
              <w:spacing w:before="20" w:after="20"/>
            </w:pPr>
            <w:r w:rsidRPr="006316DF">
              <w:t>Publication bias: 0</w:t>
            </w:r>
          </w:p>
          <w:p w:rsidR="0075777C" w:rsidRPr="006316DF" w:rsidRDefault="0075777C" w:rsidP="00796F18">
            <w:pPr>
              <w:pStyle w:val="TableText0"/>
              <w:spacing w:before="20" w:after="20"/>
            </w:pPr>
            <w:r>
              <w:t>Association: +2</w:t>
            </w:r>
          </w:p>
        </w:tc>
        <w:tc>
          <w:tcPr>
            <w:tcW w:w="1555" w:type="dxa"/>
          </w:tcPr>
          <w:p w:rsidR="0075777C" w:rsidRPr="00A17B9D" w:rsidRDefault="00A17B9D" w:rsidP="00796F18">
            <w:pPr>
              <w:pStyle w:val="TableText0"/>
              <w:spacing w:before="20" w:after="20"/>
              <w:rPr>
                <w:highlight w:val="black"/>
              </w:rPr>
            </w:pPr>
            <w:r>
              <w:rPr>
                <w:noProof/>
                <w:color w:val="000000"/>
                <w:highlight w:val="black"/>
              </w:rPr>
              <w:t>''''''''' '''' '''''''''' '''''''''''''' '''''' ''''''''''' ''''''''''''</w:t>
            </w:r>
          </w:p>
        </w:tc>
        <w:tc>
          <w:tcPr>
            <w:tcW w:w="2409" w:type="dxa"/>
          </w:tcPr>
          <w:p w:rsidR="0075777C" w:rsidRPr="00A17B9D" w:rsidRDefault="00A17B9D" w:rsidP="00796F18">
            <w:pPr>
              <w:pStyle w:val="TableText0"/>
              <w:spacing w:before="20" w:after="20"/>
              <w:rPr>
                <w:highlight w:val="black"/>
              </w:rPr>
            </w:pPr>
            <w:r>
              <w:rPr>
                <w:noProof/>
                <w:color w:val="000000"/>
                <w:highlight w:val="black"/>
              </w:rPr>
              <w:t>'''''''''''''''''''''''''' '''''''''''''' ''''''''''''''''''''' ''''''''' ''''''''''''''''''''''' '''''''''''' ''''''' '''''''''''' ''''''''''''''' ''''''''' '''' '''''''''' ''''''''''''''''''''' '''''''''''''''''''''' '''''''''' ''''''''''''''''</w:t>
            </w:r>
          </w:p>
        </w:tc>
        <w:tc>
          <w:tcPr>
            <w:tcW w:w="1134" w:type="dxa"/>
          </w:tcPr>
          <w:p w:rsidR="0075777C" w:rsidRPr="006316DF" w:rsidRDefault="0075777C" w:rsidP="00796F18">
            <w:pPr>
              <w:pStyle w:val="TableText0"/>
              <w:spacing w:before="20" w:after="20"/>
            </w:pPr>
            <w:r w:rsidRPr="006316DF">
              <w:t>High</w:t>
            </w:r>
          </w:p>
          <w:p w:rsidR="0075777C" w:rsidRPr="006316DF" w:rsidRDefault="0075777C" w:rsidP="00796F18">
            <w:pPr>
              <w:pStyle w:val="TableText0"/>
              <w:spacing w:before="20" w:after="20"/>
              <w:rPr>
                <w:bCs/>
              </w:rPr>
            </w:pPr>
            <w:r w:rsidRPr="006316DF">
              <w:rPr>
                <w:rFonts w:ascii="Cambria Math" w:hAnsi="Cambria Math" w:cs="Cambria Math"/>
                <w:bCs/>
                <w:color w:val="00B050"/>
              </w:rPr>
              <w:t>⨁⨁⨁⨁</w:t>
            </w:r>
          </w:p>
          <w:p w:rsidR="0075777C" w:rsidRPr="006316DF" w:rsidRDefault="0075777C" w:rsidP="00796F18">
            <w:pPr>
              <w:pStyle w:val="TableText0"/>
              <w:spacing w:before="20" w:after="20"/>
            </w:pPr>
            <w:r w:rsidRPr="006316DF">
              <w:t>Important</w:t>
            </w:r>
          </w:p>
        </w:tc>
      </w:tr>
      <w:tr w:rsidR="00FC3493" w:rsidRPr="006316DF" w:rsidTr="000647C6">
        <w:tc>
          <w:tcPr>
            <w:tcW w:w="1560" w:type="dxa"/>
          </w:tcPr>
          <w:p w:rsidR="00FC3493" w:rsidRPr="006316DF" w:rsidRDefault="00FC3493" w:rsidP="00FC3493">
            <w:pPr>
              <w:pStyle w:val="TableText0"/>
              <w:spacing w:before="20" w:after="20"/>
            </w:pPr>
            <w:r w:rsidRPr="006316DF">
              <w:t>Change in 6MWD</w:t>
            </w:r>
            <w:r>
              <w:t xml:space="preserve"> from baseline</w:t>
            </w:r>
          </w:p>
        </w:tc>
        <w:tc>
          <w:tcPr>
            <w:tcW w:w="1275" w:type="dxa"/>
          </w:tcPr>
          <w:p w:rsidR="00FC3493" w:rsidRPr="006316DF" w:rsidRDefault="00FC3493" w:rsidP="00FC3493">
            <w:pPr>
              <w:pStyle w:val="TableText0"/>
              <w:spacing w:before="20" w:after="20"/>
            </w:pPr>
            <w:r w:rsidRPr="006316DF">
              <w:t>N=107</w:t>
            </w:r>
          </w:p>
          <w:p w:rsidR="00FC3493" w:rsidRPr="006316DF" w:rsidRDefault="00FC3493" w:rsidP="00FC3493">
            <w:pPr>
              <w:pStyle w:val="TableText0"/>
              <w:spacing w:before="20" w:after="20"/>
            </w:pPr>
            <w:r w:rsidRPr="006316DF">
              <w:t>k=1 RCT</w:t>
            </w:r>
          </w:p>
        </w:tc>
        <w:tc>
          <w:tcPr>
            <w:tcW w:w="1701" w:type="dxa"/>
          </w:tcPr>
          <w:p w:rsidR="00FC3493" w:rsidRPr="006316DF" w:rsidRDefault="00FC3493" w:rsidP="00FC3493">
            <w:pPr>
              <w:pStyle w:val="TableText0"/>
              <w:spacing w:before="20" w:after="20"/>
            </w:pPr>
            <w:r w:rsidRPr="006316DF">
              <w:t>Risk of bias: 0</w:t>
            </w:r>
          </w:p>
          <w:p w:rsidR="00FC3493" w:rsidRPr="006316DF" w:rsidRDefault="00FC3493" w:rsidP="00FC3493">
            <w:pPr>
              <w:pStyle w:val="TableText0"/>
              <w:spacing w:before="20" w:after="20"/>
            </w:pPr>
            <w:r w:rsidRPr="006316DF">
              <w:t>Inconsistency: 0</w:t>
            </w:r>
          </w:p>
          <w:p w:rsidR="00FC3493" w:rsidRPr="006316DF" w:rsidRDefault="00FC3493" w:rsidP="00FC3493">
            <w:pPr>
              <w:pStyle w:val="TableText0"/>
              <w:spacing w:before="20" w:after="20"/>
            </w:pPr>
            <w:r w:rsidRPr="006316DF">
              <w:t xml:space="preserve">Indirectness: </w:t>
            </w:r>
            <w:r>
              <w:t>−1</w:t>
            </w:r>
          </w:p>
          <w:p w:rsidR="00FC3493" w:rsidRDefault="00FC3493" w:rsidP="00FC3493">
            <w:pPr>
              <w:pStyle w:val="TableText0"/>
              <w:spacing w:before="20" w:after="20"/>
            </w:pPr>
            <w:r w:rsidRPr="006316DF">
              <w:t>Imprecision: 0</w:t>
            </w:r>
          </w:p>
          <w:p w:rsidR="00FC3493" w:rsidRDefault="00FC3493" w:rsidP="00FC3493">
            <w:pPr>
              <w:pStyle w:val="TableText0"/>
              <w:spacing w:before="20" w:after="20"/>
            </w:pPr>
            <w:r w:rsidRPr="006316DF">
              <w:t>Publication bias: 0</w:t>
            </w:r>
          </w:p>
          <w:p w:rsidR="00FC3493" w:rsidRPr="006316DF" w:rsidRDefault="00FC3493" w:rsidP="00FC3493">
            <w:pPr>
              <w:pStyle w:val="TableText0"/>
              <w:spacing w:before="20" w:after="20"/>
            </w:pPr>
            <w:r>
              <w:t>Association: 0</w:t>
            </w:r>
          </w:p>
        </w:tc>
        <w:tc>
          <w:tcPr>
            <w:tcW w:w="1555" w:type="dxa"/>
          </w:tcPr>
          <w:p w:rsidR="00FC3493" w:rsidRPr="006316DF" w:rsidRDefault="00A17B9D" w:rsidP="00FC3493">
            <w:pPr>
              <w:pStyle w:val="TableText0"/>
              <w:spacing w:before="20" w:after="20"/>
            </w:pPr>
            <w:r>
              <w:rPr>
                <w:noProof/>
                <w:color w:val="000000"/>
                <w:highlight w:val="black"/>
              </w:rPr>
              <w:t xml:space="preserve">''''''''' ''' ''''''''''''''' ''''''''''''' ''''' </w:t>
            </w:r>
            <w:r>
              <w:rPr>
                <w:noProof/>
                <w:color w:val="000000"/>
                <w:highlight w:val="black"/>
              </w:rPr>
              <w:br/>
              <w:t>'''''''''''''' ''''''''''''</w:t>
            </w:r>
          </w:p>
        </w:tc>
        <w:tc>
          <w:tcPr>
            <w:tcW w:w="2409" w:type="dxa"/>
          </w:tcPr>
          <w:p w:rsidR="00FC3493" w:rsidRPr="00A17B9D" w:rsidRDefault="00A17B9D" w:rsidP="00FC3493">
            <w:pPr>
              <w:pStyle w:val="TableText0"/>
              <w:spacing w:before="20" w:after="20"/>
              <w:rPr>
                <w:highlight w:val="black"/>
              </w:rPr>
            </w:pPr>
            <w:r>
              <w:rPr>
                <w:noProof/>
                <w:color w:val="000000"/>
                <w:highlight w:val="black"/>
              </w:rPr>
              <w:t>''''''''''''''''''''' ''''''''''''''''' '''''''''' ''' ''''''''''' ''''''''''''''''''''''' ''''''''' ''' ''''''''''''' ''''''''''''' ''''''''''''''''''''''''''' '''' '''''''''''''''' '''''''''''''''''''''''' ''''''''' '''''''''''' ''''''' '''''''''''''''''''' '''''''' ''''''''' '''''''''''''''''''''''' ''''''''' ''''''' '''''''''''''''''' '''''''''''''''''''''''</w:t>
            </w:r>
          </w:p>
        </w:tc>
        <w:tc>
          <w:tcPr>
            <w:tcW w:w="1134" w:type="dxa"/>
          </w:tcPr>
          <w:p w:rsidR="00FC3493" w:rsidRPr="006316DF" w:rsidRDefault="00FC3493" w:rsidP="00FC3493">
            <w:pPr>
              <w:pStyle w:val="TableText0"/>
              <w:spacing w:before="20" w:after="20"/>
            </w:pPr>
            <w:r>
              <w:t>Moderate</w:t>
            </w:r>
          </w:p>
          <w:p w:rsidR="00FC3493" w:rsidRPr="006316DF" w:rsidRDefault="00FC3493" w:rsidP="00FC3493">
            <w:pPr>
              <w:pStyle w:val="TableText0"/>
              <w:spacing w:before="20" w:after="20"/>
              <w:rPr>
                <w:bCs/>
              </w:rPr>
            </w:pPr>
            <w:r w:rsidRPr="006316DF">
              <w:rPr>
                <w:rFonts w:ascii="Cambria Math" w:hAnsi="Cambria Math" w:cs="Cambria Math"/>
                <w:bCs/>
                <w:color w:val="00B050"/>
              </w:rPr>
              <w:t>⨁⨁⨁</w:t>
            </w:r>
            <w:r w:rsidRPr="006316DF">
              <w:rPr>
                <w:rFonts w:ascii="Cambria Math" w:hAnsi="Cambria Math" w:cs="Cambria Math"/>
                <w:color w:val="C00000"/>
              </w:rPr>
              <w:t>⨀</w:t>
            </w:r>
          </w:p>
          <w:p w:rsidR="00FC3493" w:rsidRPr="006316DF" w:rsidRDefault="00FC3493" w:rsidP="00FC3493">
            <w:pPr>
              <w:pStyle w:val="TableText0"/>
              <w:spacing w:before="20" w:after="20"/>
            </w:pPr>
            <w:r>
              <w:t>I</w:t>
            </w:r>
            <w:r w:rsidRPr="006316DF">
              <w:t>mportant</w:t>
            </w:r>
          </w:p>
        </w:tc>
      </w:tr>
      <w:tr w:rsidR="00FC3493" w:rsidRPr="006316DF" w:rsidTr="000647C6">
        <w:tc>
          <w:tcPr>
            <w:tcW w:w="1560" w:type="dxa"/>
          </w:tcPr>
          <w:p w:rsidR="00FC3493" w:rsidRPr="006316DF" w:rsidRDefault="00FC3493" w:rsidP="00FC3493">
            <w:pPr>
              <w:pStyle w:val="TableText0"/>
              <w:spacing w:before="20" w:after="20"/>
            </w:pPr>
            <w:r>
              <w:t xml:space="preserve">Change in </w:t>
            </w:r>
            <w:r w:rsidRPr="006316DF">
              <w:t>QoL</w:t>
            </w:r>
            <w:r>
              <w:t xml:space="preserve"> from baseline</w:t>
            </w:r>
          </w:p>
        </w:tc>
        <w:tc>
          <w:tcPr>
            <w:tcW w:w="1275" w:type="dxa"/>
          </w:tcPr>
          <w:p w:rsidR="00FC3493" w:rsidRPr="006316DF" w:rsidRDefault="00FC3493" w:rsidP="00FC3493">
            <w:pPr>
              <w:pStyle w:val="TableText0"/>
              <w:spacing w:before="20" w:after="20"/>
            </w:pPr>
            <w:r w:rsidRPr="006316DF">
              <w:t>N=107</w:t>
            </w:r>
          </w:p>
          <w:p w:rsidR="00FC3493" w:rsidRPr="006316DF" w:rsidRDefault="00FC3493" w:rsidP="00FC3493">
            <w:pPr>
              <w:pStyle w:val="TableText0"/>
              <w:spacing w:before="20" w:after="20"/>
            </w:pPr>
            <w:r w:rsidRPr="006316DF">
              <w:t>k=1 RCT</w:t>
            </w:r>
          </w:p>
        </w:tc>
        <w:tc>
          <w:tcPr>
            <w:tcW w:w="1701" w:type="dxa"/>
          </w:tcPr>
          <w:p w:rsidR="00FC3493" w:rsidRPr="006316DF" w:rsidRDefault="00FC3493" w:rsidP="00FC3493">
            <w:pPr>
              <w:pStyle w:val="TableText0"/>
              <w:spacing w:before="20" w:after="20"/>
            </w:pPr>
            <w:r w:rsidRPr="006316DF">
              <w:t>Risk of bias: 0</w:t>
            </w:r>
          </w:p>
          <w:p w:rsidR="00FC3493" w:rsidRPr="006316DF" w:rsidRDefault="00FC3493" w:rsidP="00FC3493">
            <w:pPr>
              <w:pStyle w:val="TableText0"/>
              <w:spacing w:before="20" w:after="20"/>
            </w:pPr>
            <w:r w:rsidRPr="006316DF">
              <w:t>Inconsistency: 0</w:t>
            </w:r>
          </w:p>
          <w:p w:rsidR="00FC3493" w:rsidRPr="006316DF" w:rsidRDefault="00FC3493" w:rsidP="00FC3493">
            <w:pPr>
              <w:pStyle w:val="TableText0"/>
              <w:spacing w:before="20" w:after="20"/>
            </w:pPr>
            <w:r w:rsidRPr="006316DF">
              <w:t>Indirectness: 0</w:t>
            </w:r>
          </w:p>
          <w:p w:rsidR="00FC3493" w:rsidRDefault="00FC3493" w:rsidP="00FC3493">
            <w:pPr>
              <w:pStyle w:val="TableText0"/>
              <w:spacing w:before="20" w:after="20"/>
            </w:pPr>
            <w:r w:rsidRPr="006316DF">
              <w:t>Imprecision: 0</w:t>
            </w:r>
          </w:p>
          <w:p w:rsidR="00FC3493" w:rsidRDefault="00FC3493" w:rsidP="00FC3493">
            <w:pPr>
              <w:pStyle w:val="TableText0"/>
              <w:spacing w:before="20" w:after="20"/>
            </w:pPr>
            <w:r w:rsidRPr="006316DF">
              <w:t>Publication bias: 0</w:t>
            </w:r>
          </w:p>
          <w:p w:rsidR="00FC3493" w:rsidRPr="006316DF" w:rsidRDefault="00FC3493" w:rsidP="00FC3493">
            <w:pPr>
              <w:pStyle w:val="TableText0"/>
              <w:spacing w:before="20" w:after="20"/>
            </w:pPr>
            <w:r>
              <w:t>Association: 0</w:t>
            </w:r>
          </w:p>
        </w:tc>
        <w:tc>
          <w:tcPr>
            <w:tcW w:w="1555" w:type="dxa"/>
          </w:tcPr>
          <w:p w:rsidR="00FC3493" w:rsidRPr="00A17B9D" w:rsidRDefault="00A17B9D" w:rsidP="00FC3493">
            <w:pPr>
              <w:pStyle w:val="TableText0"/>
              <w:spacing w:before="20" w:after="20"/>
              <w:rPr>
                <w:highlight w:val="black"/>
              </w:rPr>
            </w:pPr>
            <w:r>
              <w:rPr>
                <w:noProof/>
                <w:color w:val="000000"/>
                <w:highlight w:val="black"/>
              </w:rPr>
              <w:t>'''''''''''''''''''''</w:t>
            </w:r>
            <w:r>
              <w:rPr>
                <w:noProof/>
                <w:color w:val="000000"/>
                <w:highlight w:val="black"/>
              </w:rPr>
              <w:br/>
              <w:t>''''''''' ''' '''''''''''' ''''''''''' '''''''''''''''''''''''''''''</w:t>
            </w:r>
          </w:p>
          <w:p w:rsidR="00FC3493" w:rsidRPr="00A17B9D" w:rsidRDefault="00A17B9D" w:rsidP="00FC3493">
            <w:pPr>
              <w:pStyle w:val="TableText0"/>
              <w:spacing w:before="20" w:after="20"/>
              <w:rPr>
                <w:highlight w:val="black"/>
              </w:rPr>
            </w:pPr>
            <w:r>
              <w:rPr>
                <w:noProof/>
                <w:color w:val="000000"/>
                <w:highlight w:val="black"/>
              </w:rPr>
              <w:t>'''''''''''''</w:t>
            </w:r>
            <w:r>
              <w:rPr>
                <w:noProof/>
                <w:color w:val="000000"/>
                <w:highlight w:val="black"/>
              </w:rPr>
              <w:br/>
              <w:t>'''''''' '''' ''''''''''' '''''''''''' ''''''''''''''''''''''''''''</w:t>
            </w:r>
          </w:p>
        </w:tc>
        <w:tc>
          <w:tcPr>
            <w:tcW w:w="2409" w:type="dxa"/>
          </w:tcPr>
          <w:p w:rsidR="00FC3493" w:rsidRPr="00A17B9D" w:rsidRDefault="00A17B9D" w:rsidP="00FC3493">
            <w:pPr>
              <w:pStyle w:val="TableText0"/>
              <w:spacing w:before="20" w:after="20"/>
              <w:rPr>
                <w:highlight w:val="black"/>
              </w:rPr>
            </w:pPr>
            <w:r>
              <w:rPr>
                <w:noProof/>
                <w:color w:val="000000"/>
                <w:highlight w:val="black"/>
              </w:rPr>
              <w:t>'''''''''''''''''' ''''''''''''''''' ''''''''''' ''' '''''''''' ''''''''''''''''''''' '''''''' ''' '''''''''''''' '''''''''''''' '''''''''''''''''''''''''''''' ''''' '''''''''' ''''''''''''''''''''''''' ''''''''''' '''''''''''''' '''''' ''''''''''''''''''</w:t>
            </w:r>
          </w:p>
        </w:tc>
        <w:tc>
          <w:tcPr>
            <w:tcW w:w="1134" w:type="dxa"/>
          </w:tcPr>
          <w:p w:rsidR="00FC3493" w:rsidRPr="006316DF" w:rsidRDefault="00FC3493" w:rsidP="00FC3493">
            <w:pPr>
              <w:pStyle w:val="TableText0"/>
              <w:spacing w:before="20" w:after="20"/>
            </w:pPr>
            <w:r w:rsidRPr="006316DF">
              <w:t>High</w:t>
            </w:r>
          </w:p>
          <w:p w:rsidR="00FC3493" w:rsidRPr="006316DF" w:rsidRDefault="00FC3493" w:rsidP="00FC3493">
            <w:pPr>
              <w:pStyle w:val="TableText0"/>
              <w:spacing w:before="20" w:after="20"/>
              <w:rPr>
                <w:bCs/>
              </w:rPr>
            </w:pPr>
            <w:r w:rsidRPr="006316DF">
              <w:rPr>
                <w:rFonts w:ascii="Cambria Math" w:hAnsi="Cambria Math" w:cs="Cambria Math"/>
                <w:bCs/>
                <w:color w:val="00B050"/>
              </w:rPr>
              <w:t>⨁⨁⨁⨁</w:t>
            </w:r>
          </w:p>
          <w:p w:rsidR="00FC3493" w:rsidRPr="006316DF" w:rsidRDefault="00FC3493" w:rsidP="00FC3493">
            <w:pPr>
              <w:pStyle w:val="TableText0"/>
              <w:spacing w:before="20" w:after="20"/>
            </w:pPr>
            <w:r>
              <w:t>I</w:t>
            </w:r>
            <w:r w:rsidRPr="006316DF">
              <w:t>mportant</w:t>
            </w:r>
          </w:p>
        </w:tc>
      </w:tr>
      <w:tr w:rsidR="00FC3493" w:rsidRPr="006316DF" w:rsidTr="00796F18">
        <w:tc>
          <w:tcPr>
            <w:tcW w:w="1560" w:type="dxa"/>
          </w:tcPr>
          <w:p w:rsidR="00FC3493" w:rsidRPr="006316DF" w:rsidRDefault="00FC3493" w:rsidP="00FC3493">
            <w:pPr>
              <w:pStyle w:val="TableText0"/>
              <w:spacing w:before="20" w:after="20"/>
            </w:pPr>
            <w:r w:rsidRPr="006316DF">
              <w:t xml:space="preserve">Change in </w:t>
            </w:r>
            <w:r>
              <w:t>haemodynamic parameters from baseline</w:t>
            </w:r>
          </w:p>
        </w:tc>
        <w:tc>
          <w:tcPr>
            <w:tcW w:w="1275" w:type="dxa"/>
          </w:tcPr>
          <w:p w:rsidR="00FC3493" w:rsidRPr="006316DF" w:rsidRDefault="00FC3493" w:rsidP="00FC3493">
            <w:pPr>
              <w:pStyle w:val="TableText0"/>
              <w:spacing w:before="20" w:after="20"/>
            </w:pPr>
            <w:r w:rsidRPr="006316DF">
              <w:t>N=107</w:t>
            </w:r>
          </w:p>
          <w:p w:rsidR="00FC3493" w:rsidRPr="006316DF" w:rsidRDefault="00FC3493" w:rsidP="00FC3493">
            <w:pPr>
              <w:pStyle w:val="TableText0"/>
              <w:spacing w:before="20" w:after="20"/>
            </w:pPr>
            <w:r w:rsidRPr="006316DF">
              <w:t>k=1 RCT</w:t>
            </w:r>
          </w:p>
        </w:tc>
        <w:tc>
          <w:tcPr>
            <w:tcW w:w="1701" w:type="dxa"/>
          </w:tcPr>
          <w:p w:rsidR="00FC3493" w:rsidRPr="006316DF" w:rsidRDefault="00FC3493" w:rsidP="00FC3493">
            <w:pPr>
              <w:pStyle w:val="TableText0"/>
              <w:spacing w:before="20" w:after="20"/>
            </w:pPr>
            <w:r w:rsidRPr="006316DF">
              <w:t>Risk of bias: 0</w:t>
            </w:r>
          </w:p>
          <w:p w:rsidR="00FC3493" w:rsidRPr="006316DF" w:rsidRDefault="00FC3493" w:rsidP="00FC3493">
            <w:pPr>
              <w:pStyle w:val="TableText0"/>
              <w:spacing w:before="20" w:after="20"/>
            </w:pPr>
            <w:r w:rsidRPr="006316DF">
              <w:t>Inconsistency: 0</w:t>
            </w:r>
          </w:p>
          <w:p w:rsidR="00FC3493" w:rsidRPr="006316DF" w:rsidRDefault="00FC3493" w:rsidP="00FC3493">
            <w:pPr>
              <w:pStyle w:val="TableText0"/>
              <w:spacing w:before="20" w:after="20"/>
            </w:pPr>
            <w:r w:rsidRPr="006316DF">
              <w:t xml:space="preserve">Indirectness: </w:t>
            </w:r>
            <w:r>
              <w:t>−2</w:t>
            </w:r>
          </w:p>
          <w:p w:rsidR="00FC3493" w:rsidRDefault="00FC3493" w:rsidP="00FC3493">
            <w:pPr>
              <w:pStyle w:val="TableText0"/>
              <w:spacing w:before="20" w:after="20"/>
            </w:pPr>
            <w:r w:rsidRPr="006316DF">
              <w:t>Imprecision: 0</w:t>
            </w:r>
          </w:p>
          <w:p w:rsidR="00FC3493" w:rsidRDefault="00FC3493" w:rsidP="00FC3493">
            <w:pPr>
              <w:pStyle w:val="TableText0"/>
              <w:spacing w:before="20" w:after="20"/>
            </w:pPr>
            <w:r w:rsidRPr="006316DF">
              <w:t>Publication bias: 0</w:t>
            </w:r>
          </w:p>
          <w:p w:rsidR="00FC3493" w:rsidRPr="006316DF" w:rsidRDefault="00FC3493" w:rsidP="00FC3493">
            <w:pPr>
              <w:pStyle w:val="TableText0"/>
              <w:spacing w:before="20" w:after="20"/>
            </w:pPr>
            <w:r>
              <w:t>Association: +1</w:t>
            </w:r>
          </w:p>
        </w:tc>
        <w:tc>
          <w:tcPr>
            <w:tcW w:w="1555" w:type="dxa"/>
          </w:tcPr>
          <w:p w:rsidR="00FC3493" w:rsidRPr="00A17B9D" w:rsidRDefault="00A17B9D" w:rsidP="00FC3493">
            <w:pPr>
              <w:pStyle w:val="TableText0"/>
              <w:spacing w:before="20" w:after="20"/>
              <w:rPr>
                <w:highlight w:val="black"/>
              </w:rPr>
            </w:pPr>
            <w:r>
              <w:rPr>
                <w:noProof/>
                <w:color w:val="000000"/>
                <w:highlight w:val="black"/>
              </w:rPr>
              <w:t>''''''''''''</w:t>
            </w:r>
            <w:r>
              <w:rPr>
                <w:noProof/>
                <w:color w:val="000000"/>
                <w:highlight w:val="black"/>
              </w:rPr>
              <w:br/>
              <w:t>''''''' ''' '''''''''''''''' '''''''''''''''''''''''''''''''</w:t>
            </w:r>
          </w:p>
        </w:tc>
        <w:tc>
          <w:tcPr>
            <w:tcW w:w="2409" w:type="dxa"/>
          </w:tcPr>
          <w:p w:rsidR="00FC3493" w:rsidRPr="00A17B9D" w:rsidRDefault="00A17B9D" w:rsidP="00FC3493">
            <w:pPr>
              <w:pStyle w:val="TableText0"/>
              <w:spacing w:before="20" w:after="20"/>
              <w:rPr>
                <w:highlight w:val="black"/>
              </w:rPr>
            </w:pPr>
            <w:r>
              <w:rPr>
                <w:noProof/>
                <w:color w:val="000000"/>
                <w:highlight w:val="black"/>
              </w:rPr>
              <w:t>'''''''''''''''''' ''''''''''''''''' '''''''''' '''' ''''''''''' ''''''''''''''''''''''' ''''''''' ''' '''''''''''''' ''''''''''''' '''''''''''''''''''''''''''''''' ''''' ''''''''''''''''''''''''''''''''''' '''''''''''''''''''''''''' ''''''''''''''''''''''' '''''''''' ''''''''''''' '''''' ''''''''''''''''</w:t>
            </w:r>
          </w:p>
        </w:tc>
        <w:tc>
          <w:tcPr>
            <w:tcW w:w="1134" w:type="dxa"/>
          </w:tcPr>
          <w:p w:rsidR="00FC3493" w:rsidRPr="006316DF" w:rsidRDefault="00FC3493" w:rsidP="00FC3493">
            <w:pPr>
              <w:pStyle w:val="TableText0"/>
              <w:spacing w:before="20" w:after="20"/>
            </w:pPr>
            <w:r>
              <w:t>Moderate</w:t>
            </w:r>
          </w:p>
          <w:p w:rsidR="00FC3493" w:rsidRPr="006316DF" w:rsidRDefault="00FC3493" w:rsidP="00FC3493">
            <w:pPr>
              <w:pStyle w:val="TableText0"/>
              <w:spacing w:before="20" w:after="20"/>
              <w:rPr>
                <w:bCs/>
              </w:rPr>
            </w:pPr>
            <w:r w:rsidRPr="006316DF">
              <w:rPr>
                <w:rFonts w:ascii="Cambria Math" w:hAnsi="Cambria Math" w:cs="Cambria Math"/>
                <w:bCs/>
                <w:color w:val="00B050"/>
              </w:rPr>
              <w:t>⨁⨁⨁</w:t>
            </w:r>
            <w:r w:rsidRPr="006316DF">
              <w:rPr>
                <w:rFonts w:ascii="Cambria Math" w:hAnsi="Cambria Math" w:cs="Cambria Math"/>
                <w:color w:val="C00000"/>
              </w:rPr>
              <w:t>⨀</w:t>
            </w:r>
          </w:p>
          <w:p w:rsidR="00FC3493" w:rsidRPr="006316DF" w:rsidRDefault="00FC3493" w:rsidP="00FC3493">
            <w:pPr>
              <w:pStyle w:val="TableText0"/>
              <w:spacing w:before="20" w:after="20"/>
            </w:pPr>
            <w:r w:rsidRPr="006316DF">
              <w:t>Not important</w:t>
            </w:r>
          </w:p>
        </w:tc>
      </w:tr>
    </w:tbl>
    <w:p w:rsidR="0075777C" w:rsidRDefault="0075777C" w:rsidP="00796F18">
      <w:pPr>
        <w:pStyle w:val="Tablenote"/>
      </w:pPr>
      <w:r w:rsidRPr="006316DF">
        <w:rPr>
          <w:vertAlign w:val="superscript"/>
        </w:rPr>
        <w:t xml:space="preserve">a </w:t>
      </w:r>
      <w:r w:rsidRPr="006316DF">
        <w:t>GRADE W</w:t>
      </w:r>
      <w:r>
        <w:t>orking Group grades of evidence</w:t>
      </w:r>
      <w:r w:rsidR="001D34EE" w:rsidRPr="001D34EE">
        <w:rPr>
          <w:noProof/>
          <w:vertAlign w:val="superscript"/>
        </w:rPr>
        <w:t>1</w:t>
      </w:r>
    </w:p>
    <w:p w:rsidR="0017449B" w:rsidRDefault="0017449B" w:rsidP="0017449B">
      <w:pPr>
        <w:pStyle w:val="Tablenote"/>
      </w:pPr>
      <w:r>
        <w:rPr>
          <w:vertAlign w:val="superscript"/>
        </w:rPr>
        <w:t xml:space="preserve">b </w:t>
      </w:r>
      <w:r>
        <w:t xml:space="preserve">EQ-5D utility scores range from </w:t>
      </w:r>
      <w:r w:rsidRPr="00C569DB">
        <w:t>−</w:t>
      </w:r>
      <w:r>
        <w:t>0.59 to 1.00. A higher score represents better QoL.</w:t>
      </w:r>
    </w:p>
    <w:p w:rsidR="0017449B" w:rsidRPr="006316DF" w:rsidRDefault="0017449B" w:rsidP="00796F18">
      <w:pPr>
        <w:pStyle w:val="Tablenote"/>
      </w:pPr>
      <w:r>
        <w:rPr>
          <w:vertAlign w:val="superscript"/>
        </w:rPr>
        <w:t xml:space="preserve">c </w:t>
      </w:r>
      <w:r>
        <w:t>LPH total scores range from 0 to 105. A higher score indicates poorer QoL.</w:t>
      </w:r>
    </w:p>
    <w:p w:rsidR="0075777C" w:rsidRPr="006316DF" w:rsidRDefault="0075777C" w:rsidP="00796F18">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7C2D99" w:rsidRPr="006316DF" w:rsidRDefault="007C2D99" w:rsidP="007C2D99">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Moderate quality:</w:t>
      </w:r>
      <w:r w:rsidRPr="006316DF">
        <w:t xml:space="preserve"> We are moderately confident in the effect estimate: The true effect is likely to be close to the estimate of the effect, but there is a possibility that it is substantially different</w:t>
      </w:r>
    </w:p>
    <w:p w:rsidR="00CF5BBF" w:rsidRPr="006316DF" w:rsidRDefault="00CF5BBF" w:rsidP="00CF5BBF">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75777C" w:rsidRPr="006316DF" w:rsidRDefault="0075777C" w:rsidP="00796F18">
      <w:pPr>
        <w:pStyle w:val="Tablenote"/>
      </w:pPr>
      <w:r>
        <w:lastRenderedPageBreak/>
        <w:t xml:space="preserve">6MWD = 6-minute </w:t>
      </w:r>
      <w:r w:rsidR="0082368E">
        <w:t>walk distance</w:t>
      </w:r>
      <w:r w:rsidR="00B21201">
        <w:t>; ARD</w:t>
      </w:r>
      <w:r>
        <w:t xml:space="preserve"> = absolute risk </w:t>
      </w:r>
      <w:r w:rsidR="00B21201">
        <w:t>difference</w:t>
      </w:r>
      <w:r>
        <w:t xml:space="preserve">; CI = confidence interval; </w:t>
      </w:r>
      <w:r w:rsidR="00572AE9">
        <w:t xml:space="preserve">EQ-5D = EuroQol 5 </w:t>
      </w:r>
      <w:r w:rsidRPr="00C65B42">
        <w:t xml:space="preserve">dimension; </w:t>
      </w:r>
      <w:r>
        <w:t xml:space="preserve">FC = functional class; </w:t>
      </w:r>
      <w:r w:rsidR="00385E5A">
        <w:t>GRADE = grading of recommendations assessment, development and evaluation</w:t>
      </w:r>
      <w:r w:rsidR="001D34EE" w:rsidRPr="001D34EE">
        <w:rPr>
          <w:noProof/>
          <w:vertAlign w:val="superscript"/>
        </w:rPr>
        <w:t>1</w:t>
      </w:r>
      <w:r w:rsidR="008E6DA8" w:rsidRPr="008E6DA8">
        <w:t xml:space="preserve">; k = number of studies; </w:t>
      </w:r>
      <w:r w:rsidRPr="00C65B42">
        <w:t xml:space="preserve">LPH = living with pulmonary hypertension; </w:t>
      </w:r>
      <w:r>
        <w:t xml:space="preserve">MD = mean difference; N = number of patients; </w:t>
      </w:r>
      <w:r w:rsidRPr="008D4A39">
        <w:t xml:space="preserve">PVR = pulmonary vascular resistance; </w:t>
      </w:r>
      <w:r>
        <w:t>QoL = quality of life; RCT = randomised controlled trial; RR = relative risk; sGC stimulator = s</w:t>
      </w:r>
      <w:r w:rsidRPr="004412D0">
        <w:t>oluble guanylate cyclase</w:t>
      </w:r>
      <w:r>
        <w:t>; WHO = World Health Organization</w:t>
      </w:r>
    </w:p>
    <w:p w:rsidR="0075777C" w:rsidRPr="006316DF" w:rsidRDefault="0075777C" w:rsidP="0075777C">
      <w:pPr>
        <w:pStyle w:val="Heading5"/>
      </w:pPr>
      <w:r w:rsidRPr="006316DF">
        <w:t>Safety</w:t>
      </w:r>
    </w:p>
    <w:p w:rsidR="005A20F4" w:rsidRPr="005A20F4" w:rsidRDefault="00F9638D" w:rsidP="0075777C">
      <w:r w:rsidRPr="00F9638D">
        <w:t>No conclusions about the comparative safety of a sGC stimulator versus placebo in patients with WHO FC I/II PAH could be made due to a lack of evidence</w:t>
      </w:r>
      <w:r w:rsidR="0075777C" w:rsidRPr="003447BE">
        <w:t xml:space="preserve">. </w:t>
      </w:r>
    </w:p>
    <w:p w:rsidR="005A20F4" w:rsidRDefault="005A20F4" w:rsidP="005A20F4">
      <w:pPr>
        <w:pStyle w:val="Heading3"/>
      </w:pPr>
      <w:bookmarkStart w:id="346" w:name="_Toc512855395"/>
      <w:r>
        <w:t>New evidence of effectiveness and safety of monotherapy in WHO FC III and IV</w:t>
      </w:r>
      <w:bookmarkEnd w:id="346"/>
      <w:r>
        <w:t xml:space="preserve"> </w:t>
      </w:r>
    </w:p>
    <w:p w:rsidR="005A20F4" w:rsidRDefault="0075777C" w:rsidP="00796F18">
      <w:r w:rsidRPr="00AE3E2E">
        <w:t xml:space="preserve">No new evidence was identified. </w:t>
      </w:r>
    </w:p>
    <w:p w:rsidR="005A20F4" w:rsidRDefault="005A20F4" w:rsidP="005A20F4">
      <w:pPr>
        <w:pStyle w:val="Heading3"/>
      </w:pPr>
      <w:bookmarkStart w:id="347" w:name="_Toc512855396"/>
      <w:r>
        <w:t>Effectiveness and safety of dual combination therapy</w:t>
      </w:r>
      <w:bookmarkEnd w:id="347"/>
    </w:p>
    <w:p w:rsidR="0075777C" w:rsidRPr="006316DF" w:rsidRDefault="000E0079" w:rsidP="0075777C">
      <w:pPr>
        <w:pStyle w:val="Heading4"/>
      </w:pPr>
      <w:r>
        <w:t>4.5.3.1</w:t>
      </w:r>
      <w:r>
        <w:tab/>
      </w:r>
      <w:r w:rsidR="0075777C" w:rsidRPr="006316DF">
        <w:t xml:space="preserve">ERA </w:t>
      </w:r>
      <w:r w:rsidR="0075777C" w:rsidRPr="00EF6A61">
        <w:t>in addition to PDE-5 inhibitor</w:t>
      </w:r>
    </w:p>
    <w:p w:rsidR="0075777C" w:rsidRPr="00107676" w:rsidRDefault="0075777C" w:rsidP="0075777C">
      <w:pPr>
        <w:pStyle w:val="Heading5"/>
      </w:pPr>
      <w:r w:rsidRPr="00107676">
        <w:t>Clinical effectiveness</w:t>
      </w:r>
    </w:p>
    <w:p w:rsidR="0075777C" w:rsidRDefault="0075777C" w:rsidP="0075777C">
      <w:r>
        <w:t xml:space="preserve">Of the four trials that provided the evidence base for </w:t>
      </w:r>
      <w:r w:rsidRPr="000522D6">
        <w:t xml:space="preserve">comparing </w:t>
      </w:r>
      <w:r>
        <w:t xml:space="preserve">the effectiveness of </w:t>
      </w:r>
      <w:r w:rsidRPr="000522D6">
        <w:t>an ERA in addition to PDE-5 inhibitor</w:t>
      </w:r>
      <w:r>
        <w:t xml:space="preserve"> compared with</w:t>
      </w:r>
      <w:r w:rsidRPr="000522D6">
        <w:t xml:space="preserve"> PDE-5 inhibitor monotherapy</w:t>
      </w:r>
      <w:r>
        <w:t>, three trials enrolled patients on stable PDE-5 inhibitor monotherapy (sequential combination therapy) and one trial (AMBITION) enrolled treatment naïve patients (initial combination therapy). There were no statistically significant differences between the outcomes for patients receiving initial combination therapy versus monotherapy for the AMBITION trial compared with the other three trials</w:t>
      </w:r>
      <w:r w:rsidRPr="00BE19DA">
        <w:t xml:space="preserve"> with patients receiving sequential combination therapy</w:t>
      </w:r>
      <w:r>
        <w:t xml:space="preserve"> versus monotherapy.</w:t>
      </w:r>
      <w:r w:rsidRPr="001A61AD">
        <w:t xml:space="preserve"> Two </w:t>
      </w:r>
      <w:r>
        <w:t>RCTs also included subgroup analys</w:t>
      </w:r>
      <w:r w:rsidR="006A201F">
        <w:t>e</w:t>
      </w:r>
      <w:r>
        <w:t>s for</w:t>
      </w:r>
      <w:r w:rsidRPr="001A61AD">
        <w:t xml:space="preserve"> </w:t>
      </w:r>
      <w:r>
        <w:t xml:space="preserve">patients with WHO FC III/IV PAH, and two RCTs included </w:t>
      </w:r>
      <w:r w:rsidRPr="00A14F28">
        <w:t>subgroup analys</w:t>
      </w:r>
      <w:r w:rsidR="006A201F">
        <w:t>e</w:t>
      </w:r>
      <w:r w:rsidRPr="00A14F28">
        <w:t>s for patients with</w:t>
      </w:r>
      <w:r>
        <w:t xml:space="preserve"> different PAH aetiologies.</w:t>
      </w:r>
    </w:p>
    <w:p w:rsidR="0075777C" w:rsidRDefault="0075777C" w:rsidP="0075777C">
      <w:r w:rsidRPr="006316DF">
        <w:t xml:space="preserve">The </w:t>
      </w:r>
      <w:r>
        <w:t xml:space="preserve">detailed </w:t>
      </w:r>
      <w:r w:rsidRPr="006316DF">
        <w:t>GRADE</w:t>
      </w:r>
      <w:r w:rsidR="001D34EE" w:rsidRPr="001D34EE">
        <w:rPr>
          <w:noProof/>
          <w:vertAlign w:val="superscript"/>
        </w:rPr>
        <w:t>1</w:t>
      </w:r>
      <w:r w:rsidRPr="006316DF">
        <w:t xml:space="preserve"> assessments of </w:t>
      </w:r>
      <w:r>
        <w:t>effectiveness</w:t>
      </w:r>
      <w:r w:rsidRPr="006316DF">
        <w:t xml:space="preserve"> outcomes when comparing an ERA </w:t>
      </w:r>
      <w:r w:rsidRPr="00BB3BB5">
        <w:t xml:space="preserve">in addition to PDE-5 inhibitor, relative to PDE-5 inhibitor monotherapy </w:t>
      </w:r>
      <w:r w:rsidRPr="006316DF">
        <w:t>are reported in</w:t>
      </w:r>
      <w:r>
        <w:t xml:space="preserve"> </w:t>
      </w:r>
      <w:r w:rsidR="00AA722D">
        <w:t>Table 4.</w:t>
      </w:r>
      <w:r w:rsidR="00AA722D">
        <w:rPr>
          <w:noProof/>
        </w:rPr>
        <w:t>149</w:t>
      </w:r>
      <w:r>
        <w:t xml:space="preserve"> to </w:t>
      </w:r>
      <w:r w:rsidR="00AA722D">
        <w:t>Table 4.</w:t>
      </w:r>
      <w:r w:rsidR="00AA722D">
        <w:rPr>
          <w:noProof/>
        </w:rPr>
        <w:t>151</w:t>
      </w:r>
      <w:r>
        <w:t xml:space="preserve"> </w:t>
      </w:r>
      <w:r w:rsidRPr="006316DF">
        <w:t xml:space="preserve">in Appendix </w:t>
      </w:r>
      <w:r w:rsidR="00DA2636">
        <w:t>4</w:t>
      </w:r>
      <w:r w:rsidR="001B552D">
        <w:t>C</w:t>
      </w:r>
      <w:r>
        <w:t>.</w:t>
      </w:r>
      <w:r w:rsidRPr="00B73C5B">
        <w:t xml:space="preserve"> </w:t>
      </w:r>
      <w:r w:rsidRPr="006316DF">
        <w:t xml:space="preserve">The evidence for the </w:t>
      </w:r>
      <w:r>
        <w:t xml:space="preserve">effectiveness </w:t>
      </w:r>
      <w:r w:rsidRPr="006316DF">
        <w:t xml:space="preserve">outcomes </w:t>
      </w:r>
      <w:r>
        <w:t xml:space="preserve">for all PAH patients is summarised </w:t>
      </w:r>
      <w:r w:rsidRPr="006316DF">
        <w:t>in</w:t>
      </w:r>
      <w:r>
        <w:t xml:space="preserve"> </w:t>
      </w:r>
      <w:r w:rsidR="00AA722D">
        <w:t>Table 4.</w:t>
      </w:r>
      <w:r w:rsidR="00AA722D">
        <w:rPr>
          <w:noProof/>
        </w:rPr>
        <w:t>123</w:t>
      </w:r>
      <w:r>
        <w:t>.</w:t>
      </w:r>
    </w:p>
    <w:p w:rsidR="0075777C" w:rsidRPr="00246B68" w:rsidRDefault="0075777C" w:rsidP="0075777C">
      <w:r>
        <w:t xml:space="preserve">All outcomes were </w:t>
      </w:r>
      <w:r w:rsidRPr="006316DF">
        <w:t xml:space="preserve">considered to be of </w:t>
      </w:r>
      <w:r>
        <w:t>high</w:t>
      </w:r>
      <w:r w:rsidRPr="006316DF">
        <w:t xml:space="preserve"> quality (GRADE </w:t>
      </w:r>
      <w:r w:rsidRPr="008727D6">
        <w:rPr>
          <w:rFonts w:ascii="Cambria Math" w:eastAsia="Times New Roman" w:hAnsi="Cambria Math" w:cs="Tahoma"/>
          <w:bCs/>
          <w:color w:val="00B050"/>
        </w:rPr>
        <w:t>⨁⨁⨁⨁</w:t>
      </w:r>
      <w:r w:rsidRPr="00246B68">
        <w:t>), except for all-cause mortality (</w:t>
      </w:r>
      <w:r w:rsidR="00BD512F">
        <w:t xml:space="preserve">moderate </w:t>
      </w:r>
      <w:r w:rsidRPr="00246B68">
        <w:t xml:space="preserve">GRADE </w:t>
      </w:r>
      <w:r w:rsidR="00920393" w:rsidRPr="00E564DD">
        <w:rPr>
          <w:rFonts w:ascii="Cambria Math" w:hAnsi="Cambria Math"/>
          <w:color w:val="00B050"/>
        </w:rPr>
        <w:t>⨁⨁⨁</w:t>
      </w:r>
      <w:r w:rsidR="00920393" w:rsidRPr="00E564DD">
        <w:rPr>
          <w:rFonts w:ascii="Cambria Math" w:hAnsi="Cambria Math"/>
          <w:color w:val="C00000"/>
        </w:rPr>
        <w:t>⨀</w:t>
      </w:r>
      <w:r w:rsidRPr="00246B68">
        <w:t>)</w:t>
      </w:r>
      <w:r w:rsidR="00BD512F">
        <w:t xml:space="preserve"> and c</w:t>
      </w:r>
      <w:r w:rsidR="00BD512F" w:rsidRPr="00BD512F">
        <w:t>hange in 6MWD</w:t>
      </w:r>
      <w:r w:rsidR="00BD512F">
        <w:t xml:space="preserve"> </w:t>
      </w:r>
      <w:r w:rsidR="00BD512F" w:rsidRPr="00246B68">
        <w:t>(</w:t>
      </w:r>
      <w:r w:rsidR="00BD512F">
        <w:t xml:space="preserve">low </w:t>
      </w:r>
      <w:r w:rsidR="00BD512F" w:rsidRPr="00246B68">
        <w:t xml:space="preserve">GRADE </w:t>
      </w:r>
      <w:r w:rsidR="00BD512F" w:rsidRPr="00E564DD">
        <w:rPr>
          <w:rFonts w:ascii="Cambria Math" w:hAnsi="Cambria Math"/>
          <w:color w:val="00B050"/>
        </w:rPr>
        <w:t>⨁⨁</w:t>
      </w:r>
      <w:r w:rsidR="00BD512F" w:rsidRPr="00E564DD">
        <w:rPr>
          <w:rFonts w:ascii="Cambria Math" w:hAnsi="Cambria Math"/>
          <w:color w:val="C00000"/>
        </w:rPr>
        <w:t>⨀⨀</w:t>
      </w:r>
      <w:r w:rsidR="00BD512F" w:rsidRPr="00246B68">
        <w:t>)</w:t>
      </w:r>
      <w:r w:rsidRPr="00246B68">
        <w:t>. Thus, the true effect of treating WHO FC I/II PAH with an ERA in addition to PDE-5 inhibitor, relative to PDE-5 inhibitor monotherapy is likely to be close to the reported point estimate. However, the possibility of the true estimate being close to t</w:t>
      </w:r>
      <w:r w:rsidR="00DA2636">
        <w:t>he 95% CIs cannot be ruled out.</w:t>
      </w:r>
    </w:p>
    <w:p w:rsidR="0075777C" w:rsidRDefault="0075777C" w:rsidP="0075777C">
      <w:r w:rsidRPr="006316DF">
        <w:t xml:space="preserve">When taking </w:t>
      </w:r>
      <w:r>
        <w:t>the whole body of evidence</w:t>
      </w:r>
      <w:r w:rsidRPr="006316DF">
        <w:t xml:space="preserve"> into account, </w:t>
      </w:r>
      <w:r w:rsidR="00A17B9D">
        <w:rPr>
          <w:noProof/>
          <w:color w:val="000000"/>
          <w:highlight w:val="black"/>
        </w:rPr>
        <w:t>'''''''''''''''''''' ''''''''''</w:t>
      </w:r>
      <w:r w:rsidRPr="006316DF">
        <w:t xml:space="preserve"> patients experienc</w:t>
      </w:r>
      <w:r>
        <w:t>ed</w:t>
      </w:r>
      <w:r w:rsidRPr="006316DF">
        <w:t xml:space="preserve"> </w:t>
      </w:r>
      <w:r w:rsidR="00A17B9D">
        <w:rPr>
          <w:noProof/>
          <w:color w:val="000000"/>
          <w:highlight w:val="black"/>
        </w:rPr>
        <w:t>'''''''''''' ''''''''''''''''''</w:t>
      </w:r>
      <w:r w:rsidRPr="006316DF">
        <w:t xml:space="preserve"> </w:t>
      </w:r>
      <w:r w:rsidR="00116EDA">
        <w:t xml:space="preserve">and PHA-related hospitalisation </w:t>
      </w:r>
      <w:r w:rsidRPr="006316DF">
        <w:t xml:space="preserve">when taking </w:t>
      </w:r>
      <w:r>
        <w:t xml:space="preserve">combination therapy </w:t>
      </w:r>
      <w:r w:rsidRPr="006316DF">
        <w:t xml:space="preserve">compared with </w:t>
      </w:r>
      <w:r>
        <w:t>monotherapy</w:t>
      </w:r>
      <w:r w:rsidRPr="006316DF">
        <w:t xml:space="preserve">. </w:t>
      </w:r>
      <w:r w:rsidR="00F42EBF">
        <w:t>T</w:t>
      </w:r>
      <w:r>
        <w:t xml:space="preserve">he </w:t>
      </w:r>
      <w:r w:rsidR="00F42EBF">
        <w:t xml:space="preserve">differences between combination therapy and monotherapy </w:t>
      </w:r>
      <w:r w:rsidR="00A17B9D">
        <w:rPr>
          <w:noProof/>
          <w:color w:val="000000"/>
          <w:highlight w:val="black"/>
        </w:rPr>
        <w:t>'''''' '''''' ''''''''''</w:t>
      </w:r>
      <w:r w:rsidR="00F42EBF" w:rsidRPr="0001351C">
        <w:rPr>
          <w:highlight w:val="cyan"/>
        </w:rPr>
        <w:t xml:space="preserve"> </w:t>
      </w:r>
      <w:r w:rsidR="00A17B9D">
        <w:rPr>
          <w:noProof/>
          <w:color w:val="000000"/>
          <w:highlight w:val="black"/>
        </w:rPr>
        <w:t>''''''''''''''''' '''''''''''''''''''' '''''' ''''''''''''''' ''''''''''''''''</w:t>
      </w:r>
      <w:r>
        <w:t xml:space="preserve">, and </w:t>
      </w:r>
      <w:r w:rsidR="0001351C">
        <w:t xml:space="preserve">there was little difference in </w:t>
      </w:r>
      <w:r>
        <w:t>improved or worsened WHO FC</w:t>
      </w:r>
      <w:r w:rsidR="0001351C">
        <w:t xml:space="preserve"> between treatment arms</w:t>
      </w:r>
      <w:r>
        <w:t xml:space="preserve">. </w:t>
      </w:r>
      <w:r w:rsidR="009411F3">
        <w:t>However, t</w:t>
      </w:r>
      <w:r>
        <w:t xml:space="preserve">he range of values in the 95% CIs included </w:t>
      </w:r>
      <w:r>
        <w:lastRenderedPageBreak/>
        <w:t xml:space="preserve">clinically relevant values favouring combination therapy over monotherapy, except for worsened WHO FC, which also had values favouring monotherapy. Thus, the true effect could not be determined for these outcomes. The mean differences in </w:t>
      </w:r>
      <w:r w:rsidR="00116B52">
        <w:rPr>
          <w:noProof/>
          <w:color w:val="000000"/>
          <w:highlight w:val="black"/>
        </w:rPr>
        <w:t>''''''''''''''</w:t>
      </w:r>
      <w:r>
        <w:t xml:space="preserve"> and QoL </w:t>
      </w:r>
      <w:r w:rsidR="00A17B9D">
        <w:rPr>
          <w:noProof/>
          <w:color w:val="000000"/>
          <w:highlight w:val="black"/>
        </w:rPr>
        <w:t>''''''''''''''''' '''''''''''''''''''''' '''''''''''''' '''''''' '''''''''''''''''''''''''''</w:t>
      </w:r>
      <w:r>
        <w:t xml:space="preserve">, but </w:t>
      </w:r>
      <w:r w:rsidR="00A17B9D">
        <w:rPr>
          <w:noProof/>
          <w:color w:val="000000"/>
          <w:highlight w:val="black"/>
        </w:rPr>
        <w:t>'''''''''' ''''''' ''''''''''''''' ''''''''''''''''''''</w:t>
      </w:r>
      <w:r>
        <w:t>.</w:t>
      </w:r>
    </w:p>
    <w:p w:rsidR="0075777C" w:rsidRDefault="0075777C" w:rsidP="0075777C">
      <w:r w:rsidRPr="00DA2636">
        <w:t xml:space="preserve">Thus, there </w:t>
      </w:r>
      <w:r w:rsidR="00246B68" w:rsidRPr="00DA2636">
        <w:t xml:space="preserve">is </w:t>
      </w:r>
      <w:r w:rsidR="00CA6CD8" w:rsidRPr="00DA2636">
        <w:t>some evidence to suggest that</w:t>
      </w:r>
      <w:r w:rsidRPr="00DA2636">
        <w:t xml:space="preserve"> </w:t>
      </w:r>
      <w:r w:rsidR="00246B68" w:rsidRPr="00DA2636">
        <w:t xml:space="preserve">the </w:t>
      </w:r>
      <w:r w:rsidRPr="00DA2636">
        <w:t>use of an ERA in addition to PDE-5 inhibitor, relative to PDE-5 inhibitor monotherapy to treat PAH patients is likely to be beneficial.</w:t>
      </w:r>
      <w:r w:rsidRPr="006316DF">
        <w:t xml:space="preserve"> </w:t>
      </w:r>
    </w:p>
    <w:p w:rsidR="0075777C" w:rsidRPr="006316DF" w:rsidRDefault="00272F8F" w:rsidP="00BC5A2B">
      <w:pPr>
        <w:pStyle w:val="Caption"/>
      </w:pPr>
      <w:bookmarkStart w:id="348" w:name="_Ref505765462"/>
      <w:bookmarkStart w:id="349" w:name="_Toc512855527"/>
      <w:r>
        <w:t>Table 4.</w:t>
      </w:r>
      <w:r w:rsidR="00AA722D">
        <w:rPr>
          <w:noProof/>
        </w:rPr>
        <w:t>123</w:t>
      </w:r>
      <w:bookmarkEnd w:id="348"/>
      <w:r w:rsidR="00796F18">
        <w:tab/>
      </w:r>
      <w:r w:rsidR="0075777C" w:rsidRPr="006316DF">
        <w:t xml:space="preserve">Balance of clinical benefits of </w:t>
      </w:r>
      <w:r w:rsidR="004B668A">
        <w:t xml:space="preserve">an </w:t>
      </w:r>
      <w:r w:rsidR="0075777C" w:rsidRPr="006316DF">
        <w:t>ERA</w:t>
      </w:r>
      <w:r w:rsidR="0075777C" w:rsidRPr="00EF6A61">
        <w:t xml:space="preserve"> in addition to </w:t>
      </w:r>
      <w:r w:rsidR="004B668A">
        <w:t xml:space="preserve">a </w:t>
      </w:r>
      <w:r w:rsidR="0075777C" w:rsidRPr="00EF6A61">
        <w:t>PDE-5 inhibitor</w:t>
      </w:r>
      <w:r w:rsidR="0075777C" w:rsidRPr="006316DF">
        <w:t xml:space="preserve">, relative to </w:t>
      </w:r>
      <w:r w:rsidR="0075777C" w:rsidRPr="00EF6A61">
        <w:t>PDE-5 inhibitor</w:t>
      </w:r>
      <w:r w:rsidR="0075777C">
        <w:t xml:space="preserve"> monotherapy in all PAH patients</w:t>
      </w:r>
      <w:bookmarkEnd w:id="349"/>
    </w:p>
    <w:tbl>
      <w:tblPr>
        <w:tblStyle w:val="TableGrid"/>
        <w:tblW w:w="9634" w:type="dxa"/>
        <w:tblLayout w:type="fixed"/>
        <w:tblLook w:val="04A0" w:firstRow="1" w:lastRow="0" w:firstColumn="1" w:lastColumn="0" w:noHBand="0" w:noVBand="1"/>
        <w:tblCaption w:val="Balance of clinical benefits of an ERA in addition to a PDE-5 inhibitor, relative to PDE-5 inhibitor monotherapy in all PAH patients"/>
      </w:tblPr>
      <w:tblGrid>
        <w:gridCol w:w="1560"/>
        <w:gridCol w:w="1275"/>
        <w:gridCol w:w="1701"/>
        <w:gridCol w:w="1413"/>
        <w:gridCol w:w="2551"/>
        <w:gridCol w:w="1134"/>
      </w:tblGrid>
      <w:tr w:rsidR="0075777C" w:rsidRPr="000647C6" w:rsidTr="00246B68">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0647C6" w:rsidRDefault="0075777C" w:rsidP="000647C6">
            <w:pPr>
              <w:pStyle w:val="Tabletext"/>
              <w:rPr>
                <w:b/>
                <w:noProof/>
              </w:rPr>
            </w:pPr>
            <w:r w:rsidRPr="000647C6">
              <w:rPr>
                <w:b/>
                <w:noProof/>
              </w:rPr>
              <w:t xml:space="preserve">Outcomes </w:t>
            </w:r>
          </w:p>
        </w:tc>
        <w:tc>
          <w:tcPr>
            <w:tcW w:w="1275" w:type="dxa"/>
          </w:tcPr>
          <w:p w:rsidR="0075777C" w:rsidRPr="000647C6" w:rsidRDefault="0075777C" w:rsidP="000647C6">
            <w:pPr>
              <w:pStyle w:val="Tabletext"/>
              <w:rPr>
                <w:b/>
                <w:noProof/>
              </w:rPr>
            </w:pPr>
            <w:r w:rsidRPr="000647C6">
              <w:rPr>
                <w:b/>
                <w:noProof/>
              </w:rPr>
              <w:t>Participants (studies)</w:t>
            </w:r>
          </w:p>
        </w:tc>
        <w:tc>
          <w:tcPr>
            <w:tcW w:w="1701" w:type="dxa"/>
          </w:tcPr>
          <w:p w:rsidR="0075777C" w:rsidRPr="000647C6" w:rsidRDefault="0075777C" w:rsidP="000647C6">
            <w:pPr>
              <w:pStyle w:val="Tabletext"/>
              <w:rPr>
                <w:b/>
                <w:noProof/>
              </w:rPr>
            </w:pPr>
            <w:r w:rsidRPr="000647C6">
              <w:rPr>
                <w:b/>
                <w:noProof/>
              </w:rPr>
              <w:t>Quality of evidence</w:t>
            </w:r>
          </w:p>
        </w:tc>
        <w:tc>
          <w:tcPr>
            <w:tcW w:w="1413" w:type="dxa"/>
          </w:tcPr>
          <w:p w:rsidR="0075777C" w:rsidRPr="000647C6" w:rsidRDefault="0075777C" w:rsidP="000647C6">
            <w:pPr>
              <w:pStyle w:val="Tabletext"/>
              <w:rPr>
                <w:b/>
                <w:noProof/>
              </w:rPr>
            </w:pPr>
            <w:r w:rsidRPr="000647C6">
              <w:rPr>
                <w:b/>
                <w:noProof/>
              </w:rPr>
              <w:t>Results</w:t>
            </w:r>
          </w:p>
        </w:tc>
        <w:tc>
          <w:tcPr>
            <w:tcW w:w="2551" w:type="dxa"/>
          </w:tcPr>
          <w:p w:rsidR="0075777C" w:rsidRPr="000647C6" w:rsidRDefault="0075777C" w:rsidP="000647C6">
            <w:pPr>
              <w:pStyle w:val="Tabletext"/>
              <w:rPr>
                <w:b/>
                <w:noProof/>
              </w:rPr>
            </w:pPr>
            <w:r w:rsidRPr="000647C6">
              <w:rPr>
                <w:b/>
                <w:noProof/>
              </w:rPr>
              <w:t>Interpretation</w:t>
            </w:r>
          </w:p>
        </w:tc>
        <w:tc>
          <w:tcPr>
            <w:tcW w:w="1134" w:type="dxa"/>
          </w:tcPr>
          <w:p w:rsidR="0075777C" w:rsidRPr="000647C6" w:rsidRDefault="0075777C" w:rsidP="000647C6">
            <w:pPr>
              <w:pStyle w:val="Tabletext"/>
              <w:rPr>
                <w:b/>
                <w:noProof/>
              </w:rPr>
            </w:pPr>
            <w:r w:rsidRPr="000647C6">
              <w:rPr>
                <w:b/>
                <w:noProof/>
              </w:rPr>
              <w:t>GRADE</w:t>
            </w:r>
            <w:r w:rsidR="008E6DA8" w:rsidRPr="008E6DA8">
              <w:rPr>
                <w:b/>
                <w:noProof/>
                <w:vertAlign w:val="superscript"/>
              </w:rPr>
              <w:t>a</w:t>
            </w:r>
          </w:p>
          <w:p w:rsidR="0075777C" w:rsidRPr="000647C6" w:rsidRDefault="0075777C" w:rsidP="000647C6">
            <w:pPr>
              <w:pStyle w:val="Tabletext"/>
              <w:rPr>
                <w:b/>
                <w:noProof/>
              </w:rPr>
            </w:pPr>
            <w:r w:rsidRPr="000647C6">
              <w:rPr>
                <w:b/>
                <w:noProof/>
              </w:rPr>
              <w:t>Importance</w:t>
            </w:r>
          </w:p>
        </w:tc>
      </w:tr>
      <w:tr w:rsidR="0075777C" w:rsidRPr="006316DF" w:rsidTr="00246B68">
        <w:tc>
          <w:tcPr>
            <w:tcW w:w="1560" w:type="dxa"/>
          </w:tcPr>
          <w:p w:rsidR="0075777C" w:rsidRPr="006316DF" w:rsidRDefault="0075777C" w:rsidP="000647C6">
            <w:pPr>
              <w:pStyle w:val="Tabletext"/>
            </w:pPr>
            <w:r w:rsidRPr="006316DF">
              <w:t xml:space="preserve">Clinical worsening </w:t>
            </w:r>
          </w:p>
        </w:tc>
        <w:tc>
          <w:tcPr>
            <w:tcW w:w="1275" w:type="dxa"/>
          </w:tcPr>
          <w:p w:rsidR="0075777C" w:rsidRPr="006316DF" w:rsidRDefault="0075777C" w:rsidP="000647C6">
            <w:pPr>
              <w:pStyle w:val="Tabletext"/>
            </w:pPr>
            <w:r w:rsidRPr="006316DF">
              <w:t>N=</w:t>
            </w:r>
            <w:r>
              <w:t>1,124</w:t>
            </w:r>
          </w:p>
          <w:p w:rsidR="0075777C" w:rsidRPr="006316DF" w:rsidRDefault="0075777C" w:rsidP="000647C6">
            <w:pPr>
              <w:pStyle w:val="Tabletext"/>
            </w:pPr>
            <w:r w:rsidRPr="006316DF">
              <w:t>k=</w:t>
            </w:r>
            <w:r>
              <w:t>4</w:t>
            </w:r>
            <w:r w:rsidRPr="006316DF">
              <w:t xml:space="preserve"> RCTs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+1</w:t>
            </w:r>
          </w:p>
        </w:tc>
        <w:tc>
          <w:tcPr>
            <w:tcW w:w="1413" w:type="dxa"/>
          </w:tcPr>
          <w:p w:rsidR="0075777C" w:rsidRPr="00A17B9D" w:rsidRDefault="00A17B9D" w:rsidP="000647C6">
            <w:pPr>
              <w:pStyle w:val="Tabletext"/>
              <w:rPr>
                <w:highlight w:val="black"/>
              </w:rPr>
            </w:pPr>
            <w:r>
              <w:rPr>
                <w:noProof/>
                <w:color w:val="000000"/>
                <w:highlight w:val="black"/>
              </w:rPr>
              <w:t>''''''''''''''''' '''''''' ''' '''''''''''' ''''''''''' ''''' '''''''''''' '''''''''''''</w:t>
            </w:r>
          </w:p>
        </w:tc>
        <w:tc>
          <w:tcPr>
            <w:tcW w:w="2551" w:type="dxa"/>
          </w:tcPr>
          <w:p w:rsidR="0075777C" w:rsidRPr="00A17B9D" w:rsidRDefault="00A17B9D" w:rsidP="000647C6">
            <w:pPr>
              <w:pStyle w:val="Tabletext"/>
              <w:rPr>
                <w:highlight w:val="black"/>
              </w:rPr>
            </w:pPr>
            <w:r>
              <w:rPr>
                <w:noProof/>
                <w:color w:val="000000"/>
                <w:highlight w:val="black"/>
              </w:rPr>
              <w:t>'''''''''''''''''''''''''''''' '''''''''''''' '''''''''''''''''''' '''''' ''''''''''''''''''''''''''''''' '''''''''''''''''''' ''''''''''''''''''''''''''''' ''''''''''''''''' '''''''''''''''''''''''' '''''''''''''''''''''' '''''''''' '''''''''''''''''''''''''''''</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rPr>
                <w:rFonts w:cs="Cambria Math"/>
                <w:bCs/>
              </w:rPr>
              <w:t xml:space="preserve">Critical </w:t>
            </w:r>
          </w:p>
        </w:tc>
      </w:tr>
      <w:tr w:rsidR="00920393" w:rsidRPr="006316DF" w:rsidTr="00920393">
        <w:tc>
          <w:tcPr>
            <w:tcW w:w="1560" w:type="dxa"/>
          </w:tcPr>
          <w:p w:rsidR="00920393" w:rsidRPr="006316DF" w:rsidRDefault="00920393" w:rsidP="00920393">
            <w:pPr>
              <w:pStyle w:val="Tabletext"/>
            </w:pPr>
            <w:r w:rsidRPr="006316DF">
              <w:t>All-cause mortality</w:t>
            </w:r>
          </w:p>
        </w:tc>
        <w:tc>
          <w:tcPr>
            <w:tcW w:w="1275" w:type="dxa"/>
          </w:tcPr>
          <w:p w:rsidR="00920393" w:rsidRPr="006316DF" w:rsidRDefault="00920393" w:rsidP="00920393">
            <w:pPr>
              <w:pStyle w:val="Tabletext"/>
            </w:pPr>
            <w:r w:rsidRPr="006316DF">
              <w:t>N=</w:t>
            </w:r>
            <w:r>
              <w:t>1</w:t>
            </w:r>
            <w:r w:rsidR="009F446F">
              <w:t>124</w:t>
            </w:r>
          </w:p>
          <w:p w:rsidR="00920393" w:rsidRPr="006316DF" w:rsidRDefault="00920393" w:rsidP="00920393">
            <w:pPr>
              <w:pStyle w:val="Tabletext"/>
            </w:pPr>
            <w:r w:rsidRPr="006316DF">
              <w:t>k=</w:t>
            </w:r>
            <w:r>
              <w:t>4</w:t>
            </w:r>
            <w:r w:rsidRPr="006316DF">
              <w:t xml:space="preserve"> RCTs</w:t>
            </w:r>
          </w:p>
        </w:tc>
        <w:tc>
          <w:tcPr>
            <w:tcW w:w="1701" w:type="dxa"/>
          </w:tcPr>
          <w:p w:rsidR="00920393" w:rsidRPr="006316DF" w:rsidRDefault="00920393" w:rsidP="00920393">
            <w:pPr>
              <w:pStyle w:val="Tabletext"/>
            </w:pPr>
            <w:r>
              <w:t>Risk of bias: 0</w:t>
            </w:r>
          </w:p>
          <w:p w:rsidR="00920393" w:rsidRPr="006316DF" w:rsidRDefault="00920393" w:rsidP="00920393">
            <w:pPr>
              <w:pStyle w:val="Tabletext"/>
            </w:pPr>
            <w:r w:rsidRPr="006316DF">
              <w:t xml:space="preserve">Inconsistency: </w:t>
            </w:r>
            <w:r>
              <w:t>−</w:t>
            </w:r>
            <w:r w:rsidRPr="006316DF">
              <w:t>1</w:t>
            </w:r>
          </w:p>
          <w:p w:rsidR="00920393" w:rsidRPr="006316DF" w:rsidRDefault="00920393" w:rsidP="00920393">
            <w:pPr>
              <w:pStyle w:val="Tabletext"/>
            </w:pPr>
            <w:r w:rsidRPr="006316DF">
              <w:t>Indirectness: 0</w:t>
            </w:r>
          </w:p>
          <w:p w:rsidR="00920393" w:rsidRDefault="00920393" w:rsidP="00920393">
            <w:pPr>
              <w:pStyle w:val="Tabletext"/>
            </w:pPr>
            <w:r w:rsidRPr="006316DF">
              <w:t>Imprecision: 0</w:t>
            </w:r>
          </w:p>
          <w:p w:rsidR="00920393" w:rsidRDefault="00920393" w:rsidP="00920393">
            <w:pPr>
              <w:pStyle w:val="Tabletext"/>
            </w:pPr>
            <w:r w:rsidRPr="006316DF">
              <w:t>Publication bias: 0</w:t>
            </w:r>
          </w:p>
          <w:p w:rsidR="00920393" w:rsidRPr="006316DF" w:rsidRDefault="00920393" w:rsidP="00920393">
            <w:pPr>
              <w:pStyle w:val="Tabletext"/>
            </w:pPr>
            <w:r>
              <w:t>Association: 0</w:t>
            </w:r>
          </w:p>
        </w:tc>
        <w:tc>
          <w:tcPr>
            <w:tcW w:w="1413" w:type="dxa"/>
          </w:tcPr>
          <w:p w:rsidR="00920393" w:rsidRPr="00A17B9D" w:rsidRDefault="00A17B9D" w:rsidP="009F446F">
            <w:pPr>
              <w:pStyle w:val="Tabletext"/>
              <w:rPr>
                <w:highlight w:val="black"/>
              </w:rPr>
            </w:pPr>
            <w:r>
              <w:rPr>
                <w:noProof/>
                <w:color w:val="000000"/>
                <w:highlight w:val="black"/>
              </w:rPr>
              <w:t>''''''''''''''''' '''''''' ''' '''''''''' ''''''''''''' '''''' '''''''''''' ''''''''''''</w:t>
            </w:r>
          </w:p>
        </w:tc>
        <w:tc>
          <w:tcPr>
            <w:tcW w:w="2551" w:type="dxa"/>
          </w:tcPr>
          <w:p w:rsidR="00920393" w:rsidRPr="00A17B9D" w:rsidRDefault="00A17B9D" w:rsidP="004B668A">
            <w:pPr>
              <w:pStyle w:val="Tabletext"/>
              <w:rPr>
                <w:highlight w:val="black"/>
              </w:rPr>
            </w:pPr>
            <w:r>
              <w:rPr>
                <w:noProof/>
                <w:color w:val="000000"/>
                <w:highlight w:val="black"/>
              </w:rPr>
              <w:t>'''''''''''''''' '''''''''''''''''''' ''''''''''' ''''''''''' ''''''''' '''''''''''''' ''''''''' ''''''''''''''''''''''''''' '''''''''''''''''' '''''''''''''''''''''''''' '''''''''' '''''''''''''''''''''''''''''''' '''''''' ''''''' ''''''''''' '''''' ''''''''''''''''''''' '''''''''' '''''''''''' ''''''''''' ''''''''''' '''''' '''''' ''''''''''''''</w:t>
            </w:r>
          </w:p>
        </w:tc>
        <w:tc>
          <w:tcPr>
            <w:tcW w:w="1134" w:type="dxa"/>
            <w:tcBorders>
              <w:top w:val="single" w:sz="4" w:space="0" w:color="auto"/>
              <w:left w:val="single" w:sz="4" w:space="0" w:color="auto"/>
              <w:bottom w:val="single" w:sz="4" w:space="0" w:color="auto"/>
              <w:right w:val="single" w:sz="4" w:space="0" w:color="auto"/>
            </w:tcBorders>
          </w:tcPr>
          <w:p w:rsidR="00920393" w:rsidRDefault="00920393" w:rsidP="00920393">
            <w:pPr>
              <w:pStyle w:val="Tabletext"/>
              <w:rPr>
                <w:rFonts w:eastAsia="Times New Roman"/>
              </w:rPr>
            </w:pPr>
            <w:r>
              <w:rPr>
                <w:rFonts w:eastAsia="Times New Roman"/>
              </w:rPr>
              <w:t>Moderate</w:t>
            </w:r>
          </w:p>
          <w:p w:rsidR="00920393" w:rsidRDefault="00920393" w:rsidP="00920393">
            <w:pPr>
              <w:pStyle w:val="Tabletext"/>
              <w:rPr>
                <w:rFonts w:ascii="Cambria Math" w:eastAsia="Times New Roman" w:hAnsi="Cambria Math"/>
              </w:rPr>
            </w:pPr>
            <w:r w:rsidRPr="00E564DD">
              <w:rPr>
                <w:rFonts w:ascii="Cambria Math" w:eastAsia="Times New Roman" w:hAnsi="Cambria Math"/>
                <w:color w:val="00B050"/>
              </w:rPr>
              <w:t>⨁⨁⨁</w:t>
            </w:r>
            <w:r w:rsidRPr="00E564DD">
              <w:rPr>
                <w:rFonts w:ascii="Cambria Math" w:eastAsia="Times New Roman" w:hAnsi="Cambria Math"/>
                <w:color w:val="C00000"/>
              </w:rPr>
              <w:t>⨀</w:t>
            </w:r>
          </w:p>
          <w:p w:rsidR="00920393" w:rsidRPr="006316DF" w:rsidRDefault="00920393" w:rsidP="00920393">
            <w:pPr>
              <w:pStyle w:val="Tabletext"/>
            </w:pPr>
            <w:r w:rsidRPr="00E564DD">
              <w:rPr>
                <w:rFonts w:cs="Tahoma"/>
              </w:rPr>
              <w:t>Critical</w:t>
            </w:r>
          </w:p>
        </w:tc>
      </w:tr>
      <w:tr w:rsidR="0075777C" w:rsidRPr="006316DF" w:rsidTr="00246B68">
        <w:tc>
          <w:tcPr>
            <w:tcW w:w="1560" w:type="dxa"/>
          </w:tcPr>
          <w:p w:rsidR="0075777C" w:rsidRPr="006316DF" w:rsidRDefault="0075777C" w:rsidP="00C84392">
            <w:pPr>
              <w:pStyle w:val="Tabletext"/>
            </w:pPr>
            <w:r>
              <w:t>Hospitalisation</w:t>
            </w:r>
            <w:r w:rsidR="00E26A38">
              <w:t xml:space="preserve"> </w:t>
            </w:r>
            <w:r w:rsidR="00C84392">
              <w:t xml:space="preserve">due to </w:t>
            </w:r>
            <w:r w:rsidR="00CF5BBF">
              <w:t xml:space="preserve">worsening </w:t>
            </w:r>
            <w:r w:rsidR="00C84392">
              <w:t>PAH</w:t>
            </w:r>
          </w:p>
        </w:tc>
        <w:tc>
          <w:tcPr>
            <w:tcW w:w="1275" w:type="dxa"/>
          </w:tcPr>
          <w:p w:rsidR="0075777C" w:rsidRPr="006316DF" w:rsidRDefault="0075777C" w:rsidP="000647C6">
            <w:pPr>
              <w:pStyle w:val="Tabletext"/>
            </w:pPr>
            <w:r w:rsidRPr="006316DF">
              <w:t>N=</w:t>
            </w:r>
            <w:r w:rsidR="009F446F">
              <w:t>7</w:t>
            </w:r>
            <w:r>
              <w:t>6</w:t>
            </w:r>
            <w:r w:rsidR="009F446F">
              <w:t>1</w:t>
            </w:r>
          </w:p>
          <w:p w:rsidR="0075777C" w:rsidRPr="006316DF" w:rsidRDefault="0075777C" w:rsidP="000647C6">
            <w:pPr>
              <w:pStyle w:val="Tabletext"/>
            </w:pPr>
            <w:r w:rsidRPr="006316DF">
              <w:t>k=</w:t>
            </w:r>
            <w:r>
              <w:t>2</w:t>
            </w:r>
            <w:r w:rsidRPr="006316DF">
              <w:t xml:space="preserve"> RCTs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 xml:space="preserve">Inconsistency: </w:t>
            </w:r>
            <w:r>
              <w:t>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F42EBF">
            <w:pPr>
              <w:pStyle w:val="Tabletext"/>
            </w:pPr>
            <w:r>
              <w:t xml:space="preserve">Association: </w:t>
            </w:r>
            <w:r w:rsidR="00F42EBF">
              <w:t>+1</w:t>
            </w:r>
          </w:p>
        </w:tc>
        <w:tc>
          <w:tcPr>
            <w:tcW w:w="1413" w:type="dxa"/>
          </w:tcPr>
          <w:p w:rsidR="0075777C" w:rsidRPr="004A69F0" w:rsidRDefault="0075777C" w:rsidP="00EE4DF7">
            <w:pPr>
              <w:pStyle w:val="Tabletext"/>
            </w:pPr>
            <w:r w:rsidRPr="004A69F0">
              <w:t>Pooled RR = 0.</w:t>
            </w:r>
            <w:r w:rsidR="00EE4DF7">
              <w:t>67</w:t>
            </w:r>
            <w:r>
              <w:t xml:space="preserve"> (95% CI 0.</w:t>
            </w:r>
            <w:r w:rsidR="00EE4DF7">
              <w:t>4</w:t>
            </w:r>
            <w:r>
              <w:t>5</w:t>
            </w:r>
            <w:r w:rsidRPr="004A69F0">
              <w:t xml:space="preserve">, </w:t>
            </w:r>
            <w:r>
              <w:t>0</w:t>
            </w:r>
            <w:r w:rsidR="00EE4DF7">
              <w:t>.9</w:t>
            </w:r>
            <w:r>
              <w:t>8</w:t>
            </w:r>
            <w:r w:rsidRPr="004A69F0">
              <w:t>)</w:t>
            </w:r>
          </w:p>
        </w:tc>
        <w:tc>
          <w:tcPr>
            <w:tcW w:w="2551" w:type="dxa"/>
          </w:tcPr>
          <w:p w:rsidR="0075777C" w:rsidRPr="004A69F0" w:rsidRDefault="00767852" w:rsidP="00767852">
            <w:pPr>
              <w:pStyle w:val="Tabletext"/>
            </w:pPr>
            <w:r w:rsidRPr="008B0C36">
              <w:t>Significantly fewer patients on combination therapy were hospitalised compared with monotherapy</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0647C6" w:rsidP="000647C6">
            <w:pPr>
              <w:pStyle w:val="Tabletext"/>
            </w:pPr>
            <w:r>
              <w:t>Important</w:t>
            </w:r>
          </w:p>
        </w:tc>
      </w:tr>
      <w:tr w:rsidR="0075777C" w:rsidRPr="006316DF" w:rsidTr="00246B68">
        <w:tc>
          <w:tcPr>
            <w:tcW w:w="1560" w:type="dxa"/>
          </w:tcPr>
          <w:p w:rsidR="0075777C" w:rsidRPr="006316DF" w:rsidRDefault="0075777C" w:rsidP="000647C6">
            <w:pPr>
              <w:pStyle w:val="Tabletext"/>
            </w:pPr>
            <w:r w:rsidRPr="006316DF">
              <w:t>Improved WHO FC</w:t>
            </w:r>
          </w:p>
        </w:tc>
        <w:tc>
          <w:tcPr>
            <w:tcW w:w="1275" w:type="dxa"/>
          </w:tcPr>
          <w:p w:rsidR="0075777C" w:rsidRPr="006316DF" w:rsidRDefault="0075777C" w:rsidP="000647C6">
            <w:pPr>
              <w:pStyle w:val="Tabletext"/>
            </w:pPr>
            <w:r w:rsidRPr="006316DF">
              <w:t>N=</w:t>
            </w:r>
            <w:r>
              <w:t>7</w:t>
            </w:r>
            <w:r w:rsidRPr="006316DF">
              <w:t>0</w:t>
            </w:r>
            <w:r>
              <w:t>6</w:t>
            </w:r>
          </w:p>
          <w:p w:rsidR="0075777C" w:rsidRPr="006316DF" w:rsidRDefault="0075777C" w:rsidP="000647C6">
            <w:pPr>
              <w:pStyle w:val="Tabletext"/>
            </w:pPr>
            <w:r w:rsidRPr="006316DF">
              <w:t>k=</w:t>
            </w:r>
            <w:r>
              <w:t>2</w:t>
            </w:r>
            <w:r w:rsidRPr="006316DF">
              <w:t xml:space="preserve"> RCT</w:t>
            </w:r>
            <w:r>
              <w: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3" w:type="dxa"/>
          </w:tcPr>
          <w:p w:rsidR="0075777C" w:rsidRPr="002812F2" w:rsidRDefault="0075777C" w:rsidP="000647C6">
            <w:pPr>
              <w:pStyle w:val="Tabletext"/>
            </w:pPr>
            <w:r>
              <w:t>Pooled RR</w:t>
            </w:r>
            <w:r w:rsidRPr="002812F2">
              <w:t xml:space="preserve"> = 1.</w:t>
            </w:r>
            <w:r>
              <w:t>1</w:t>
            </w:r>
            <w:r w:rsidRPr="002812F2">
              <w:t>0 (</w:t>
            </w:r>
            <w:r>
              <w:t>95% CI 0</w:t>
            </w:r>
            <w:r w:rsidRPr="002812F2">
              <w:t>.</w:t>
            </w:r>
            <w:r>
              <w:t>85,</w:t>
            </w:r>
            <w:r w:rsidRPr="002812F2">
              <w:t xml:space="preserve"> </w:t>
            </w:r>
            <w:r>
              <w:t>1</w:t>
            </w:r>
            <w:r w:rsidRPr="002812F2">
              <w:t>.</w:t>
            </w:r>
            <w:r>
              <w:t>42</w:t>
            </w:r>
            <w:r w:rsidRPr="002812F2">
              <w:t>)</w:t>
            </w:r>
          </w:p>
        </w:tc>
        <w:tc>
          <w:tcPr>
            <w:tcW w:w="2551" w:type="dxa"/>
          </w:tcPr>
          <w:p w:rsidR="0075777C" w:rsidRPr="002812F2" w:rsidRDefault="0075777C" w:rsidP="000647C6">
            <w:pPr>
              <w:pStyle w:val="Tabletext"/>
            </w:pPr>
            <w:r>
              <w:t>There wa</w:t>
            </w:r>
            <w:r w:rsidRPr="002812F2">
              <w:t xml:space="preserve">s </w:t>
            </w:r>
            <w:r>
              <w:t>little</w:t>
            </w:r>
            <w:r w:rsidRPr="002812F2">
              <w:t xml:space="preserve"> </w:t>
            </w:r>
            <w:r>
              <w:t>difference in the proportion of</w:t>
            </w:r>
            <w:r w:rsidRPr="002812F2">
              <w:t xml:space="preserve"> patients </w:t>
            </w:r>
            <w:r>
              <w:t>receiving combination therapy</w:t>
            </w:r>
            <w:r w:rsidRPr="002812F2">
              <w:t xml:space="preserve"> </w:t>
            </w:r>
            <w:r>
              <w:t xml:space="preserve">or monotherapy who improved their </w:t>
            </w:r>
            <w:r w:rsidRPr="002812F2">
              <w:t>WHO FC</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t>Important</w:t>
            </w:r>
          </w:p>
        </w:tc>
      </w:tr>
      <w:tr w:rsidR="0075777C" w:rsidRPr="006316DF" w:rsidTr="00246B68">
        <w:tc>
          <w:tcPr>
            <w:tcW w:w="1560" w:type="dxa"/>
          </w:tcPr>
          <w:p w:rsidR="0075777C" w:rsidRPr="006316DF" w:rsidRDefault="0075777C" w:rsidP="000647C6">
            <w:pPr>
              <w:pStyle w:val="Tabletext"/>
            </w:pPr>
            <w:r w:rsidRPr="006316DF">
              <w:t>Worsened WHO FC</w:t>
            </w:r>
          </w:p>
        </w:tc>
        <w:tc>
          <w:tcPr>
            <w:tcW w:w="1275" w:type="dxa"/>
          </w:tcPr>
          <w:p w:rsidR="0075777C" w:rsidRPr="006316DF" w:rsidRDefault="0075777C" w:rsidP="000647C6">
            <w:pPr>
              <w:pStyle w:val="Tabletext"/>
            </w:pPr>
            <w:r>
              <w:t>N=7</w:t>
            </w:r>
            <w:r w:rsidRPr="006316DF">
              <w:t>0</w:t>
            </w:r>
            <w:r>
              <w:t>6</w:t>
            </w:r>
          </w:p>
          <w:p w:rsidR="0075777C" w:rsidRPr="006316DF" w:rsidRDefault="0075777C" w:rsidP="000647C6">
            <w:pPr>
              <w:pStyle w:val="Tabletext"/>
            </w:pPr>
            <w:r w:rsidRPr="006316DF">
              <w:t>k=</w:t>
            </w:r>
            <w:r>
              <w:t>2</w:t>
            </w:r>
            <w:r w:rsidRPr="006316DF">
              <w:t xml:space="preserve"> RCT</w:t>
            </w:r>
            <w:r w:rsidR="004B668A">
              <w:t>s</w:t>
            </w:r>
          </w:p>
        </w:tc>
        <w:tc>
          <w:tcPr>
            <w:tcW w:w="1701" w:type="dxa"/>
          </w:tcPr>
          <w:p w:rsidR="0075777C" w:rsidRPr="006316DF" w:rsidRDefault="0075777C" w:rsidP="000647C6">
            <w:pPr>
              <w:pStyle w:val="Tabletext"/>
            </w:pPr>
            <w:r w:rsidRPr="006316DF">
              <w:t xml:space="preserve">Risk of bias: </w:t>
            </w:r>
            <w:r>
              <w:t>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3" w:type="dxa"/>
          </w:tcPr>
          <w:p w:rsidR="0075777C" w:rsidRPr="002812F2" w:rsidRDefault="0075777C" w:rsidP="000647C6">
            <w:pPr>
              <w:pStyle w:val="Tabletext"/>
            </w:pPr>
            <w:r w:rsidRPr="002812F2">
              <w:t xml:space="preserve">RR = </w:t>
            </w:r>
            <w:r>
              <w:t>1.</w:t>
            </w:r>
            <w:r w:rsidRPr="002812F2">
              <w:t>0</w:t>
            </w:r>
            <w:r>
              <w:t>0</w:t>
            </w:r>
            <w:r w:rsidRPr="002812F2">
              <w:t xml:space="preserve"> (95% CI 0.</w:t>
            </w:r>
            <w:r>
              <w:t>58</w:t>
            </w:r>
            <w:r w:rsidRPr="002812F2">
              <w:t xml:space="preserve">, </w:t>
            </w:r>
            <w:r>
              <w:t>1</w:t>
            </w:r>
            <w:r w:rsidRPr="002812F2">
              <w:t>.</w:t>
            </w:r>
            <w:r>
              <w:t>73</w:t>
            </w:r>
            <w:r w:rsidRPr="002812F2">
              <w:t>)</w:t>
            </w:r>
          </w:p>
        </w:tc>
        <w:tc>
          <w:tcPr>
            <w:tcW w:w="2551" w:type="dxa"/>
          </w:tcPr>
          <w:p w:rsidR="0075777C" w:rsidRPr="002812F2" w:rsidRDefault="0075777C" w:rsidP="000647C6">
            <w:pPr>
              <w:pStyle w:val="Tabletext"/>
            </w:pPr>
            <w:r>
              <w:t>There wa</w:t>
            </w:r>
            <w:r w:rsidRPr="002812F2">
              <w:t xml:space="preserve">s </w:t>
            </w:r>
            <w:r>
              <w:t>no</w:t>
            </w:r>
            <w:r w:rsidRPr="002812F2">
              <w:t xml:space="preserve"> </w:t>
            </w:r>
            <w:r>
              <w:t>difference in the proportion of</w:t>
            </w:r>
            <w:r w:rsidRPr="002812F2">
              <w:t xml:space="preserve"> patients </w:t>
            </w:r>
            <w:r>
              <w:t>receiving combination therapy</w:t>
            </w:r>
            <w:r w:rsidRPr="002812F2">
              <w:t xml:space="preserve"> </w:t>
            </w:r>
            <w:r>
              <w:t xml:space="preserve">or monotherapy who had </w:t>
            </w:r>
            <w:r w:rsidRPr="002812F2">
              <w:t>worsening</w:t>
            </w:r>
            <w:r>
              <w:t xml:space="preserve"> of their </w:t>
            </w:r>
            <w:r w:rsidRPr="002812F2">
              <w:t xml:space="preserve">WHO FC </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t>Important</w:t>
            </w:r>
          </w:p>
        </w:tc>
      </w:tr>
      <w:tr w:rsidR="0075777C" w:rsidRPr="006316DF" w:rsidTr="00246B68">
        <w:tc>
          <w:tcPr>
            <w:tcW w:w="1560" w:type="dxa"/>
          </w:tcPr>
          <w:p w:rsidR="0075777C" w:rsidRPr="006316DF" w:rsidRDefault="0075777C" w:rsidP="000647C6">
            <w:pPr>
              <w:pStyle w:val="Tabletext"/>
            </w:pPr>
            <w:r w:rsidRPr="006316DF">
              <w:lastRenderedPageBreak/>
              <w:t>Change in 6MWD</w:t>
            </w:r>
            <w:r w:rsidR="00CF5BBF">
              <w:t xml:space="preserve"> from baseline</w:t>
            </w:r>
          </w:p>
        </w:tc>
        <w:tc>
          <w:tcPr>
            <w:tcW w:w="1275" w:type="dxa"/>
          </w:tcPr>
          <w:p w:rsidR="0075777C" w:rsidRPr="006316DF" w:rsidRDefault="0075777C" w:rsidP="000647C6">
            <w:pPr>
              <w:pStyle w:val="Tabletext"/>
            </w:pPr>
            <w:r w:rsidRPr="006316DF">
              <w:t>N=1</w:t>
            </w:r>
            <w:r>
              <w:t>,0</w:t>
            </w:r>
            <w:r w:rsidRPr="006316DF">
              <w:t>4</w:t>
            </w:r>
            <w:r>
              <w:t>6</w:t>
            </w:r>
          </w:p>
          <w:p w:rsidR="0075777C" w:rsidRPr="006316DF" w:rsidRDefault="0075777C" w:rsidP="004B668A">
            <w:pPr>
              <w:pStyle w:val="Tabletext"/>
            </w:pPr>
            <w:r w:rsidRPr="006316DF">
              <w:t>k=</w:t>
            </w:r>
            <w:r w:rsidR="004B668A">
              <w:t>4</w:t>
            </w:r>
            <w:r w:rsidRPr="006316DF">
              <w:t xml:space="preserve"> RCT</w:t>
            </w:r>
            <w:r w:rsidR="004B668A">
              <w: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 xml:space="preserve">Indirectness: </w:t>
            </w:r>
            <w:r w:rsidR="00F705F8">
              <w:t>−1</w:t>
            </w:r>
          </w:p>
          <w:p w:rsidR="0075777C" w:rsidRDefault="00B179F1" w:rsidP="000647C6">
            <w:pPr>
              <w:pStyle w:val="Tabletext"/>
            </w:pPr>
            <w:r>
              <w:t>Imprecision: −1</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3" w:type="dxa"/>
          </w:tcPr>
          <w:p w:rsidR="0075777C" w:rsidRPr="00CF5BBF" w:rsidRDefault="00FA2050" w:rsidP="007A3E34">
            <w:pPr>
              <w:pStyle w:val="Tabletext"/>
            </w:pPr>
            <w:r w:rsidRPr="00CF5BBF">
              <w:t>R</w:t>
            </w:r>
            <w:r w:rsidR="0075777C" w:rsidRPr="00CF5BBF">
              <w:t>ange 17.3</w:t>
            </w:r>
            <w:r w:rsidR="009B6434" w:rsidRPr="00CF5BBF">
              <w:t xml:space="preserve"> m less to </w:t>
            </w:r>
            <w:r w:rsidR="0075777C" w:rsidRPr="00CF5BBF">
              <w:t>26.3</w:t>
            </w:r>
            <w:r w:rsidR="007A3E34" w:rsidRPr="00CF5BBF">
              <w:t xml:space="preserve"> m further</w:t>
            </w:r>
          </w:p>
        </w:tc>
        <w:tc>
          <w:tcPr>
            <w:tcW w:w="2551" w:type="dxa"/>
          </w:tcPr>
          <w:p w:rsidR="0075777C" w:rsidRPr="00CF5BBF" w:rsidRDefault="006B2E03" w:rsidP="006B2E03">
            <w:pPr>
              <w:pStyle w:val="Tabletext"/>
            </w:pPr>
            <w:r w:rsidRPr="00CF5BBF">
              <w:t>In 3 out of 4 studies, p</w:t>
            </w:r>
            <w:r w:rsidR="0075777C" w:rsidRPr="00CF5BBF">
              <w:t>atients on combination therapy had a larger mean improvement in their 6MWD than those on monotherapy</w:t>
            </w:r>
            <w:r w:rsidR="00A17B9D">
              <w:rPr>
                <w:noProof/>
                <w:color w:val="000000"/>
                <w:highlight w:val="black"/>
              </w:rPr>
              <w:t>'' ''''''''' '''''''' '''''''''''''''''''''' ''''''''' ''''''' '''''''''''''''''''' ''''''''''''''''''''''''</w:t>
            </w:r>
          </w:p>
        </w:tc>
        <w:tc>
          <w:tcPr>
            <w:tcW w:w="1134" w:type="dxa"/>
          </w:tcPr>
          <w:p w:rsidR="0075777C" w:rsidRPr="006316DF" w:rsidRDefault="00B179F1" w:rsidP="000647C6">
            <w:pPr>
              <w:pStyle w:val="Tabletext"/>
            </w:pPr>
            <w:r>
              <w:t>Low</w:t>
            </w:r>
          </w:p>
          <w:p w:rsidR="0075777C" w:rsidRPr="006316DF" w:rsidRDefault="0075777C" w:rsidP="000647C6">
            <w:pPr>
              <w:pStyle w:val="Tabletext"/>
              <w:rPr>
                <w:rFonts w:cs="Cambria Math"/>
                <w:bCs/>
              </w:rPr>
            </w:pPr>
            <w:r w:rsidRPr="006316DF">
              <w:rPr>
                <w:rFonts w:ascii="Cambria Math" w:hAnsi="Cambria Math" w:cs="Cambria Math"/>
                <w:bCs/>
                <w:color w:val="00B050"/>
              </w:rPr>
              <w:t>⨁⨁</w:t>
            </w:r>
            <w:r w:rsidR="00B179F1" w:rsidRPr="00FA1124">
              <w:rPr>
                <w:rFonts w:ascii="Cambria Math" w:hAnsi="Cambria Math" w:cs="Cambria Math"/>
                <w:color w:val="C00000"/>
              </w:rPr>
              <w:t>⨀</w:t>
            </w:r>
            <w:r w:rsidR="00F705F8" w:rsidRPr="006316DF">
              <w:rPr>
                <w:rFonts w:ascii="Cambria Math" w:hAnsi="Cambria Math" w:cs="Cambria Math"/>
                <w:color w:val="C00000"/>
              </w:rPr>
              <w:t>⨀</w:t>
            </w:r>
          </w:p>
          <w:p w:rsidR="0075777C" w:rsidRPr="006316DF" w:rsidRDefault="000647C6" w:rsidP="000647C6">
            <w:pPr>
              <w:pStyle w:val="Tabletext"/>
            </w:pPr>
            <w:r>
              <w:t>I</w:t>
            </w:r>
            <w:r w:rsidR="0075777C" w:rsidRPr="006316DF">
              <w:t>mportant</w:t>
            </w:r>
          </w:p>
        </w:tc>
      </w:tr>
      <w:tr w:rsidR="0075777C" w:rsidRPr="006316DF" w:rsidTr="00246B68">
        <w:tc>
          <w:tcPr>
            <w:tcW w:w="1560" w:type="dxa"/>
          </w:tcPr>
          <w:p w:rsidR="0075777C" w:rsidRPr="006316DF" w:rsidRDefault="0075777C" w:rsidP="000647C6">
            <w:pPr>
              <w:pStyle w:val="Tabletext"/>
            </w:pPr>
            <w:r w:rsidRPr="006316DF">
              <w:t xml:space="preserve">Change in </w:t>
            </w:r>
            <w:r>
              <w:t>QoL</w:t>
            </w:r>
            <w:r w:rsidR="00CF5BBF">
              <w:t xml:space="preserve"> from baseline</w:t>
            </w:r>
          </w:p>
        </w:tc>
        <w:tc>
          <w:tcPr>
            <w:tcW w:w="1275" w:type="dxa"/>
          </w:tcPr>
          <w:p w:rsidR="0075777C" w:rsidRPr="006316DF" w:rsidRDefault="0075777C" w:rsidP="000647C6">
            <w:pPr>
              <w:pStyle w:val="Tabletext"/>
            </w:pPr>
            <w:r w:rsidRPr="006316DF">
              <w:t>N=</w:t>
            </w:r>
            <w:r>
              <w:t>299</w:t>
            </w:r>
          </w:p>
          <w:p w:rsidR="0075777C" w:rsidRPr="006316DF" w:rsidRDefault="0075777C" w:rsidP="000647C6">
            <w:pPr>
              <w:pStyle w:val="Tabletext"/>
            </w:pPr>
            <w:r w:rsidRPr="006316DF">
              <w:t>k=1 RCT</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3" w:type="dxa"/>
          </w:tcPr>
          <w:p w:rsidR="0075777C" w:rsidRPr="00093669" w:rsidRDefault="0075777C" w:rsidP="000647C6">
            <w:pPr>
              <w:pStyle w:val="Tabletext"/>
            </w:pPr>
            <w:r w:rsidRPr="00093669">
              <w:t>SF-36</w:t>
            </w:r>
            <w:r w:rsidR="004B668A">
              <w:t xml:space="preserve"> physical component</w:t>
            </w:r>
            <w:r w:rsidR="0017449B">
              <w:t xml:space="preserve"> </w:t>
            </w:r>
            <w:r w:rsidR="0017449B" w:rsidRPr="0017449B">
              <w:rPr>
                <w:vertAlign w:val="superscript"/>
              </w:rPr>
              <w:t>b</w:t>
            </w:r>
            <w:r>
              <w:br/>
            </w:r>
            <w:r w:rsidRPr="00093669">
              <w:t>MD = 1.4 p</w:t>
            </w:r>
            <w:r>
              <w:t>oin</w:t>
            </w:r>
            <w:r w:rsidRPr="00093669">
              <w:t>t improvement</w:t>
            </w:r>
          </w:p>
          <w:p w:rsidR="0075777C" w:rsidRPr="00093669" w:rsidRDefault="0075777C" w:rsidP="000647C6">
            <w:pPr>
              <w:pStyle w:val="Tabletext"/>
            </w:pPr>
            <w:r w:rsidRPr="00093669">
              <w:t>(</w:t>
            </w:r>
            <w:r>
              <w:t xml:space="preserve">95% CI </w:t>
            </w:r>
            <w:r w:rsidRPr="00093669">
              <w:t>0</w:t>
            </w:r>
            <w:r>
              <w:t>,</w:t>
            </w:r>
            <w:r w:rsidRPr="00093669">
              <w:t xml:space="preserve"> 2.9)</w:t>
            </w:r>
          </w:p>
        </w:tc>
        <w:tc>
          <w:tcPr>
            <w:tcW w:w="2551" w:type="dxa"/>
          </w:tcPr>
          <w:p w:rsidR="0075777C" w:rsidRPr="00093669" w:rsidRDefault="0075777C" w:rsidP="000647C6">
            <w:pPr>
              <w:pStyle w:val="Tabletext"/>
            </w:pPr>
            <w:r>
              <w:t>P</w:t>
            </w:r>
            <w:r w:rsidRPr="00093669">
              <w:t>atients on combination th</w:t>
            </w:r>
            <w:r>
              <w:t>e</w:t>
            </w:r>
            <w:r w:rsidRPr="00093669">
              <w:t xml:space="preserve">rapy </w:t>
            </w:r>
            <w:r>
              <w:t>had</w:t>
            </w:r>
            <w:r w:rsidRPr="00093669">
              <w:t xml:space="preserve"> a larger </w:t>
            </w:r>
            <w:r>
              <w:t xml:space="preserve">mean </w:t>
            </w:r>
            <w:r w:rsidRPr="00093669">
              <w:t xml:space="preserve">improvement in their </w:t>
            </w:r>
            <w:r>
              <w:t>QoL</w:t>
            </w:r>
            <w:r w:rsidRPr="00093669">
              <w:t xml:space="preserve"> than those on monotherapy</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0647C6" w:rsidP="000647C6">
            <w:pPr>
              <w:pStyle w:val="Tabletext"/>
            </w:pPr>
            <w:r>
              <w:t>I</w:t>
            </w:r>
            <w:r w:rsidR="0075777C" w:rsidRPr="006316DF">
              <w:t>mportant</w:t>
            </w:r>
          </w:p>
        </w:tc>
      </w:tr>
    </w:tbl>
    <w:p w:rsidR="0075777C" w:rsidRDefault="0075777C" w:rsidP="00246B68">
      <w:pPr>
        <w:pStyle w:val="Tablenote"/>
      </w:pPr>
      <w:r w:rsidRPr="006316DF">
        <w:rPr>
          <w:vertAlign w:val="superscript"/>
        </w:rPr>
        <w:t xml:space="preserve">a </w:t>
      </w:r>
      <w:r w:rsidRPr="006316DF">
        <w:t xml:space="preserve">GRADE Working Group grades of evidence </w:t>
      </w:r>
      <w:r w:rsidR="001D34EE" w:rsidRPr="001D34EE">
        <w:rPr>
          <w:noProof/>
          <w:vertAlign w:val="superscript"/>
        </w:rPr>
        <w:t>1</w:t>
      </w:r>
    </w:p>
    <w:p w:rsidR="0017449B" w:rsidRPr="006316DF" w:rsidRDefault="0017449B" w:rsidP="00246B68">
      <w:pPr>
        <w:pStyle w:val="Tablenote"/>
      </w:pPr>
      <w:r w:rsidRPr="0017449B">
        <w:rPr>
          <w:vertAlign w:val="superscript"/>
        </w:rPr>
        <w:t>b</w:t>
      </w:r>
      <w:r>
        <w:t xml:space="preserve"> </w:t>
      </w:r>
      <w:r w:rsidRPr="00384D2C">
        <w:t xml:space="preserve">SF-36 </w:t>
      </w:r>
      <w:r>
        <w:t xml:space="preserve">physical component summary scores range from 0 to 100. A higher </w:t>
      </w:r>
      <w:r w:rsidRPr="00384D2C">
        <w:t xml:space="preserve">score </w:t>
      </w:r>
      <w:r>
        <w:t>indicates</w:t>
      </w:r>
      <w:r w:rsidRPr="00384D2C">
        <w:t xml:space="preserve"> better QoL. </w:t>
      </w:r>
    </w:p>
    <w:p w:rsidR="0075777C" w:rsidRPr="006316DF" w:rsidRDefault="0075777C" w:rsidP="00246B68">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C83CA7" w:rsidRPr="006316DF" w:rsidRDefault="00C83CA7" w:rsidP="00C83CA7">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Moderate quality:</w:t>
      </w:r>
      <w:r w:rsidRPr="006316DF">
        <w:t xml:space="preserve"> We are moderately confident in the effect estimate: The true effect is likely to be close to the estimate of the effect, but there is a possibility that it is substantially different</w:t>
      </w:r>
    </w:p>
    <w:p w:rsidR="00B179F1" w:rsidRPr="00E564DD" w:rsidRDefault="00B179F1" w:rsidP="00B179F1">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Low quality:</w:t>
      </w:r>
      <w:r w:rsidRPr="00E564DD">
        <w:t xml:space="preserve"> Our confidence in the effect estimate is limited: The true effect may be substantially different from the estimate of the effect</w:t>
      </w:r>
    </w:p>
    <w:p w:rsidR="008E6DA8" w:rsidRPr="006316DF" w:rsidRDefault="0075777C" w:rsidP="00246B68">
      <w:pPr>
        <w:pStyle w:val="Tablenote"/>
      </w:pPr>
      <w:r>
        <w:t xml:space="preserve">6MWD = 6-minute </w:t>
      </w:r>
      <w:r w:rsidR="0082368E">
        <w:t>walk distance</w:t>
      </w:r>
      <w:r>
        <w: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8E6DA8" w:rsidRPr="00DC16A3">
        <w:t xml:space="preserve">; </w:t>
      </w:r>
      <w:r w:rsidR="008E6DA8">
        <w:t xml:space="preserve">k = number of studies; </w:t>
      </w:r>
      <w:r>
        <w:t xml:space="preserve">MD = mean difference; N = number of patients; </w:t>
      </w:r>
      <w:r w:rsidR="008E6DA8" w:rsidRPr="00DC16A3">
        <w:t xml:space="preserve">PAH = pulmonary arterial hypertension; </w:t>
      </w:r>
      <w:r w:rsidRPr="009B5AB3">
        <w:t>PDE-5 = phosphodiesterase type-5</w:t>
      </w:r>
      <w:r>
        <w:t>;</w:t>
      </w:r>
      <w:r w:rsidRPr="009B5AB3">
        <w:t xml:space="preserve"> </w:t>
      </w:r>
      <w:r>
        <w:t xml:space="preserve">QoL = quality of life; RCT = randomised controlled trial; RR = relative risk; </w:t>
      </w:r>
      <w:r w:rsidRPr="00C65B42">
        <w:t>SF-36 = short form 36</w:t>
      </w:r>
      <w:r>
        <w:t>; WHO = World Health Organization</w:t>
      </w:r>
    </w:p>
    <w:p w:rsidR="0075777C" w:rsidRPr="00246B68" w:rsidRDefault="0075777C" w:rsidP="00FB0A80">
      <w:pPr>
        <w:spacing w:before="0" w:line="240" w:lineRule="auto"/>
      </w:pPr>
      <w:r w:rsidRPr="006316DF">
        <w:t xml:space="preserve">The evidence for the </w:t>
      </w:r>
      <w:r>
        <w:t xml:space="preserve">two </w:t>
      </w:r>
      <w:r w:rsidRPr="006316DF">
        <w:t xml:space="preserve">outcomes </w:t>
      </w:r>
      <w:r>
        <w:t xml:space="preserve">reported for patients with WHO FC III/IV PAH is summarised </w:t>
      </w:r>
      <w:r w:rsidRPr="006316DF">
        <w:t>in</w:t>
      </w:r>
      <w:r w:rsidR="00FB0A80">
        <w:t xml:space="preserve"> Table 4.124</w:t>
      </w:r>
      <w:r>
        <w:t xml:space="preserve">. Both critical outcomes were </w:t>
      </w:r>
      <w:r w:rsidRPr="006316DF">
        <w:t xml:space="preserve">considered to be of </w:t>
      </w:r>
      <w:r>
        <w:t>high</w:t>
      </w:r>
      <w:r w:rsidRPr="006316DF">
        <w:t xml:space="preserve"> quality (GRADE </w:t>
      </w:r>
      <w:r w:rsidRPr="00920393">
        <w:rPr>
          <w:rFonts w:ascii="Cambria Math" w:eastAsia="Times New Roman" w:hAnsi="Cambria Math" w:cs="Tahoma"/>
          <w:bCs/>
          <w:color w:val="00B050"/>
        </w:rPr>
        <w:t>⨁⨁⨁⨁</w:t>
      </w:r>
      <w:r w:rsidRPr="00246B68">
        <w:t xml:space="preserve">). Thus, the true effect of treating WHO FC III/IV PAH with an ERA in addition to PDE-5 inhibitor, relative to PDE-5 inhibitor monotherapy is likely to be close to the reported point estimate. </w:t>
      </w:r>
    </w:p>
    <w:p w:rsidR="0075777C" w:rsidRDefault="0075777C" w:rsidP="0075777C">
      <w:r w:rsidRPr="006316DF">
        <w:t xml:space="preserve">When taking </w:t>
      </w:r>
      <w:r>
        <w:t>the whole body of evidence</w:t>
      </w:r>
      <w:r w:rsidRPr="006316DF">
        <w:t xml:space="preserve"> into account, </w:t>
      </w:r>
      <w:r w:rsidR="00A17B9D">
        <w:rPr>
          <w:noProof/>
          <w:color w:val="000000"/>
          <w:highlight w:val="black"/>
        </w:rPr>
        <w:t>''''''''''''</w:t>
      </w:r>
      <w:r w:rsidRPr="006316DF">
        <w:t xml:space="preserve"> patients experienc</w:t>
      </w:r>
      <w:r>
        <w:t>ed</w:t>
      </w:r>
      <w:r w:rsidRPr="006316DF">
        <w:t xml:space="preserve"> clinical worsening when taking </w:t>
      </w:r>
      <w:r>
        <w:t xml:space="preserve">combination therapy </w:t>
      </w:r>
      <w:r w:rsidRPr="006316DF">
        <w:t xml:space="preserve">compared with </w:t>
      </w:r>
      <w:r>
        <w:t>monotherapy</w:t>
      </w:r>
      <w:r w:rsidRPr="006316DF">
        <w:t>.</w:t>
      </w:r>
      <w:r>
        <w:t xml:space="preserve"> This </w:t>
      </w:r>
      <w:r w:rsidR="00A17B9D">
        <w:rPr>
          <w:noProof/>
          <w:color w:val="000000"/>
          <w:highlight w:val="black"/>
        </w:rPr>
        <w:t>'''''''''''' ''''''''''''''' ''''''''''''''''''' ''''''''''''''''''''''' '''''''''''''' ''''''''' '''' '' ''''''''''</w:t>
      </w:r>
      <w:r>
        <w:t xml:space="preserve"> Although the point estimate for all-cause mortality was </w:t>
      </w:r>
      <w:r w:rsidR="00A17B9D">
        <w:rPr>
          <w:noProof/>
          <w:color w:val="000000"/>
          <w:highlight w:val="black"/>
        </w:rPr>
        <w:t>'''''' ''''''''''''''''' '''''''''''''''''</w:t>
      </w:r>
      <w:r>
        <w:t xml:space="preserve">, it </w:t>
      </w:r>
      <w:r w:rsidR="00A17B9D">
        <w:rPr>
          <w:noProof/>
          <w:color w:val="000000"/>
          <w:highlight w:val="black"/>
        </w:rPr>
        <w:t>'''''''''''''''' ''''''''''''''''''''''' '''''''''''''' '''''''' '''''''''''''''''''''''''''</w:t>
      </w:r>
      <w:r>
        <w:t xml:space="preserve">. However, </w:t>
      </w:r>
      <w:r w:rsidR="00A17B9D">
        <w:rPr>
          <w:noProof/>
          <w:color w:val="000000"/>
          <w:highlight w:val="black"/>
        </w:rPr>
        <w:t>''''' '''''' '''''''''' '''' ''''''''''' ''''''''''''''''' '''' ''''''' '''''''' '''''' ''''''''''''''' '''''''''''''' ''''''''''''''''' '''''''''''' ''''''''''''''''' ''''''''''''' '''''''''''''''''''''''' '''''''''''''' ''''' ''''''''''''''''''''''''''''</w:t>
      </w:r>
      <w:r>
        <w:t>, the true effect could not be determined.</w:t>
      </w:r>
    </w:p>
    <w:p w:rsidR="0075777C" w:rsidRDefault="0075777C" w:rsidP="0075777C">
      <w:r w:rsidRPr="00DA2636">
        <w:t xml:space="preserve">Thus, </w:t>
      </w:r>
      <w:r w:rsidR="00246B68" w:rsidRPr="00DA2636">
        <w:t xml:space="preserve">there is </w:t>
      </w:r>
      <w:r w:rsidR="00CA6CD8" w:rsidRPr="00DA2636">
        <w:t xml:space="preserve">some </w:t>
      </w:r>
      <w:r w:rsidR="00246B68" w:rsidRPr="00DA2636">
        <w:t xml:space="preserve">uncertainty as to whether the </w:t>
      </w:r>
      <w:r w:rsidRPr="00DA2636">
        <w:t>use of an ERA in addition to PDE-5 inhibitor, relative to PDE-5 inhibitor monotherapy to treat patients with WHO FC III/IV PAH is likely to be beneficial.</w:t>
      </w:r>
    </w:p>
    <w:p w:rsidR="005E60A7" w:rsidRDefault="005E60A7">
      <w:pPr>
        <w:spacing w:before="0" w:line="240" w:lineRule="auto"/>
        <w:rPr>
          <w:rFonts w:ascii="Arial" w:hAnsi="Arial"/>
          <w:b/>
          <w:iCs/>
          <w:sz w:val="20"/>
          <w:szCs w:val="18"/>
        </w:rPr>
      </w:pPr>
      <w:bookmarkStart w:id="350" w:name="_Ref505768520"/>
      <w:r>
        <w:br w:type="page"/>
      </w:r>
    </w:p>
    <w:p w:rsidR="0075777C" w:rsidRPr="006316DF" w:rsidRDefault="00272F8F" w:rsidP="00BC5A2B">
      <w:pPr>
        <w:pStyle w:val="Caption"/>
      </w:pPr>
      <w:bookmarkStart w:id="351" w:name="_Toc512855528"/>
      <w:r>
        <w:lastRenderedPageBreak/>
        <w:t>Table 4.</w:t>
      </w:r>
      <w:r w:rsidR="00AA722D">
        <w:rPr>
          <w:noProof/>
        </w:rPr>
        <w:t>124</w:t>
      </w:r>
      <w:bookmarkEnd w:id="350"/>
      <w:r w:rsidR="00246B68">
        <w:tab/>
      </w:r>
      <w:r w:rsidR="0075777C" w:rsidRPr="006316DF">
        <w:t xml:space="preserve">Balance of clinical benefits of </w:t>
      </w:r>
      <w:r w:rsidR="004B668A">
        <w:t xml:space="preserve">an </w:t>
      </w:r>
      <w:r w:rsidR="0075777C" w:rsidRPr="006316DF">
        <w:t>ERA</w:t>
      </w:r>
      <w:r w:rsidR="0075777C" w:rsidRPr="00EF6A61">
        <w:t xml:space="preserve"> in addition to </w:t>
      </w:r>
      <w:r w:rsidR="004B668A">
        <w:t xml:space="preserve">a </w:t>
      </w:r>
      <w:r w:rsidR="0075777C" w:rsidRPr="00EF6A61">
        <w:t>PDE-5 inhibitor</w:t>
      </w:r>
      <w:r w:rsidR="0075777C" w:rsidRPr="006316DF">
        <w:t xml:space="preserve">, relative to </w:t>
      </w:r>
      <w:r w:rsidR="0075777C" w:rsidRPr="00EF6A61">
        <w:t>PDE-5 inhibitor</w:t>
      </w:r>
      <w:r w:rsidR="0075777C">
        <w:t xml:space="preserve"> monotherapy in patients</w:t>
      </w:r>
      <w:r w:rsidR="0075777C" w:rsidRPr="00B20802">
        <w:t xml:space="preserve"> with WHO FC III/IV PAH</w:t>
      </w:r>
      <w:bookmarkEnd w:id="351"/>
    </w:p>
    <w:tbl>
      <w:tblPr>
        <w:tblStyle w:val="TableGrid"/>
        <w:tblW w:w="9634" w:type="dxa"/>
        <w:tblLayout w:type="fixed"/>
        <w:tblLook w:val="04A0" w:firstRow="1" w:lastRow="0" w:firstColumn="1" w:lastColumn="0" w:noHBand="0" w:noVBand="1"/>
        <w:tblCaption w:val="Balance of clinical benefits of an ERA in addition to a PDE-5 inhibitor, relative to PDE-5 inhibitor monotherapy in patients with WHO FC III/IV PAH"/>
      </w:tblPr>
      <w:tblGrid>
        <w:gridCol w:w="1560"/>
        <w:gridCol w:w="1275"/>
        <w:gridCol w:w="1701"/>
        <w:gridCol w:w="1413"/>
        <w:gridCol w:w="2551"/>
        <w:gridCol w:w="1134"/>
      </w:tblGrid>
      <w:tr w:rsidR="0075777C" w:rsidRPr="000647C6" w:rsidTr="00E1509D">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0647C6" w:rsidRDefault="0075777C" w:rsidP="000647C6">
            <w:pPr>
              <w:pStyle w:val="Tabletext"/>
              <w:rPr>
                <w:b/>
                <w:noProof/>
              </w:rPr>
            </w:pPr>
            <w:r w:rsidRPr="000647C6">
              <w:rPr>
                <w:b/>
                <w:noProof/>
              </w:rPr>
              <w:t xml:space="preserve">Outcomes </w:t>
            </w:r>
          </w:p>
        </w:tc>
        <w:tc>
          <w:tcPr>
            <w:tcW w:w="1275" w:type="dxa"/>
          </w:tcPr>
          <w:p w:rsidR="0075777C" w:rsidRPr="000647C6" w:rsidRDefault="0075777C" w:rsidP="000647C6">
            <w:pPr>
              <w:pStyle w:val="Tabletext"/>
              <w:rPr>
                <w:b/>
                <w:noProof/>
              </w:rPr>
            </w:pPr>
            <w:r w:rsidRPr="000647C6">
              <w:rPr>
                <w:b/>
                <w:noProof/>
              </w:rPr>
              <w:t>Participants (studies)</w:t>
            </w:r>
          </w:p>
        </w:tc>
        <w:tc>
          <w:tcPr>
            <w:tcW w:w="1701" w:type="dxa"/>
          </w:tcPr>
          <w:p w:rsidR="0075777C" w:rsidRPr="000647C6" w:rsidRDefault="0075777C" w:rsidP="000647C6">
            <w:pPr>
              <w:pStyle w:val="Tabletext"/>
              <w:rPr>
                <w:b/>
                <w:noProof/>
              </w:rPr>
            </w:pPr>
            <w:r w:rsidRPr="000647C6">
              <w:rPr>
                <w:b/>
                <w:noProof/>
              </w:rPr>
              <w:t>Quality of evidence</w:t>
            </w:r>
          </w:p>
        </w:tc>
        <w:tc>
          <w:tcPr>
            <w:tcW w:w="1413" w:type="dxa"/>
          </w:tcPr>
          <w:p w:rsidR="0075777C" w:rsidRPr="000647C6" w:rsidRDefault="0075777C" w:rsidP="000647C6">
            <w:pPr>
              <w:pStyle w:val="Tabletext"/>
              <w:rPr>
                <w:b/>
                <w:noProof/>
              </w:rPr>
            </w:pPr>
            <w:r w:rsidRPr="000647C6">
              <w:rPr>
                <w:b/>
                <w:noProof/>
              </w:rPr>
              <w:t>Results</w:t>
            </w:r>
          </w:p>
        </w:tc>
        <w:tc>
          <w:tcPr>
            <w:tcW w:w="2551" w:type="dxa"/>
          </w:tcPr>
          <w:p w:rsidR="0075777C" w:rsidRPr="000647C6" w:rsidRDefault="0075777C" w:rsidP="000647C6">
            <w:pPr>
              <w:pStyle w:val="Tabletext"/>
              <w:rPr>
                <w:b/>
                <w:noProof/>
              </w:rPr>
            </w:pPr>
            <w:r w:rsidRPr="000647C6">
              <w:rPr>
                <w:b/>
                <w:noProof/>
              </w:rPr>
              <w:t>Interpretation</w:t>
            </w:r>
          </w:p>
        </w:tc>
        <w:tc>
          <w:tcPr>
            <w:tcW w:w="1134" w:type="dxa"/>
          </w:tcPr>
          <w:p w:rsidR="0075777C" w:rsidRPr="000647C6" w:rsidRDefault="0075777C" w:rsidP="000647C6">
            <w:pPr>
              <w:pStyle w:val="Tabletext"/>
              <w:rPr>
                <w:b/>
                <w:noProof/>
              </w:rPr>
            </w:pPr>
            <w:r w:rsidRPr="000647C6">
              <w:rPr>
                <w:b/>
                <w:noProof/>
              </w:rPr>
              <w:t>GRADE</w:t>
            </w:r>
            <w:r w:rsidR="008E6DA8" w:rsidRPr="008E6DA8">
              <w:rPr>
                <w:b/>
                <w:noProof/>
                <w:vertAlign w:val="superscript"/>
              </w:rPr>
              <w:t>a</w:t>
            </w:r>
          </w:p>
          <w:p w:rsidR="0075777C" w:rsidRPr="000647C6" w:rsidRDefault="0075777C" w:rsidP="000647C6">
            <w:pPr>
              <w:pStyle w:val="Tabletext"/>
              <w:rPr>
                <w:b/>
                <w:noProof/>
              </w:rPr>
            </w:pPr>
            <w:r w:rsidRPr="000647C6">
              <w:rPr>
                <w:b/>
                <w:noProof/>
              </w:rPr>
              <w:t>Importance</w:t>
            </w:r>
          </w:p>
        </w:tc>
      </w:tr>
      <w:tr w:rsidR="0075777C" w:rsidRPr="006316DF" w:rsidTr="00E1509D">
        <w:tc>
          <w:tcPr>
            <w:tcW w:w="1560" w:type="dxa"/>
          </w:tcPr>
          <w:p w:rsidR="0075777C" w:rsidRPr="006316DF" w:rsidRDefault="0075777C" w:rsidP="000647C6">
            <w:pPr>
              <w:pStyle w:val="Tabletext"/>
            </w:pPr>
            <w:r w:rsidRPr="006316DF">
              <w:t xml:space="preserve">Clinical worsening </w:t>
            </w:r>
          </w:p>
        </w:tc>
        <w:tc>
          <w:tcPr>
            <w:tcW w:w="1275" w:type="dxa"/>
          </w:tcPr>
          <w:p w:rsidR="0075777C" w:rsidRPr="006316DF" w:rsidRDefault="0075777C" w:rsidP="000647C6">
            <w:pPr>
              <w:pStyle w:val="Tabletext"/>
            </w:pPr>
            <w:r w:rsidRPr="006316DF">
              <w:t>N=</w:t>
            </w:r>
            <w:r>
              <w:t>351</w:t>
            </w:r>
          </w:p>
          <w:p w:rsidR="0075777C" w:rsidRPr="006316DF" w:rsidRDefault="0075777C" w:rsidP="000647C6">
            <w:pPr>
              <w:pStyle w:val="Tabletext"/>
            </w:pPr>
            <w:r w:rsidRPr="006316DF">
              <w:t>k=</w:t>
            </w:r>
            <w:r>
              <w:t>2</w:t>
            </w:r>
            <w:r w:rsidRPr="006316DF">
              <w:t xml:space="preserve"> RCTs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+1</w:t>
            </w:r>
          </w:p>
        </w:tc>
        <w:tc>
          <w:tcPr>
            <w:tcW w:w="1413" w:type="dxa"/>
          </w:tcPr>
          <w:p w:rsidR="0075777C" w:rsidRPr="00A17B9D" w:rsidRDefault="00A17B9D" w:rsidP="000647C6">
            <w:pPr>
              <w:pStyle w:val="Tabletext"/>
              <w:rPr>
                <w:highlight w:val="black"/>
              </w:rPr>
            </w:pPr>
            <w:r>
              <w:rPr>
                <w:noProof/>
                <w:color w:val="000000"/>
                <w:highlight w:val="black"/>
              </w:rPr>
              <w:t>'''''''''''''''' '''''''' ''' '''''''''' '''''''''''''' '''''' '''''''''''' ''''''''''''</w:t>
            </w:r>
          </w:p>
        </w:tc>
        <w:tc>
          <w:tcPr>
            <w:tcW w:w="2551" w:type="dxa"/>
          </w:tcPr>
          <w:p w:rsidR="0075777C" w:rsidRPr="00A17B9D" w:rsidRDefault="00A17B9D" w:rsidP="000647C6">
            <w:pPr>
              <w:pStyle w:val="Tabletext"/>
              <w:rPr>
                <w:highlight w:val="black"/>
              </w:rPr>
            </w:pPr>
            <w:r>
              <w:rPr>
                <w:noProof/>
                <w:color w:val="000000"/>
                <w:highlight w:val="black"/>
              </w:rPr>
              <w:t>'''''''''''''''' ''''''''''''''''' ''''''' ''''''''''''''''''''''''''''' '''''''''''''''''' ''''''''''''''''''''''''''''' '''''''''''''''' ''''''''''''''''''''''''' ''''''''''''''''''''''''' ''''''''' ''''''''''''''''''''''''''''''''''' ''''''' '''''''' ''''''' ''''''''''''' '''''''''''''' '''''''''''''''''''''''' '''''''''''''''''''''''''''''</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rPr>
                <w:rFonts w:cs="Cambria Math"/>
                <w:bCs/>
              </w:rPr>
              <w:t xml:space="preserve">Critical </w:t>
            </w:r>
          </w:p>
        </w:tc>
      </w:tr>
      <w:tr w:rsidR="0075777C" w:rsidRPr="006316DF" w:rsidTr="00E1509D">
        <w:tc>
          <w:tcPr>
            <w:tcW w:w="1560" w:type="dxa"/>
          </w:tcPr>
          <w:p w:rsidR="0075777C" w:rsidRPr="006316DF" w:rsidRDefault="0075777C" w:rsidP="000647C6">
            <w:pPr>
              <w:pStyle w:val="Tabletext"/>
            </w:pPr>
            <w:r w:rsidRPr="006316DF">
              <w:t>All-cause mortality</w:t>
            </w:r>
          </w:p>
        </w:tc>
        <w:tc>
          <w:tcPr>
            <w:tcW w:w="1275" w:type="dxa"/>
          </w:tcPr>
          <w:p w:rsidR="0075777C" w:rsidRPr="006316DF" w:rsidRDefault="0075777C" w:rsidP="000647C6">
            <w:pPr>
              <w:pStyle w:val="Tabletext"/>
            </w:pPr>
            <w:r w:rsidRPr="006316DF">
              <w:t>N=</w:t>
            </w:r>
            <w:r>
              <w:t>157</w:t>
            </w:r>
          </w:p>
          <w:p w:rsidR="0075777C" w:rsidRPr="006316DF" w:rsidRDefault="0075777C" w:rsidP="000647C6">
            <w:pPr>
              <w:pStyle w:val="Tabletext"/>
            </w:pPr>
            <w:r w:rsidRPr="006316DF">
              <w:t>k=</w:t>
            </w:r>
            <w:r>
              <w:t>1</w:t>
            </w:r>
            <w:r w:rsidRPr="006316DF">
              <w:t xml:space="preserve"> RCT</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 xml:space="preserve">Inconsistency: </w:t>
            </w:r>
            <w:r>
              <w:t>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3" w:type="dxa"/>
          </w:tcPr>
          <w:p w:rsidR="0075777C" w:rsidRPr="00A17B9D" w:rsidRDefault="00A17B9D" w:rsidP="000647C6">
            <w:pPr>
              <w:pStyle w:val="Tabletext"/>
              <w:rPr>
                <w:highlight w:val="black"/>
              </w:rPr>
            </w:pPr>
            <w:r>
              <w:rPr>
                <w:noProof/>
                <w:color w:val="000000"/>
                <w:highlight w:val="black"/>
              </w:rPr>
              <w:t>'''''''' '''' '''''''''' '''''''''''''' '''''' '''''''''''' '''''''''''</w:t>
            </w:r>
          </w:p>
        </w:tc>
        <w:tc>
          <w:tcPr>
            <w:tcW w:w="2551" w:type="dxa"/>
          </w:tcPr>
          <w:p w:rsidR="0075777C" w:rsidRPr="00A17B9D" w:rsidRDefault="00A17B9D" w:rsidP="000647C6">
            <w:pPr>
              <w:pStyle w:val="Tabletext"/>
              <w:rPr>
                <w:highlight w:val="black"/>
              </w:rPr>
            </w:pPr>
            <w:r>
              <w:rPr>
                <w:noProof/>
                <w:color w:val="000000"/>
                <w:highlight w:val="black"/>
              </w:rPr>
              <w:t>'''''''''''''' ''''''''''''''''' '''''''''' ''''''''' '''''''' '''''''''''''''' ''''''''' '''''''''''''''''''''''''''''''' ''''''''''''''''' '''''''''''''''''''''' ''''''''' ''''''''''''''''''''''''''''''''' '''''''' ''''''' ''''''''' '''''' '''''''''''''''''''' ''''''''' '''''''''''' '''''''''' ''''''''' '''''' '''''' ''''' ''''''' '''''''''''''''''''' ''''''''''''''''</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t>Critical</w:t>
            </w:r>
          </w:p>
        </w:tc>
      </w:tr>
    </w:tbl>
    <w:p w:rsidR="0075777C" w:rsidRPr="006316DF" w:rsidRDefault="0075777C" w:rsidP="00246B68">
      <w:pPr>
        <w:pStyle w:val="Tablenote"/>
      </w:pPr>
      <w:r w:rsidRPr="006316DF">
        <w:rPr>
          <w:vertAlign w:val="superscript"/>
        </w:rPr>
        <w:t xml:space="preserve">a </w:t>
      </w:r>
      <w:r w:rsidRPr="006316DF">
        <w:t xml:space="preserve">GRADE Working Group grades of evidence </w:t>
      </w:r>
      <w:r w:rsidR="001D34EE" w:rsidRPr="001D34EE">
        <w:rPr>
          <w:noProof/>
          <w:vertAlign w:val="superscript"/>
        </w:rPr>
        <w:t>1</w:t>
      </w:r>
    </w:p>
    <w:p w:rsidR="0075777C" w:rsidRDefault="0075777C" w:rsidP="00246B68">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8E6DA8" w:rsidRDefault="0075777C" w:rsidP="00246B68">
      <w:pPr>
        <w:pStyle w:val="Tablenote"/>
      </w:pPr>
      <w:r>
        <w:t>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753572" w:rsidRPr="00DC16A3">
        <w:t xml:space="preserve">; </w:t>
      </w:r>
      <w:r w:rsidR="00753572">
        <w:t xml:space="preserve">k = number of studies; </w:t>
      </w:r>
      <w:r>
        <w:t xml:space="preserve">N = number of patients; </w:t>
      </w:r>
      <w:r w:rsidRPr="00C65B42">
        <w:t xml:space="preserve">PAH = pulmonary arterial hypertension; </w:t>
      </w:r>
      <w:r w:rsidRPr="009B5AB3">
        <w:t>PDE-5 = phosphodiesterase type-5</w:t>
      </w:r>
      <w:r>
        <w:t>;</w:t>
      </w:r>
      <w:r w:rsidRPr="009B5AB3">
        <w:t xml:space="preserve"> </w:t>
      </w:r>
      <w:r>
        <w:t>RCT = randomised controlled trial; RR = relative risk; WHO = World Health Organization</w:t>
      </w:r>
    </w:p>
    <w:p w:rsidR="0075777C" w:rsidRPr="006316DF" w:rsidRDefault="0075777C" w:rsidP="00FB0A80">
      <w:pPr>
        <w:spacing w:before="0" w:line="240" w:lineRule="auto"/>
      </w:pPr>
      <w:r w:rsidRPr="006316DF">
        <w:t xml:space="preserve">The evidence for </w:t>
      </w:r>
      <w:r>
        <w:t>clinical worsening</w:t>
      </w:r>
      <w:r w:rsidRPr="006316DF">
        <w:t xml:space="preserve"> </w:t>
      </w:r>
      <w:r>
        <w:t xml:space="preserve">for patients </w:t>
      </w:r>
      <w:r w:rsidRPr="002D417A">
        <w:t xml:space="preserve">with different PAH aetiologies </w:t>
      </w:r>
      <w:r>
        <w:t xml:space="preserve">is summarised </w:t>
      </w:r>
      <w:r w:rsidRPr="006316DF">
        <w:t>in</w:t>
      </w:r>
      <w:r w:rsidR="00FB0A80">
        <w:t xml:space="preserve"> Table 4.125</w:t>
      </w:r>
      <w:r>
        <w:t xml:space="preserve">. The evidence provided for this outcome was </w:t>
      </w:r>
      <w:r w:rsidRPr="006316DF">
        <w:t xml:space="preserve">considered to be of </w:t>
      </w:r>
      <w:r>
        <w:t>high</w:t>
      </w:r>
      <w:r w:rsidRPr="006316DF">
        <w:t xml:space="preserve"> quality (GRADE </w:t>
      </w:r>
      <w:r w:rsidRPr="00920393">
        <w:rPr>
          <w:rFonts w:ascii="Cambria Math" w:eastAsia="Times New Roman" w:hAnsi="Cambria Math" w:cs="Tahoma"/>
          <w:bCs/>
          <w:color w:val="00B050"/>
        </w:rPr>
        <w:t>⨁⨁⨁⨁</w:t>
      </w:r>
      <w:r w:rsidR="00920393">
        <w:t>).</w:t>
      </w:r>
    </w:p>
    <w:p w:rsidR="0075777C" w:rsidRDefault="0075777C" w:rsidP="0075777C">
      <w:r w:rsidRPr="006316DF">
        <w:t xml:space="preserve">When taking </w:t>
      </w:r>
      <w:r>
        <w:t>the whole body of evidence</w:t>
      </w:r>
      <w:r w:rsidRPr="006316DF">
        <w:t xml:space="preserve"> into account, </w:t>
      </w:r>
      <w:r>
        <w:t xml:space="preserve">there was no statistically significant difference in the proportion of </w:t>
      </w:r>
      <w:r w:rsidRPr="006316DF">
        <w:t xml:space="preserve">patients </w:t>
      </w:r>
      <w:r>
        <w:t xml:space="preserve">with different PAH aetiologies who </w:t>
      </w:r>
      <w:r w:rsidRPr="006316DF">
        <w:t>experienc</w:t>
      </w:r>
      <w:r>
        <w:t>ed</w:t>
      </w:r>
      <w:r w:rsidRPr="006316DF">
        <w:t xml:space="preserve"> clinical worsening </w:t>
      </w:r>
      <w:r>
        <w:t>with</w:t>
      </w:r>
      <w:r w:rsidRPr="006316DF">
        <w:t xml:space="preserve"> </w:t>
      </w:r>
      <w:r>
        <w:t>combination therapy or monotherapy treatment</w:t>
      </w:r>
      <w:r w:rsidRPr="006316DF">
        <w:t>. Th</w:t>
      </w:r>
      <w:r w:rsidR="00E35D60">
        <w:t>us, th</w:t>
      </w:r>
      <w:r w:rsidRPr="000522D6">
        <w:t xml:space="preserve">ere </w:t>
      </w:r>
      <w:r>
        <w:t xml:space="preserve">is </w:t>
      </w:r>
      <w:r w:rsidR="00CA6CD8">
        <w:t>some</w:t>
      </w:r>
      <w:r w:rsidR="00E35D60" w:rsidRPr="00E35D60">
        <w:t xml:space="preserve"> uncertainty as to whether </w:t>
      </w:r>
      <w:r>
        <w:t>there is differential effectiveness</w:t>
      </w:r>
      <w:r w:rsidRPr="006316DF">
        <w:t xml:space="preserve"> </w:t>
      </w:r>
      <w:r>
        <w:t>in patients with different PAH aetiologies</w:t>
      </w:r>
      <w:r w:rsidRPr="006316DF">
        <w:t xml:space="preserve"> </w:t>
      </w:r>
      <w:r>
        <w:t xml:space="preserve">treated with </w:t>
      </w:r>
      <w:r w:rsidRPr="006316DF">
        <w:t xml:space="preserve">an ERA </w:t>
      </w:r>
      <w:r w:rsidRPr="000522D6">
        <w:t>in addition to PDE-5 inhibitor, relative to PDE-5 inhibitor monotherapy</w:t>
      </w:r>
      <w:r w:rsidRPr="006316DF">
        <w:t xml:space="preserve">. </w:t>
      </w:r>
    </w:p>
    <w:p w:rsidR="005E60A7" w:rsidRDefault="005E60A7">
      <w:pPr>
        <w:spacing w:before="0" w:line="240" w:lineRule="auto"/>
        <w:rPr>
          <w:rFonts w:ascii="Arial" w:hAnsi="Arial"/>
          <w:b/>
          <w:iCs/>
          <w:sz w:val="20"/>
          <w:szCs w:val="18"/>
        </w:rPr>
      </w:pPr>
      <w:bookmarkStart w:id="352" w:name="_Ref505770231"/>
      <w:r>
        <w:br w:type="page"/>
      </w:r>
    </w:p>
    <w:p w:rsidR="0075777C" w:rsidRPr="006316DF" w:rsidRDefault="00272F8F" w:rsidP="00BC5A2B">
      <w:pPr>
        <w:pStyle w:val="Caption"/>
      </w:pPr>
      <w:bookmarkStart w:id="353" w:name="_Toc512855529"/>
      <w:r>
        <w:lastRenderedPageBreak/>
        <w:t>Table 4.</w:t>
      </w:r>
      <w:r w:rsidR="00AA722D">
        <w:rPr>
          <w:noProof/>
        </w:rPr>
        <w:t>125</w:t>
      </w:r>
      <w:bookmarkEnd w:id="352"/>
      <w:r w:rsidR="00246B68">
        <w:tab/>
      </w:r>
      <w:r w:rsidR="0075777C" w:rsidRPr="006316DF">
        <w:t xml:space="preserve">Balance of clinical benefits of </w:t>
      </w:r>
      <w:r w:rsidR="004B668A">
        <w:t xml:space="preserve">an </w:t>
      </w:r>
      <w:r w:rsidR="0075777C" w:rsidRPr="006316DF">
        <w:t>ERA</w:t>
      </w:r>
      <w:r w:rsidR="0075777C" w:rsidRPr="00EF6A61">
        <w:t xml:space="preserve"> in addition to </w:t>
      </w:r>
      <w:r w:rsidR="004B668A">
        <w:t xml:space="preserve">a </w:t>
      </w:r>
      <w:r w:rsidR="0075777C" w:rsidRPr="00EF6A61">
        <w:t>PDE-5 inhibitor</w:t>
      </w:r>
      <w:r w:rsidR="0075777C" w:rsidRPr="006316DF">
        <w:t xml:space="preserve">, relative to </w:t>
      </w:r>
      <w:r w:rsidR="0075777C" w:rsidRPr="00EF6A61">
        <w:t>PDE-5 inhibitor</w:t>
      </w:r>
      <w:r w:rsidR="0075777C">
        <w:t xml:space="preserve"> monotherapy in patients</w:t>
      </w:r>
      <w:r w:rsidR="0075777C" w:rsidRPr="00B20802">
        <w:t xml:space="preserve"> with </w:t>
      </w:r>
      <w:r w:rsidR="0075777C" w:rsidRPr="00FE5B04">
        <w:t>different PAH aetiologies</w:t>
      </w:r>
      <w:bookmarkEnd w:id="353"/>
    </w:p>
    <w:tbl>
      <w:tblPr>
        <w:tblStyle w:val="TableGrid"/>
        <w:tblW w:w="9634" w:type="dxa"/>
        <w:tblLayout w:type="fixed"/>
        <w:tblLook w:val="04A0" w:firstRow="1" w:lastRow="0" w:firstColumn="1" w:lastColumn="0" w:noHBand="0" w:noVBand="1"/>
        <w:tblCaption w:val="Balance of clinical benefits of an ERA in addition to a PDE-5 inhibitor, relative to PDE-5 inhibitor monotherapy in patients with different PAH aetiologies"/>
      </w:tblPr>
      <w:tblGrid>
        <w:gridCol w:w="1560"/>
        <w:gridCol w:w="1275"/>
        <w:gridCol w:w="1701"/>
        <w:gridCol w:w="1413"/>
        <w:gridCol w:w="2551"/>
        <w:gridCol w:w="1134"/>
      </w:tblGrid>
      <w:tr w:rsidR="0075777C" w:rsidRPr="000647C6" w:rsidTr="00E35D60">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0647C6" w:rsidRDefault="0075777C" w:rsidP="000647C6">
            <w:pPr>
              <w:pStyle w:val="Tabletext"/>
              <w:rPr>
                <w:b/>
                <w:noProof/>
              </w:rPr>
            </w:pPr>
            <w:r w:rsidRPr="000647C6">
              <w:rPr>
                <w:b/>
                <w:noProof/>
              </w:rPr>
              <w:t xml:space="preserve">Outcomes </w:t>
            </w:r>
          </w:p>
        </w:tc>
        <w:tc>
          <w:tcPr>
            <w:tcW w:w="1275" w:type="dxa"/>
          </w:tcPr>
          <w:p w:rsidR="0075777C" w:rsidRPr="000647C6" w:rsidRDefault="0075777C" w:rsidP="000647C6">
            <w:pPr>
              <w:pStyle w:val="Tabletext"/>
              <w:rPr>
                <w:b/>
                <w:noProof/>
              </w:rPr>
            </w:pPr>
            <w:r w:rsidRPr="000647C6">
              <w:rPr>
                <w:b/>
                <w:noProof/>
              </w:rPr>
              <w:t>Participants (studies)</w:t>
            </w:r>
          </w:p>
        </w:tc>
        <w:tc>
          <w:tcPr>
            <w:tcW w:w="1701" w:type="dxa"/>
          </w:tcPr>
          <w:p w:rsidR="0075777C" w:rsidRPr="000647C6" w:rsidRDefault="0075777C" w:rsidP="000647C6">
            <w:pPr>
              <w:pStyle w:val="Tabletext"/>
              <w:rPr>
                <w:b/>
                <w:noProof/>
              </w:rPr>
            </w:pPr>
            <w:r w:rsidRPr="000647C6">
              <w:rPr>
                <w:b/>
                <w:noProof/>
              </w:rPr>
              <w:t>Quality of evidence</w:t>
            </w:r>
          </w:p>
        </w:tc>
        <w:tc>
          <w:tcPr>
            <w:tcW w:w="1413" w:type="dxa"/>
          </w:tcPr>
          <w:p w:rsidR="0075777C" w:rsidRPr="000647C6" w:rsidRDefault="0075777C" w:rsidP="000647C6">
            <w:pPr>
              <w:pStyle w:val="Tabletext"/>
              <w:rPr>
                <w:b/>
                <w:noProof/>
              </w:rPr>
            </w:pPr>
            <w:r w:rsidRPr="000647C6">
              <w:rPr>
                <w:b/>
                <w:noProof/>
              </w:rPr>
              <w:t>Results</w:t>
            </w:r>
          </w:p>
        </w:tc>
        <w:tc>
          <w:tcPr>
            <w:tcW w:w="2551" w:type="dxa"/>
          </w:tcPr>
          <w:p w:rsidR="0075777C" w:rsidRPr="000647C6" w:rsidRDefault="0075777C" w:rsidP="000647C6">
            <w:pPr>
              <w:pStyle w:val="Tabletext"/>
              <w:rPr>
                <w:b/>
                <w:noProof/>
              </w:rPr>
            </w:pPr>
            <w:r w:rsidRPr="000647C6">
              <w:rPr>
                <w:b/>
                <w:noProof/>
              </w:rPr>
              <w:t>Interpretation</w:t>
            </w:r>
          </w:p>
        </w:tc>
        <w:tc>
          <w:tcPr>
            <w:tcW w:w="1134" w:type="dxa"/>
          </w:tcPr>
          <w:p w:rsidR="0075777C" w:rsidRPr="000647C6" w:rsidRDefault="0075777C" w:rsidP="000647C6">
            <w:pPr>
              <w:pStyle w:val="Tabletext"/>
              <w:rPr>
                <w:b/>
                <w:noProof/>
              </w:rPr>
            </w:pPr>
            <w:r w:rsidRPr="000647C6">
              <w:rPr>
                <w:b/>
                <w:noProof/>
              </w:rPr>
              <w:t>GRADE</w:t>
            </w:r>
            <w:r w:rsidR="00753572" w:rsidRPr="00753572">
              <w:rPr>
                <w:b/>
                <w:noProof/>
                <w:vertAlign w:val="superscript"/>
              </w:rPr>
              <w:t>a</w:t>
            </w:r>
          </w:p>
          <w:p w:rsidR="0075777C" w:rsidRPr="000647C6" w:rsidRDefault="0075777C" w:rsidP="000647C6">
            <w:pPr>
              <w:pStyle w:val="Tabletext"/>
              <w:rPr>
                <w:b/>
                <w:noProof/>
              </w:rPr>
            </w:pPr>
            <w:r w:rsidRPr="000647C6">
              <w:rPr>
                <w:b/>
                <w:noProof/>
              </w:rPr>
              <w:t>Importance</w:t>
            </w:r>
          </w:p>
        </w:tc>
      </w:tr>
      <w:tr w:rsidR="0075777C" w:rsidRPr="006316DF" w:rsidTr="00E35D60">
        <w:tc>
          <w:tcPr>
            <w:tcW w:w="1560" w:type="dxa"/>
          </w:tcPr>
          <w:p w:rsidR="0075777C" w:rsidRPr="006316DF" w:rsidRDefault="0075777C" w:rsidP="000647C6">
            <w:pPr>
              <w:pStyle w:val="Tabletext"/>
            </w:pPr>
            <w:r w:rsidRPr="00D36FBC">
              <w:t xml:space="preserve">Clinical worsening </w:t>
            </w:r>
            <w:r>
              <w:t>in IPAH/HPAH</w:t>
            </w:r>
          </w:p>
        </w:tc>
        <w:tc>
          <w:tcPr>
            <w:tcW w:w="1275" w:type="dxa"/>
          </w:tcPr>
          <w:p w:rsidR="0075777C" w:rsidRPr="006316DF" w:rsidRDefault="0075777C" w:rsidP="000647C6">
            <w:pPr>
              <w:pStyle w:val="Tabletext"/>
            </w:pPr>
            <w:r w:rsidRPr="006316DF">
              <w:t>N=</w:t>
            </w:r>
            <w:r>
              <w:t>226</w:t>
            </w:r>
          </w:p>
          <w:p w:rsidR="0075777C" w:rsidRPr="006316DF" w:rsidRDefault="0075777C" w:rsidP="000647C6">
            <w:pPr>
              <w:pStyle w:val="Tabletext"/>
            </w:pPr>
            <w:r w:rsidRPr="006316DF">
              <w:t>k=</w:t>
            </w:r>
            <w:r>
              <w:t>1</w:t>
            </w:r>
            <w:r w:rsidRPr="006316DF">
              <w:t xml:space="preserve"> RCT</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+1</w:t>
            </w:r>
          </w:p>
        </w:tc>
        <w:tc>
          <w:tcPr>
            <w:tcW w:w="1413" w:type="dxa"/>
          </w:tcPr>
          <w:p w:rsidR="0075777C" w:rsidRPr="00C622C2" w:rsidRDefault="0075777C" w:rsidP="000647C6">
            <w:pPr>
              <w:pStyle w:val="Tabletext"/>
            </w:pPr>
            <w:r w:rsidRPr="00C622C2">
              <w:t>HR = 0.82 (95% CI 0.55, 1.21)</w:t>
            </w:r>
          </w:p>
        </w:tc>
        <w:tc>
          <w:tcPr>
            <w:tcW w:w="2551" w:type="dxa"/>
          </w:tcPr>
          <w:p w:rsidR="0075777C" w:rsidRPr="00C622C2" w:rsidRDefault="0075777C" w:rsidP="000647C6">
            <w:pPr>
              <w:pStyle w:val="Tabletext"/>
            </w:pPr>
            <w:r>
              <w:t xml:space="preserve">Fewer </w:t>
            </w:r>
            <w:r w:rsidRPr="00C622C2">
              <w:t xml:space="preserve">patients with IPAH/HPAH </w:t>
            </w:r>
            <w:r>
              <w:t xml:space="preserve">on </w:t>
            </w:r>
            <w:r w:rsidRPr="00C622C2">
              <w:t>combination therapy experience</w:t>
            </w:r>
            <w:r>
              <w:t>d</w:t>
            </w:r>
            <w:r w:rsidRPr="00C622C2">
              <w:t xml:space="preserve"> clinical worsening compared with monotherapy, but the </w:t>
            </w:r>
            <w:r w:rsidR="00D84687">
              <w:t>95% CI indicates</w:t>
            </w:r>
            <w:r w:rsidRPr="00C622C2">
              <w:t xml:space="preserve"> that there could be no or the opposite effect</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rPr>
                <w:rFonts w:cs="Cambria Math"/>
                <w:bCs/>
              </w:rPr>
              <w:t xml:space="preserve">Critical </w:t>
            </w:r>
          </w:p>
        </w:tc>
      </w:tr>
      <w:tr w:rsidR="0075777C" w:rsidRPr="006316DF" w:rsidTr="00E35D60">
        <w:tc>
          <w:tcPr>
            <w:tcW w:w="1560" w:type="dxa"/>
          </w:tcPr>
          <w:p w:rsidR="0075777C" w:rsidRPr="006316DF" w:rsidRDefault="0075777C" w:rsidP="000647C6">
            <w:pPr>
              <w:pStyle w:val="Tabletext"/>
            </w:pPr>
            <w:r w:rsidRPr="00D36FBC">
              <w:t xml:space="preserve">Clinical worsening </w:t>
            </w:r>
            <w:r>
              <w:t>in PAH CTD</w:t>
            </w:r>
          </w:p>
        </w:tc>
        <w:tc>
          <w:tcPr>
            <w:tcW w:w="1275" w:type="dxa"/>
          </w:tcPr>
          <w:p w:rsidR="0075777C" w:rsidRPr="006316DF" w:rsidRDefault="0075777C" w:rsidP="000647C6">
            <w:pPr>
              <w:pStyle w:val="Tabletext"/>
            </w:pPr>
            <w:r w:rsidRPr="006316DF">
              <w:t>N=</w:t>
            </w:r>
            <w:r>
              <w:t>231</w:t>
            </w:r>
          </w:p>
          <w:p w:rsidR="0075777C" w:rsidRPr="006316DF" w:rsidRDefault="0075777C" w:rsidP="000647C6">
            <w:pPr>
              <w:pStyle w:val="Tabletext"/>
            </w:pPr>
            <w:r w:rsidRPr="006316DF">
              <w:t>k=</w:t>
            </w:r>
            <w:r>
              <w:t>2</w:t>
            </w:r>
            <w:r w:rsidRPr="006316DF">
              <w:t xml:space="preserve"> RCT</w:t>
            </w:r>
            <w:r>
              <w: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+1</w:t>
            </w:r>
          </w:p>
        </w:tc>
        <w:tc>
          <w:tcPr>
            <w:tcW w:w="1413" w:type="dxa"/>
          </w:tcPr>
          <w:p w:rsidR="0075777C" w:rsidRPr="00C622C2" w:rsidRDefault="0075777C" w:rsidP="000647C6">
            <w:pPr>
              <w:pStyle w:val="Tabletext"/>
            </w:pPr>
            <w:r>
              <w:t xml:space="preserve">Pooled </w:t>
            </w:r>
            <w:r w:rsidRPr="00C622C2">
              <w:t>HR = 0.</w:t>
            </w:r>
            <w:r>
              <w:t>59</w:t>
            </w:r>
            <w:r w:rsidRPr="00C622C2">
              <w:t xml:space="preserve"> (</w:t>
            </w:r>
            <w:r>
              <w:t>range</w:t>
            </w:r>
            <w:r w:rsidRPr="00C622C2">
              <w:t xml:space="preserve"> 0.</w:t>
            </w:r>
            <w:r>
              <w:t>12</w:t>
            </w:r>
            <w:r w:rsidRPr="00C622C2">
              <w:t xml:space="preserve">, </w:t>
            </w:r>
            <w:r>
              <w:t>1</w:t>
            </w:r>
            <w:r w:rsidRPr="00C622C2">
              <w:t>.</w:t>
            </w:r>
            <w:r>
              <w:t>07</w:t>
            </w:r>
            <w:r w:rsidRPr="00C622C2">
              <w:t>)</w:t>
            </w:r>
          </w:p>
        </w:tc>
        <w:tc>
          <w:tcPr>
            <w:tcW w:w="2551" w:type="dxa"/>
          </w:tcPr>
          <w:p w:rsidR="0075777C" w:rsidRPr="00C622C2" w:rsidRDefault="0075777C" w:rsidP="000647C6">
            <w:pPr>
              <w:pStyle w:val="Tabletext"/>
            </w:pPr>
            <w:r>
              <w:t xml:space="preserve">Fewer </w:t>
            </w:r>
            <w:r w:rsidRPr="00C622C2">
              <w:t>patients with PAH</w:t>
            </w:r>
            <w:r>
              <w:t>-CTD</w:t>
            </w:r>
            <w:r w:rsidRPr="00C622C2">
              <w:t xml:space="preserve"> </w:t>
            </w:r>
            <w:r>
              <w:t xml:space="preserve">on </w:t>
            </w:r>
            <w:r w:rsidRPr="00C622C2">
              <w:t>combination the</w:t>
            </w:r>
            <w:r>
              <w:t xml:space="preserve">rapy </w:t>
            </w:r>
            <w:r w:rsidRPr="00C622C2">
              <w:t>experience</w:t>
            </w:r>
            <w:r>
              <w:t>d</w:t>
            </w:r>
            <w:r w:rsidRPr="00C622C2">
              <w:t xml:space="preserve"> clinical worsening </w:t>
            </w:r>
            <w:r>
              <w:t xml:space="preserve">compared with monotherapy, </w:t>
            </w:r>
            <w:r w:rsidRPr="00B96C6F">
              <w:t xml:space="preserve">but </w:t>
            </w:r>
            <w:r w:rsidR="00CF5BBF" w:rsidRPr="00CF5BBF">
              <w:t>this did not quite reach statistical significance</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rPr>
                <w:rFonts w:cs="Cambria Math"/>
                <w:bCs/>
              </w:rPr>
              <w:t xml:space="preserve">Critical </w:t>
            </w:r>
          </w:p>
        </w:tc>
      </w:tr>
      <w:tr w:rsidR="0075777C" w:rsidRPr="006316DF" w:rsidTr="00753572">
        <w:trPr>
          <w:trHeight w:val="1236"/>
        </w:trPr>
        <w:tc>
          <w:tcPr>
            <w:tcW w:w="1560" w:type="dxa"/>
          </w:tcPr>
          <w:p w:rsidR="0075777C" w:rsidRPr="006316DF" w:rsidRDefault="0075777C" w:rsidP="000647C6">
            <w:pPr>
              <w:pStyle w:val="Tabletext"/>
            </w:pPr>
            <w:r w:rsidRPr="00D36FBC">
              <w:t xml:space="preserve">Clinical worsening </w:t>
            </w:r>
            <w:r>
              <w:t>in PAH-CHD</w:t>
            </w:r>
          </w:p>
        </w:tc>
        <w:tc>
          <w:tcPr>
            <w:tcW w:w="1275" w:type="dxa"/>
          </w:tcPr>
          <w:p w:rsidR="0075777C" w:rsidRPr="006316DF" w:rsidRDefault="0075777C" w:rsidP="000647C6">
            <w:pPr>
              <w:pStyle w:val="Tabletext"/>
            </w:pPr>
            <w:r w:rsidRPr="006316DF">
              <w:t>N=</w:t>
            </w:r>
            <w:r>
              <w:t>20</w:t>
            </w:r>
          </w:p>
          <w:p w:rsidR="0075777C" w:rsidRPr="006316DF" w:rsidRDefault="0075777C" w:rsidP="000647C6">
            <w:pPr>
              <w:pStyle w:val="Tabletext"/>
            </w:pPr>
            <w:r w:rsidRPr="006316DF">
              <w:t>k=</w:t>
            </w:r>
            <w:r>
              <w:t>1</w:t>
            </w:r>
            <w:r w:rsidRPr="006316DF">
              <w:t xml:space="preserve"> RCT</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t>I</w:t>
            </w:r>
            <w:r w:rsidR="00CF5BBF">
              <w:t>mprecision: −2</w:t>
            </w:r>
          </w:p>
          <w:p w:rsidR="0075777C" w:rsidRDefault="0075777C" w:rsidP="000647C6">
            <w:pPr>
              <w:pStyle w:val="Tabletext"/>
            </w:pPr>
            <w:r w:rsidRPr="006316DF">
              <w:t>Publication bias: 0</w:t>
            </w:r>
          </w:p>
          <w:p w:rsidR="0075777C" w:rsidRDefault="008B0C36" w:rsidP="000647C6">
            <w:pPr>
              <w:pStyle w:val="Tabletext"/>
            </w:pPr>
            <w:r>
              <w:t>Association: 0</w:t>
            </w:r>
          </w:p>
        </w:tc>
        <w:tc>
          <w:tcPr>
            <w:tcW w:w="1413" w:type="dxa"/>
          </w:tcPr>
          <w:p w:rsidR="0075777C" w:rsidRPr="00C622C2" w:rsidRDefault="0075777C" w:rsidP="000647C6">
            <w:pPr>
              <w:pStyle w:val="Tabletext"/>
            </w:pPr>
            <w:r w:rsidRPr="00C622C2">
              <w:t>HR = 0.</w:t>
            </w:r>
            <w:r>
              <w:t>57</w:t>
            </w:r>
            <w:r w:rsidRPr="00C622C2">
              <w:t xml:space="preserve"> (95% CI 0.</w:t>
            </w:r>
            <w:r>
              <w:t>10</w:t>
            </w:r>
            <w:r w:rsidRPr="00C622C2">
              <w:t xml:space="preserve">, </w:t>
            </w:r>
            <w:r>
              <w:t>3</w:t>
            </w:r>
            <w:r w:rsidRPr="00C622C2">
              <w:t>.1</w:t>
            </w:r>
            <w:r>
              <w:t>7</w:t>
            </w:r>
            <w:r w:rsidRPr="00C622C2">
              <w:t>)</w:t>
            </w:r>
          </w:p>
        </w:tc>
        <w:tc>
          <w:tcPr>
            <w:tcW w:w="2551" w:type="dxa"/>
          </w:tcPr>
          <w:p w:rsidR="0075777C" w:rsidRPr="00C622C2" w:rsidRDefault="0075777C" w:rsidP="005625F4">
            <w:pPr>
              <w:pStyle w:val="Tabletext"/>
            </w:pPr>
            <w:r>
              <w:t xml:space="preserve">Fewer </w:t>
            </w:r>
            <w:r w:rsidRPr="00C622C2">
              <w:t>patients with PAH</w:t>
            </w:r>
            <w:r>
              <w:t>-CHD</w:t>
            </w:r>
            <w:r w:rsidRPr="00C622C2">
              <w:t xml:space="preserve"> </w:t>
            </w:r>
            <w:r>
              <w:t xml:space="preserve">on </w:t>
            </w:r>
            <w:r w:rsidRPr="00C622C2">
              <w:t>combination therapy experience</w:t>
            </w:r>
            <w:r>
              <w:t>d</w:t>
            </w:r>
            <w:r w:rsidRPr="00C622C2">
              <w:t xml:space="preserve"> clinical worsening compared with monotherapy, but the </w:t>
            </w:r>
            <w:r w:rsidR="00D84687">
              <w:t>95% CI indicates</w:t>
            </w:r>
            <w:r w:rsidRPr="00C622C2">
              <w:t xml:space="preserve"> that </w:t>
            </w:r>
            <w:r w:rsidR="00CF5BBF" w:rsidRPr="00CF5BBF">
              <w:t>the study was underpowered for this outcome</w:t>
            </w:r>
          </w:p>
        </w:tc>
        <w:tc>
          <w:tcPr>
            <w:tcW w:w="1134" w:type="dxa"/>
          </w:tcPr>
          <w:p w:rsidR="008B0C36" w:rsidRPr="006316DF" w:rsidRDefault="00CF5BBF" w:rsidP="008B0C36">
            <w:pPr>
              <w:pStyle w:val="Tabletext"/>
            </w:pPr>
            <w:r>
              <w:t>Low</w:t>
            </w:r>
          </w:p>
          <w:p w:rsidR="008B0C36" w:rsidRPr="006316DF" w:rsidRDefault="008B0C36" w:rsidP="008B0C36">
            <w:pPr>
              <w:pStyle w:val="Tabletext"/>
              <w:rPr>
                <w:rFonts w:cs="Cambria Math"/>
                <w:bCs/>
              </w:rPr>
            </w:pPr>
            <w:r w:rsidRPr="006316DF">
              <w:rPr>
                <w:rFonts w:ascii="Cambria Math" w:hAnsi="Cambria Math" w:cs="Cambria Math"/>
                <w:bCs/>
                <w:color w:val="00B050"/>
              </w:rPr>
              <w:t>⨁⨁</w:t>
            </w:r>
            <w:r w:rsidR="00CF5BBF" w:rsidRPr="006316DF">
              <w:rPr>
                <w:rFonts w:ascii="Cambria Math" w:hAnsi="Cambria Math" w:cs="Cambria Math"/>
                <w:color w:val="C00000"/>
              </w:rPr>
              <w:t>⨀</w:t>
            </w:r>
            <w:r w:rsidRPr="006316DF">
              <w:rPr>
                <w:rFonts w:ascii="Cambria Math" w:hAnsi="Cambria Math" w:cs="Cambria Math"/>
                <w:color w:val="C00000"/>
              </w:rPr>
              <w:t>⨀</w:t>
            </w:r>
          </w:p>
          <w:p w:rsidR="0075777C" w:rsidRDefault="0075777C" w:rsidP="000647C6">
            <w:pPr>
              <w:pStyle w:val="Tabletext"/>
            </w:pPr>
            <w:r w:rsidRPr="006316DF">
              <w:rPr>
                <w:rFonts w:cs="Cambria Math"/>
                <w:bCs/>
              </w:rPr>
              <w:t xml:space="preserve">Critical </w:t>
            </w:r>
          </w:p>
        </w:tc>
      </w:tr>
    </w:tbl>
    <w:p w:rsidR="0075777C" w:rsidRPr="006316DF" w:rsidRDefault="0075777C" w:rsidP="00E35D60">
      <w:pPr>
        <w:pStyle w:val="Tablenote"/>
      </w:pPr>
      <w:r w:rsidRPr="006316DF">
        <w:rPr>
          <w:vertAlign w:val="superscript"/>
        </w:rPr>
        <w:t xml:space="preserve">a </w:t>
      </w:r>
      <w:r w:rsidRPr="006316DF">
        <w:t xml:space="preserve">GRADE Working Group grades of evidence </w:t>
      </w:r>
      <w:r w:rsidR="001D34EE" w:rsidRPr="001D34EE">
        <w:rPr>
          <w:noProof/>
          <w:vertAlign w:val="superscript"/>
        </w:rPr>
        <w:t>1</w:t>
      </w:r>
    </w:p>
    <w:p w:rsidR="0075777C" w:rsidRPr="006316DF" w:rsidRDefault="0075777C" w:rsidP="00E35D60">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CF5BBF" w:rsidRPr="00E564DD" w:rsidRDefault="00CF5BBF" w:rsidP="00CF5BBF">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Low quality:</w:t>
      </w:r>
      <w:r w:rsidRPr="00E564DD">
        <w:t xml:space="preserve"> Our confidence in the effect estimate is limited: The true effect may be substantially different from the estimate of the effect</w:t>
      </w:r>
    </w:p>
    <w:p w:rsidR="00753572" w:rsidRPr="006316DF" w:rsidRDefault="0075777C" w:rsidP="00E35D60">
      <w:pPr>
        <w:pStyle w:val="Tablenote"/>
      </w:pPr>
      <w:r w:rsidRPr="00822C52">
        <w:t xml:space="preserve">CHD = </w:t>
      </w:r>
      <w:r>
        <w:t xml:space="preserve">associated with </w:t>
      </w:r>
      <w:r w:rsidRPr="00822C52">
        <w:t xml:space="preserve">congenital heart disease; </w:t>
      </w:r>
      <w:r>
        <w:t>CI = confidence interval; ERA = e</w:t>
      </w:r>
      <w:r w:rsidRPr="00107676">
        <w:t xml:space="preserve">ndothelin </w:t>
      </w:r>
      <w:r>
        <w:t>r</w:t>
      </w:r>
      <w:r w:rsidRPr="00107676">
        <w:t xml:space="preserve">eceptor </w:t>
      </w:r>
      <w:r>
        <w:t>a</w:t>
      </w:r>
      <w:r w:rsidRPr="00107676">
        <w:t>ntagonist</w:t>
      </w:r>
      <w:r>
        <w:t xml:space="preserve">; </w:t>
      </w:r>
      <w:r w:rsidR="00385E5A">
        <w:t>GRADE = grading of recommendations assessment, development and evaluation</w:t>
      </w:r>
      <w:r w:rsidR="001D34EE" w:rsidRPr="001D34EE">
        <w:rPr>
          <w:noProof/>
          <w:vertAlign w:val="superscript"/>
        </w:rPr>
        <w:t>1</w:t>
      </w:r>
      <w:r w:rsidR="00753572" w:rsidRPr="00DC16A3">
        <w:t xml:space="preserve">; </w:t>
      </w:r>
      <w:r w:rsidRPr="00C65B42">
        <w:t xml:space="preserve">HR = hazard ratio; HPAH = heritable PAH; IPAH = idiopathic PAH; </w:t>
      </w:r>
      <w:r w:rsidR="00753572">
        <w:t xml:space="preserve">k = number of studies; </w:t>
      </w:r>
      <w:r>
        <w:t xml:space="preserve">N = number of patients; </w:t>
      </w:r>
      <w:r w:rsidRPr="00C65B42">
        <w:t xml:space="preserve">PAH = pulmonary arterial hypertension; </w:t>
      </w:r>
      <w:r w:rsidR="00774E89">
        <w:t>PAH-</w:t>
      </w:r>
      <w:r w:rsidR="00774E89" w:rsidRPr="00822C52">
        <w:t xml:space="preserve">CTD = </w:t>
      </w:r>
      <w:r w:rsidR="00774E89">
        <w:t xml:space="preserve">PAH associated with </w:t>
      </w:r>
      <w:r w:rsidR="00774E89" w:rsidRPr="00822C52">
        <w:t xml:space="preserve">connective tissue disease; </w:t>
      </w:r>
      <w:r w:rsidRPr="009B5AB3">
        <w:t>PDE-5 = phosphodiesterase type-5</w:t>
      </w:r>
      <w:r>
        <w:t>;</w:t>
      </w:r>
      <w:r w:rsidRPr="009B5AB3">
        <w:t xml:space="preserve"> </w:t>
      </w:r>
      <w:r>
        <w:t>RCT = randomised controlled trial</w:t>
      </w:r>
    </w:p>
    <w:p w:rsidR="0075777C" w:rsidRPr="006316DF" w:rsidRDefault="0075777C" w:rsidP="0075777C">
      <w:pPr>
        <w:pStyle w:val="Heading5"/>
      </w:pPr>
      <w:r w:rsidRPr="006316DF">
        <w:t>Safety</w:t>
      </w:r>
    </w:p>
    <w:p w:rsidR="0075777C" w:rsidRDefault="0075777C" w:rsidP="0075777C">
      <w:r w:rsidRPr="006316DF">
        <w:t xml:space="preserve">The </w:t>
      </w:r>
      <w:r>
        <w:t xml:space="preserve">detailed </w:t>
      </w:r>
      <w:r w:rsidRPr="006316DF">
        <w:t>GRADE</w:t>
      </w:r>
      <w:r w:rsidR="001D34EE" w:rsidRPr="001D34EE">
        <w:rPr>
          <w:noProof/>
          <w:vertAlign w:val="superscript"/>
        </w:rPr>
        <w:t>1</w:t>
      </w:r>
      <w:r w:rsidRPr="006316DF">
        <w:t xml:space="preserve"> assessments of </w:t>
      </w:r>
      <w:r>
        <w:t>safety</w:t>
      </w:r>
      <w:r w:rsidRPr="006316DF">
        <w:t xml:space="preserve"> outcomes when comparing an ERA </w:t>
      </w:r>
      <w:r w:rsidRPr="00BB3BB5">
        <w:t xml:space="preserve">in addition to PDE-5 inhibitor, relative to PDE-5 inhibitor monotherapy </w:t>
      </w:r>
      <w:r w:rsidRPr="006316DF">
        <w:t>are reported in</w:t>
      </w:r>
      <w:r>
        <w:t xml:space="preserve"> </w:t>
      </w:r>
      <w:r w:rsidR="00AA722D">
        <w:t>Table 4.</w:t>
      </w:r>
      <w:r w:rsidR="00AA722D">
        <w:rPr>
          <w:noProof/>
        </w:rPr>
        <w:t>152</w:t>
      </w:r>
      <w:r>
        <w:t xml:space="preserve"> and </w:t>
      </w:r>
      <w:r w:rsidR="00AA722D">
        <w:t>Table 4.</w:t>
      </w:r>
      <w:r w:rsidR="00AA722D">
        <w:rPr>
          <w:noProof/>
        </w:rPr>
        <w:t>153</w:t>
      </w:r>
      <w:r>
        <w:t xml:space="preserve"> </w:t>
      </w:r>
      <w:r w:rsidRPr="006316DF">
        <w:t xml:space="preserve">in Appendix </w:t>
      </w:r>
      <w:r w:rsidR="00DA2636">
        <w:t>4</w:t>
      </w:r>
      <w:r w:rsidR="001B552D">
        <w:t>C</w:t>
      </w:r>
      <w:r>
        <w:t xml:space="preserve">. </w:t>
      </w:r>
      <w:r w:rsidRPr="006316DF">
        <w:t xml:space="preserve">The evidence for the </w:t>
      </w:r>
      <w:r>
        <w:t xml:space="preserve">safety </w:t>
      </w:r>
      <w:r w:rsidRPr="006316DF">
        <w:t xml:space="preserve">outcomes </w:t>
      </w:r>
      <w:r>
        <w:t xml:space="preserve">for all PAH patients are summarised </w:t>
      </w:r>
      <w:r w:rsidRPr="006316DF">
        <w:t>in</w:t>
      </w:r>
      <w:r>
        <w:t xml:space="preserve"> </w:t>
      </w:r>
      <w:r w:rsidR="00AA722D">
        <w:t>Table 4.</w:t>
      </w:r>
      <w:r w:rsidR="00AA722D">
        <w:rPr>
          <w:noProof/>
        </w:rPr>
        <w:t>126</w:t>
      </w:r>
      <w:r>
        <w:t xml:space="preserve">. There were no </w:t>
      </w:r>
      <w:r w:rsidR="00E20AB7">
        <w:t>new safety signal identified</w:t>
      </w:r>
      <w:r>
        <w:t>.</w:t>
      </w:r>
    </w:p>
    <w:p w:rsidR="0075777C" w:rsidRPr="00E35D60" w:rsidRDefault="0075777C" w:rsidP="0075777C">
      <w:r>
        <w:t xml:space="preserve">All outcomes were </w:t>
      </w:r>
      <w:r w:rsidRPr="006316DF">
        <w:t xml:space="preserve">considered to be of </w:t>
      </w:r>
      <w:r>
        <w:t>high</w:t>
      </w:r>
      <w:r w:rsidRPr="006316DF">
        <w:t xml:space="preserve"> quality (GRADE </w:t>
      </w:r>
      <w:r w:rsidRPr="00920393">
        <w:rPr>
          <w:rFonts w:ascii="Cambria Math" w:eastAsia="Times New Roman" w:hAnsi="Cambria Math" w:cs="Tahoma"/>
          <w:bCs/>
          <w:color w:val="00B050"/>
        </w:rPr>
        <w:t>⨁⨁⨁⨁</w:t>
      </w:r>
      <w:r w:rsidRPr="00E35D60">
        <w:t xml:space="preserve">). Patients were just as likely to experience an AE after starting combination therapy as they were on monotherapy. Patients on combination therapy were significantly less likely to have a serious AE. </w:t>
      </w:r>
      <w:r w:rsidR="00FB01E0">
        <w:t>T</w:t>
      </w:r>
      <w:r w:rsidRPr="00E35D60">
        <w:t xml:space="preserve">he point estimate indicated that patients were more likely to have an AE leading to treatment discontinuation compared with those on monotherapy, but the </w:t>
      </w:r>
      <w:r w:rsidR="00D84687">
        <w:t>95% CI indicates</w:t>
      </w:r>
      <w:r w:rsidRPr="00E35D60">
        <w:t xml:space="preserve"> that there could also be no effect. </w:t>
      </w:r>
      <w:r w:rsidR="008C5CA7">
        <w:t xml:space="preserve">The comparative safety of ERA plus PDE-5 inhibitor relative to PDE-5 inhibitor monotherapy with </w:t>
      </w:r>
      <w:r w:rsidR="008C5CA7">
        <w:lastRenderedPageBreak/>
        <w:t>regard to AEs of interest of abnormal liver function and decreased haemoglob</w:t>
      </w:r>
      <w:r w:rsidR="001D5973">
        <w:t>in was in different directions.</w:t>
      </w:r>
    </w:p>
    <w:p w:rsidR="0075777C" w:rsidRDefault="0075777C" w:rsidP="0075777C">
      <w:r w:rsidRPr="006316DF">
        <w:t>Th</w:t>
      </w:r>
      <w:r w:rsidR="00E35D60">
        <w:t xml:space="preserve">us, </w:t>
      </w:r>
      <w:r w:rsidR="00FB01E0" w:rsidRPr="00FB01E0">
        <w:t xml:space="preserve">use of an ERA in addition to a PDE-5 inhibitor could be </w:t>
      </w:r>
      <w:r w:rsidR="005625F4">
        <w:t>non-</w:t>
      </w:r>
      <w:r w:rsidR="00FB01E0" w:rsidRPr="00FB01E0">
        <w:t>inferior to PDE-5 inhibitor monotherapy in terms of safety when treating PAH patients.</w:t>
      </w:r>
    </w:p>
    <w:p w:rsidR="0075777C" w:rsidRPr="006316DF" w:rsidRDefault="00272F8F" w:rsidP="00BC5A2B">
      <w:pPr>
        <w:pStyle w:val="Caption"/>
      </w:pPr>
      <w:bookmarkStart w:id="354" w:name="_Ref505771610"/>
      <w:bookmarkStart w:id="355" w:name="_Toc512855530"/>
      <w:r>
        <w:t>Table 4.</w:t>
      </w:r>
      <w:r w:rsidR="00AA722D">
        <w:rPr>
          <w:noProof/>
        </w:rPr>
        <w:t>126</w:t>
      </w:r>
      <w:bookmarkEnd w:id="354"/>
      <w:r w:rsidR="00E35D60">
        <w:tab/>
      </w:r>
      <w:r w:rsidR="0075777C" w:rsidRPr="006316DF">
        <w:t xml:space="preserve">Balance of clinical harms of </w:t>
      </w:r>
      <w:r w:rsidR="004B668A">
        <w:t xml:space="preserve">an </w:t>
      </w:r>
      <w:r w:rsidR="0075777C" w:rsidRPr="004A69F0">
        <w:t xml:space="preserve">ERA in addition to </w:t>
      </w:r>
      <w:r w:rsidR="004B668A">
        <w:t xml:space="preserve">a </w:t>
      </w:r>
      <w:r w:rsidR="0075777C" w:rsidRPr="004A69F0">
        <w:t>PDE-5 inhibitor, relative to PDE-5 inhibitor monotherapy</w:t>
      </w:r>
      <w:r w:rsidR="0075777C">
        <w:t xml:space="preserve"> in all patients with PAH</w:t>
      </w:r>
      <w:bookmarkEnd w:id="355"/>
    </w:p>
    <w:tbl>
      <w:tblPr>
        <w:tblStyle w:val="TableGrid"/>
        <w:tblW w:w="9634" w:type="dxa"/>
        <w:tblLayout w:type="fixed"/>
        <w:tblLook w:val="04A0" w:firstRow="1" w:lastRow="0" w:firstColumn="1" w:lastColumn="0" w:noHBand="0" w:noVBand="1"/>
        <w:tblCaption w:val="Balance of clinical harms of an ERA in addition to a PDE-5 inhibitor, relative to PDE-5 inhibitor monotherapy in all patients with PAH"/>
      </w:tblPr>
      <w:tblGrid>
        <w:gridCol w:w="1560"/>
        <w:gridCol w:w="1275"/>
        <w:gridCol w:w="1701"/>
        <w:gridCol w:w="1413"/>
        <w:gridCol w:w="2551"/>
        <w:gridCol w:w="1134"/>
      </w:tblGrid>
      <w:tr w:rsidR="0075777C" w:rsidRPr="000647C6" w:rsidTr="00E35D60">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0647C6" w:rsidRDefault="0075777C" w:rsidP="000647C6">
            <w:pPr>
              <w:pStyle w:val="Tabletext"/>
              <w:rPr>
                <w:b/>
                <w:noProof/>
              </w:rPr>
            </w:pPr>
            <w:r w:rsidRPr="000647C6">
              <w:rPr>
                <w:b/>
                <w:noProof/>
              </w:rPr>
              <w:t xml:space="preserve">Outcomes </w:t>
            </w:r>
          </w:p>
        </w:tc>
        <w:tc>
          <w:tcPr>
            <w:tcW w:w="1275" w:type="dxa"/>
          </w:tcPr>
          <w:p w:rsidR="0075777C" w:rsidRPr="000647C6" w:rsidRDefault="0075777C" w:rsidP="000647C6">
            <w:pPr>
              <w:pStyle w:val="Tabletext"/>
              <w:rPr>
                <w:b/>
                <w:noProof/>
              </w:rPr>
            </w:pPr>
            <w:r w:rsidRPr="000647C6">
              <w:rPr>
                <w:b/>
                <w:noProof/>
              </w:rPr>
              <w:t>Participants (studies)</w:t>
            </w:r>
          </w:p>
        </w:tc>
        <w:tc>
          <w:tcPr>
            <w:tcW w:w="1701" w:type="dxa"/>
          </w:tcPr>
          <w:p w:rsidR="0075777C" w:rsidRPr="000647C6" w:rsidRDefault="0075777C" w:rsidP="000647C6">
            <w:pPr>
              <w:pStyle w:val="Tabletext"/>
              <w:rPr>
                <w:b/>
                <w:noProof/>
              </w:rPr>
            </w:pPr>
            <w:r w:rsidRPr="000647C6">
              <w:rPr>
                <w:b/>
                <w:noProof/>
              </w:rPr>
              <w:t>Quality of evidence</w:t>
            </w:r>
          </w:p>
        </w:tc>
        <w:tc>
          <w:tcPr>
            <w:tcW w:w="1413" w:type="dxa"/>
          </w:tcPr>
          <w:p w:rsidR="0075777C" w:rsidRPr="000647C6" w:rsidRDefault="0075777C" w:rsidP="000647C6">
            <w:pPr>
              <w:pStyle w:val="Tabletext"/>
              <w:rPr>
                <w:b/>
                <w:noProof/>
              </w:rPr>
            </w:pPr>
            <w:r w:rsidRPr="000647C6">
              <w:rPr>
                <w:b/>
                <w:noProof/>
              </w:rPr>
              <w:t>Results</w:t>
            </w:r>
          </w:p>
        </w:tc>
        <w:tc>
          <w:tcPr>
            <w:tcW w:w="2551" w:type="dxa"/>
          </w:tcPr>
          <w:p w:rsidR="0075777C" w:rsidRPr="000647C6" w:rsidRDefault="0075777C" w:rsidP="000647C6">
            <w:pPr>
              <w:pStyle w:val="Tabletext"/>
              <w:rPr>
                <w:b/>
                <w:noProof/>
              </w:rPr>
            </w:pPr>
            <w:r w:rsidRPr="000647C6">
              <w:rPr>
                <w:b/>
                <w:noProof/>
              </w:rPr>
              <w:t>Interpretation</w:t>
            </w:r>
          </w:p>
        </w:tc>
        <w:tc>
          <w:tcPr>
            <w:tcW w:w="1134" w:type="dxa"/>
          </w:tcPr>
          <w:p w:rsidR="0075777C" w:rsidRPr="000647C6" w:rsidRDefault="0075777C" w:rsidP="000647C6">
            <w:pPr>
              <w:pStyle w:val="Tabletext"/>
              <w:rPr>
                <w:b/>
                <w:noProof/>
              </w:rPr>
            </w:pPr>
            <w:r w:rsidRPr="000647C6">
              <w:rPr>
                <w:b/>
                <w:noProof/>
              </w:rPr>
              <w:t>GRADE</w:t>
            </w:r>
            <w:r w:rsidR="00753572" w:rsidRPr="00753572">
              <w:rPr>
                <w:b/>
                <w:noProof/>
                <w:vertAlign w:val="superscript"/>
              </w:rPr>
              <w:t>a</w:t>
            </w:r>
          </w:p>
          <w:p w:rsidR="0075777C" w:rsidRPr="000647C6" w:rsidRDefault="0075777C" w:rsidP="000647C6">
            <w:pPr>
              <w:pStyle w:val="Tabletext"/>
              <w:rPr>
                <w:b/>
                <w:noProof/>
              </w:rPr>
            </w:pPr>
            <w:r w:rsidRPr="000647C6">
              <w:rPr>
                <w:b/>
                <w:noProof/>
              </w:rPr>
              <w:t>Importance</w:t>
            </w:r>
          </w:p>
        </w:tc>
      </w:tr>
      <w:tr w:rsidR="0075777C" w:rsidRPr="006316DF" w:rsidTr="00E35D60">
        <w:tc>
          <w:tcPr>
            <w:tcW w:w="1560" w:type="dxa"/>
          </w:tcPr>
          <w:p w:rsidR="0075777C" w:rsidRPr="006316DF" w:rsidRDefault="0075777C" w:rsidP="000647C6">
            <w:pPr>
              <w:pStyle w:val="Tabletext"/>
            </w:pPr>
            <w:r>
              <w:t>Any AE</w:t>
            </w:r>
            <w:r w:rsidRPr="006316DF">
              <w:t xml:space="preserve"> </w:t>
            </w:r>
          </w:p>
        </w:tc>
        <w:tc>
          <w:tcPr>
            <w:tcW w:w="1275" w:type="dxa"/>
          </w:tcPr>
          <w:p w:rsidR="0075777C" w:rsidRPr="006316DF" w:rsidRDefault="0075777C" w:rsidP="000647C6">
            <w:pPr>
              <w:pStyle w:val="Tabletext"/>
            </w:pPr>
            <w:r>
              <w:t>N=333</w:t>
            </w:r>
          </w:p>
          <w:p w:rsidR="0075777C" w:rsidRPr="006316DF" w:rsidRDefault="0075777C" w:rsidP="000647C6">
            <w:pPr>
              <w:pStyle w:val="Tabletext"/>
            </w:pPr>
            <w:r w:rsidRPr="006316DF">
              <w:t>k=</w:t>
            </w:r>
            <w:r>
              <w:t>1</w:t>
            </w:r>
            <w:r w:rsidRPr="006316DF">
              <w:t xml:space="preserve"> RCT</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3" w:type="dxa"/>
          </w:tcPr>
          <w:p w:rsidR="0075777C" w:rsidRPr="000E45D6" w:rsidRDefault="0075777C" w:rsidP="000647C6">
            <w:pPr>
              <w:pStyle w:val="Tabletext"/>
            </w:pPr>
            <w:r w:rsidRPr="000E45D6">
              <w:t>RR = 0.</w:t>
            </w:r>
            <w:r>
              <w:t>99</w:t>
            </w:r>
            <w:r w:rsidRPr="000E45D6">
              <w:t xml:space="preserve"> (95% CI 0.</w:t>
            </w:r>
            <w:r>
              <w:t>93</w:t>
            </w:r>
            <w:r w:rsidRPr="000E45D6">
              <w:t xml:space="preserve">, </w:t>
            </w:r>
            <w:r>
              <w:t>1.</w:t>
            </w:r>
            <w:r w:rsidRPr="000E45D6">
              <w:t>06)</w:t>
            </w:r>
          </w:p>
        </w:tc>
        <w:tc>
          <w:tcPr>
            <w:tcW w:w="2551" w:type="dxa"/>
          </w:tcPr>
          <w:p w:rsidR="0075777C" w:rsidRPr="000E45D6" w:rsidRDefault="0075777C" w:rsidP="000647C6">
            <w:pPr>
              <w:pStyle w:val="Tabletext"/>
            </w:pPr>
            <w:r>
              <w:t>T</w:t>
            </w:r>
            <w:r w:rsidRPr="000E45D6">
              <w:t xml:space="preserve">he </w:t>
            </w:r>
            <w:r>
              <w:t>proportion</w:t>
            </w:r>
            <w:r w:rsidRPr="000E45D6">
              <w:t xml:space="preserve"> of patients that experience </w:t>
            </w:r>
            <w:r>
              <w:t>an AE</w:t>
            </w:r>
            <w:r w:rsidRPr="000E45D6">
              <w:t xml:space="preserve"> </w:t>
            </w:r>
            <w:r>
              <w:t>with combination therapy will be similar to the proportion on monotherapy</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t>Important</w:t>
            </w:r>
          </w:p>
        </w:tc>
      </w:tr>
      <w:tr w:rsidR="0075777C" w:rsidRPr="006316DF" w:rsidTr="00E35D60">
        <w:tc>
          <w:tcPr>
            <w:tcW w:w="1560" w:type="dxa"/>
          </w:tcPr>
          <w:p w:rsidR="0075777C" w:rsidRPr="006316DF" w:rsidRDefault="0075777C" w:rsidP="000647C6">
            <w:pPr>
              <w:pStyle w:val="Tabletext"/>
            </w:pPr>
            <w:r>
              <w:t>Serious AEs</w:t>
            </w:r>
          </w:p>
        </w:tc>
        <w:tc>
          <w:tcPr>
            <w:tcW w:w="1275" w:type="dxa"/>
          </w:tcPr>
          <w:p w:rsidR="0075777C" w:rsidRPr="006316DF" w:rsidRDefault="0075777C" w:rsidP="000647C6">
            <w:pPr>
              <w:pStyle w:val="Tabletext"/>
            </w:pPr>
            <w:r w:rsidRPr="006316DF">
              <w:t>N=</w:t>
            </w:r>
            <w:r>
              <w:t>70</w:t>
            </w:r>
            <w:r w:rsidRPr="006316DF">
              <w:t>5</w:t>
            </w:r>
          </w:p>
          <w:p w:rsidR="0075777C" w:rsidRPr="006316DF" w:rsidRDefault="0075777C" w:rsidP="000647C6">
            <w:pPr>
              <w:pStyle w:val="Tabletext"/>
            </w:pPr>
            <w:r w:rsidRPr="006316DF">
              <w:t>k=2 RCTs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3" w:type="dxa"/>
          </w:tcPr>
          <w:p w:rsidR="0075777C" w:rsidRPr="000E45D6" w:rsidRDefault="0075777C" w:rsidP="000647C6">
            <w:pPr>
              <w:pStyle w:val="Tabletext"/>
            </w:pPr>
            <w:r w:rsidRPr="000E45D6">
              <w:t>Pooled RR = 0.8</w:t>
            </w:r>
            <w:r>
              <w:t>2</w:t>
            </w:r>
            <w:r w:rsidRPr="000E45D6">
              <w:t xml:space="preserve"> (95% CI 0.</w:t>
            </w:r>
            <w:r>
              <w:t>69, 0</w:t>
            </w:r>
            <w:r w:rsidRPr="000E45D6">
              <w:t>.9</w:t>
            </w:r>
            <w:r>
              <w:t>6</w:t>
            </w:r>
            <w:r w:rsidRPr="000E45D6">
              <w:t>)</w:t>
            </w:r>
          </w:p>
        </w:tc>
        <w:tc>
          <w:tcPr>
            <w:tcW w:w="2551" w:type="dxa"/>
          </w:tcPr>
          <w:p w:rsidR="0075777C" w:rsidRPr="000E45D6" w:rsidRDefault="0075777C" w:rsidP="006C297E">
            <w:pPr>
              <w:pStyle w:val="Tabletext"/>
            </w:pPr>
            <w:r>
              <w:t>Significantly f</w:t>
            </w:r>
            <w:r w:rsidRPr="000E45D6">
              <w:t xml:space="preserve">ewer patients </w:t>
            </w:r>
            <w:r>
              <w:t>experience</w:t>
            </w:r>
            <w:r w:rsidR="006C297E">
              <w:t>d</w:t>
            </w:r>
            <w:r>
              <w:t xml:space="preserve"> a serious AE </w:t>
            </w:r>
            <w:r w:rsidRPr="000E45D6">
              <w:t xml:space="preserve">with combination therapy compared with </w:t>
            </w:r>
            <w:r>
              <w:t>monotherapy</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t>Important</w:t>
            </w:r>
          </w:p>
        </w:tc>
      </w:tr>
      <w:tr w:rsidR="0075777C" w:rsidRPr="006316DF" w:rsidTr="00E35D60">
        <w:tc>
          <w:tcPr>
            <w:tcW w:w="1560" w:type="dxa"/>
          </w:tcPr>
          <w:p w:rsidR="0075777C" w:rsidRPr="006316DF" w:rsidRDefault="0075777C" w:rsidP="000647C6">
            <w:pPr>
              <w:pStyle w:val="Tabletext"/>
            </w:pPr>
            <w:r w:rsidRPr="000E45D6">
              <w:t>AEs leading to treatment discontinuation</w:t>
            </w:r>
          </w:p>
        </w:tc>
        <w:tc>
          <w:tcPr>
            <w:tcW w:w="1275" w:type="dxa"/>
          </w:tcPr>
          <w:p w:rsidR="0075777C" w:rsidRPr="006316DF" w:rsidRDefault="0075777C" w:rsidP="000647C6">
            <w:pPr>
              <w:pStyle w:val="Tabletext"/>
            </w:pPr>
            <w:r>
              <w:t>N=7</w:t>
            </w:r>
            <w:r w:rsidRPr="006316DF">
              <w:t>0</w:t>
            </w:r>
            <w:r>
              <w:t>5</w:t>
            </w:r>
          </w:p>
          <w:p w:rsidR="0075777C" w:rsidRPr="006316DF" w:rsidRDefault="0075777C" w:rsidP="000647C6">
            <w:pPr>
              <w:pStyle w:val="Tabletext"/>
            </w:pPr>
            <w:r w:rsidRPr="006316DF">
              <w:t>k=</w:t>
            </w:r>
            <w:r>
              <w:t>2</w:t>
            </w:r>
            <w:r w:rsidRPr="006316DF">
              <w:t xml:space="preserve"> RCT</w:t>
            </w:r>
            <w:r>
              <w: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3" w:type="dxa"/>
          </w:tcPr>
          <w:p w:rsidR="0075777C" w:rsidRPr="002812F2" w:rsidRDefault="0075777C" w:rsidP="000647C6">
            <w:pPr>
              <w:pStyle w:val="Tabletext"/>
            </w:pPr>
            <w:r>
              <w:t xml:space="preserve">Pooled </w:t>
            </w:r>
            <w:r w:rsidRPr="002812F2">
              <w:t>RR = 1</w:t>
            </w:r>
            <w:r>
              <w:t>.</w:t>
            </w:r>
            <w:r w:rsidRPr="002812F2">
              <w:t>4</w:t>
            </w:r>
            <w:r>
              <w:t>7</w:t>
            </w:r>
            <w:r w:rsidRPr="002812F2">
              <w:t xml:space="preserve"> (</w:t>
            </w:r>
            <w:r>
              <w:t>95% CI 0.81</w:t>
            </w:r>
            <w:r w:rsidRPr="002812F2">
              <w:t>, 2.</w:t>
            </w:r>
            <w:r>
              <w:t>6</w:t>
            </w:r>
            <w:r w:rsidRPr="002812F2">
              <w:t>6)</w:t>
            </w:r>
          </w:p>
        </w:tc>
        <w:tc>
          <w:tcPr>
            <w:tcW w:w="2551" w:type="dxa"/>
          </w:tcPr>
          <w:p w:rsidR="0075777C" w:rsidRPr="002812F2" w:rsidRDefault="0075777C" w:rsidP="000647C6">
            <w:pPr>
              <w:pStyle w:val="Tabletext"/>
            </w:pPr>
            <w:r>
              <w:t>M</w:t>
            </w:r>
            <w:r w:rsidRPr="002812F2">
              <w:t xml:space="preserve">ore patients </w:t>
            </w:r>
            <w:r>
              <w:t>needed to discontinue treatment due to</w:t>
            </w:r>
            <w:r w:rsidRPr="00424867">
              <w:t xml:space="preserve"> a</w:t>
            </w:r>
            <w:r>
              <w:t>n</w:t>
            </w:r>
            <w:r w:rsidRPr="00424867">
              <w:t xml:space="preserve"> AE with combination th</w:t>
            </w:r>
            <w:r>
              <w:t xml:space="preserve">erapy compared with monotherapy, </w:t>
            </w:r>
            <w:r w:rsidRPr="00424867">
              <w:t xml:space="preserve">but the </w:t>
            </w:r>
            <w:r w:rsidR="00D84687">
              <w:t>95% CI indicates</w:t>
            </w:r>
            <w:r w:rsidRPr="00424867">
              <w:t xml:space="preserve"> that there could also be no </w:t>
            </w:r>
            <w:r>
              <w:t xml:space="preserve">or the opposite </w:t>
            </w:r>
            <w:r w:rsidRPr="00424867">
              <w:t>effect</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t>Important</w:t>
            </w:r>
          </w:p>
        </w:tc>
      </w:tr>
      <w:tr w:rsidR="004B668A" w:rsidRPr="006316DF" w:rsidTr="004B668A">
        <w:tc>
          <w:tcPr>
            <w:tcW w:w="1560" w:type="dxa"/>
          </w:tcPr>
          <w:p w:rsidR="004B668A" w:rsidRPr="000E45D6" w:rsidRDefault="004B668A" w:rsidP="009B47AA">
            <w:pPr>
              <w:pStyle w:val="Tabletext"/>
            </w:pPr>
            <w:r w:rsidRPr="00391928">
              <w:t>Abnormal liver function AEs</w:t>
            </w:r>
          </w:p>
        </w:tc>
        <w:tc>
          <w:tcPr>
            <w:tcW w:w="1275" w:type="dxa"/>
          </w:tcPr>
          <w:p w:rsidR="004B668A" w:rsidRDefault="004B668A" w:rsidP="009B47AA">
            <w:pPr>
              <w:pStyle w:val="Tabletext"/>
            </w:pPr>
            <w:r>
              <w:t>N=307</w:t>
            </w:r>
          </w:p>
          <w:p w:rsidR="004B668A" w:rsidRDefault="004B668A" w:rsidP="009B47AA">
            <w:pPr>
              <w:pStyle w:val="Tabletext"/>
            </w:pPr>
            <w:r>
              <w:t>k=1</w:t>
            </w:r>
            <w:r w:rsidR="00753572">
              <w:t xml:space="preserve"> RCT</w:t>
            </w:r>
          </w:p>
        </w:tc>
        <w:tc>
          <w:tcPr>
            <w:tcW w:w="1701" w:type="dxa"/>
          </w:tcPr>
          <w:p w:rsidR="004B668A" w:rsidRPr="006316DF" w:rsidRDefault="004B668A" w:rsidP="009B47AA">
            <w:pPr>
              <w:pStyle w:val="Tabletext"/>
            </w:pPr>
            <w:r>
              <w:t>Risk of bias: 0</w:t>
            </w:r>
          </w:p>
          <w:p w:rsidR="004B668A" w:rsidRPr="006316DF" w:rsidRDefault="004B668A" w:rsidP="009B47AA">
            <w:pPr>
              <w:pStyle w:val="Tabletext"/>
            </w:pPr>
            <w:r w:rsidRPr="006316DF">
              <w:t>Inconsistency: 0</w:t>
            </w:r>
          </w:p>
          <w:p w:rsidR="004B668A" w:rsidRPr="006316DF" w:rsidRDefault="00CF5BBF" w:rsidP="009B47AA">
            <w:pPr>
              <w:pStyle w:val="Tabletext"/>
            </w:pPr>
            <w:r>
              <w:t>Indirectness: −1</w:t>
            </w:r>
          </w:p>
          <w:p w:rsidR="004B668A" w:rsidRDefault="004B668A" w:rsidP="009B47AA">
            <w:pPr>
              <w:pStyle w:val="Tabletext"/>
            </w:pPr>
            <w:r w:rsidRPr="006316DF">
              <w:t>Imprecision: 0</w:t>
            </w:r>
          </w:p>
          <w:p w:rsidR="004B668A" w:rsidRDefault="004B668A" w:rsidP="009B47AA">
            <w:pPr>
              <w:pStyle w:val="Tabletext"/>
            </w:pPr>
            <w:r w:rsidRPr="006316DF">
              <w:t>Publication bias: 0</w:t>
            </w:r>
          </w:p>
          <w:p w:rsidR="004B668A" w:rsidRDefault="004B668A" w:rsidP="009B47AA">
            <w:pPr>
              <w:pStyle w:val="Tabletext"/>
            </w:pPr>
            <w:r>
              <w:t>Association: +1</w:t>
            </w:r>
          </w:p>
        </w:tc>
        <w:tc>
          <w:tcPr>
            <w:tcW w:w="1413" w:type="dxa"/>
          </w:tcPr>
          <w:p w:rsidR="004B668A" w:rsidRPr="00A17B9D" w:rsidRDefault="00A17B9D" w:rsidP="009B47AA">
            <w:pPr>
              <w:pStyle w:val="Tabletext"/>
              <w:rPr>
                <w:highlight w:val="black"/>
              </w:rPr>
            </w:pPr>
            <w:r>
              <w:rPr>
                <w:noProof/>
                <w:color w:val="000000"/>
                <w:highlight w:val="black"/>
              </w:rPr>
              <w:t>'''''''' ''' ''''''''''' '''''''''''''' '''''' ''''''''''' ''''''''''''</w:t>
            </w:r>
          </w:p>
        </w:tc>
        <w:tc>
          <w:tcPr>
            <w:tcW w:w="2551" w:type="dxa"/>
          </w:tcPr>
          <w:p w:rsidR="004B668A" w:rsidRPr="00A17B9D" w:rsidRDefault="00A17B9D" w:rsidP="009B47AA">
            <w:pPr>
              <w:pStyle w:val="Tabletext"/>
              <w:rPr>
                <w:highlight w:val="black"/>
              </w:rPr>
            </w:pPr>
            <w:r>
              <w:rPr>
                <w:noProof/>
                <w:color w:val="000000"/>
                <w:highlight w:val="black"/>
              </w:rPr>
              <w:t>'''''''''''''''''''''''''''''' ''''''''''''' ''''''''''''''''' ''''''''' '''''''''''''''''''''' ''''''''''' '''''''''''''''''' ''''''''' ''''''''''''''''''''''''''' '''''''''''''''''''' '''''''''''''''''''''' ''''''''' '''''''''''''''''''''''''''''''''</w:t>
            </w:r>
          </w:p>
        </w:tc>
        <w:tc>
          <w:tcPr>
            <w:tcW w:w="1134" w:type="dxa"/>
          </w:tcPr>
          <w:p w:rsidR="004B668A" w:rsidRPr="006316DF" w:rsidRDefault="004B668A" w:rsidP="009B47AA">
            <w:pPr>
              <w:pStyle w:val="Tabletext"/>
            </w:pPr>
            <w:r>
              <w:t>High</w:t>
            </w:r>
          </w:p>
          <w:p w:rsidR="004B668A" w:rsidRPr="006316DF" w:rsidRDefault="004B668A" w:rsidP="009B47AA">
            <w:pPr>
              <w:pStyle w:val="Tabletext"/>
              <w:rPr>
                <w:rFonts w:cs="Cambria Math"/>
                <w:bCs/>
              </w:rPr>
            </w:pPr>
            <w:r w:rsidRPr="006316DF">
              <w:rPr>
                <w:rFonts w:ascii="Cambria Math" w:hAnsi="Cambria Math" w:cs="Cambria Math"/>
                <w:bCs/>
                <w:color w:val="00B050"/>
              </w:rPr>
              <w:t>⨁⨁⨁⨁</w:t>
            </w:r>
          </w:p>
          <w:p w:rsidR="004B668A" w:rsidRDefault="004B668A" w:rsidP="009B47AA">
            <w:pPr>
              <w:pStyle w:val="Tabletext"/>
            </w:pPr>
            <w:r w:rsidRPr="006316DF">
              <w:t>Important</w:t>
            </w:r>
          </w:p>
        </w:tc>
      </w:tr>
      <w:tr w:rsidR="00411DA3" w:rsidRPr="006316DF" w:rsidTr="00753572">
        <w:trPr>
          <w:trHeight w:val="1200"/>
        </w:trPr>
        <w:tc>
          <w:tcPr>
            <w:tcW w:w="1560" w:type="dxa"/>
          </w:tcPr>
          <w:p w:rsidR="00411DA3" w:rsidRPr="00391928" w:rsidRDefault="00411DA3" w:rsidP="00411DA3">
            <w:pPr>
              <w:pStyle w:val="Tabletext"/>
            </w:pPr>
            <w:r w:rsidRPr="00411DA3">
              <w:t>Haemoglobin decrease-related AEs</w:t>
            </w:r>
          </w:p>
        </w:tc>
        <w:tc>
          <w:tcPr>
            <w:tcW w:w="1275" w:type="dxa"/>
          </w:tcPr>
          <w:p w:rsidR="00411DA3" w:rsidRDefault="00411DA3" w:rsidP="00411DA3">
            <w:pPr>
              <w:pStyle w:val="Tabletext"/>
            </w:pPr>
            <w:r>
              <w:t>N=307</w:t>
            </w:r>
          </w:p>
          <w:p w:rsidR="00411DA3" w:rsidRDefault="00411DA3" w:rsidP="00411DA3">
            <w:pPr>
              <w:pStyle w:val="Tabletext"/>
            </w:pPr>
            <w:r>
              <w:t>k=1</w:t>
            </w:r>
            <w:r w:rsidR="00753572">
              <w:t xml:space="preserve"> RCT</w:t>
            </w:r>
          </w:p>
        </w:tc>
        <w:tc>
          <w:tcPr>
            <w:tcW w:w="1701" w:type="dxa"/>
          </w:tcPr>
          <w:p w:rsidR="00411DA3" w:rsidRPr="006316DF" w:rsidRDefault="00411DA3" w:rsidP="00411DA3">
            <w:pPr>
              <w:pStyle w:val="Tabletext"/>
            </w:pPr>
            <w:r>
              <w:t>Risk of bias: 0</w:t>
            </w:r>
          </w:p>
          <w:p w:rsidR="00411DA3" w:rsidRPr="006316DF" w:rsidRDefault="00411DA3" w:rsidP="00411DA3">
            <w:pPr>
              <w:pStyle w:val="Tabletext"/>
            </w:pPr>
            <w:r w:rsidRPr="006316DF">
              <w:t>Inconsistency: 0</w:t>
            </w:r>
          </w:p>
          <w:p w:rsidR="00411DA3" w:rsidRPr="006316DF" w:rsidRDefault="00CF5BBF" w:rsidP="00411DA3">
            <w:pPr>
              <w:pStyle w:val="Tabletext"/>
            </w:pPr>
            <w:r>
              <w:t>Indirectness: −1</w:t>
            </w:r>
          </w:p>
          <w:p w:rsidR="00411DA3" w:rsidRDefault="00411DA3" w:rsidP="00411DA3">
            <w:pPr>
              <w:pStyle w:val="Tabletext"/>
            </w:pPr>
            <w:r w:rsidRPr="006316DF">
              <w:t>Imprecision: 0</w:t>
            </w:r>
          </w:p>
          <w:p w:rsidR="00411DA3" w:rsidRDefault="00411DA3" w:rsidP="00411DA3">
            <w:pPr>
              <w:pStyle w:val="Tabletext"/>
            </w:pPr>
            <w:r w:rsidRPr="006316DF">
              <w:t>Publication bias: 0</w:t>
            </w:r>
          </w:p>
          <w:p w:rsidR="00411DA3" w:rsidRDefault="00411DA3" w:rsidP="00411DA3">
            <w:pPr>
              <w:pStyle w:val="Tabletext"/>
            </w:pPr>
            <w:r>
              <w:t>Association: +1</w:t>
            </w:r>
          </w:p>
        </w:tc>
        <w:tc>
          <w:tcPr>
            <w:tcW w:w="1413" w:type="dxa"/>
          </w:tcPr>
          <w:p w:rsidR="00411DA3" w:rsidRPr="00A17B9D" w:rsidRDefault="00A17B9D" w:rsidP="00411DA3">
            <w:pPr>
              <w:pStyle w:val="Tabletext"/>
              <w:rPr>
                <w:highlight w:val="black"/>
              </w:rPr>
            </w:pPr>
            <w:r>
              <w:rPr>
                <w:noProof/>
                <w:color w:val="000000"/>
                <w:highlight w:val="black"/>
              </w:rPr>
              <w:t>'''''''' '''' ''''''''''' '''''''' ''' '''''' ''''''''''' ''''''''''''</w:t>
            </w:r>
          </w:p>
        </w:tc>
        <w:tc>
          <w:tcPr>
            <w:tcW w:w="2551" w:type="dxa"/>
          </w:tcPr>
          <w:p w:rsidR="00411DA3" w:rsidRPr="00A17B9D" w:rsidRDefault="00A17B9D" w:rsidP="00411DA3">
            <w:pPr>
              <w:pStyle w:val="Tabletext"/>
              <w:rPr>
                <w:highlight w:val="black"/>
              </w:rPr>
            </w:pPr>
            <w:r>
              <w:rPr>
                <w:noProof/>
                <w:color w:val="000000"/>
                <w:highlight w:val="black"/>
              </w:rPr>
              <w:t>'''''''''''''''''''''''''' '''''''''''' '''''''''''''''''''' ''''''''' '''''''''''''''''''''' '''''''''' ''''''''''''''''' ''''''''' ''''''''''''''''''''''''''' ''''''''''''''''' '''''''''''''''''''''''''' '''''''''' '''''''''''''''''''''''''''''</w:t>
            </w:r>
          </w:p>
        </w:tc>
        <w:tc>
          <w:tcPr>
            <w:tcW w:w="1134" w:type="dxa"/>
          </w:tcPr>
          <w:p w:rsidR="00411DA3" w:rsidRPr="006316DF" w:rsidRDefault="00411DA3" w:rsidP="00411DA3">
            <w:pPr>
              <w:pStyle w:val="Tabletext"/>
            </w:pPr>
            <w:r>
              <w:t>High</w:t>
            </w:r>
          </w:p>
          <w:p w:rsidR="00411DA3" w:rsidRPr="006316DF" w:rsidRDefault="00411DA3" w:rsidP="00411DA3">
            <w:pPr>
              <w:pStyle w:val="Tabletext"/>
              <w:rPr>
                <w:rFonts w:cs="Cambria Math"/>
                <w:bCs/>
              </w:rPr>
            </w:pPr>
            <w:r w:rsidRPr="006316DF">
              <w:rPr>
                <w:rFonts w:ascii="Cambria Math" w:hAnsi="Cambria Math" w:cs="Cambria Math"/>
                <w:bCs/>
                <w:color w:val="00B050"/>
              </w:rPr>
              <w:t>⨁⨁⨁⨁</w:t>
            </w:r>
          </w:p>
          <w:p w:rsidR="00411DA3" w:rsidRDefault="00411DA3" w:rsidP="00411DA3">
            <w:pPr>
              <w:pStyle w:val="Tabletext"/>
            </w:pPr>
            <w:r w:rsidRPr="006316DF">
              <w:t>Important</w:t>
            </w:r>
          </w:p>
        </w:tc>
      </w:tr>
    </w:tbl>
    <w:p w:rsidR="0075777C" w:rsidRPr="006316DF" w:rsidRDefault="0075777C" w:rsidP="00E35D60">
      <w:pPr>
        <w:pStyle w:val="Tablenote"/>
      </w:pPr>
      <w:r w:rsidRPr="006316DF">
        <w:rPr>
          <w:vertAlign w:val="superscript"/>
        </w:rPr>
        <w:t xml:space="preserve">a </w:t>
      </w:r>
      <w:r w:rsidRPr="006316DF">
        <w:t xml:space="preserve">GRADE Working Group grades of evidence </w:t>
      </w:r>
      <w:r w:rsidR="001D34EE" w:rsidRPr="001D34EE">
        <w:rPr>
          <w:noProof/>
          <w:vertAlign w:val="superscript"/>
        </w:rPr>
        <w:t>1</w:t>
      </w:r>
    </w:p>
    <w:p w:rsidR="0075777C" w:rsidRDefault="0075777C" w:rsidP="00E35D60">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753572" w:rsidRPr="006316DF" w:rsidRDefault="0075777C" w:rsidP="00E35D60">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w:t>
      </w:r>
      <w:r w:rsidR="00385E5A">
        <w:t>GRADE = grading of recommendations assessment, development and evaluation</w:t>
      </w:r>
      <w:r w:rsidR="001D34EE" w:rsidRPr="001D34EE">
        <w:rPr>
          <w:noProof/>
          <w:vertAlign w:val="superscript"/>
        </w:rPr>
        <w:t>1</w:t>
      </w:r>
      <w:r w:rsidR="00753572" w:rsidRPr="00DC16A3">
        <w:t xml:space="preserve">; </w:t>
      </w:r>
      <w:r w:rsidR="00753572">
        <w:t xml:space="preserve">k = number of studies; </w:t>
      </w:r>
      <w:r>
        <w:t xml:space="preserve">N = number of patients; </w:t>
      </w:r>
      <w:r w:rsidRPr="00C65B42">
        <w:t xml:space="preserve">PAH = pulmonary arterial hypertension; </w:t>
      </w:r>
      <w:r w:rsidRPr="009B5AB3">
        <w:t>PDE-5 = phosphodiesterase type-5</w:t>
      </w:r>
      <w:r>
        <w:t>;</w:t>
      </w:r>
      <w:r w:rsidRPr="009B5AB3">
        <w:t xml:space="preserve"> </w:t>
      </w:r>
      <w:r>
        <w:t>RCT = randomised controlled trial; RR = relative risk</w:t>
      </w:r>
    </w:p>
    <w:p w:rsidR="0075777C" w:rsidRDefault="0075777C" w:rsidP="0075777C">
      <w:pPr>
        <w:rPr>
          <w:rFonts w:eastAsia="Times New Roman" w:cs="Cambria Math"/>
          <w:bCs/>
        </w:rPr>
      </w:pPr>
      <w:bookmarkStart w:id="356" w:name="_Ref505765560"/>
      <w:r w:rsidRPr="006316DF">
        <w:lastRenderedPageBreak/>
        <w:t xml:space="preserve">The evidence for the </w:t>
      </w:r>
      <w:r>
        <w:t xml:space="preserve">safety </w:t>
      </w:r>
      <w:r w:rsidRPr="006316DF">
        <w:t xml:space="preserve">outcomes </w:t>
      </w:r>
      <w:r>
        <w:t xml:space="preserve">for patients with different PAH aetiologies are summarised </w:t>
      </w:r>
      <w:r w:rsidRPr="006316DF">
        <w:t>in</w:t>
      </w:r>
      <w:r>
        <w:t xml:space="preserve"> </w:t>
      </w:r>
      <w:r w:rsidR="00AA722D">
        <w:t>Table 4.</w:t>
      </w:r>
      <w:r w:rsidR="00AA722D">
        <w:rPr>
          <w:noProof/>
        </w:rPr>
        <w:t>127</w:t>
      </w:r>
      <w:r>
        <w:t>. A</w:t>
      </w:r>
      <w:r w:rsidR="0001351C">
        <w:t>ny AE and serious AE</w:t>
      </w:r>
      <w:r>
        <w:t xml:space="preserve"> outcomes were </w:t>
      </w:r>
      <w:r w:rsidRPr="006316DF">
        <w:t xml:space="preserve">considered to be of </w:t>
      </w:r>
      <w:r>
        <w:t>high</w:t>
      </w:r>
      <w:r w:rsidRPr="006316DF">
        <w:t xml:space="preserve"> quality (GRADE </w:t>
      </w:r>
      <w:r w:rsidRPr="00920393">
        <w:rPr>
          <w:rFonts w:ascii="Cambria Math" w:eastAsia="Times New Roman" w:hAnsi="Cambria Math" w:cs="Tahoma"/>
          <w:bCs/>
          <w:color w:val="00B050"/>
        </w:rPr>
        <w:t>⨁⨁⨁⨁</w:t>
      </w:r>
      <w:r w:rsidRPr="00E35D60">
        <w:t>)</w:t>
      </w:r>
      <w:r w:rsidR="0001351C">
        <w:t xml:space="preserve"> and discontinuation of study medication due to an AE was of moderate quality </w:t>
      </w:r>
      <w:r w:rsidR="0001351C" w:rsidRPr="006316DF">
        <w:t xml:space="preserve">(GRADE </w:t>
      </w:r>
      <w:r w:rsidR="0001351C" w:rsidRPr="00920393">
        <w:rPr>
          <w:rFonts w:ascii="Cambria Math" w:eastAsia="Times New Roman" w:hAnsi="Cambria Math" w:cs="Tahoma"/>
          <w:bCs/>
          <w:color w:val="00B050"/>
        </w:rPr>
        <w:t>⨁⨁⨁</w:t>
      </w:r>
      <w:r w:rsidR="0001351C" w:rsidRPr="00E564DD">
        <w:rPr>
          <w:rFonts w:ascii="Cambria Math" w:hAnsi="Cambria Math"/>
          <w:color w:val="C00000"/>
        </w:rPr>
        <w:t>⨀</w:t>
      </w:r>
      <w:r w:rsidR="0001351C" w:rsidRPr="00E35D60">
        <w:t>)</w:t>
      </w:r>
      <w:r w:rsidRPr="00E35D60">
        <w:t>.</w:t>
      </w:r>
    </w:p>
    <w:p w:rsidR="0075777C" w:rsidRDefault="008C5CA7" w:rsidP="005625F4">
      <w:r>
        <w:t xml:space="preserve">Overall, </w:t>
      </w:r>
      <w:r w:rsidR="005625F4">
        <w:t xml:space="preserve">the comparative safety of an ERA plus a PDE-5 inhibitor relative to PDE-5 inhibitor monotherapy in the subgroup of </w:t>
      </w:r>
      <w:r w:rsidR="005625F4" w:rsidRPr="00FD4377">
        <w:t xml:space="preserve">patients with </w:t>
      </w:r>
      <w:r w:rsidR="005625F4">
        <w:t>I</w:t>
      </w:r>
      <w:r w:rsidR="005625F4" w:rsidRPr="00FD4377">
        <w:t>PAH</w:t>
      </w:r>
      <w:r w:rsidR="005625F4">
        <w:t>/HPAH and in the subgroup of patients with PAH-CTD appeared to be largely consistent with the comparative safety in the overall PAH population.</w:t>
      </w:r>
    </w:p>
    <w:p w:rsidR="0075777C" w:rsidRPr="006316DF" w:rsidRDefault="00272F8F" w:rsidP="00BC5A2B">
      <w:pPr>
        <w:pStyle w:val="Caption"/>
      </w:pPr>
      <w:bookmarkStart w:id="357" w:name="_Ref505773014"/>
      <w:bookmarkStart w:id="358" w:name="_Toc512855531"/>
      <w:r>
        <w:t>Table 4.</w:t>
      </w:r>
      <w:r w:rsidR="00AA722D">
        <w:rPr>
          <w:noProof/>
        </w:rPr>
        <w:t>127</w:t>
      </w:r>
      <w:bookmarkEnd w:id="356"/>
      <w:bookmarkEnd w:id="357"/>
      <w:r w:rsidR="00E35D60">
        <w:tab/>
      </w:r>
      <w:r w:rsidR="0075777C" w:rsidRPr="006316DF">
        <w:t xml:space="preserve">Balance of clinical harms of </w:t>
      </w:r>
      <w:r w:rsidR="004B668A">
        <w:t xml:space="preserve">an </w:t>
      </w:r>
      <w:r w:rsidR="0075777C" w:rsidRPr="004A69F0">
        <w:t xml:space="preserve">ERA in addition to </w:t>
      </w:r>
      <w:r w:rsidR="004B668A">
        <w:t xml:space="preserve">a </w:t>
      </w:r>
      <w:r w:rsidR="0075777C" w:rsidRPr="004A69F0">
        <w:t>PDE-5 inhibitor, relative to PDE-5 inhibitor monotherapy</w:t>
      </w:r>
      <w:r w:rsidR="0075777C">
        <w:t xml:space="preserve"> </w:t>
      </w:r>
      <w:r w:rsidR="0075777C" w:rsidRPr="00D65221">
        <w:t>in patients with different PAH aetiologies</w:t>
      </w:r>
      <w:bookmarkEnd w:id="358"/>
    </w:p>
    <w:tbl>
      <w:tblPr>
        <w:tblStyle w:val="TableGrid"/>
        <w:tblW w:w="9634" w:type="dxa"/>
        <w:tblLayout w:type="fixed"/>
        <w:tblLook w:val="04A0" w:firstRow="1" w:lastRow="0" w:firstColumn="1" w:lastColumn="0" w:noHBand="0" w:noVBand="1"/>
        <w:tblCaption w:val="Balance of clinical harms of an ERA in addition to a PDE-5 inhibitor, relative to PDE-5 inhibitor monotherapy in patients with different PAH aetiologies"/>
      </w:tblPr>
      <w:tblGrid>
        <w:gridCol w:w="1560"/>
        <w:gridCol w:w="1275"/>
        <w:gridCol w:w="1701"/>
        <w:gridCol w:w="1413"/>
        <w:gridCol w:w="2551"/>
        <w:gridCol w:w="1134"/>
      </w:tblGrid>
      <w:tr w:rsidR="0075777C" w:rsidRPr="000647C6" w:rsidTr="00E35D60">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0647C6" w:rsidRDefault="0075777C" w:rsidP="000647C6">
            <w:pPr>
              <w:pStyle w:val="Tabletext"/>
              <w:rPr>
                <w:b/>
                <w:noProof/>
              </w:rPr>
            </w:pPr>
            <w:r w:rsidRPr="000647C6">
              <w:rPr>
                <w:b/>
                <w:noProof/>
              </w:rPr>
              <w:t xml:space="preserve">Outcomes </w:t>
            </w:r>
          </w:p>
        </w:tc>
        <w:tc>
          <w:tcPr>
            <w:tcW w:w="1275" w:type="dxa"/>
          </w:tcPr>
          <w:p w:rsidR="0075777C" w:rsidRPr="000647C6" w:rsidRDefault="0075777C" w:rsidP="000647C6">
            <w:pPr>
              <w:pStyle w:val="Tabletext"/>
              <w:rPr>
                <w:b/>
                <w:noProof/>
              </w:rPr>
            </w:pPr>
            <w:r w:rsidRPr="000647C6">
              <w:rPr>
                <w:b/>
                <w:noProof/>
              </w:rPr>
              <w:t>Participants (studies)</w:t>
            </w:r>
          </w:p>
        </w:tc>
        <w:tc>
          <w:tcPr>
            <w:tcW w:w="1701" w:type="dxa"/>
          </w:tcPr>
          <w:p w:rsidR="0075777C" w:rsidRPr="000647C6" w:rsidRDefault="0075777C" w:rsidP="000647C6">
            <w:pPr>
              <w:pStyle w:val="Tabletext"/>
              <w:rPr>
                <w:b/>
                <w:noProof/>
              </w:rPr>
            </w:pPr>
            <w:r w:rsidRPr="000647C6">
              <w:rPr>
                <w:b/>
                <w:noProof/>
              </w:rPr>
              <w:t>Quality of evidence</w:t>
            </w:r>
          </w:p>
        </w:tc>
        <w:tc>
          <w:tcPr>
            <w:tcW w:w="1413" w:type="dxa"/>
          </w:tcPr>
          <w:p w:rsidR="0075777C" w:rsidRPr="000647C6" w:rsidRDefault="0075777C" w:rsidP="000647C6">
            <w:pPr>
              <w:pStyle w:val="Tabletext"/>
              <w:rPr>
                <w:b/>
                <w:noProof/>
              </w:rPr>
            </w:pPr>
            <w:r w:rsidRPr="000647C6">
              <w:rPr>
                <w:b/>
                <w:noProof/>
              </w:rPr>
              <w:t>Results</w:t>
            </w:r>
          </w:p>
        </w:tc>
        <w:tc>
          <w:tcPr>
            <w:tcW w:w="2551" w:type="dxa"/>
          </w:tcPr>
          <w:p w:rsidR="0075777C" w:rsidRPr="000647C6" w:rsidRDefault="0075777C" w:rsidP="000647C6">
            <w:pPr>
              <w:pStyle w:val="Tabletext"/>
              <w:rPr>
                <w:b/>
                <w:noProof/>
              </w:rPr>
            </w:pPr>
            <w:r w:rsidRPr="000647C6">
              <w:rPr>
                <w:b/>
                <w:noProof/>
              </w:rPr>
              <w:t>Interpretation</w:t>
            </w:r>
          </w:p>
        </w:tc>
        <w:tc>
          <w:tcPr>
            <w:tcW w:w="1134" w:type="dxa"/>
          </w:tcPr>
          <w:p w:rsidR="0075777C" w:rsidRPr="000647C6" w:rsidRDefault="0075777C" w:rsidP="000647C6">
            <w:pPr>
              <w:pStyle w:val="Tabletext"/>
              <w:rPr>
                <w:b/>
                <w:noProof/>
              </w:rPr>
            </w:pPr>
            <w:r w:rsidRPr="000647C6">
              <w:rPr>
                <w:b/>
                <w:noProof/>
              </w:rPr>
              <w:t>GRADE</w:t>
            </w:r>
            <w:r w:rsidR="00753572" w:rsidRPr="00753572">
              <w:rPr>
                <w:b/>
                <w:noProof/>
                <w:vertAlign w:val="superscript"/>
              </w:rPr>
              <w:t>a</w:t>
            </w:r>
          </w:p>
          <w:p w:rsidR="0075777C" w:rsidRPr="000647C6" w:rsidRDefault="0075777C" w:rsidP="000647C6">
            <w:pPr>
              <w:pStyle w:val="Tabletext"/>
              <w:rPr>
                <w:b/>
                <w:noProof/>
              </w:rPr>
            </w:pPr>
            <w:r w:rsidRPr="000647C6">
              <w:rPr>
                <w:b/>
                <w:noProof/>
              </w:rPr>
              <w:t>Importance</w:t>
            </w:r>
          </w:p>
        </w:tc>
      </w:tr>
      <w:tr w:rsidR="009A6001" w:rsidRPr="006316DF" w:rsidTr="009A6001">
        <w:tc>
          <w:tcPr>
            <w:tcW w:w="1560" w:type="dxa"/>
            <w:shd w:val="clear" w:color="auto" w:fill="000000" w:themeFill="text1"/>
          </w:tcPr>
          <w:p w:rsidR="009A6001" w:rsidRDefault="009A6001" w:rsidP="000647C6">
            <w:pPr>
              <w:pStyle w:val="Tabletext"/>
            </w:pPr>
            <w:r>
              <w:t>IPAH/HPAH</w:t>
            </w:r>
          </w:p>
        </w:tc>
        <w:tc>
          <w:tcPr>
            <w:tcW w:w="1275" w:type="dxa"/>
            <w:shd w:val="clear" w:color="auto" w:fill="000000" w:themeFill="text1"/>
          </w:tcPr>
          <w:p w:rsidR="009A6001" w:rsidRDefault="009A6001" w:rsidP="000647C6">
            <w:pPr>
              <w:pStyle w:val="Tabletext"/>
            </w:pPr>
          </w:p>
        </w:tc>
        <w:tc>
          <w:tcPr>
            <w:tcW w:w="1701" w:type="dxa"/>
            <w:shd w:val="clear" w:color="auto" w:fill="000000" w:themeFill="text1"/>
          </w:tcPr>
          <w:p w:rsidR="009A6001" w:rsidRDefault="009A6001" w:rsidP="000647C6">
            <w:pPr>
              <w:pStyle w:val="Tabletext"/>
            </w:pPr>
          </w:p>
        </w:tc>
        <w:tc>
          <w:tcPr>
            <w:tcW w:w="1413" w:type="dxa"/>
            <w:shd w:val="clear" w:color="auto" w:fill="000000" w:themeFill="text1"/>
          </w:tcPr>
          <w:p w:rsidR="009A6001" w:rsidRPr="000E45D6" w:rsidRDefault="009A6001" w:rsidP="000647C6">
            <w:pPr>
              <w:pStyle w:val="Tabletext"/>
            </w:pPr>
          </w:p>
        </w:tc>
        <w:tc>
          <w:tcPr>
            <w:tcW w:w="2551" w:type="dxa"/>
            <w:shd w:val="clear" w:color="auto" w:fill="000000" w:themeFill="text1"/>
          </w:tcPr>
          <w:p w:rsidR="009A6001" w:rsidRDefault="009A6001" w:rsidP="000647C6">
            <w:pPr>
              <w:pStyle w:val="Tabletext"/>
            </w:pPr>
          </w:p>
        </w:tc>
        <w:tc>
          <w:tcPr>
            <w:tcW w:w="1134" w:type="dxa"/>
            <w:shd w:val="clear" w:color="auto" w:fill="000000" w:themeFill="text1"/>
          </w:tcPr>
          <w:p w:rsidR="009A6001" w:rsidRDefault="009A6001" w:rsidP="000647C6">
            <w:pPr>
              <w:pStyle w:val="Tabletext"/>
            </w:pPr>
          </w:p>
        </w:tc>
      </w:tr>
      <w:tr w:rsidR="00CF5BBF" w:rsidRPr="006316DF" w:rsidTr="00E35D60">
        <w:tc>
          <w:tcPr>
            <w:tcW w:w="1560" w:type="dxa"/>
          </w:tcPr>
          <w:p w:rsidR="00CF5BBF" w:rsidRPr="006316DF" w:rsidRDefault="00CF5BBF" w:rsidP="00CF5BBF">
            <w:pPr>
              <w:pStyle w:val="Tabletext"/>
            </w:pPr>
            <w:r>
              <w:t>Any AE in IPAH/HPAH</w:t>
            </w:r>
          </w:p>
        </w:tc>
        <w:tc>
          <w:tcPr>
            <w:tcW w:w="1275" w:type="dxa"/>
          </w:tcPr>
          <w:p w:rsidR="00CF5BBF" w:rsidRDefault="00CF5BBF" w:rsidP="00CF5BBF">
            <w:pPr>
              <w:pStyle w:val="Tabletext"/>
            </w:pPr>
            <w:r>
              <w:t>N=204</w:t>
            </w:r>
          </w:p>
          <w:p w:rsidR="00CF5BBF" w:rsidRPr="006316DF" w:rsidRDefault="00CF5BBF" w:rsidP="00CF5BBF">
            <w:pPr>
              <w:pStyle w:val="Tabletext"/>
            </w:pPr>
            <w:r>
              <w:t>k=1</w:t>
            </w:r>
            <w:r w:rsidRPr="00E564DD">
              <w:t xml:space="preserve"> RCT</w:t>
            </w:r>
          </w:p>
        </w:tc>
        <w:tc>
          <w:tcPr>
            <w:tcW w:w="1701" w:type="dxa"/>
          </w:tcPr>
          <w:p w:rsidR="00CF5BBF" w:rsidRPr="006316DF" w:rsidRDefault="00CF5BBF" w:rsidP="00CF5BBF">
            <w:pPr>
              <w:pStyle w:val="Tabletext"/>
            </w:pPr>
            <w:r>
              <w:t>Risk of bias: 0</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rsidRPr="006316DF">
              <w:t>Imprecision: 0</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0E45D6" w:rsidRDefault="00CF5BBF" w:rsidP="00CF5BBF">
            <w:pPr>
              <w:pStyle w:val="Tabletext"/>
            </w:pPr>
            <w:r w:rsidRPr="000E45D6">
              <w:t xml:space="preserve">RR = </w:t>
            </w:r>
            <w:r>
              <w:t>1</w:t>
            </w:r>
            <w:r w:rsidRPr="000E45D6">
              <w:t>.</w:t>
            </w:r>
            <w:r>
              <w:t>04</w:t>
            </w:r>
            <w:r w:rsidRPr="000E45D6">
              <w:t xml:space="preserve"> (95% CI 0.</w:t>
            </w:r>
            <w:r>
              <w:t>97</w:t>
            </w:r>
            <w:r w:rsidRPr="000E45D6">
              <w:t xml:space="preserve">, </w:t>
            </w:r>
            <w:r>
              <w:t>1.12</w:t>
            </w:r>
            <w:r w:rsidRPr="000E45D6">
              <w:t>)</w:t>
            </w:r>
          </w:p>
        </w:tc>
        <w:tc>
          <w:tcPr>
            <w:tcW w:w="2551" w:type="dxa"/>
          </w:tcPr>
          <w:p w:rsidR="00CF5BBF" w:rsidRPr="000E45D6" w:rsidRDefault="00CF5BBF" w:rsidP="00CF5BBF">
            <w:pPr>
              <w:pStyle w:val="Tabletext"/>
            </w:pPr>
            <w:r>
              <w:t>T</w:t>
            </w:r>
            <w:r w:rsidRPr="000E45D6">
              <w:t xml:space="preserve">he </w:t>
            </w:r>
            <w:r>
              <w:t>proportion</w:t>
            </w:r>
            <w:r w:rsidRPr="000E45D6">
              <w:t xml:space="preserve"> of patients </w:t>
            </w:r>
            <w:r>
              <w:t xml:space="preserve">with IPAH/HPAH </w:t>
            </w:r>
            <w:r w:rsidRPr="000E45D6">
              <w:t xml:space="preserve">that experience </w:t>
            </w:r>
            <w:r>
              <w:t>an AE</w:t>
            </w:r>
            <w:r w:rsidRPr="000E45D6">
              <w:t xml:space="preserve"> </w:t>
            </w:r>
            <w:r>
              <w:t>with combination therapy was similar to the proportion on monotherapy</w:t>
            </w:r>
          </w:p>
        </w:tc>
        <w:tc>
          <w:tcPr>
            <w:tcW w:w="1134" w:type="dxa"/>
          </w:tcPr>
          <w:p w:rsidR="00CF5BBF" w:rsidRPr="006316DF" w:rsidRDefault="00CF5BBF" w:rsidP="00CF5BBF">
            <w:pPr>
              <w:pStyle w:val="Tabletext"/>
            </w:pPr>
            <w:r>
              <w:t>High</w:t>
            </w:r>
          </w:p>
          <w:p w:rsidR="00CF5BBF" w:rsidRPr="006316DF" w:rsidRDefault="00CF5BBF" w:rsidP="00CF5BBF">
            <w:pPr>
              <w:pStyle w:val="Tabletext"/>
              <w:rPr>
                <w:rFonts w:cs="Cambria Math"/>
                <w:bCs/>
              </w:rPr>
            </w:pPr>
            <w:r w:rsidRPr="006316DF">
              <w:rPr>
                <w:rFonts w:ascii="Cambria Math" w:hAnsi="Cambria Math" w:cs="Cambria Math"/>
                <w:bCs/>
                <w:color w:val="00B050"/>
              </w:rPr>
              <w:t>⨁⨁⨁⨁</w:t>
            </w:r>
          </w:p>
          <w:p w:rsidR="00CF5BBF" w:rsidRPr="006316DF" w:rsidRDefault="00CF5BBF" w:rsidP="00CF5BBF">
            <w:pPr>
              <w:pStyle w:val="Tabletext"/>
            </w:pPr>
            <w:r w:rsidRPr="006316DF">
              <w:t>Important</w:t>
            </w:r>
          </w:p>
        </w:tc>
      </w:tr>
      <w:tr w:rsidR="00CF5BBF" w:rsidRPr="006316DF" w:rsidTr="00E35D60">
        <w:tc>
          <w:tcPr>
            <w:tcW w:w="1560" w:type="dxa"/>
          </w:tcPr>
          <w:p w:rsidR="00CF5BBF" w:rsidRPr="006316DF" w:rsidRDefault="00CF5BBF" w:rsidP="00CF5BBF">
            <w:pPr>
              <w:pStyle w:val="Tabletext"/>
            </w:pPr>
            <w:r>
              <w:t>Serious AEs in IPAH/HPAH</w:t>
            </w:r>
          </w:p>
        </w:tc>
        <w:tc>
          <w:tcPr>
            <w:tcW w:w="1275" w:type="dxa"/>
          </w:tcPr>
          <w:p w:rsidR="00CF5BBF" w:rsidRDefault="00CF5BBF" w:rsidP="00CF5BBF">
            <w:pPr>
              <w:pStyle w:val="Tabletext"/>
            </w:pPr>
            <w:r>
              <w:t>N=204</w:t>
            </w:r>
          </w:p>
          <w:p w:rsidR="00CF5BBF" w:rsidRPr="006316DF" w:rsidRDefault="00CF5BBF" w:rsidP="00CF5BBF">
            <w:pPr>
              <w:pStyle w:val="Tabletext"/>
            </w:pPr>
            <w:r>
              <w:t>k=1</w:t>
            </w:r>
            <w:r w:rsidRPr="00E564DD">
              <w:t xml:space="preserve"> RCT</w:t>
            </w:r>
          </w:p>
        </w:tc>
        <w:tc>
          <w:tcPr>
            <w:tcW w:w="1701" w:type="dxa"/>
          </w:tcPr>
          <w:p w:rsidR="00CF5BBF" w:rsidRPr="006316DF" w:rsidRDefault="00CF5BBF" w:rsidP="00CF5BBF">
            <w:pPr>
              <w:pStyle w:val="Tabletext"/>
            </w:pPr>
            <w:r>
              <w:t>Risk of bias: 0</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rsidRPr="006316DF">
              <w:t>Imprecision: 0</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2812F2" w:rsidRDefault="00CF5BBF" w:rsidP="00CF5BBF">
            <w:pPr>
              <w:pStyle w:val="Tabletext"/>
            </w:pPr>
            <w:r w:rsidRPr="00A971CA">
              <w:t xml:space="preserve">RR </w:t>
            </w:r>
            <w:r>
              <w:t xml:space="preserve">= </w:t>
            </w:r>
            <w:r w:rsidRPr="00A971CA">
              <w:t>0.85</w:t>
            </w:r>
            <w:r>
              <w:t xml:space="preserve"> (95% CI 0.58, 1.25)</w:t>
            </w:r>
          </w:p>
        </w:tc>
        <w:tc>
          <w:tcPr>
            <w:tcW w:w="2551" w:type="dxa"/>
          </w:tcPr>
          <w:p w:rsidR="00CF5BBF" w:rsidRPr="002812F2" w:rsidRDefault="00CF5BBF" w:rsidP="00CF5BBF">
            <w:pPr>
              <w:pStyle w:val="Tabletext"/>
            </w:pPr>
            <w:r>
              <w:t>Fewer</w:t>
            </w:r>
            <w:r w:rsidRPr="002812F2">
              <w:t xml:space="preserve"> patients </w:t>
            </w:r>
            <w:r>
              <w:t>with IPAH/ HPAH had a serious</w:t>
            </w:r>
            <w:r w:rsidRPr="00424867">
              <w:t xml:space="preserve"> AE with combination th</w:t>
            </w:r>
            <w:r>
              <w:t xml:space="preserve">erapy compared with monotherapy, </w:t>
            </w:r>
            <w:r w:rsidRPr="00424867">
              <w:t xml:space="preserve">but </w:t>
            </w:r>
            <w:r w:rsidRPr="005D0BCD">
              <w:t>the study was likely underpowered for this outcome</w:t>
            </w:r>
          </w:p>
        </w:tc>
        <w:tc>
          <w:tcPr>
            <w:tcW w:w="1134" w:type="dxa"/>
          </w:tcPr>
          <w:p w:rsidR="00CF5BBF" w:rsidRPr="006316DF" w:rsidRDefault="00CF5BBF" w:rsidP="00CF5BBF">
            <w:pPr>
              <w:pStyle w:val="Tabletext"/>
            </w:pPr>
            <w:r>
              <w:t>High</w:t>
            </w:r>
          </w:p>
          <w:p w:rsidR="00CF5BBF" w:rsidRPr="006316DF" w:rsidRDefault="00CF5BBF" w:rsidP="00CF5BBF">
            <w:pPr>
              <w:pStyle w:val="Tabletext"/>
              <w:rPr>
                <w:rFonts w:cs="Cambria Math"/>
                <w:bCs/>
              </w:rPr>
            </w:pPr>
            <w:r w:rsidRPr="006316DF">
              <w:rPr>
                <w:rFonts w:ascii="Cambria Math" w:hAnsi="Cambria Math" w:cs="Cambria Math"/>
                <w:bCs/>
                <w:color w:val="00B050"/>
              </w:rPr>
              <w:t>⨁⨁⨁⨁</w:t>
            </w:r>
          </w:p>
          <w:p w:rsidR="00CF5BBF" w:rsidRPr="006316DF" w:rsidRDefault="00CF5BBF" w:rsidP="00CF5BBF">
            <w:pPr>
              <w:pStyle w:val="Tabletext"/>
            </w:pPr>
            <w:r w:rsidRPr="006316DF">
              <w:t>Important</w:t>
            </w:r>
          </w:p>
        </w:tc>
      </w:tr>
      <w:tr w:rsidR="00CF5BBF" w:rsidRPr="006316DF" w:rsidTr="009A6001">
        <w:tc>
          <w:tcPr>
            <w:tcW w:w="1560" w:type="dxa"/>
          </w:tcPr>
          <w:p w:rsidR="00CF5BBF" w:rsidRDefault="00CF5BBF" w:rsidP="00CF5BBF">
            <w:pPr>
              <w:pStyle w:val="Tabletext"/>
            </w:pPr>
            <w:r>
              <w:t>AEs leading to treatment discontinuation in IPAH/HPAH</w:t>
            </w:r>
          </w:p>
        </w:tc>
        <w:tc>
          <w:tcPr>
            <w:tcW w:w="1275" w:type="dxa"/>
          </w:tcPr>
          <w:p w:rsidR="00CF5BBF" w:rsidRDefault="00CF5BBF" w:rsidP="00CF5BBF">
            <w:pPr>
              <w:pStyle w:val="Tabletext"/>
            </w:pPr>
            <w:r>
              <w:t>N=204</w:t>
            </w:r>
          </w:p>
          <w:p w:rsidR="00CF5BBF" w:rsidRPr="006316DF" w:rsidRDefault="00CF5BBF" w:rsidP="00CF5BBF">
            <w:pPr>
              <w:pStyle w:val="Tabletext"/>
            </w:pPr>
            <w:r>
              <w:t>k=1</w:t>
            </w:r>
            <w:r w:rsidRPr="00E564DD">
              <w:t xml:space="preserve"> RCT</w:t>
            </w:r>
          </w:p>
        </w:tc>
        <w:tc>
          <w:tcPr>
            <w:tcW w:w="1701" w:type="dxa"/>
          </w:tcPr>
          <w:p w:rsidR="00CF5BBF" w:rsidRPr="006316DF" w:rsidRDefault="00CF5BBF" w:rsidP="00CF5BBF">
            <w:pPr>
              <w:pStyle w:val="Tabletext"/>
            </w:pPr>
            <w:r>
              <w:t>Risk of bias: 0</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t>Imprecision: −1</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424867" w:rsidRDefault="00CF5BBF" w:rsidP="00CF5BBF">
            <w:pPr>
              <w:pStyle w:val="Tabletext"/>
              <w:rPr>
                <w:highlight w:val="cyan"/>
              </w:rPr>
            </w:pPr>
            <w:r w:rsidRPr="000C5F99">
              <w:t xml:space="preserve">RR </w:t>
            </w:r>
            <w:r>
              <w:t xml:space="preserve">= </w:t>
            </w:r>
            <w:r w:rsidRPr="000C5F99">
              <w:t>0.98</w:t>
            </w:r>
            <w:r>
              <w:t xml:space="preserve"> </w:t>
            </w:r>
            <w:r w:rsidRPr="000C5F99">
              <w:t>(</w:t>
            </w:r>
            <w:r>
              <w:t xml:space="preserve">95% CI </w:t>
            </w:r>
            <w:r w:rsidRPr="000C5F99">
              <w:t>0.44</w:t>
            </w:r>
            <w:r>
              <w:t>,</w:t>
            </w:r>
            <w:r w:rsidRPr="000C5F99">
              <w:t xml:space="preserve"> 2.20)</w:t>
            </w:r>
          </w:p>
        </w:tc>
        <w:tc>
          <w:tcPr>
            <w:tcW w:w="2551" w:type="dxa"/>
          </w:tcPr>
          <w:p w:rsidR="00CF5BBF" w:rsidRPr="00424867" w:rsidRDefault="00CF5BBF" w:rsidP="005625F4">
            <w:pPr>
              <w:pStyle w:val="Tabletext"/>
              <w:rPr>
                <w:highlight w:val="cyan"/>
              </w:rPr>
            </w:pPr>
            <w:r>
              <w:t>T</w:t>
            </w:r>
            <w:r w:rsidRPr="00E55244">
              <w:t xml:space="preserve">he proportion of patients who had an AE leading to treatment discontinuation was </w:t>
            </w:r>
            <w:r>
              <w:t>similar</w:t>
            </w:r>
            <w:r w:rsidRPr="00E55244">
              <w:t xml:space="preserve"> for both the combination therapy and monotherapy</w:t>
            </w:r>
          </w:p>
        </w:tc>
        <w:tc>
          <w:tcPr>
            <w:tcW w:w="1134" w:type="dxa"/>
          </w:tcPr>
          <w:p w:rsidR="00CF5BBF" w:rsidRPr="006316DF" w:rsidRDefault="00CF5BBF" w:rsidP="00CF5BBF">
            <w:pPr>
              <w:pStyle w:val="Tabletext"/>
            </w:pPr>
            <w:r>
              <w:t>Moderate</w:t>
            </w:r>
          </w:p>
          <w:p w:rsidR="00CF5BBF" w:rsidRPr="006316DF" w:rsidRDefault="00CF5BBF" w:rsidP="00CF5BBF">
            <w:pPr>
              <w:pStyle w:val="Tabletext"/>
              <w:rPr>
                <w:rFonts w:cs="Cambria Math"/>
                <w:bCs/>
              </w:rPr>
            </w:pPr>
            <w:r w:rsidRPr="006316DF">
              <w:rPr>
                <w:rFonts w:ascii="Cambria Math" w:hAnsi="Cambria Math" w:cs="Cambria Math"/>
                <w:bCs/>
                <w:color w:val="00B050"/>
              </w:rPr>
              <w:t>⨁⨁⨁</w:t>
            </w:r>
            <w:r w:rsidRPr="006316DF">
              <w:rPr>
                <w:rFonts w:ascii="Cambria Math" w:hAnsi="Cambria Math" w:cs="Cambria Math"/>
                <w:color w:val="C00000"/>
              </w:rPr>
              <w:t>⨀</w:t>
            </w:r>
          </w:p>
          <w:p w:rsidR="00CF5BBF" w:rsidRDefault="00CF5BBF" w:rsidP="00CF5BBF">
            <w:pPr>
              <w:pStyle w:val="Tabletext"/>
            </w:pPr>
            <w:r w:rsidRPr="006316DF">
              <w:t>Important</w:t>
            </w:r>
          </w:p>
        </w:tc>
      </w:tr>
      <w:tr w:rsidR="009A6001" w:rsidRPr="006316DF" w:rsidTr="009A6001">
        <w:tc>
          <w:tcPr>
            <w:tcW w:w="1560" w:type="dxa"/>
            <w:shd w:val="clear" w:color="auto" w:fill="000000" w:themeFill="text1"/>
          </w:tcPr>
          <w:p w:rsidR="009A6001" w:rsidRDefault="009A6001" w:rsidP="00CF5BBF">
            <w:pPr>
              <w:pStyle w:val="Tabletext"/>
              <w:keepNext/>
            </w:pPr>
            <w:r>
              <w:t>PAH-CTD</w:t>
            </w:r>
          </w:p>
        </w:tc>
        <w:tc>
          <w:tcPr>
            <w:tcW w:w="1275" w:type="dxa"/>
            <w:shd w:val="clear" w:color="auto" w:fill="000000" w:themeFill="text1"/>
          </w:tcPr>
          <w:p w:rsidR="009A6001" w:rsidRDefault="009A6001" w:rsidP="000647C6">
            <w:pPr>
              <w:pStyle w:val="Tabletext"/>
            </w:pPr>
          </w:p>
        </w:tc>
        <w:tc>
          <w:tcPr>
            <w:tcW w:w="1701" w:type="dxa"/>
            <w:shd w:val="clear" w:color="auto" w:fill="000000" w:themeFill="text1"/>
          </w:tcPr>
          <w:p w:rsidR="009A6001" w:rsidRPr="006316DF" w:rsidRDefault="009A6001" w:rsidP="000647C6">
            <w:pPr>
              <w:pStyle w:val="Tabletext"/>
            </w:pPr>
          </w:p>
        </w:tc>
        <w:tc>
          <w:tcPr>
            <w:tcW w:w="1413" w:type="dxa"/>
            <w:shd w:val="clear" w:color="auto" w:fill="000000" w:themeFill="text1"/>
          </w:tcPr>
          <w:p w:rsidR="009A6001" w:rsidRPr="000C5F99" w:rsidRDefault="009A6001" w:rsidP="000647C6">
            <w:pPr>
              <w:pStyle w:val="Tabletext"/>
            </w:pPr>
          </w:p>
        </w:tc>
        <w:tc>
          <w:tcPr>
            <w:tcW w:w="2551" w:type="dxa"/>
            <w:shd w:val="clear" w:color="auto" w:fill="000000" w:themeFill="text1"/>
          </w:tcPr>
          <w:p w:rsidR="009A6001" w:rsidRDefault="009A6001" w:rsidP="000647C6">
            <w:pPr>
              <w:pStyle w:val="Tabletext"/>
            </w:pPr>
          </w:p>
        </w:tc>
        <w:tc>
          <w:tcPr>
            <w:tcW w:w="1134" w:type="dxa"/>
            <w:shd w:val="clear" w:color="auto" w:fill="000000" w:themeFill="text1"/>
          </w:tcPr>
          <w:p w:rsidR="009A6001" w:rsidRDefault="009A6001" w:rsidP="000647C6">
            <w:pPr>
              <w:pStyle w:val="Tabletext"/>
            </w:pPr>
          </w:p>
        </w:tc>
      </w:tr>
      <w:tr w:rsidR="00CF5BBF" w:rsidRPr="006316DF" w:rsidTr="009A6001">
        <w:tc>
          <w:tcPr>
            <w:tcW w:w="1560" w:type="dxa"/>
          </w:tcPr>
          <w:p w:rsidR="00CF5BBF" w:rsidRPr="006316DF" w:rsidRDefault="00CF5BBF" w:rsidP="00CF5BBF">
            <w:pPr>
              <w:pStyle w:val="Tabletext"/>
            </w:pPr>
            <w:r>
              <w:t>Any AE in PAH-CTD</w:t>
            </w:r>
          </w:p>
        </w:tc>
        <w:tc>
          <w:tcPr>
            <w:tcW w:w="1275" w:type="dxa"/>
          </w:tcPr>
          <w:p w:rsidR="00CF5BBF" w:rsidRDefault="00CF5BBF" w:rsidP="00CF5BBF">
            <w:pPr>
              <w:pStyle w:val="Tabletext"/>
            </w:pPr>
            <w:r>
              <w:t>N=143</w:t>
            </w:r>
          </w:p>
          <w:p w:rsidR="00CF5BBF" w:rsidRPr="006316DF" w:rsidRDefault="00CF5BBF" w:rsidP="00CF5BBF">
            <w:pPr>
              <w:pStyle w:val="Tabletext"/>
            </w:pPr>
            <w:r>
              <w:t>k=1</w:t>
            </w:r>
            <w:r w:rsidRPr="00E564DD">
              <w:t xml:space="preserve"> RCT</w:t>
            </w:r>
          </w:p>
        </w:tc>
        <w:tc>
          <w:tcPr>
            <w:tcW w:w="1701" w:type="dxa"/>
          </w:tcPr>
          <w:p w:rsidR="00CF5BBF" w:rsidRPr="006316DF" w:rsidRDefault="00CF5BBF" w:rsidP="00CF5BBF">
            <w:pPr>
              <w:pStyle w:val="Tabletext"/>
            </w:pPr>
            <w:r>
              <w:t>Risk of bias: 0</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rsidRPr="006316DF">
              <w:t>Imprecision: 0</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0E45D6" w:rsidRDefault="00CF5BBF" w:rsidP="00CF5BBF">
            <w:pPr>
              <w:pStyle w:val="Tabletext"/>
            </w:pPr>
            <w:r w:rsidRPr="00A32685">
              <w:t>RR = 1.02 (95% CI 0.96, 1.07)</w:t>
            </w:r>
          </w:p>
        </w:tc>
        <w:tc>
          <w:tcPr>
            <w:tcW w:w="2551" w:type="dxa"/>
          </w:tcPr>
          <w:p w:rsidR="00CF5BBF" w:rsidRPr="000E45D6" w:rsidRDefault="00CF5BBF" w:rsidP="00CF5BBF">
            <w:pPr>
              <w:pStyle w:val="Tabletext"/>
            </w:pPr>
            <w:r>
              <w:t xml:space="preserve">The proportion of patients with </w:t>
            </w:r>
            <w:r w:rsidRPr="00A32685">
              <w:t>PAH</w:t>
            </w:r>
            <w:r w:rsidR="005625F4">
              <w:t>-CT</w:t>
            </w:r>
            <w:r>
              <w:t>D</w:t>
            </w:r>
            <w:r w:rsidRPr="00A32685">
              <w:t xml:space="preserve"> </w:t>
            </w:r>
            <w:r>
              <w:t>who</w:t>
            </w:r>
            <w:r w:rsidRPr="00A32685">
              <w:t xml:space="preserve"> experience</w:t>
            </w:r>
            <w:r>
              <w:t>d</w:t>
            </w:r>
            <w:r w:rsidRPr="00A32685">
              <w:t xml:space="preserve"> an AE with combination therapy </w:t>
            </w:r>
            <w:r>
              <w:t>was</w:t>
            </w:r>
            <w:r w:rsidRPr="00A32685">
              <w:t xml:space="preserve"> similar to the proportion on monotherapy</w:t>
            </w:r>
          </w:p>
        </w:tc>
        <w:tc>
          <w:tcPr>
            <w:tcW w:w="1134" w:type="dxa"/>
          </w:tcPr>
          <w:p w:rsidR="00CF5BBF" w:rsidRPr="006316DF" w:rsidRDefault="00CF5BBF" w:rsidP="00CF5BBF">
            <w:pPr>
              <w:pStyle w:val="Tabletext"/>
            </w:pPr>
            <w:r>
              <w:t>High</w:t>
            </w:r>
          </w:p>
          <w:p w:rsidR="00CF5BBF" w:rsidRPr="006316DF" w:rsidRDefault="00CF5BBF" w:rsidP="00CF5BBF">
            <w:pPr>
              <w:pStyle w:val="Tabletext"/>
              <w:rPr>
                <w:rFonts w:cs="Cambria Math"/>
                <w:bCs/>
              </w:rPr>
            </w:pPr>
            <w:r w:rsidRPr="006316DF">
              <w:rPr>
                <w:rFonts w:ascii="Cambria Math" w:hAnsi="Cambria Math" w:cs="Cambria Math"/>
                <w:bCs/>
                <w:color w:val="00B050"/>
              </w:rPr>
              <w:t>⨁⨁⨁⨁</w:t>
            </w:r>
          </w:p>
          <w:p w:rsidR="00CF5BBF" w:rsidRPr="006316DF" w:rsidRDefault="00CF5BBF" w:rsidP="00CF5BBF">
            <w:pPr>
              <w:pStyle w:val="Tabletext"/>
            </w:pPr>
            <w:r w:rsidRPr="006316DF">
              <w:t>Important</w:t>
            </w:r>
          </w:p>
        </w:tc>
      </w:tr>
      <w:tr w:rsidR="00CF5BBF" w:rsidRPr="006316DF" w:rsidTr="00E35D60">
        <w:tc>
          <w:tcPr>
            <w:tcW w:w="1560" w:type="dxa"/>
          </w:tcPr>
          <w:p w:rsidR="00CF5BBF" w:rsidRPr="006316DF" w:rsidRDefault="00CF5BBF" w:rsidP="00CF5BBF">
            <w:pPr>
              <w:pStyle w:val="Tabletext"/>
            </w:pPr>
            <w:r>
              <w:lastRenderedPageBreak/>
              <w:t>Serious AEs in PAH-CTD</w:t>
            </w:r>
          </w:p>
        </w:tc>
        <w:tc>
          <w:tcPr>
            <w:tcW w:w="1275" w:type="dxa"/>
          </w:tcPr>
          <w:p w:rsidR="00CF5BBF" w:rsidRDefault="00CF5BBF" w:rsidP="00CF5BBF">
            <w:pPr>
              <w:pStyle w:val="Tabletext"/>
            </w:pPr>
            <w:r>
              <w:t>N=143</w:t>
            </w:r>
          </w:p>
          <w:p w:rsidR="00CF5BBF" w:rsidRPr="006316DF" w:rsidRDefault="00CF5BBF" w:rsidP="00CF5BBF">
            <w:pPr>
              <w:pStyle w:val="Tabletext"/>
            </w:pPr>
            <w:r>
              <w:t>k=1</w:t>
            </w:r>
            <w:r w:rsidRPr="00E564DD">
              <w:t xml:space="preserve"> RCT</w:t>
            </w:r>
          </w:p>
        </w:tc>
        <w:tc>
          <w:tcPr>
            <w:tcW w:w="1701" w:type="dxa"/>
          </w:tcPr>
          <w:p w:rsidR="00CF5BBF" w:rsidRPr="006316DF" w:rsidRDefault="00CF5BBF" w:rsidP="00CF5BBF">
            <w:pPr>
              <w:pStyle w:val="Tabletext"/>
            </w:pPr>
            <w:r w:rsidRPr="006316DF">
              <w:t xml:space="preserve">Risk of bias: </w:t>
            </w:r>
            <w:r>
              <w:t>0</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t>Imprecision: 0</w:t>
            </w:r>
          </w:p>
          <w:p w:rsidR="00CF5BBF" w:rsidRDefault="00CF5BBF" w:rsidP="00CF5BBF">
            <w:pPr>
              <w:pStyle w:val="Tabletext"/>
            </w:pPr>
            <w:r w:rsidRPr="006316DF">
              <w:t>Publication bias: 0</w:t>
            </w:r>
          </w:p>
          <w:p w:rsidR="00CF5BBF" w:rsidRPr="006316DF" w:rsidRDefault="00CF5BBF" w:rsidP="00CF5BBF">
            <w:pPr>
              <w:pStyle w:val="Tabletext"/>
            </w:pPr>
            <w:r>
              <w:t>Association: +1</w:t>
            </w:r>
          </w:p>
        </w:tc>
        <w:tc>
          <w:tcPr>
            <w:tcW w:w="1413" w:type="dxa"/>
          </w:tcPr>
          <w:p w:rsidR="00CF5BBF" w:rsidRPr="00424867" w:rsidRDefault="00CF5BBF" w:rsidP="00CF5BBF">
            <w:pPr>
              <w:pStyle w:val="Tabletext"/>
              <w:rPr>
                <w:highlight w:val="cyan"/>
              </w:rPr>
            </w:pPr>
            <w:r w:rsidRPr="000C5F99">
              <w:t xml:space="preserve">RR </w:t>
            </w:r>
            <w:r>
              <w:t xml:space="preserve">= </w:t>
            </w:r>
            <w:r w:rsidRPr="000C5F99">
              <w:t>0.87</w:t>
            </w:r>
            <w:r>
              <w:t xml:space="preserve"> </w:t>
            </w:r>
            <w:r w:rsidRPr="000C5F99">
              <w:t>(</w:t>
            </w:r>
            <w:r>
              <w:t xml:space="preserve">95% CI </w:t>
            </w:r>
            <w:r w:rsidRPr="000C5F99">
              <w:t>0.60</w:t>
            </w:r>
            <w:r>
              <w:t>,</w:t>
            </w:r>
            <w:r w:rsidRPr="000C5F99">
              <w:t xml:space="preserve"> </w:t>
            </w:r>
            <w:r>
              <w:t>1.</w:t>
            </w:r>
            <w:r w:rsidRPr="000C5F99">
              <w:t>2</w:t>
            </w:r>
            <w:r>
              <w:t>8</w:t>
            </w:r>
            <w:r w:rsidRPr="000C5F99">
              <w:t>)</w:t>
            </w:r>
          </w:p>
        </w:tc>
        <w:tc>
          <w:tcPr>
            <w:tcW w:w="2551" w:type="dxa"/>
          </w:tcPr>
          <w:p w:rsidR="00CF5BBF" w:rsidRPr="00A32685" w:rsidRDefault="00CF5BBF" w:rsidP="00CF5BBF">
            <w:pPr>
              <w:pStyle w:val="Tabletext"/>
            </w:pPr>
            <w:r>
              <w:t>F</w:t>
            </w:r>
            <w:r w:rsidRPr="00A32685">
              <w:t xml:space="preserve">ewer patients </w:t>
            </w:r>
            <w:r>
              <w:t xml:space="preserve">with PAH-CTD </w:t>
            </w:r>
            <w:r w:rsidRPr="00A32685">
              <w:t>ha</w:t>
            </w:r>
            <w:r>
              <w:t>d</w:t>
            </w:r>
            <w:r w:rsidRPr="00A32685">
              <w:t xml:space="preserve"> a serious AE with combination therapy compared with monotherapy, but the </w:t>
            </w:r>
            <w:r>
              <w:t>95% CI indicates</w:t>
            </w:r>
            <w:r w:rsidRPr="00A32685">
              <w:t xml:space="preserve"> that there could also be no </w:t>
            </w:r>
            <w:r>
              <w:t xml:space="preserve">or the opposite </w:t>
            </w:r>
            <w:r w:rsidRPr="00A32685">
              <w:t>effect.</w:t>
            </w:r>
          </w:p>
        </w:tc>
        <w:tc>
          <w:tcPr>
            <w:tcW w:w="1134" w:type="dxa"/>
          </w:tcPr>
          <w:p w:rsidR="00CF5BBF" w:rsidRPr="006316DF" w:rsidRDefault="00CF5BBF" w:rsidP="00CF5BBF">
            <w:pPr>
              <w:pStyle w:val="Tabletext"/>
            </w:pPr>
            <w:r>
              <w:t>High</w:t>
            </w:r>
          </w:p>
          <w:p w:rsidR="00CF5BBF" w:rsidRPr="006316DF" w:rsidRDefault="00CF5BBF" w:rsidP="00CF5BBF">
            <w:pPr>
              <w:pStyle w:val="Tabletext"/>
              <w:rPr>
                <w:rFonts w:cs="Cambria Math"/>
                <w:bCs/>
              </w:rPr>
            </w:pPr>
            <w:r w:rsidRPr="006316DF">
              <w:rPr>
                <w:rFonts w:ascii="Cambria Math" w:hAnsi="Cambria Math" w:cs="Cambria Math"/>
                <w:bCs/>
                <w:color w:val="00B050"/>
              </w:rPr>
              <w:t>⨁⨁⨁⨁</w:t>
            </w:r>
          </w:p>
          <w:p w:rsidR="00CF5BBF" w:rsidRPr="006316DF" w:rsidRDefault="00CF5BBF" w:rsidP="00CF5BBF">
            <w:pPr>
              <w:pStyle w:val="Tabletext"/>
            </w:pPr>
            <w:r w:rsidRPr="006316DF">
              <w:t>Important</w:t>
            </w:r>
          </w:p>
        </w:tc>
      </w:tr>
      <w:tr w:rsidR="00CF5BBF" w:rsidRPr="006316DF" w:rsidTr="00753572">
        <w:trPr>
          <w:trHeight w:val="1445"/>
        </w:trPr>
        <w:tc>
          <w:tcPr>
            <w:tcW w:w="1560" w:type="dxa"/>
          </w:tcPr>
          <w:p w:rsidR="00CF5BBF" w:rsidRDefault="00CF5BBF" w:rsidP="00CF5BBF">
            <w:pPr>
              <w:pStyle w:val="Tabletext"/>
            </w:pPr>
            <w:r>
              <w:t>AEs leading to treatment discontinuation in PAH-CTD</w:t>
            </w:r>
          </w:p>
        </w:tc>
        <w:tc>
          <w:tcPr>
            <w:tcW w:w="1275" w:type="dxa"/>
          </w:tcPr>
          <w:p w:rsidR="00CF5BBF" w:rsidRDefault="00CF5BBF" w:rsidP="00CF5BBF">
            <w:pPr>
              <w:pStyle w:val="Tabletext"/>
            </w:pPr>
            <w:r>
              <w:t>N=143</w:t>
            </w:r>
          </w:p>
          <w:p w:rsidR="00CF5BBF" w:rsidRPr="006316DF" w:rsidRDefault="00CF5BBF" w:rsidP="00CF5BBF">
            <w:pPr>
              <w:pStyle w:val="Tabletext"/>
            </w:pPr>
            <w:r>
              <w:t>k=1</w:t>
            </w:r>
            <w:r w:rsidRPr="00E564DD">
              <w:t xml:space="preserve"> RCT</w:t>
            </w:r>
          </w:p>
        </w:tc>
        <w:tc>
          <w:tcPr>
            <w:tcW w:w="1701" w:type="dxa"/>
          </w:tcPr>
          <w:p w:rsidR="00CF5BBF" w:rsidRPr="006316DF" w:rsidRDefault="00CF5BBF" w:rsidP="00CF5BBF">
            <w:pPr>
              <w:pStyle w:val="Tabletext"/>
            </w:pPr>
            <w:r>
              <w:t>Risk of bias: 0</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t>Imprecision: −1</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424867" w:rsidRDefault="00CF5BBF" w:rsidP="00CF5BBF">
            <w:pPr>
              <w:pStyle w:val="Tabletext"/>
              <w:rPr>
                <w:highlight w:val="cyan"/>
              </w:rPr>
            </w:pPr>
            <w:r w:rsidRPr="000C5F99">
              <w:t>RR</w:t>
            </w:r>
            <w:r>
              <w:t xml:space="preserve"> =</w:t>
            </w:r>
            <w:r w:rsidRPr="000C5F99">
              <w:t xml:space="preserve"> 0.91</w:t>
            </w:r>
            <w:r>
              <w:t xml:space="preserve"> </w:t>
            </w:r>
            <w:r w:rsidRPr="000C5F99">
              <w:t>(</w:t>
            </w:r>
            <w:r>
              <w:t xml:space="preserve">95% CI </w:t>
            </w:r>
            <w:r w:rsidRPr="000C5F99">
              <w:t>0.37</w:t>
            </w:r>
            <w:r>
              <w:t>,</w:t>
            </w:r>
            <w:r w:rsidRPr="000C5F99">
              <w:t xml:space="preserve"> 2.19)</w:t>
            </w:r>
          </w:p>
        </w:tc>
        <w:tc>
          <w:tcPr>
            <w:tcW w:w="2551" w:type="dxa"/>
          </w:tcPr>
          <w:p w:rsidR="00CF5BBF" w:rsidRPr="00424867" w:rsidRDefault="005625F4" w:rsidP="00CF5BBF">
            <w:pPr>
              <w:pStyle w:val="Tabletext"/>
              <w:rPr>
                <w:highlight w:val="cyan"/>
              </w:rPr>
            </w:pPr>
            <w:r>
              <w:t xml:space="preserve">Fewer </w:t>
            </w:r>
            <w:r w:rsidRPr="00B96C6F">
              <w:t xml:space="preserve">patients had an AE </w:t>
            </w:r>
            <w:r>
              <w:t xml:space="preserve">leading to treatment discontinuation with </w:t>
            </w:r>
            <w:r w:rsidRPr="00B96C6F">
              <w:t xml:space="preserve">combination therapy </w:t>
            </w:r>
            <w:r>
              <w:t>compared with</w:t>
            </w:r>
            <w:r w:rsidRPr="00B96C6F">
              <w:t xml:space="preserve"> monotherapy</w:t>
            </w:r>
            <w:r w:rsidRPr="00160CDF">
              <w:t xml:space="preserve">, but the 95% CI indicates that there could also be </w:t>
            </w:r>
            <w:r>
              <w:t>no or the opposite effect.</w:t>
            </w:r>
          </w:p>
        </w:tc>
        <w:tc>
          <w:tcPr>
            <w:tcW w:w="1134" w:type="dxa"/>
          </w:tcPr>
          <w:p w:rsidR="00CF5BBF" w:rsidRPr="006316DF" w:rsidRDefault="00CF5BBF" w:rsidP="00CF5BBF">
            <w:pPr>
              <w:pStyle w:val="Tabletext"/>
            </w:pPr>
            <w:r>
              <w:t>Moderate</w:t>
            </w:r>
          </w:p>
          <w:p w:rsidR="00CF5BBF" w:rsidRPr="006316DF" w:rsidRDefault="00CF5BBF" w:rsidP="00CF5BBF">
            <w:pPr>
              <w:pStyle w:val="Tabletext"/>
              <w:rPr>
                <w:rFonts w:cs="Cambria Math"/>
                <w:bCs/>
              </w:rPr>
            </w:pPr>
            <w:r w:rsidRPr="006316DF">
              <w:rPr>
                <w:rFonts w:ascii="Cambria Math" w:hAnsi="Cambria Math" w:cs="Cambria Math"/>
                <w:bCs/>
                <w:color w:val="00B050"/>
              </w:rPr>
              <w:t>⨁⨁⨁</w:t>
            </w:r>
            <w:r w:rsidRPr="006316DF">
              <w:rPr>
                <w:rFonts w:ascii="Cambria Math" w:hAnsi="Cambria Math" w:cs="Cambria Math"/>
                <w:color w:val="C00000"/>
              </w:rPr>
              <w:t>⨀</w:t>
            </w:r>
          </w:p>
          <w:p w:rsidR="00CF5BBF" w:rsidRDefault="00CF5BBF" w:rsidP="00CF5BBF">
            <w:pPr>
              <w:pStyle w:val="Tabletext"/>
            </w:pPr>
            <w:r w:rsidRPr="006316DF">
              <w:t>Important</w:t>
            </w:r>
          </w:p>
        </w:tc>
      </w:tr>
    </w:tbl>
    <w:p w:rsidR="0075777C" w:rsidRPr="006316DF" w:rsidRDefault="0075777C" w:rsidP="00E35D60">
      <w:pPr>
        <w:pStyle w:val="Tablenote"/>
      </w:pPr>
      <w:r w:rsidRPr="006316DF">
        <w:rPr>
          <w:vertAlign w:val="superscript"/>
        </w:rPr>
        <w:t xml:space="preserve">a </w:t>
      </w:r>
      <w:r w:rsidRPr="006316DF">
        <w:t xml:space="preserve">GRADE Working Group grades of evidence </w:t>
      </w:r>
      <w:r w:rsidR="001D34EE" w:rsidRPr="001D34EE">
        <w:rPr>
          <w:noProof/>
          <w:vertAlign w:val="superscript"/>
        </w:rPr>
        <w:t>1</w:t>
      </w:r>
    </w:p>
    <w:p w:rsidR="0075777C" w:rsidRPr="006316DF" w:rsidRDefault="0075777C" w:rsidP="00E35D60">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A25B65" w:rsidRPr="00E564DD" w:rsidRDefault="00A25B65" w:rsidP="00A25B65">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753572" w:rsidRPr="006316DF" w:rsidRDefault="0075777C" w:rsidP="00E35D60">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w:t>
      </w:r>
      <w:r w:rsidR="00385E5A">
        <w:t>GRADE = grading of recommendations assessment, development and evaluation</w:t>
      </w:r>
      <w:r w:rsidR="001D34EE" w:rsidRPr="001D34EE">
        <w:rPr>
          <w:noProof/>
          <w:vertAlign w:val="superscript"/>
        </w:rPr>
        <w:t>1</w:t>
      </w:r>
      <w:r w:rsidR="00753572" w:rsidRPr="00DC16A3">
        <w:t xml:space="preserve">; </w:t>
      </w:r>
      <w:r w:rsidRPr="009B5AB3">
        <w:t xml:space="preserve">HPAH = heritable PAH; IPAH = idiopathic PAH; </w:t>
      </w:r>
      <w:r w:rsidR="00753572">
        <w:t xml:space="preserve">k = number of studies; </w:t>
      </w:r>
      <w:r>
        <w:t xml:space="preserve">N = number of patients; </w:t>
      </w:r>
      <w:r w:rsidRPr="009B5AB3">
        <w:t xml:space="preserve">PAH = pulmonary arterial hypertension; </w:t>
      </w:r>
      <w:r w:rsidR="00774E89">
        <w:t>PAH-</w:t>
      </w:r>
      <w:r w:rsidR="00774E89" w:rsidRPr="009B5AB3">
        <w:t xml:space="preserve">CTD = </w:t>
      </w:r>
      <w:r w:rsidR="00774E89">
        <w:t xml:space="preserve">PAH </w:t>
      </w:r>
      <w:r w:rsidR="00774E89" w:rsidRPr="009B5AB3">
        <w:t xml:space="preserve">associated with connective tissue disease; </w:t>
      </w:r>
      <w:r w:rsidRPr="009B5AB3">
        <w:t xml:space="preserve">PDE-5 = phosphodiesterase type-5; </w:t>
      </w:r>
      <w:r>
        <w:t>RCT = randomised controlled trial; RR = relative risk</w:t>
      </w:r>
    </w:p>
    <w:p w:rsidR="0075777C" w:rsidRPr="006316DF" w:rsidRDefault="000E0079" w:rsidP="0075777C">
      <w:pPr>
        <w:pStyle w:val="Heading4"/>
      </w:pPr>
      <w:r>
        <w:t>4.5.3.2</w:t>
      </w:r>
      <w:r>
        <w:tab/>
      </w:r>
      <w:r w:rsidR="0075777C" w:rsidRPr="006316DF">
        <w:t xml:space="preserve">ERA </w:t>
      </w:r>
      <w:r w:rsidR="0075777C" w:rsidRPr="00EF6A61">
        <w:t xml:space="preserve">in addition to </w:t>
      </w:r>
      <w:r w:rsidR="00754236">
        <w:t xml:space="preserve">a </w:t>
      </w:r>
      <w:r w:rsidR="000647C6">
        <w:t>prostanoid</w:t>
      </w:r>
    </w:p>
    <w:p w:rsidR="0075777C" w:rsidRPr="00107676" w:rsidRDefault="0075777C" w:rsidP="0075777C">
      <w:pPr>
        <w:pStyle w:val="Heading5"/>
      </w:pPr>
      <w:r w:rsidRPr="00107676">
        <w:t>Clinical effectiveness</w:t>
      </w:r>
    </w:p>
    <w:p w:rsidR="0075777C" w:rsidRDefault="0075777C" w:rsidP="0075777C">
      <w:r>
        <w:t xml:space="preserve">Both of the trials that provided the evidence base for </w:t>
      </w:r>
      <w:r w:rsidRPr="000522D6">
        <w:t xml:space="preserve">comparing </w:t>
      </w:r>
      <w:r>
        <w:t xml:space="preserve">the effectiveness of </w:t>
      </w:r>
      <w:r w:rsidRPr="000522D6">
        <w:t xml:space="preserve">an ERA in addition to </w:t>
      </w:r>
      <w:r w:rsidR="00754236">
        <w:t>prostanoid</w:t>
      </w:r>
      <w:r>
        <w:t xml:space="preserve"> compared with</w:t>
      </w:r>
      <w:r w:rsidRPr="000522D6">
        <w:t xml:space="preserve"> </w:t>
      </w:r>
      <w:r w:rsidR="00754236">
        <w:t>prostanoid</w:t>
      </w:r>
      <w:r w:rsidRPr="000522D6">
        <w:t xml:space="preserve"> monotherapy</w:t>
      </w:r>
      <w:r>
        <w:t xml:space="preserve"> enrolled treatment naïve patients who received either initial combination therapy or initial monotherapy. Additionally, both studies only enrolled patients with WHO FC III/IV.</w:t>
      </w:r>
    </w:p>
    <w:p w:rsidR="0075777C" w:rsidRPr="006316DF" w:rsidRDefault="0075777C" w:rsidP="0075777C">
      <w:r w:rsidRPr="00D270D4">
        <w:t>The detailed GRADE</w:t>
      </w:r>
      <w:r w:rsidR="001D34EE" w:rsidRPr="00D270D4">
        <w:rPr>
          <w:noProof/>
          <w:vertAlign w:val="superscript"/>
        </w:rPr>
        <w:t>1</w:t>
      </w:r>
      <w:r w:rsidRPr="00D270D4">
        <w:t xml:space="preserve"> assessments of effectiveness outcomes when comparing an ERA in addition to </w:t>
      </w:r>
      <w:r w:rsidR="00D270D4" w:rsidRPr="00D270D4">
        <w:t>prostanoid</w:t>
      </w:r>
      <w:r w:rsidRPr="00D270D4">
        <w:t xml:space="preserve">, relative to </w:t>
      </w:r>
      <w:r w:rsidR="00D270D4" w:rsidRPr="00D270D4">
        <w:t xml:space="preserve">prostanoid </w:t>
      </w:r>
      <w:r w:rsidRPr="00D270D4">
        <w:t xml:space="preserve">tor monotherapy are reported in </w:t>
      </w:r>
      <w:r w:rsidR="00AA722D">
        <w:t>Table 4.154</w:t>
      </w:r>
      <w:r w:rsidRPr="00D270D4">
        <w:t xml:space="preserve"> and </w:t>
      </w:r>
      <w:r w:rsidR="00AA722D">
        <w:t>Table 4.155</w:t>
      </w:r>
      <w:r w:rsidRPr="00D270D4">
        <w:t xml:space="preserve"> in Appendix </w:t>
      </w:r>
      <w:r w:rsidR="00DA2636" w:rsidRPr="00D270D4">
        <w:t>4</w:t>
      </w:r>
      <w:r w:rsidR="001B552D" w:rsidRPr="00D270D4">
        <w:t>C</w:t>
      </w:r>
      <w:r w:rsidRPr="00D270D4">
        <w:t>. The evidence for the effectiveness outcomes for all PAH patients are summarised</w:t>
      </w:r>
      <w:r>
        <w:t xml:space="preserve"> </w:t>
      </w:r>
      <w:r w:rsidRPr="006316DF">
        <w:t>in</w:t>
      </w:r>
      <w:r>
        <w:t xml:space="preserve"> </w:t>
      </w:r>
      <w:r w:rsidR="00AA722D">
        <w:t>Table 4.</w:t>
      </w:r>
      <w:r w:rsidR="00AA722D">
        <w:rPr>
          <w:noProof/>
        </w:rPr>
        <w:t>128</w:t>
      </w:r>
      <w:r>
        <w:t xml:space="preserve">. All outcomes were </w:t>
      </w:r>
      <w:r w:rsidRPr="006316DF">
        <w:t xml:space="preserve">considered to be of </w:t>
      </w:r>
      <w:r w:rsidR="00872747">
        <w:t xml:space="preserve">very </w:t>
      </w:r>
      <w:r w:rsidR="0001351C">
        <w:t>low</w:t>
      </w:r>
      <w:r w:rsidRPr="006316DF">
        <w:t xml:space="preserve"> (GRADE </w:t>
      </w:r>
      <w:r w:rsidR="0001351C" w:rsidRPr="00920393">
        <w:rPr>
          <w:rFonts w:ascii="Cambria Math" w:eastAsia="Times New Roman" w:hAnsi="Cambria Math" w:cs="Tahoma"/>
          <w:bCs/>
          <w:color w:val="00B050"/>
        </w:rPr>
        <w:t>⨁</w:t>
      </w:r>
      <w:r w:rsidR="00872747" w:rsidRPr="00920393">
        <w:rPr>
          <w:rFonts w:ascii="Cambria Math" w:eastAsia="Times New Roman" w:hAnsi="Cambria Math" w:cs="Cambria Math"/>
          <w:bCs/>
          <w:color w:val="C00000"/>
        </w:rPr>
        <w:t>⨀</w:t>
      </w:r>
      <w:r w:rsidR="0001351C" w:rsidRPr="00920393">
        <w:rPr>
          <w:rFonts w:ascii="Cambria Math" w:eastAsia="Times New Roman" w:hAnsi="Cambria Math" w:cs="Cambria Math"/>
          <w:bCs/>
          <w:color w:val="C00000"/>
        </w:rPr>
        <w:t>⨀⨀</w:t>
      </w:r>
      <w:r w:rsidRPr="00754236">
        <w:t>)</w:t>
      </w:r>
      <w:r w:rsidR="00872747">
        <w:t>, except all-cause mortality, which was of</w:t>
      </w:r>
      <w:r w:rsidR="0001351C">
        <w:t xml:space="preserve"> low </w:t>
      </w:r>
      <w:r w:rsidR="0001351C" w:rsidRPr="006316DF">
        <w:t xml:space="preserve">quality (GRADE </w:t>
      </w:r>
      <w:r w:rsidR="0001351C" w:rsidRPr="00920393">
        <w:rPr>
          <w:rFonts w:ascii="Cambria Math" w:eastAsia="Times New Roman" w:hAnsi="Cambria Math" w:cs="Tahoma"/>
          <w:bCs/>
          <w:color w:val="00B050"/>
        </w:rPr>
        <w:t>⨁⨁</w:t>
      </w:r>
      <w:r w:rsidR="0001351C" w:rsidRPr="00920393">
        <w:rPr>
          <w:rFonts w:ascii="Cambria Math" w:eastAsia="Times New Roman" w:hAnsi="Cambria Math" w:cs="Cambria Math"/>
          <w:bCs/>
          <w:color w:val="C00000"/>
        </w:rPr>
        <w:t>⨀⨀</w:t>
      </w:r>
      <w:r w:rsidR="0001351C" w:rsidRPr="00754236">
        <w:t>)</w:t>
      </w:r>
      <w:r w:rsidR="0001351C">
        <w:t>.</w:t>
      </w:r>
      <w:r w:rsidR="0001351C" w:rsidRPr="0001351C">
        <w:t xml:space="preserve"> Th</w:t>
      </w:r>
      <w:r w:rsidR="0001351C">
        <w:t>us, th</w:t>
      </w:r>
      <w:r w:rsidR="0001351C" w:rsidRPr="0001351C">
        <w:t xml:space="preserve">e true effect may be substantially different from the </w:t>
      </w:r>
      <w:r w:rsidR="0001351C">
        <w:t>point estimate.</w:t>
      </w:r>
    </w:p>
    <w:p w:rsidR="0075777C" w:rsidRDefault="0075777C" w:rsidP="0075777C">
      <w:r w:rsidRPr="006316DF">
        <w:t xml:space="preserve">When taking </w:t>
      </w:r>
      <w:r>
        <w:t>the whole body of evidence</w:t>
      </w:r>
      <w:r w:rsidRPr="006316DF">
        <w:t xml:space="preserve"> into account, </w:t>
      </w:r>
      <w:r w:rsidR="002A15D3">
        <w:t>more</w:t>
      </w:r>
      <w:r w:rsidR="002A15D3" w:rsidRPr="006316DF">
        <w:t xml:space="preserve"> </w:t>
      </w:r>
      <w:r w:rsidRPr="006316DF">
        <w:t xml:space="preserve">patients </w:t>
      </w:r>
      <w:r>
        <w:t>died from any cause</w:t>
      </w:r>
      <w:r w:rsidRPr="006316DF">
        <w:t xml:space="preserve"> </w:t>
      </w:r>
      <w:r w:rsidR="002A15D3">
        <w:t xml:space="preserve">whilst </w:t>
      </w:r>
      <w:r>
        <w:t xml:space="preserve">more patients improved their WHO FC </w:t>
      </w:r>
      <w:r w:rsidRPr="006316DF">
        <w:t xml:space="preserve">when taking </w:t>
      </w:r>
      <w:r>
        <w:t xml:space="preserve">combination therapy </w:t>
      </w:r>
      <w:r w:rsidRPr="006316DF">
        <w:t xml:space="preserve">compared with </w:t>
      </w:r>
      <w:r w:rsidRPr="00754236">
        <w:t xml:space="preserve">monotherapy, but the </w:t>
      </w:r>
      <w:r w:rsidR="005625F4">
        <w:t xml:space="preserve">wide </w:t>
      </w:r>
      <w:r w:rsidR="00D84687">
        <w:t>95% CI indicates</w:t>
      </w:r>
      <w:r w:rsidRPr="00754236">
        <w:t xml:space="preserve"> that </w:t>
      </w:r>
      <w:r w:rsidR="005625F4">
        <w:t>the study was not statistically powered to detect a true difference</w:t>
      </w:r>
      <w:r w:rsidRPr="00754236">
        <w:t>. The mean</w:t>
      </w:r>
      <w:r>
        <w:t xml:space="preserve"> difference</w:t>
      </w:r>
      <w:r w:rsidR="00300A41">
        <w:t xml:space="preserve"> in the haemodynamic parameters</w:t>
      </w:r>
      <w:r>
        <w:t xml:space="preserve"> all favoured combination therapy but were not large enough to be clinically important. The mean differences in 6MWD and QoL favouring combination therapy over monotherapy were clinically important.</w:t>
      </w:r>
    </w:p>
    <w:p w:rsidR="0075777C" w:rsidRDefault="0075777C" w:rsidP="0075777C">
      <w:r w:rsidRPr="006316DF">
        <w:lastRenderedPageBreak/>
        <w:t xml:space="preserve">Thus, </w:t>
      </w:r>
      <w:r w:rsidRPr="000522D6">
        <w:t>the</w:t>
      </w:r>
      <w:r w:rsidR="00A7777A">
        <w:t xml:space="preserve">re is </w:t>
      </w:r>
      <w:r w:rsidR="00F9446B">
        <w:t>uncertainty as to whether</w:t>
      </w:r>
      <w:r w:rsidRPr="006316DF">
        <w:t xml:space="preserve"> an ERA </w:t>
      </w:r>
      <w:r w:rsidRPr="000522D6">
        <w:t xml:space="preserve">in addition to </w:t>
      </w:r>
      <w:r w:rsidR="00754236">
        <w:t>prostanoid</w:t>
      </w:r>
      <w:r w:rsidRPr="000522D6">
        <w:t xml:space="preserve">, relative to </w:t>
      </w:r>
      <w:r w:rsidR="00754236">
        <w:t>prostanoid</w:t>
      </w:r>
      <w:r w:rsidRPr="000522D6">
        <w:t xml:space="preserve"> monotherapy</w:t>
      </w:r>
      <w:r w:rsidR="00F9446B">
        <w:t>, is beneficial in</w:t>
      </w:r>
      <w:r w:rsidRPr="006316DF">
        <w:t xml:space="preserve"> </w:t>
      </w:r>
      <w:r>
        <w:t>patients with WHO FC III/IV PAH</w:t>
      </w:r>
      <w:r w:rsidR="00D270D4">
        <w:t>.</w:t>
      </w:r>
    </w:p>
    <w:p w:rsidR="0075777C" w:rsidRPr="006316DF" w:rsidRDefault="00272F8F" w:rsidP="00BC5A2B">
      <w:pPr>
        <w:pStyle w:val="Caption"/>
      </w:pPr>
      <w:bookmarkStart w:id="359" w:name="_Ref505775091"/>
      <w:bookmarkStart w:id="360" w:name="_Toc512855532"/>
      <w:r>
        <w:t>Table 4.</w:t>
      </w:r>
      <w:r w:rsidR="00AA722D">
        <w:rPr>
          <w:noProof/>
        </w:rPr>
        <w:t>128</w:t>
      </w:r>
      <w:bookmarkEnd w:id="359"/>
      <w:r w:rsidR="00754236">
        <w:tab/>
      </w:r>
      <w:r w:rsidR="0075777C" w:rsidRPr="006316DF">
        <w:t xml:space="preserve">Balance of clinical benefits of </w:t>
      </w:r>
      <w:r w:rsidR="004B668A">
        <w:t xml:space="preserve">an </w:t>
      </w:r>
      <w:r w:rsidR="0075777C" w:rsidRPr="006316DF">
        <w:t>ERA</w:t>
      </w:r>
      <w:r w:rsidR="0075777C" w:rsidRPr="00EF6A61">
        <w:t xml:space="preserve"> in addition to </w:t>
      </w:r>
      <w:r w:rsidR="0075777C">
        <w:t xml:space="preserve">a </w:t>
      </w:r>
      <w:r w:rsidR="00754236">
        <w:t>prostanoid</w:t>
      </w:r>
      <w:r w:rsidR="0075777C" w:rsidRPr="006316DF">
        <w:t xml:space="preserve">, relative to </w:t>
      </w:r>
      <w:r w:rsidR="00754236" w:rsidRPr="002D77B1">
        <w:t>prostanoid</w:t>
      </w:r>
      <w:r w:rsidR="0075777C" w:rsidRPr="002D77B1">
        <w:t xml:space="preserve"> </w:t>
      </w:r>
      <w:r w:rsidR="0075777C">
        <w:t>monotherapy in patients</w:t>
      </w:r>
      <w:r w:rsidR="0075777C" w:rsidRPr="0045581A">
        <w:t xml:space="preserve"> with WHO FC III/IV PAH</w:t>
      </w:r>
      <w:bookmarkEnd w:id="360"/>
    </w:p>
    <w:tbl>
      <w:tblPr>
        <w:tblStyle w:val="TableGrid"/>
        <w:tblW w:w="9634" w:type="dxa"/>
        <w:tblLayout w:type="fixed"/>
        <w:tblLook w:val="04A0" w:firstRow="1" w:lastRow="0" w:firstColumn="1" w:lastColumn="0" w:noHBand="0" w:noVBand="1"/>
        <w:tblCaption w:val="Balance of clinical benefits of an ERA in addition to a prostanoid, relative to prostanoid monotherapy in patients with WHO FC III/IV PAH"/>
      </w:tblPr>
      <w:tblGrid>
        <w:gridCol w:w="1560"/>
        <w:gridCol w:w="1275"/>
        <w:gridCol w:w="1701"/>
        <w:gridCol w:w="1413"/>
        <w:gridCol w:w="2551"/>
        <w:gridCol w:w="1134"/>
      </w:tblGrid>
      <w:tr w:rsidR="0075777C" w:rsidRPr="000647C6" w:rsidTr="00754236">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0647C6" w:rsidRDefault="0075777C" w:rsidP="000647C6">
            <w:pPr>
              <w:pStyle w:val="Tabletext"/>
              <w:rPr>
                <w:b/>
                <w:noProof/>
              </w:rPr>
            </w:pPr>
            <w:r w:rsidRPr="000647C6">
              <w:rPr>
                <w:b/>
                <w:noProof/>
              </w:rPr>
              <w:t xml:space="preserve">Outcomes </w:t>
            </w:r>
          </w:p>
        </w:tc>
        <w:tc>
          <w:tcPr>
            <w:tcW w:w="1275" w:type="dxa"/>
          </w:tcPr>
          <w:p w:rsidR="0075777C" w:rsidRPr="000647C6" w:rsidRDefault="0075777C" w:rsidP="000647C6">
            <w:pPr>
              <w:pStyle w:val="Tabletext"/>
              <w:rPr>
                <w:b/>
                <w:noProof/>
              </w:rPr>
            </w:pPr>
            <w:r w:rsidRPr="000647C6">
              <w:rPr>
                <w:b/>
                <w:noProof/>
              </w:rPr>
              <w:t>Participants (studies)</w:t>
            </w:r>
          </w:p>
        </w:tc>
        <w:tc>
          <w:tcPr>
            <w:tcW w:w="1701" w:type="dxa"/>
          </w:tcPr>
          <w:p w:rsidR="0075777C" w:rsidRPr="000647C6" w:rsidRDefault="0075777C" w:rsidP="000647C6">
            <w:pPr>
              <w:pStyle w:val="Tabletext"/>
              <w:rPr>
                <w:b/>
                <w:noProof/>
              </w:rPr>
            </w:pPr>
            <w:r w:rsidRPr="000647C6">
              <w:rPr>
                <w:b/>
                <w:noProof/>
              </w:rPr>
              <w:t>Quality of evidence</w:t>
            </w:r>
          </w:p>
        </w:tc>
        <w:tc>
          <w:tcPr>
            <w:tcW w:w="1413" w:type="dxa"/>
          </w:tcPr>
          <w:p w:rsidR="0075777C" w:rsidRPr="000647C6" w:rsidRDefault="0075777C" w:rsidP="000647C6">
            <w:pPr>
              <w:pStyle w:val="Tabletext"/>
              <w:rPr>
                <w:b/>
                <w:noProof/>
              </w:rPr>
            </w:pPr>
            <w:r w:rsidRPr="000647C6">
              <w:rPr>
                <w:b/>
                <w:noProof/>
              </w:rPr>
              <w:t>Results</w:t>
            </w:r>
          </w:p>
        </w:tc>
        <w:tc>
          <w:tcPr>
            <w:tcW w:w="2551" w:type="dxa"/>
          </w:tcPr>
          <w:p w:rsidR="0075777C" w:rsidRPr="000647C6" w:rsidRDefault="0075777C" w:rsidP="000647C6">
            <w:pPr>
              <w:pStyle w:val="Tabletext"/>
              <w:rPr>
                <w:b/>
                <w:noProof/>
              </w:rPr>
            </w:pPr>
            <w:r w:rsidRPr="000647C6">
              <w:rPr>
                <w:b/>
                <w:noProof/>
              </w:rPr>
              <w:t>Interpretation</w:t>
            </w:r>
          </w:p>
        </w:tc>
        <w:tc>
          <w:tcPr>
            <w:tcW w:w="1134" w:type="dxa"/>
          </w:tcPr>
          <w:p w:rsidR="0075777C" w:rsidRPr="000647C6" w:rsidRDefault="0075777C" w:rsidP="000647C6">
            <w:pPr>
              <w:pStyle w:val="Tabletext"/>
              <w:rPr>
                <w:b/>
                <w:noProof/>
              </w:rPr>
            </w:pPr>
            <w:r w:rsidRPr="000647C6">
              <w:rPr>
                <w:b/>
                <w:noProof/>
              </w:rPr>
              <w:t>GRADE</w:t>
            </w:r>
            <w:r w:rsidR="00C83CA7" w:rsidRPr="00C83CA7">
              <w:rPr>
                <w:b/>
                <w:noProof/>
                <w:vertAlign w:val="superscript"/>
              </w:rPr>
              <w:t>a</w:t>
            </w:r>
          </w:p>
          <w:p w:rsidR="0075777C" w:rsidRPr="000647C6" w:rsidRDefault="0075777C" w:rsidP="000647C6">
            <w:pPr>
              <w:pStyle w:val="Tabletext"/>
              <w:rPr>
                <w:b/>
                <w:noProof/>
              </w:rPr>
            </w:pPr>
            <w:r w:rsidRPr="000647C6">
              <w:rPr>
                <w:b/>
                <w:noProof/>
              </w:rPr>
              <w:t>Importance</w:t>
            </w:r>
          </w:p>
        </w:tc>
      </w:tr>
      <w:tr w:rsidR="00CF5BBF" w:rsidRPr="006316DF" w:rsidTr="00754236">
        <w:tc>
          <w:tcPr>
            <w:tcW w:w="1560" w:type="dxa"/>
          </w:tcPr>
          <w:p w:rsidR="00CF5BBF" w:rsidRPr="006316DF" w:rsidRDefault="00CF5BBF" w:rsidP="00CF5BBF">
            <w:pPr>
              <w:pStyle w:val="Tabletext"/>
            </w:pPr>
            <w:r w:rsidRPr="006316DF">
              <w:t>All-cause mortality</w:t>
            </w:r>
          </w:p>
        </w:tc>
        <w:tc>
          <w:tcPr>
            <w:tcW w:w="1275" w:type="dxa"/>
          </w:tcPr>
          <w:p w:rsidR="00CF5BBF" w:rsidRPr="006316DF" w:rsidRDefault="00CF5BBF" w:rsidP="00CF5BBF">
            <w:pPr>
              <w:pStyle w:val="Tabletext"/>
            </w:pPr>
            <w:r w:rsidRPr="006316DF">
              <w:t>N=</w:t>
            </w:r>
            <w:r>
              <w:t>33</w:t>
            </w:r>
          </w:p>
          <w:p w:rsidR="00CF5BBF" w:rsidRPr="006316DF" w:rsidRDefault="00CF5BBF" w:rsidP="00CF5BBF">
            <w:pPr>
              <w:pStyle w:val="Tabletext"/>
            </w:pPr>
            <w:r w:rsidRPr="006316DF">
              <w:t>k=</w:t>
            </w:r>
            <w:r>
              <w:t>1 RCT</w:t>
            </w:r>
          </w:p>
        </w:tc>
        <w:tc>
          <w:tcPr>
            <w:tcW w:w="1701" w:type="dxa"/>
          </w:tcPr>
          <w:p w:rsidR="00CF5BBF" w:rsidRPr="006316DF" w:rsidRDefault="00CF5BBF" w:rsidP="00CF5BBF">
            <w:pPr>
              <w:pStyle w:val="Tabletext"/>
            </w:pPr>
            <w:r>
              <w:t>Risk of bias: 0</w:t>
            </w:r>
          </w:p>
          <w:p w:rsidR="00CF5BBF" w:rsidRPr="006316DF" w:rsidRDefault="00CF5BBF" w:rsidP="00CF5BBF">
            <w:pPr>
              <w:pStyle w:val="Tabletext"/>
            </w:pPr>
            <w:r w:rsidRPr="006316DF">
              <w:t xml:space="preserve">Inconsistency: </w:t>
            </w:r>
            <w:r>
              <w:t>0</w:t>
            </w:r>
          </w:p>
          <w:p w:rsidR="00CF5BBF" w:rsidRPr="006316DF" w:rsidRDefault="00CF5BBF" w:rsidP="00CF5BBF">
            <w:pPr>
              <w:pStyle w:val="Tabletext"/>
            </w:pPr>
            <w:r w:rsidRPr="006316DF">
              <w:t>Indirectness: 0</w:t>
            </w:r>
          </w:p>
          <w:p w:rsidR="00CF5BBF" w:rsidRDefault="00CF5BBF" w:rsidP="00CF5BBF">
            <w:pPr>
              <w:pStyle w:val="Tabletext"/>
            </w:pPr>
            <w:r w:rsidRPr="006316DF">
              <w:t xml:space="preserve">Imprecision: </w:t>
            </w:r>
            <w:r>
              <w:t>−2</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45581A" w:rsidRDefault="00CF5BBF" w:rsidP="00CF5BBF">
            <w:pPr>
              <w:pStyle w:val="Tabletext"/>
            </w:pPr>
            <w:r>
              <w:t>ARD</w:t>
            </w:r>
            <w:r w:rsidRPr="0045581A">
              <w:t xml:space="preserve"> = </w:t>
            </w:r>
            <w:r>
              <w:t>13</w:t>
            </w:r>
            <w:r w:rsidRPr="0045581A">
              <w:t>.</w:t>
            </w:r>
            <w:r>
              <w:t>6%</w:t>
            </w:r>
            <w:r w:rsidRPr="0045581A">
              <w:t xml:space="preserve"> (95% CI </w:t>
            </w:r>
            <w:r>
              <w:t>−0</w:t>
            </w:r>
            <w:r w:rsidRPr="0045581A">
              <w:t>.</w:t>
            </w:r>
            <w:r>
              <w:t>70, 28</w:t>
            </w:r>
            <w:r w:rsidRPr="0045581A">
              <w:t>.</w:t>
            </w:r>
            <w:r>
              <w:t>0</w:t>
            </w:r>
            <w:r w:rsidRPr="0045581A">
              <w:t>)</w:t>
            </w:r>
          </w:p>
        </w:tc>
        <w:tc>
          <w:tcPr>
            <w:tcW w:w="2551" w:type="dxa"/>
          </w:tcPr>
          <w:p w:rsidR="00CF5BBF" w:rsidRPr="0045581A" w:rsidRDefault="00CF5BBF" w:rsidP="00CF5BBF">
            <w:pPr>
              <w:pStyle w:val="Tabletext"/>
            </w:pPr>
            <w:r>
              <w:t>More</w:t>
            </w:r>
            <w:r w:rsidRPr="0045581A">
              <w:t xml:space="preserve"> patients die</w:t>
            </w:r>
            <w:r>
              <w:t>d</w:t>
            </w:r>
            <w:r w:rsidRPr="0045581A">
              <w:t xml:space="preserve"> from any cause with combination therapy compared with monotherapy, </w:t>
            </w:r>
            <w:r w:rsidR="005625F4" w:rsidRPr="00B92556">
              <w:t xml:space="preserve">but </w:t>
            </w:r>
            <w:r w:rsidR="005625F4">
              <w:t>the wide 95% CI indicates that the study was underpowered for this outcome</w:t>
            </w:r>
            <w:r>
              <w:t xml:space="preserve"> (p = 0.20)</w:t>
            </w:r>
          </w:p>
        </w:tc>
        <w:tc>
          <w:tcPr>
            <w:tcW w:w="1134" w:type="dxa"/>
          </w:tcPr>
          <w:p w:rsidR="00CF5BBF" w:rsidRPr="006316DF" w:rsidRDefault="00CF5BBF" w:rsidP="00CF5BBF">
            <w:pPr>
              <w:pStyle w:val="Tabletext"/>
            </w:pPr>
            <w:r>
              <w:t>Low</w:t>
            </w:r>
          </w:p>
          <w:p w:rsidR="00CF5BBF" w:rsidRPr="006316DF" w:rsidRDefault="00CF5BBF" w:rsidP="00CF5BBF">
            <w:pPr>
              <w:pStyle w:val="Tabletext"/>
              <w:rPr>
                <w:rFonts w:cs="Cambria Math"/>
                <w:bCs/>
              </w:rPr>
            </w:pPr>
            <w:r w:rsidRPr="006316DF">
              <w:rPr>
                <w:rFonts w:ascii="Cambria Math" w:hAnsi="Cambria Math" w:cs="Cambria Math"/>
                <w:bCs/>
                <w:color w:val="00B050"/>
              </w:rPr>
              <w:t>⨁⨁</w:t>
            </w:r>
            <w:r w:rsidRPr="006316DF">
              <w:rPr>
                <w:rFonts w:ascii="Cambria Math" w:hAnsi="Cambria Math" w:cs="Cambria Math"/>
                <w:bCs/>
                <w:color w:val="C00000"/>
              </w:rPr>
              <w:t>⨀⨀</w:t>
            </w:r>
          </w:p>
          <w:p w:rsidR="00CF5BBF" w:rsidRPr="006316DF" w:rsidRDefault="00CF5BBF" w:rsidP="00CF5BBF">
            <w:pPr>
              <w:pStyle w:val="Tabletext"/>
            </w:pPr>
            <w:r w:rsidRPr="006316DF">
              <w:t>Critical</w:t>
            </w:r>
          </w:p>
        </w:tc>
      </w:tr>
      <w:tr w:rsidR="00CF5BBF" w:rsidRPr="006316DF" w:rsidTr="00754236">
        <w:tc>
          <w:tcPr>
            <w:tcW w:w="1560" w:type="dxa"/>
          </w:tcPr>
          <w:p w:rsidR="00CF5BBF" w:rsidRPr="006316DF" w:rsidRDefault="00CF5BBF" w:rsidP="00CF5BBF">
            <w:pPr>
              <w:pStyle w:val="Tabletext"/>
            </w:pPr>
            <w:r w:rsidRPr="006316DF">
              <w:t>Improved WHO FC</w:t>
            </w:r>
          </w:p>
        </w:tc>
        <w:tc>
          <w:tcPr>
            <w:tcW w:w="1275" w:type="dxa"/>
          </w:tcPr>
          <w:p w:rsidR="00CF5BBF" w:rsidRPr="006316DF" w:rsidRDefault="00CF5BBF" w:rsidP="00CF5BBF">
            <w:pPr>
              <w:pStyle w:val="Tabletext"/>
            </w:pPr>
            <w:r w:rsidRPr="006316DF">
              <w:t>N=</w:t>
            </w:r>
            <w:r>
              <w:t>33</w:t>
            </w:r>
          </w:p>
          <w:p w:rsidR="00CF5BBF" w:rsidRPr="006316DF" w:rsidRDefault="00CF5BBF" w:rsidP="00CF5BBF">
            <w:pPr>
              <w:pStyle w:val="Tabletext"/>
            </w:pPr>
            <w:r w:rsidRPr="006316DF">
              <w:t>k=</w:t>
            </w:r>
            <w:r>
              <w:t>1</w:t>
            </w:r>
            <w:r w:rsidRPr="006316DF">
              <w:t xml:space="preserve"> RCT</w:t>
            </w:r>
          </w:p>
        </w:tc>
        <w:tc>
          <w:tcPr>
            <w:tcW w:w="1701" w:type="dxa"/>
          </w:tcPr>
          <w:p w:rsidR="00CF5BBF" w:rsidRPr="006316DF" w:rsidRDefault="00CF5BBF" w:rsidP="00CF5BBF">
            <w:pPr>
              <w:pStyle w:val="Tabletext"/>
            </w:pPr>
            <w:r>
              <w:t>Risk of bias: 0</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t>Imprecision: −2</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2812F2" w:rsidRDefault="00CF5BBF" w:rsidP="00CF5BBF">
            <w:pPr>
              <w:pStyle w:val="Tabletext"/>
            </w:pPr>
            <w:r>
              <w:t>RR</w:t>
            </w:r>
            <w:r w:rsidRPr="002812F2">
              <w:t xml:space="preserve"> = 1.</w:t>
            </w:r>
            <w:r>
              <w:t>3</w:t>
            </w:r>
            <w:r w:rsidRPr="002812F2">
              <w:t>0 (</w:t>
            </w:r>
            <w:r>
              <w:t>95% CI 0</w:t>
            </w:r>
            <w:r w:rsidRPr="002812F2">
              <w:t>.</w:t>
            </w:r>
            <w:r>
              <w:t>62,</w:t>
            </w:r>
            <w:r w:rsidRPr="002812F2">
              <w:t xml:space="preserve"> </w:t>
            </w:r>
            <w:r>
              <w:t>2</w:t>
            </w:r>
            <w:r w:rsidRPr="002812F2">
              <w:t>.</w:t>
            </w:r>
            <w:r>
              <w:t>71</w:t>
            </w:r>
            <w:r w:rsidRPr="002812F2">
              <w:t>)</w:t>
            </w:r>
          </w:p>
        </w:tc>
        <w:tc>
          <w:tcPr>
            <w:tcW w:w="2551" w:type="dxa"/>
          </w:tcPr>
          <w:p w:rsidR="00CF5BBF" w:rsidRPr="002812F2" w:rsidRDefault="00CF5BBF" w:rsidP="00CF5BBF">
            <w:pPr>
              <w:pStyle w:val="Tabletext"/>
            </w:pPr>
            <w:r>
              <w:t>M</w:t>
            </w:r>
            <w:r w:rsidRPr="002812F2">
              <w:t xml:space="preserve">ore patients </w:t>
            </w:r>
            <w:r>
              <w:t>on combination therapy</w:t>
            </w:r>
            <w:r w:rsidRPr="002812F2">
              <w:t xml:space="preserve"> improve</w:t>
            </w:r>
            <w:r>
              <w:t>d</w:t>
            </w:r>
            <w:r w:rsidRPr="002812F2">
              <w:t xml:space="preserve"> their WHO FC </w:t>
            </w:r>
            <w:r>
              <w:t>compared with</w:t>
            </w:r>
            <w:r w:rsidRPr="002812F2">
              <w:t xml:space="preserve"> those </w:t>
            </w:r>
            <w:r>
              <w:t xml:space="preserve">on monotherapy, </w:t>
            </w:r>
            <w:r w:rsidR="005625F4" w:rsidRPr="00B92556">
              <w:t xml:space="preserve">but </w:t>
            </w:r>
            <w:r w:rsidR="005625F4">
              <w:t>the wide 95% CI indicates that the study was underpowered for this outcome</w:t>
            </w:r>
          </w:p>
        </w:tc>
        <w:tc>
          <w:tcPr>
            <w:tcW w:w="1134" w:type="dxa"/>
          </w:tcPr>
          <w:p w:rsidR="00CF5BBF" w:rsidRDefault="00CF5BBF" w:rsidP="00CF5BBF">
            <w:pPr>
              <w:pStyle w:val="Tabletext"/>
              <w:rPr>
                <w:rFonts w:eastAsia="Times New Roman" w:cs="Tahoma"/>
                <w:bCs/>
              </w:rPr>
            </w:pPr>
            <w:r>
              <w:rPr>
                <w:rFonts w:eastAsia="Times New Roman" w:cs="Tahoma"/>
                <w:bCs/>
              </w:rPr>
              <w:t>Very low</w:t>
            </w:r>
          </w:p>
          <w:p w:rsidR="00CF5BBF" w:rsidRDefault="00CF5BBF" w:rsidP="00CF5BBF">
            <w:pPr>
              <w:pStyle w:val="Tabletext"/>
              <w:rPr>
                <w:rFonts w:ascii="Cambria Math" w:eastAsia="Times New Roman" w:hAnsi="Cambria Math" w:cs="Cambria Math"/>
                <w:bCs/>
              </w:rPr>
            </w:pPr>
            <w:r w:rsidRPr="00E564DD">
              <w:rPr>
                <w:rFonts w:ascii="Cambria Math" w:eastAsia="Times New Roman" w:hAnsi="Cambria Math" w:cs="Cambria Math"/>
                <w:bCs/>
                <w:color w:val="00B050"/>
              </w:rPr>
              <w:t>⨁</w:t>
            </w:r>
            <w:r w:rsidRPr="006316DF">
              <w:rPr>
                <w:rFonts w:ascii="Cambria Math" w:hAnsi="Cambria Math" w:cs="Cambria Math"/>
                <w:bCs/>
                <w:color w:val="C00000"/>
              </w:rPr>
              <w:t>⨀⨀</w:t>
            </w:r>
            <w:r w:rsidRPr="00E564DD">
              <w:rPr>
                <w:rFonts w:ascii="Cambria Math" w:hAnsi="Cambria Math" w:cs="Cambria Math"/>
                <w:color w:val="C00000"/>
              </w:rPr>
              <w:t>⨀</w:t>
            </w:r>
          </w:p>
          <w:p w:rsidR="00CF5BBF" w:rsidRPr="006316DF" w:rsidRDefault="00CF5BBF" w:rsidP="00CF5BBF">
            <w:pPr>
              <w:pStyle w:val="Tabletext"/>
            </w:pPr>
            <w:r w:rsidRPr="006316DF">
              <w:t>Important</w:t>
            </w:r>
          </w:p>
        </w:tc>
      </w:tr>
      <w:tr w:rsidR="00CF5BBF" w:rsidRPr="006316DF" w:rsidTr="000647C6">
        <w:tc>
          <w:tcPr>
            <w:tcW w:w="1560" w:type="dxa"/>
          </w:tcPr>
          <w:p w:rsidR="00CF5BBF" w:rsidRPr="006316DF" w:rsidRDefault="00CF5BBF" w:rsidP="00CF5BBF">
            <w:pPr>
              <w:pStyle w:val="Tabletext"/>
            </w:pPr>
            <w:r w:rsidRPr="006316DF">
              <w:t>Change in 6MWD</w:t>
            </w:r>
            <w:r>
              <w:t xml:space="preserve"> from baseline</w:t>
            </w:r>
          </w:p>
        </w:tc>
        <w:tc>
          <w:tcPr>
            <w:tcW w:w="1275" w:type="dxa"/>
          </w:tcPr>
          <w:p w:rsidR="00CF5BBF" w:rsidRPr="006316DF" w:rsidRDefault="00CF5BBF" w:rsidP="00CF5BBF">
            <w:pPr>
              <w:pStyle w:val="Tabletext"/>
            </w:pPr>
            <w:r>
              <w:t>N=</w:t>
            </w:r>
            <w:r w:rsidRPr="006316DF">
              <w:t>4</w:t>
            </w:r>
            <w:r>
              <w:t>7</w:t>
            </w:r>
          </w:p>
          <w:p w:rsidR="00CF5BBF" w:rsidRPr="006316DF" w:rsidRDefault="00CF5BBF" w:rsidP="00CF5BBF">
            <w:pPr>
              <w:pStyle w:val="Tabletext"/>
            </w:pPr>
            <w:r w:rsidRPr="006316DF">
              <w:t>k=</w:t>
            </w:r>
            <w:r>
              <w:t>2</w:t>
            </w:r>
            <w:r w:rsidRPr="006316DF">
              <w:t xml:space="preserve"> RCT</w:t>
            </w:r>
            <w:r>
              <w:t>s</w:t>
            </w:r>
          </w:p>
        </w:tc>
        <w:tc>
          <w:tcPr>
            <w:tcW w:w="1701" w:type="dxa"/>
          </w:tcPr>
          <w:p w:rsidR="00CF5BBF" w:rsidRPr="006316DF" w:rsidRDefault="00CF5BBF" w:rsidP="00CF5BBF">
            <w:pPr>
              <w:pStyle w:val="Tabletext"/>
            </w:pPr>
            <w:r>
              <w:t>Risk of bias: −1</w:t>
            </w:r>
          </w:p>
          <w:p w:rsidR="00CF5BBF" w:rsidRPr="006316DF" w:rsidRDefault="00CF5BBF" w:rsidP="00CF5BBF">
            <w:pPr>
              <w:pStyle w:val="Tabletext"/>
            </w:pPr>
            <w:r>
              <w:t>Inconsistency: −1</w:t>
            </w:r>
          </w:p>
          <w:p w:rsidR="00CF5BBF" w:rsidRPr="006316DF" w:rsidRDefault="00CF5BBF" w:rsidP="00CF5BBF">
            <w:pPr>
              <w:pStyle w:val="Tabletext"/>
            </w:pPr>
            <w:r w:rsidRPr="006316DF">
              <w:t xml:space="preserve">Indirectness: </w:t>
            </w:r>
            <w:r>
              <w:t>−1</w:t>
            </w:r>
          </w:p>
          <w:p w:rsidR="00CF5BBF" w:rsidRDefault="00CF5BBF" w:rsidP="00CF5BBF">
            <w:pPr>
              <w:pStyle w:val="Tabletext"/>
            </w:pPr>
            <w:r w:rsidRPr="006316DF">
              <w:t xml:space="preserve">Imprecision: </w:t>
            </w:r>
            <w:r>
              <w:t>−2</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D86232" w:rsidRDefault="00CF5BBF" w:rsidP="00CF5BBF">
            <w:pPr>
              <w:pStyle w:val="Tabletext"/>
            </w:pPr>
            <w:r>
              <w:t>R</w:t>
            </w:r>
            <w:r w:rsidRPr="00D86232">
              <w:t>ange 6.0 m less to 123.6 m further</w:t>
            </w:r>
          </w:p>
        </w:tc>
        <w:tc>
          <w:tcPr>
            <w:tcW w:w="2551" w:type="dxa"/>
          </w:tcPr>
          <w:p w:rsidR="00CF5BBF" w:rsidRPr="00D86232" w:rsidRDefault="005625F4" w:rsidP="0001351C">
            <w:pPr>
              <w:pStyle w:val="Tabletext"/>
            </w:pPr>
            <w:r w:rsidRPr="006B2E03">
              <w:t>Patients on combination therapy had either a smaller or a large improvement in their 6MWD than those on monotherapy</w:t>
            </w:r>
          </w:p>
        </w:tc>
        <w:tc>
          <w:tcPr>
            <w:tcW w:w="1134" w:type="dxa"/>
          </w:tcPr>
          <w:p w:rsidR="00CF5BBF" w:rsidRDefault="00CF5BBF" w:rsidP="00CF5BBF">
            <w:pPr>
              <w:pStyle w:val="Tabletext"/>
              <w:rPr>
                <w:bCs/>
              </w:rPr>
            </w:pPr>
            <w:r>
              <w:rPr>
                <w:bCs/>
              </w:rPr>
              <w:t>Very Low</w:t>
            </w:r>
          </w:p>
          <w:p w:rsidR="00CF5BBF" w:rsidRDefault="00CF5BBF" w:rsidP="00CF5BBF">
            <w:pPr>
              <w:pStyle w:val="Tabletext"/>
              <w:rPr>
                <w:rFonts w:ascii="Cambria Math" w:hAnsi="Cambria Math" w:cs="Cambria Math"/>
                <w:bCs/>
              </w:rPr>
            </w:pPr>
            <w:r w:rsidRPr="00E564DD">
              <w:rPr>
                <w:rFonts w:ascii="Cambria Math" w:hAnsi="Cambria Math" w:cs="Cambria Math"/>
                <w:bCs/>
                <w:color w:val="00B050"/>
              </w:rPr>
              <w:t>⨁</w:t>
            </w:r>
            <w:r w:rsidRPr="006316DF">
              <w:rPr>
                <w:rFonts w:ascii="Cambria Math" w:hAnsi="Cambria Math" w:cs="Cambria Math"/>
                <w:color w:val="C00000"/>
              </w:rPr>
              <w:t>⨀</w:t>
            </w:r>
            <w:r w:rsidRPr="00E564DD">
              <w:rPr>
                <w:rFonts w:ascii="Cambria Math" w:hAnsi="Cambria Math" w:cs="Cambria Math"/>
                <w:bCs/>
                <w:color w:val="FF0000"/>
              </w:rPr>
              <w:t>⨀⨀</w:t>
            </w:r>
          </w:p>
          <w:p w:rsidR="00CF5BBF" w:rsidRPr="006316DF" w:rsidRDefault="00CF5BBF" w:rsidP="00CF5BBF">
            <w:pPr>
              <w:pStyle w:val="Tabletext"/>
            </w:pPr>
            <w:r>
              <w:t>I</w:t>
            </w:r>
            <w:r w:rsidRPr="006316DF">
              <w:t>mportant</w:t>
            </w:r>
          </w:p>
        </w:tc>
      </w:tr>
      <w:tr w:rsidR="00CF5BBF" w:rsidRPr="006316DF" w:rsidTr="000647C6">
        <w:tc>
          <w:tcPr>
            <w:tcW w:w="1560" w:type="dxa"/>
          </w:tcPr>
          <w:p w:rsidR="00CF5BBF" w:rsidRPr="006316DF" w:rsidRDefault="00CF5BBF" w:rsidP="00CF5BBF">
            <w:pPr>
              <w:pStyle w:val="Tabletext"/>
            </w:pPr>
            <w:r w:rsidRPr="006316DF">
              <w:t xml:space="preserve">Change in </w:t>
            </w:r>
            <w:r>
              <w:t>QoL from baseline</w:t>
            </w:r>
          </w:p>
        </w:tc>
        <w:tc>
          <w:tcPr>
            <w:tcW w:w="1275" w:type="dxa"/>
          </w:tcPr>
          <w:p w:rsidR="00CF5BBF" w:rsidRPr="006316DF" w:rsidRDefault="00CF5BBF" w:rsidP="00CF5BBF">
            <w:pPr>
              <w:pStyle w:val="Tabletext"/>
            </w:pPr>
            <w:r w:rsidRPr="006316DF">
              <w:t>N=</w:t>
            </w:r>
            <w:r>
              <w:t>14</w:t>
            </w:r>
          </w:p>
          <w:p w:rsidR="00CF5BBF" w:rsidRPr="006316DF" w:rsidRDefault="00CF5BBF" w:rsidP="00CF5BBF">
            <w:pPr>
              <w:pStyle w:val="Tabletext"/>
            </w:pPr>
            <w:r w:rsidRPr="006316DF">
              <w:t>k=1 RCT</w:t>
            </w:r>
          </w:p>
        </w:tc>
        <w:tc>
          <w:tcPr>
            <w:tcW w:w="1701" w:type="dxa"/>
          </w:tcPr>
          <w:p w:rsidR="00CF5BBF" w:rsidRPr="006316DF" w:rsidRDefault="00CF5BBF" w:rsidP="00CF5BBF">
            <w:pPr>
              <w:pStyle w:val="Tabletext"/>
            </w:pPr>
            <w:r>
              <w:t>Risk of bias: −2</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rsidRPr="006316DF">
              <w:t xml:space="preserve">Imprecision: </w:t>
            </w:r>
            <w:r>
              <w:t>−2</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D86232" w:rsidRDefault="00CF5BBF" w:rsidP="00CF5BBF">
            <w:pPr>
              <w:pStyle w:val="Tabletext"/>
            </w:pPr>
            <w:r w:rsidRPr="00D86232">
              <w:t>MLHF</w:t>
            </w:r>
            <w:r w:rsidRPr="0017449B">
              <w:rPr>
                <w:vertAlign w:val="superscript"/>
              </w:rPr>
              <w:t>b</w:t>
            </w:r>
            <w:r>
              <w:br/>
            </w:r>
            <w:r w:rsidRPr="00D86232">
              <w:t xml:space="preserve">MD </w:t>
            </w:r>
            <w:r>
              <w:t xml:space="preserve">= </w:t>
            </w:r>
            <w:r w:rsidRPr="00D86232">
              <w:t>35.34 p</w:t>
            </w:r>
            <w:r>
              <w:t>oint</w:t>
            </w:r>
            <w:r w:rsidRPr="00D86232">
              <w:t xml:space="preserve"> improvement</w:t>
            </w:r>
          </w:p>
        </w:tc>
        <w:tc>
          <w:tcPr>
            <w:tcW w:w="2551" w:type="dxa"/>
          </w:tcPr>
          <w:p w:rsidR="00CF5BBF" w:rsidRPr="00D86232" w:rsidRDefault="00CF5BBF" w:rsidP="00CF5BBF">
            <w:pPr>
              <w:pStyle w:val="Tabletext"/>
            </w:pPr>
            <w:r>
              <w:t>P</w:t>
            </w:r>
            <w:r w:rsidRPr="00D86232">
              <w:t>atients on combination th</w:t>
            </w:r>
            <w:r>
              <w:t>e</w:t>
            </w:r>
            <w:r w:rsidRPr="00D86232">
              <w:t xml:space="preserve">rapy </w:t>
            </w:r>
            <w:r>
              <w:t xml:space="preserve">had a larger, clinically important mean </w:t>
            </w:r>
            <w:r w:rsidRPr="00D86232">
              <w:t>improve</w:t>
            </w:r>
            <w:r>
              <w:t>ment in th</w:t>
            </w:r>
            <w:r w:rsidRPr="00D86232">
              <w:t xml:space="preserve">eir </w:t>
            </w:r>
            <w:r>
              <w:t>QoL compared with</w:t>
            </w:r>
            <w:r w:rsidRPr="00D86232">
              <w:t xml:space="preserve"> monotherapy</w:t>
            </w:r>
          </w:p>
        </w:tc>
        <w:tc>
          <w:tcPr>
            <w:tcW w:w="1134" w:type="dxa"/>
          </w:tcPr>
          <w:p w:rsidR="00CF5BBF" w:rsidRDefault="00CF5BBF" w:rsidP="00CF5BBF">
            <w:pPr>
              <w:pStyle w:val="Tabletext"/>
              <w:rPr>
                <w:bCs/>
              </w:rPr>
            </w:pPr>
            <w:r>
              <w:rPr>
                <w:bCs/>
              </w:rPr>
              <w:t>Very low</w:t>
            </w:r>
          </w:p>
          <w:p w:rsidR="00CF5BBF" w:rsidRDefault="00CF5BBF" w:rsidP="00CF5BBF">
            <w:pPr>
              <w:pStyle w:val="Tabletext"/>
              <w:rPr>
                <w:rFonts w:ascii="Cambria Math" w:hAnsi="Cambria Math" w:cs="Cambria Math"/>
                <w:bCs/>
              </w:rPr>
            </w:pPr>
            <w:r w:rsidRPr="00E564DD">
              <w:rPr>
                <w:rFonts w:ascii="Cambria Math" w:hAnsi="Cambria Math" w:cs="Cambria Math"/>
                <w:bCs/>
                <w:color w:val="00B050"/>
              </w:rPr>
              <w:t>⨁</w:t>
            </w:r>
            <w:r>
              <w:rPr>
                <w:rFonts w:ascii="Cambria Math" w:hAnsi="Cambria Math" w:cs="Cambria Math"/>
                <w:color w:val="C00000"/>
              </w:rPr>
              <w:t>⨀</w:t>
            </w:r>
            <w:r w:rsidRPr="00E564DD">
              <w:rPr>
                <w:rFonts w:ascii="Cambria Math" w:hAnsi="Cambria Math" w:cs="Cambria Math"/>
                <w:bCs/>
                <w:color w:val="FF0000"/>
              </w:rPr>
              <w:t>⨀⨀</w:t>
            </w:r>
          </w:p>
          <w:p w:rsidR="00CF5BBF" w:rsidRPr="006316DF" w:rsidRDefault="00CF5BBF" w:rsidP="00CF5BBF">
            <w:pPr>
              <w:pStyle w:val="Tabletext"/>
            </w:pPr>
            <w:r>
              <w:t>I</w:t>
            </w:r>
            <w:r w:rsidRPr="006316DF">
              <w:t>mportant</w:t>
            </w:r>
          </w:p>
        </w:tc>
      </w:tr>
      <w:tr w:rsidR="00CF5BBF" w:rsidRPr="006316DF" w:rsidTr="00754236">
        <w:tc>
          <w:tcPr>
            <w:tcW w:w="1560" w:type="dxa"/>
          </w:tcPr>
          <w:p w:rsidR="00CF5BBF" w:rsidRPr="006316DF" w:rsidRDefault="00CF5BBF" w:rsidP="00CF5BBF">
            <w:pPr>
              <w:pStyle w:val="Tabletext"/>
            </w:pPr>
            <w:r w:rsidRPr="002D77B1">
              <w:t>Change in haemodynamic parameters from baseline</w:t>
            </w:r>
          </w:p>
        </w:tc>
        <w:tc>
          <w:tcPr>
            <w:tcW w:w="1275" w:type="dxa"/>
          </w:tcPr>
          <w:p w:rsidR="00CF5BBF" w:rsidRPr="006316DF" w:rsidRDefault="00CF5BBF" w:rsidP="00CF5BBF">
            <w:pPr>
              <w:pStyle w:val="Tabletext"/>
            </w:pPr>
            <w:r>
              <w:t>N=47</w:t>
            </w:r>
          </w:p>
          <w:p w:rsidR="00CF5BBF" w:rsidRPr="006316DF" w:rsidRDefault="00CF5BBF" w:rsidP="00CF5BBF">
            <w:pPr>
              <w:pStyle w:val="Tabletext"/>
            </w:pPr>
            <w:r w:rsidRPr="006316DF">
              <w:t>k=</w:t>
            </w:r>
            <w:r>
              <w:t>2</w:t>
            </w:r>
            <w:r w:rsidRPr="006316DF">
              <w:t xml:space="preserve"> RCT</w:t>
            </w:r>
            <w:r>
              <w:t>s</w:t>
            </w:r>
          </w:p>
        </w:tc>
        <w:tc>
          <w:tcPr>
            <w:tcW w:w="1701" w:type="dxa"/>
          </w:tcPr>
          <w:p w:rsidR="00CF5BBF" w:rsidRPr="006316DF" w:rsidRDefault="00CF5BBF" w:rsidP="00CF5BBF">
            <w:pPr>
              <w:pStyle w:val="Tabletext"/>
            </w:pPr>
            <w:r w:rsidRPr="006316DF">
              <w:t xml:space="preserve">Risk of bias: </w:t>
            </w:r>
            <w:r>
              <w:t>−1</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 xml:space="preserve">Indirectness: </w:t>
            </w:r>
            <w:r>
              <w:t>−2</w:t>
            </w:r>
          </w:p>
          <w:p w:rsidR="00CF5BBF" w:rsidRDefault="0079256B" w:rsidP="00CF5BBF">
            <w:pPr>
              <w:pStyle w:val="Tabletext"/>
            </w:pPr>
            <w:r>
              <w:t>Imprecision: −2</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AA57A8" w:rsidRDefault="00CF5BBF" w:rsidP="00CF5BBF">
            <w:pPr>
              <w:pStyle w:val="Tabletext"/>
            </w:pPr>
            <w:r w:rsidRPr="00AA57A8">
              <w:t>CAI</w:t>
            </w:r>
            <w:r>
              <w:t xml:space="preserve"> </w:t>
            </w:r>
            <w:r>
              <w:br/>
              <w:t>R</w:t>
            </w:r>
            <w:r w:rsidRPr="00AA57A8">
              <w:t>ange 10.8−17</w:t>
            </w:r>
            <w:r>
              <w:t>%</w:t>
            </w:r>
            <w:r w:rsidRPr="00AA57A8">
              <w:t xml:space="preserve"> improvement</w:t>
            </w:r>
          </w:p>
          <w:p w:rsidR="00CF5BBF" w:rsidRPr="00AA57A8" w:rsidRDefault="00CF5BBF" w:rsidP="00CF5BBF">
            <w:pPr>
              <w:pStyle w:val="Tabletext"/>
            </w:pPr>
            <w:r w:rsidRPr="00AA57A8">
              <w:t>PVR</w:t>
            </w:r>
            <w:r>
              <w:br/>
              <w:t>R</w:t>
            </w:r>
            <w:r w:rsidRPr="00AA57A8">
              <w:t>ange 9.5−</w:t>
            </w:r>
            <w:r>
              <w:t>2</w:t>
            </w:r>
            <w:r w:rsidRPr="00AA57A8">
              <w:t>1.5</w:t>
            </w:r>
            <w:r>
              <w:t>%</w:t>
            </w:r>
            <w:r w:rsidRPr="00AA57A8">
              <w:t xml:space="preserve"> improvement</w:t>
            </w:r>
          </w:p>
          <w:p w:rsidR="00CF5BBF" w:rsidRPr="002812F2" w:rsidRDefault="00CF5BBF" w:rsidP="00CF5BBF">
            <w:pPr>
              <w:pStyle w:val="Tabletext"/>
            </w:pPr>
            <w:r w:rsidRPr="00AA57A8">
              <w:t>mPAP</w:t>
            </w:r>
            <w:r>
              <w:br/>
              <w:t>R</w:t>
            </w:r>
            <w:r w:rsidRPr="00AA57A8">
              <w:t>ange 6.8−26.3</w:t>
            </w:r>
            <w:r>
              <w:t>%</w:t>
            </w:r>
            <w:r w:rsidRPr="00AA57A8">
              <w:t xml:space="preserve"> improvement</w:t>
            </w:r>
          </w:p>
        </w:tc>
        <w:tc>
          <w:tcPr>
            <w:tcW w:w="2551" w:type="dxa"/>
          </w:tcPr>
          <w:p w:rsidR="00CF5BBF" w:rsidRPr="002812F2" w:rsidRDefault="00CF5BBF" w:rsidP="00CF5BBF">
            <w:pPr>
              <w:pStyle w:val="Tabletext"/>
            </w:pPr>
            <w:r>
              <w:t>P</w:t>
            </w:r>
            <w:r w:rsidRPr="002812F2">
              <w:t xml:space="preserve">atients </w:t>
            </w:r>
            <w:r>
              <w:t>on combination therapy</w:t>
            </w:r>
            <w:r w:rsidRPr="002812F2">
              <w:t xml:space="preserve"> </w:t>
            </w:r>
            <w:r>
              <w:t>had larger mean improvements in their haemodynamic parameters compared with</w:t>
            </w:r>
            <w:r w:rsidRPr="002812F2">
              <w:t xml:space="preserve"> </w:t>
            </w:r>
            <w:r>
              <w:t xml:space="preserve">monotherapy and </w:t>
            </w:r>
            <w:r w:rsidRPr="00A66469">
              <w:t>were likely to be clinically important in 1 out of 2 studies</w:t>
            </w:r>
          </w:p>
        </w:tc>
        <w:tc>
          <w:tcPr>
            <w:tcW w:w="1134" w:type="dxa"/>
          </w:tcPr>
          <w:p w:rsidR="00CF5BBF" w:rsidRDefault="00CF5BBF" w:rsidP="00CF5BBF">
            <w:pPr>
              <w:pStyle w:val="Tabletext"/>
              <w:rPr>
                <w:bCs/>
              </w:rPr>
            </w:pPr>
            <w:r>
              <w:rPr>
                <w:bCs/>
              </w:rPr>
              <w:t>Very low</w:t>
            </w:r>
          </w:p>
          <w:p w:rsidR="00CF5BBF" w:rsidRDefault="00CF5BBF" w:rsidP="00CF5BBF">
            <w:pPr>
              <w:pStyle w:val="Tabletext"/>
              <w:rPr>
                <w:rFonts w:ascii="Cambria Math" w:hAnsi="Cambria Math" w:cs="Cambria Math"/>
                <w:bCs/>
              </w:rPr>
            </w:pPr>
            <w:r w:rsidRPr="00E564DD">
              <w:rPr>
                <w:rFonts w:ascii="Cambria Math" w:hAnsi="Cambria Math" w:cs="Cambria Math"/>
                <w:bCs/>
                <w:color w:val="00B050"/>
              </w:rPr>
              <w:t>⨁</w:t>
            </w:r>
            <w:r w:rsidRPr="006316DF">
              <w:rPr>
                <w:rFonts w:ascii="Cambria Math" w:hAnsi="Cambria Math" w:cs="Cambria Math"/>
                <w:color w:val="C00000"/>
              </w:rPr>
              <w:t>⨀⨀</w:t>
            </w:r>
            <w:r w:rsidRPr="00E564DD">
              <w:rPr>
                <w:rFonts w:ascii="Cambria Math" w:hAnsi="Cambria Math" w:cs="Cambria Math"/>
                <w:bCs/>
                <w:color w:val="FF0000"/>
              </w:rPr>
              <w:t>⨀</w:t>
            </w:r>
          </w:p>
          <w:p w:rsidR="00CF5BBF" w:rsidRPr="006316DF" w:rsidRDefault="00CF5BBF" w:rsidP="00CF5BBF">
            <w:pPr>
              <w:pStyle w:val="Tabletext"/>
            </w:pPr>
            <w:r>
              <w:t>Not i</w:t>
            </w:r>
            <w:r w:rsidRPr="006316DF">
              <w:t>mportant</w:t>
            </w:r>
          </w:p>
        </w:tc>
      </w:tr>
      <w:tr w:rsidR="00CF5BBF" w:rsidRPr="006316DF" w:rsidTr="00754236">
        <w:tc>
          <w:tcPr>
            <w:tcW w:w="1560" w:type="dxa"/>
          </w:tcPr>
          <w:p w:rsidR="00CF5BBF" w:rsidRPr="006316DF" w:rsidRDefault="00CF5BBF" w:rsidP="00CF5BBF">
            <w:pPr>
              <w:pStyle w:val="Tabletext"/>
            </w:pPr>
            <w:r w:rsidRPr="002D77B1">
              <w:lastRenderedPageBreak/>
              <w:t>Change in haemodynamic parameters from baseline</w:t>
            </w:r>
          </w:p>
        </w:tc>
        <w:tc>
          <w:tcPr>
            <w:tcW w:w="1275" w:type="dxa"/>
          </w:tcPr>
          <w:p w:rsidR="00CF5BBF" w:rsidRPr="006316DF" w:rsidRDefault="00CF5BBF" w:rsidP="00CF5BBF">
            <w:pPr>
              <w:pStyle w:val="Tabletext"/>
            </w:pPr>
            <w:r>
              <w:t>N=33</w:t>
            </w:r>
          </w:p>
          <w:p w:rsidR="00CF5BBF" w:rsidRPr="006316DF" w:rsidRDefault="00CF5BBF" w:rsidP="00CF5BBF">
            <w:pPr>
              <w:pStyle w:val="Tabletext"/>
            </w:pPr>
            <w:r w:rsidRPr="006316DF">
              <w:t>k=</w:t>
            </w:r>
            <w:r>
              <w:t>1</w:t>
            </w:r>
            <w:r w:rsidRPr="006316DF">
              <w:t xml:space="preserve"> RCT</w:t>
            </w:r>
          </w:p>
        </w:tc>
        <w:tc>
          <w:tcPr>
            <w:tcW w:w="1701" w:type="dxa"/>
          </w:tcPr>
          <w:p w:rsidR="00CF5BBF" w:rsidRPr="006316DF" w:rsidRDefault="00CF5BBF" w:rsidP="00CF5BBF">
            <w:pPr>
              <w:pStyle w:val="Tabletext"/>
            </w:pPr>
            <w:r w:rsidRPr="006316DF">
              <w:t xml:space="preserve">Risk of bias: </w:t>
            </w:r>
            <w:r>
              <w:t>0</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 xml:space="preserve">Indirectness: </w:t>
            </w:r>
            <w:r>
              <w:t>−2</w:t>
            </w:r>
          </w:p>
          <w:p w:rsidR="00CF5BBF" w:rsidRDefault="0079256B" w:rsidP="00CF5BBF">
            <w:pPr>
              <w:pStyle w:val="Tabletext"/>
            </w:pPr>
            <w:r>
              <w:t>Imprecision: −2</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AA57A8" w:rsidRDefault="00CF5BBF" w:rsidP="00CF5BBF">
            <w:pPr>
              <w:pStyle w:val="Tabletext"/>
            </w:pPr>
            <w:r w:rsidRPr="00AA57A8">
              <w:t>mRAP</w:t>
            </w:r>
            <w:r>
              <w:br/>
            </w:r>
            <w:r w:rsidRPr="00AA57A8">
              <w:t xml:space="preserve">MD </w:t>
            </w:r>
            <w:r>
              <w:t xml:space="preserve">= </w:t>
            </w:r>
            <w:r w:rsidRPr="00AA57A8">
              <w:t>2.2 mmHg improvement</w:t>
            </w:r>
          </w:p>
          <w:p w:rsidR="00CF5BBF" w:rsidRPr="002812F2" w:rsidRDefault="00CF5BBF" w:rsidP="00CF5BBF">
            <w:pPr>
              <w:pStyle w:val="Tabletext"/>
            </w:pPr>
            <w:r w:rsidRPr="00AA57A8">
              <w:t>TPR</w:t>
            </w:r>
            <w:r>
              <w:br/>
            </w:r>
            <w:r w:rsidRPr="00AA57A8">
              <w:t>MD 13.7% improvement</w:t>
            </w:r>
          </w:p>
        </w:tc>
        <w:tc>
          <w:tcPr>
            <w:tcW w:w="2551" w:type="dxa"/>
          </w:tcPr>
          <w:p w:rsidR="00CF5BBF" w:rsidRPr="002812F2" w:rsidRDefault="00CF5BBF" w:rsidP="00CF5BBF">
            <w:pPr>
              <w:pStyle w:val="Tabletext"/>
            </w:pPr>
            <w:r w:rsidRPr="00D86232">
              <w:t>Patients</w:t>
            </w:r>
            <w:r>
              <w:t xml:space="preserve"> </w:t>
            </w:r>
            <w:r w:rsidRPr="00D86232">
              <w:t xml:space="preserve">on combination therapy </w:t>
            </w:r>
            <w:r>
              <w:t>had</w:t>
            </w:r>
            <w:r w:rsidRPr="00D86232">
              <w:t xml:space="preserve"> </w:t>
            </w:r>
            <w:r>
              <w:t xml:space="preserve">larger mean </w:t>
            </w:r>
            <w:r w:rsidRPr="00D86232">
              <w:t>improve</w:t>
            </w:r>
            <w:r>
              <w:t xml:space="preserve">ments in their </w:t>
            </w:r>
            <w:r w:rsidRPr="00D86232">
              <w:t>haemodynamic parameters compared with monotherapy</w:t>
            </w:r>
          </w:p>
        </w:tc>
        <w:tc>
          <w:tcPr>
            <w:tcW w:w="1134" w:type="dxa"/>
          </w:tcPr>
          <w:p w:rsidR="0079256B" w:rsidRDefault="0079256B" w:rsidP="0079256B">
            <w:pPr>
              <w:pStyle w:val="Tabletext"/>
              <w:rPr>
                <w:rFonts w:eastAsia="Times New Roman" w:cs="Tahoma"/>
                <w:bCs/>
              </w:rPr>
            </w:pPr>
            <w:r>
              <w:rPr>
                <w:rFonts w:eastAsia="Times New Roman" w:cs="Tahoma"/>
                <w:bCs/>
              </w:rPr>
              <w:t>Very low</w:t>
            </w:r>
          </w:p>
          <w:p w:rsidR="0079256B" w:rsidRDefault="0079256B" w:rsidP="0079256B">
            <w:pPr>
              <w:pStyle w:val="Tabletext"/>
              <w:rPr>
                <w:rFonts w:ascii="Cambria Math" w:eastAsia="Times New Roman" w:hAnsi="Cambria Math" w:cs="Cambria Math"/>
                <w:bCs/>
              </w:rPr>
            </w:pPr>
            <w:r w:rsidRPr="00E564DD">
              <w:rPr>
                <w:rFonts w:ascii="Cambria Math" w:eastAsia="Times New Roman" w:hAnsi="Cambria Math" w:cs="Cambria Math"/>
                <w:bCs/>
                <w:color w:val="00B050"/>
              </w:rPr>
              <w:t>⨁</w:t>
            </w:r>
            <w:r w:rsidRPr="00E564DD">
              <w:rPr>
                <w:rFonts w:ascii="Cambria Math" w:hAnsi="Cambria Math" w:cs="Cambria Math"/>
                <w:color w:val="C00000"/>
              </w:rPr>
              <w:t>⨀⨀</w:t>
            </w:r>
            <w:r w:rsidRPr="00E564DD">
              <w:rPr>
                <w:rFonts w:ascii="Cambria Math" w:eastAsia="Times New Roman" w:hAnsi="Cambria Math" w:cs="Cambria Math"/>
                <w:bCs/>
                <w:color w:val="FF0000"/>
              </w:rPr>
              <w:t>⨀</w:t>
            </w:r>
          </w:p>
          <w:p w:rsidR="00CF5BBF" w:rsidRPr="006316DF" w:rsidRDefault="00CF5BBF" w:rsidP="00CF5BBF">
            <w:pPr>
              <w:pStyle w:val="Tabletext"/>
            </w:pPr>
            <w:r>
              <w:t>Not i</w:t>
            </w:r>
            <w:r w:rsidRPr="006316DF">
              <w:t>mportant</w:t>
            </w:r>
          </w:p>
        </w:tc>
      </w:tr>
    </w:tbl>
    <w:p w:rsidR="0075777C" w:rsidRPr="006316DF" w:rsidRDefault="0075777C" w:rsidP="00D14AB4">
      <w:pPr>
        <w:pStyle w:val="Tablenote"/>
      </w:pPr>
      <w:r w:rsidRPr="006316DF">
        <w:rPr>
          <w:vertAlign w:val="superscript"/>
        </w:rPr>
        <w:t xml:space="preserve">a </w:t>
      </w:r>
      <w:r w:rsidRPr="006316DF">
        <w:t xml:space="preserve">GRADE Working Group grades of evidence </w:t>
      </w:r>
      <w:r w:rsidR="001D34EE" w:rsidRPr="001D34EE">
        <w:rPr>
          <w:noProof/>
          <w:vertAlign w:val="superscript"/>
        </w:rPr>
        <w:t>1</w:t>
      </w:r>
    </w:p>
    <w:p w:rsidR="0017449B" w:rsidRDefault="0017449B" w:rsidP="0017449B">
      <w:pPr>
        <w:pStyle w:val="Tablenote"/>
      </w:pPr>
      <w:r>
        <w:rPr>
          <w:vertAlign w:val="superscript"/>
        </w:rPr>
        <w:t>b</w:t>
      </w:r>
      <w:r>
        <w:t xml:space="preserve"> MLHF total scores range from 0 to 105. A higher score indicates </w:t>
      </w:r>
      <w:r w:rsidRPr="000054CF">
        <w:t>poorer QoL</w:t>
      </w:r>
      <w:r>
        <w:t xml:space="preserve">. </w:t>
      </w:r>
    </w:p>
    <w:p w:rsidR="0075777C" w:rsidRPr="006316DF" w:rsidRDefault="0075777C" w:rsidP="00D14AB4">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7C2D99" w:rsidRDefault="007C2D99" w:rsidP="007C2D99">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Very low quality:</w:t>
      </w:r>
      <w:r w:rsidRPr="006316DF">
        <w:t xml:space="preserve"> We have very little confidence in the effect estimate: The true effect is likely to be substantially different from the estimate of effect</w:t>
      </w:r>
    </w:p>
    <w:p w:rsidR="00C83CA7" w:rsidRDefault="0075777C" w:rsidP="00D14AB4">
      <w:pPr>
        <w:pStyle w:val="Tablenote"/>
      </w:pPr>
      <w:r>
        <w:t xml:space="preserve">6MWD = 6-minute </w:t>
      </w:r>
      <w:r w:rsidR="0082368E">
        <w:t>walk distance</w:t>
      </w:r>
      <w:r w:rsidR="00B21201">
        <w:t>; ARD</w:t>
      </w:r>
      <w:r>
        <w:t xml:space="preserve"> = absolute risk </w:t>
      </w:r>
      <w:r w:rsidR="00B21201">
        <w:t>difference</w:t>
      </w:r>
      <w:r>
        <w:t>; CAI = cardiac index;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C83CA7" w:rsidRPr="00DC16A3">
        <w:t xml:space="preserve">; </w:t>
      </w:r>
      <w:r w:rsidR="00C83CA7">
        <w:t xml:space="preserve">k = number of studies; </w:t>
      </w:r>
      <w:r>
        <w:t xml:space="preserve">MD = mean difference; </w:t>
      </w:r>
      <w:r w:rsidR="009B49D9">
        <w:t>MLHF =</w:t>
      </w:r>
      <w:r w:rsidR="009B49D9" w:rsidRPr="009B49D9">
        <w:t xml:space="preserve"> Minnesota living with heart failure</w:t>
      </w:r>
      <w:r w:rsidR="009B49D9">
        <w:t xml:space="preserve">; </w:t>
      </w:r>
      <w:r>
        <w:t>mPAP = mean pulmonary arter</w:t>
      </w:r>
      <w:r w:rsidR="00214AC1">
        <w:t>y</w:t>
      </w:r>
      <w:r>
        <w:t xml:space="preserve"> pressure; mRAP = mean right atrial pressure; </w:t>
      </w:r>
      <w:r w:rsidR="001F1FDD">
        <w:t xml:space="preserve">MD = mean difference; </w:t>
      </w:r>
      <w:r>
        <w:t xml:space="preserve">N = number of patients; </w:t>
      </w:r>
      <w:r w:rsidRPr="00C65B42">
        <w:t xml:space="preserve">PAH = pulmonary arterial hypertension; </w:t>
      </w:r>
      <w:r w:rsidRPr="009123E2">
        <w:t>PVR</w:t>
      </w:r>
      <w:r>
        <w:t xml:space="preserve"> = p</w:t>
      </w:r>
      <w:r w:rsidRPr="009123E2">
        <w:t xml:space="preserve">ulmonary </w:t>
      </w:r>
      <w:r>
        <w:t>v</w:t>
      </w:r>
      <w:r w:rsidRPr="009123E2">
        <w:t xml:space="preserve">ascular </w:t>
      </w:r>
      <w:r>
        <w:t>r</w:t>
      </w:r>
      <w:r w:rsidRPr="009123E2">
        <w:t>esistance</w:t>
      </w:r>
      <w:r>
        <w:t>; QoL = quality of life; RCT = randomised controlled trial; RR = relative risk; TPR = total pulmonary pressure; WHO = World Health Organization</w:t>
      </w:r>
    </w:p>
    <w:p w:rsidR="0075777C" w:rsidRPr="006316DF" w:rsidRDefault="0075777C" w:rsidP="0075777C">
      <w:pPr>
        <w:pStyle w:val="Heading5"/>
      </w:pPr>
      <w:r w:rsidRPr="006316DF">
        <w:t>Safety</w:t>
      </w:r>
    </w:p>
    <w:p w:rsidR="0075777C" w:rsidRDefault="0075777C" w:rsidP="00487A3E">
      <w:pPr>
        <w:spacing w:before="0" w:line="240" w:lineRule="auto"/>
      </w:pPr>
      <w:r w:rsidRPr="006316DF">
        <w:t xml:space="preserve">The </w:t>
      </w:r>
      <w:r>
        <w:t xml:space="preserve">detailed </w:t>
      </w:r>
      <w:r w:rsidRPr="006316DF">
        <w:t>GRADE</w:t>
      </w:r>
      <w:r w:rsidR="001D34EE" w:rsidRPr="001D34EE">
        <w:rPr>
          <w:noProof/>
          <w:vertAlign w:val="superscript"/>
        </w:rPr>
        <w:t>1</w:t>
      </w:r>
      <w:r w:rsidRPr="006316DF">
        <w:t xml:space="preserve"> assessments of </w:t>
      </w:r>
      <w:r>
        <w:t>safety</w:t>
      </w:r>
      <w:r w:rsidRPr="006316DF">
        <w:t xml:space="preserve"> outcomes when comparing an ERA </w:t>
      </w:r>
      <w:r w:rsidRPr="00BB3BB5">
        <w:t xml:space="preserve">in addition to </w:t>
      </w:r>
      <w:r w:rsidR="006A32C5">
        <w:t>prostanoid</w:t>
      </w:r>
      <w:r w:rsidRPr="00BB3BB5">
        <w:t xml:space="preserve">, relative to </w:t>
      </w:r>
      <w:r w:rsidR="006A32C5">
        <w:t>prostanoid</w:t>
      </w:r>
      <w:r w:rsidR="006A32C5" w:rsidRPr="00BB3BB5">
        <w:t xml:space="preserve"> </w:t>
      </w:r>
      <w:r w:rsidRPr="00BB3BB5">
        <w:t xml:space="preserve">monotherapy </w:t>
      </w:r>
      <w:r w:rsidRPr="006316DF">
        <w:t>are reported in</w:t>
      </w:r>
      <w:r>
        <w:t xml:space="preserve"> </w:t>
      </w:r>
      <w:r w:rsidR="00AA722D">
        <w:t>Table 4.</w:t>
      </w:r>
      <w:r w:rsidR="00AA722D">
        <w:rPr>
          <w:noProof/>
        </w:rPr>
        <w:t>155</w:t>
      </w:r>
      <w:r>
        <w:t xml:space="preserve"> </w:t>
      </w:r>
      <w:r w:rsidRPr="006316DF">
        <w:t xml:space="preserve">in Appendix </w:t>
      </w:r>
      <w:r w:rsidR="00DA2636">
        <w:t>4</w:t>
      </w:r>
      <w:r w:rsidR="001B552D">
        <w:t>C</w:t>
      </w:r>
      <w:r>
        <w:t xml:space="preserve">. </w:t>
      </w:r>
      <w:r w:rsidRPr="006316DF">
        <w:t xml:space="preserve">The evidence for the </w:t>
      </w:r>
      <w:r>
        <w:t xml:space="preserve">safety </w:t>
      </w:r>
      <w:r w:rsidRPr="006316DF">
        <w:t xml:space="preserve">outcomes </w:t>
      </w:r>
      <w:r>
        <w:t xml:space="preserve">for all PAH patients are summarised </w:t>
      </w:r>
      <w:r w:rsidRPr="006316DF">
        <w:t>in</w:t>
      </w:r>
      <w:r w:rsidR="00487A3E">
        <w:t xml:space="preserve"> Table 4.129</w:t>
      </w:r>
      <w:r>
        <w:t xml:space="preserve">. </w:t>
      </w:r>
      <w:r w:rsidR="00E20AB7">
        <w:t>There were no new safety signal identified.</w:t>
      </w:r>
    </w:p>
    <w:p w:rsidR="0075777C" w:rsidRPr="00D14AB4" w:rsidRDefault="0075777C" w:rsidP="0075777C">
      <w:r>
        <w:t xml:space="preserve">The evidence for </w:t>
      </w:r>
      <w:r w:rsidR="00300A41">
        <w:t>all the safety outcomes were</w:t>
      </w:r>
      <w:r>
        <w:t xml:space="preserve"> </w:t>
      </w:r>
      <w:r w:rsidRPr="006316DF">
        <w:t xml:space="preserve">considered to be of </w:t>
      </w:r>
      <w:r w:rsidR="00300A41">
        <w:t xml:space="preserve">low </w:t>
      </w:r>
      <w:r w:rsidR="00300A41" w:rsidRPr="00D14AB4">
        <w:t xml:space="preserve">(GRADE </w:t>
      </w:r>
      <w:r w:rsidR="00300A41" w:rsidRPr="008727D6">
        <w:rPr>
          <w:rFonts w:ascii="Cambria Math" w:hAnsi="Cambria Math" w:cs="Cambria Math"/>
          <w:color w:val="00B050"/>
        </w:rPr>
        <w:t>⨁⨁</w:t>
      </w:r>
      <w:r w:rsidR="00300A41" w:rsidRPr="008727D6">
        <w:rPr>
          <w:rFonts w:ascii="Cambria Math" w:hAnsi="Cambria Math" w:cs="Cambria Math"/>
          <w:color w:val="C00000"/>
        </w:rPr>
        <w:t>⨀⨀</w:t>
      </w:r>
      <w:r w:rsidR="00300A41" w:rsidRPr="00D14AB4">
        <w:t xml:space="preserve">) </w:t>
      </w:r>
      <w:r w:rsidR="00300A41">
        <w:t>or very low</w:t>
      </w:r>
      <w:r w:rsidRPr="006316DF">
        <w:t xml:space="preserve"> quality (GRADE </w:t>
      </w:r>
      <w:r w:rsidRPr="008727D6">
        <w:rPr>
          <w:rFonts w:ascii="Cambria Math" w:eastAsia="Times New Roman" w:hAnsi="Cambria Math" w:cs="Tahoma"/>
          <w:bCs/>
          <w:color w:val="00B050"/>
        </w:rPr>
        <w:t>⨁</w:t>
      </w:r>
      <w:r w:rsidR="00300A41" w:rsidRPr="008727D6">
        <w:rPr>
          <w:rFonts w:ascii="Cambria Math" w:hAnsi="Cambria Math" w:cs="Cambria Math"/>
          <w:color w:val="C00000"/>
        </w:rPr>
        <w:t>⨀⨀⨀</w:t>
      </w:r>
      <w:r w:rsidRPr="00D14AB4">
        <w:t>).</w:t>
      </w:r>
      <w:r w:rsidR="00300A41" w:rsidRPr="00300A41">
        <w:t xml:space="preserve"> Thus, the true effect may be substantially different from the point estimate.</w:t>
      </w:r>
      <w:r w:rsidR="00300A41">
        <w:t xml:space="preserve"> </w:t>
      </w:r>
      <w:r w:rsidRPr="00D14AB4">
        <w:t xml:space="preserve">Patients were just as likely to experience an AE after starting combination therapy as they were on monotherapy. Patients on combination therapy were less likely to have either a serious AE or an AE that would lead to treatment discontinuation compared with those on monotherapy, but the </w:t>
      </w:r>
      <w:r w:rsidR="005625F4">
        <w:t xml:space="preserve">wide </w:t>
      </w:r>
      <w:r w:rsidR="00D84687">
        <w:t>95% CI indicates</w:t>
      </w:r>
      <w:r w:rsidRPr="00D14AB4">
        <w:t xml:space="preserve"> that </w:t>
      </w:r>
      <w:r w:rsidR="005625F4">
        <w:t>the study was statistically underpowered</w:t>
      </w:r>
      <w:r w:rsidRPr="00D14AB4">
        <w:t>.</w:t>
      </w:r>
    </w:p>
    <w:p w:rsidR="0075777C" w:rsidRDefault="0075777C" w:rsidP="0075777C">
      <w:r w:rsidRPr="006316DF">
        <w:t xml:space="preserve">Thus, </w:t>
      </w:r>
      <w:r w:rsidR="0074627B">
        <w:t xml:space="preserve">although </w:t>
      </w:r>
      <w:r w:rsidRPr="000522D6">
        <w:t>the</w:t>
      </w:r>
      <w:r w:rsidR="0074627B">
        <w:t>re is uncertainty,</w:t>
      </w:r>
      <w:r w:rsidRPr="000522D6">
        <w:t xml:space="preserve"> </w:t>
      </w:r>
      <w:r w:rsidRPr="006316DF">
        <w:t xml:space="preserve">use of an ERA </w:t>
      </w:r>
      <w:r w:rsidRPr="000522D6">
        <w:t xml:space="preserve">in addition to </w:t>
      </w:r>
      <w:r>
        <w:t xml:space="preserve">a </w:t>
      </w:r>
      <w:r w:rsidR="00D14AB4">
        <w:t>prostanoid</w:t>
      </w:r>
      <w:r w:rsidRPr="000522D6">
        <w:t xml:space="preserve"> </w:t>
      </w:r>
      <w:r w:rsidR="0074627B">
        <w:t>may</w:t>
      </w:r>
      <w:r w:rsidR="00D14AB4" w:rsidRPr="006316DF">
        <w:t xml:space="preserve"> be </w:t>
      </w:r>
      <w:r w:rsidR="0074627B">
        <w:t>non-inferior to</w:t>
      </w:r>
      <w:r w:rsidRPr="000522D6">
        <w:t xml:space="preserve"> </w:t>
      </w:r>
      <w:r w:rsidR="00D14AB4">
        <w:t>prostanoid</w:t>
      </w:r>
      <w:r w:rsidRPr="000522D6">
        <w:t xml:space="preserve"> monotherapy </w:t>
      </w:r>
      <w:r w:rsidR="00981BDF">
        <w:t>when</w:t>
      </w:r>
      <w:r w:rsidRPr="006316DF">
        <w:t xml:space="preserve"> treat</w:t>
      </w:r>
      <w:r w:rsidR="00981BDF">
        <w:t>ing</w:t>
      </w:r>
      <w:r w:rsidRPr="006316DF">
        <w:t xml:space="preserve"> </w:t>
      </w:r>
      <w:r>
        <w:t xml:space="preserve">patients with </w:t>
      </w:r>
      <w:r w:rsidRPr="00C754B8">
        <w:t>WHO FC III/IV PAH</w:t>
      </w:r>
      <w:r>
        <w:t>.</w:t>
      </w:r>
    </w:p>
    <w:p w:rsidR="006A32C5" w:rsidRDefault="006A32C5">
      <w:pPr>
        <w:spacing w:before="0" w:line="240" w:lineRule="auto"/>
        <w:rPr>
          <w:b/>
          <w:iCs/>
          <w:szCs w:val="18"/>
        </w:rPr>
      </w:pPr>
      <w:bookmarkStart w:id="361" w:name="_Ref505776563"/>
      <w:r>
        <w:br w:type="page"/>
      </w:r>
    </w:p>
    <w:p w:rsidR="0075777C" w:rsidRPr="006316DF" w:rsidRDefault="00272F8F" w:rsidP="00BC5A2B">
      <w:pPr>
        <w:pStyle w:val="Caption"/>
      </w:pPr>
      <w:bookmarkStart w:id="362" w:name="_Toc512855533"/>
      <w:r>
        <w:lastRenderedPageBreak/>
        <w:t>Table 4.</w:t>
      </w:r>
      <w:r w:rsidR="00AA722D">
        <w:rPr>
          <w:noProof/>
        </w:rPr>
        <w:t>129</w:t>
      </w:r>
      <w:bookmarkEnd w:id="361"/>
      <w:r w:rsidR="00D14AB4">
        <w:tab/>
      </w:r>
      <w:r w:rsidR="0075777C" w:rsidRPr="006316DF">
        <w:t xml:space="preserve">Balance of clinical harms of </w:t>
      </w:r>
      <w:r w:rsidR="004B668A">
        <w:t xml:space="preserve">an </w:t>
      </w:r>
      <w:r w:rsidR="0075777C" w:rsidRPr="009123E2">
        <w:t xml:space="preserve">ERA in addition to a </w:t>
      </w:r>
      <w:r w:rsidR="00D14AB4" w:rsidRPr="009123E2">
        <w:t>prostanoid</w:t>
      </w:r>
      <w:r w:rsidR="0075777C" w:rsidRPr="009123E2">
        <w:t xml:space="preserve">, relative to </w:t>
      </w:r>
      <w:r w:rsidR="00D14AB4" w:rsidRPr="009123E2">
        <w:t>prostanoid</w:t>
      </w:r>
      <w:r w:rsidR="0075777C" w:rsidRPr="009123E2">
        <w:t xml:space="preserve"> monotherapy in patients with WHO FC III/IV PAH</w:t>
      </w:r>
      <w:bookmarkEnd w:id="362"/>
    </w:p>
    <w:tbl>
      <w:tblPr>
        <w:tblStyle w:val="TableGrid"/>
        <w:tblW w:w="9639" w:type="dxa"/>
        <w:tblLayout w:type="fixed"/>
        <w:tblLook w:val="04A0" w:firstRow="1" w:lastRow="0" w:firstColumn="1" w:lastColumn="0" w:noHBand="0" w:noVBand="1"/>
        <w:tblCaption w:val="Balance of clinical harms of an ERA in addition to a prostanoid, relative to prostanoid monotherapy in patients with WHO FC III/IV PAH"/>
      </w:tblPr>
      <w:tblGrid>
        <w:gridCol w:w="1560"/>
        <w:gridCol w:w="1275"/>
        <w:gridCol w:w="1701"/>
        <w:gridCol w:w="1418"/>
        <w:gridCol w:w="2551"/>
        <w:gridCol w:w="1134"/>
      </w:tblGrid>
      <w:tr w:rsidR="0075777C" w:rsidRPr="000647C6" w:rsidTr="00D14AB4">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0647C6" w:rsidRDefault="0075777C" w:rsidP="000647C6">
            <w:pPr>
              <w:pStyle w:val="Tabletext"/>
              <w:rPr>
                <w:b/>
                <w:noProof/>
              </w:rPr>
            </w:pPr>
            <w:r w:rsidRPr="000647C6">
              <w:rPr>
                <w:b/>
                <w:noProof/>
              </w:rPr>
              <w:t xml:space="preserve">Outcomes </w:t>
            </w:r>
          </w:p>
        </w:tc>
        <w:tc>
          <w:tcPr>
            <w:tcW w:w="1275" w:type="dxa"/>
          </w:tcPr>
          <w:p w:rsidR="0075777C" w:rsidRPr="000647C6" w:rsidRDefault="0075777C" w:rsidP="000647C6">
            <w:pPr>
              <w:pStyle w:val="Tabletext"/>
              <w:rPr>
                <w:b/>
                <w:noProof/>
              </w:rPr>
            </w:pPr>
            <w:r w:rsidRPr="000647C6">
              <w:rPr>
                <w:b/>
                <w:noProof/>
              </w:rPr>
              <w:t>Participants (studies)</w:t>
            </w:r>
          </w:p>
        </w:tc>
        <w:tc>
          <w:tcPr>
            <w:tcW w:w="1701" w:type="dxa"/>
          </w:tcPr>
          <w:p w:rsidR="0075777C" w:rsidRPr="000647C6" w:rsidRDefault="0075777C" w:rsidP="000647C6">
            <w:pPr>
              <w:pStyle w:val="Tabletext"/>
              <w:rPr>
                <w:b/>
                <w:noProof/>
              </w:rPr>
            </w:pPr>
            <w:r w:rsidRPr="000647C6">
              <w:rPr>
                <w:b/>
                <w:noProof/>
              </w:rPr>
              <w:t>Quality of evidence</w:t>
            </w:r>
          </w:p>
        </w:tc>
        <w:tc>
          <w:tcPr>
            <w:tcW w:w="1418" w:type="dxa"/>
          </w:tcPr>
          <w:p w:rsidR="0075777C" w:rsidRPr="000647C6" w:rsidRDefault="0075777C" w:rsidP="000647C6">
            <w:pPr>
              <w:pStyle w:val="Tabletext"/>
              <w:rPr>
                <w:b/>
                <w:noProof/>
              </w:rPr>
            </w:pPr>
            <w:r w:rsidRPr="000647C6">
              <w:rPr>
                <w:b/>
                <w:noProof/>
              </w:rPr>
              <w:t>Results</w:t>
            </w:r>
          </w:p>
        </w:tc>
        <w:tc>
          <w:tcPr>
            <w:tcW w:w="2551" w:type="dxa"/>
          </w:tcPr>
          <w:p w:rsidR="0075777C" w:rsidRPr="000647C6" w:rsidRDefault="0075777C" w:rsidP="000647C6">
            <w:pPr>
              <w:pStyle w:val="Tabletext"/>
              <w:rPr>
                <w:b/>
                <w:noProof/>
              </w:rPr>
            </w:pPr>
            <w:r w:rsidRPr="000647C6">
              <w:rPr>
                <w:b/>
                <w:noProof/>
              </w:rPr>
              <w:t>Interpretation</w:t>
            </w:r>
          </w:p>
        </w:tc>
        <w:tc>
          <w:tcPr>
            <w:tcW w:w="1134" w:type="dxa"/>
          </w:tcPr>
          <w:p w:rsidR="0075777C" w:rsidRPr="000647C6" w:rsidRDefault="0075777C" w:rsidP="000647C6">
            <w:pPr>
              <w:pStyle w:val="Tabletext"/>
              <w:rPr>
                <w:b/>
                <w:noProof/>
              </w:rPr>
            </w:pPr>
            <w:r w:rsidRPr="000647C6">
              <w:rPr>
                <w:b/>
                <w:noProof/>
              </w:rPr>
              <w:t>GRADE</w:t>
            </w:r>
            <w:r w:rsidR="0033164F" w:rsidRPr="0033164F">
              <w:rPr>
                <w:b/>
                <w:noProof/>
                <w:vertAlign w:val="superscript"/>
              </w:rPr>
              <w:t>a</w:t>
            </w:r>
          </w:p>
          <w:p w:rsidR="0075777C" w:rsidRPr="000647C6" w:rsidRDefault="0075777C" w:rsidP="000647C6">
            <w:pPr>
              <w:pStyle w:val="Tabletext"/>
              <w:rPr>
                <w:b/>
                <w:noProof/>
              </w:rPr>
            </w:pPr>
            <w:r w:rsidRPr="000647C6">
              <w:rPr>
                <w:b/>
                <w:noProof/>
              </w:rPr>
              <w:t>Importance</w:t>
            </w:r>
          </w:p>
        </w:tc>
      </w:tr>
      <w:tr w:rsidR="00CF5BBF" w:rsidRPr="006316DF" w:rsidTr="00D14AB4">
        <w:tc>
          <w:tcPr>
            <w:tcW w:w="1560" w:type="dxa"/>
          </w:tcPr>
          <w:p w:rsidR="00CF5BBF" w:rsidRPr="006316DF" w:rsidRDefault="00CF5BBF" w:rsidP="00CF5BBF">
            <w:pPr>
              <w:pStyle w:val="Tabletext"/>
            </w:pPr>
            <w:r>
              <w:t>Any AE</w:t>
            </w:r>
            <w:r w:rsidRPr="006316DF">
              <w:t xml:space="preserve"> </w:t>
            </w:r>
          </w:p>
        </w:tc>
        <w:tc>
          <w:tcPr>
            <w:tcW w:w="1275" w:type="dxa"/>
          </w:tcPr>
          <w:p w:rsidR="00CF5BBF" w:rsidRPr="006316DF" w:rsidRDefault="00CF5BBF" w:rsidP="00CF5BBF">
            <w:pPr>
              <w:pStyle w:val="Tabletext"/>
            </w:pPr>
            <w:r>
              <w:t>N=14</w:t>
            </w:r>
          </w:p>
          <w:p w:rsidR="00CF5BBF" w:rsidRPr="006316DF" w:rsidRDefault="00CF5BBF" w:rsidP="00CF5BBF">
            <w:pPr>
              <w:pStyle w:val="Tabletext"/>
            </w:pPr>
            <w:r w:rsidRPr="006316DF">
              <w:t>k=</w:t>
            </w:r>
            <w:r>
              <w:t>1</w:t>
            </w:r>
            <w:r w:rsidRPr="006316DF">
              <w:t xml:space="preserve"> RCT</w:t>
            </w:r>
          </w:p>
        </w:tc>
        <w:tc>
          <w:tcPr>
            <w:tcW w:w="1701" w:type="dxa"/>
          </w:tcPr>
          <w:p w:rsidR="00CF5BBF" w:rsidRPr="006316DF" w:rsidRDefault="00CF5BBF" w:rsidP="00CF5BBF">
            <w:pPr>
              <w:pStyle w:val="Tabletext"/>
            </w:pPr>
            <w:r>
              <w:t>Risk of bias: 0</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t>Imprecision: −2</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8" w:type="dxa"/>
          </w:tcPr>
          <w:p w:rsidR="00CF5BBF" w:rsidRPr="000E45D6" w:rsidRDefault="00CF5BBF" w:rsidP="00CF5BBF">
            <w:pPr>
              <w:pStyle w:val="Tabletext"/>
            </w:pPr>
            <w:r w:rsidRPr="000E45D6">
              <w:t xml:space="preserve">RR = </w:t>
            </w:r>
            <w:r>
              <w:t>1.</w:t>
            </w:r>
            <w:r w:rsidRPr="000E45D6">
              <w:t>0</w:t>
            </w:r>
            <w:r>
              <w:t>5</w:t>
            </w:r>
            <w:r w:rsidRPr="000E45D6">
              <w:t xml:space="preserve"> (95% CI 0.</w:t>
            </w:r>
            <w:r>
              <w:t>67</w:t>
            </w:r>
            <w:r w:rsidRPr="000E45D6">
              <w:t xml:space="preserve">, </w:t>
            </w:r>
            <w:r>
              <w:t>1.</w:t>
            </w:r>
            <w:r w:rsidRPr="000E45D6">
              <w:t>6</w:t>
            </w:r>
            <w:r>
              <w:t>4</w:t>
            </w:r>
            <w:r w:rsidRPr="000E45D6">
              <w:t>)</w:t>
            </w:r>
          </w:p>
        </w:tc>
        <w:tc>
          <w:tcPr>
            <w:tcW w:w="2551" w:type="dxa"/>
          </w:tcPr>
          <w:p w:rsidR="00CF5BBF" w:rsidRPr="000E45D6" w:rsidRDefault="00CF5BBF" w:rsidP="005625F4">
            <w:pPr>
              <w:pStyle w:val="Tabletext"/>
            </w:pPr>
            <w:r>
              <w:t>T</w:t>
            </w:r>
            <w:r w:rsidRPr="000E45D6">
              <w:t xml:space="preserve">he </w:t>
            </w:r>
            <w:r>
              <w:t>proportion</w:t>
            </w:r>
            <w:r w:rsidRPr="000E45D6">
              <w:t xml:space="preserve"> of patients </w:t>
            </w:r>
            <w:r>
              <w:t>who</w:t>
            </w:r>
            <w:r w:rsidRPr="000E45D6">
              <w:t xml:space="preserve"> experience </w:t>
            </w:r>
            <w:r>
              <w:t>an AE</w:t>
            </w:r>
            <w:r w:rsidRPr="000E45D6">
              <w:t xml:space="preserve"> </w:t>
            </w:r>
            <w:r>
              <w:t>with combination therapy was similar to the proportion on monotherapy</w:t>
            </w:r>
            <w:r w:rsidRPr="00863F32">
              <w:t>.</w:t>
            </w:r>
          </w:p>
        </w:tc>
        <w:tc>
          <w:tcPr>
            <w:tcW w:w="1134" w:type="dxa"/>
          </w:tcPr>
          <w:p w:rsidR="00CF5BBF" w:rsidRPr="006316DF" w:rsidRDefault="00CF5BBF" w:rsidP="00CF5BBF">
            <w:pPr>
              <w:pStyle w:val="Tabletext"/>
            </w:pPr>
            <w:r>
              <w:t>Low</w:t>
            </w:r>
          </w:p>
          <w:p w:rsidR="00CF5BBF" w:rsidRPr="006316DF" w:rsidRDefault="00CF5BBF" w:rsidP="00CF5BBF">
            <w:pPr>
              <w:pStyle w:val="Tabletext"/>
              <w:rPr>
                <w:rFonts w:cs="Cambria Math"/>
                <w:bCs/>
              </w:rPr>
            </w:pPr>
            <w:r w:rsidRPr="006316DF">
              <w:rPr>
                <w:rFonts w:ascii="Cambria Math" w:hAnsi="Cambria Math" w:cs="Cambria Math"/>
                <w:bCs/>
                <w:color w:val="00B050"/>
              </w:rPr>
              <w:t>⨁⨁</w:t>
            </w:r>
            <w:r w:rsidRPr="006316DF">
              <w:rPr>
                <w:rFonts w:ascii="Cambria Math" w:hAnsi="Cambria Math" w:cs="Cambria Math"/>
                <w:color w:val="C00000"/>
              </w:rPr>
              <w:t>⨀⨀</w:t>
            </w:r>
          </w:p>
          <w:p w:rsidR="00CF5BBF" w:rsidRPr="006316DF" w:rsidRDefault="00CF5BBF" w:rsidP="00CF5BBF">
            <w:pPr>
              <w:pStyle w:val="Tabletext"/>
            </w:pPr>
            <w:r w:rsidRPr="006316DF">
              <w:t>Important</w:t>
            </w:r>
          </w:p>
        </w:tc>
      </w:tr>
      <w:tr w:rsidR="00CF5BBF" w:rsidRPr="006316DF" w:rsidTr="00D14AB4">
        <w:tc>
          <w:tcPr>
            <w:tcW w:w="1560" w:type="dxa"/>
          </w:tcPr>
          <w:p w:rsidR="00CF5BBF" w:rsidRPr="006316DF" w:rsidRDefault="00CF5BBF" w:rsidP="00CF5BBF">
            <w:pPr>
              <w:pStyle w:val="Tabletext"/>
            </w:pPr>
            <w:r>
              <w:t>Serious AEs</w:t>
            </w:r>
          </w:p>
        </w:tc>
        <w:tc>
          <w:tcPr>
            <w:tcW w:w="1275" w:type="dxa"/>
          </w:tcPr>
          <w:p w:rsidR="00CF5BBF" w:rsidRPr="006316DF" w:rsidRDefault="00CF5BBF" w:rsidP="00CF5BBF">
            <w:pPr>
              <w:pStyle w:val="Tabletext"/>
            </w:pPr>
            <w:r w:rsidRPr="006316DF">
              <w:t>N=</w:t>
            </w:r>
            <w:r>
              <w:t>33</w:t>
            </w:r>
          </w:p>
          <w:p w:rsidR="00CF5BBF" w:rsidRPr="006316DF" w:rsidRDefault="00CF5BBF" w:rsidP="00CF5BBF">
            <w:pPr>
              <w:pStyle w:val="Tabletext"/>
            </w:pPr>
            <w:r w:rsidRPr="006316DF">
              <w:t>k=</w:t>
            </w:r>
            <w:r>
              <w:t>1</w:t>
            </w:r>
            <w:r w:rsidRPr="006316DF">
              <w:t xml:space="preserve"> RCT</w:t>
            </w:r>
          </w:p>
        </w:tc>
        <w:tc>
          <w:tcPr>
            <w:tcW w:w="1701" w:type="dxa"/>
          </w:tcPr>
          <w:p w:rsidR="00CF5BBF" w:rsidRPr="006316DF" w:rsidRDefault="00CF5BBF" w:rsidP="00CF5BBF">
            <w:pPr>
              <w:pStyle w:val="Tabletext"/>
            </w:pPr>
            <w:r>
              <w:t>Risk of bias: −1</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t>Imprecision: −2</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8" w:type="dxa"/>
          </w:tcPr>
          <w:p w:rsidR="00CF5BBF" w:rsidRPr="000E45D6" w:rsidRDefault="00CF5BBF" w:rsidP="00CF5BBF">
            <w:pPr>
              <w:pStyle w:val="Tabletext"/>
            </w:pPr>
            <w:r w:rsidRPr="000E45D6">
              <w:t>Pooled RR = 0.</w:t>
            </w:r>
            <w:r>
              <w:t>75</w:t>
            </w:r>
            <w:r w:rsidRPr="000E45D6">
              <w:t xml:space="preserve"> (95% CI 0.</w:t>
            </w:r>
            <w:r>
              <w:t>15, 3</w:t>
            </w:r>
            <w:r w:rsidRPr="000E45D6">
              <w:t>.</w:t>
            </w:r>
            <w:r>
              <w:t>85</w:t>
            </w:r>
            <w:r w:rsidRPr="000E45D6">
              <w:t>)</w:t>
            </w:r>
          </w:p>
        </w:tc>
        <w:tc>
          <w:tcPr>
            <w:tcW w:w="2551" w:type="dxa"/>
          </w:tcPr>
          <w:p w:rsidR="00CF5BBF" w:rsidRPr="000E45D6" w:rsidRDefault="00CF5BBF" w:rsidP="00CF5BBF">
            <w:pPr>
              <w:pStyle w:val="Tabletext"/>
            </w:pPr>
            <w:r>
              <w:t>F</w:t>
            </w:r>
            <w:r w:rsidRPr="000E45D6">
              <w:t xml:space="preserve">ewer patients </w:t>
            </w:r>
            <w:r>
              <w:t xml:space="preserve">experienced a serious AE </w:t>
            </w:r>
            <w:r w:rsidRPr="000E45D6">
              <w:t xml:space="preserve">with combination therapy compared with </w:t>
            </w:r>
            <w:r>
              <w:t xml:space="preserve">monotherapy, </w:t>
            </w:r>
            <w:r w:rsidR="005625F4" w:rsidRPr="00F3410B">
              <w:t xml:space="preserve">but the </w:t>
            </w:r>
            <w:r w:rsidR="005625F4">
              <w:t>wide 95% CI indicates</w:t>
            </w:r>
            <w:r w:rsidR="005625F4" w:rsidRPr="00F3410B">
              <w:t xml:space="preserve"> </w:t>
            </w:r>
            <w:r w:rsidR="005625F4" w:rsidRPr="001902A8">
              <w:t>the study was likely underpowered for this outcome</w:t>
            </w:r>
            <w:r w:rsidRPr="00D86232">
              <w:t>.</w:t>
            </w:r>
          </w:p>
        </w:tc>
        <w:tc>
          <w:tcPr>
            <w:tcW w:w="1134" w:type="dxa"/>
          </w:tcPr>
          <w:p w:rsidR="00CF5BBF" w:rsidRDefault="00CF5BBF" w:rsidP="00CF5BBF">
            <w:pPr>
              <w:pStyle w:val="Tabletext"/>
              <w:rPr>
                <w:rFonts w:eastAsia="Times New Roman" w:cs="Tahoma"/>
                <w:bCs/>
              </w:rPr>
            </w:pPr>
            <w:r>
              <w:rPr>
                <w:rFonts w:eastAsia="Times New Roman" w:cs="Tahoma"/>
                <w:bCs/>
              </w:rPr>
              <w:t>Very low</w:t>
            </w:r>
          </w:p>
          <w:p w:rsidR="00CF5BBF" w:rsidRDefault="00CF5BBF" w:rsidP="00CF5BBF">
            <w:pPr>
              <w:pStyle w:val="Tabletext"/>
              <w:rPr>
                <w:rFonts w:ascii="Cambria Math" w:eastAsia="Times New Roman" w:hAnsi="Cambria Math" w:cs="Cambria Math"/>
                <w:bCs/>
              </w:rPr>
            </w:pPr>
            <w:r w:rsidRPr="00E564DD">
              <w:rPr>
                <w:rFonts w:ascii="Cambria Math" w:eastAsia="Times New Roman" w:hAnsi="Cambria Math" w:cs="Cambria Math"/>
                <w:bCs/>
                <w:color w:val="00B050"/>
              </w:rPr>
              <w:t>⨁</w:t>
            </w:r>
            <w:r>
              <w:rPr>
                <w:rFonts w:ascii="Cambria Math" w:hAnsi="Cambria Math" w:cs="Cambria Math"/>
                <w:color w:val="C00000"/>
              </w:rPr>
              <w:t>⨀</w:t>
            </w:r>
            <w:r w:rsidRPr="00E564DD">
              <w:rPr>
                <w:rFonts w:ascii="Cambria Math" w:eastAsia="Times New Roman" w:hAnsi="Cambria Math" w:cs="Cambria Math"/>
                <w:bCs/>
                <w:color w:val="FF0000"/>
              </w:rPr>
              <w:t>⨀⨀</w:t>
            </w:r>
          </w:p>
          <w:p w:rsidR="00CF5BBF" w:rsidRPr="006316DF" w:rsidRDefault="00CF5BBF" w:rsidP="00CF5BBF">
            <w:pPr>
              <w:pStyle w:val="Tabletext"/>
            </w:pPr>
            <w:r w:rsidRPr="006316DF">
              <w:t>Important</w:t>
            </w:r>
          </w:p>
        </w:tc>
      </w:tr>
      <w:tr w:rsidR="00CF5BBF" w:rsidRPr="006316DF" w:rsidTr="00D14AB4">
        <w:tc>
          <w:tcPr>
            <w:tcW w:w="1560" w:type="dxa"/>
          </w:tcPr>
          <w:p w:rsidR="00CF5BBF" w:rsidRPr="006316DF" w:rsidRDefault="00CF5BBF" w:rsidP="00CF5BBF">
            <w:pPr>
              <w:pStyle w:val="Tabletext"/>
            </w:pPr>
            <w:r w:rsidRPr="000E45D6">
              <w:t>AEs leading to treatment discontinuation</w:t>
            </w:r>
          </w:p>
        </w:tc>
        <w:tc>
          <w:tcPr>
            <w:tcW w:w="1275" w:type="dxa"/>
          </w:tcPr>
          <w:p w:rsidR="00CF5BBF" w:rsidRPr="006316DF" w:rsidRDefault="00CF5BBF" w:rsidP="00CF5BBF">
            <w:pPr>
              <w:pStyle w:val="Tabletext"/>
            </w:pPr>
            <w:r>
              <w:t>N=33</w:t>
            </w:r>
          </w:p>
          <w:p w:rsidR="00CF5BBF" w:rsidRPr="006316DF" w:rsidRDefault="00CF5BBF" w:rsidP="00CF5BBF">
            <w:pPr>
              <w:pStyle w:val="Tabletext"/>
            </w:pPr>
            <w:r w:rsidRPr="006316DF">
              <w:t>k=</w:t>
            </w:r>
            <w:r>
              <w:t>1</w:t>
            </w:r>
            <w:r w:rsidRPr="006316DF">
              <w:t xml:space="preserve"> RCT</w:t>
            </w:r>
          </w:p>
        </w:tc>
        <w:tc>
          <w:tcPr>
            <w:tcW w:w="1701" w:type="dxa"/>
          </w:tcPr>
          <w:p w:rsidR="00CF5BBF" w:rsidRPr="006316DF" w:rsidRDefault="00CF5BBF" w:rsidP="00CF5BBF">
            <w:pPr>
              <w:pStyle w:val="Tabletext"/>
            </w:pPr>
            <w:r>
              <w:t>Risk of bias: −1</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t>Imprecision: −2</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8" w:type="dxa"/>
          </w:tcPr>
          <w:p w:rsidR="00CF5BBF" w:rsidRPr="002812F2" w:rsidRDefault="00CF5BBF" w:rsidP="00CF5BBF">
            <w:pPr>
              <w:pStyle w:val="Tabletext"/>
            </w:pPr>
            <w:r>
              <w:t xml:space="preserve">Pooled </w:t>
            </w:r>
            <w:r w:rsidRPr="002812F2">
              <w:t xml:space="preserve">RR = </w:t>
            </w:r>
            <w:r>
              <w:t>0.50</w:t>
            </w:r>
            <w:r w:rsidRPr="002812F2">
              <w:t xml:space="preserve"> (</w:t>
            </w:r>
            <w:r>
              <w:t>95% CI 0.03</w:t>
            </w:r>
            <w:r w:rsidRPr="002812F2">
              <w:t xml:space="preserve">, </w:t>
            </w:r>
            <w:r>
              <w:t>7</w:t>
            </w:r>
            <w:r w:rsidRPr="002812F2">
              <w:t>.</w:t>
            </w:r>
            <w:r>
              <w:t>2</w:t>
            </w:r>
            <w:r w:rsidRPr="002812F2">
              <w:t>6)</w:t>
            </w:r>
          </w:p>
        </w:tc>
        <w:tc>
          <w:tcPr>
            <w:tcW w:w="2551" w:type="dxa"/>
          </w:tcPr>
          <w:p w:rsidR="00CF5BBF" w:rsidRPr="002812F2" w:rsidRDefault="00CF5BBF" w:rsidP="00CF5BBF">
            <w:pPr>
              <w:pStyle w:val="Tabletext"/>
            </w:pPr>
            <w:r>
              <w:t>Fewer</w:t>
            </w:r>
            <w:r w:rsidRPr="002812F2">
              <w:t xml:space="preserve"> patients </w:t>
            </w:r>
            <w:r>
              <w:t>needed to discontinue treatment due to</w:t>
            </w:r>
            <w:r w:rsidRPr="00424867">
              <w:t xml:space="preserve"> a</w:t>
            </w:r>
            <w:r>
              <w:t>n</w:t>
            </w:r>
            <w:r w:rsidRPr="00424867">
              <w:t xml:space="preserve"> AE with combination th</w:t>
            </w:r>
            <w:r>
              <w:t xml:space="preserve">erapy compared with monotherapy, </w:t>
            </w:r>
            <w:r w:rsidR="005625F4" w:rsidRPr="00F3410B">
              <w:t xml:space="preserve">but the </w:t>
            </w:r>
            <w:r w:rsidR="005625F4">
              <w:t>wide 95% CI indicates</w:t>
            </w:r>
            <w:r w:rsidR="005625F4" w:rsidRPr="00F3410B">
              <w:t xml:space="preserve"> </w:t>
            </w:r>
            <w:r w:rsidR="005625F4" w:rsidRPr="001902A8">
              <w:t>the study was likely underpowered for this outcome</w:t>
            </w:r>
            <w:r>
              <w:t>.</w:t>
            </w:r>
          </w:p>
        </w:tc>
        <w:tc>
          <w:tcPr>
            <w:tcW w:w="1134" w:type="dxa"/>
          </w:tcPr>
          <w:p w:rsidR="00CF5BBF" w:rsidRDefault="00CF5BBF" w:rsidP="00CF5BBF">
            <w:pPr>
              <w:pStyle w:val="Tabletext"/>
              <w:rPr>
                <w:rFonts w:eastAsia="Times New Roman" w:cs="Tahoma"/>
                <w:bCs/>
              </w:rPr>
            </w:pPr>
            <w:r>
              <w:rPr>
                <w:rFonts w:eastAsia="Times New Roman" w:cs="Tahoma"/>
                <w:bCs/>
              </w:rPr>
              <w:t>Very low</w:t>
            </w:r>
          </w:p>
          <w:p w:rsidR="00CF5BBF" w:rsidRDefault="00CF5BBF" w:rsidP="00CF5BBF">
            <w:pPr>
              <w:pStyle w:val="Tabletext"/>
              <w:rPr>
                <w:rFonts w:ascii="Cambria Math" w:eastAsia="Times New Roman" w:hAnsi="Cambria Math" w:cs="Cambria Math"/>
                <w:bCs/>
              </w:rPr>
            </w:pPr>
            <w:r w:rsidRPr="00E564DD">
              <w:rPr>
                <w:rFonts w:ascii="Cambria Math" w:eastAsia="Times New Roman" w:hAnsi="Cambria Math" w:cs="Cambria Math"/>
                <w:bCs/>
                <w:color w:val="00B050"/>
              </w:rPr>
              <w:t>⨁</w:t>
            </w:r>
            <w:r>
              <w:rPr>
                <w:rFonts w:ascii="Cambria Math" w:hAnsi="Cambria Math" w:cs="Cambria Math"/>
                <w:color w:val="C00000"/>
              </w:rPr>
              <w:t>⨀</w:t>
            </w:r>
            <w:r w:rsidRPr="00E564DD">
              <w:rPr>
                <w:rFonts w:ascii="Cambria Math" w:eastAsia="Times New Roman" w:hAnsi="Cambria Math" w:cs="Cambria Math"/>
                <w:bCs/>
                <w:color w:val="FF0000"/>
              </w:rPr>
              <w:t>⨀⨀</w:t>
            </w:r>
          </w:p>
          <w:p w:rsidR="00CF5BBF" w:rsidRPr="006316DF" w:rsidRDefault="00CF5BBF" w:rsidP="00CF5BBF">
            <w:pPr>
              <w:pStyle w:val="Tabletext"/>
            </w:pPr>
            <w:r w:rsidRPr="006316DF">
              <w:t>Important</w:t>
            </w:r>
          </w:p>
        </w:tc>
      </w:tr>
    </w:tbl>
    <w:p w:rsidR="0075777C" w:rsidRPr="006316DF" w:rsidRDefault="0075777C" w:rsidP="00D14AB4">
      <w:pPr>
        <w:pStyle w:val="Tablenote"/>
      </w:pPr>
      <w:r w:rsidRPr="006316DF">
        <w:rPr>
          <w:vertAlign w:val="superscript"/>
        </w:rPr>
        <w:t xml:space="preserve">a </w:t>
      </w:r>
      <w:r w:rsidRPr="006316DF">
        <w:t xml:space="preserve">GRADE Working Group grades of evidence </w:t>
      </w:r>
      <w:r w:rsidR="001D34EE" w:rsidRPr="001D34EE">
        <w:rPr>
          <w:noProof/>
          <w:vertAlign w:val="superscript"/>
        </w:rPr>
        <w:t>1</w:t>
      </w:r>
    </w:p>
    <w:p w:rsidR="00C05257" w:rsidRPr="00E564DD" w:rsidRDefault="00C05257" w:rsidP="00CF5BBF">
      <w:pPr>
        <w:pStyle w:val="Tablenote"/>
        <w:spacing w:after="0"/>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Low quality:</w:t>
      </w:r>
      <w:r w:rsidRPr="00E564DD">
        <w:t xml:space="preserve"> Our confidence in the effect estimate is limited: The true effect may be substantially different from the estimate of the effect</w:t>
      </w:r>
    </w:p>
    <w:p w:rsidR="00CF5BBF" w:rsidRPr="00CF5BBF" w:rsidRDefault="00CF5BBF" w:rsidP="00CF5BBF">
      <w:pPr>
        <w:spacing w:before="0" w:line="240" w:lineRule="auto"/>
        <w:contextualSpacing/>
        <w:rPr>
          <w:rFonts w:ascii="Arial Narrow" w:eastAsiaTheme="minorEastAsia" w:hAnsi="Arial Narrow" w:cs="Baskerville"/>
          <w:sz w:val="16"/>
          <w:szCs w:val="20"/>
          <w:lang w:eastAsia="en-AU"/>
        </w:rPr>
      </w:pPr>
      <w:r w:rsidRPr="00CF5BBF">
        <w:rPr>
          <w:rFonts w:ascii="Cambria Math" w:eastAsiaTheme="minorEastAsia" w:hAnsi="Cambria Math" w:cs="Cambria Math"/>
          <w:color w:val="00B050"/>
          <w:sz w:val="16"/>
          <w:szCs w:val="20"/>
          <w:lang w:eastAsia="en-AU"/>
        </w:rPr>
        <w:t>⨁</w:t>
      </w:r>
      <w:r w:rsidRPr="00CF5BBF">
        <w:rPr>
          <w:rFonts w:ascii="Cambria Math" w:eastAsiaTheme="minorEastAsia" w:hAnsi="Cambria Math" w:cs="Cambria Math"/>
          <w:color w:val="C00000"/>
          <w:sz w:val="16"/>
          <w:szCs w:val="20"/>
          <w:lang w:eastAsia="en-AU"/>
        </w:rPr>
        <w:t>⨀⨀⨀</w:t>
      </w:r>
      <w:r w:rsidRPr="00CF5BBF">
        <w:rPr>
          <w:rFonts w:ascii="Arial Narrow" w:eastAsiaTheme="minorEastAsia" w:hAnsi="Arial Narrow" w:cs="Cambria Math"/>
          <w:color w:val="C00000"/>
          <w:sz w:val="16"/>
          <w:szCs w:val="20"/>
          <w:lang w:eastAsia="en-AU"/>
        </w:rPr>
        <w:t xml:space="preserve"> </w:t>
      </w:r>
      <w:r w:rsidRPr="00CF5BBF">
        <w:rPr>
          <w:rFonts w:ascii="Arial Narrow" w:eastAsiaTheme="minorEastAsia" w:hAnsi="Arial Narrow" w:cs="Baskerville"/>
          <w:b/>
          <w:sz w:val="16"/>
          <w:szCs w:val="20"/>
          <w:lang w:eastAsia="en-AU"/>
        </w:rPr>
        <w:t>Very low quality:</w:t>
      </w:r>
      <w:r w:rsidRPr="00CF5BBF">
        <w:rPr>
          <w:rFonts w:ascii="Arial Narrow" w:eastAsiaTheme="minorEastAsia" w:hAnsi="Arial Narrow" w:cs="Baskerville"/>
          <w:sz w:val="16"/>
          <w:szCs w:val="20"/>
          <w:lang w:eastAsia="en-AU"/>
        </w:rPr>
        <w:t xml:space="preserve"> We have very little confidence in the effect estimate: The true effect is likely to be substantially different from the estimate of effect</w:t>
      </w:r>
    </w:p>
    <w:p w:rsidR="00C83CA7" w:rsidRPr="006316DF" w:rsidRDefault="0075777C" w:rsidP="00D14AB4">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C83CA7" w:rsidRPr="00DC16A3">
        <w:t xml:space="preserve">; </w:t>
      </w:r>
      <w:r w:rsidR="00C83CA7">
        <w:t xml:space="preserve">k = number of studies; </w:t>
      </w:r>
      <w:r>
        <w:t xml:space="preserve">N = number of patients; </w:t>
      </w:r>
      <w:r w:rsidRPr="009123E2">
        <w:t>PAH</w:t>
      </w:r>
      <w:r>
        <w:t xml:space="preserve"> = p</w:t>
      </w:r>
      <w:r w:rsidRPr="009123E2">
        <w:t xml:space="preserve">ulmonary </w:t>
      </w:r>
      <w:r>
        <w:t>a</w:t>
      </w:r>
      <w:r w:rsidRPr="009123E2">
        <w:t xml:space="preserve">rterial </w:t>
      </w:r>
      <w:r>
        <w:t>h</w:t>
      </w:r>
      <w:r w:rsidRPr="009123E2">
        <w:t>ypertension</w:t>
      </w:r>
      <w:r>
        <w:t>; RCT = randomised controlled trial; RR = relative risk; WHO = World Health Organization</w:t>
      </w:r>
    </w:p>
    <w:p w:rsidR="0075777C" w:rsidRPr="006316DF" w:rsidRDefault="000E0079" w:rsidP="0075777C">
      <w:pPr>
        <w:pStyle w:val="Heading4"/>
      </w:pPr>
      <w:r>
        <w:t>4.5.3.3</w:t>
      </w:r>
      <w:r>
        <w:tab/>
      </w:r>
      <w:r w:rsidR="0075777C" w:rsidRPr="0045581A">
        <w:t xml:space="preserve">PDE-5 inhibitor in addition to </w:t>
      </w:r>
      <w:r w:rsidR="0075777C">
        <w:t>ERA</w:t>
      </w:r>
    </w:p>
    <w:p w:rsidR="0075777C" w:rsidRPr="00107676" w:rsidRDefault="0075777C" w:rsidP="0075777C">
      <w:pPr>
        <w:pStyle w:val="Heading5"/>
      </w:pPr>
      <w:r w:rsidRPr="00107676">
        <w:t>Clinical effectiveness</w:t>
      </w:r>
    </w:p>
    <w:p w:rsidR="0075777C" w:rsidRDefault="0075777C" w:rsidP="0075777C">
      <w:r>
        <w:t xml:space="preserve">Of the five RCTs that provided the evidence base for </w:t>
      </w:r>
      <w:r w:rsidRPr="000522D6">
        <w:t xml:space="preserve">comparing </w:t>
      </w:r>
      <w:r>
        <w:t xml:space="preserve">the effectiveness of </w:t>
      </w:r>
      <w:r w:rsidRPr="000522D6">
        <w:t>a PDE-5 inhibitor</w:t>
      </w:r>
      <w:r>
        <w:t xml:space="preserve"> </w:t>
      </w:r>
      <w:r w:rsidRPr="000522D6">
        <w:t xml:space="preserve">in addition to </w:t>
      </w:r>
      <w:r>
        <w:t xml:space="preserve">an </w:t>
      </w:r>
      <w:r w:rsidRPr="000522D6">
        <w:t xml:space="preserve">ERA </w:t>
      </w:r>
      <w:r>
        <w:t>compared with</w:t>
      </w:r>
      <w:r w:rsidRPr="000522D6">
        <w:t xml:space="preserve"> </w:t>
      </w:r>
      <w:r>
        <w:t>ERA</w:t>
      </w:r>
      <w:r w:rsidRPr="000522D6">
        <w:t xml:space="preserve"> monotherapy</w:t>
      </w:r>
      <w:r>
        <w:t>, four trials enrolled patients on stable ERA monotherapy (sequential combination therapy) and one trial (AMBITION) enrolled treatment naïve patients (initial combination therapy). There were no statistically significant differences between the outcomes for patients receiving initial combination therapy versus monotherapy for the AMBITION trial compared with the other four trials with patients receiving sequential combination therapy versus monotherapy. Additionally, tw</w:t>
      </w:r>
      <w:r w:rsidRPr="00A14F28">
        <w:t xml:space="preserve">o RCTs also included subgroup analysis for patients with WHO FC III/IV PAH, and </w:t>
      </w:r>
      <w:r>
        <w:t>three</w:t>
      </w:r>
      <w:r w:rsidRPr="00A14F28">
        <w:t xml:space="preserve"> RCTs included subgroup analysis for patients with different PAH aetiologies.</w:t>
      </w:r>
    </w:p>
    <w:p w:rsidR="0075777C" w:rsidRDefault="0075777C" w:rsidP="0075777C">
      <w:r w:rsidRPr="006316DF">
        <w:t xml:space="preserve">The </w:t>
      </w:r>
      <w:r>
        <w:t xml:space="preserve">detailed </w:t>
      </w:r>
      <w:r w:rsidRPr="006316DF">
        <w:t>GRADE</w:t>
      </w:r>
      <w:r w:rsidR="001D34EE" w:rsidRPr="001D34EE">
        <w:rPr>
          <w:noProof/>
          <w:vertAlign w:val="superscript"/>
        </w:rPr>
        <w:t>1</w:t>
      </w:r>
      <w:r w:rsidRPr="006316DF">
        <w:t xml:space="preserve"> assessments of the outcomes when comparing a </w:t>
      </w:r>
      <w:r w:rsidRPr="00BE19DA">
        <w:t xml:space="preserve">PDE-5 inhibitor in addition to an ERA compared with ERA monotherapy </w:t>
      </w:r>
      <w:r w:rsidRPr="006316DF">
        <w:t xml:space="preserve">are reported in </w:t>
      </w:r>
      <w:r w:rsidR="00AA722D">
        <w:t>Table 4.</w:t>
      </w:r>
      <w:r w:rsidR="00AA722D">
        <w:rPr>
          <w:noProof/>
        </w:rPr>
        <w:t>156</w:t>
      </w:r>
      <w:r>
        <w:t xml:space="preserve"> to </w:t>
      </w:r>
      <w:r w:rsidR="00AA722D">
        <w:t>Table 4.</w:t>
      </w:r>
      <w:r w:rsidR="00AA722D">
        <w:rPr>
          <w:noProof/>
        </w:rPr>
        <w:t>158</w:t>
      </w:r>
      <w:r>
        <w:t xml:space="preserve"> </w:t>
      </w:r>
      <w:r w:rsidRPr="006316DF">
        <w:t xml:space="preserve">in Appendix </w:t>
      </w:r>
      <w:r w:rsidR="00DA2636">
        <w:t>4</w:t>
      </w:r>
      <w:r w:rsidR="001B552D">
        <w:t>C</w:t>
      </w:r>
      <w:r w:rsidRPr="006316DF">
        <w:t xml:space="preserve">. A summary of these results </w:t>
      </w:r>
      <w:r>
        <w:t xml:space="preserve">for all PAH patients with </w:t>
      </w:r>
      <w:r w:rsidRPr="006316DF">
        <w:t>is provided in</w:t>
      </w:r>
      <w:r>
        <w:t xml:space="preserve"> </w:t>
      </w:r>
      <w:r w:rsidR="00AA722D">
        <w:t>Table 4.</w:t>
      </w:r>
      <w:r w:rsidR="00AA722D">
        <w:rPr>
          <w:noProof/>
        </w:rPr>
        <w:t>130</w:t>
      </w:r>
      <w:r>
        <w:t>.</w:t>
      </w:r>
    </w:p>
    <w:p w:rsidR="0075777C" w:rsidRPr="006316DF" w:rsidRDefault="0075777C" w:rsidP="0075777C">
      <w:r w:rsidRPr="006316DF">
        <w:lastRenderedPageBreak/>
        <w:t xml:space="preserve">The evidence for </w:t>
      </w:r>
      <w:r>
        <w:t>all</w:t>
      </w:r>
      <w:r w:rsidRPr="006316DF">
        <w:t xml:space="preserve"> </w:t>
      </w:r>
      <w:r>
        <w:t xml:space="preserve">outcomes </w:t>
      </w:r>
      <w:r w:rsidRPr="006316DF">
        <w:t xml:space="preserve">was considered to be of </w:t>
      </w:r>
      <w:r>
        <w:t>high</w:t>
      </w:r>
      <w:r w:rsidRPr="006316DF">
        <w:t xml:space="preserve"> quality (GRADE </w:t>
      </w:r>
      <w:r w:rsidRPr="008727D6">
        <w:rPr>
          <w:rFonts w:ascii="Cambria Math" w:eastAsia="Times New Roman" w:hAnsi="Cambria Math" w:cs="Tahoma"/>
          <w:bCs/>
          <w:color w:val="00B050"/>
        </w:rPr>
        <w:t>⨁⨁⨁⨁</w:t>
      </w:r>
      <w:r w:rsidRPr="008727D6">
        <w:t>), except for all-cause mortality</w:t>
      </w:r>
      <w:r w:rsidRPr="006316DF">
        <w:t xml:space="preserve"> (</w:t>
      </w:r>
      <w:r w:rsidR="00300A41" w:rsidRPr="006316DF">
        <w:t xml:space="preserve">moderate </w:t>
      </w:r>
      <w:r w:rsidRPr="006316DF">
        <w:t xml:space="preserve">GRADE </w:t>
      </w:r>
      <w:r w:rsidRPr="008727D6">
        <w:rPr>
          <w:rFonts w:ascii="Cambria Math" w:eastAsia="Times New Roman" w:hAnsi="Cambria Math" w:cs="Tahoma"/>
          <w:bCs/>
          <w:color w:val="00B050"/>
        </w:rPr>
        <w:t>⨁⨁⨁</w:t>
      </w:r>
      <w:r w:rsidRPr="008727D6">
        <w:rPr>
          <w:rFonts w:ascii="Cambria Math" w:eastAsia="Times New Roman" w:hAnsi="Cambria Math" w:cs="Cambria Math"/>
          <w:bCs/>
          <w:color w:val="C00000"/>
        </w:rPr>
        <w:t>⨀</w:t>
      </w:r>
      <w:r w:rsidRPr="008727D6">
        <w:t>)</w:t>
      </w:r>
      <w:r w:rsidR="00300A41">
        <w:t xml:space="preserve"> and change in haemodynamic parameters </w:t>
      </w:r>
      <w:r w:rsidR="00300A41" w:rsidRPr="006316DF">
        <w:t>(</w:t>
      </w:r>
      <w:r w:rsidR="00300A41">
        <w:t>low</w:t>
      </w:r>
      <w:r w:rsidR="00300A41" w:rsidRPr="006316DF">
        <w:t xml:space="preserve"> GRADE </w:t>
      </w:r>
      <w:r w:rsidR="00300A41" w:rsidRPr="008727D6">
        <w:rPr>
          <w:rFonts w:ascii="Cambria Math" w:eastAsia="Times New Roman" w:hAnsi="Cambria Math" w:cs="Tahoma"/>
          <w:bCs/>
          <w:color w:val="00B050"/>
        </w:rPr>
        <w:t>⨁⨁</w:t>
      </w:r>
      <w:r w:rsidR="00300A41" w:rsidRPr="008727D6">
        <w:rPr>
          <w:rFonts w:ascii="Cambria Math" w:eastAsia="Times New Roman" w:hAnsi="Cambria Math" w:cs="Cambria Math"/>
          <w:bCs/>
          <w:color w:val="C00000"/>
        </w:rPr>
        <w:t>⨀⨀</w:t>
      </w:r>
      <w:r w:rsidR="00300A41" w:rsidRPr="008727D6">
        <w:t>)</w:t>
      </w:r>
      <w:r w:rsidRPr="008727D6">
        <w:t>.</w:t>
      </w:r>
    </w:p>
    <w:p w:rsidR="0075777C" w:rsidRPr="006316DF" w:rsidRDefault="0075777C" w:rsidP="0075777C">
      <w:r w:rsidRPr="006316DF">
        <w:t xml:space="preserve">When taking </w:t>
      </w:r>
      <w:r>
        <w:t>the whole body of evidence</w:t>
      </w:r>
      <w:r w:rsidRPr="006316DF">
        <w:t xml:space="preserve"> into account, the number of patients experiencing clinical worsening </w:t>
      </w:r>
      <w:r w:rsidR="00116EDA">
        <w:t xml:space="preserve">and hospitalisation due to PAH </w:t>
      </w:r>
      <w:r w:rsidRPr="006316DF">
        <w:t xml:space="preserve">would be </w:t>
      </w:r>
      <w:r>
        <w:t xml:space="preserve">significantly </w:t>
      </w:r>
      <w:r w:rsidRPr="006316DF">
        <w:t>red</w:t>
      </w:r>
      <w:r>
        <w:t>uced when taking a</w:t>
      </w:r>
      <w:r w:rsidRPr="006316DF">
        <w:t xml:space="preserve"> </w:t>
      </w:r>
      <w:r w:rsidRPr="002332A9">
        <w:t>PDE-5 inhibitor in addition to an ERA compared with ERA monotherapy</w:t>
      </w:r>
      <w:r w:rsidRPr="006316DF">
        <w:t xml:space="preserve">. All </w:t>
      </w:r>
      <w:r>
        <w:t xml:space="preserve">other </w:t>
      </w:r>
      <w:r w:rsidRPr="006316DF">
        <w:t xml:space="preserve">outcomes </w:t>
      </w:r>
      <w:r>
        <w:t xml:space="preserve">also </w:t>
      </w:r>
      <w:r w:rsidRPr="006316DF">
        <w:t>favour</w:t>
      </w:r>
      <w:r>
        <w:t>ed</w:t>
      </w:r>
      <w:r w:rsidRPr="006316DF">
        <w:t xml:space="preserve"> the use of </w:t>
      </w:r>
      <w:r>
        <w:t>combination therapy</w:t>
      </w:r>
      <w:r w:rsidRPr="006316DF">
        <w:t xml:space="preserve"> over </w:t>
      </w:r>
      <w:r>
        <w:t>monotherapy</w:t>
      </w:r>
      <w:r w:rsidRPr="006316DF">
        <w:t xml:space="preserve">, but the range of point estimates included in the </w:t>
      </w:r>
      <w:r w:rsidR="00D84687">
        <w:t>95% CI indicates</w:t>
      </w:r>
      <w:r w:rsidRPr="006316DF">
        <w:t xml:space="preserve"> that a lack of effect </w:t>
      </w:r>
      <w:r>
        <w:t xml:space="preserve">or an opposite effect </w:t>
      </w:r>
      <w:r w:rsidRPr="006316DF">
        <w:t xml:space="preserve">cannot be ruled out. </w:t>
      </w:r>
      <w:r>
        <w:t>The mean difference in haemodynamic parameters and 6MWD favoured combination therapy over monotherapy but the size of the differences were not clinically important</w:t>
      </w:r>
      <w:r w:rsidR="00300A41">
        <w:t>, except in one out of five studies reporting the change in 6MWD</w:t>
      </w:r>
      <w:r>
        <w:t>.</w:t>
      </w:r>
    </w:p>
    <w:p w:rsidR="0075777C" w:rsidRDefault="0075777C" w:rsidP="0075777C">
      <w:r w:rsidRPr="006316DF">
        <w:t xml:space="preserve">Thus, </w:t>
      </w:r>
      <w:r w:rsidRPr="00C84392">
        <w:t xml:space="preserve">there </w:t>
      </w:r>
      <w:r w:rsidR="00D14AB4" w:rsidRPr="00C84392">
        <w:t>is</w:t>
      </w:r>
      <w:r w:rsidRPr="00C84392">
        <w:t xml:space="preserve"> </w:t>
      </w:r>
      <w:r w:rsidR="0074627B" w:rsidRPr="00C84392">
        <w:t>some evidence to suggest</w:t>
      </w:r>
      <w:r w:rsidR="0074627B">
        <w:t xml:space="preserve"> that</w:t>
      </w:r>
      <w:r w:rsidRPr="000522D6">
        <w:t xml:space="preserve"> </w:t>
      </w:r>
      <w:r w:rsidR="00D14AB4">
        <w:t>the use of a</w:t>
      </w:r>
      <w:r w:rsidRPr="006316DF">
        <w:t xml:space="preserve"> </w:t>
      </w:r>
      <w:r w:rsidRPr="00D00AC2">
        <w:t>PDE-5 inhibitor in addition to an ERA</w:t>
      </w:r>
      <w:r w:rsidRPr="000522D6">
        <w:t xml:space="preserve">, relative to </w:t>
      </w:r>
      <w:r>
        <w:t>ERA</w:t>
      </w:r>
      <w:r w:rsidRPr="000522D6">
        <w:t xml:space="preserve"> monotherapy </w:t>
      </w:r>
      <w:r w:rsidRPr="006316DF">
        <w:t xml:space="preserve">to treat </w:t>
      </w:r>
      <w:r>
        <w:t xml:space="preserve">PAH patients </w:t>
      </w:r>
      <w:r w:rsidR="006A32C5">
        <w:t>is likely to be beneficial.</w:t>
      </w:r>
    </w:p>
    <w:p w:rsidR="0075777C" w:rsidRPr="006316DF" w:rsidRDefault="00272F8F" w:rsidP="00BC5A2B">
      <w:pPr>
        <w:pStyle w:val="Caption"/>
      </w:pPr>
      <w:bookmarkStart w:id="363" w:name="_Ref505777449"/>
      <w:bookmarkStart w:id="364" w:name="_Toc512855534"/>
      <w:r>
        <w:t>Table 4.</w:t>
      </w:r>
      <w:r w:rsidR="00AA722D">
        <w:rPr>
          <w:noProof/>
        </w:rPr>
        <w:t>130</w:t>
      </w:r>
      <w:bookmarkEnd w:id="363"/>
      <w:r w:rsidR="00D14AB4">
        <w:tab/>
      </w:r>
      <w:r w:rsidR="0075777C" w:rsidRPr="006316DF">
        <w:t xml:space="preserve">Balance of clinical benefits of </w:t>
      </w:r>
      <w:r w:rsidR="001B552D">
        <w:t xml:space="preserve">a </w:t>
      </w:r>
      <w:r w:rsidR="0075777C" w:rsidRPr="0045581A">
        <w:t xml:space="preserve">PDE-5 inhibitor in addition to </w:t>
      </w:r>
      <w:r w:rsidR="001B552D">
        <w:t xml:space="preserve">an </w:t>
      </w:r>
      <w:r w:rsidR="0075777C" w:rsidRPr="006316DF">
        <w:t xml:space="preserve">ERA, relative to </w:t>
      </w:r>
      <w:r w:rsidR="0075777C">
        <w:t>ERA</w:t>
      </w:r>
      <w:r w:rsidR="0075777C" w:rsidRPr="002D77B1">
        <w:t xml:space="preserve"> </w:t>
      </w:r>
      <w:r w:rsidR="0075777C">
        <w:t>monotherapy in all PAH patients</w:t>
      </w:r>
      <w:bookmarkEnd w:id="364"/>
    </w:p>
    <w:tbl>
      <w:tblPr>
        <w:tblStyle w:val="TableGrid"/>
        <w:tblW w:w="9634" w:type="dxa"/>
        <w:tblLayout w:type="fixed"/>
        <w:tblLook w:val="04A0" w:firstRow="1" w:lastRow="0" w:firstColumn="1" w:lastColumn="0" w:noHBand="0" w:noVBand="1"/>
        <w:tblCaption w:val="Balance of clinical benefits of a PDE-5 inhibitor in addition to an ERA, relative to ERA monotherapy in all PAH patients"/>
      </w:tblPr>
      <w:tblGrid>
        <w:gridCol w:w="1560"/>
        <w:gridCol w:w="1275"/>
        <w:gridCol w:w="1701"/>
        <w:gridCol w:w="1413"/>
        <w:gridCol w:w="2551"/>
        <w:gridCol w:w="1134"/>
      </w:tblGrid>
      <w:tr w:rsidR="0075777C" w:rsidRPr="000647C6" w:rsidTr="00D14AB4">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0647C6" w:rsidRDefault="0075777C" w:rsidP="000647C6">
            <w:pPr>
              <w:pStyle w:val="Tabletext"/>
              <w:rPr>
                <w:b/>
                <w:noProof/>
              </w:rPr>
            </w:pPr>
            <w:r w:rsidRPr="000647C6">
              <w:rPr>
                <w:b/>
                <w:noProof/>
              </w:rPr>
              <w:t xml:space="preserve">Outcomes </w:t>
            </w:r>
          </w:p>
        </w:tc>
        <w:tc>
          <w:tcPr>
            <w:tcW w:w="1275" w:type="dxa"/>
          </w:tcPr>
          <w:p w:rsidR="0075777C" w:rsidRPr="000647C6" w:rsidRDefault="0075777C" w:rsidP="000647C6">
            <w:pPr>
              <w:pStyle w:val="Tabletext"/>
              <w:rPr>
                <w:b/>
                <w:noProof/>
              </w:rPr>
            </w:pPr>
            <w:r w:rsidRPr="000647C6">
              <w:rPr>
                <w:b/>
                <w:noProof/>
              </w:rPr>
              <w:t>Participants (studies)</w:t>
            </w:r>
          </w:p>
        </w:tc>
        <w:tc>
          <w:tcPr>
            <w:tcW w:w="1701" w:type="dxa"/>
          </w:tcPr>
          <w:p w:rsidR="0075777C" w:rsidRPr="000647C6" w:rsidRDefault="0075777C" w:rsidP="000647C6">
            <w:pPr>
              <w:pStyle w:val="Tabletext"/>
              <w:rPr>
                <w:b/>
                <w:noProof/>
              </w:rPr>
            </w:pPr>
            <w:r w:rsidRPr="000647C6">
              <w:rPr>
                <w:b/>
                <w:noProof/>
              </w:rPr>
              <w:t>Quality of evidence</w:t>
            </w:r>
          </w:p>
        </w:tc>
        <w:tc>
          <w:tcPr>
            <w:tcW w:w="1413" w:type="dxa"/>
          </w:tcPr>
          <w:p w:rsidR="0075777C" w:rsidRPr="000647C6" w:rsidRDefault="0075777C" w:rsidP="000647C6">
            <w:pPr>
              <w:pStyle w:val="Tabletext"/>
              <w:rPr>
                <w:b/>
                <w:noProof/>
              </w:rPr>
            </w:pPr>
            <w:r w:rsidRPr="000647C6">
              <w:rPr>
                <w:b/>
                <w:noProof/>
              </w:rPr>
              <w:t>Results</w:t>
            </w:r>
          </w:p>
        </w:tc>
        <w:tc>
          <w:tcPr>
            <w:tcW w:w="2551" w:type="dxa"/>
          </w:tcPr>
          <w:p w:rsidR="0075777C" w:rsidRPr="000647C6" w:rsidRDefault="0075777C" w:rsidP="000647C6">
            <w:pPr>
              <w:pStyle w:val="Tabletext"/>
              <w:rPr>
                <w:b/>
                <w:noProof/>
              </w:rPr>
            </w:pPr>
            <w:r w:rsidRPr="000647C6">
              <w:rPr>
                <w:b/>
                <w:noProof/>
              </w:rPr>
              <w:t>Interpretation</w:t>
            </w:r>
          </w:p>
        </w:tc>
        <w:tc>
          <w:tcPr>
            <w:tcW w:w="1134" w:type="dxa"/>
          </w:tcPr>
          <w:p w:rsidR="0075777C" w:rsidRPr="000647C6" w:rsidRDefault="0075777C" w:rsidP="000647C6">
            <w:pPr>
              <w:pStyle w:val="Tabletext"/>
              <w:rPr>
                <w:b/>
                <w:noProof/>
              </w:rPr>
            </w:pPr>
            <w:r w:rsidRPr="000647C6">
              <w:rPr>
                <w:b/>
                <w:noProof/>
              </w:rPr>
              <w:t>GRADE</w:t>
            </w:r>
            <w:r w:rsidR="0033164F" w:rsidRPr="0033164F">
              <w:rPr>
                <w:b/>
                <w:noProof/>
                <w:vertAlign w:val="superscript"/>
              </w:rPr>
              <w:t>a</w:t>
            </w:r>
          </w:p>
          <w:p w:rsidR="0075777C" w:rsidRPr="000647C6" w:rsidRDefault="0075777C" w:rsidP="000647C6">
            <w:pPr>
              <w:pStyle w:val="Tabletext"/>
              <w:rPr>
                <w:b/>
                <w:noProof/>
              </w:rPr>
            </w:pPr>
            <w:r w:rsidRPr="000647C6">
              <w:rPr>
                <w:b/>
                <w:noProof/>
              </w:rPr>
              <w:t>Importance</w:t>
            </w:r>
          </w:p>
        </w:tc>
      </w:tr>
      <w:tr w:rsidR="0075777C" w:rsidRPr="006316DF" w:rsidTr="00D14AB4">
        <w:tc>
          <w:tcPr>
            <w:tcW w:w="1560" w:type="dxa"/>
          </w:tcPr>
          <w:p w:rsidR="0075777C" w:rsidRPr="006316DF" w:rsidRDefault="0075777C" w:rsidP="000647C6">
            <w:pPr>
              <w:pStyle w:val="Tabletext"/>
            </w:pPr>
            <w:r w:rsidRPr="006316DF">
              <w:t xml:space="preserve">Clinical worsening </w:t>
            </w:r>
          </w:p>
        </w:tc>
        <w:tc>
          <w:tcPr>
            <w:tcW w:w="1275" w:type="dxa"/>
          </w:tcPr>
          <w:p w:rsidR="0075777C" w:rsidRPr="006316DF" w:rsidRDefault="0075777C" w:rsidP="000647C6">
            <w:pPr>
              <w:pStyle w:val="Tabletext"/>
            </w:pPr>
            <w:r w:rsidRPr="006316DF">
              <w:t>N=</w:t>
            </w:r>
            <w:r>
              <w:t>694</w:t>
            </w:r>
          </w:p>
          <w:p w:rsidR="0075777C" w:rsidRPr="006316DF" w:rsidRDefault="0075777C" w:rsidP="000647C6">
            <w:pPr>
              <w:pStyle w:val="Tabletext"/>
            </w:pPr>
            <w:r w:rsidRPr="006316DF">
              <w:t>k=</w:t>
            </w:r>
            <w:r>
              <w:t>4</w:t>
            </w:r>
            <w:r w:rsidRPr="006316DF">
              <w:t xml:space="preserve"> RCTs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+1</w:t>
            </w:r>
          </w:p>
        </w:tc>
        <w:tc>
          <w:tcPr>
            <w:tcW w:w="1413" w:type="dxa"/>
          </w:tcPr>
          <w:p w:rsidR="0075777C" w:rsidRPr="00146C41" w:rsidRDefault="0075777C" w:rsidP="000647C6">
            <w:pPr>
              <w:pStyle w:val="Tabletext"/>
            </w:pPr>
            <w:r w:rsidRPr="00146C41">
              <w:t>Pooled RR = 0.</w:t>
            </w:r>
            <w:r>
              <w:t>53</w:t>
            </w:r>
            <w:r w:rsidRPr="00146C41">
              <w:t xml:space="preserve"> (95% CI 0.</w:t>
            </w:r>
            <w:r>
              <w:t>38</w:t>
            </w:r>
            <w:r w:rsidRPr="00146C41">
              <w:t>, 0.</w:t>
            </w:r>
            <w:r>
              <w:t>73</w:t>
            </w:r>
            <w:r w:rsidRPr="00146C41">
              <w:t>)</w:t>
            </w:r>
          </w:p>
        </w:tc>
        <w:tc>
          <w:tcPr>
            <w:tcW w:w="2551" w:type="dxa"/>
          </w:tcPr>
          <w:p w:rsidR="0075777C" w:rsidRPr="00146C41" w:rsidRDefault="0075777C" w:rsidP="000647C6">
            <w:pPr>
              <w:pStyle w:val="Tabletext"/>
            </w:pPr>
            <w:r>
              <w:t xml:space="preserve">Significantly fewer </w:t>
            </w:r>
            <w:r w:rsidRPr="00146C41">
              <w:t xml:space="preserve">patients </w:t>
            </w:r>
            <w:r>
              <w:t xml:space="preserve">on </w:t>
            </w:r>
            <w:r w:rsidRPr="00146C41">
              <w:t>combination therapy experience</w:t>
            </w:r>
            <w:r>
              <w:t>d</w:t>
            </w:r>
            <w:r w:rsidRPr="00146C41">
              <w:t xml:space="preserve"> clinical worsening compared with monotherapy</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rPr>
                <w:rFonts w:cs="Cambria Math"/>
                <w:bCs/>
              </w:rPr>
              <w:t xml:space="preserve">Critical </w:t>
            </w:r>
          </w:p>
        </w:tc>
      </w:tr>
      <w:tr w:rsidR="0075777C" w:rsidRPr="006316DF" w:rsidTr="00D14AB4">
        <w:tc>
          <w:tcPr>
            <w:tcW w:w="1560" w:type="dxa"/>
          </w:tcPr>
          <w:p w:rsidR="0075777C" w:rsidRPr="006316DF" w:rsidRDefault="0075777C" w:rsidP="000647C6">
            <w:pPr>
              <w:pStyle w:val="Tabletext"/>
            </w:pPr>
            <w:r w:rsidRPr="006316DF">
              <w:t>All-cause mortality</w:t>
            </w:r>
          </w:p>
        </w:tc>
        <w:tc>
          <w:tcPr>
            <w:tcW w:w="1275" w:type="dxa"/>
          </w:tcPr>
          <w:p w:rsidR="0075777C" w:rsidRPr="006316DF" w:rsidRDefault="0075777C" w:rsidP="000647C6">
            <w:pPr>
              <w:pStyle w:val="Tabletext"/>
            </w:pPr>
            <w:r w:rsidRPr="006316DF">
              <w:t>N=6</w:t>
            </w:r>
            <w:r>
              <w:t>82</w:t>
            </w:r>
          </w:p>
          <w:p w:rsidR="0075777C" w:rsidRPr="006316DF" w:rsidRDefault="0075777C" w:rsidP="000647C6">
            <w:pPr>
              <w:pStyle w:val="Tabletext"/>
            </w:pPr>
            <w:r w:rsidRPr="006316DF">
              <w:t>k=</w:t>
            </w:r>
            <w:r>
              <w:t>3</w:t>
            </w:r>
            <w:r w:rsidRPr="006316DF">
              <w:t xml:space="preserve"> RCTs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 xml:space="preserve">Inconsistency: </w:t>
            </w:r>
            <w:r w:rsidR="00F42EBF">
              <w:t>0</w:t>
            </w:r>
          </w:p>
          <w:p w:rsidR="0075777C" w:rsidRPr="006316DF" w:rsidRDefault="0075777C" w:rsidP="000647C6">
            <w:pPr>
              <w:pStyle w:val="Tabletext"/>
            </w:pPr>
            <w:r w:rsidRPr="006316DF">
              <w:t>Indirectness: 0</w:t>
            </w:r>
          </w:p>
          <w:p w:rsidR="0075777C" w:rsidRDefault="00B97B32" w:rsidP="000647C6">
            <w:pPr>
              <w:pStyle w:val="Tabletext"/>
            </w:pPr>
            <w:r>
              <w:t>Imprecision: −2</w:t>
            </w:r>
          </w:p>
          <w:p w:rsidR="0075777C" w:rsidRDefault="0075777C" w:rsidP="000647C6">
            <w:pPr>
              <w:pStyle w:val="Tabletext"/>
            </w:pPr>
            <w:r w:rsidRPr="006316DF">
              <w:t>Publication bias: 0</w:t>
            </w:r>
          </w:p>
          <w:p w:rsidR="0075777C" w:rsidRPr="006316DF" w:rsidRDefault="0075777C" w:rsidP="000647C6">
            <w:pPr>
              <w:pStyle w:val="Tabletext"/>
            </w:pPr>
            <w:r>
              <w:t>Association: +1</w:t>
            </w:r>
          </w:p>
        </w:tc>
        <w:tc>
          <w:tcPr>
            <w:tcW w:w="1413" w:type="dxa"/>
          </w:tcPr>
          <w:p w:rsidR="0075777C" w:rsidRPr="00146C41" w:rsidRDefault="0075777C" w:rsidP="000647C6">
            <w:pPr>
              <w:pStyle w:val="Tabletext"/>
            </w:pPr>
            <w:r w:rsidRPr="00146C41">
              <w:t>Pooled RR = 0.</w:t>
            </w:r>
            <w:r>
              <w:t>64</w:t>
            </w:r>
            <w:r w:rsidRPr="00146C41">
              <w:t xml:space="preserve"> (95% CI 0.</w:t>
            </w:r>
            <w:r>
              <w:t>18</w:t>
            </w:r>
            <w:r w:rsidRPr="00146C41">
              <w:t xml:space="preserve">, </w:t>
            </w:r>
            <w:r>
              <w:t>2</w:t>
            </w:r>
            <w:r w:rsidRPr="00146C41">
              <w:t>.</w:t>
            </w:r>
            <w:r>
              <w:t>3</w:t>
            </w:r>
            <w:r w:rsidRPr="00146C41">
              <w:t>6)</w:t>
            </w:r>
          </w:p>
        </w:tc>
        <w:tc>
          <w:tcPr>
            <w:tcW w:w="2551" w:type="dxa"/>
          </w:tcPr>
          <w:p w:rsidR="0075777C" w:rsidRPr="00146C41" w:rsidRDefault="0075777C" w:rsidP="000647C6">
            <w:pPr>
              <w:pStyle w:val="Tabletext"/>
            </w:pPr>
            <w:r>
              <w:t>F</w:t>
            </w:r>
            <w:r w:rsidRPr="00146C41">
              <w:t>ewer patients die</w:t>
            </w:r>
            <w:r>
              <w:t>d</w:t>
            </w:r>
            <w:r w:rsidRPr="00146C41">
              <w:t xml:space="preserve"> from any cause with combination therapy compared with monotherapy, but the </w:t>
            </w:r>
            <w:r w:rsidR="00D84687">
              <w:t>95% CI indicates</w:t>
            </w:r>
            <w:r w:rsidRPr="00146C41">
              <w:t xml:space="preserve"> that there may also be no or the opposite effect.</w:t>
            </w:r>
          </w:p>
        </w:tc>
        <w:tc>
          <w:tcPr>
            <w:tcW w:w="1134" w:type="dxa"/>
          </w:tcPr>
          <w:p w:rsidR="00B97B32" w:rsidRPr="006316DF" w:rsidRDefault="00B97B32" w:rsidP="00B97B32">
            <w:pPr>
              <w:pStyle w:val="Tabletext"/>
            </w:pPr>
            <w:r>
              <w:t>Moderate</w:t>
            </w:r>
          </w:p>
          <w:p w:rsidR="00B97B32" w:rsidRPr="006316DF" w:rsidRDefault="00B97B32" w:rsidP="00B97B32">
            <w:pPr>
              <w:pStyle w:val="Tabletext"/>
              <w:rPr>
                <w:rFonts w:cs="Cambria Math"/>
                <w:bCs/>
              </w:rPr>
            </w:pPr>
            <w:r w:rsidRPr="006316DF">
              <w:rPr>
                <w:rFonts w:ascii="Cambria Math" w:hAnsi="Cambria Math" w:cs="Cambria Math"/>
                <w:bCs/>
                <w:color w:val="00B050"/>
              </w:rPr>
              <w:t>⨁⨁⨁</w:t>
            </w:r>
            <w:r w:rsidRPr="006316DF">
              <w:rPr>
                <w:rFonts w:ascii="Cambria Math" w:hAnsi="Cambria Math" w:cs="Cambria Math"/>
                <w:color w:val="C00000"/>
              </w:rPr>
              <w:t>⨀</w:t>
            </w:r>
          </w:p>
          <w:p w:rsidR="0075777C" w:rsidRPr="006316DF" w:rsidRDefault="0075777C" w:rsidP="000647C6">
            <w:pPr>
              <w:pStyle w:val="Tabletext"/>
            </w:pPr>
            <w:r w:rsidRPr="006316DF">
              <w:t>Critical</w:t>
            </w:r>
          </w:p>
        </w:tc>
      </w:tr>
      <w:tr w:rsidR="0075777C" w:rsidRPr="006316DF" w:rsidTr="00D14AB4">
        <w:tc>
          <w:tcPr>
            <w:tcW w:w="1560" w:type="dxa"/>
          </w:tcPr>
          <w:p w:rsidR="0075777C" w:rsidRPr="006316DF" w:rsidRDefault="0075777C" w:rsidP="000647C6">
            <w:pPr>
              <w:pStyle w:val="Tabletext"/>
            </w:pPr>
            <w:r>
              <w:t>Hospitalisation</w:t>
            </w:r>
            <w:r w:rsidR="00951198">
              <w:t xml:space="preserve"> due to </w:t>
            </w:r>
            <w:r w:rsidR="00B97B32">
              <w:t xml:space="preserve">worsening </w:t>
            </w:r>
            <w:r w:rsidR="00951198">
              <w:t>PAH</w:t>
            </w:r>
          </w:p>
        </w:tc>
        <w:tc>
          <w:tcPr>
            <w:tcW w:w="1275" w:type="dxa"/>
          </w:tcPr>
          <w:p w:rsidR="0075777C" w:rsidRPr="006316DF" w:rsidRDefault="0075777C" w:rsidP="000647C6">
            <w:pPr>
              <w:pStyle w:val="Tabletext"/>
            </w:pPr>
            <w:r w:rsidRPr="006316DF">
              <w:t>N=6</w:t>
            </w:r>
            <w:r>
              <w:t>07</w:t>
            </w:r>
          </w:p>
          <w:p w:rsidR="0075777C" w:rsidRPr="006316DF" w:rsidRDefault="0075777C" w:rsidP="000647C6">
            <w:pPr>
              <w:pStyle w:val="Tabletext"/>
            </w:pPr>
            <w:r w:rsidRPr="006316DF">
              <w:t>k=</w:t>
            </w:r>
            <w:r>
              <w:t>3</w:t>
            </w:r>
            <w:r w:rsidRPr="006316DF">
              <w:t xml:space="preserve"> RCTs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 xml:space="preserve">Inconsistency: </w:t>
            </w:r>
            <w:r>
              <w:t>0</w:t>
            </w:r>
          </w:p>
          <w:p w:rsidR="0075777C" w:rsidRPr="006316DF" w:rsidRDefault="0075777C" w:rsidP="000647C6">
            <w:pPr>
              <w:pStyle w:val="Tabletext"/>
            </w:pPr>
            <w:r w:rsidRPr="006316DF">
              <w:t>Indirectness: 0</w:t>
            </w:r>
          </w:p>
          <w:p w:rsidR="0075777C" w:rsidRDefault="0075777C" w:rsidP="000647C6">
            <w:pPr>
              <w:pStyle w:val="Tabletext"/>
            </w:pPr>
            <w:r>
              <w:t>Imprecision: 0</w:t>
            </w:r>
          </w:p>
          <w:p w:rsidR="0075777C" w:rsidRDefault="0075777C" w:rsidP="000647C6">
            <w:pPr>
              <w:pStyle w:val="Tabletext"/>
            </w:pPr>
            <w:r w:rsidRPr="006316DF">
              <w:t>Publication bias: 0</w:t>
            </w:r>
          </w:p>
          <w:p w:rsidR="0075777C" w:rsidRDefault="0075777C" w:rsidP="00394D5B">
            <w:pPr>
              <w:pStyle w:val="Tabletext"/>
            </w:pPr>
            <w:r>
              <w:t xml:space="preserve">Association: </w:t>
            </w:r>
            <w:r w:rsidR="00394D5B">
              <w:t>+1</w:t>
            </w:r>
          </w:p>
        </w:tc>
        <w:tc>
          <w:tcPr>
            <w:tcW w:w="1413" w:type="dxa"/>
          </w:tcPr>
          <w:p w:rsidR="0075777C" w:rsidRDefault="0075777C" w:rsidP="00951198">
            <w:pPr>
              <w:pStyle w:val="Tabletext"/>
            </w:pPr>
            <w:r w:rsidRPr="00146C41">
              <w:t>Pooled RR = 0.</w:t>
            </w:r>
            <w:r w:rsidR="00951198">
              <w:t>42</w:t>
            </w:r>
            <w:r>
              <w:t xml:space="preserve"> (95% CI 0.</w:t>
            </w:r>
            <w:r w:rsidR="00951198">
              <w:t>2</w:t>
            </w:r>
            <w:r>
              <w:t>5</w:t>
            </w:r>
            <w:r w:rsidRPr="00146C41">
              <w:t xml:space="preserve">, </w:t>
            </w:r>
            <w:r>
              <w:t>0</w:t>
            </w:r>
            <w:r w:rsidR="00951198">
              <w:t>.</w:t>
            </w:r>
            <w:r>
              <w:t>7</w:t>
            </w:r>
            <w:r w:rsidR="00951198">
              <w:t>0</w:t>
            </w:r>
            <w:r w:rsidRPr="00146C41">
              <w:t>)</w:t>
            </w:r>
          </w:p>
        </w:tc>
        <w:tc>
          <w:tcPr>
            <w:tcW w:w="2551" w:type="dxa"/>
          </w:tcPr>
          <w:p w:rsidR="0075777C" w:rsidRPr="002812F2" w:rsidRDefault="00951198" w:rsidP="00951198">
            <w:pPr>
              <w:pStyle w:val="Tabletext"/>
            </w:pPr>
            <w:r>
              <w:t>Significantly f</w:t>
            </w:r>
            <w:r w:rsidR="0075777C" w:rsidRPr="00146C41">
              <w:t>ewer patients die</w:t>
            </w:r>
            <w:r w:rsidR="0075777C">
              <w:t>d</w:t>
            </w:r>
            <w:r w:rsidR="0075777C" w:rsidRPr="00146C41">
              <w:t xml:space="preserve"> from any cause with combination th</w:t>
            </w:r>
            <w:r w:rsidR="00B97B32">
              <w:t>erapy compared with monotherapy</w:t>
            </w:r>
            <w:r w:rsidR="00B97B32" w:rsidRPr="00B97B32">
              <w:t xml:space="preserve"> and the difference was clinically important in 1 study</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Default="000647C6" w:rsidP="000647C6">
            <w:pPr>
              <w:pStyle w:val="Tabletext"/>
            </w:pPr>
            <w:r>
              <w:t>Important</w:t>
            </w:r>
          </w:p>
        </w:tc>
      </w:tr>
      <w:tr w:rsidR="0075777C" w:rsidRPr="006316DF" w:rsidTr="00D14AB4">
        <w:tc>
          <w:tcPr>
            <w:tcW w:w="1560" w:type="dxa"/>
          </w:tcPr>
          <w:p w:rsidR="0075777C" w:rsidRPr="006316DF" w:rsidRDefault="0075777C" w:rsidP="000647C6">
            <w:pPr>
              <w:pStyle w:val="Tabletext"/>
            </w:pPr>
            <w:r w:rsidRPr="006316DF">
              <w:t>Improved WHO FC</w:t>
            </w:r>
          </w:p>
        </w:tc>
        <w:tc>
          <w:tcPr>
            <w:tcW w:w="1275" w:type="dxa"/>
          </w:tcPr>
          <w:p w:rsidR="0075777C" w:rsidRPr="006316DF" w:rsidRDefault="0075777C" w:rsidP="000647C6">
            <w:pPr>
              <w:pStyle w:val="Tabletext"/>
            </w:pPr>
            <w:r w:rsidRPr="006316DF">
              <w:t>N=</w:t>
            </w:r>
            <w:r>
              <w:t>6</w:t>
            </w:r>
            <w:r w:rsidR="006E1D35">
              <w:t>9</w:t>
            </w:r>
            <w:r>
              <w:t>1</w:t>
            </w:r>
          </w:p>
          <w:p w:rsidR="0075777C" w:rsidRPr="006316DF" w:rsidRDefault="0075777C" w:rsidP="000647C6">
            <w:pPr>
              <w:pStyle w:val="Tabletext"/>
            </w:pPr>
            <w:r w:rsidRPr="006316DF">
              <w:t>k=</w:t>
            </w:r>
            <w:r>
              <w:t>4</w:t>
            </w:r>
            <w:r w:rsidRPr="006316DF">
              <w:t xml:space="preserve"> RCT</w:t>
            </w:r>
            <w:r>
              <w: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3" w:type="dxa"/>
          </w:tcPr>
          <w:p w:rsidR="0075777C" w:rsidRPr="002812F2" w:rsidRDefault="0075777C" w:rsidP="000647C6">
            <w:pPr>
              <w:pStyle w:val="Tabletext"/>
            </w:pPr>
            <w:r>
              <w:t>Pooled RR</w:t>
            </w:r>
            <w:r w:rsidRPr="002812F2">
              <w:t xml:space="preserve"> = 1.</w:t>
            </w:r>
            <w:r>
              <w:t>11</w:t>
            </w:r>
            <w:r w:rsidRPr="002812F2">
              <w:t xml:space="preserve"> (</w:t>
            </w:r>
            <w:r>
              <w:t>95% CI 0</w:t>
            </w:r>
            <w:r w:rsidRPr="002812F2">
              <w:t>.</w:t>
            </w:r>
            <w:r>
              <w:t>77,</w:t>
            </w:r>
            <w:r w:rsidRPr="002812F2">
              <w:t xml:space="preserve"> </w:t>
            </w:r>
            <w:r>
              <w:t>1</w:t>
            </w:r>
            <w:r w:rsidRPr="002812F2">
              <w:t>.</w:t>
            </w:r>
            <w:r>
              <w:t>60</w:t>
            </w:r>
            <w:r w:rsidRPr="002812F2">
              <w:t>)</w:t>
            </w:r>
          </w:p>
        </w:tc>
        <w:tc>
          <w:tcPr>
            <w:tcW w:w="2551" w:type="dxa"/>
          </w:tcPr>
          <w:p w:rsidR="0075777C" w:rsidRPr="002812F2" w:rsidRDefault="0075777C" w:rsidP="005625F4">
            <w:pPr>
              <w:pStyle w:val="Tabletext"/>
            </w:pPr>
            <w:r>
              <w:t>T</w:t>
            </w:r>
            <w:r w:rsidRPr="000E45D6">
              <w:t xml:space="preserve">he </w:t>
            </w:r>
            <w:r>
              <w:t>proportion</w:t>
            </w:r>
            <w:r w:rsidRPr="000E45D6">
              <w:t xml:space="preserve"> of patients </w:t>
            </w:r>
            <w:r>
              <w:t>who</w:t>
            </w:r>
            <w:r w:rsidRPr="000E45D6">
              <w:t xml:space="preserve"> </w:t>
            </w:r>
            <w:r>
              <w:t>improved their WHO FC</w:t>
            </w:r>
            <w:r w:rsidRPr="000E45D6">
              <w:t xml:space="preserve"> </w:t>
            </w:r>
            <w:r>
              <w:t>with combination therapy will be similar to the proportion on monotherapy</w:t>
            </w:r>
            <w:r w:rsidRPr="00E55244">
              <w:t>.</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t>Important</w:t>
            </w:r>
          </w:p>
        </w:tc>
      </w:tr>
      <w:tr w:rsidR="0075777C" w:rsidRPr="006316DF" w:rsidTr="00D14AB4">
        <w:tc>
          <w:tcPr>
            <w:tcW w:w="1560" w:type="dxa"/>
          </w:tcPr>
          <w:p w:rsidR="0075777C" w:rsidRPr="006316DF" w:rsidRDefault="0075777C" w:rsidP="000647C6">
            <w:pPr>
              <w:pStyle w:val="Tabletext"/>
            </w:pPr>
            <w:r>
              <w:lastRenderedPageBreak/>
              <w:t xml:space="preserve">Worsened </w:t>
            </w:r>
            <w:r w:rsidRPr="006316DF">
              <w:t>WHO FC</w:t>
            </w:r>
          </w:p>
        </w:tc>
        <w:tc>
          <w:tcPr>
            <w:tcW w:w="1275" w:type="dxa"/>
          </w:tcPr>
          <w:p w:rsidR="0075777C" w:rsidRPr="006316DF" w:rsidRDefault="0075777C" w:rsidP="000647C6">
            <w:pPr>
              <w:pStyle w:val="Tabletext"/>
            </w:pPr>
            <w:r w:rsidRPr="006316DF">
              <w:t>N=</w:t>
            </w:r>
            <w:r>
              <w:t>6</w:t>
            </w:r>
            <w:r w:rsidR="006E1D35">
              <w:t>9</w:t>
            </w:r>
            <w:r>
              <w:t>1</w:t>
            </w:r>
          </w:p>
          <w:p w:rsidR="0075777C" w:rsidRPr="006316DF" w:rsidRDefault="0075777C" w:rsidP="000647C6">
            <w:pPr>
              <w:pStyle w:val="Tabletext"/>
            </w:pPr>
            <w:r w:rsidRPr="006316DF">
              <w:t>k=</w:t>
            </w:r>
            <w:r>
              <w:t>4</w:t>
            </w:r>
            <w:r w:rsidRPr="006316DF">
              <w:t xml:space="preserve"> RCT</w:t>
            </w:r>
            <w:r>
              <w: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 xml:space="preserve">Imprecision: </w:t>
            </w:r>
            <w:r w:rsidR="00F7324C">
              <w:t>−1</w:t>
            </w:r>
          </w:p>
          <w:p w:rsidR="0075777C" w:rsidRDefault="0075777C" w:rsidP="000647C6">
            <w:pPr>
              <w:pStyle w:val="Tabletext"/>
            </w:pPr>
            <w:r w:rsidRPr="006316DF">
              <w:t>Publication bias: 0</w:t>
            </w:r>
          </w:p>
          <w:p w:rsidR="0075777C" w:rsidRPr="006316DF" w:rsidRDefault="0075777C" w:rsidP="000647C6">
            <w:pPr>
              <w:pStyle w:val="Tabletext"/>
            </w:pPr>
            <w:r>
              <w:t xml:space="preserve">Association: </w:t>
            </w:r>
            <w:r w:rsidR="00F7324C">
              <w:t>+1</w:t>
            </w:r>
          </w:p>
        </w:tc>
        <w:tc>
          <w:tcPr>
            <w:tcW w:w="1413" w:type="dxa"/>
          </w:tcPr>
          <w:p w:rsidR="0075777C" w:rsidRPr="002812F2" w:rsidRDefault="0075777C" w:rsidP="000647C6">
            <w:pPr>
              <w:pStyle w:val="Tabletext"/>
            </w:pPr>
            <w:r>
              <w:t>Pooled RR</w:t>
            </w:r>
            <w:r w:rsidRPr="002812F2">
              <w:t xml:space="preserve"> = </w:t>
            </w:r>
            <w:r>
              <w:t>0</w:t>
            </w:r>
            <w:r w:rsidRPr="002812F2">
              <w:t>.</w:t>
            </w:r>
            <w:r>
              <w:t>6</w:t>
            </w:r>
            <w:r w:rsidRPr="002812F2">
              <w:t>0 (</w:t>
            </w:r>
            <w:r>
              <w:t>95% CI 0</w:t>
            </w:r>
            <w:r w:rsidRPr="002812F2">
              <w:t>.</w:t>
            </w:r>
            <w:r>
              <w:t>34,</w:t>
            </w:r>
            <w:r w:rsidRPr="002812F2">
              <w:t xml:space="preserve"> </w:t>
            </w:r>
            <w:r>
              <w:t>1</w:t>
            </w:r>
            <w:r w:rsidRPr="002812F2">
              <w:t>.</w:t>
            </w:r>
            <w:r>
              <w:t>05</w:t>
            </w:r>
            <w:r w:rsidRPr="002812F2">
              <w:t>)</w:t>
            </w:r>
          </w:p>
        </w:tc>
        <w:tc>
          <w:tcPr>
            <w:tcW w:w="2551" w:type="dxa"/>
          </w:tcPr>
          <w:p w:rsidR="0075777C" w:rsidRPr="002812F2" w:rsidRDefault="0075777C" w:rsidP="000647C6">
            <w:pPr>
              <w:pStyle w:val="Tabletext"/>
            </w:pPr>
            <w:r>
              <w:t>Fewer</w:t>
            </w:r>
            <w:r w:rsidRPr="002812F2">
              <w:t xml:space="preserve"> patients </w:t>
            </w:r>
            <w:r>
              <w:t>on combination therapy</w:t>
            </w:r>
            <w:r w:rsidRPr="002812F2">
              <w:t xml:space="preserve"> </w:t>
            </w:r>
            <w:r w:rsidRPr="00686058">
              <w:t>ha</w:t>
            </w:r>
            <w:r>
              <w:t>d</w:t>
            </w:r>
            <w:r w:rsidRPr="00686058">
              <w:t xml:space="preserve"> WHO FC worsening than those on monotherapy</w:t>
            </w:r>
            <w:r>
              <w:t xml:space="preserve">, </w:t>
            </w:r>
            <w:r w:rsidR="005625F4">
              <w:t>but the result did not quite reach statistical significance</w:t>
            </w:r>
            <w:r w:rsidRPr="00686058">
              <w:t>.</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t>Important</w:t>
            </w:r>
          </w:p>
        </w:tc>
      </w:tr>
      <w:tr w:rsidR="000647C6" w:rsidRPr="006316DF" w:rsidTr="000647C6">
        <w:tc>
          <w:tcPr>
            <w:tcW w:w="1560" w:type="dxa"/>
          </w:tcPr>
          <w:p w:rsidR="000647C6" w:rsidRPr="006316DF" w:rsidRDefault="000647C6" w:rsidP="000647C6">
            <w:pPr>
              <w:pStyle w:val="Tabletext"/>
            </w:pPr>
            <w:r w:rsidRPr="006316DF">
              <w:t>Change in 6MWD</w:t>
            </w:r>
            <w:r>
              <w:t xml:space="preserve"> from baseline</w:t>
            </w:r>
          </w:p>
        </w:tc>
        <w:tc>
          <w:tcPr>
            <w:tcW w:w="1275" w:type="dxa"/>
          </w:tcPr>
          <w:p w:rsidR="000647C6" w:rsidRPr="006316DF" w:rsidRDefault="000647C6" w:rsidP="000647C6">
            <w:pPr>
              <w:pStyle w:val="Tabletext"/>
            </w:pPr>
            <w:r w:rsidRPr="006316DF">
              <w:t>N=</w:t>
            </w:r>
            <w:r>
              <w:t>726</w:t>
            </w:r>
          </w:p>
          <w:p w:rsidR="000647C6" w:rsidRPr="006316DF" w:rsidRDefault="000647C6" w:rsidP="000647C6">
            <w:pPr>
              <w:pStyle w:val="Tabletext"/>
            </w:pPr>
            <w:r w:rsidRPr="006316DF">
              <w:t>k=</w:t>
            </w:r>
            <w:r>
              <w:t>5</w:t>
            </w:r>
            <w:r w:rsidRPr="006316DF">
              <w:t xml:space="preserve"> RCT</w:t>
            </w:r>
            <w:r>
              <w:t>s</w:t>
            </w:r>
          </w:p>
        </w:tc>
        <w:tc>
          <w:tcPr>
            <w:tcW w:w="1701" w:type="dxa"/>
          </w:tcPr>
          <w:p w:rsidR="000647C6" w:rsidRPr="006316DF" w:rsidRDefault="000647C6" w:rsidP="000647C6">
            <w:pPr>
              <w:pStyle w:val="Tabletext"/>
            </w:pPr>
            <w:r>
              <w:t>Risk of bias: 0</w:t>
            </w:r>
          </w:p>
          <w:p w:rsidR="000647C6" w:rsidRPr="006316DF" w:rsidRDefault="000647C6" w:rsidP="000647C6">
            <w:pPr>
              <w:pStyle w:val="Tabletext"/>
            </w:pPr>
            <w:r w:rsidRPr="006316DF">
              <w:t>Inconsistency: 0</w:t>
            </w:r>
          </w:p>
          <w:p w:rsidR="000647C6" w:rsidRPr="006316DF" w:rsidRDefault="000647C6" w:rsidP="000647C6">
            <w:pPr>
              <w:pStyle w:val="Tabletext"/>
            </w:pPr>
            <w:r w:rsidRPr="006316DF">
              <w:t xml:space="preserve">Indirectness: </w:t>
            </w:r>
            <w:r w:rsidR="00F705F8">
              <w:t>−1</w:t>
            </w:r>
          </w:p>
          <w:p w:rsidR="000647C6" w:rsidRDefault="000647C6" w:rsidP="000647C6">
            <w:pPr>
              <w:pStyle w:val="Tabletext"/>
            </w:pPr>
            <w:r w:rsidRPr="006316DF">
              <w:t>Imprecision: 0</w:t>
            </w:r>
          </w:p>
          <w:p w:rsidR="000647C6" w:rsidRDefault="000647C6" w:rsidP="000647C6">
            <w:pPr>
              <w:pStyle w:val="Tabletext"/>
            </w:pPr>
            <w:r w:rsidRPr="006316DF">
              <w:t>Publication bias: 0</w:t>
            </w:r>
          </w:p>
          <w:p w:rsidR="000647C6" w:rsidRPr="006316DF" w:rsidRDefault="000647C6" w:rsidP="000647C6">
            <w:pPr>
              <w:pStyle w:val="Tabletext"/>
            </w:pPr>
            <w:r>
              <w:t>Association: 0</w:t>
            </w:r>
          </w:p>
        </w:tc>
        <w:tc>
          <w:tcPr>
            <w:tcW w:w="1413" w:type="dxa"/>
          </w:tcPr>
          <w:p w:rsidR="000647C6" w:rsidRPr="00686058" w:rsidRDefault="00FA2050" w:rsidP="007A3E34">
            <w:pPr>
              <w:pStyle w:val="Tabletext"/>
            </w:pPr>
            <w:r>
              <w:t>R</w:t>
            </w:r>
            <w:r w:rsidR="000647C6" w:rsidRPr="00686058">
              <w:t>ange 2.4 m less to 36.1 m further</w:t>
            </w:r>
          </w:p>
        </w:tc>
        <w:tc>
          <w:tcPr>
            <w:tcW w:w="2551" w:type="dxa"/>
          </w:tcPr>
          <w:p w:rsidR="000647C6" w:rsidRPr="00686058" w:rsidRDefault="006B2E03" w:rsidP="006B2E03">
            <w:pPr>
              <w:pStyle w:val="Tabletext"/>
            </w:pPr>
            <w:r>
              <w:t>In 4 out of 5 studies, p</w:t>
            </w:r>
            <w:r w:rsidR="000647C6" w:rsidRPr="00686058">
              <w:t>atients on combination th</w:t>
            </w:r>
            <w:r w:rsidR="000647C6">
              <w:t>e</w:t>
            </w:r>
            <w:r w:rsidR="000647C6" w:rsidRPr="00686058">
              <w:t>rapy ha</w:t>
            </w:r>
            <w:r w:rsidR="000647C6">
              <w:t>d</w:t>
            </w:r>
            <w:r w:rsidR="000647C6" w:rsidRPr="00686058">
              <w:t xml:space="preserve"> a larger </w:t>
            </w:r>
            <w:r w:rsidR="000647C6">
              <w:t xml:space="preserve">mean </w:t>
            </w:r>
            <w:r w:rsidR="000647C6" w:rsidRPr="00686058">
              <w:t>improvement in their 6MWD than those on monotherapy</w:t>
            </w:r>
            <w:r w:rsidR="005625F4">
              <w:t>,</w:t>
            </w:r>
            <w:r w:rsidR="00300A41">
              <w:t xml:space="preserve"> </w:t>
            </w:r>
            <w:r w:rsidR="00300A41" w:rsidRPr="00300A41">
              <w:t>and the difference was clinically important in 1 study</w:t>
            </w:r>
          </w:p>
        </w:tc>
        <w:tc>
          <w:tcPr>
            <w:tcW w:w="1134" w:type="dxa"/>
          </w:tcPr>
          <w:p w:rsidR="000647C6" w:rsidRPr="006316DF" w:rsidRDefault="00F705F8" w:rsidP="000647C6">
            <w:pPr>
              <w:pStyle w:val="Tabletext"/>
            </w:pPr>
            <w:r>
              <w:t>Moderate</w:t>
            </w:r>
          </w:p>
          <w:p w:rsidR="000647C6" w:rsidRPr="006316DF" w:rsidRDefault="000647C6" w:rsidP="000647C6">
            <w:pPr>
              <w:pStyle w:val="Tabletext"/>
              <w:rPr>
                <w:rFonts w:cs="Cambria Math"/>
                <w:bCs/>
              </w:rPr>
            </w:pPr>
            <w:r w:rsidRPr="006316DF">
              <w:rPr>
                <w:rFonts w:ascii="Cambria Math" w:hAnsi="Cambria Math" w:cs="Cambria Math"/>
                <w:bCs/>
                <w:color w:val="00B050"/>
              </w:rPr>
              <w:t>⨁⨁⨁</w:t>
            </w:r>
            <w:r w:rsidR="00F705F8" w:rsidRPr="006316DF">
              <w:rPr>
                <w:rFonts w:ascii="Cambria Math" w:hAnsi="Cambria Math" w:cs="Cambria Math"/>
                <w:color w:val="C00000"/>
              </w:rPr>
              <w:t>⨀</w:t>
            </w:r>
          </w:p>
          <w:p w:rsidR="000647C6" w:rsidRPr="006316DF" w:rsidRDefault="000647C6" w:rsidP="000647C6">
            <w:pPr>
              <w:pStyle w:val="Tabletext"/>
            </w:pPr>
            <w:r>
              <w:t>I</w:t>
            </w:r>
            <w:r w:rsidRPr="006316DF">
              <w:t>mportant</w:t>
            </w:r>
          </w:p>
        </w:tc>
      </w:tr>
      <w:tr w:rsidR="0075777C" w:rsidRPr="006316DF" w:rsidTr="00D14AB4">
        <w:tc>
          <w:tcPr>
            <w:tcW w:w="1560" w:type="dxa"/>
          </w:tcPr>
          <w:p w:rsidR="0075777C" w:rsidRPr="006316DF" w:rsidRDefault="0075777C" w:rsidP="000647C6">
            <w:pPr>
              <w:pStyle w:val="Tabletext"/>
            </w:pPr>
            <w:r w:rsidRPr="002D77B1">
              <w:t>Change in haemodynamic parameters from baseline</w:t>
            </w:r>
          </w:p>
        </w:tc>
        <w:tc>
          <w:tcPr>
            <w:tcW w:w="1275" w:type="dxa"/>
          </w:tcPr>
          <w:p w:rsidR="0075777C" w:rsidRPr="006316DF" w:rsidRDefault="0075777C" w:rsidP="000647C6">
            <w:pPr>
              <w:pStyle w:val="Tabletext"/>
            </w:pPr>
            <w:r>
              <w:t>N=124</w:t>
            </w:r>
          </w:p>
          <w:p w:rsidR="0075777C" w:rsidRPr="006316DF" w:rsidRDefault="0075777C" w:rsidP="000647C6">
            <w:pPr>
              <w:pStyle w:val="Tabletext"/>
            </w:pPr>
            <w:r w:rsidRPr="006316DF">
              <w:t>k=</w:t>
            </w:r>
            <w:r>
              <w:t>1</w:t>
            </w:r>
            <w:r w:rsidRPr="006316DF">
              <w:t xml:space="preserve"> RCT</w:t>
            </w:r>
          </w:p>
        </w:tc>
        <w:tc>
          <w:tcPr>
            <w:tcW w:w="1701" w:type="dxa"/>
          </w:tcPr>
          <w:p w:rsidR="0075777C" w:rsidRPr="006316DF" w:rsidRDefault="0075777C" w:rsidP="000647C6">
            <w:pPr>
              <w:pStyle w:val="Tabletext"/>
            </w:pPr>
            <w:r w:rsidRPr="006316DF">
              <w:t xml:space="preserve">Risk of bias: </w:t>
            </w:r>
            <w:r>
              <w:t>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 xml:space="preserve">Indirectness: </w:t>
            </w:r>
            <w:r w:rsidR="00F705F8">
              <w:t>−2</w:t>
            </w:r>
          </w:p>
          <w:p w:rsidR="0075777C" w:rsidRDefault="0075777C" w:rsidP="000647C6">
            <w:pPr>
              <w:pStyle w:val="Tabletext"/>
            </w:pPr>
            <w:r>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3" w:type="dxa"/>
          </w:tcPr>
          <w:p w:rsidR="0075777C" w:rsidRPr="00686058" w:rsidRDefault="0075777C" w:rsidP="000647C6">
            <w:pPr>
              <w:pStyle w:val="Tabletext"/>
            </w:pPr>
            <w:r w:rsidRPr="00686058">
              <w:t>PVR</w:t>
            </w:r>
            <w:r>
              <w:br/>
            </w:r>
            <w:r w:rsidRPr="00686058">
              <w:t>MD = 13.9% improvement</w:t>
            </w:r>
          </w:p>
          <w:p w:rsidR="0075777C" w:rsidRPr="002812F2" w:rsidRDefault="0075777C" w:rsidP="000647C6">
            <w:pPr>
              <w:pStyle w:val="Tabletext"/>
            </w:pPr>
            <w:r w:rsidRPr="00686058">
              <w:t>mPAP</w:t>
            </w:r>
            <w:r>
              <w:br/>
            </w:r>
            <w:r w:rsidRPr="00686058">
              <w:t>MD = 8.5% improvement</w:t>
            </w:r>
          </w:p>
        </w:tc>
        <w:tc>
          <w:tcPr>
            <w:tcW w:w="2551" w:type="dxa"/>
          </w:tcPr>
          <w:p w:rsidR="0075777C" w:rsidRPr="002812F2" w:rsidRDefault="0075777C" w:rsidP="000647C6">
            <w:pPr>
              <w:pStyle w:val="Tabletext"/>
            </w:pPr>
            <w:r>
              <w:t>P</w:t>
            </w:r>
            <w:r w:rsidRPr="00686058">
              <w:t>atients on combination therapy ha</w:t>
            </w:r>
            <w:r>
              <w:t>d</w:t>
            </w:r>
            <w:r w:rsidRPr="00686058">
              <w:t xml:space="preserve"> a larger </w:t>
            </w:r>
            <w:r>
              <w:t xml:space="preserve">mean </w:t>
            </w:r>
            <w:r w:rsidRPr="00686058">
              <w:t xml:space="preserve">improvement in their </w:t>
            </w:r>
            <w:r>
              <w:t>haemodynamic parameters</w:t>
            </w:r>
            <w:r w:rsidRPr="00686058">
              <w:t xml:space="preserve"> than those on monotherapy</w:t>
            </w:r>
          </w:p>
        </w:tc>
        <w:tc>
          <w:tcPr>
            <w:tcW w:w="1134" w:type="dxa"/>
          </w:tcPr>
          <w:p w:rsidR="0075777C" w:rsidRPr="006316DF" w:rsidRDefault="00F705F8" w:rsidP="000647C6">
            <w:pPr>
              <w:pStyle w:val="Tabletext"/>
            </w:pPr>
            <w:r>
              <w:t>Low</w:t>
            </w:r>
          </w:p>
          <w:p w:rsidR="0075777C" w:rsidRPr="006316DF" w:rsidRDefault="0075777C" w:rsidP="000647C6">
            <w:pPr>
              <w:pStyle w:val="Tabletext"/>
              <w:rPr>
                <w:rFonts w:cs="Cambria Math"/>
                <w:bCs/>
              </w:rPr>
            </w:pPr>
            <w:r w:rsidRPr="006316DF">
              <w:rPr>
                <w:rFonts w:ascii="Cambria Math" w:hAnsi="Cambria Math" w:cs="Cambria Math"/>
                <w:bCs/>
                <w:color w:val="00B050"/>
              </w:rPr>
              <w:t>⨁⨁</w:t>
            </w:r>
            <w:r w:rsidR="00F705F8" w:rsidRPr="006316DF">
              <w:rPr>
                <w:rFonts w:ascii="Cambria Math" w:hAnsi="Cambria Math" w:cs="Cambria Math"/>
                <w:color w:val="C00000"/>
              </w:rPr>
              <w:t>⨀⨀</w:t>
            </w:r>
          </w:p>
          <w:p w:rsidR="0075777C" w:rsidRPr="006316DF" w:rsidRDefault="0075777C" w:rsidP="000647C6">
            <w:pPr>
              <w:pStyle w:val="Tabletext"/>
            </w:pPr>
            <w:r>
              <w:t>Not i</w:t>
            </w:r>
            <w:r w:rsidRPr="006316DF">
              <w:t>mportant</w:t>
            </w:r>
          </w:p>
        </w:tc>
      </w:tr>
    </w:tbl>
    <w:p w:rsidR="0075777C" w:rsidRPr="006316DF" w:rsidRDefault="0075777C" w:rsidP="00D14AB4">
      <w:pPr>
        <w:pStyle w:val="Tablenote"/>
      </w:pPr>
      <w:r w:rsidRPr="006316DF">
        <w:rPr>
          <w:vertAlign w:val="superscript"/>
        </w:rPr>
        <w:t xml:space="preserve">a </w:t>
      </w:r>
      <w:r w:rsidRPr="006316DF">
        <w:t xml:space="preserve">GRADE Working Group grades of evidence </w:t>
      </w:r>
      <w:r w:rsidR="001D34EE" w:rsidRPr="001D34EE">
        <w:rPr>
          <w:noProof/>
          <w:vertAlign w:val="superscript"/>
        </w:rPr>
        <w:t>1</w:t>
      </w:r>
    </w:p>
    <w:p w:rsidR="0075777C" w:rsidRPr="006316DF" w:rsidRDefault="0075777C" w:rsidP="00D14AB4">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75777C" w:rsidRDefault="0075777C" w:rsidP="00D14AB4">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Moderate quality:</w:t>
      </w:r>
      <w:r w:rsidRPr="006316DF">
        <w:t xml:space="preserve"> We are moderately confident in the effect estimate: The true effect is likely to be close to the estimate of the effect, but there is a possibility that it is substantially different</w:t>
      </w:r>
    </w:p>
    <w:p w:rsidR="007C2D99" w:rsidRPr="006316DF" w:rsidRDefault="007C2D99" w:rsidP="007C2D99">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33164F" w:rsidRDefault="0075777C" w:rsidP="00D14AB4">
      <w:pPr>
        <w:pStyle w:val="Tablenote"/>
      </w:pPr>
      <w:r>
        <w:t xml:space="preserve">6MWD = 6-minute </w:t>
      </w:r>
      <w:r w:rsidR="0082368E">
        <w:t>walk distance</w:t>
      </w:r>
      <w:r>
        <w: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33164F" w:rsidRPr="00DC16A3">
        <w:t xml:space="preserve">; </w:t>
      </w:r>
      <w:r w:rsidR="0033164F">
        <w:t xml:space="preserve">k = number of studies; </w:t>
      </w:r>
      <w:r w:rsidR="00214AC1">
        <w:t>mPAP = mean pulmonary artery</w:t>
      </w:r>
      <w:r>
        <w:t xml:space="preserve"> pressure; </w:t>
      </w:r>
      <w:r w:rsidR="001F1FDD">
        <w:t xml:space="preserve">MD = mean difference; </w:t>
      </w:r>
      <w:r>
        <w:t xml:space="preserve">N = number of patients; </w:t>
      </w:r>
      <w:r w:rsidRPr="00C65B42">
        <w:t xml:space="preserve">PAH = pulmonary arterial hypertension; </w:t>
      </w:r>
      <w:r w:rsidRPr="009B5AB3">
        <w:t>PDE-5 = phosphodiesterase type-5</w:t>
      </w:r>
      <w:r>
        <w:t>;</w:t>
      </w:r>
      <w:r w:rsidRPr="009B5AB3">
        <w:t xml:space="preserve"> </w:t>
      </w:r>
      <w:r w:rsidRPr="009123E2">
        <w:t>PVR</w:t>
      </w:r>
      <w:r>
        <w:t xml:space="preserve"> = p</w:t>
      </w:r>
      <w:r w:rsidRPr="009123E2">
        <w:t xml:space="preserve">ulmonary </w:t>
      </w:r>
      <w:r>
        <w:t>v</w:t>
      </w:r>
      <w:r w:rsidRPr="009123E2">
        <w:t xml:space="preserve">ascular </w:t>
      </w:r>
      <w:r>
        <w:t>r</w:t>
      </w:r>
      <w:r w:rsidRPr="009123E2">
        <w:t>esistance</w:t>
      </w:r>
      <w:r>
        <w:t>; RCT = randomised controlled trial; RR = relative risk; WHO = World Health Organization</w:t>
      </w:r>
    </w:p>
    <w:p w:rsidR="0075777C" w:rsidRPr="006316DF" w:rsidRDefault="0075777C" w:rsidP="003F6AC4">
      <w:pPr>
        <w:spacing w:before="0" w:line="240" w:lineRule="auto"/>
      </w:pPr>
      <w:r w:rsidRPr="006316DF">
        <w:t xml:space="preserve">The </w:t>
      </w:r>
      <w:r w:rsidR="00300A41">
        <w:t>moderate</w:t>
      </w:r>
      <w:r w:rsidRPr="006316DF">
        <w:t xml:space="preserve"> quality (GRADE </w:t>
      </w:r>
      <w:r w:rsidRPr="00920393">
        <w:rPr>
          <w:rFonts w:ascii="Cambria Math" w:eastAsia="Times New Roman" w:hAnsi="Cambria Math" w:cs="Tahoma"/>
          <w:bCs/>
          <w:color w:val="00B050"/>
        </w:rPr>
        <w:t>⨁⨁⨁</w:t>
      </w:r>
      <w:r w:rsidR="00300A41" w:rsidRPr="008727D6">
        <w:rPr>
          <w:rFonts w:ascii="Cambria Math" w:eastAsia="Times New Roman" w:hAnsi="Cambria Math" w:cs="Cambria Math"/>
          <w:bCs/>
          <w:color w:val="C00000"/>
        </w:rPr>
        <w:t>⨀</w:t>
      </w:r>
      <w:r w:rsidRPr="008727D6">
        <w:t xml:space="preserve">) </w:t>
      </w:r>
      <w:r w:rsidRPr="006316DF">
        <w:t xml:space="preserve">evidence for the </w:t>
      </w:r>
      <w:r>
        <w:t>change in 6MWD</w:t>
      </w:r>
      <w:r w:rsidRPr="006316DF">
        <w:t xml:space="preserve"> </w:t>
      </w:r>
      <w:r>
        <w:t xml:space="preserve">reported for patients with WHO FC III/IV PAH is summarised </w:t>
      </w:r>
      <w:r w:rsidRPr="006316DF">
        <w:t>in</w:t>
      </w:r>
      <w:r w:rsidR="003F6AC4">
        <w:t xml:space="preserve"> Table 4.131</w:t>
      </w:r>
      <w:r w:rsidRPr="006316DF">
        <w:rPr>
          <w:rFonts w:eastAsia="Times New Roman" w:cs="Cambria Math"/>
          <w:bCs/>
        </w:rPr>
        <w:t xml:space="preserve">. </w:t>
      </w:r>
      <w:r>
        <w:t>The mean difference in 6MWD favoured combination therapy over monotherapy but the size of the difference was not clinically important</w:t>
      </w:r>
      <w:r w:rsidR="00300A41">
        <w:t xml:space="preserve"> in either study</w:t>
      </w:r>
      <w:r>
        <w:t>.</w:t>
      </w:r>
    </w:p>
    <w:p w:rsidR="0075777C" w:rsidRDefault="0075777C" w:rsidP="0075777C">
      <w:r w:rsidRPr="006316DF">
        <w:t xml:space="preserve">Thus, </w:t>
      </w:r>
      <w:r w:rsidRPr="000522D6">
        <w:t xml:space="preserve">there is </w:t>
      </w:r>
      <w:r w:rsidR="001E5DED">
        <w:t>limited</w:t>
      </w:r>
      <w:r w:rsidR="00D14AB4">
        <w:t xml:space="preserve"> </w:t>
      </w:r>
      <w:r w:rsidRPr="000522D6">
        <w:t xml:space="preserve">evidence </w:t>
      </w:r>
      <w:r w:rsidR="00D14AB4">
        <w:t>to determine</w:t>
      </w:r>
      <w:r w:rsidRPr="000522D6">
        <w:t xml:space="preserve"> whether </w:t>
      </w:r>
      <w:r w:rsidR="00D14AB4">
        <w:t xml:space="preserve">the </w:t>
      </w:r>
      <w:r w:rsidRPr="006316DF">
        <w:t xml:space="preserve">use of a </w:t>
      </w:r>
      <w:r w:rsidRPr="008A1083">
        <w:t>PDE-5 inhibitor in addition to an ERA</w:t>
      </w:r>
      <w:r w:rsidRPr="000522D6">
        <w:t xml:space="preserve">, relative to </w:t>
      </w:r>
      <w:r>
        <w:t>ERA</w:t>
      </w:r>
      <w:r w:rsidRPr="000522D6">
        <w:t xml:space="preserve"> monotherapy </w:t>
      </w:r>
      <w:r w:rsidRPr="006316DF">
        <w:t xml:space="preserve">to treat </w:t>
      </w:r>
      <w:r>
        <w:t xml:space="preserve">patients with </w:t>
      </w:r>
      <w:r w:rsidRPr="008C0DB6">
        <w:t xml:space="preserve">WHO FC III/IV PAH </w:t>
      </w:r>
      <w:r w:rsidRPr="006316DF">
        <w:t xml:space="preserve">is likely to be beneficial. </w:t>
      </w:r>
    </w:p>
    <w:p w:rsidR="003F6AC4" w:rsidRDefault="003F6AC4">
      <w:pPr>
        <w:spacing w:before="0" w:line="240" w:lineRule="auto"/>
        <w:rPr>
          <w:b/>
          <w:iCs/>
          <w:szCs w:val="18"/>
        </w:rPr>
      </w:pPr>
      <w:bookmarkStart w:id="365" w:name="_Ref505780215"/>
      <w:r>
        <w:br w:type="page"/>
      </w:r>
    </w:p>
    <w:p w:rsidR="0075777C" w:rsidRPr="006316DF" w:rsidRDefault="00272F8F" w:rsidP="00BC5A2B">
      <w:pPr>
        <w:pStyle w:val="Caption"/>
      </w:pPr>
      <w:bookmarkStart w:id="366" w:name="_Toc512855535"/>
      <w:r>
        <w:lastRenderedPageBreak/>
        <w:t>Table 4.</w:t>
      </w:r>
      <w:r w:rsidR="00AA722D">
        <w:rPr>
          <w:noProof/>
        </w:rPr>
        <w:t>131</w:t>
      </w:r>
      <w:bookmarkEnd w:id="365"/>
      <w:r w:rsidR="00D14AB4">
        <w:tab/>
      </w:r>
      <w:r w:rsidR="0075777C" w:rsidRPr="006316DF">
        <w:t xml:space="preserve">Balance of clinical benefits of </w:t>
      </w:r>
      <w:r w:rsidR="001B552D">
        <w:t xml:space="preserve">a </w:t>
      </w:r>
      <w:r w:rsidR="0075777C" w:rsidRPr="006C4A08">
        <w:t xml:space="preserve">PDE-5 inhibitor in addition to </w:t>
      </w:r>
      <w:r w:rsidR="001B552D">
        <w:t xml:space="preserve">an </w:t>
      </w:r>
      <w:r w:rsidR="0075777C" w:rsidRPr="006C4A08">
        <w:t xml:space="preserve">ERA, relative to ERA </w:t>
      </w:r>
      <w:r w:rsidR="0075777C">
        <w:t>monotherapy in patients</w:t>
      </w:r>
      <w:r w:rsidR="0075777C" w:rsidRPr="00B20802">
        <w:t xml:space="preserve"> with WHO FC III/IV PAH</w:t>
      </w:r>
      <w:bookmarkEnd w:id="366"/>
    </w:p>
    <w:tbl>
      <w:tblPr>
        <w:tblStyle w:val="TableGrid"/>
        <w:tblW w:w="9634" w:type="dxa"/>
        <w:tblLayout w:type="fixed"/>
        <w:tblLook w:val="04A0" w:firstRow="1" w:lastRow="0" w:firstColumn="1" w:lastColumn="0" w:noHBand="0" w:noVBand="1"/>
        <w:tblCaption w:val="Balance of clinical benefits of a PDE-5 inhibitor in addition to an ERA, relative to ERA monotherapy in patients with WHO FC III/IV PAH"/>
      </w:tblPr>
      <w:tblGrid>
        <w:gridCol w:w="1560"/>
        <w:gridCol w:w="1275"/>
        <w:gridCol w:w="1701"/>
        <w:gridCol w:w="1413"/>
        <w:gridCol w:w="2551"/>
        <w:gridCol w:w="1134"/>
      </w:tblGrid>
      <w:tr w:rsidR="0075777C" w:rsidRPr="000647C6" w:rsidTr="00D14AB4">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0647C6" w:rsidRDefault="0075777C" w:rsidP="000647C6">
            <w:pPr>
              <w:pStyle w:val="Tabletext"/>
              <w:rPr>
                <w:b/>
                <w:noProof/>
              </w:rPr>
            </w:pPr>
            <w:r w:rsidRPr="000647C6">
              <w:rPr>
                <w:b/>
                <w:noProof/>
              </w:rPr>
              <w:t xml:space="preserve">Outcomes </w:t>
            </w:r>
          </w:p>
        </w:tc>
        <w:tc>
          <w:tcPr>
            <w:tcW w:w="1275" w:type="dxa"/>
          </w:tcPr>
          <w:p w:rsidR="0075777C" w:rsidRPr="000647C6" w:rsidRDefault="0075777C" w:rsidP="000647C6">
            <w:pPr>
              <w:pStyle w:val="Tabletext"/>
              <w:rPr>
                <w:b/>
                <w:noProof/>
              </w:rPr>
            </w:pPr>
            <w:r w:rsidRPr="000647C6">
              <w:rPr>
                <w:b/>
                <w:noProof/>
              </w:rPr>
              <w:t>Participants (studies)</w:t>
            </w:r>
          </w:p>
        </w:tc>
        <w:tc>
          <w:tcPr>
            <w:tcW w:w="1701" w:type="dxa"/>
          </w:tcPr>
          <w:p w:rsidR="0075777C" w:rsidRPr="000647C6" w:rsidRDefault="0075777C" w:rsidP="000647C6">
            <w:pPr>
              <w:pStyle w:val="Tabletext"/>
              <w:rPr>
                <w:b/>
                <w:noProof/>
              </w:rPr>
            </w:pPr>
            <w:r w:rsidRPr="000647C6">
              <w:rPr>
                <w:b/>
                <w:noProof/>
              </w:rPr>
              <w:t>Quality of evidence</w:t>
            </w:r>
          </w:p>
        </w:tc>
        <w:tc>
          <w:tcPr>
            <w:tcW w:w="1413" w:type="dxa"/>
          </w:tcPr>
          <w:p w:rsidR="0075777C" w:rsidRPr="000647C6" w:rsidRDefault="0075777C" w:rsidP="000647C6">
            <w:pPr>
              <w:pStyle w:val="Tabletext"/>
              <w:rPr>
                <w:b/>
                <w:noProof/>
              </w:rPr>
            </w:pPr>
            <w:r w:rsidRPr="000647C6">
              <w:rPr>
                <w:b/>
                <w:noProof/>
              </w:rPr>
              <w:t>Results</w:t>
            </w:r>
          </w:p>
        </w:tc>
        <w:tc>
          <w:tcPr>
            <w:tcW w:w="2551" w:type="dxa"/>
          </w:tcPr>
          <w:p w:rsidR="0075777C" w:rsidRPr="000647C6" w:rsidRDefault="0075777C" w:rsidP="000647C6">
            <w:pPr>
              <w:pStyle w:val="Tabletext"/>
              <w:rPr>
                <w:b/>
                <w:noProof/>
              </w:rPr>
            </w:pPr>
            <w:r w:rsidRPr="000647C6">
              <w:rPr>
                <w:b/>
                <w:noProof/>
              </w:rPr>
              <w:t>Interpretation</w:t>
            </w:r>
          </w:p>
        </w:tc>
        <w:tc>
          <w:tcPr>
            <w:tcW w:w="1134" w:type="dxa"/>
          </w:tcPr>
          <w:p w:rsidR="0075777C" w:rsidRPr="000647C6" w:rsidRDefault="0075777C" w:rsidP="000647C6">
            <w:pPr>
              <w:pStyle w:val="Tabletext"/>
              <w:rPr>
                <w:b/>
                <w:noProof/>
              </w:rPr>
            </w:pPr>
            <w:r w:rsidRPr="000647C6">
              <w:rPr>
                <w:b/>
                <w:noProof/>
              </w:rPr>
              <w:t>GRADE</w:t>
            </w:r>
            <w:r w:rsidR="0033164F" w:rsidRPr="0033164F">
              <w:rPr>
                <w:b/>
                <w:noProof/>
                <w:vertAlign w:val="superscript"/>
              </w:rPr>
              <w:t>a</w:t>
            </w:r>
          </w:p>
          <w:p w:rsidR="0075777C" w:rsidRPr="000647C6" w:rsidRDefault="0075777C" w:rsidP="000647C6">
            <w:pPr>
              <w:pStyle w:val="Tabletext"/>
              <w:rPr>
                <w:b/>
                <w:noProof/>
              </w:rPr>
            </w:pPr>
            <w:r w:rsidRPr="000647C6">
              <w:rPr>
                <w:b/>
                <w:noProof/>
              </w:rPr>
              <w:t>Importance</w:t>
            </w:r>
          </w:p>
        </w:tc>
      </w:tr>
      <w:tr w:rsidR="0075777C" w:rsidRPr="006316DF" w:rsidTr="00D14AB4">
        <w:tc>
          <w:tcPr>
            <w:tcW w:w="1560" w:type="dxa"/>
          </w:tcPr>
          <w:p w:rsidR="0075777C" w:rsidRPr="006316DF" w:rsidRDefault="0075777C" w:rsidP="000647C6">
            <w:pPr>
              <w:pStyle w:val="Tabletext"/>
            </w:pPr>
            <w:r w:rsidRPr="006316DF">
              <w:t>Change in 6MWD</w:t>
            </w:r>
            <w:r>
              <w:t xml:space="preserve"> from baseline</w:t>
            </w:r>
          </w:p>
        </w:tc>
        <w:tc>
          <w:tcPr>
            <w:tcW w:w="1275" w:type="dxa"/>
          </w:tcPr>
          <w:p w:rsidR="0075777C" w:rsidRPr="006316DF" w:rsidRDefault="0075777C" w:rsidP="000647C6">
            <w:pPr>
              <w:pStyle w:val="Tabletext"/>
            </w:pPr>
            <w:r w:rsidRPr="006316DF">
              <w:t>N=1</w:t>
            </w:r>
            <w:r>
              <w:t>09</w:t>
            </w:r>
          </w:p>
          <w:p w:rsidR="0075777C" w:rsidRPr="006316DF" w:rsidRDefault="0075777C" w:rsidP="000647C6">
            <w:pPr>
              <w:pStyle w:val="Tabletext"/>
            </w:pPr>
            <w:r w:rsidRPr="006316DF">
              <w:t>k=</w:t>
            </w:r>
            <w:r>
              <w:t>2</w:t>
            </w:r>
            <w:r w:rsidRPr="006316DF">
              <w:t xml:space="preserve"> RCT</w:t>
            </w:r>
            <w:r>
              <w: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 xml:space="preserve">Indirectness: </w:t>
            </w:r>
            <w:r w:rsidR="00F705F8">
              <w:t>−1</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3" w:type="dxa"/>
          </w:tcPr>
          <w:p w:rsidR="0075777C" w:rsidRPr="00686058" w:rsidRDefault="00FA2050" w:rsidP="007A3E34">
            <w:pPr>
              <w:pStyle w:val="Tabletext"/>
            </w:pPr>
            <w:r>
              <w:t>R</w:t>
            </w:r>
            <w:r w:rsidR="0075777C" w:rsidRPr="00686058">
              <w:t>ange 13.5</w:t>
            </w:r>
            <w:r w:rsidR="007A3E34">
              <w:t>−</w:t>
            </w:r>
            <w:r w:rsidR="0075777C" w:rsidRPr="00686058">
              <w:t>20.1 m further</w:t>
            </w:r>
          </w:p>
        </w:tc>
        <w:tc>
          <w:tcPr>
            <w:tcW w:w="2551" w:type="dxa"/>
          </w:tcPr>
          <w:p w:rsidR="0075777C" w:rsidRPr="00686058" w:rsidRDefault="0075777C" w:rsidP="000647C6">
            <w:pPr>
              <w:pStyle w:val="Tabletext"/>
            </w:pPr>
            <w:r>
              <w:t>P</w:t>
            </w:r>
            <w:r w:rsidRPr="00686058">
              <w:t>atients with WHO FC III/IV PAH on combination th</w:t>
            </w:r>
            <w:r>
              <w:t>e</w:t>
            </w:r>
            <w:r w:rsidRPr="00686058">
              <w:t>rapy ha</w:t>
            </w:r>
            <w:r>
              <w:t>d</w:t>
            </w:r>
            <w:r w:rsidRPr="00686058">
              <w:t xml:space="preserve"> a larger </w:t>
            </w:r>
            <w:r>
              <w:t xml:space="preserve">mean </w:t>
            </w:r>
            <w:r w:rsidRPr="00686058">
              <w:t>improvement in their 6MWD than those on monotherapy</w:t>
            </w:r>
            <w:r w:rsidR="00196DB5">
              <w:t>, but the difference was not clinically important</w:t>
            </w:r>
          </w:p>
        </w:tc>
        <w:tc>
          <w:tcPr>
            <w:tcW w:w="1134" w:type="dxa"/>
          </w:tcPr>
          <w:p w:rsidR="0075777C" w:rsidRPr="006316DF" w:rsidRDefault="00F705F8" w:rsidP="000647C6">
            <w:pPr>
              <w:pStyle w:val="Tabletext"/>
            </w:pPr>
            <w:r>
              <w:t>Moderate</w:t>
            </w:r>
          </w:p>
          <w:p w:rsidR="0075777C" w:rsidRPr="006316DF" w:rsidRDefault="0075777C" w:rsidP="000647C6">
            <w:pPr>
              <w:pStyle w:val="Tabletext"/>
              <w:rPr>
                <w:rFonts w:cs="Cambria Math"/>
                <w:bCs/>
              </w:rPr>
            </w:pPr>
            <w:r w:rsidRPr="006316DF">
              <w:rPr>
                <w:rFonts w:ascii="Cambria Math" w:hAnsi="Cambria Math" w:cs="Cambria Math"/>
                <w:bCs/>
                <w:color w:val="00B050"/>
              </w:rPr>
              <w:t>⨁⨁⨁</w:t>
            </w:r>
            <w:r w:rsidR="00F705F8" w:rsidRPr="006316DF">
              <w:rPr>
                <w:rFonts w:ascii="Cambria Math" w:hAnsi="Cambria Math" w:cs="Cambria Math"/>
                <w:color w:val="C00000"/>
              </w:rPr>
              <w:t>⨀</w:t>
            </w:r>
          </w:p>
          <w:p w:rsidR="0075777C" w:rsidRPr="006316DF" w:rsidRDefault="000647C6" w:rsidP="000647C6">
            <w:pPr>
              <w:pStyle w:val="Tabletext"/>
            </w:pPr>
            <w:r>
              <w:t>I</w:t>
            </w:r>
            <w:r w:rsidR="0075777C" w:rsidRPr="006316DF">
              <w:t>mportant</w:t>
            </w:r>
          </w:p>
        </w:tc>
      </w:tr>
    </w:tbl>
    <w:p w:rsidR="0075777C" w:rsidRPr="006316DF" w:rsidRDefault="0075777C" w:rsidP="00D14AB4">
      <w:pPr>
        <w:pStyle w:val="Tablenote"/>
      </w:pPr>
      <w:r w:rsidRPr="006316DF">
        <w:rPr>
          <w:vertAlign w:val="superscript"/>
        </w:rPr>
        <w:t xml:space="preserve">a </w:t>
      </w:r>
      <w:r w:rsidRPr="006316DF">
        <w:t xml:space="preserve">GRADE Working Group grades of evidence </w:t>
      </w:r>
      <w:r w:rsidR="001D34EE" w:rsidRPr="001D34EE">
        <w:rPr>
          <w:noProof/>
          <w:vertAlign w:val="superscript"/>
        </w:rPr>
        <w:t>1</w:t>
      </w:r>
    </w:p>
    <w:p w:rsidR="007C2D99" w:rsidRPr="006316DF" w:rsidRDefault="007C2D99" w:rsidP="007C2D99">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Moderate quality:</w:t>
      </w:r>
      <w:r w:rsidRPr="006316DF">
        <w:t xml:space="preserve"> We are moderately confident in the effect estimate: The true effect is likely to be close to the estimate of the effect, but there is a possibility that it is substantially different</w:t>
      </w:r>
    </w:p>
    <w:p w:rsidR="0033164F" w:rsidRDefault="0075777C" w:rsidP="00D14AB4">
      <w:pPr>
        <w:pStyle w:val="Tablenote"/>
      </w:pPr>
      <w:r>
        <w:t xml:space="preserve">6MWD = 6-minute </w:t>
      </w:r>
      <w:r w:rsidR="0082368E">
        <w:t>walk distance</w:t>
      </w:r>
      <w:r>
        <w:t>;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33164F" w:rsidRPr="00DC16A3">
        <w:t xml:space="preserve">; </w:t>
      </w:r>
      <w:r w:rsidR="0033164F">
        <w:t xml:space="preserve">k = number of studies; </w:t>
      </w:r>
      <w:r>
        <w:t xml:space="preserve">N = number of patients; </w:t>
      </w:r>
      <w:r w:rsidRPr="00C65B42">
        <w:t xml:space="preserve">PAH = pulmonary arterial hypertension; </w:t>
      </w:r>
      <w:r w:rsidRPr="009B5AB3">
        <w:t>PDE-5 = phosphodiesterase type-5</w:t>
      </w:r>
      <w:r>
        <w:t>;</w:t>
      </w:r>
      <w:r w:rsidRPr="009B5AB3">
        <w:t xml:space="preserve"> </w:t>
      </w:r>
      <w:r>
        <w:t>RCT = randomised controlled trial; WHO = World Health Organization</w:t>
      </w:r>
    </w:p>
    <w:p w:rsidR="0075777C" w:rsidRPr="006316DF" w:rsidRDefault="0075777C" w:rsidP="003F6AC4">
      <w:pPr>
        <w:spacing w:before="0" w:line="240" w:lineRule="auto"/>
      </w:pPr>
      <w:r w:rsidRPr="006316DF">
        <w:t xml:space="preserve">The evidence for </w:t>
      </w:r>
      <w:r>
        <w:t xml:space="preserve">effectiveness </w:t>
      </w:r>
      <w:r w:rsidRPr="006316DF">
        <w:t>outcome</w:t>
      </w:r>
      <w:r>
        <w:t xml:space="preserve">s for patients </w:t>
      </w:r>
      <w:r w:rsidRPr="002D417A">
        <w:t xml:space="preserve">with different PAH aetiologies </w:t>
      </w:r>
      <w:r>
        <w:t xml:space="preserve">is summarised </w:t>
      </w:r>
      <w:r w:rsidRPr="006316DF">
        <w:t>in</w:t>
      </w:r>
      <w:r>
        <w:t xml:space="preserve"> </w:t>
      </w:r>
      <w:r w:rsidR="003F6AC4">
        <w:t>Table 4.132</w:t>
      </w:r>
      <w:r>
        <w:t xml:space="preserve">. The evidence provided for clinical worsening in patients with </w:t>
      </w:r>
      <w:r w:rsidR="00361A31" w:rsidRPr="008727D6">
        <w:t xml:space="preserve">PAH-CTD </w:t>
      </w:r>
      <w:r>
        <w:t xml:space="preserve">was </w:t>
      </w:r>
      <w:r w:rsidRPr="006316DF">
        <w:t xml:space="preserve">considered to be of </w:t>
      </w:r>
      <w:r>
        <w:t>high</w:t>
      </w:r>
      <w:r w:rsidRPr="006316DF">
        <w:t xml:space="preserve"> quality (GRADE </w:t>
      </w:r>
      <w:r w:rsidRPr="00920393">
        <w:rPr>
          <w:rFonts w:ascii="Cambria Math" w:eastAsia="Times New Roman" w:hAnsi="Cambria Math" w:cs="Tahoma"/>
          <w:bCs/>
          <w:color w:val="00B050"/>
        </w:rPr>
        <w:t>⨁⨁⨁⨁</w:t>
      </w:r>
      <w:r w:rsidRPr="008727D6">
        <w:t xml:space="preserve">), and for </w:t>
      </w:r>
      <w:r w:rsidR="00361A31">
        <w:t xml:space="preserve">change in </w:t>
      </w:r>
      <w:r w:rsidRPr="008727D6">
        <w:t>6MWD it w</w:t>
      </w:r>
      <w:r>
        <w:t xml:space="preserve">as of </w:t>
      </w:r>
      <w:r w:rsidRPr="0068036B">
        <w:t>moderate</w:t>
      </w:r>
      <w:r w:rsidRPr="006316DF">
        <w:t xml:space="preserve"> quality (GRADE </w:t>
      </w:r>
      <w:r w:rsidRPr="00920393">
        <w:rPr>
          <w:rFonts w:ascii="Cambria Math" w:eastAsia="Times New Roman" w:hAnsi="Cambria Math" w:cs="Tahoma"/>
          <w:bCs/>
          <w:color w:val="00B050"/>
        </w:rPr>
        <w:t>⨁⨁⨁</w:t>
      </w:r>
      <w:r w:rsidRPr="00920393">
        <w:rPr>
          <w:rFonts w:ascii="Cambria Math" w:eastAsia="Times New Roman" w:hAnsi="Cambria Math" w:cs="Cambria Math"/>
          <w:bCs/>
          <w:color w:val="C00000"/>
        </w:rPr>
        <w:t>⨀</w:t>
      </w:r>
      <w:r w:rsidRPr="008727D6">
        <w:t xml:space="preserve">) </w:t>
      </w:r>
      <w:r w:rsidR="00361A31" w:rsidRPr="008727D6">
        <w:t xml:space="preserve">in patients with </w:t>
      </w:r>
      <w:r w:rsidR="00361A31">
        <w:t xml:space="preserve">IPAH/HPAH and very low </w:t>
      </w:r>
      <w:r w:rsidR="00361A31" w:rsidRPr="00361A31">
        <w:t xml:space="preserve">quality (GRADE </w:t>
      </w:r>
      <w:r w:rsidR="00361A31" w:rsidRPr="00920393">
        <w:rPr>
          <w:rFonts w:ascii="Cambria Math" w:eastAsia="Times New Roman" w:hAnsi="Cambria Math" w:cs="Tahoma"/>
          <w:bCs/>
          <w:color w:val="00B050"/>
        </w:rPr>
        <w:t>⨁</w:t>
      </w:r>
      <w:r w:rsidR="00361A31" w:rsidRPr="00920393">
        <w:rPr>
          <w:rFonts w:ascii="Cambria Math" w:eastAsia="Times New Roman" w:hAnsi="Cambria Math" w:cs="Cambria Math"/>
          <w:bCs/>
          <w:color w:val="C00000"/>
        </w:rPr>
        <w:t>⨀⨀⨀</w:t>
      </w:r>
      <w:r w:rsidR="00361A31" w:rsidRPr="00361A31">
        <w:t>) in patients with PAH-CTD</w:t>
      </w:r>
      <w:r w:rsidR="00361A31">
        <w:t>.</w:t>
      </w:r>
    </w:p>
    <w:p w:rsidR="0075777C" w:rsidRDefault="0075777C" w:rsidP="0075777C">
      <w:r>
        <w:t>Clinical worsening in patients with PAH-CTD favoured combination therapy, and just failed to reach statistical significance (upper 95% CI = 1.01). There was an improvement of 6MWD in patients with IPAH/HPAH and in those with PAH-CTD receiving combination therapy compared with monotherapy, but the distance was not clinically importance.</w:t>
      </w:r>
    </w:p>
    <w:p w:rsidR="0075777C" w:rsidRDefault="0075777C" w:rsidP="0075777C">
      <w:r w:rsidRPr="006316DF">
        <w:t xml:space="preserve">Thus, </w:t>
      </w:r>
      <w:r w:rsidRPr="000522D6">
        <w:t xml:space="preserve">there is </w:t>
      </w:r>
      <w:r w:rsidR="00981BDF">
        <w:t>limited</w:t>
      </w:r>
      <w:r w:rsidRPr="000522D6">
        <w:t xml:space="preserve"> evidence </w:t>
      </w:r>
      <w:r w:rsidR="00981BDF">
        <w:t>as to</w:t>
      </w:r>
      <w:r w:rsidRPr="000522D6">
        <w:t xml:space="preserve"> whether </w:t>
      </w:r>
      <w:r>
        <w:t>there is differential effect</w:t>
      </w:r>
      <w:r w:rsidR="00981BDF">
        <w:t>iveness</w:t>
      </w:r>
      <w:r>
        <w:t xml:space="preserve"> in patients with different</w:t>
      </w:r>
      <w:r w:rsidRPr="008C0DB6">
        <w:t xml:space="preserve"> PAH</w:t>
      </w:r>
      <w:r>
        <w:t xml:space="preserve"> aetiologies</w:t>
      </w:r>
      <w:r w:rsidRPr="006316DF">
        <w:t xml:space="preserve"> </w:t>
      </w:r>
      <w:r>
        <w:t>treated with</w:t>
      </w:r>
      <w:r w:rsidRPr="006316DF">
        <w:t xml:space="preserve"> a </w:t>
      </w:r>
      <w:r w:rsidRPr="008A1083">
        <w:t>PDE-5 inhibitor in addition to an ERA</w:t>
      </w:r>
      <w:r w:rsidRPr="000522D6">
        <w:t xml:space="preserve">, relative to </w:t>
      </w:r>
      <w:r>
        <w:t>ERA</w:t>
      </w:r>
      <w:r w:rsidRPr="000522D6">
        <w:t xml:space="preserve"> monotherapy</w:t>
      </w:r>
      <w:r w:rsidR="006A32C5">
        <w:t>.</w:t>
      </w:r>
    </w:p>
    <w:p w:rsidR="006A32C5" w:rsidRDefault="006A32C5">
      <w:pPr>
        <w:spacing w:before="0" w:line="240" w:lineRule="auto"/>
        <w:rPr>
          <w:b/>
          <w:iCs/>
          <w:szCs w:val="18"/>
        </w:rPr>
      </w:pPr>
      <w:bookmarkStart w:id="367" w:name="_Ref505780684"/>
      <w:r>
        <w:br w:type="page"/>
      </w:r>
    </w:p>
    <w:p w:rsidR="0075777C" w:rsidRPr="006316DF" w:rsidRDefault="00272F8F" w:rsidP="00BC5A2B">
      <w:pPr>
        <w:pStyle w:val="Caption"/>
      </w:pPr>
      <w:bookmarkStart w:id="368" w:name="_Toc512855536"/>
      <w:r>
        <w:lastRenderedPageBreak/>
        <w:t>Table 4.</w:t>
      </w:r>
      <w:r w:rsidR="00AA722D">
        <w:rPr>
          <w:noProof/>
        </w:rPr>
        <w:t>132</w:t>
      </w:r>
      <w:bookmarkEnd w:id="367"/>
      <w:r w:rsidR="000647C6">
        <w:tab/>
      </w:r>
      <w:r w:rsidR="0075777C" w:rsidRPr="006316DF">
        <w:t xml:space="preserve">Balance of clinical benefits of </w:t>
      </w:r>
      <w:r w:rsidR="001B552D">
        <w:t xml:space="preserve">a </w:t>
      </w:r>
      <w:r w:rsidR="0075777C" w:rsidRPr="006C4A08">
        <w:t xml:space="preserve">PDE-5 inhibitor in addition to </w:t>
      </w:r>
      <w:r w:rsidR="001B552D">
        <w:t xml:space="preserve">an </w:t>
      </w:r>
      <w:r w:rsidR="0075777C" w:rsidRPr="006C4A08">
        <w:t>ERA, relative to ERA monotherapy</w:t>
      </w:r>
      <w:r w:rsidR="0075777C">
        <w:t xml:space="preserve"> in patients</w:t>
      </w:r>
      <w:r w:rsidR="0075777C" w:rsidRPr="00B20802">
        <w:t xml:space="preserve"> with </w:t>
      </w:r>
      <w:r w:rsidR="0075777C" w:rsidRPr="00FE5B04">
        <w:t>different PAH aetiologies</w:t>
      </w:r>
      <w:bookmarkEnd w:id="368"/>
    </w:p>
    <w:tbl>
      <w:tblPr>
        <w:tblStyle w:val="TableGrid"/>
        <w:tblW w:w="9634" w:type="dxa"/>
        <w:tblLayout w:type="fixed"/>
        <w:tblLook w:val="04A0" w:firstRow="1" w:lastRow="0" w:firstColumn="1" w:lastColumn="0" w:noHBand="0" w:noVBand="1"/>
        <w:tblCaption w:val="Balance of clinical benefits of a PDE-5 inhibitor in addition to an ERA, relative to ERA monotherapy in patients with different PAH aetiologies"/>
      </w:tblPr>
      <w:tblGrid>
        <w:gridCol w:w="1560"/>
        <w:gridCol w:w="1275"/>
        <w:gridCol w:w="1701"/>
        <w:gridCol w:w="1413"/>
        <w:gridCol w:w="2551"/>
        <w:gridCol w:w="1134"/>
      </w:tblGrid>
      <w:tr w:rsidR="0075777C" w:rsidRPr="000647C6" w:rsidTr="000647C6">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0647C6" w:rsidRDefault="0075777C" w:rsidP="000647C6">
            <w:pPr>
              <w:pStyle w:val="Tabletext"/>
              <w:rPr>
                <w:b/>
                <w:noProof/>
              </w:rPr>
            </w:pPr>
            <w:r w:rsidRPr="000647C6">
              <w:rPr>
                <w:b/>
                <w:noProof/>
              </w:rPr>
              <w:t xml:space="preserve">Outcomes </w:t>
            </w:r>
          </w:p>
        </w:tc>
        <w:tc>
          <w:tcPr>
            <w:tcW w:w="1275" w:type="dxa"/>
          </w:tcPr>
          <w:p w:rsidR="0075777C" w:rsidRPr="000647C6" w:rsidRDefault="0075777C" w:rsidP="000647C6">
            <w:pPr>
              <w:pStyle w:val="Tabletext"/>
              <w:rPr>
                <w:b/>
                <w:noProof/>
              </w:rPr>
            </w:pPr>
            <w:r w:rsidRPr="000647C6">
              <w:rPr>
                <w:b/>
                <w:noProof/>
              </w:rPr>
              <w:t>Participants (studies)</w:t>
            </w:r>
          </w:p>
        </w:tc>
        <w:tc>
          <w:tcPr>
            <w:tcW w:w="1701" w:type="dxa"/>
          </w:tcPr>
          <w:p w:rsidR="0075777C" w:rsidRPr="000647C6" w:rsidRDefault="0075777C" w:rsidP="000647C6">
            <w:pPr>
              <w:pStyle w:val="Tabletext"/>
              <w:rPr>
                <w:b/>
                <w:noProof/>
              </w:rPr>
            </w:pPr>
            <w:r w:rsidRPr="000647C6">
              <w:rPr>
                <w:b/>
                <w:noProof/>
              </w:rPr>
              <w:t>Quality of evidence</w:t>
            </w:r>
          </w:p>
        </w:tc>
        <w:tc>
          <w:tcPr>
            <w:tcW w:w="1413" w:type="dxa"/>
          </w:tcPr>
          <w:p w:rsidR="0075777C" w:rsidRPr="000647C6" w:rsidRDefault="0075777C" w:rsidP="000647C6">
            <w:pPr>
              <w:pStyle w:val="Tabletext"/>
              <w:rPr>
                <w:b/>
                <w:noProof/>
              </w:rPr>
            </w:pPr>
            <w:r w:rsidRPr="000647C6">
              <w:rPr>
                <w:b/>
                <w:noProof/>
              </w:rPr>
              <w:t>Results</w:t>
            </w:r>
          </w:p>
        </w:tc>
        <w:tc>
          <w:tcPr>
            <w:tcW w:w="2551" w:type="dxa"/>
          </w:tcPr>
          <w:p w:rsidR="0075777C" w:rsidRPr="000647C6" w:rsidRDefault="0075777C" w:rsidP="000647C6">
            <w:pPr>
              <w:pStyle w:val="Tabletext"/>
              <w:rPr>
                <w:b/>
                <w:noProof/>
              </w:rPr>
            </w:pPr>
            <w:r w:rsidRPr="000647C6">
              <w:rPr>
                <w:b/>
                <w:noProof/>
              </w:rPr>
              <w:t>Interpretation</w:t>
            </w:r>
          </w:p>
        </w:tc>
        <w:tc>
          <w:tcPr>
            <w:tcW w:w="1134" w:type="dxa"/>
          </w:tcPr>
          <w:p w:rsidR="0075777C" w:rsidRPr="000647C6" w:rsidRDefault="0075777C" w:rsidP="000647C6">
            <w:pPr>
              <w:pStyle w:val="Tabletext"/>
              <w:rPr>
                <w:b/>
                <w:noProof/>
              </w:rPr>
            </w:pPr>
            <w:r w:rsidRPr="000647C6">
              <w:rPr>
                <w:b/>
                <w:noProof/>
              </w:rPr>
              <w:t>GRADE</w:t>
            </w:r>
            <w:r w:rsidR="0033164F" w:rsidRPr="0033164F">
              <w:rPr>
                <w:b/>
                <w:noProof/>
                <w:vertAlign w:val="superscript"/>
              </w:rPr>
              <w:t>a</w:t>
            </w:r>
          </w:p>
          <w:p w:rsidR="0075777C" w:rsidRPr="000647C6" w:rsidRDefault="0075777C" w:rsidP="000647C6">
            <w:pPr>
              <w:pStyle w:val="Tabletext"/>
              <w:rPr>
                <w:b/>
                <w:noProof/>
              </w:rPr>
            </w:pPr>
            <w:r w:rsidRPr="000647C6">
              <w:rPr>
                <w:b/>
                <w:noProof/>
              </w:rPr>
              <w:t>Importance</w:t>
            </w:r>
          </w:p>
        </w:tc>
      </w:tr>
      <w:tr w:rsidR="00981BDF" w:rsidRPr="006316DF" w:rsidTr="00981BDF">
        <w:tc>
          <w:tcPr>
            <w:tcW w:w="1560" w:type="dxa"/>
            <w:shd w:val="clear" w:color="auto" w:fill="000000" w:themeFill="text1"/>
          </w:tcPr>
          <w:p w:rsidR="00981BDF" w:rsidRPr="00D36FBC" w:rsidRDefault="00981BDF" w:rsidP="00C95108">
            <w:pPr>
              <w:pStyle w:val="Tabletext"/>
              <w:keepNext/>
            </w:pPr>
            <w:r>
              <w:t>IPAH/HAPH</w:t>
            </w:r>
          </w:p>
        </w:tc>
        <w:tc>
          <w:tcPr>
            <w:tcW w:w="1275" w:type="dxa"/>
            <w:shd w:val="clear" w:color="auto" w:fill="000000" w:themeFill="text1"/>
          </w:tcPr>
          <w:p w:rsidR="00981BDF" w:rsidRPr="006316DF" w:rsidRDefault="00981BDF" w:rsidP="00C95108">
            <w:pPr>
              <w:pStyle w:val="Tabletext"/>
              <w:keepNext/>
              <w:rPr>
                <w:rFonts w:cs="Arial"/>
              </w:rPr>
            </w:pPr>
          </w:p>
        </w:tc>
        <w:tc>
          <w:tcPr>
            <w:tcW w:w="1701" w:type="dxa"/>
            <w:shd w:val="clear" w:color="auto" w:fill="000000" w:themeFill="text1"/>
          </w:tcPr>
          <w:p w:rsidR="00981BDF" w:rsidRDefault="00981BDF" w:rsidP="00C95108">
            <w:pPr>
              <w:pStyle w:val="Tabletext"/>
              <w:keepNext/>
              <w:rPr>
                <w:rFonts w:cs="Arial"/>
              </w:rPr>
            </w:pPr>
          </w:p>
        </w:tc>
        <w:tc>
          <w:tcPr>
            <w:tcW w:w="1413" w:type="dxa"/>
            <w:shd w:val="clear" w:color="auto" w:fill="000000" w:themeFill="text1"/>
          </w:tcPr>
          <w:p w:rsidR="00981BDF" w:rsidRPr="00C622C2" w:rsidRDefault="00981BDF" w:rsidP="00C95108">
            <w:pPr>
              <w:pStyle w:val="Tabletext"/>
              <w:keepNext/>
              <w:rPr>
                <w:rFonts w:cs="Arial"/>
              </w:rPr>
            </w:pPr>
          </w:p>
        </w:tc>
        <w:tc>
          <w:tcPr>
            <w:tcW w:w="2551" w:type="dxa"/>
            <w:shd w:val="clear" w:color="auto" w:fill="000000" w:themeFill="text1"/>
          </w:tcPr>
          <w:p w:rsidR="00981BDF" w:rsidRDefault="00981BDF" w:rsidP="00C95108">
            <w:pPr>
              <w:pStyle w:val="Tabletext"/>
              <w:keepNext/>
              <w:rPr>
                <w:rFonts w:cs="Arial"/>
              </w:rPr>
            </w:pPr>
          </w:p>
        </w:tc>
        <w:tc>
          <w:tcPr>
            <w:tcW w:w="1134" w:type="dxa"/>
            <w:shd w:val="clear" w:color="auto" w:fill="000000" w:themeFill="text1"/>
          </w:tcPr>
          <w:p w:rsidR="00981BDF" w:rsidRDefault="00981BDF" w:rsidP="00C95108">
            <w:pPr>
              <w:pStyle w:val="Tabletext"/>
              <w:keepNext/>
              <w:rPr>
                <w:rFonts w:cs="Arial"/>
              </w:rPr>
            </w:pPr>
          </w:p>
        </w:tc>
      </w:tr>
      <w:tr w:rsidR="0075777C" w:rsidRPr="006316DF" w:rsidTr="000647C6">
        <w:tc>
          <w:tcPr>
            <w:tcW w:w="1560" w:type="dxa"/>
          </w:tcPr>
          <w:p w:rsidR="0075777C" w:rsidRPr="006316DF" w:rsidRDefault="0075777C" w:rsidP="000647C6">
            <w:pPr>
              <w:pStyle w:val="Tabletext"/>
              <w:rPr>
                <w:rFonts w:cs="Arial"/>
              </w:rPr>
            </w:pPr>
            <w:r w:rsidRPr="006C4A08">
              <w:t>Change in 6MWD from baseline in IPAH/HPAH</w:t>
            </w:r>
          </w:p>
        </w:tc>
        <w:tc>
          <w:tcPr>
            <w:tcW w:w="1275" w:type="dxa"/>
          </w:tcPr>
          <w:p w:rsidR="0075777C" w:rsidRPr="006316DF" w:rsidRDefault="0075777C" w:rsidP="000647C6">
            <w:pPr>
              <w:pStyle w:val="Tabletext"/>
              <w:rPr>
                <w:rFonts w:cs="Arial"/>
              </w:rPr>
            </w:pPr>
            <w:r w:rsidRPr="006316DF">
              <w:rPr>
                <w:rFonts w:cs="Arial"/>
              </w:rPr>
              <w:t>N=</w:t>
            </w:r>
            <w:r>
              <w:rPr>
                <w:rFonts w:cs="Arial"/>
              </w:rPr>
              <w:t>120</w:t>
            </w:r>
          </w:p>
          <w:p w:rsidR="0075777C" w:rsidRPr="006316DF" w:rsidRDefault="0075777C" w:rsidP="000647C6">
            <w:pPr>
              <w:pStyle w:val="Tabletext"/>
              <w:rPr>
                <w:rFonts w:cs="Arial"/>
              </w:rPr>
            </w:pPr>
            <w:r w:rsidRPr="006316DF">
              <w:rPr>
                <w:rFonts w:cs="Arial"/>
              </w:rPr>
              <w:t>k=</w:t>
            </w:r>
            <w:r>
              <w:rPr>
                <w:rFonts w:cs="Arial"/>
              </w:rPr>
              <w:t>2</w:t>
            </w:r>
            <w:r w:rsidRPr="006316DF">
              <w:rPr>
                <w:rFonts w:cs="Arial"/>
              </w:rPr>
              <w:t xml:space="preserve"> RCT</w:t>
            </w:r>
            <w:r>
              <w:rPr>
                <w:rFonts w:cs="Arial"/>
              </w:rPr>
              <w:t>s</w:t>
            </w:r>
          </w:p>
        </w:tc>
        <w:tc>
          <w:tcPr>
            <w:tcW w:w="1701" w:type="dxa"/>
          </w:tcPr>
          <w:p w:rsidR="0075777C" w:rsidRPr="006316DF" w:rsidRDefault="0075777C" w:rsidP="000647C6">
            <w:pPr>
              <w:pStyle w:val="Tabletext"/>
              <w:rPr>
                <w:rFonts w:cs="Arial"/>
              </w:rPr>
            </w:pPr>
            <w:r>
              <w:rPr>
                <w:rFonts w:cs="Arial"/>
              </w:rPr>
              <w:t>Risk of bias: 0</w:t>
            </w:r>
          </w:p>
          <w:p w:rsidR="0075777C" w:rsidRPr="006316DF" w:rsidRDefault="0075777C" w:rsidP="000647C6">
            <w:pPr>
              <w:pStyle w:val="Tabletext"/>
              <w:rPr>
                <w:rFonts w:cs="Arial"/>
              </w:rPr>
            </w:pPr>
            <w:r w:rsidRPr="006316DF">
              <w:rPr>
                <w:rFonts w:cs="Arial"/>
              </w:rPr>
              <w:t>Inconsistency: 0</w:t>
            </w:r>
          </w:p>
          <w:p w:rsidR="0075777C" w:rsidRPr="006316DF" w:rsidRDefault="0075777C" w:rsidP="000647C6">
            <w:pPr>
              <w:pStyle w:val="Tabletext"/>
              <w:rPr>
                <w:rFonts w:cs="Arial"/>
              </w:rPr>
            </w:pPr>
            <w:r w:rsidRPr="006316DF">
              <w:rPr>
                <w:rFonts w:cs="Arial"/>
              </w:rPr>
              <w:t xml:space="preserve">Indirectness: </w:t>
            </w:r>
            <w:r w:rsidR="00B47224">
              <w:rPr>
                <w:rFonts w:cs="Arial"/>
              </w:rPr>
              <w:t>−1</w:t>
            </w:r>
          </w:p>
          <w:p w:rsidR="0075777C" w:rsidRDefault="0075777C" w:rsidP="000647C6">
            <w:pPr>
              <w:pStyle w:val="Tabletext"/>
              <w:rPr>
                <w:rFonts w:cs="Arial"/>
              </w:rPr>
            </w:pPr>
            <w:r>
              <w:rPr>
                <w:rFonts w:cs="Arial"/>
              </w:rPr>
              <w:t>Imprecision: 0</w:t>
            </w:r>
          </w:p>
          <w:p w:rsidR="0075777C" w:rsidRDefault="0075777C" w:rsidP="000647C6">
            <w:pPr>
              <w:pStyle w:val="Tabletext"/>
              <w:rPr>
                <w:rFonts w:cs="Arial"/>
              </w:rPr>
            </w:pPr>
            <w:r w:rsidRPr="006316DF">
              <w:rPr>
                <w:rFonts w:cs="Arial"/>
              </w:rPr>
              <w:t>Publication bias: 0</w:t>
            </w:r>
          </w:p>
          <w:p w:rsidR="0075777C" w:rsidRDefault="0075777C" w:rsidP="000647C6">
            <w:pPr>
              <w:pStyle w:val="Tabletext"/>
              <w:rPr>
                <w:rFonts w:cs="Arial"/>
              </w:rPr>
            </w:pPr>
            <w:r>
              <w:rPr>
                <w:rFonts w:cs="Arial"/>
              </w:rPr>
              <w:t>Association: 0</w:t>
            </w:r>
          </w:p>
        </w:tc>
        <w:tc>
          <w:tcPr>
            <w:tcW w:w="1413" w:type="dxa"/>
          </w:tcPr>
          <w:p w:rsidR="0075777C" w:rsidRPr="00C622C2" w:rsidRDefault="00FA2050" w:rsidP="007A3E34">
            <w:pPr>
              <w:pStyle w:val="Tabletext"/>
            </w:pPr>
            <w:r>
              <w:rPr>
                <w:rFonts w:cs="Arial"/>
              </w:rPr>
              <w:t>R</w:t>
            </w:r>
            <w:r w:rsidR="0075777C" w:rsidRPr="00686058">
              <w:rPr>
                <w:rFonts w:cs="Arial"/>
              </w:rPr>
              <w:t>ange 8.6</w:t>
            </w:r>
            <w:r w:rsidR="007A3E34">
              <w:rPr>
                <w:rFonts w:cs="Arial"/>
              </w:rPr>
              <w:t>−</w:t>
            </w:r>
            <w:r w:rsidR="0075777C" w:rsidRPr="00686058">
              <w:rPr>
                <w:rFonts w:cs="Arial"/>
              </w:rPr>
              <w:t>13.6 m further</w:t>
            </w:r>
          </w:p>
        </w:tc>
        <w:tc>
          <w:tcPr>
            <w:tcW w:w="2551" w:type="dxa"/>
          </w:tcPr>
          <w:p w:rsidR="0075777C" w:rsidRPr="00C622C2" w:rsidRDefault="0075777C" w:rsidP="000647C6">
            <w:pPr>
              <w:pStyle w:val="Tabletext"/>
              <w:rPr>
                <w:rFonts w:cs="Arial"/>
              </w:rPr>
            </w:pPr>
            <w:r>
              <w:rPr>
                <w:rFonts w:cs="Arial"/>
              </w:rPr>
              <w:t>P</w:t>
            </w:r>
            <w:r w:rsidRPr="00C622C2">
              <w:rPr>
                <w:rFonts w:cs="Arial"/>
              </w:rPr>
              <w:t xml:space="preserve">atients with </w:t>
            </w:r>
            <w:r>
              <w:rPr>
                <w:rFonts w:cs="Arial"/>
              </w:rPr>
              <w:t>I</w:t>
            </w:r>
            <w:r w:rsidRPr="00C622C2">
              <w:rPr>
                <w:rFonts w:cs="Arial"/>
              </w:rPr>
              <w:t>PAH</w:t>
            </w:r>
            <w:r>
              <w:rPr>
                <w:rFonts w:cs="Arial"/>
              </w:rPr>
              <w:t>/ HPAH</w:t>
            </w:r>
            <w:r w:rsidRPr="00C622C2">
              <w:rPr>
                <w:rFonts w:cs="Arial"/>
              </w:rPr>
              <w:t xml:space="preserve"> </w:t>
            </w:r>
            <w:r>
              <w:rPr>
                <w:rFonts w:cs="Arial"/>
              </w:rPr>
              <w:t xml:space="preserve">on </w:t>
            </w:r>
            <w:r w:rsidRPr="00C622C2">
              <w:rPr>
                <w:rFonts w:cs="Arial"/>
              </w:rPr>
              <w:t>combination the</w:t>
            </w:r>
            <w:r>
              <w:rPr>
                <w:rFonts w:cs="Arial"/>
              </w:rPr>
              <w:t>rapy had a larger mean improvement in their 6MWD</w:t>
            </w:r>
            <w:r w:rsidRPr="00C622C2">
              <w:rPr>
                <w:rFonts w:cs="Arial"/>
              </w:rPr>
              <w:t xml:space="preserve"> </w:t>
            </w:r>
            <w:r>
              <w:rPr>
                <w:rFonts w:cs="Arial"/>
              </w:rPr>
              <w:t>compared with monotherapy</w:t>
            </w:r>
            <w:r w:rsidR="00196DB5">
              <w:t>, but the difference was not clinically important</w:t>
            </w:r>
            <w:r>
              <w:rPr>
                <w:rFonts w:cs="Arial"/>
              </w:rPr>
              <w:t>.</w:t>
            </w:r>
          </w:p>
        </w:tc>
        <w:tc>
          <w:tcPr>
            <w:tcW w:w="1134" w:type="dxa"/>
          </w:tcPr>
          <w:p w:rsidR="0075777C" w:rsidRPr="006316DF" w:rsidRDefault="00B47224" w:rsidP="000647C6">
            <w:pPr>
              <w:pStyle w:val="Tabletext"/>
              <w:rPr>
                <w:rFonts w:cs="Arial"/>
              </w:rPr>
            </w:pPr>
            <w:r>
              <w:rPr>
                <w:rFonts w:cs="Arial"/>
              </w:rPr>
              <w:t>Moderate</w:t>
            </w:r>
          </w:p>
          <w:p w:rsidR="0075777C" w:rsidRPr="006316DF" w:rsidRDefault="0075777C" w:rsidP="000647C6">
            <w:pPr>
              <w:pStyle w:val="Tabletext"/>
              <w:rPr>
                <w:rFonts w:cs="Cambria Math"/>
                <w:bCs/>
              </w:rPr>
            </w:pPr>
            <w:r w:rsidRPr="006316DF">
              <w:rPr>
                <w:rFonts w:ascii="Cambria Math" w:hAnsi="Cambria Math" w:cs="Cambria Math"/>
                <w:bCs/>
                <w:color w:val="00B050"/>
              </w:rPr>
              <w:t>⨁⨁⨁</w:t>
            </w:r>
            <w:r w:rsidR="00B47224" w:rsidRPr="006316DF">
              <w:rPr>
                <w:rFonts w:ascii="Cambria Math" w:hAnsi="Cambria Math" w:cs="Cambria Math"/>
                <w:color w:val="C00000"/>
              </w:rPr>
              <w:t>⨀</w:t>
            </w:r>
          </w:p>
          <w:p w:rsidR="0075777C" w:rsidRDefault="000647C6" w:rsidP="000647C6">
            <w:pPr>
              <w:pStyle w:val="Tabletext"/>
              <w:rPr>
                <w:rFonts w:cs="Arial"/>
              </w:rPr>
            </w:pPr>
            <w:r>
              <w:rPr>
                <w:rFonts w:cs="Cambria Math"/>
                <w:bCs/>
              </w:rPr>
              <w:t>Im</w:t>
            </w:r>
            <w:r w:rsidR="0075777C">
              <w:rPr>
                <w:rFonts w:cs="Cambria Math"/>
                <w:bCs/>
              </w:rPr>
              <w:t>portant</w:t>
            </w:r>
            <w:r w:rsidR="0075777C" w:rsidRPr="006316DF">
              <w:rPr>
                <w:rFonts w:cs="Cambria Math"/>
                <w:bCs/>
              </w:rPr>
              <w:t xml:space="preserve"> </w:t>
            </w:r>
          </w:p>
        </w:tc>
      </w:tr>
      <w:tr w:rsidR="00981BDF" w:rsidRPr="006316DF" w:rsidTr="00981BDF">
        <w:tc>
          <w:tcPr>
            <w:tcW w:w="1560" w:type="dxa"/>
            <w:shd w:val="clear" w:color="auto" w:fill="000000" w:themeFill="text1"/>
          </w:tcPr>
          <w:p w:rsidR="00981BDF" w:rsidRPr="00D36FBC" w:rsidRDefault="00981BDF" w:rsidP="00920393">
            <w:pPr>
              <w:pStyle w:val="Tabletext"/>
            </w:pPr>
            <w:r>
              <w:t>PAH-CTD</w:t>
            </w:r>
          </w:p>
        </w:tc>
        <w:tc>
          <w:tcPr>
            <w:tcW w:w="1275" w:type="dxa"/>
            <w:shd w:val="clear" w:color="auto" w:fill="000000" w:themeFill="text1"/>
          </w:tcPr>
          <w:p w:rsidR="00981BDF" w:rsidRPr="006316DF" w:rsidRDefault="00981BDF" w:rsidP="00920393">
            <w:pPr>
              <w:pStyle w:val="Tabletext"/>
              <w:rPr>
                <w:rFonts w:cs="Arial"/>
              </w:rPr>
            </w:pPr>
          </w:p>
        </w:tc>
        <w:tc>
          <w:tcPr>
            <w:tcW w:w="1701" w:type="dxa"/>
            <w:shd w:val="clear" w:color="auto" w:fill="000000" w:themeFill="text1"/>
          </w:tcPr>
          <w:p w:rsidR="00981BDF" w:rsidRDefault="00981BDF" w:rsidP="00920393">
            <w:pPr>
              <w:pStyle w:val="Tabletext"/>
              <w:rPr>
                <w:rFonts w:cs="Arial"/>
              </w:rPr>
            </w:pPr>
          </w:p>
        </w:tc>
        <w:tc>
          <w:tcPr>
            <w:tcW w:w="1413" w:type="dxa"/>
            <w:shd w:val="clear" w:color="auto" w:fill="000000" w:themeFill="text1"/>
          </w:tcPr>
          <w:p w:rsidR="00981BDF" w:rsidRPr="00C622C2" w:rsidRDefault="00981BDF" w:rsidP="00920393">
            <w:pPr>
              <w:pStyle w:val="Tabletext"/>
              <w:rPr>
                <w:rFonts w:cs="Arial"/>
              </w:rPr>
            </w:pPr>
          </w:p>
        </w:tc>
        <w:tc>
          <w:tcPr>
            <w:tcW w:w="2551" w:type="dxa"/>
            <w:shd w:val="clear" w:color="auto" w:fill="000000" w:themeFill="text1"/>
          </w:tcPr>
          <w:p w:rsidR="00981BDF" w:rsidRDefault="00981BDF" w:rsidP="00920393">
            <w:pPr>
              <w:pStyle w:val="Tabletext"/>
              <w:rPr>
                <w:rFonts w:cs="Arial"/>
              </w:rPr>
            </w:pPr>
          </w:p>
        </w:tc>
        <w:tc>
          <w:tcPr>
            <w:tcW w:w="1134" w:type="dxa"/>
            <w:shd w:val="clear" w:color="auto" w:fill="000000" w:themeFill="text1"/>
          </w:tcPr>
          <w:p w:rsidR="00981BDF" w:rsidRDefault="00981BDF" w:rsidP="00920393">
            <w:pPr>
              <w:pStyle w:val="Tabletext"/>
              <w:rPr>
                <w:rFonts w:cs="Arial"/>
              </w:rPr>
            </w:pPr>
          </w:p>
        </w:tc>
      </w:tr>
      <w:tr w:rsidR="00981BDF" w:rsidRPr="006316DF" w:rsidTr="00981BDF">
        <w:tc>
          <w:tcPr>
            <w:tcW w:w="1560" w:type="dxa"/>
          </w:tcPr>
          <w:p w:rsidR="00981BDF" w:rsidRPr="006316DF" w:rsidRDefault="00981BDF" w:rsidP="00920393">
            <w:pPr>
              <w:pStyle w:val="Tabletext"/>
              <w:rPr>
                <w:rFonts w:cs="Arial"/>
              </w:rPr>
            </w:pPr>
            <w:r w:rsidRPr="00D36FBC">
              <w:t xml:space="preserve">Clinical worsening </w:t>
            </w:r>
            <w:r>
              <w:t>in PAH CTD</w:t>
            </w:r>
          </w:p>
        </w:tc>
        <w:tc>
          <w:tcPr>
            <w:tcW w:w="1275" w:type="dxa"/>
          </w:tcPr>
          <w:p w:rsidR="00981BDF" w:rsidRPr="006316DF" w:rsidRDefault="00981BDF" w:rsidP="00920393">
            <w:pPr>
              <w:pStyle w:val="Tabletext"/>
              <w:rPr>
                <w:rFonts w:cs="Arial"/>
              </w:rPr>
            </w:pPr>
            <w:r w:rsidRPr="006316DF">
              <w:rPr>
                <w:rFonts w:cs="Arial"/>
              </w:rPr>
              <w:t>N=</w:t>
            </w:r>
            <w:r>
              <w:rPr>
                <w:rFonts w:cs="Arial"/>
              </w:rPr>
              <w:t>147</w:t>
            </w:r>
          </w:p>
          <w:p w:rsidR="00981BDF" w:rsidRPr="006316DF" w:rsidRDefault="00981BDF" w:rsidP="00920393">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981BDF" w:rsidRPr="006316DF" w:rsidRDefault="00981BDF" w:rsidP="00920393">
            <w:pPr>
              <w:pStyle w:val="Tabletext"/>
              <w:rPr>
                <w:rFonts w:cs="Arial"/>
              </w:rPr>
            </w:pPr>
            <w:r>
              <w:rPr>
                <w:rFonts w:cs="Arial"/>
              </w:rPr>
              <w:t>Risk of bias: 0</w:t>
            </w:r>
          </w:p>
          <w:p w:rsidR="00981BDF" w:rsidRPr="006316DF" w:rsidRDefault="00981BDF" w:rsidP="00920393">
            <w:pPr>
              <w:pStyle w:val="Tabletext"/>
              <w:rPr>
                <w:rFonts w:cs="Arial"/>
              </w:rPr>
            </w:pPr>
            <w:r w:rsidRPr="006316DF">
              <w:rPr>
                <w:rFonts w:cs="Arial"/>
              </w:rPr>
              <w:t>Inconsistency: 0</w:t>
            </w:r>
          </w:p>
          <w:p w:rsidR="00981BDF" w:rsidRPr="006316DF" w:rsidRDefault="00981BDF" w:rsidP="00920393">
            <w:pPr>
              <w:pStyle w:val="Tabletext"/>
              <w:rPr>
                <w:rFonts w:cs="Arial"/>
              </w:rPr>
            </w:pPr>
            <w:r w:rsidRPr="006316DF">
              <w:rPr>
                <w:rFonts w:cs="Arial"/>
              </w:rPr>
              <w:t>Indirectness: 0</w:t>
            </w:r>
          </w:p>
          <w:p w:rsidR="00981BDF" w:rsidRDefault="00981BDF" w:rsidP="00920393">
            <w:pPr>
              <w:pStyle w:val="Tabletext"/>
              <w:rPr>
                <w:rFonts w:cs="Arial"/>
              </w:rPr>
            </w:pPr>
            <w:r w:rsidRPr="006316DF">
              <w:rPr>
                <w:rFonts w:cs="Arial"/>
              </w:rPr>
              <w:t>Imprecision: 0</w:t>
            </w:r>
          </w:p>
          <w:p w:rsidR="00981BDF" w:rsidRDefault="00981BDF" w:rsidP="00920393">
            <w:pPr>
              <w:pStyle w:val="Tabletext"/>
              <w:rPr>
                <w:rFonts w:cs="Arial"/>
              </w:rPr>
            </w:pPr>
            <w:r w:rsidRPr="006316DF">
              <w:rPr>
                <w:rFonts w:cs="Arial"/>
              </w:rPr>
              <w:t>Publication bias: 0</w:t>
            </w:r>
          </w:p>
          <w:p w:rsidR="00981BDF" w:rsidRPr="006316DF" w:rsidRDefault="00981BDF" w:rsidP="00920393">
            <w:pPr>
              <w:pStyle w:val="Tabletext"/>
              <w:rPr>
                <w:rFonts w:cs="Arial"/>
              </w:rPr>
            </w:pPr>
            <w:r>
              <w:rPr>
                <w:rFonts w:cs="Arial"/>
              </w:rPr>
              <w:t>Association: +1</w:t>
            </w:r>
          </w:p>
        </w:tc>
        <w:tc>
          <w:tcPr>
            <w:tcW w:w="1413" w:type="dxa"/>
          </w:tcPr>
          <w:p w:rsidR="00981BDF" w:rsidRPr="00C622C2" w:rsidRDefault="00981BDF" w:rsidP="00920393">
            <w:pPr>
              <w:pStyle w:val="Tabletext"/>
            </w:pPr>
            <w:r w:rsidRPr="00C622C2">
              <w:rPr>
                <w:rFonts w:cs="Arial"/>
              </w:rPr>
              <w:t>HR = 0.</w:t>
            </w:r>
            <w:r>
              <w:rPr>
                <w:rFonts w:cs="Arial"/>
              </w:rPr>
              <w:t>51</w:t>
            </w:r>
            <w:r w:rsidRPr="00C622C2">
              <w:rPr>
                <w:rFonts w:cs="Arial"/>
              </w:rPr>
              <w:t xml:space="preserve"> (</w:t>
            </w:r>
            <w:r>
              <w:rPr>
                <w:rFonts w:cs="Arial"/>
              </w:rPr>
              <w:t>95% CI</w:t>
            </w:r>
            <w:r w:rsidRPr="00C622C2">
              <w:rPr>
                <w:rFonts w:cs="Arial"/>
              </w:rPr>
              <w:t xml:space="preserve"> 0.</w:t>
            </w:r>
            <w:r>
              <w:rPr>
                <w:rFonts w:cs="Arial"/>
              </w:rPr>
              <w:t>25</w:t>
            </w:r>
            <w:r w:rsidRPr="00C622C2">
              <w:rPr>
                <w:rFonts w:cs="Arial"/>
              </w:rPr>
              <w:t xml:space="preserve">, </w:t>
            </w:r>
            <w:r>
              <w:rPr>
                <w:rFonts w:cs="Arial"/>
              </w:rPr>
              <w:t>1</w:t>
            </w:r>
            <w:r w:rsidRPr="00C622C2">
              <w:rPr>
                <w:rFonts w:cs="Arial"/>
              </w:rPr>
              <w:t>.</w:t>
            </w:r>
            <w:r>
              <w:rPr>
                <w:rFonts w:cs="Arial"/>
              </w:rPr>
              <w:t>01</w:t>
            </w:r>
            <w:r w:rsidRPr="00C622C2">
              <w:rPr>
                <w:rFonts w:cs="Arial"/>
              </w:rPr>
              <w:t>)</w:t>
            </w:r>
          </w:p>
        </w:tc>
        <w:tc>
          <w:tcPr>
            <w:tcW w:w="2551" w:type="dxa"/>
          </w:tcPr>
          <w:p w:rsidR="00981BDF" w:rsidRPr="00C622C2" w:rsidRDefault="00981BDF" w:rsidP="00920393">
            <w:pPr>
              <w:pStyle w:val="Tabletext"/>
            </w:pPr>
            <w:r>
              <w:rPr>
                <w:rFonts w:cs="Arial"/>
              </w:rPr>
              <w:t xml:space="preserve">Fewer </w:t>
            </w:r>
            <w:r w:rsidRPr="00C622C2">
              <w:rPr>
                <w:rFonts w:cs="Arial"/>
              </w:rPr>
              <w:t>patients with PAH</w:t>
            </w:r>
            <w:r>
              <w:rPr>
                <w:rFonts w:cs="Arial"/>
              </w:rPr>
              <w:t>-CTD</w:t>
            </w:r>
            <w:r w:rsidRPr="00C622C2">
              <w:rPr>
                <w:rFonts w:cs="Arial"/>
              </w:rPr>
              <w:t xml:space="preserve"> experience</w:t>
            </w:r>
            <w:r>
              <w:rPr>
                <w:rFonts w:cs="Arial"/>
              </w:rPr>
              <w:t>d</w:t>
            </w:r>
            <w:r w:rsidRPr="00C622C2">
              <w:rPr>
                <w:rFonts w:cs="Arial"/>
              </w:rPr>
              <w:t xml:space="preserve"> clinical worsening with combination the</w:t>
            </w:r>
            <w:r>
              <w:rPr>
                <w:rFonts w:cs="Arial"/>
              </w:rPr>
              <w:t>rapy compared with monotherapy, but the difference failed to reach statistical significance</w:t>
            </w:r>
          </w:p>
        </w:tc>
        <w:tc>
          <w:tcPr>
            <w:tcW w:w="1134" w:type="dxa"/>
          </w:tcPr>
          <w:p w:rsidR="00981BDF" w:rsidRPr="006316DF" w:rsidRDefault="00981BDF" w:rsidP="00920393">
            <w:pPr>
              <w:pStyle w:val="Tabletext"/>
              <w:rPr>
                <w:rFonts w:cs="Arial"/>
              </w:rPr>
            </w:pPr>
            <w:r>
              <w:rPr>
                <w:rFonts w:cs="Arial"/>
              </w:rPr>
              <w:t>High</w:t>
            </w:r>
          </w:p>
          <w:p w:rsidR="00981BDF" w:rsidRPr="006316DF" w:rsidRDefault="00981BDF" w:rsidP="00920393">
            <w:pPr>
              <w:pStyle w:val="Tabletext"/>
              <w:rPr>
                <w:rFonts w:cs="Cambria Math"/>
                <w:bCs/>
              </w:rPr>
            </w:pPr>
            <w:r w:rsidRPr="006316DF">
              <w:rPr>
                <w:rFonts w:ascii="Cambria Math" w:hAnsi="Cambria Math" w:cs="Cambria Math"/>
                <w:bCs/>
                <w:color w:val="00B050"/>
              </w:rPr>
              <w:t>⨁⨁⨁⨁</w:t>
            </w:r>
          </w:p>
          <w:p w:rsidR="00981BDF" w:rsidRPr="006316DF" w:rsidRDefault="00981BDF" w:rsidP="00920393">
            <w:pPr>
              <w:pStyle w:val="Tabletext"/>
              <w:rPr>
                <w:rFonts w:cs="Arial"/>
              </w:rPr>
            </w:pPr>
            <w:r w:rsidRPr="006316DF">
              <w:rPr>
                <w:rFonts w:cs="Cambria Math"/>
                <w:bCs/>
              </w:rPr>
              <w:t xml:space="preserve">Critical </w:t>
            </w:r>
          </w:p>
        </w:tc>
      </w:tr>
      <w:tr w:rsidR="0075777C" w:rsidRPr="006316DF" w:rsidTr="000647C6">
        <w:tc>
          <w:tcPr>
            <w:tcW w:w="1560" w:type="dxa"/>
          </w:tcPr>
          <w:p w:rsidR="0075777C" w:rsidRPr="006316DF" w:rsidRDefault="0075777C" w:rsidP="00981BDF">
            <w:pPr>
              <w:pStyle w:val="Tabletext"/>
              <w:keepNext/>
              <w:rPr>
                <w:rFonts w:cs="Arial"/>
              </w:rPr>
            </w:pPr>
            <w:r w:rsidRPr="006C4A08">
              <w:t xml:space="preserve">Change in 6MWD from baseline in </w:t>
            </w:r>
            <w:r>
              <w:t>PAH-CTD</w:t>
            </w:r>
          </w:p>
        </w:tc>
        <w:tc>
          <w:tcPr>
            <w:tcW w:w="1275" w:type="dxa"/>
          </w:tcPr>
          <w:p w:rsidR="0075777C" w:rsidRPr="006316DF" w:rsidRDefault="0075777C" w:rsidP="00981BDF">
            <w:pPr>
              <w:pStyle w:val="Tabletext"/>
              <w:keepNext/>
              <w:rPr>
                <w:rFonts w:cs="Arial"/>
              </w:rPr>
            </w:pPr>
            <w:r w:rsidRPr="006316DF">
              <w:rPr>
                <w:rFonts w:cs="Arial"/>
              </w:rPr>
              <w:t>N=</w:t>
            </w:r>
            <w:r>
              <w:rPr>
                <w:rFonts w:cs="Arial"/>
              </w:rPr>
              <w:t>55</w:t>
            </w:r>
          </w:p>
          <w:p w:rsidR="0075777C" w:rsidRPr="006316DF" w:rsidRDefault="0075777C" w:rsidP="00981BDF">
            <w:pPr>
              <w:pStyle w:val="Tabletext"/>
              <w:keepNext/>
              <w:rPr>
                <w:rFonts w:cs="Arial"/>
              </w:rPr>
            </w:pPr>
            <w:r w:rsidRPr="006316DF">
              <w:rPr>
                <w:rFonts w:cs="Arial"/>
              </w:rPr>
              <w:t>k=</w:t>
            </w:r>
            <w:r>
              <w:rPr>
                <w:rFonts w:cs="Arial"/>
              </w:rPr>
              <w:t>2</w:t>
            </w:r>
            <w:r w:rsidRPr="006316DF">
              <w:rPr>
                <w:rFonts w:cs="Arial"/>
              </w:rPr>
              <w:t xml:space="preserve"> RCT</w:t>
            </w:r>
            <w:r>
              <w:rPr>
                <w:rFonts w:cs="Arial"/>
              </w:rPr>
              <w:t>s</w:t>
            </w:r>
          </w:p>
        </w:tc>
        <w:tc>
          <w:tcPr>
            <w:tcW w:w="1701" w:type="dxa"/>
          </w:tcPr>
          <w:p w:rsidR="0075777C" w:rsidRPr="006316DF" w:rsidRDefault="0075777C" w:rsidP="00981BDF">
            <w:pPr>
              <w:pStyle w:val="Tabletext"/>
              <w:keepNext/>
              <w:rPr>
                <w:rFonts w:cs="Arial"/>
              </w:rPr>
            </w:pPr>
            <w:r>
              <w:rPr>
                <w:rFonts w:cs="Arial"/>
              </w:rPr>
              <w:t>Risk of bias: 0</w:t>
            </w:r>
          </w:p>
          <w:p w:rsidR="0075777C" w:rsidRPr="006316DF" w:rsidRDefault="0075777C" w:rsidP="00981BDF">
            <w:pPr>
              <w:pStyle w:val="Tabletext"/>
              <w:keepNext/>
              <w:rPr>
                <w:rFonts w:cs="Arial"/>
              </w:rPr>
            </w:pPr>
            <w:r>
              <w:rPr>
                <w:rFonts w:cs="Arial"/>
              </w:rPr>
              <w:t>Inconsistency: −1</w:t>
            </w:r>
          </w:p>
          <w:p w:rsidR="0075777C" w:rsidRPr="006316DF" w:rsidRDefault="0075777C" w:rsidP="00981BDF">
            <w:pPr>
              <w:pStyle w:val="Tabletext"/>
              <w:keepNext/>
              <w:rPr>
                <w:rFonts w:cs="Arial"/>
              </w:rPr>
            </w:pPr>
            <w:r w:rsidRPr="006316DF">
              <w:rPr>
                <w:rFonts w:cs="Arial"/>
              </w:rPr>
              <w:t xml:space="preserve">Indirectness: </w:t>
            </w:r>
            <w:r w:rsidR="00B47224">
              <w:rPr>
                <w:rFonts w:cs="Arial"/>
              </w:rPr>
              <w:t>−1</w:t>
            </w:r>
          </w:p>
          <w:p w:rsidR="0075777C" w:rsidRDefault="00B97B32" w:rsidP="00981BDF">
            <w:pPr>
              <w:pStyle w:val="Tabletext"/>
              <w:keepNext/>
              <w:rPr>
                <w:rFonts w:cs="Arial"/>
              </w:rPr>
            </w:pPr>
            <w:r>
              <w:rPr>
                <w:rFonts w:cs="Arial"/>
              </w:rPr>
              <w:t>Imprecision: −2</w:t>
            </w:r>
          </w:p>
          <w:p w:rsidR="0075777C" w:rsidRDefault="0075777C" w:rsidP="00981BDF">
            <w:pPr>
              <w:pStyle w:val="Tabletext"/>
              <w:keepNext/>
              <w:rPr>
                <w:rFonts w:cs="Arial"/>
              </w:rPr>
            </w:pPr>
            <w:r w:rsidRPr="006316DF">
              <w:rPr>
                <w:rFonts w:cs="Arial"/>
              </w:rPr>
              <w:t>Publication bias: 0</w:t>
            </w:r>
          </w:p>
          <w:p w:rsidR="0075777C" w:rsidRDefault="0075777C" w:rsidP="00981BDF">
            <w:pPr>
              <w:pStyle w:val="Tabletext"/>
              <w:keepNext/>
              <w:rPr>
                <w:rFonts w:cs="Arial"/>
              </w:rPr>
            </w:pPr>
            <w:r>
              <w:rPr>
                <w:rFonts w:cs="Arial"/>
              </w:rPr>
              <w:t>Association: 0</w:t>
            </w:r>
          </w:p>
        </w:tc>
        <w:tc>
          <w:tcPr>
            <w:tcW w:w="1413" w:type="dxa"/>
          </w:tcPr>
          <w:p w:rsidR="0075777C" w:rsidRPr="00C622C2" w:rsidRDefault="00FA2050" w:rsidP="001F1FDD">
            <w:pPr>
              <w:pStyle w:val="Tabletext"/>
              <w:keepNext/>
            </w:pPr>
            <w:r>
              <w:rPr>
                <w:rFonts w:cs="Arial"/>
              </w:rPr>
              <w:t>R</w:t>
            </w:r>
            <w:r w:rsidR="0075777C" w:rsidRPr="004A79CF">
              <w:rPr>
                <w:rFonts w:cs="Arial"/>
              </w:rPr>
              <w:t>ange 34.1 m less to 20.7 m further</w:t>
            </w:r>
          </w:p>
        </w:tc>
        <w:tc>
          <w:tcPr>
            <w:tcW w:w="2551" w:type="dxa"/>
          </w:tcPr>
          <w:p w:rsidR="0075777C" w:rsidRPr="00C622C2" w:rsidRDefault="007162D0" w:rsidP="00981BDF">
            <w:pPr>
              <w:pStyle w:val="Tabletext"/>
              <w:keepNext/>
              <w:rPr>
                <w:rFonts w:cs="Arial"/>
              </w:rPr>
            </w:pPr>
            <w:r w:rsidRPr="007162D0">
              <w:rPr>
                <w:rFonts w:cs="Arial"/>
              </w:rPr>
              <w:t>Patients on combination therapy had either a smaller or a larger mean improvement in their 6MWD than those on monotherapy</w:t>
            </w:r>
            <w:r w:rsidR="00196DB5">
              <w:t>, but the difference was not clinically important</w:t>
            </w:r>
          </w:p>
        </w:tc>
        <w:tc>
          <w:tcPr>
            <w:tcW w:w="1134" w:type="dxa"/>
          </w:tcPr>
          <w:p w:rsidR="00C05257" w:rsidRDefault="00C05257" w:rsidP="00C05257">
            <w:pPr>
              <w:pStyle w:val="Tabletext"/>
              <w:rPr>
                <w:rFonts w:eastAsia="Times New Roman" w:cs="Tahoma"/>
                <w:bCs/>
              </w:rPr>
            </w:pPr>
            <w:r>
              <w:rPr>
                <w:rFonts w:eastAsia="Times New Roman" w:cs="Tahoma"/>
                <w:bCs/>
              </w:rPr>
              <w:t>Very low</w:t>
            </w:r>
          </w:p>
          <w:p w:rsidR="00C05257" w:rsidRDefault="00C05257" w:rsidP="00C05257">
            <w:pPr>
              <w:pStyle w:val="Tabletext"/>
              <w:rPr>
                <w:rFonts w:ascii="Cambria Math" w:eastAsia="Times New Roman" w:hAnsi="Cambria Math" w:cs="Cambria Math"/>
                <w:bCs/>
              </w:rPr>
            </w:pP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75777C" w:rsidRDefault="000647C6" w:rsidP="00981BDF">
            <w:pPr>
              <w:pStyle w:val="Tabletext"/>
              <w:keepNext/>
              <w:rPr>
                <w:rFonts w:cs="Arial"/>
              </w:rPr>
            </w:pPr>
            <w:r>
              <w:rPr>
                <w:rFonts w:cs="Cambria Math"/>
                <w:bCs/>
              </w:rPr>
              <w:t>I</w:t>
            </w:r>
            <w:r w:rsidR="0075777C">
              <w:rPr>
                <w:rFonts w:cs="Cambria Math"/>
                <w:bCs/>
              </w:rPr>
              <w:t>mportant</w:t>
            </w:r>
            <w:r w:rsidR="0075777C" w:rsidRPr="006316DF">
              <w:rPr>
                <w:rFonts w:cs="Cambria Math"/>
                <w:bCs/>
              </w:rPr>
              <w:t xml:space="preserve"> </w:t>
            </w:r>
          </w:p>
        </w:tc>
      </w:tr>
    </w:tbl>
    <w:p w:rsidR="0075777C" w:rsidRPr="006316DF" w:rsidRDefault="0075777C" w:rsidP="000647C6">
      <w:pPr>
        <w:pStyle w:val="Tablenote"/>
      </w:pPr>
      <w:r w:rsidRPr="006316DF">
        <w:rPr>
          <w:vertAlign w:val="superscript"/>
        </w:rPr>
        <w:t xml:space="preserve">a </w:t>
      </w:r>
      <w:r w:rsidRPr="006316DF">
        <w:t xml:space="preserve">GRADE Working Group grades of evidence </w:t>
      </w:r>
      <w:r w:rsidR="001D34EE" w:rsidRPr="001D34EE">
        <w:rPr>
          <w:noProof/>
          <w:vertAlign w:val="superscript"/>
        </w:rPr>
        <w:t>1</w:t>
      </w:r>
    </w:p>
    <w:p w:rsidR="0075777C" w:rsidRPr="006316DF" w:rsidRDefault="0075777C" w:rsidP="000647C6">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75777C" w:rsidRPr="006316DF" w:rsidRDefault="0075777C" w:rsidP="000647C6">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Moderate quality:</w:t>
      </w:r>
      <w:r w:rsidRPr="006316DF">
        <w:t xml:space="preserve"> We are moderately confident in the effect estimate: The true effect is likely to be close to the estimate of the effect, but there is a possibility that it is substantially different</w:t>
      </w:r>
    </w:p>
    <w:p w:rsidR="00F95747" w:rsidRPr="00E564DD" w:rsidRDefault="00F95747" w:rsidP="00F95747">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Very low quality:</w:t>
      </w:r>
      <w:r w:rsidRPr="00E564DD">
        <w:t xml:space="preserve"> We have very little confidence in the effect estimate: The true effect is likely to be substantially different from the estimate of effect</w:t>
      </w:r>
    </w:p>
    <w:p w:rsidR="0033164F" w:rsidRDefault="0075777C" w:rsidP="000647C6">
      <w:pPr>
        <w:pStyle w:val="Tablenote"/>
      </w:pPr>
      <w:r>
        <w:t xml:space="preserve">6MWD = 6-minute </w:t>
      </w:r>
      <w:r w:rsidR="0082368E">
        <w:t>walk distance</w:t>
      </w:r>
      <w:r>
        <w: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33164F" w:rsidRPr="00DC16A3">
        <w:t xml:space="preserve">; </w:t>
      </w:r>
      <w:r w:rsidRPr="00C65B42">
        <w:t xml:space="preserve">HPAH = heritable PAH; HR = hazard ratio; IPAH = idiopathic PAH; </w:t>
      </w:r>
      <w:r w:rsidR="0033164F">
        <w:t xml:space="preserve">k = number of studies; </w:t>
      </w:r>
      <w:r>
        <w:t xml:space="preserve">MD = mean difference; N = number of patients; </w:t>
      </w:r>
      <w:r w:rsidRPr="00C65B42">
        <w:t xml:space="preserve">PAH = pulmonary arterial hypertension; </w:t>
      </w:r>
      <w:r w:rsidR="00F24B06">
        <w:t>PAH-</w:t>
      </w:r>
      <w:r w:rsidR="00F24B06" w:rsidRPr="00DC16A3">
        <w:t xml:space="preserve">CTD = </w:t>
      </w:r>
      <w:r w:rsidR="00F24B06">
        <w:t xml:space="preserve">PAH </w:t>
      </w:r>
      <w:r w:rsidR="00F24B06" w:rsidRPr="00DC16A3">
        <w:t xml:space="preserve">associated with connective tissue disease; </w:t>
      </w:r>
      <w:r w:rsidRPr="009B5AB3">
        <w:t>PDE-5 = phosphodiesterase type-5</w:t>
      </w:r>
      <w:r>
        <w:t>;</w:t>
      </w:r>
      <w:r w:rsidRPr="009B5AB3">
        <w:t xml:space="preserve"> </w:t>
      </w:r>
      <w:r>
        <w:t>RCT = randomised controlled trial; WHO = World Health Organization</w:t>
      </w:r>
    </w:p>
    <w:p w:rsidR="0075777C" w:rsidRPr="006316DF" w:rsidRDefault="0075777C" w:rsidP="0075777C">
      <w:pPr>
        <w:pStyle w:val="Heading5"/>
      </w:pPr>
      <w:r w:rsidRPr="006316DF">
        <w:t>Safety</w:t>
      </w:r>
    </w:p>
    <w:p w:rsidR="0075777C" w:rsidRDefault="0075777C" w:rsidP="0075777C">
      <w:r w:rsidRPr="006316DF">
        <w:t xml:space="preserve">The </w:t>
      </w:r>
      <w:r>
        <w:t xml:space="preserve">detailed </w:t>
      </w:r>
      <w:r w:rsidRPr="006316DF">
        <w:t>GRADE</w:t>
      </w:r>
      <w:r w:rsidR="001D34EE" w:rsidRPr="001D34EE">
        <w:rPr>
          <w:noProof/>
          <w:vertAlign w:val="superscript"/>
        </w:rPr>
        <w:t>1</w:t>
      </w:r>
      <w:r w:rsidRPr="006316DF">
        <w:t xml:space="preserve"> assessments of </w:t>
      </w:r>
      <w:r>
        <w:t>safety</w:t>
      </w:r>
      <w:r w:rsidRPr="006316DF">
        <w:t xml:space="preserve"> outco</w:t>
      </w:r>
      <w:r>
        <w:t>mes when comparing a</w:t>
      </w:r>
      <w:r w:rsidRPr="006316DF">
        <w:t xml:space="preserve"> </w:t>
      </w:r>
      <w:r w:rsidRPr="00BB3BB5">
        <w:t>PDE-5 inhibitor</w:t>
      </w:r>
      <w:r w:rsidRPr="006316DF">
        <w:t xml:space="preserve"> </w:t>
      </w:r>
      <w:r w:rsidRPr="00BB3BB5">
        <w:t>in addition to</w:t>
      </w:r>
      <w:r w:rsidRPr="00AD232F">
        <w:t xml:space="preserve"> </w:t>
      </w:r>
      <w:r w:rsidRPr="006316DF">
        <w:t>ERA</w:t>
      </w:r>
      <w:r w:rsidRPr="00BB3BB5">
        <w:t xml:space="preserve">, relative to </w:t>
      </w:r>
      <w:r>
        <w:t>ERA</w:t>
      </w:r>
      <w:r w:rsidRPr="00BB3BB5">
        <w:t xml:space="preserve"> monotherapy </w:t>
      </w:r>
      <w:r w:rsidRPr="006316DF">
        <w:t>are reported in</w:t>
      </w:r>
      <w:r>
        <w:t xml:space="preserve"> </w:t>
      </w:r>
      <w:r w:rsidR="00AA722D">
        <w:t>Table 4.</w:t>
      </w:r>
      <w:r w:rsidR="00AA722D">
        <w:rPr>
          <w:noProof/>
        </w:rPr>
        <w:t>159</w:t>
      </w:r>
      <w:r>
        <w:t xml:space="preserve"> and </w:t>
      </w:r>
      <w:r w:rsidR="00AA722D">
        <w:t>Table 4.</w:t>
      </w:r>
      <w:r w:rsidR="00AA722D">
        <w:rPr>
          <w:noProof/>
        </w:rPr>
        <w:t>160</w:t>
      </w:r>
      <w:r>
        <w:t xml:space="preserve"> </w:t>
      </w:r>
      <w:r w:rsidRPr="006316DF">
        <w:t xml:space="preserve">in Appendix </w:t>
      </w:r>
      <w:r w:rsidR="00DA2636">
        <w:t>4</w:t>
      </w:r>
      <w:r w:rsidR="001B552D">
        <w:t>C</w:t>
      </w:r>
      <w:r>
        <w:t xml:space="preserve">. </w:t>
      </w:r>
      <w:r w:rsidRPr="006316DF">
        <w:t xml:space="preserve">The evidence for the </w:t>
      </w:r>
      <w:r>
        <w:t xml:space="preserve">safety </w:t>
      </w:r>
      <w:r w:rsidRPr="006316DF">
        <w:t xml:space="preserve">outcomes </w:t>
      </w:r>
      <w:r>
        <w:t xml:space="preserve">for all PAH patients is summarised </w:t>
      </w:r>
      <w:r w:rsidRPr="006316DF">
        <w:t>in</w:t>
      </w:r>
      <w:r>
        <w:t xml:space="preserve"> </w:t>
      </w:r>
      <w:r w:rsidR="00AA722D">
        <w:t>Table 4.</w:t>
      </w:r>
      <w:r w:rsidR="00AA722D">
        <w:rPr>
          <w:noProof/>
        </w:rPr>
        <w:t>133</w:t>
      </w:r>
      <w:r>
        <w:t xml:space="preserve">. </w:t>
      </w:r>
      <w:r w:rsidR="00E20AB7">
        <w:t>There were no new safety signal identified by any of the included trials.</w:t>
      </w:r>
    </w:p>
    <w:p w:rsidR="00361A31" w:rsidRDefault="00361A31" w:rsidP="00361A31">
      <w:pPr>
        <w:rPr>
          <w:rFonts w:eastAsia="Times New Roman" w:cs="Cambria Math"/>
          <w:bCs/>
        </w:rPr>
      </w:pPr>
      <w:r>
        <w:t xml:space="preserve">Any AE and serious AE outcomes were </w:t>
      </w:r>
      <w:r w:rsidRPr="006316DF">
        <w:t xml:space="preserve">considered to be of </w:t>
      </w:r>
      <w:r>
        <w:t>high</w:t>
      </w:r>
      <w:r w:rsidRPr="006316DF">
        <w:t xml:space="preserve"> quality (GRADE </w:t>
      </w:r>
      <w:r w:rsidRPr="00920393">
        <w:rPr>
          <w:rFonts w:ascii="Cambria Math" w:eastAsia="Times New Roman" w:hAnsi="Cambria Math" w:cs="Tahoma"/>
          <w:bCs/>
          <w:color w:val="00B050"/>
        </w:rPr>
        <w:t>⨁⨁⨁⨁</w:t>
      </w:r>
      <w:r w:rsidRPr="00E35D60">
        <w:t>)</w:t>
      </w:r>
      <w:r>
        <w:t xml:space="preserve"> and discontinuation of study medication due to an AE was of moderate quality </w:t>
      </w:r>
      <w:r w:rsidRPr="006316DF">
        <w:t xml:space="preserve">(GRADE </w:t>
      </w:r>
      <w:r w:rsidRPr="00920393">
        <w:rPr>
          <w:rFonts w:ascii="Cambria Math" w:eastAsia="Times New Roman" w:hAnsi="Cambria Math" w:cs="Tahoma"/>
          <w:bCs/>
          <w:color w:val="00B050"/>
        </w:rPr>
        <w:t>⨁⨁⨁</w:t>
      </w:r>
      <w:r w:rsidRPr="00E564DD">
        <w:rPr>
          <w:rFonts w:ascii="Cambria Math" w:hAnsi="Cambria Math"/>
          <w:color w:val="C00000"/>
        </w:rPr>
        <w:t>⨀</w:t>
      </w:r>
      <w:r w:rsidRPr="00E35D60">
        <w:t>).</w:t>
      </w:r>
    </w:p>
    <w:p w:rsidR="0075777C" w:rsidRPr="008727D6" w:rsidRDefault="0075777C" w:rsidP="0075777C">
      <w:r w:rsidRPr="008727D6">
        <w:t xml:space="preserve">Patients were just as likely to experience either any AE or a serious AE after starting combination therapy as they were on monotherapy. Patients on combination therapy were more likely to have </w:t>
      </w:r>
      <w:r w:rsidRPr="008727D6">
        <w:lastRenderedPageBreak/>
        <w:t xml:space="preserve">an AE that would lead to treatment discontinuation compared with those on monotherapy, but the </w:t>
      </w:r>
      <w:r w:rsidR="00D84687">
        <w:t>95% CI indicates</w:t>
      </w:r>
      <w:r w:rsidRPr="008727D6">
        <w:t xml:space="preserve"> that there could also be no or the opposite effect.</w:t>
      </w:r>
    </w:p>
    <w:p w:rsidR="0075777C" w:rsidRDefault="0075777C" w:rsidP="0075777C">
      <w:r w:rsidRPr="006316DF">
        <w:t>Th</w:t>
      </w:r>
      <w:r w:rsidR="00981BDF">
        <w:t>us, the</w:t>
      </w:r>
      <w:r w:rsidRPr="000522D6">
        <w:t xml:space="preserve"> </w:t>
      </w:r>
      <w:r w:rsidRPr="006316DF">
        <w:t xml:space="preserve">use of a </w:t>
      </w:r>
      <w:r w:rsidRPr="00621F68">
        <w:t xml:space="preserve">PDE-5 inhibitor in addition to ERA </w:t>
      </w:r>
      <w:r w:rsidR="008B5A87">
        <w:t>may</w:t>
      </w:r>
      <w:r w:rsidR="00981BDF" w:rsidRPr="006316DF">
        <w:t xml:space="preserve"> be </w:t>
      </w:r>
      <w:r w:rsidR="008B5A87">
        <w:t>non-inferior to</w:t>
      </w:r>
      <w:r w:rsidRPr="00621F68">
        <w:t xml:space="preserve"> ERA monotherapy </w:t>
      </w:r>
      <w:r w:rsidR="00981BDF">
        <w:t>when</w:t>
      </w:r>
      <w:r w:rsidRPr="006316DF">
        <w:t xml:space="preserve"> treat</w:t>
      </w:r>
      <w:r w:rsidR="00981BDF">
        <w:t>ing</w:t>
      </w:r>
      <w:r w:rsidRPr="006316DF">
        <w:t xml:space="preserve"> </w:t>
      </w:r>
      <w:r>
        <w:t>PAH patients</w:t>
      </w:r>
      <w:r w:rsidRPr="006316DF">
        <w:t xml:space="preserve">. </w:t>
      </w:r>
    </w:p>
    <w:p w:rsidR="0075777C" w:rsidRPr="006316DF" w:rsidRDefault="00272F8F" w:rsidP="00BC5A2B">
      <w:pPr>
        <w:pStyle w:val="Caption"/>
      </w:pPr>
      <w:bookmarkStart w:id="369" w:name="_Ref505781563"/>
      <w:bookmarkStart w:id="370" w:name="_Toc512855537"/>
      <w:r>
        <w:t>Table 4.</w:t>
      </w:r>
      <w:r w:rsidR="00AA722D">
        <w:rPr>
          <w:noProof/>
        </w:rPr>
        <w:t>133</w:t>
      </w:r>
      <w:bookmarkEnd w:id="369"/>
      <w:r w:rsidR="000647C6">
        <w:tab/>
      </w:r>
      <w:r w:rsidR="0075777C" w:rsidRPr="006316DF">
        <w:t xml:space="preserve">Balance of clinical harms of </w:t>
      </w:r>
      <w:r w:rsidR="001B552D">
        <w:t xml:space="preserve">a </w:t>
      </w:r>
      <w:r w:rsidR="0075777C" w:rsidRPr="006C4A08">
        <w:t xml:space="preserve">PDE-5 inhibitor in addition to </w:t>
      </w:r>
      <w:r w:rsidR="001B552D">
        <w:t xml:space="preserve">an </w:t>
      </w:r>
      <w:r w:rsidR="0075777C" w:rsidRPr="006C4A08">
        <w:t>ERA, relative to ERA monotherapy</w:t>
      </w:r>
      <w:r w:rsidR="0075777C" w:rsidRPr="004A69F0">
        <w:t xml:space="preserve"> </w:t>
      </w:r>
      <w:r w:rsidR="0075777C">
        <w:t>in all PAH patients</w:t>
      </w:r>
      <w:bookmarkEnd w:id="370"/>
    </w:p>
    <w:tbl>
      <w:tblPr>
        <w:tblStyle w:val="TableGrid"/>
        <w:tblW w:w="9639" w:type="dxa"/>
        <w:tblLayout w:type="fixed"/>
        <w:tblLook w:val="04A0" w:firstRow="1" w:lastRow="0" w:firstColumn="1" w:lastColumn="0" w:noHBand="0" w:noVBand="1"/>
        <w:tblCaption w:val="Balance of clinical harms of a PDE-5 inhibitor in addition to an ERA, relative to ERA monotherapy in all PAH patients"/>
      </w:tblPr>
      <w:tblGrid>
        <w:gridCol w:w="1560"/>
        <w:gridCol w:w="1275"/>
        <w:gridCol w:w="1701"/>
        <w:gridCol w:w="1418"/>
        <w:gridCol w:w="2693"/>
        <w:gridCol w:w="992"/>
      </w:tblGrid>
      <w:tr w:rsidR="0075777C" w:rsidRPr="000647C6" w:rsidTr="000647C6">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0647C6" w:rsidRDefault="0075777C" w:rsidP="000647C6">
            <w:pPr>
              <w:pStyle w:val="Tabletext"/>
              <w:rPr>
                <w:b/>
                <w:noProof/>
              </w:rPr>
            </w:pPr>
            <w:r w:rsidRPr="000647C6">
              <w:rPr>
                <w:b/>
                <w:noProof/>
              </w:rPr>
              <w:t xml:space="preserve">Outcomes </w:t>
            </w:r>
          </w:p>
        </w:tc>
        <w:tc>
          <w:tcPr>
            <w:tcW w:w="1275" w:type="dxa"/>
          </w:tcPr>
          <w:p w:rsidR="0075777C" w:rsidRPr="000647C6" w:rsidRDefault="0075777C" w:rsidP="000647C6">
            <w:pPr>
              <w:pStyle w:val="Tabletext"/>
              <w:rPr>
                <w:b/>
                <w:noProof/>
              </w:rPr>
            </w:pPr>
            <w:r w:rsidRPr="000647C6">
              <w:rPr>
                <w:b/>
                <w:noProof/>
              </w:rPr>
              <w:t>Participants (studies)</w:t>
            </w:r>
          </w:p>
        </w:tc>
        <w:tc>
          <w:tcPr>
            <w:tcW w:w="1701" w:type="dxa"/>
          </w:tcPr>
          <w:p w:rsidR="0075777C" w:rsidRPr="000647C6" w:rsidRDefault="0075777C" w:rsidP="000647C6">
            <w:pPr>
              <w:pStyle w:val="Tabletext"/>
              <w:rPr>
                <w:b/>
                <w:noProof/>
              </w:rPr>
            </w:pPr>
            <w:r w:rsidRPr="000647C6">
              <w:rPr>
                <w:b/>
                <w:noProof/>
              </w:rPr>
              <w:t>Quality of evidence</w:t>
            </w:r>
          </w:p>
        </w:tc>
        <w:tc>
          <w:tcPr>
            <w:tcW w:w="1418" w:type="dxa"/>
          </w:tcPr>
          <w:p w:rsidR="0075777C" w:rsidRPr="000647C6" w:rsidRDefault="0075777C" w:rsidP="000647C6">
            <w:pPr>
              <w:pStyle w:val="Tabletext"/>
              <w:rPr>
                <w:b/>
                <w:noProof/>
              </w:rPr>
            </w:pPr>
            <w:r w:rsidRPr="000647C6">
              <w:rPr>
                <w:b/>
                <w:noProof/>
              </w:rPr>
              <w:t>Results</w:t>
            </w:r>
          </w:p>
        </w:tc>
        <w:tc>
          <w:tcPr>
            <w:tcW w:w="2693" w:type="dxa"/>
          </w:tcPr>
          <w:p w:rsidR="0075777C" w:rsidRPr="000647C6" w:rsidRDefault="0075777C" w:rsidP="000647C6">
            <w:pPr>
              <w:pStyle w:val="Tabletext"/>
              <w:rPr>
                <w:b/>
                <w:noProof/>
              </w:rPr>
            </w:pPr>
            <w:r w:rsidRPr="000647C6">
              <w:rPr>
                <w:b/>
                <w:noProof/>
              </w:rPr>
              <w:t>Interpretation</w:t>
            </w:r>
          </w:p>
        </w:tc>
        <w:tc>
          <w:tcPr>
            <w:tcW w:w="992" w:type="dxa"/>
          </w:tcPr>
          <w:p w:rsidR="0075777C" w:rsidRPr="000647C6" w:rsidRDefault="0075777C" w:rsidP="000647C6">
            <w:pPr>
              <w:pStyle w:val="Tabletext"/>
              <w:rPr>
                <w:b/>
                <w:noProof/>
              </w:rPr>
            </w:pPr>
            <w:r w:rsidRPr="000647C6">
              <w:rPr>
                <w:b/>
                <w:noProof/>
              </w:rPr>
              <w:t>GRADE</w:t>
            </w:r>
            <w:r w:rsidR="00F24B06" w:rsidRPr="00F24B06">
              <w:rPr>
                <w:b/>
                <w:noProof/>
                <w:vertAlign w:val="superscript"/>
              </w:rPr>
              <w:t>a</w:t>
            </w:r>
          </w:p>
          <w:p w:rsidR="0075777C" w:rsidRPr="000647C6" w:rsidRDefault="0075777C" w:rsidP="000647C6">
            <w:pPr>
              <w:pStyle w:val="Tabletext"/>
              <w:rPr>
                <w:b/>
                <w:noProof/>
              </w:rPr>
            </w:pPr>
            <w:r w:rsidRPr="000647C6">
              <w:rPr>
                <w:b/>
                <w:noProof/>
              </w:rPr>
              <w:t>Importance</w:t>
            </w:r>
          </w:p>
        </w:tc>
      </w:tr>
      <w:tr w:rsidR="0075777C" w:rsidRPr="006316DF" w:rsidTr="000647C6">
        <w:tc>
          <w:tcPr>
            <w:tcW w:w="1560" w:type="dxa"/>
          </w:tcPr>
          <w:p w:rsidR="0075777C" w:rsidRPr="006316DF" w:rsidRDefault="0075777C" w:rsidP="000647C6">
            <w:pPr>
              <w:pStyle w:val="Tabletext"/>
            </w:pPr>
            <w:r>
              <w:t>Any AE</w:t>
            </w:r>
            <w:r w:rsidRPr="006316DF">
              <w:t xml:space="preserve"> </w:t>
            </w:r>
          </w:p>
        </w:tc>
        <w:tc>
          <w:tcPr>
            <w:tcW w:w="1275" w:type="dxa"/>
          </w:tcPr>
          <w:p w:rsidR="0075777C" w:rsidRPr="006316DF" w:rsidRDefault="0075777C" w:rsidP="000647C6">
            <w:pPr>
              <w:pStyle w:val="Tabletext"/>
            </w:pPr>
            <w:r>
              <w:t>N=190</w:t>
            </w:r>
          </w:p>
          <w:p w:rsidR="0075777C" w:rsidRPr="006316DF" w:rsidRDefault="0075777C" w:rsidP="000647C6">
            <w:pPr>
              <w:pStyle w:val="Tabletext"/>
            </w:pPr>
            <w:r w:rsidRPr="006316DF">
              <w:t>k=</w:t>
            </w:r>
            <w:r>
              <w:t>2</w:t>
            </w:r>
            <w:r w:rsidRPr="006316DF">
              <w:t xml:space="preserve"> RCT</w:t>
            </w:r>
            <w:r>
              <w: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8" w:type="dxa"/>
          </w:tcPr>
          <w:p w:rsidR="0075777C" w:rsidRPr="000E45D6" w:rsidRDefault="0075777C" w:rsidP="000647C6">
            <w:pPr>
              <w:pStyle w:val="Tabletext"/>
            </w:pPr>
            <w:r>
              <w:t xml:space="preserve">Pooled </w:t>
            </w:r>
            <w:r w:rsidRPr="000E45D6">
              <w:t xml:space="preserve">RR = </w:t>
            </w:r>
            <w:r>
              <w:t>1.</w:t>
            </w:r>
            <w:r w:rsidRPr="000E45D6">
              <w:t>0</w:t>
            </w:r>
            <w:r>
              <w:t>0</w:t>
            </w:r>
            <w:r w:rsidRPr="000E45D6">
              <w:t xml:space="preserve"> (95% CI 0.</w:t>
            </w:r>
            <w:r>
              <w:t>79</w:t>
            </w:r>
            <w:r w:rsidRPr="000E45D6">
              <w:t xml:space="preserve">, </w:t>
            </w:r>
            <w:r>
              <w:t>1.27</w:t>
            </w:r>
            <w:r w:rsidRPr="000E45D6">
              <w:t>)</w:t>
            </w:r>
          </w:p>
        </w:tc>
        <w:tc>
          <w:tcPr>
            <w:tcW w:w="2693" w:type="dxa"/>
          </w:tcPr>
          <w:p w:rsidR="0075777C" w:rsidRPr="000E45D6" w:rsidRDefault="0075777C" w:rsidP="000647C6">
            <w:pPr>
              <w:pStyle w:val="Tabletext"/>
            </w:pPr>
            <w:r>
              <w:t>T</w:t>
            </w:r>
            <w:r w:rsidRPr="000E45D6">
              <w:t xml:space="preserve">he </w:t>
            </w:r>
            <w:r>
              <w:t>proportion</w:t>
            </w:r>
            <w:r w:rsidRPr="000E45D6">
              <w:t xml:space="preserve"> of patients </w:t>
            </w:r>
            <w:r>
              <w:t>who</w:t>
            </w:r>
            <w:r w:rsidRPr="000E45D6">
              <w:t xml:space="preserve"> experience</w:t>
            </w:r>
            <w:r>
              <w:t>d</w:t>
            </w:r>
            <w:r w:rsidRPr="000E45D6">
              <w:t xml:space="preserve"> </w:t>
            </w:r>
            <w:r>
              <w:t>an AE</w:t>
            </w:r>
            <w:r w:rsidRPr="000E45D6">
              <w:t xml:space="preserve"> </w:t>
            </w:r>
            <w:r>
              <w:t>with combination therapy was similar to the proportion on monotherapy</w:t>
            </w:r>
          </w:p>
        </w:tc>
        <w:tc>
          <w:tcPr>
            <w:tcW w:w="992"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t>Important</w:t>
            </w:r>
          </w:p>
        </w:tc>
      </w:tr>
      <w:tr w:rsidR="0075777C" w:rsidRPr="006316DF" w:rsidTr="000647C6">
        <w:tc>
          <w:tcPr>
            <w:tcW w:w="1560" w:type="dxa"/>
          </w:tcPr>
          <w:p w:rsidR="0075777C" w:rsidRPr="006316DF" w:rsidRDefault="0075777C" w:rsidP="000647C6">
            <w:pPr>
              <w:pStyle w:val="Tabletext"/>
            </w:pPr>
            <w:r>
              <w:t>Serious AEs</w:t>
            </w:r>
          </w:p>
        </w:tc>
        <w:tc>
          <w:tcPr>
            <w:tcW w:w="1275" w:type="dxa"/>
          </w:tcPr>
          <w:p w:rsidR="0075777C" w:rsidRPr="006316DF" w:rsidRDefault="0075777C" w:rsidP="000647C6">
            <w:pPr>
              <w:pStyle w:val="Tabletext"/>
            </w:pPr>
            <w:r w:rsidRPr="006316DF">
              <w:t>N=</w:t>
            </w:r>
            <w:r>
              <w:t>482</w:t>
            </w:r>
          </w:p>
          <w:p w:rsidR="0075777C" w:rsidRPr="006316DF" w:rsidRDefault="0075777C" w:rsidP="000647C6">
            <w:pPr>
              <w:pStyle w:val="Tabletext"/>
            </w:pPr>
            <w:r w:rsidRPr="006316DF">
              <w:t>k=2 RCTs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8" w:type="dxa"/>
          </w:tcPr>
          <w:p w:rsidR="0075777C" w:rsidRPr="000E45D6" w:rsidRDefault="0075777C" w:rsidP="000647C6">
            <w:pPr>
              <w:pStyle w:val="Tabletext"/>
            </w:pPr>
            <w:r w:rsidRPr="000E45D6">
              <w:t>Pooled RR = 0.</w:t>
            </w:r>
            <w:r>
              <w:t>99 (95% CI 0</w:t>
            </w:r>
            <w:r w:rsidRPr="000E45D6">
              <w:t>.</w:t>
            </w:r>
            <w:r>
              <w:t>76, 1.29</w:t>
            </w:r>
            <w:r w:rsidRPr="000E45D6">
              <w:t>)</w:t>
            </w:r>
          </w:p>
        </w:tc>
        <w:tc>
          <w:tcPr>
            <w:tcW w:w="2693" w:type="dxa"/>
          </w:tcPr>
          <w:p w:rsidR="0075777C" w:rsidRPr="000E45D6" w:rsidRDefault="0075777C" w:rsidP="000647C6">
            <w:pPr>
              <w:pStyle w:val="Tabletext"/>
            </w:pPr>
            <w:r>
              <w:t>T</w:t>
            </w:r>
            <w:r w:rsidRPr="000E45D6">
              <w:t xml:space="preserve">he </w:t>
            </w:r>
            <w:r>
              <w:t>proportion</w:t>
            </w:r>
            <w:r w:rsidRPr="000E45D6">
              <w:t xml:space="preserve"> of patients </w:t>
            </w:r>
            <w:r>
              <w:t>who</w:t>
            </w:r>
            <w:r w:rsidRPr="000E45D6">
              <w:t xml:space="preserve"> </w:t>
            </w:r>
            <w:r>
              <w:t>had a serious AE</w:t>
            </w:r>
            <w:r w:rsidRPr="000E45D6">
              <w:t xml:space="preserve"> </w:t>
            </w:r>
            <w:r>
              <w:t>with combination therapy was similar to the proportion on monotherapy</w:t>
            </w:r>
          </w:p>
        </w:tc>
        <w:tc>
          <w:tcPr>
            <w:tcW w:w="992"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t>Important</w:t>
            </w:r>
          </w:p>
        </w:tc>
      </w:tr>
      <w:tr w:rsidR="0075777C" w:rsidRPr="006316DF" w:rsidTr="000647C6">
        <w:tc>
          <w:tcPr>
            <w:tcW w:w="1560" w:type="dxa"/>
          </w:tcPr>
          <w:p w:rsidR="0075777C" w:rsidRPr="006316DF" w:rsidRDefault="0075777C" w:rsidP="000647C6">
            <w:pPr>
              <w:pStyle w:val="Tabletext"/>
            </w:pPr>
            <w:r w:rsidRPr="000E45D6">
              <w:t>AEs leading to treatment discontinuation</w:t>
            </w:r>
          </w:p>
        </w:tc>
        <w:tc>
          <w:tcPr>
            <w:tcW w:w="1275" w:type="dxa"/>
          </w:tcPr>
          <w:p w:rsidR="0075777C" w:rsidRPr="006316DF" w:rsidRDefault="0075777C" w:rsidP="000647C6">
            <w:pPr>
              <w:pStyle w:val="Tabletext"/>
            </w:pPr>
            <w:r>
              <w:t>N=503</w:t>
            </w:r>
          </w:p>
          <w:p w:rsidR="0075777C" w:rsidRPr="006316DF" w:rsidRDefault="0075777C" w:rsidP="000647C6">
            <w:pPr>
              <w:pStyle w:val="Tabletext"/>
            </w:pPr>
            <w:r w:rsidRPr="006316DF">
              <w:t>k=</w:t>
            </w:r>
            <w:r>
              <w:t>2</w:t>
            </w:r>
            <w:r w:rsidRPr="006316DF">
              <w:t xml:space="preserve"> RCT</w:t>
            </w:r>
            <w:r>
              <w: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t>Imprecision: −1</w:t>
            </w:r>
          </w:p>
          <w:p w:rsidR="0075777C" w:rsidRDefault="0075777C" w:rsidP="000647C6">
            <w:pPr>
              <w:pStyle w:val="Tabletext"/>
            </w:pPr>
            <w:r w:rsidRPr="006316DF">
              <w:t>Publication bias: 0</w:t>
            </w:r>
          </w:p>
          <w:p w:rsidR="0075777C" w:rsidRPr="006316DF" w:rsidRDefault="00F95747" w:rsidP="000647C6">
            <w:pPr>
              <w:pStyle w:val="Tabletext"/>
            </w:pPr>
            <w:r>
              <w:t>Association: 0</w:t>
            </w:r>
          </w:p>
        </w:tc>
        <w:tc>
          <w:tcPr>
            <w:tcW w:w="1418" w:type="dxa"/>
          </w:tcPr>
          <w:p w:rsidR="0075777C" w:rsidRPr="002812F2" w:rsidRDefault="0075777C" w:rsidP="000647C6">
            <w:pPr>
              <w:pStyle w:val="Tabletext"/>
            </w:pPr>
            <w:r>
              <w:t xml:space="preserve">Pooled </w:t>
            </w:r>
            <w:r w:rsidRPr="002812F2">
              <w:t>RR = 1</w:t>
            </w:r>
            <w:r>
              <w:t>.65</w:t>
            </w:r>
            <w:r w:rsidRPr="002812F2">
              <w:t xml:space="preserve"> (</w:t>
            </w:r>
            <w:r>
              <w:t>95% CI 0.35</w:t>
            </w:r>
            <w:r w:rsidRPr="002812F2">
              <w:t xml:space="preserve">, </w:t>
            </w:r>
            <w:r>
              <w:t>7</w:t>
            </w:r>
            <w:r w:rsidRPr="002812F2">
              <w:t>.</w:t>
            </w:r>
            <w:r>
              <w:t>81</w:t>
            </w:r>
            <w:r w:rsidRPr="002812F2">
              <w:t>)</w:t>
            </w:r>
          </w:p>
        </w:tc>
        <w:tc>
          <w:tcPr>
            <w:tcW w:w="2693" w:type="dxa"/>
          </w:tcPr>
          <w:p w:rsidR="0075777C" w:rsidRPr="002812F2" w:rsidRDefault="0075777C" w:rsidP="000647C6">
            <w:pPr>
              <w:pStyle w:val="Tabletext"/>
            </w:pPr>
            <w:r>
              <w:t>M</w:t>
            </w:r>
            <w:r w:rsidRPr="002812F2">
              <w:t xml:space="preserve">ore patients </w:t>
            </w:r>
            <w:r>
              <w:t>needed to discontinue treatment due to</w:t>
            </w:r>
            <w:r w:rsidRPr="00424867">
              <w:t xml:space="preserve"> a</w:t>
            </w:r>
            <w:r>
              <w:t>n</w:t>
            </w:r>
            <w:r w:rsidRPr="00424867">
              <w:t xml:space="preserve"> AE with combination th</w:t>
            </w:r>
            <w:r>
              <w:t xml:space="preserve">erapy compared with monotherapy, </w:t>
            </w:r>
            <w:r w:rsidRPr="00424867">
              <w:t xml:space="preserve">but the </w:t>
            </w:r>
            <w:r w:rsidR="00D84687">
              <w:t>95% CI indicates</w:t>
            </w:r>
            <w:r w:rsidRPr="00424867">
              <w:t xml:space="preserve"> that there could also be no </w:t>
            </w:r>
            <w:r>
              <w:t xml:space="preserve">or the opposite </w:t>
            </w:r>
            <w:r w:rsidRPr="00424867">
              <w:t>effect</w:t>
            </w:r>
            <w:r>
              <w:t>.</w:t>
            </w:r>
          </w:p>
        </w:tc>
        <w:tc>
          <w:tcPr>
            <w:tcW w:w="992" w:type="dxa"/>
          </w:tcPr>
          <w:p w:rsidR="00F95747" w:rsidRDefault="00F95747" w:rsidP="00F95747">
            <w:pPr>
              <w:pStyle w:val="Tabletext"/>
              <w:rPr>
                <w:rFonts w:eastAsia="Times New Roman" w:cs="Tahoma"/>
                <w:bCs/>
              </w:rPr>
            </w:pPr>
            <w:r>
              <w:rPr>
                <w:rFonts w:eastAsia="Times New Roman" w:cs="Tahoma"/>
                <w:bCs/>
              </w:rPr>
              <w:t>Moderate</w:t>
            </w:r>
          </w:p>
          <w:p w:rsidR="00F95747" w:rsidRDefault="00F95747" w:rsidP="00F95747">
            <w:pPr>
              <w:pStyle w:val="Tabletext"/>
              <w:rPr>
                <w:rFonts w:ascii="Cambria Math" w:eastAsia="Times New Roman" w:hAnsi="Cambria Math" w:cs="Cambria Math"/>
                <w:bCs/>
              </w:rPr>
            </w:pP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75777C" w:rsidRPr="006316DF" w:rsidRDefault="0075777C" w:rsidP="000647C6">
            <w:pPr>
              <w:pStyle w:val="Tabletext"/>
            </w:pPr>
            <w:r w:rsidRPr="006316DF">
              <w:t>Important</w:t>
            </w:r>
          </w:p>
        </w:tc>
      </w:tr>
    </w:tbl>
    <w:p w:rsidR="0075777C" w:rsidRPr="006316DF" w:rsidRDefault="0075777C" w:rsidP="000647C6">
      <w:pPr>
        <w:pStyle w:val="Tablenote"/>
      </w:pPr>
      <w:r w:rsidRPr="006316DF">
        <w:rPr>
          <w:vertAlign w:val="superscript"/>
        </w:rPr>
        <w:t xml:space="preserve">a </w:t>
      </w:r>
      <w:r w:rsidRPr="006316DF">
        <w:t xml:space="preserve">GRADE Working Group grades of evidence </w:t>
      </w:r>
      <w:r w:rsidR="001D34EE" w:rsidRPr="001D34EE">
        <w:rPr>
          <w:noProof/>
          <w:vertAlign w:val="superscript"/>
        </w:rPr>
        <w:t>1</w:t>
      </w:r>
    </w:p>
    <w:p w:rsidR="0075777C" w:rsidRDefault="0075777C" w:rsidP="000647C6">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F95747" w:rsidRPr="00E564DD" w:rsidRDefault="00F95747" w:rsidP="00F95747">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F24B06" w:rsidRDefault="0075777C" w:rsidP="000647C6">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w:t>
      </w:r>
      <w:r w:rsidR="00385E5A">
        <w:t>GRADE = grading of recommendations assessment, development and evaluation</w:t>
      </w:r>
      <w:r w:rsidR="001D34EE" w:rsidRPr="001D34EE">
        <w:rPr>
          <w:noProof/>
          <w:vertAlign w:val="superscript"/>
        </w:rPr>
        <w:t>1</w:t>
      </w:r>
      <w:r w:rsidR="00F24B06" w:rsidRPr="00F24B06">
        <w:t xml:space="preserve">; k = number of studies; </w:t>
      </w:r>
      <w:r>
        <w:t xml:space="preserve">N = number of patients; </w:t>
      </w:r>
      <w:r w:rsidRPr="00C65B42">
        <w:t xml:space="preserve">PAH = pulmonary arterial hypertension; </w:t>
      </w:r>
      <w:r w:rsidRPr="009B5AB3">
        <w:t>PDE-5 = phosphodiesterase type-5</w:t>
      </w:r>
      <w:r>
        <w:t>;</w:t>
      </w:r>
      <w:r w:rsidRPr="009B5AB3">
        <w:t xml:space="preserve"> </w:t>
      </w:r>
      <w:r>
        <w:t>RCT = randomised controlled trial; RR = relative risk</w:t>
      </w:r>
    </w:p>
    <w:p w:rsidR="0075777C" w:rsidRDefault="0075777C" w:rsidP="0075777C">
      <w:r w:rsidRPr="006316DF">
        <w:t xml:space="preserve">The evidence for the </w:t>
      </w:r>
      <w:r>
        <w:t xml:space="preserve">safety </w:t>
      </w:r>
      <w:r w:rsidRPr="006316DF">
        <w:t xml:space="preserve">outcomes </w:t>
      </w:r>
      <w:r>
        <w:t xml:space="preserve">for patients with PAH-CTD is summarised </w:t>
      </w:r>
      <w:r w:rsidRPr="006316DF">
        <w:t>in</w:t>
      </w:r>
      <w:r>
        <w:t xml:space="preserve"> </w:t>
      </w:r>
      <w:r w:rsidR="00AA722D">
        <w:t>Table 4.</w:t>
      </w:r>
      <w:r w:rsidR="00AA722D">
        <w:rPr>
          <w:noProof/>
        </w:rPr>
        <w:t>134</w:t>
      </w:r>
      <w:r>
        <w:t xml:space="preserve">. </w:t>
      </w:r>
      <w:r w:rsidR="00E20AB7">
        <w:t>There were no new safety signal identified.</w:t>
      </w:r>
    </w:p>
    <w:p w:rsidR="0075777C" w:rsidRPr="00981BDF" w:rsidRDefault="0075777C" w:rsidP="0075777C">
      <w:r>
        <w:t xml:space="preserve">All outcomes were </w:t>
      </w:r>
      <w:r w:rsidRPr="006316DF">
        <w:t xml:space="preserve">considered to be of </w:t>
      </w:r>
      <w:r>
        <w:t>high</w:t>
      </w:r>
      <w:r w:rsidRPr="006316DF">
        <w:t xml:space="preserve"> quality (GRADE </w:t>
      </w:r>
      <w:r w:rsidRPr="00920393">
        <w:rPr>
          <w:rFonts w:ascii="Cambria Math" w:eastAsia="Times New Roman" w:hAnsi="Cambria Math" w:cs="Tahoma"/>
          <w:bCs/>
          <w:color w:val="00B050"/>
        </w:rPr>
        <w:t>⨁⨁⨁⨁</w:t>
      </w:r>
      <w:r w:rsidRPr="00981BDF">
        <w:t xml:space="preserve">). Patients were just as likely to </w:t>
      </w:r>
      <w:r w:rsidR="007E3A84">
        <w:t xml:space="preserve">have </w:t>
      </w:r>
      <w:r w:rsidRPr="00981BDF">
        <w:t xml:space="preserve">an AE </w:t>
      </w:r>
      <w:r w:rsidR="007E3A84">
        <w:t xml:space="preserve">and less likely to experience AE-related treatment discontinuation </w:t>
      </w:r>
      <w:r w:rsidRPr="00981BDF">
        <w:t xml:space="preserve">after starting combination therapy as they were on monotherapy. </w:t>
      </w:r>
      <w:r w:rsidR="007E3A84">
        <w:t>However, p</w:t>
      </w:r>
      <w:r w:rsidRPr="00981BDF">
        <w:t xml:space="preserve">atients on combination therapy were more likely to have a serious AE compared with those on monotherapy, but the </w:t>
      </w:r>
      <w:r w:rsidR="00D84687">
        <w:t xml:space="preserve">95% CI </w:t>
      </w:r>
      <w:r w:rsidR="007E3A84">
        <w:t>did not reach statistical significance</w:t>
      </w:r>
      <w:r w:rsidRPr="00981BDF">
        <w:t>.</w:t>
      </w:r>
    </w:p>
    <w:p w:rsidR="0075777C" w:rsidRDefault="00981BDF" w:rsidP="0075777C">
      <w:r w:rsidRPr="00981BDF">
        <w:t xml:space="preserve">Thus, </w:t>
      </w:r>
      <w:r w:rsidR="007E3A84" w:rsidRPr="007E3A84">
        <w:t xml:space="preserve">there is </w:t>
      </w:r>
      <w:r w:rsidR="007E3A84">
        <w:t>potential</w:t>
      </w:r>
      <w:r w:rsidR="007E3A84" w:rsidRPr="007E3A84">
        <w:t xml:space="preserve"> safety concern </w:t>
      </w:r>
      <w:r w:rsidR="007E3A84">
        <w:t>associated with the</w:t>
      </w:r>
      <w:r w:rsidRPr="00981BDF">
        <w:t xml:space="preserve"> use of a PDE</w:t>
      </w:r>
      <w:r w:rsidR="007E3A84">
        <w:t xml:space="preserve">-5 inhibitor in addition to an ERA </w:t>
      </w:r>
      <w:r w:rsidRPr="00981BDF">
        <w:t xml:space="preserve">when treating </w:t>
      </w:r>
      <w:r w:rsidR="0075777C">
        <w:t>patients with PAH-CTD</w:t>
      </w:r>
      <w:r w:rsidR="0075777C" w:rsidRPr="006316DF">
        <w:t xml:space="preserve">. </w:t>
      </w:r>
    </w:p>
    <w:p w:rsidR="0075777C" w:rsidRPr="006316DF" w:rsidRDefault="00272F8F" w:rsidP="00BC5A2B">
      <w:pPr>
        <w:pStyle w:val="Caption"/>
      </w:pPr>
      <w:bookmarkStart w:id="371" w:name="_Ref505781993"/>
      <w:bookmarkStart w:id="372" w:name="_Toc512855538"/>
      <w:r>
        <w:lastRenderedPageBreak/>
        <w:t>Table 4.</w:t>
      </w:r>
      <w:r w:rsidR="00AA722D">
        <w:rPr>
          <w:noProof/>
        </w:rPr>
        <w:t>134</w:t>
      </w:r>
      <w:bookmarkEnd w:id="371"/>
      <w:r w:rsidR="000647C6">
        <w:tab/>
      </w:r>
      <w:r w:rsidR="0075777C" w:rsidRPr="006316DF">
        <w:t xml:space="preserve">Balance of clinical harms of </w:t>
      </w:r>
      <w:r w:rsidR="001B552D">
        <w:t xml:space="preserve">a </w:t>
      </w:r>
      <w:r w:rsidR="0075777C" w:rsidRPr="006C4A08">
        <w:t xml:space="preserve">PDE-5 inhibitor in addition to </w:t>
      </w:r>
      <w:r w:rsidR="001B552D">
        <w:t xml:space="preserve">an </w:t>
      </w:r>
      <w:r w:rsidR="0075777C" w:rsidRPr="006C4A08">
        <w:t>ERA, relative to ERA monotherapy</w:t>
      </w:r>
      <w:r w:rsidR="0075777C" w:rsidRPr="004A69F0">
        <w:t xml:space="preserve"> </w:t>
      </w:r>
      <w:r w:rsidR="0075777C">
        <w:t xml:space="preserve">in patients </w:t>
      </w:r>
      <w:r w:rsidR="0075777C" w:rsidRPr="006C4A08">
        <w:t xml:space="preserve">with </w:t>
      </w:r>
      <w:r w:rsidR="0075777C">
        <w:t>PAH-CTD</w:t>
      </w:r>
      <w:bookmarkEnd w:id="372"/>
    </w:p>
    <w:tbl>
      <w:tblPr>
        <w:tblStyle w:val="TableGrid"/>
        <w:tblW w:w="9634" w:type="dxa"/>
        <w:tblLayout w:type="fixed"/>
        <w:tblLook w:val="04A0" w:firstRow="1" w:lastRow="0" w:firstColumn="1" w:lastColumn="0" w:noHBand="0" w:noVBand="1"/>
        <w:tblCaption w:val="Balance of clinical harms of a PDE-5 inhibitor in addition to an ERA, relative to ERA monotherapy in patients with PAH-CTD"/>
      </w:tblPr>
      <w:tblGrid>
        <w:gridCol w:w="1560"/>
        <w:gridCol w:w="1275"/>
        <w:gridCol w:w="1701"/>
        <w:gridCol w:w="1413"/>
        <w:gridCol w:w="2551"/>
        <w:gridCol w:w="1134"/>
      </w:tblGrid>
      <w:tr w:rsidR="0075777C" w:rsidRPr="00981BDF" w:rsidTr="00805885">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981BDF" w:rsidRDefault="0075777C" w:rsidP="000647C6">
            <w:pPr>
              <w:pStyle w:val="Tabletext"/>
              <w:rPr>
                <w:b/>
                <w:noProof/>
              </w:rPr>
            </w:pPr>
            <w:r w:rsidRPr="00981BDF">
              <w:rPr>
                <w:b/>
                <w:noProof/>
              </w:rPr>
              <w:t xml:space="preserve">Outcomes </w:t>
            </w:r>
          </w:p>
        </w:tc>
        <w:tc>
          <w:tcPr>
            <w:tcW w:w="1275" w:type="dxa"/>
          </w:tcPr>
          <w:p w:rsidR="0075777C" w:rsidRPr="00981BDF" w:rsidRDefault="0075777C" w:rsidP="000647C6">
            <w:pPr>
              <w:pStyle w:val="Tabletext"/>
              <w:rPr>
                <w:b/>
                <w:noProof/>
              </w:rPr>
            </w:pPr>
            <w:r w:rsidRPr="00981BDF">
              <w:rPr>
                <w:b/>
                <w:noProof/>
              </w:rPr>
              <w:t>Participants (studies)</w:t>
            </w:r>
          </w:p>
        </w:tc>
        <w:tc>
          <w:tcPr>
            <w:tcW w:w="1701" w:type="dxa"/>
          </w:tcPr>
          <w:p w:rsidR="0075777C" w:rsidRPr="00981BDF" w:rsidRDefault="0075777C" w:rsidP="000647C6">
            <w:pPr>
              <w:pStyle w:val="Tabletext"/>
              <w:rPr>
                <w:b/>
                <w:noProof/>
              </w:rPr>
            </w:pPr>
            <w:r w:rsidRPr="00981BDF">
              <w:rPr>
                <w:b/>
                <w:noProof/>
              </w:rPr>
              <w:t>Quality of evidence</w:t>
            </w:r>
          </w:p>
        </w:tc>
        <w:tc>
          <w:tcPr>
            <w:tcW w:w="1413" w:type="dxa"/>
          </w:tcPr>
          <w:p w:rsidR="0075777C" w:rsidRPr="00981BDF" w:rsidRDefault="0075777C" w:rsidP="000647C6">
            <w:pPr>
              <w:pStyle w:val="Tabletext"/>
              <w:rPr>
                <w:b/>
                <w:noProof/>
              </w:rPr>
            </w:pPr>
            <w:r w:rsidRPr="00981BDF">
              <w:rPr>
                <w:b/>
                <w:noProof/>
              </w:rPr>
              <w:t>Results</w:t>
            </w:r>
          </w:p>
        </w:tc>
        <w:tc>
          <w:tcPr>
            <w:tcW w:w="2551" w:type="dxa"/>
          </w:tcPr>
          <w:p w:rsidR="0075777C" w:rsidRPr="00981BDF" w:rsidRDefault="0075777C" w:rsidP="000647C6">
            <w:pPr>
              <w:pStyle w:val="Tabletext"/>
              <w:rPr>
                <w:b/>
                <w:noProof/>
              </w:rPr>
            </w:pPr>
            <w:r w:rsidRPr="00981BDF">
              <w:rPr>
                <w:b/>
                <w:noProof/>
              </w:rPr>
              <w:t>Interpretation</w:t>
            </w:r>
          </w:p>
        </w:tc>
        <w:tc>
          <w:tcPr>
            <w:tcW w:w="1134" w:type="dxa"/>
          </w:tcPr>
          <w:p w:rsidR="0075777C" w:rsidRPr="00981BDF" w:rsidRDefault="0075777C" w:rsidP="000647C6">
            <w:pPr>
              <w:pStyle w:val="Tabletext"/>
              <w:rPr>
                <w:b/>
                <w:noProof/>
              </w:rPr>
            </w:pPr>
            <w:r w:rsidRPr="00981BDF">
              <w:rPr>
                <w:b/>
                <w:noProof/>
              </w:rPr>
              <w:t>GRADE</w:t>
            </w:r>
            <w:r w:rsidR="00F24B06" w:rsidRPr="00F24B06">
              <w:rPr>
                <w:b/>
                <w:noProof/>
                <w:vertAlign w:val="superscript"/>
              </w:rPr>
              <w:t>a</w:t>
            </w:r>
          </w:p>
          <w:p w:rsidR="0075777C" w:rsidRPr="00981BDF" w:rsidRDefault="0075777C" w:rsidP="000647C6">
            <w:pPr>
              <w:pStyle w:val="Tabletext"/>
              <w:rPr>
                <w:b/>
                <w:noProof/>
              </w:rPr>
            </w:pPr>
            <w:r w:rsidRPr="00981BDF">
              <w:rPr>
                <w:b/>
                <w:noProof/>
              </w:rPr>
              <w:t>Importance</w:t>
            </w:r>
          </w:p>
        </w:tc>
      </w:tr>
      <w:tr w:rsidR="0075777C" w:rsidRPr="006316DF" w:rsidTr="00805885">
        <w:tc>
          <w:tcPr>
            <w:tcW w:w="1560" w:type="dxa"/>
          </w:tcPr>
          <w:p w:rsidR="0075777C" w:rsidRPr="006316DF" w:rsidRDefault="0075777C" w:rsidP="000647C6">
            <w:pPr>
              <w:pStyle w:val="Tabletext"/>
              <w:rPr>
                <w:rFonts w:cs="Arial"/>
              </w:rPr>
            </w:pPr>
            <w:r>
              <w:rPr>
                <w:rFonts w:cs="Arial"/>
              </w:rPr>
              <w:t>Any AE</w:t>
            </w:r>
            <w:r w:rsidRPr="006316DF">
              <w:rPr>
                <w:rFonts w:cs="Arial"/>
              </w:rPr>
              <w:t xml:space="preserve"> </w:t>
            </w:r>
            <w:r>
              <w:rPr>
                <w:rFonts w:cs="Arial"/>
              </w:rPr>
              <w:t>in PAH-CTD</w:t>
            </w:r>
          </w:p>
        </w:tc>
        <w:tc>
          <w:tcPr>
            <w:tcW w:w="1275" w:type="dxa"/>
          </w:tcPr>
          <w:p w:rsidR="0075777C" w:rsidRPr="006316DF" w:rsidRDefault="0075777C" w:rsidP="000647C6">
            <w:pPr>
              <w:pStyle w:val="Tabletext"/>
              <w:rPr>
                <w:rFonts w:cs="Arial"/>
              </w:rPr>
            </w:pPr>
            <w:r>
              <w:rPr>
                <w:rFonts w:cs="Arial"/>
              </w:rPr>
              <w:t>N=146</w:t>
            </w:r>
          </w:p>
          <w:p w:rsidR="0075777C" w:rsidRPr="006316DF" w:rsidRDefault="0075777C" w:rsidP="000647C6">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0647C6">
            <w:pPr>
              <w:pStyle w:val="Tabletext"/>
              <w:rPr>
                <w:rFonts w:cs="Arial"/>
              </w:rPr>
            </w:pPr>
            <w:r>
              <w:rPr>
                <w:rFonts w:cs="Arial"/>
              </w:rPr>
              <w:t>Risk of bias: 0</w:t>
            </w:r>
          </w:p>
          <w:p w:rsidR="0075777C" w:rsidRPr="006316DF" w:rsidRDefault="0075777C" w:rsidP="000647C6">
            <w:pPr>
              <w:pStyle w:val="Tabletext"/>
              <w:rPr>
                <w:rFonts w:cs="Arial"/>
              </w:rPr>
            </w:pPr>
            <w:r w:rsidRPr="006316DF">
              <w:rPr>
                <w:rFonts w:cs="Arial"/>
              </w:rPr>
              <w:t>Inconsistency: 0</w:t>
            </w:r>
          </w:p>
          <w:p w:rsidR="0075777C" w:rsidRPr="006316DF" w:rsidRDefault="0075777C" w:rsidP="000647C6">
            <w:pPr>
              <w:pStyle w:val="Tabletext"/>
              <w:rPr>
                <w:rFonts w:cs="Arial"/>
              </w:rPr>
            </w:pPr>
            <w:r w:rsidRPr="006316DF">
              <w:rPr>
                <w:rFonts w:cs="Arial"/>
              </w:rPr>
              <w:t>Indirectness: 0</w:t>
            </w:r>
          </w:p>
          <w:p w:rsidR="0075777C" w:rsidRDefault="0075777C" w:rsidP="000647C6">
            <w:pPr>
              <w:pStyle w:val="Tabletext"/>
              <w:rPr>
                <w:rFonts w:cs="Arial"/>
              </w:rPr>
            </w:pPr>
            <w:r w:rsidRPr="006316DF">
              <w:rPr>
                <w:rFonts w:cs="Arial"/>
              </w:rPr>
              <w:t>Imprecision: 0</w:t>
            </w:r>
          </w:p>
          <w:p w:rsidR="0075777C" w:rsidRDefault="0075777C" w:rsidP="000647C6">
            <w:pPr>
              <w:pStyle w:val="Tabletext"/>
              <w:rPr>
                <w:rFonts w:cs="Arial"/>
              </w:rPr>
            </w:pPr>
            <w:r w:rsidRPr="006316DF">
              <w:rPr>
                <w:rFonts w:cs="Arial"/>
              </w:rPr>
              <w:t>Publication bias: 0</w:t>
            </w:r>
          </w:p>
          <w:p w:rsidR="0075777C" w:rsidRPr="006316DF" w:rsidRDefault="0075777C" w:rsidP="000647C6">
            <w:pPr>
              <w:pStyle w:val="Tabletext"/>
              <w:rPr>
                <w:rFonts w:cs="Arial"/>
              </w:rPr>
            </w:pPr>
            <w:r>
              <w:rPr>
                <w:rFonts w:cs="Arial"/>
              </w:rPr>
              <w:t>Association: 0</w:t>
            </w:r>
          </w:p>
        </w:tc>
        <w:tc>
          <w:tcPr>
            <w:tcW w:w="1413" w:type="dxa"/>
          </w:tcPr>
          <w:p w:rsidR="0075777C" w:rsidRPr="000E45D6" w:rsidRDefault="0075777C" w:rsidP="000647C6">
            <w:pPr>
              <w:pStyle w:val="Tabletext"/>
              <w:rPr>
                <w:rFonts w:cs="Arial"/>
              </w:rPr>
            </w:pPr>
            <w:r w:rsidRPr="000E45D6">
              <w:rPr>
                <w:rFonts w:cs="Arial"/>
              </w:rPr>
              <w:t xml:space="preserve">RR = </w:t>
            </w:r>
            <w:r>
              <w:rPr>
                <w:rFonts w:cs="Arial"/>
              </w:rPr>
              <w:t>1.</w:t>
            </w:r>
            <w:r w:rsidRPr="000E45D6">
              <w:rPr>
                <w:rFonts w:cs="Arial"/>
              </w:rPr>
              <w:t>0</w:t>
            </w:r>
            <w:r>
              <w:rPr>
                <w:rFonts w:cs="Arial"/>
              </w:rPr>
              <w:t>4</w:t>
            </w:r>
            <w:r w:rsidRPr="000E45D6">
              <w:rPr>
                <w:rFonts w:cs="Arial"/>
              </w:rPr>
              <w:t xml:space="preserve"> (95% CI 0.</w:t>
            </w:r>
            <w:r>
              <w:rPr>
                <w:rFonts w:cs="Arial"/>
              </w:rPr>
              <w:t>97</w:t>
            </w:r>
            <w:r w:rsidRPr="000E45D6">
              <w:rPr>
                <w:rFonts w:cs="Arial"/>
              </w:rPr>
              <w:t xml:space="preserve">, </w:t>
            </w:r>
            <w:r>
              <w:rPr>
                <w:rFonts w:cs="Arial"/>
              </w:rPr>
              <w:t>1.11</w:t>
            </w:r>
            <w:r w:rsidRPr="000E45D6">
              <w:rPr>
                <w:rFonts w:cs="Arial"/>
              </w:rPr>
              <w:t>)</w:t>
            </w:r>
          </w:p>
        </w:tc>
        <w:tc>
          <w:tcPr>
            <w:tcW w:w="2551" w:type="dxa"/>
          </w:tcPr>
          <w:p w:rsidR="0075777C" w:rsidRPr="000E45D6" w:rsidRDefault="0075777C" w:rsidP="000647C6">
            <w:pPr>
              <w:pStyle w:val="Tabletext"/>
              <w:rPr>
                <w:rFonts w:cs="Arial"/>
              </w:rPr>
            </w:pPr>
            <w:r>
              <w:rPr>
                <w:rFonts w:cs="Arial"/>
              </w:rPr>
              <w:t>T</w:t>
            </w:r>
            <w:r w:rsidRPr="000E45D6">
              <w:rPr>
                <w:rFonts w:cs="Arial"/>
              </w:rPr>
              <w:t xml:space="preserve">he </w:t>
            </w:r>
            <w:r>
              <w:rPr>
                <w:rFonts w:cs="Arial"/>
              </w:rPr>
              <w:t>proportion</w:t>
            </w:r>
            <w:r w:rsidRPr="000E45D6">
              <w:rPr>
                <w:rFonts w:cs="Arial"/>
              </w:rPr>
              <w:t xml:space="preserve"> of patients </w:t>
            </w:r>
            <w:r>
              <w:rPr>
                <w:rFonts w:cs="Arial"/>
              </w:rPr>
              <w:t>with PAH-CTD who</w:t>
            </w:r>
            <w:r w:rsidRPr="000E45D6">
              <w:rPr>
                <w:rFonts w:cs="Arial"/>
              </w:rPr>
              <w:t xml:space="preserve"> experience</w:t>
            </w:r>
            <w:r>
              <w:rPr>
                <w:rFonts w:cs="Arial"/>
              </w:rPr>
              <w:t>d</w:t>
            </w:r>
            <w:r w:rsidRPr="000E45D6">
              <w:rPr>
                <w:rFonts w:cs="Arial"/>
              </w:rPr>
              <w:t xml:space="preserve"> </w:t>
            </w:r>
            <w:r>
              <w:rPr>
                <w:rFonts w:cs="Arial"/>
              </w:rPr>
              <w:t>an AE</w:t>
            </w:r>
            <w:r w:rsidRPr="000E45D6">
              <w:rPr>
                <w:rFonts w:cs="Arial"/>
              </w:rPr>
              <w:t xml:space="preserve"> </w:t>
            </w:r>
            <w:r>
              <w:rPr>
                <w:rFonts w:cs="Arial"/>
              </w:rPr>
              <w:t>with combination therapy was similar to the proportion on monotherapy</w:t>
            </w:r>
          </w:p>
        </w:tc>
        <w:tc>
          <w:tcPr>
            <w:tcW w:w="1134" w:type="dxa"/>
          </w:tcPr>
          <w:p w:rsidR="0075777C" w:rsidRPr="006316DF" w:rsidRDefault="0075777C" w:rsidP="000647C6">
            <w:pPr>
              <w:pStyle w:val="Tabletext"/>
              <w:rPr>
                <w:rFonts w:cs="Arial"/>
              </w:rPr>
            </w:pPr>
            <w:r>
              <w:rPr>
                <w:rFonts w:cs="Arial"/>
              </w:rP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rPr>
                <w:rFonts w:cs="Arial"/>
              </w:rPr>
            </w:pPr>
            <w:r w:rsidRPr="006316DF">
              <w:rPr>
                <w:rFonts w:cs="Arial"/>
              </w:rPr>
              <w:t>Important</w:t>
            </w:r>
          </w:p>
        </w:tc>
      </w:tr>
      <w:tr w:rsidR="0075777C" w:rsidRPr="006316DF" w:rsidTr="00805885">
        <w:tc>
          <w:tcPr>
            <w:tcW w:w="1560" w:type="dxa"/>
          </w:tcPr>
          <w:p w:rsidR="0075777C" w:rsidRPr="006316DF" w:rsidRDefault="0075777C" w:rsidP="000647C6">
            <w:pPr>
              <w:pStyle w:val="Tabletext"/>
              <w:rPr>
                <w:rFonts w:cs="Arial"/>
              </w:rPr>
            </w:pPr>
            <w:r>
              <w:rPr>
                <w:rFonts w:cs="Arial"/>
              </w:rPr>
              <w:t>Serious AEs in PAH-CTD</w:t>
            </w:r>
          </w:p>
        </w:tc>
        <w:tc>
          <w:tcPr>
            <w:tcW w:w="1275" w:type="dxa"/>
          </w:tcPr>
          <w:p w:rsidR="0075777C" w:rsidRPr="006316DF" w:rsidRDefault="0075777C" w:rsidP="000647C6">
            <w:pPr>
              <w:pStyle w:val="Tabletext"/>
              <w:rPr>
                <w:rFonts w:cs="Arial"/>
              </w:rPr>
            </w:pPr>
            <w:r w:rsidRPr="006316DF">
              <w:rPr>
                <w:rFonts w:cs="Arial"/>
              </w:rPr>
              <w:t>N=</w:t>
            </w:r>
            <w:r>
              <w:rPr>
                <w:rFonts w:cs="Arial"/>
              </w:rPr>
              <w:t>146</w:t>
            </w:r>
          </w:p>
          <w:p w:rsidR="0075777C" w:rsidRPr="006316DF" w:rsidRDefault="0075777C" w:rsidP="000647C6">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0647C6">
            <w:pPr>
              <w:pStyle w:val="Tabletext"/>
              <w:rPr>
                <w:rFonts w:cs="Arial"/>
              </w:rPr>
            </w:pPr>
            <w:r>
              <w:rPr>
                <w:rFonts w:cs="Arial"/>
              </w:rPr>
              <w:t>Risk of bias: 0</w:t>
            </w:r>
          </w:p>
          <w:p w:rsidR="0075777C" w:rsidRPr="006316DF" w:rsidRDefault="0075777C" w:rsidP="000647C6">
            <w:pPr>
              <w:pStyle w:val="Tabletext"/>
              <w:rPr>
                <w:rFonts w:cs="Arial"/>
              </w:rPr>
            </w:pPr>
            <w:r w:rsidRPr="006316DF">
              <w:rPr>
                <w:rFonts w:cs="Arial"/>
              </w:rPr>
              <w:t>Inconsistency: 0</w:t>
            </w:r>
          </w:p>
          <w:p w:rsidR="0075777C" w:rsidRPr="006316DF" w:rsidRDefault="0075777C" w:rsidP="000647C6">
            <w:pPr>
              <w:pStyle w:val="Tabletext"/>
              <w:rPr>
                <w:rFonts w:cs="Arial"/>
              </w:rPr>
            </w:pPr>
            <w:r w:rsidRPr="006316DF">
              <w:rPr>
                <w:rFonts w:cs="Arial"/>
              </w:rPr>
              <w:t>Indirectness: 0</w:t>
            </w:r>
          </w:p>
          <w:p w:rsidR="0075777C" w:rsidRDefault="0075777C" w:rsidP="000647C6">
            <w:pPr>
              <w:pStyle w:val="Tabletext"/>
              <w:rPr>
                <w:rFonts w:cs="Arial"/>
              </w:rPr>
            </w:pPr>
            <w:r w:rsidRPr="006316DF">
              <w:rPr>
                <w:rFonts w:cs="Arial"/>
              </w:rPr>
              <w:t>Imprecision: 0</w:t>
            </w:r>
          </w:p>
          <w:p w:rsidR="0075777C" w:rsidRDefault="0075777C" w:rsidP="000647C6">
            <w:pPr>
              <w:pStyle w:val="Tabletext"/>
              <w:rPr>
                <w:rFonts w:cs="Arial"/>
              </w:rPr>
            </w:pPr>
            <w:r w:rsidRPr="006316DF">
              <w:rPr>
                <w:rFonts w:cs="Arial"/>
              </w:rPr>
              <w:t>Publication bias: 0</w:t>
            </w:r>
          </w:p>
          <w:p w:rsidR="0075777C" w:rsidRPr="006316DF" w:rsidRDefault="0075777C" w:rsidP="000647C6">
            <w:pPr>
              <w:pStyle w:val="Tabletext"/>
              <w:rPr>
                <w:rFonts w:cs="Arial"/>
              </w:rPr>
            </w:pPr>
            <w:r>
              <w:rPr>
                <w:rFonts w:cs="Arial"/>
              </w:rPr>
              <w:t>Association: 0</w:t>
            </w:r>
          </w:p>
        </w:tc>
        <w:tc>
          <w:tcPr>
            <w:tcW w:w="1413" w:type="dxa"/>
          </w:tcPr>
          <w:p w:rsidR="0075777C" w:rsidRPr="000E45D6" w:rsidRDefault="0075777C" w:rsidP="000647C6">
            <w:pPr>
              <w:pStyle w:val="Tabletext"/>
            </w:pPr>
            <w:r w:rsidRPr="000E45D6">
              <w:t xml:space="preserve">RR = </w:t>
            </w:r>
            <w:r>
              <w:t>1</w:t>
            </w:r>
            <w:r w:rsidRPr="000E45D6">
              <w:t>.</w:t>
            </w:r>
            <w:r>
              <w:t>28</w:t>
            </w:r>
            <w:r w:rsidRPr="000E45D6">
              <w:t xml:space="preserve"> (95% CI 0.</w:t>
            </w:r>
            <w:r>
              <w:t>80, 2</w:t>
            </w:r>
            <w:r w:rsidRPr="000E45D6">
              <w:t>.</w:t>
            </w:r>
            <w:r>
              <w:t>04</w:t>
            </w:r>
            <w:r w:rsidRPr="000E45D6">
              <w:t>)</w:t>
            </w:r>
          </w:p>
        </w:tc>
        <w:tc>
          <w:tcPr>
            <w:tcW w:w="2551" w:type="dxa"/>
          </w:tcPr>
          <w:p w:rsidR="0075777C" w:rsidRPr="000E45D6" w:rsidRDefault="0075777C" w:rsidP="000647C6">
            <w:pPr>
              <w:pStyle w:val="Tabletext"/>
            </w:pPr>
            <w:r>
              <w:rPr>
                <w:rFonts w:cs="Arial"/>
              </w:rPr>
              <w:t>More</w:t>
            </w:r>
            <w:r w:rsidRPr="000E45D6">
              <w:rPr>
                <w:rFonts w:cs="Arial"/>
              </w:rPr>
              <w:t xml:space="preserve"> patients </w:t>
            </w:r>
            <w:r>
              <w:rPr>
                <w:rFonts w:cs="Arial"/>
              </w:rPr>
              <w:t xml:space="preserve">with PAH-CTD experienced a serious AE </w:t>
            </w:r>
            <w:r w:rsidRPr="000E45D6">
              <w:rPr>
                <w:rFonts w:cs="Arial"/>
              </w:rPr>
              <w:t xml:space="preserve">with combination therapy compared with </w:t>
            </w:r>
            <w:r>
              <w:rPr>
                <w:rFonts w:cs="Arial"/>
              </w:rPr>
              <w:t xml:space="preserve">monotherapy, </w:t>
            </w:r>
            <w:r w:rsidRPr="003353E6">
              <w:rPr>
                <w:rFonts w:cs="Arial"/>
              </w:rPr>
              <w:t xml:space="preserve">but the </w:t>
            </w:r>
            <w:r w:rsidR="00D84687">
              <w:rPr>
                <w:rFonts w:cs="Arial"/>
              </w:rPr>
              <w:t>95% CI indicates</w:t>
            </w:r>
            <w:r w:rsidRPr="003353E6">
              <w:rPr>
                <w:rFonts w:cs="Arial"/>
              </w:rPr>
              <w:t xml:space="preserve"> that there could also be no or the opposite effect.</w:t>
            </w:r>
          </w:p>
        </w:tc>
        <w:tc>
          <w:tcPr>
            <w:tcW w:w="1134" w:type="dxa"/>
          </w:tcPr>
          <w:p w:rsidR="0075777C" w:rsidRPr="006316DF" w:rsidRDefault="0075777C" w:rsidP="000647C6">
            <w:pPr>
              <w:pStyle w:val="Tabletext"/>
              <w:rPr>
                <w:rFonts w:cs="Arial"/>
              </w:rPr>
            </w:pPr>
            <w:r>
              <w:rPr>
                <w:rFonts w:cs="Arial"/>
              </w:rP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rPr>
                <w:rFonts w:cs="Arial"/>
              </w:rPr>
            </w:pPr>
            <w:r w:rsidRPr="006316DF">
              <w:rPr>
                <w:rFonts w:cs="Arial"/>
              </w:rPr>
              <w:t>Important</w:t>
            </w:r>
          </w:p>
        </w:tc>
      </w:tr>
      <w:tr w:rsidR="0075777C" w:rsidRPr="006316DF" w:rsidTr="00805885">
        <w:tc>
          <w:tcPr>
            <w:tcW w:w="1560" w:type="dxa"/>
          </w:tcPr>
          <w:p w:rsidR="0075777C" w:rsidRPr="006316DF" w:rsidRDefault="0075777C" w:rsidP="000647C6">
            <w:pPr>
              <w:pStyle w:val="Tabletext"/>
              <w:rPr>
                <w:rFonts w:cs="Arial"/>
              </w:rPr>
            </w:pPr>
            <w:r w:rsidRPr="000E45D6">
              <w:rPr>
                <w:rFonts w:cs="Arial"/>
              </w:rPr>
              <w:t>AEs leading to treatment discontinuation</w:t>
            </w:r>
            <w:r>
              <w:rPr>
                <w:rFonts w:cs="Arial"/>
              </w:rPr>
              <w:t xml:space="preserve"> in PAH-CTD</w:t>
            </w:r>
          </w:p>
        </w:tc>
        <w:tc>
          <w:tcPr>
            <w:tcW w:w="1275" w:type="dxa"/>
          </w:tcPr>
          <w:p w:rsidR="0075777C" w:rsidRPr="006316DF" w:rsidRDefault="0075777C" w:rsidP="000647C6">
            <w:pPr>
              <w:pStyle w:val="Tabletext"/>
              <w:rPr>
                <w:rFonts w:cs="Arial"/>
              </w:rPr>
            </w:pPr>
            <w:r>
              <w:rPr>
                <w:rFonts w:cs="Arial"/>
              </w:rPr>
              <w:t>N=146</w:t>
            </w:r>
          </w:p>
          <w:p w:rsidR="0075777C" w:rsidRPr="006316DF" w:rsidRDefault="0075777C" w:rsidP="000647C6">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0647C6">
            <w:pPr>
              <w:pStyle w:val="Tabletext"/>
              <w:rPr>
                <w:rFonts w:cs="Arial"/>
              </w:rPr>
            </w:pPr>
            <w:r>
              <w:rPr>
                <w:rFonts w:cs="Arial"/>
              </w:rPr>
              <w:t>Risk of bias: 0</w:t>
            </w:r>
          </w:p>
          <w:p w:rsidR="0075777C" w:rsidRPr="006316DF" w:rsidRDefault="0075777C" w:rsidP="000647C6">
            <w:pPr>
              <w:pStyle w:val="Tabletext"/>
              <w:rPr>
                <w:rFonts w:cs="Arial"/>
              </w:rPr>
            </w:pPr>
            <w:r w:rsidRPr="006316DF">
              <w:rPr>
                <w:rFonts w:cs="Arial"/>
              </w:rPr>
              <w:t>Inconsistency: 0</w:t>
            </w:r>
          </w:p>
          <w:p w:rsidR="0075777C" w:rsidRPr="006316DF" w:rsidRDefault="0075777C" w:rsidP="000647C6">
            <w:pPr>
              <w:pStyle w:val="Tabletext"/>
              <w:rPr>
                <w:rFonts w:cs="Arial"/>
              </w:rPr>
            </w:pPr>
            <w:r w:rsidRPr="006316DF">
              <w:rPr>
                <w:rFonts w:cs="Arial"/>
              </w:rPr>
              <w:t>Indirectness: 0</w:t>
            </w:r>
          </w:p>
          <w:p w:rsidR="0075777C" w:rsidRDefault="0075777C" w:rsidP="000647C6">
            <w:pPr>
              <w:pStyle w:val="Tabletext"/>
              <w:rPr>
                <w:rFonts w:cs="Arial"/>
              </w:rPr>
            </w:pPr>
            <w:r w:rsidRPr="006316DF">
              <w:rPr>
                <w:rFonts w:cs="Arial"/>
              </w:rPr>
              <w:t>Imprecision: 0</w:t>
            </w:r>
          </w:p>
          <w:p w:rsidR="0075777C" w:rsidRDefault="0075777C" w:rsidP="000647C6">
            <w:pPr>
              <w:pStyle w:val="Tabletext"/>
              <w:rPr>
                <w:rFonts w:cs="Arial"/>
              </w:rPr>
            </w:pPr>
            <w:r w:rsidRPr="006316DF">
              <w:rPr>
                <w:rFonts w:cs="Arial"/>
              </w:rPr>
              <w:t>Publication bias: 0</w:t>
            </w:r>
          </w:p>
          <w:p w:rsidR="0075777C" w:rsidRPr="006316DF" w:rsidRDefault="0075777C" w:rsidP="000647C6">
            <w:pPr>
              <w:pStyle w:val="Tabletext"/>
              <w:rPr>
                <w:rFonts w:cs="Arial"/>
              </w:rPr>
            </w:pPr>
            <w:r>
              <w:rPr>
                <w:rFonts w:cs="Arial"/>
              </w:rPr>
              <w:t>Association: 0</w:t>
            </w:r>
          </w:p>
        </w:tc>
        <w:tc>
          <w:tcPr>
            <w:tcW w:w="1413" w:type="dxa"/>
          </w:tcPr>
          <w:p w:rsidR="0075777C" w:rsidRPr="002812F2" w:rsidRDefault="0075777C" w:rsidP="000647C6">
            <w:pPr>
              <w:pStyle w:val="Tabletext"/>
            </w:pPr>
            <w:r w:rsidRPr="002812F2">
              <w:t xml:space="preserve">RR = </w:t>
            </w:r>
            <w:r>
              <w:t>0.75</w:t>
            </w:r>
            <w:r w:rsidRPr="002812F2">
              <w:t xml:space="preserve"> (</w:t>
            </w:r>
            <w:r>
              <w:t>95% CI 0.34</w:t>
            </w:r>
            <w:r w:rsidRPr="002812F2">
              <w:t xml:space="preserve">, </w:t>
            </w:r>
            <w:r>
              <w:t>1</w:t>
            </w:r>
            <w:r w:rsidRPr="002812F2">
              <w:t>.</w:t>
            </w:r>
            <w:r>
              <w:t>65</w:t>
            </w:r>
            <w:r w:rsidRPr="002812F2">
              <w:t>)</w:t>
            </w:r>
          </w:p>
        </w:tc>
        <w:tc>
          <w:tcPr>
            <w:tcW w:w="2551" w:type="dxa"/>
          </w:tcPr>
          <w:p w:rsidR="0075777C" w:rsidRPr="002812F2" w:rsidRDefault="0075777C" w:rsidP="000647C6">
            <w:pPr>
              <w:pStyle w:val="Tabletext"/>
              <w:rPr>
                <w:rFonts w:cs="Arial"/>
              </w:rPr>
            </w:pPr>
            <w:r>
              <w:rPr>
                <w:rFonts w:cs="Arial"/>
              </w:rPr>
              <w:t>Fewer</w:t>
            </w:r>
            <w:r w:rsidRPr="002812F2">
              <w:rPr>
                <w:rFonts w:cs="Arial"/>
              </w:rPr>
              <w:t xml:space="preserve"> patients </w:t>
            </w:r>
            <w:r>
              <w:rPr>
                <w:rFonts w:cs="Arial"/>
              </w:rPr>
              <w:t>with PAH-CTD needed to discontinue treatment due to</w:t>
            </w:r>
            <w:r w:rsidRPr="00424867">
              <w:rPr>
                <w:rFonts w:cs="Arial"/>
              </w:rPr>
              <w:t xml:space="preserve"> a</w:t>
            </w:r>
            <w:r>
              <w:rPr>
                <w:rFonts w:cs="Arial"/>
              </w:rPr>
              <w:t>n</w:t>
            </w:r>
            <w:r w:rsidRPr="00424867">
              <w:rPr>
                <w:rFonts w:cs="Arial"/>
              </w:rPr>
              <w:t xml:space="preserve"> AE with combination th</w:t>
            </w:r>
            <w:r>
              <w:rPr>
                <w:rFonts w:cs="Arial"/>
              </w:rPr>
              <w:t xml:space="preserve">erapy compared with monotherapy, </w:t>
            </w:r>
            <w:r w:rsidRPr="00424867">
              <w:rPr>
                <w:rFonts w:cs="Arial"/>
              </w:rPr>
              <w:t xml:space="preserve">but the </w:t>
            </w:r>
            <w:r w:rsidR="00D84687">
              <w:rPr>
                <w:rFonts w:cs="Arial"/>
              </w:rPr>
              <w:t>95% CI indicates</w:t>
            </w:r>
            <w:r w:rsidRPr="00424867">
              <w:rPr>
                <w:rFonts w:cs="Arial"/>
              </w:rPr>
              <w:t xml:space="preserve"> that there could also be no </w:t>
            </w:r>
            <w:r>
              <w:rPr>
                <w:rFonts w:cs="Arial"/>
              </w:rPr>
              <w:t xml:space="preserve">or the opposite </w:t>
            </w:r>
            <w:r w:rsidRPr="00424867">
              <w:rPr>
                <w:rFonts w:cs="Arial"/>
              </w:rPr>
              <w:t>effect</w:t>
            </w:r>
            <w:r>
              <w:rPr>
                <w:rFonts w:cs="Arial"/>
              </w:rPr>
              <w:t>.</w:t>
            </w:r>
          </w:p>
        </w:tc>
        <w:tc>
          <w:tcPr>
            <w:tcW w:w="1134" w:type="dxa"/>
          </w:tcPr>
          <w:p w:rsidR="0075777C" w:rsidRPr="006316DF" w:rsidRDefault="0075777C" w:rsidP="000647C6">
            <w:pPr>
              <w:pStyle w:val="Tabletext"/>
              <w:rPr>
                <w:rFonts w:cs="Arial"/>
              </w:rPr>
            </w:pPr>
            <w:r>
              <w:rPr>
                <w:rFonts w:cs="Arial"/>
              </w:rP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rPr>
                <w:rFonts w:cs="Arial"/>
              </w:rPr>
            </w:pPr>
            <w:r w:rsidRPr="006316DF">
              <w:rPr>
                <w:rFonts w:cs="Arial"/>
              </w:rPr>
              <w:t>Important</w:t>
            </w:r>
          </w:p>
        </w:tc>
      </w:tr>
    </w:tbl>
    <w:p w:rsidR="0075777C" w:rsidRPr="006316DF" w:rsidRDefault="0075777C" w:rsidP="000647C6">
      <w:pPr>
        <w:pStyle w:val="Tablenote"/>
      </w:pPr>
      <w:r w:rsidRPr="006316DF">
        <w:rPr>
          <w:vertAlign w:val="superscript"/>
        </w:rPr>
        <w:t xml:space="preserve">a </w:t>
      </w:r>
      <w:r w:rsidRPr="006316DF">
        <w:t xml:space="preserve">GRADE Working Group grades of evidence </w:t>
      </w:r>
      <w:r w:rsidR="001D34EE" w:rsidRPr="001D34EE">
        <w:rPr>
          <w:noProof/>
          <w:vertAlign w:val="superscript"/>
        </w:rPr>
        <w:t>1</w:t>
      </w:r>
    </w:p>
    <w:p w:rsidR="0075777C" w:rsidRPr="006316DF" w:rsidRDefault="0075777C" w:rsidP="000647C6">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F24B06" w:rsidRDefault="0075777C" w:rsidP="000647C6">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w:t>
      </w:r>
      <w:r w:rsidR="00385E5A">
        <w:t>GRADE = grading of recommendations assessment, development and evaluation</w:t>
      </w:r>
      <w:r w:rsidR="001D34EE" w:rsidRPr="001D34EE">
        <w:rPr>
          <w:noProof/>
          <w:vertAlign w:val="superscript"/>
        </w:rPr>
        <w:t>1</w:t>
      </w:r>
      <w:r w:rsidR="00F24B06" w:rsidRPr="00F24B06">
        <w:t xml:space="preserve">; k = number of studies; </w:t>
      </w:r>
      <w:r>
        <w:t xml:space="preserve">N = number of patients; </w:t>
      </w:r>
      <w:r w:rsidRPr="00C65B42">
        <w:t>PAH</w:t>
      </w:r>
      <w:r w:rsidR="00774E89">
        <w:t>-</w:t>
      </w:r>
      <w:r w:rsidR="00774E89" w:rsidRPr="00DC16A3">
        <w:t>CTD</w:t>
      </w:r>
      <w:r w:rsidRPr="00C65B42">
        <w:t xml:space="preserve"> = pulmonary arterial hypertension </w:t>
      </w:r>
      <w:r w:rsidR="00F24B06" w:rsidRPr="00DC16A3">
        <w:t xml:space="preserve">associated with connective tissue disease; </w:t>
      </w:r>
      <w:r w:rsidRPr="009B5AB3">
        <w:t>PDE-5 = phosphodiesterase type-5</w:t>
      </w:r>
      <w:r>
        <w:t>;</w:t>
      </w:r>
      <w:r w:rsidRPr="009B5AB3">
        <w:t xml:space="preserve"> </w:t>
      </w:r>
      <w:r>
        <w:t>RCT = randomised controlled trial; RR = relative risk</w:t>
      </w:r>
    </w:p>
    <w:p w:rsidR="0075777C" w:rsidRPr="006316DF" w:rsidRDefault="000E0079" w:rsidP="0017012F">
      <w:pPr>
        <w:pStyle w:val="Heading4"/>
      </w:pPr>
      <w:r>
        <w:t>4.5.3.4</w:t>
      </w:r>
      <w:r>
        <w:tab/>
      </w:r>
      <w:r w:rsidR="0075777C" w:rsidRPr="00EF6A61">
        <w:t>PDE-5 inhibitor</w:t>
      </w:r>
      <w:r w:rsidR="0075777C" w:rsidRPr="006C4A08">
        <w:t xml:space="preserve"> in addition to </w:t>
      </w:r>
      <w:r w:rsidR="0017012F" w:rsidRPr="0017012F">
        <w:t>prostanoid</w:t>
      </w:r>
    </w:p>
    <w:p w:rsidR="0075777C" w:rsidRPr="00107676" w:rsidRDefault="0075777C" w:rsidP="0075777C">
      <w:pPr>
        <w:pStyle w:val="Heading5"/>
      </w:pPr>
      <w:r w:rsidRPr="00107676">
        <w:t>Clinical effectiveness</w:t>
      </w:r>
    </w:p>
    <w:p w:rsidR="0075777C" w:rsidRDefault="0075777C" w:rsidP="0075777C">
      <w:r>
        <w:t xml:space="preserve">Only one RCT provided evidence for </w:t>
      </w:r>
      <w:r w:rsidRPr="000522D6">
        <w:t xml:space="preserve">comparing </w:t>
      </w:r>
      <w:r>
        <w:t xml:space="preserve">the effectiveness of </w:t>
      </w:r>
      <w:r w:rsidRPr="000522D6">
        <w:t>a PDE-5 inhibitor</w:t>
      </w:r>
      <w:r>
        <w:t xml:space="preserve"> </w:t>
      </w:r>
      <w:r w:rsidRPr="000522D6">
        <w:t xml:space="preserve">in addition to </w:t>
      </w:r>
      <w:r>
        <w:t xml:space="preserve">a </w:t>
      </w:r>
      <w:r w:rsidR="00981BDF">
        <w:t>prostanoid</w:t>
      </w:r>
      <w:r w:rsidRPr="000522D6">
        <w:t xml:space="preserve"> </w:t>
      </w:r>
      <w:r>
        <w:t>compared with</w:t>
      </w:r>
      <w:r w:rsidRPr="000522D6">
        <w:t xml:space="preserve"> </w:t>
      </w:r>
      <w:r w:rsidR="00981BDF">
        <w:t>prostanoid</w:t>
      </w:r>
      <w:r w:rsidRPr="000522D6">
        <w:t xml:space="preserve"> monotherapy</w:t>
      </w:r>
      <w:r>
        <w:t xml:space="preserve">, and enrolled patients were on stable </w:t>
      </w:r>
      <w:r w:rsidRPr="002F1CA5">
        <w:t xml:space="preserve">epoprostenol </w:t>
      </w:r>
      <w:r>
        <w:t xml:space="preserve">monotherapy (sequential combination therapy). No WHO FC or PAH aetiology subgroup analysis was undertaken. </w:t>
      </w:r>
      <w:r w:rsidRPr="006316DF">
        <w:t xml:space="preserve">The </w:t>
      </w:r>
      <w:r>
        <w:t xml:space="preserve">detailed </w:t>
      </w:r>
      <w:r w:rsidRPr="006316DF">
        <w:t>GRADE</w:t>
      </w:r>
      <w:r w:rsidR="001D34EE" w:rsidRPr="001D34EE">
        <w:rPr>
          <w:noProof/>
          <w:vertAlign w:val="superscript"/>
        </w:rPr>
        <w:t>1</w:t>
      </w:r>
      <w:r w:rsidRPr="006316DF">
        <w:t xml:space="preserve"> assessments of </w:t>
      </w:r>
      <w:r>
        <w:t>effectiveness</w:t>
      </w:r>
      <w:r w:rsidRPr="006316DF">
        <w:t xml:space="preserve"> outcomes when comparing a </w:t>
      </w:r>
      <w:r w:rsidRPr="00BB3BB5">
        <w:t>PDE-5 inhibitor</w:t>
      </w:r>
      <w:r w:rsidRPr="006316DF">
        <w:t xml:space="preserve"> </w:t>
      </w:r>
      <w:r w:rsidRPr="00BB3BB5">
        <w:t>in addition to</w:t>
      </w:r>
      <w:r>
        <w:t xml:space="preserve"> a </w:t>
      </w:r>
      <w:r w:rsidR="00981BDF">
        <w:t>prostanoid</w:t>
      </w:r>
      <w:r w:rsidRPr="00BB3BB5">
        <w:t xml:space="preserve">, relative to </w:t>
      </w:r>
      <w:r w:rsidR="00981BDF">
        <w:t>prostanoid</w:t>
      </w:r>
      <w:r w:rsidRPr="00BB3BB5">
        <w:t xml:space="preserve"> monotherapy </w:t>
      </w:r>
      <w:r w:rsidRPr="006316DF">
        <w:t>are reported in</w:t>
      </w:r>
      <w:r>
        <w:t xml:space="preserve"> </w:t>
      </w:r>
      <w:r w:rsidR="00AA722D">
        <w:t>Table 4.</w:t>
      </w:r>
      <w:r w:rsidR="00AA722D">
        <w:rPr>
          <w:noProof/>
        </w:rPr>
        <w:t>161</w:t>
      </w:r>
      <w:r>
        <w:t xml:space="preserve"> </w:t>
      </w:r>
      <w:r w:rsidRPr="006316DF">
        <w:t xml:space="preserve">in Appendix </w:t>
      </w:r>
      <w:r w:rsidR="00DA2636">
        <w:t>4</w:t>
      </w:r>
      <w:r w:rsidR="001B552D">
        <w:t>C</w:t>
      </w:r>
      <w:r>
        <w:t xml:space="preserve">. </w:t>
      </w:r>
      <w:r w:rsidRPr="006316DF">
        <w:t xml:space="preserve">The evidence for the </w:t>
      </w:r>
      <w:r>
        <w:t xml:space="preserve">effectiveness </w:t>
      </w:r>
      <w:r w:rsidRPr="006316DF">
        <w:t xml:space="preserve">outcomes </w:t>
      </w:r>
      <w:r>
        <w:t xml:space="preserve">for all PAH patients is summarised </w:t>
      </w:r>
      <w:r w:rsidRPr="006316DF">
        <w:t>in</w:t>
      </w:r>
      <w:r>
        <w:t xml:space="preserve"> </w:t>
      </w:r>
      <w:r w:rsidR="00AA722D">
        <w:t>Table 4.</w:t>
      </w:r>
      <w:r w:rsidR="00AA722D">
        <w:rPr>
          <w:noProof/>
        </w:rPr>
        <w:t>135</w:t>
      </w:r>
      <w:r>
        <w:t xml:space="preserve">. </w:t>
      </w:r>
    </w:p>
    <w:p w:rsidR="0075777C" w:rsidRPr="006316DF" w:rsidRDefault="00361A31" w:rsidP="0075777C">
      <w:r>
        <w:t xml:space="preserve">Both critical outcomes were </w:t>
      </w:r>
      <w:r w:rsidR="0075777C" w:rsidRPr="006316DF">
        <w:t xml:space="preserve">considered to be of </w:t>
      </w:r>
      <w:r w:rsidR="0075777C">
        <w:t>high</w:t>
      </w:r>
      <w:r w:rsidR="0075777C" w:rsidRPr="006316DF">
        <w:t xml:space="preserve"> quality (GRADE </w:t>
      </w:r>
      <w:r w:rsidR="0075777C" w:rsidRPr="00920393">
        <w:rPr>
          <w:rFonts w:ascii="Cambria Math" w:eastAsia="Times New Roman" w:hAnsi="Cambria Math" w:cs="Tahoma"/>
          <w:bCs/>
          <w:color w:val="00B050"/>
        </w:rPr>
        <w:t>⨁⨁⨁⨁</w:t>
      </w:r>
      <w:r w:rsidR="0075777C" w:rsidRPr="00981BDF">
        <w:t xml:space="preserve">), </w:t>
      </w:r>
      <w:r w:rsidR="00DD4DEC">
        <w:t>the important outcomes</w:t>
      </w:r>
      <w:r w:rsidR="0075777C" w:rsidRPr="00981BDF">
        <w:t xml:space="preserve"> were of m</w:t>
      </w:r>
      <w:r w:rsidR="0075777C" w:rsidRPr="006316DF">
        <w:t xml:space="preserve">oderate quality (GRADE </w:t>
      </w:r>
      <w:r w:rsidR="0075777C" w:rsidRPr="00920393">
        <w:rPr>
          <w:rFonts w:ascii="Cambria Math" w:eastAsia="Times New Roman" w:hAnsi="Cambria Math" w:cs="Tahoma"/>
          <w:bCs/>
          <w:color w:val="00B050"/>
        </w:rPr>
        <w:t>⨁⨁⨁</w:t>
      </w:r>
      <w:r w:rsidR="0075777C" w:rsidRPr="00920393">
        <w:rPr>
          <w:rFonts w:ascii="Cambria Math" w:eastAsia="Times New Roman" w:hAnsi="Cambria Math" w:cs="Cambria Math"/>
          <w:bCs/>
          <w:color w:val="C00000"/>
        </w:rPr>
        <w:t>⨀</w:t>
      </w:r>
      <w:r w:rsidR="0075777C" w:rsidRPr="00981BDF">
        <w:t xml:space="preserve">), and </w:t>
      </w:r>
      <w:r w:rsidR="00DD4DEC">
        <w:t>the surrogate outcome of change in haemodynamic parameters</w:t>
      </w:r>
      <w:r w:rsidR="0075777C" w:rsidRPr="00981BDF">
        <w:t xml:space="preserve"> was of low qualit</w:t>
      </w:r>
      <w:r w:rsidR="0075777C" w:rsidRPr="006316DF">
        <w:t xml:space="preserve">y (GRADE </w:t>
      </w:r>
      <w:r w:rsidR="0075777C" w:rsidRPr="00920393">
        <w:rPr>
          <w:rFonts w:ascii="Cambria Math" w:eastAsia="Times New Roman" w:hAnsi="Cambria Math" w:cs="Tahoma"/>
          <w:bCs/>
          <w:color w:val="00B050"/>
        </w:rPr>
        <w:t>⨁⨁</w:t>
      </w:r>
      <w:r w:rsidR="0075777C" w:rsidRPr="00920393">
        <w:rPr>
          <w:rFonts w:ascii="Cambria Math" w:eastAsia="Times New Roman" w:hAnsi="Cambria Math" w:cs="Cambria Math"/>
          <w:bCs/>
          <w:color w:val="C00000"/>
        </w:rPr>
        <w:t>⨀⨀</w:t>
      </w:r>
      <w:r w:rsidR="00981BDF">
        <w:t>).</w:t>
      </w:r>
    </w:p>
    <w:p w:rsidR="0075777C" w:rsidRDefault="0075777C" w:rsidP="0075777C">
      <w:r w:rsidRPr="006316DF">
        <w:lastRenderedPageBreak/>
        <w:t xml:space="preserve">When taking </w:t>
      </w:r>
      <w:r>
        <w:t>the whole body of evidence</w:t>
      </w:r>
      <w:r w:rsidRPr="006316DF">
        <w:t xml:space="preserve"> into account, </w:t>
      </w:r>
      <w:r>
        <w:t>significantly fewer</w:t>
      </w:r>
      <w:r w:rsidRPr="006316DF">
        <w:t xml:space="preserve"> patients experienc</w:t>
      </w:r>
      <w:r>
        <w:t>ed</w:t>
      </w:r>
      <w:r w:rsidRPr="006316DF">
        <w:t xml:space="preserve"> clinical worsening </w:t>
      </w:r>
      <w:r w:rsidR="00DD4DEC">
        <w:t xml:space="preserve">or died </w:t>
      </w:r>
      <w:r w:rsidRPr="006316DF">
        <w:t xml:space="preserve">when taking </w:t>
      </w:r>
      <w:r>
        <w:t xml:space="preserve">combination therapy </w:t>
      </w:r>
      <w:r w:rsidRPr="006316DF">
        <w:t xml:space="preserve">compared with </w:t>
      </w:r>
      <w:r>
        <w:t>monotherapy</w:t>
      </w:r>
      <w:r w:rsidRPr="006316DF">
        <w:t xml:space="preserve">. </w:t>
      </w:r>
      <w:r>
        <w:t xml:space="preserve">However, although the point estimate for hospitalisation favoured combination therapy over monotherapy, </w:t>
      </w:r>
      <w:r w:rsidR="00DD4DEC">
        <w:t>the 95% CIs indicated that there may also be the opposite effect</w:t>
      </w:r>
      <w:r>
        <w:t>. The mean difference in 6MWD for combination therapy versus monotherapy w</w:t>
      </w:r>
      <w:r w:rsidR="00DD4DEC">
        <w:t>as</w:t>
      </w:r>
      <w:r>
        <w:t xml:space="preserve"> not clinically important.</w:t>
      </w:r>
      <w:r w:rsidR="00DD4DEC">
        <w:t xml:space="preserve"> The mean difference for two of the three parameters reported may be clinically important.</w:t>
      </w:r>
    </w:p>
    <w:p w:rsidR="0075777C" w:rsidRDefault="0075777C" w:rsidP="0075777C">
      <w:r w:rsidRPr="006316DF">
        <w:t xml:space="preserve">Thus, </w:t>
      </w:r>
      <w:r w:rsidRPr="000522D6">
        <w:t xml:space="preserve">the </w:t>
      </w:r>
      <w:r w:rsidRPr="006316DF">
        <w:t xml:space="preserve">use of a </w:t>
      </w:r>
      <w:r w:rsidR="001B552D" w:rsidRPr="000522D6">
        <w:t>PDE-5 inhibitor</w:t>
      </w:r>
      <w:r w:rsidR="001B552D" w:rsidRPr="006316DF">
        <w:t xml:space="preserve"> </w:t>
      </w:r>
      <w:r w:rsidRPr="000522D6">
        <w:t>in addition to</w:t>
      </w:r>
      <w:r w:rsidR="001B552D">
        <w:t xml:space="preserve"> a prostanoid</w:t>
      </w:r>
      <w:r w:rsidRPr="000522D6">
        <w:t xml:space="preserve">, relative to </w:t>
      </w:r>
      <w:r w:rsidR="001B552D">
        <w:t>prostanoid</w:t>
      </w:r>
      <w:r w:rsidRPr="000522D6">
        <w:t xml:space="preserve"> monotherapy </w:t>
      </w:r>
      <w:r w:rsidRPr="006316DF">
        <w:t xml:space="preserve">to treat </w:t>
      </w:r>
      <w:r>
        <w:t xml:space="preserve">PAH patients </w:t>
      </w:r>
      <w:r w:rsidR="006A32C5">
        <w:t>is likely to be beneficial.</w:t>
      </w:r>
    </w:p>
    <w:p w:rsidR="0075777C" w:rsidRPr="006316DF" w:rsidRDefault="00272F8F" w:rsidP="00BC5A2B">
      <w:pPr>
        <w:pStyle w:val="Caption"/>
      </w:pPr>
      <w:bookmarkStart w:id="373" w:name="_Ref505782394"/>
      <w:bookmarkStart w:id="374" w:name="_Toc512855539"/>
      <w:r>
        <w:t>Table 4.</w:t>
      </w:r>
      <w:r w:rsidR="00AA722D">
        <w:rPr>
          <w:noProof/>
        </w:rPr>
        <w:t>135</w:t>
      </w:r>
      <w:bookmarkEnd w:id="373"/>
      <w:r w:rsidR="008727D6">
        <w:tab/>
      </w:r>
      <w:r w:rsidR="0075777C" w:rsidRPr="006316DF">
        <w:t xml:space="preserve">Balance of clinical benefits of </w:t>
      </w:r>
      <w:r w:rsidR="001B552D">
        <w:t xml:space="preserve">a </w:t>
      </w:r>
      <w:r w:rsidR="0075777C" w:rsidRPr="006C4A08">
        <w:t xml:space="preserve">PDE-5 inhibitor in addition to </w:t>
      </w:r>
      <w:r w:rsidR="001B552D">
        <w:t xml:space="preserve">a </w:t>
      </w:r>
      <w:r w:rsidR="00805885" w:rsidRPr="006C4A08">
        <w:t>prost</w:t>
      </w:r>
      <w:r w:rsidR="00805885">
        <w:t>anoid</w:t>
      </w:r>
      <w:r w:rsidR="0075777C" w:rsidRPr="006316DF">
        <w:t xml:space="preserve">, relative to </w:t>
      </w:r>
      <w:r w:rsidR="00805885" w:rsidRPr="006C4A08">
        <w:t>prostanoid</w:t>
      </w:r>
      <w:r w:rsidR="0075777C" w:rsidRPr="006C4A08">
        <w:t xml:space="preserve"> </w:t>
      </w:r>
      <w:r w:rsidR="0075777C">
        <w:t>monotherapy in all PAH patients</w:t>
      </w:r>
      <w:bookmarkEnd w:id="374"/>
    </w:p>
    <w:tbl>
      <w:tblPr>
        <w:tblStyle w:val="TableGrid"/>
        <w:tblW w:w="9639" w:type="dxa"/>
        <w:tblLayout w:type="fixed"/>
        <w:tblLook w:val="04A0" w:firstRow="1" w:lastRow="0" w:firstColumn="1" w:lastColumn="0" w:noHBand="0" w:noVBand="1"/>
        <w:tblCaption w:val="Balance of clinical benefits of a PDE-5 inhibitor in addition to a prostanoid, relative to prostanoid monotherapy in all PAH patients"/>
      </w:tblPr>
      <w:tblGrid>
        <w:gridCol w:w="1560"/>
        <w:gridCol w:w="1275"/>
        <w:gridCol w:w="1701"/>
        <w:gridCol w:w="1418"/>
        <w:gridCol w:w="2551"/>
        <w:gridCol w:w="1134"/>
      </w:tblGrid>
      <w:tr w:rsidR="0075777C" w:rsidRPr="00805885" w:rsidTr="00805885">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805885" w:rsidRDefault="0075777C" w:rsidP="00805885">
            <w:pPr>
              <w:pStyle w:val="Tabletext"/>
              <w:rPr>
                <w:b/>
                <w:noProof/>
              </w:rPr>
            </w:pPr>
            <w:r w:rsidRPr="00805885">
              <w:rPr>
                <w:b/>
                <w:noProof/>
              </w:rPr>
              <w:t xml:space="preserve">Outcomes </w:t>
            </w:r>
          </w:p>
        </w:tc>
        <w:tc>
          <w:tcPr>
            <w:tcW w:w="1275" w:type="dxa"/>
          </w:tcPr>
          <w:p w:rsidR="0075777C" w:rsidRPr="00805885" w:rsidRDefault="0075777C" w:rsidP="00805885">
            <w:pPr>
              <w:pStyle w:val="Tabletext"/>
              <w:rPr>
                <w:b/>
                <w:noProof/>
              </w:rPr>
            </w:pPr>
            <w:r w:rsidRPr="00805885">
              <w:rPr>
                <w:b/>
                <w:noProof/>
              </w:rPr>
              <w:t>Participants (studies)</w:t>
            </w:r>
          </w:p>
        </w:tc>
        <w:tc>
          <w:tcPr>
            <w:tcW w:w="1701" w:type="dxa"/>
          </w:tcPr>
          <w:p w:rsidR="0075777C" w:rsidRPr="00805885" w:rsidRDefault="0075777C" w:rsidP="00805885">
            <w:pPr>
              <w:pStyle w:val="Tabletext"/>
              <w:rPr>
                <w:b/>
                <w:noProof/>
              </w:rPr>
            </w:pPr>
            <w:r w:rsidRPr="00805885">
              <w:rPr>
                <w:b/>
                <w:noProof/>
              </w:rPr>
              <w:t>Quality of evidence</w:t>
            </w:r>
          </w:p>
        </w:tc>
        <w:tc>
          <w:tcPr>
            <w:tcW w:w="1418" w:type="dxa"/>
          </w:tcPr>
          <w:p w:rsidR="0075777C" w:rsidRPr="00805885" w:rsidRDefault="0075777C" w:rsidP="00805885">
            <w:pPr>
              <w:pStyle w:val="Tabletext"/>
              <w:rPr>
                <w:b/>
                <w:noProof/>
              </w:rPr>
            </w:pPr>
            <w:r w:rsidRPr="00805885">
              <w:rPr>
                <w:b/>
                <w:noProof/>
              </w:rPr>
              <w:t>Results</w:t>
            </w:r>
          </w:p>
        </w:tc>
        <w:tc>
          <w:tcPr>
            <w:tcW w:w="2551" w:type="dxa"/>
          </w:tcPr>
          <w:p w:rsidR="0075777C" w:rsidRPr="00805885" w:rsidRDefault="0075777C" w:rsidP="00805885">
            <w:pPr>
              <w:pStyle w:val="Tabletext"/>
              <w:rPr>
                <w:b/>
                <w:noProof/>
              </w:rPr>
            </w:pPr>
            <w:r w:rsidRPr="00805885">
              <w:rPr>
                <w:b/>
                <w:noProof/>
              </w:rPr>
              <w:t>Interpretation</w:t>
            </w:r>
          </w:p>
        </w:tc>
        <w:tc>
          <w:tcPr>
            <w:tcW w:w="1134" w:type="dxa"/>
          </w:tcPr>
          <w:p w:rsidR="0075777C" w:rsidRPr="00805885" w:rsidRDefault="0075777C" w:rsidP="00805885">
            <w:pPr>
              <w:pStyle w:val="Tabletext"/>
              <w:rPr>
                <w:b/>
                <w:noProof/>
              </w:rPr>
            </w:pPr>
            <w:r w:rsidRPr="00805885">
              <w:rPr>
                <w:b/>
                <w:noProof/>
              </w:rPr>
              <w:t>GRADE</w:t>
            </w:r>
            <w:r w:rsidR="00F24B06" w:rsidRPr="00F24B06">
              <w:rPr>
                <w:b/>
                <w:noProof/>
                <w:vertAlign w:val="superscript"/>
              </w:rPr>
              <w:t>a</w:t>
            </w:r>
          </w:p>
          <w:p w:rsidR="0075777C" w:rsidRPr="00805885" w:rsidRDefault="0075777C" w:rsidP="00805885">
            <w:pPr>
              <w:pStyle w:val="Tabletext"/>
              <w:rPr>
                <w:b/>
                <w:noProof/>
              </w:rPr>
            </w:pPr>
            <w:r w:rsidRPr="00805885">
              <w:rPr>
                <w:b/>
                <w:noProof/>
              </w:rPr>
              <w:t>Importance</w:t>
            </w:r>
          </w:p>
        </w:tc>
      </w:tr>
      <w:tr w:rsidR="0075777C" w:rsidRPr="006316DF" w:rsidTr="00805885">
        <w:tc>
          <w:tcPr>
            <w:tcW w:w="1560" w:type="dxa"/>
          </w:tcPr>
          <w:p w:rsidR="0075777C" w:rsidRPr="006316DF" w:rsidRDefault="0075777C" w:rsidP="00805885">
            <w:pPr>
              <w:pStyle w:val="Tabletext"/>
              <w:rPr>
                <w:rFonts w:cs="Arial"/>
              </w:rPr>
            </w:pPr>
            <w:r w:rsidRPr="006316DF">
              <w:rPr>
                <w:rFonts w:cs="Arial"/>
              </w:rPr>
              <w:t xml:space="preserve">Clinical worsening </w:t>
            </w:r>
          </w:p>
        </w:tc>
        <w:tc>
          <w:tcPr>
            <w:tcW w:w="1275" w:type="dxa"/>
          </w:tcPr>
          <w:p w:rsidR="0075777C" w:rsidRPr="006316DF" w:rsidRDefault="0075777C" w:rsidP="00805885">
            <w:pPr>
              <w:pStyle w:val="Tabletext"/>
              <w:rPr>
                <w:rFonts w:cs="Arial"/>
              </w:rPr>
            </w:pPr>
            <w:r w:rsidRPr="006316DF">
              <w:rPr>
                <w:rFonts w:cs="Arial"/>
              </w:rPr>
              <w:t>N=</w:t>
            </w:r>
            <w:r>
              <w:rPr>
                <w:rFonts w:cs="Arial"/>
              </w:rPr>
              <w:t>265</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Imprecision: 0</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+1</w:t>
            </w:r>
          </w:p>
        </w:tc>
        <w:tc>
          <w:tcPr>
            <w:tcW w:w="1418" w:type="dxa"/>
          </w:tcPr>
          <w:p w:rsidR="0075777C" w:rsidRPr="0068036B" w:rsidRDefault="0075777C" w:rsidP="00805885">
            <w:pPr>
              <w:pStyle w:val="Tabletext"/>
              <w:rPr>
                <w:rFonts w:cs="Arial"/>
              </w:rPr>
            </w:pPr>
            <w:r w:rsidRPr="00482160">
              <w:t xml:space="preserve">RR </w:t>
            </w:r>
            <w:r>
              <w:t xml:space="preserve">= </w:t>
            </w:r>
            <w:r w:rsidRPr="00482160">
              <w:t>0.33</w:t>
            </w:r>
            <w:r>
              <w:t xml:space="preserve"> </w:t>
            </w:r>
            <w:r w:rsidRPr="00482160">
              <w:t>(</w:t>
            </w:r>
            <w:r>
              <w:t xml:space="preserve">95% CI </w:t>
            </w:r>
            <w:r w:rsidRPr="00482160">
              <w:t>0.15</w:t>
            </w:r>
            <w:r>
              <w:t>,</w:t>
            </w:r>
            <w:r w:rsidRPr="00482160">
              <w:t xml:space="preserve"> </w:t>
            </w:r>
            <w:r>
              <w:t>0.70)</w:t>
            </w:r>
          </w:p>
        </w:tc>
        <w:tc>
          <w:tcPr>
            <w:tcW w:w="2551" w:type="dxa"/>
          </w:tcPr>
          <w:p w:rsidR="0075777C" w:rsidRPr="0068036B" w:rsidRDefault="0075777C" w:rsidP="00805885">
            <w:pPr>
              <w:pStyle w:val="Tabletext"/>
              <w:rPr>
                <w:rFonts w:cs="Arial"/>
              </w:rPr>
            </w:pPr>
            <w:r>
              <w:rPr>
                <w:rFonts w:cs="Arial"/>
              </w:rPr>
              <w:t>Significantly fewer</w:t>
            </w:r>
            <w:r w:rsidRPr="0068036B">
              <w:rPr>
                <w:rFonts w:cs="Arial"/>
              </w:rPr>
              <w:t xml:space="preserve"> patients experience</w:t>
            </w:r>
            <w:r>
              <w:rPr>
                <w:rFonts w:cs="Arial"/>
              </w:rPr>
              <w:t>d</w:t>
            </w:r>
            <w:r w:rsidRPr="0068036B">
              <w:rPr>
                <w:rFonts w:cs="Arial"/>
              </w:rPr>
              <w:t xml:space="preserve"> clinical worsening with combination therapy compared with monotherapy</w:t>
            </w:r>
          </w:p>
        </w:tc>
        <w:tc>
          <w:tcPr>
            <w:tcW w:w="1134" w:type="dxa"/>
          </w:tcPr>
          <w:p w:rsidR="0075777C" w:rsidRPr="006316DF" w:rsidRDefault="0075777C" w:rsidP="00805885">
            <w:pPr>
              <w:pStyle w:val="Tabletext"/>
              <w:rPr>
                <w:rFonts w:cs="Arial"/>
              </w:rPr>
            </w:pPr>
            <w:r>
              <w:rPr>
                <w:rFonts w:cs="Arial"/>
              </w:rPr>
              <w:t>High</w:t>
            </w:r>
          </w:p>
          <w:p w:rsidR="0075777C" w:rsidRPr="006316DF" w:rsidRDefault="0075777C" w:rsidP="00805885">
            <w:pPr>
              <w:pStyle w:val="Tabletext"/>
              <w:rPr>
                <w:rFonts w:cs="Cambria Math"/>
                <w:bCs/>
              </w:rPr>
            </w:pPr>
            <w:r w:rsidRPr="006316DF">
              <w:rPr>
                <w:rFonts w:ascii="Cambria Math" w:hAnsi="Cambria Math" w:cs="Cambria Math"/>
                <w:bCs/>
                <w:color w:val="00B050"/>
              </w:rPr>
              <w:t>⨁⨁⨁⨁</w:t>
            </w:r>
          </w:p>
          <w:p w:rsidR="0075777C" w:rsidRPr="006316DF" w:rsidRDefault="0075777C" w:rsidP="00805885">
            <w:pPr>
              <w:pStyle w:val="Tabletext"/>
              <w:rPr>
                <w:rFonts w:cs="Arial"/>
              </w:rPr>
            </w:pPr>
            <w:r w:rsidRPr="006316DF">
              <w:rPr>
                <w:rFonts w:cs="Cambria Math"/>
                <w:bCs/>
              </w:rPr>
              <w:t xml:space="preserve">Critical </w:t>
            </w:r>
          </w:p>
        </w:tc>
      </w:tr>
      <w:tr w:rsidR="0075777C" w:rsidRPr="006316DF" w:rsidTr="00805885">
        <w:tc>
          <w:tcPr>
            <w:tcW w:w="1560" w:type="dxa"/>
          </w:tcPr>
          <w:p w:rsidR="0075777C" w:rsidRPr="006316DF" w:rsidRDefault="0075777C" w:rsidP="00805885">
            <w:pPr>
              <w:pStyle w:val="Tabletext"/>
              <w:rPr>
                <w:rFonts w:cs="Arial"/>
              </w:rPr>
            </w:pPr>
            <w:r w:rsidRPr="006316DF">
              <w:rPr>
                <w:rFonts w:cs="Arial"/>
              </w:rPr>
              <w:t>All-cause mortality</w:t>
            </w:r>
          </w:p>
        </w:tc>
        <w:tc>
          <w:tcPr>
            <w:tcW w:w="1275" w:type="dxa"/>
          </w:tcPr>
          <w:p w:rsidR="0075777C" w:rsidRPr="006316DF" w:rsidRDefault="0075777C" w:rsidP="00805885">
            <w:pPr>
              <w:pStyle w:val="Tabletext"/>
              <w:rPr>
                <w:rFonts w:cs="Arial"/>
              </w:rPr>
            </w:pPr>
            <w:r w:rsidRPr="006316DF">
              <w:rPr>
                <w:rFonts w:cs="Arial"/>
              </w:rPr>
              <w:t>N=</w:t>
            </w:r>
            <w:r>
              <w:rPr>
                <w:rFonts w:cs="Arial"/>
              </w:rPr>
              <w:t>2</w:t>
            </w:r>
            <w:r w:rsidRPr="006316DF">
              <w:rPr>
                <w:rFonts w:cs="Arial"/>
              </w:rPr>
              <w:t>6</w:t>
            </w:r>
            <w:r>
              <w:rPr>
                <w:rFonts w:cs="Arial"/>
              </w:rPr>
              <w:t>5</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 xml:space="preserve">Inconsistency: </w:t>
            </w:r>
            <w:r>
              <w:rPr>
                <w:rFonts w:cs="Arial"/>
              </w:rPr>
              <w:t>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Imprecision: 0</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0</w:t>
            </w:r>
          </w:p>
        </w:tc>
        <w:tc>
          <w:tcPr>
            <w:tcW w:w="1418" w:type="dxa"/>
          </w:tcPr>
          <w:p w:rsidR="0075777C" w:rsidRPr="0068036B" w:rsidRDefault="00B21201" w:rsidP="00805885">
            <w:pPr>
              <w:pStyle w:val="Tabletext"/>
            </w:pPr>
            <w:r>
              <w:t>ARD</w:t>
            </w:r>
            <w:r w:rsidR="0075777C" w:rsidRPr="00482160">
              <w:t xml:space="preserve"> = </w:t>
            </w:r>
            <w:r w:rsidR="0075777C" w:rsidRPr="0045220D">
              <w:t>−5.3%; 95% CI −9.2, −1.5</w:t>
            </w:r>
            <w:r w:rsidR="0075777C">
              <w:t>)</w:t>
            </w:r>
          </w:p>
        </w:tc>
        <w:tc>
          <w:tcPr>
            <w:tcW w:w="2551" w:type="dxa"/>
          </w:tcPr>
          <w:p w:rsidR="0075777C" w:rsidRPr="0068036B" w:rsidRDefault="0075777C" w:rsidP="00196DB5">
            <w:pPr>
              <w:pStyle w:val="Tabletext"/>
            </w:pPr>
            <w:r>
              <w:rPr>
                <w:rFonts w:cs="Arial"/>
              </w:rPr>
              <w:t>Significantly f</w:t>
            </w:r>
            <w:r w:rsidRPr="0068036B">
              <w:rPr>
                <w:rFonts w:cs="Arial"/>
              </w:rPr>
              <w:t>ewer patients die</w:t>
            </w:r>
            <w:r>
              <w:rPr>
                <w:rFonts w:cs="Arial"/>
              </w:rPr>
              <w:t>d</w:t>
            </w:r>
            <w:r w:rsidRPr="0068036B">
              <w:rPr>
                <w:rFonts w:cs="Arial"/>
              </w:rPr>
              <w:t xml:space="preserve"> </w:t>
            </w:r>
            <w:r w:rsidRPr="0068036B">
              <w:t xml:space="preserve">from any cause </w:t>
            </w:r>
            <w:r w:rsidRPr="0068036B">
              <w:rPr>
                <w:rFonts w:cs="Arial"/>
              </w:rPr>
              <w:t>with combination therapy compared with monotherapy</w:t>
            </w:r>
            <w:r w:rsidR="00196DB5">
              <w:rPr>
                <w:rFonts w:cs="Arial"/>
              </w:rPr>
              <w:t xml:space="preserve"> (p = 0.007)</w:t>
            </w:r>
          </w:p>
        </w:tc>
        <w:tc>
          <w:tcPr>
            <w:tcW w:w="1134" w:type="dxa"/>
          </w:tcPr>
          <w:p w:rsidR="0075777C" w:rsidRPr="006316DF" w:rsidRDefault="0075777C" w:rsidP="00805885">
            <w:pPr>
              <w:pStyle w:val="Tabletext"/>
              <w:rPr>
                <w:rFonts w:cs="Arial"/>
              </w:rPr>
            </w:pPr>
            <w:r>
              <w:rPr>
                <w:rFonts w:cs="Arial"/>
              </w:rPr>
              <w:t>High</w:t>
            </w:r>
          </w:p>
          <w:p w:rsidR="0075777C" w:rsidRPr="006316DF" w:rsidRDefault="0075777C" w:rsidP="00805885">
            <w:pPr>
              <w:pStyle w:val="Tabletext"/>
              <w:rPr>
                <w:rFonts w:cs="Cambria Math"/>
                <w:bCs/>
              </w:rPr>
            </w:pPr>
            <w:r w:rsidRPr="006316DF">
              <w:rPr>
                <w:rFonts w:ascii="Cambria Math" w:hAnsi="Cambria Math" w:cs="Cambria Math"/>
                <w:bCs/>
                <w:color w:val="00B050"/>
              </w:rPr>
              <w:t>⨁⨁⨁⨁</w:t>
            </w:r>
          </w:p>
          <w:p w:rsidR="0075777C" w:rsidRPr="006316DF" w:rsidRDefault="0075777C" w:rsidP="00805885">
            <w:pPr>
              <w:pStyle w:val="Tabletext"/>
              <w:rPr>
                <w:rFonts w:cs="Arial"/>
              </w:rPr>
            </w:pPr>
            <w:r w:rsidRPr="00660FF3">
              <w:rPr>
                <w:rFonts w:cs="Arial"/>
              </w:rPr>
              <w:t>Critical</w:t>
            </w:r>
          </w:p>
        </w:tc>
      </w:tr>
      <w:tr w:rsidR="0075777C" w:rsidRPr="006316DF" w:rsidTr="00805885">
        <w:tc>
          <w:tcPr>
            <w:tcW w:w="1560" w:type="dxa"/>
          </w:tcPr>
          <w:p w:rsidR="0075777C" w:rsidRPr="006316DF" w:rsidRDefault="0075777C" w:rsidP="00805885">
            <w:pPr>
              <w:pStyle w:val="Tabletext"/>
              <w:rPr>
                <w:rFonts w:cs="Arial"/>
              </w:rPr>
            </w:pPr>
            <w:r>
              <w:rPr>
                <w:rFonts w:cs="Arial"/>
              </w:rPr>
              <w:t>Hospitalisation</w:t>
            </w:r>
            <w:r w:rsidR="00086A04">
              <w:rPr>
                <w:rFonts w:cs="Arial"/>
              </w:rPr>
              <w:t xml:space="preserve"> due to </w:t>
            </w:r>
            <w:r w:rsidR="00B97B32">
              <w:rPr>
                <w:rFonts w:cs="Arial"/>
              </w:rPr>
              <w:t xml:space="preserve">worsening </w:t>
            </w:r>
            <w:r w:rsidR="00086A04">
              <w:rPr>
                <w:rFonts w:cs="Arial"/>
              </w:rPr>
              <w:t>PAH</w:t>
            </w:r>
          </w:p>
        </w:tc>
        <w:tc>
          <w:tcPr>
            <w:tcW w:w="1275" w:type="dxa"/>
          </w:tcPr>
          <w:p w:rsidR="0075777C" w:rsidRPr="006316DF" w:rsidRDefault="0075777C" w:rsidP="00805885">
            <w:pPr>
              <w:pStyle w:val="Tabletext"/>
              <w:rPr>
                <w:rFonts w:cs="Arial"/>
              </w:rPr>
            </w:pPr>
            <w:r w:rsidRPr="006316DF">
              <w:rPr>
                <w:rFonts w:cs="Arial"/>
              </w:rPr>
              <w:t>N=</w:t>
            </w:r>
            <w:r>
              <w:rPr>
                <w:rFonts w:cs="Arial"/>
              </w:rPr>
              <w:t>265</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 xml:space="preserve">Inconsistency: </w:t>
            </w:r>
            <w:r>
              <w:rPr>
                <w:rFonts w:cs="Arial"/>
              </w:rPr>
              <w:t>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Pr>
                <w:rFonts w:cs="Arial"/>
              </w:rPr>
              <w:t>Imprecision: −1</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0</w:t>
            </w:r>
          </w:p>
        </w:tc>
        <w:tc>
          <w:tcPr>
            <w:tcW w:w="1418" w:type="dxa"/>
          </w:tcPr>
          <w:p w:rsidR="0075777C" w:rsidRPr="004A69F0" w:rsidRDefault="0075777C" w:rsidP="00FF1A9C">
            <w:pPr>
              <w:pStyle w:val="Tabletext"/>
            </w:pPr>
            <w:r w:rsidRPr="00AC54F2">
              <w:t xml:space="preserve">RR </w:t>
            </w:r>
            <w:r>
              <w:t xml:space="preserve">= </w:t>
            </w:r>
            <w:r w:rsidRPr="00AC54F2">
              <w:t>0.</w:t>
            </w:r>
            <w:r w:rsidR="00FF1A9C">
              <w:t>71</w:t>
            </w:r>
            <w:r>
              <w:t xml:space="preserve"> </w:t>
            </w:r>
            <w:r w:rsidRPr="00AC54F2">
              <w:t>(</w:t>
            </w:r>
            <w:r>
              <w:t xml:space="preserve">95% CI </w:t>
            </w:r>
            <w:r w:rsidRPr="00AC54F2">
              <w:t>0.3</w:t>
            </w:r>
            <w:r w:rsidR="00FF1A9C">
              <w:t>0</w:t>
            </w:r>
            <w:r>
              <w:t>,</w:t>
            </w:r>
            <w:r w:rsidRPr="00AC54F2">
              <w:t xml:space="preserve"> </w:t>
            </w:r>
            <w:r w:rsidR="00FF1A9C">
              <w:t>1.71</w:t>
            </w:r>
            <w:r w:rsidRPr="00AC54F2">
              <w:t>)</w:t>
            </w:r>
          </w:p>
        </w:tc>
        <w:tc>
          <w:tcPr>
            <w:tcW w:w="2551" w:type="dxa"/>
          </w:tcPr>
          <w:p w:rsidR="0075777C" w:rsidRPr="004A69F0" w:rsidRDefault="0075777C" w:rsidP="00805885">
            <w:pPr>
              <w:pStyle w:val="Tabletext"/>
            </w:pPr>
            <w:r>
              <w:rPr>
                <w:rFonts w:cs="Arial"/>
              </w:rPr>
              <w:t>F</w:t>
            </w:r>
            <w:r w:rsidRPr="004A69F0">
              <w:rPr>
                <w:rFonts w:cs="Arial"/>
              </w:rPr>
              <w:t xml:space="preserve">ewer </w:t>
            </w:r>
            <w:r>
              <w:rPr>
                <w:rFonts w:cs="Arial"/>
              </w:rPr>
              <w:t>patients were hospitalised</w:t>
            </w:r>
            <w:r w:rsidRPr="004A69F0">
              <w:t xml:space="preserve"> </w:t>
            </w:r>
            <w:r w:rsidRPr="004A69F0">
              <w:rPr>
                <w:rFonts w:cs="Arial"/>
              </w:rPr>
              <w:t>with combination therapy compared with monotherapy</w:t>
            </w:r>
            <w:r>
              <w:rPr>
                <w:rFonts w:cs="Arial"/>
              </w:rPr>
              <w:t>,</w:t>
            </w:r>
            <w:r>
              <w:t xml:space="preserve"> but</w:t>
            </w:r>
            <w:r w:rsidRPr="004B26E4">
              <w:t xml:space="preserve"> the </w:t>
            </w:r>
            <w:r w:rsidR="00D84687">
              <w:t>95% CI indicates</w:t>
            </w:r>
            <w:r w:rsidRPr="004B26E4">
              <w:t xml:space="preserve"> that there may also be the opposite effect.</w:t>
            </w:r>
          </w:p>
        </w:tc>
        <w:tc>
          <w:tcPr>
            <w:tcW w:w="1134" w:type="dxa"/>
          </w:tcPr>
          <w:p w:rsidR="0075777C" w:rsidRDefault="0075777C" w:rsidP="00805885">
            <w:pPr>
              <w:pStyle w:val="Tabletext"/>
              <w:rPr>
                <w:bCs/>
              </w:rPr>
            </w:pPr>
            <w:r w:rsidRPr="00E564DD">
              <w:rPr>
                <w:bCs/>
              </w:rPr>
              <w:t>Moderate</w:t>
            </w:r>
          </w:p>
          <w:p w:rsidR="0075777C" w:rsidRDefault="0075777C" w:rsidP="00805885">
            <w:pPr>
              <w:pStyle w:val="Tabletext"/>
              <w:rPr>
                <w:rFonts w:ascii="Cambria Math" w:hAnsi="Cambria Math" w:cs="Cambria Math"/>
                <w:bCs/>
              </w:rPr>
            </w:pPr>
            <w:r w:rsidRPr="00E564DD">
              <w:rPr>
                <w:rFonts w:ascii="Cambria Math" w:hAnsi="Cambria Math" w:cs="Cambria Math"/>
                <w:bCs/>
                <w:color w:val="00B050"/>
              </w:rPr>
              <w:t>⨁⨁⨁</w:t>
            </w:r>
            <w:r w:rsidRPr="00E564DD">
              <w:rPr>
                <w:rFonts w:ascii="Cambria Math" w:hAnsi="Cambria Math" w:cs="Cambria Math"/>
                <w:bCs/>
                <w:color w:val="FF0000"/>
              </w:rPr>
              <w:t>⨀</w:t>
            </w:r>
          </w:p>
          <w:p w:rsidR="0075777C" w:rsidRPr="006316DF" w:rsidRDefault="00805885" w:rsidP="00805885">
            <w:pPr>
              <w:pStyle w:val="Tabletext"/>
              <w:rPr>
                <w:rFonts w:cs="Arial"/>
              </w:rPr>
            </w:pPr>
            <w:r>
              <w:rPr>
                <w:rFonts w:cs="Arial"/>
              </w:rPr>
              <w:t>Important</w:t>
            </w:r>
          </w:p>
        </w:tc>
      </w:tr>
      <w:tr w:rsidR="00805885" w:rsidRPr="006316DF" w:rsidTr="00805885">
        <w:tc>
          <w:tcPr>
            <w:tcW w:w="1560" w:type="dxa"/>
          </w:tcPr>
          <w:p w:rsidR="00805885" w:rsidRPr="006316DF" w:rsidRDefault="00805885" w:rsidP="00805885">
            <w:pPr>
              <w:pStyle w:val="Tabletext"/>
              <w:rPr>
                <w:rFonts w:cs="Arial"/>
              </w:rPr>
            </w:pPr>
            <w:r w:rsidRPr="006316DF">
              <w:rPr>
                <w:rFonts w:cs="Arial"/>
              </w:rPr>
              <w:t>Change in 6MWD</w:t>
            </w:r>
            <w:r w:rsidR="00B97B32">
              <w:rPr>
                <w:rFonts w:cs="Arial"/>
              </w:rPr>
              <w:t xml:space="preserve"> from baseline</w:t>
            </w:r>
          </w:p>
        </w:tc>
        <w:tc>
          <w:tcPr>
            <w:tcW w:w="1275" w:type="dxa"/>
          </w:tcPr>
          <w:p w:rsidR="00805885" w:rsidRPr="006316DF" w:rsidRDefault="00805885" w:rsidP="00805885">
            <w:pPr>
              <w:pStyle w:val="Tabletext"/>
              <w:rPr>
                <w:rFonts w:cs="Arial"/>
              </w:rPr>
            </w:pPr>
            <w:r w:rsidRPr="006316DF">
              <w:rPr>
                <w:rFonts w:cs="Arial"/>
              </w:rPr>
              <w:t>N=</w:t>
            </w:r>
            <w:r w:rsidR="001B552D">
              <w:rPr>
                <w:rFonts w:cs="Arial"/>
              </w:rPr>
              <w:t>2</w:t>
            </w:r>
            <w:r>
              <w:rPr>
                <w:rFonts w:cs="Arial"/>
              </w:rPr>
              <w:t>6</w:t>
            </w:r>
            <w:r w:rsidR="001B552D">
              <w:rPr>
                <w:rFonts w:cs="Arial"/>
              </w:rPr>
              <w:t>5</w:t>
            </w:r>
          </w:p>
          <w:p w:rsidR="00805885" w:rsidRPr="006316DF" w:rsidRDefault="00805885" w:rsidP="00805885">
            <w:pPr>
              <w:pStyle w:val="Tabletext"/>
              <w:rPr>
                <w:rFonts w:cs="Arial"/>
              </w:rPr>
            </w:pPr>
            <w:r w:rsidRPr="006316DF">
              <w:rPr>
                <w:rFonts w:cs="Arial"/>
              </w:rPr>
              <w:t>k=1 RCT</w:t>
            </w:r>
          </w:p>
        </w:tc>
        <w:tc>
          <w:tcPr>
            <w:tcW w:w="1701" w:type="dxa"/>
          </w:tcPr>
          <w:p w:rsidR="00805885" w:rsidRPr="006316DF" w:rsidRDefault="00805885" w:rsidP="00805885">
            <w:pPr>
              <w:pStyle w:val="Tabletext"/>
              <w:rPr>
                <w:rFonts w:cs="Arial"/>
              </w:rPr>
            </w:pPr>
            <w:r>
              <w:rPr>
                <w:rFonts w:cs="Arial"/>
              </w:rPr>
              <w:t>Risk of bias: 0</w:t>
            </w:r>
          </w:p>
          <w:p w:rsidR="00805885" w:rsidRPr="006316DF" w:rsidRDefault="00805885" w:rsidP="00805885">
            <w:pPr>
              <w:pStyle w:val="Tabletext"/>
              <w:rPr>
                <w:rFonts w:cs="Arial"/>
              </w:rPr>
            </w:pPr>
            <w:r w:rsidRPr="006316DF">
              <w:rPr>
                <w:rFonts w:cs="Arial"/>
              </w:rPr>
              <w:t>Inconsistency: 0</w:t>
            </w:r>
          </w:p>
          <w:p w:rsidR="00805885" w:rsidRPr="006316DF" w:rsidRDefault="00805885" w:rsidP="00805885">
            <w:pPr>
              <w:pStyle w:val="Tabletext"/>
              <w:rPr>
                <w:rFonts w:cs="Arial"/>
              </w:rPr>
            </w:pPr>
            <w:r w:rsidRPr="006316DF">
              <w:rPr>
                <w:rFonts w:cs="Arial"/>
              </w:rPr>
              <w:t xml:space="preserve">Indirectness: </w:t>
            </w:r>
            <w:r w:rsidR="00B47224">
              <w:rPr>
                <w:rFonts w:cs="Arial"/>
              </w:rPr>
              <w:t>−1</w:t>
            </w:r>
          </w:p>
          <w:p w:rsidR="00805885" w:rsidRDefault="00805885" w:rsidP="00805885">
            <w:pPr>
              <w:pStyle w:val="Tabletext"/>
              <w:rPr>
                <w:rFonts w:cs="Arial"/>
              </w:rPr>
            </w:pPr>
            <w:r w:rsidRPr="006316DF">
              <w:rPr>
                <w:rFonts w:cs="Arial"/>
              </w:rPr>
              <w:t>Imprecision: 0</w:t>
            </w:r>
          </w:p>
          <w:p w:rsidR="00805885" w:rsidRDefault="00805885" w:rsidP="00805885">
            <w:pPr>
              <w:pStyle w:val="Tabletext"/>
              <w:rPr>
                <w:rFonts w:cs="Arial"/>
              </w:rPr>
            </w:pPr>
            <w:r w:rsidRPr="006316DF">
              <w:rPr>
                <w:rFonts w:cs="Arial"/>
              </w:rPr>
              <w:t>Publication bias: 0</w:t>
            </w:r>
          </w:p>
          <w:p w:rsidR="00805885" w:rsidRPr="006316DF" w:rsidRDefault="00805885" w:rsidP="00805885">
            <w:pPr>
              <w:pStyle w:val="Tabletext"/>
              <w:rPr>
                <w:rFonts w:cs="Arial"/>
              </w:rPr>
            </w:pPr>
            <w:r>
              <w:rPr>
                <w:rFonts w:cs="Arial"/>
              </w:rPr>
              <w:t>Association: 0</w:t>
            </w:r>
          </w:p>
        </w:tc>
        <w:tc>
          <w:tcPr>
            <w:tcW w:w="1418" w:type="dxa"/>
          </w:tcPr>
          <w:p w:rsidR="00805885" w:rsidRPr="005A3D42" w:rsidRDefault="00805885" w:rsidP="004F21C9">
            <w:pPr>
              <w:pStyle w:val="Tabletext"/>
              <w:rPr>
                <w:highlight w:val="cyan"/>
              </w:rPr>
            </w:pPr>
            <w:r>
              <w:t>MD = 28.8 m further</w:t>
            </w:r>
            <w:r>
              <w:br/>
              <w:t>(</w:t>
            </w:r>
            <w:r w:rsidR="004F21C9">
              <w:t xml:space="preserve">95% CI </w:t>
            </w:r>
            <w:r>
              <w:t>13.9</w:t>
            </w:r>
            <w:r w:rsidR="004F21C9">
              <w:t>,</w:t>
            </w:r>
            <w:r w:rsidRPr="00944F0A">
              <w:t xml:space="preserve"> </w:t>
            </w:r>
            <w:r w:rsidR="004F21C9">
              <w:t>43.8</w:t>
            </w:r>
            <w:r>
              <w:t>)</w:t>
            </w:r>
          </w:p>
        </w:tc>
        <w:tc>
          <w:tcPr>
            <w:tcW w:w="2551" w:type="dxa"/>
          </w:tcPr>
          <w:p w:rsidR="00805885" w:rsidRPr="004B26E4" w:rsidRDefault="00805885" w:rsidP="00805885">
            <w:pPr>
              <w:pStyle w:val="Tabletext"/>
              <w:rPr>
                <w:rFonts w:cs="Arial"/>
              </w:rPr>
            </w:pPr>
            <w:r>
              <w:rPr>
                <w:rFonts w:cs="Arial"/>
              </w:rPr>
              <w:t>P</w:t>
            </w:r>
            <w:r w:rsidRPr="004B26E4">
              <w:rPr>
                <w:rFonts w:cs="Arial"/>
              </w:rPr>
              <w:t>atients on combination th</w:t>
            </w:r>
            <w:r>
              <w:rPr>
                <w:rFonts w:cs="Arial"/>
              </w:rPr>
              <w:t>e</w:t>
            </w:r>
            <w:r w:rsidRPr="004B26E4">
              <w:rPr>
                <w:rFonts w:cs="Arial"/>
              </w:rPr>
              <w:t>rapy ha</w:t>
            </w:r>
            <w:r>
              <w:rPr>
                <w:rFonts w:cs="Arial"/>
              </w:rPr>
              <w:t>d</w:t>
            </w:r>
            <w:r w:rsidRPr="004B26E4">
              <w:rPr>
                <w:rFonts w:cs="Arial"/>
              </w:rPr>
              <w:t xml:space="preserve"> a larger </w:t>
            </w:r>
            <w:r>
              <w:rPr>
                <w:rFonts w:cs="Arial"/>
              </w:rPr>
              <w:t xml:space="preserve">mean </w:t>
            </w:r>
            <w:r w:rsidRPr="004B26E4">
              <w:rPr>
                <w:rFonts w:cs="Arial"/>
              </w:rPr>
              <w:t xml:space="preserve">improvement in their 6MWD </w:t>
            </w:r>
            <w:r>
              <w:rPr>
                <w:rFonts w:cs="Arial"/>
              </w:rPr>
              <w:t>compared with</w:t>
            </w:r>
            <w:r w:rsidRPr="004B26E4">
              <w:rPr>
                <w:rFonts w:cs="Arial"/>
              </w:rPr>
              <w:t xml:space="preserve"> those on monotherapy</w:t>
            </w:r>
            <w:r w:rsidR="00196DB5" w:rsidRPr="009F0131">
              <w:rPr>
                <w:rFonts w:cs="Arial"/>
              </w:rPr>
              <w:t>, but the difference was not clinically important</w:t>
            </w:r>
          </w:p>
        </w:tc>
        <w:tc>
          <w:tcPr>
            <w:tcW w:w="1134" w:type="dxa"/>
          </w:tcPr>
          <w:p w:rsidR="00805885" w:rsidRPr="006316DF" w:rsidRDefault="00B47224" w:rsidP="00805885">
            <w:pPr>
              <w:pStyle w:val="Tabletext"/>
              <w:rPr>
                <w:rFonts w:cs="Arial"/>
              </w:rPr>
            </w:pPr>
            <w:r>
              <w:rPr>
                <w:rFonts w:cs="Arial"/>
              </w:rPr>
              <w:t>Moderate</w:t>
            </w:r>
          </w:p>
          <w:p w:rsidR="00805885" w:rsidRPr="006316DF" w:rsidRDefault="00805885" w:rsidP="00805885">
            <w:pPr>
              <w:pStyle w:val="Tabletext"/>
              <w:rPr>
                <w:rFonts w:cs="Cambria Math"/>
                <w:bCs/>
              </w:rPr>
            </w:pPr>
            <w:r w:rsidRPr="006316DF">
              <w:rPr>
                <w:rFonts w:ascii="Cambria Math" w:hAnsi="Cambria Math" w:cs="Cambria Math"/>
                <w:bCs/>
                <w:color w:val="00B050"/>
              </w:rPr>
              <w:t>⨁⨁⨁</w:t>
            </w:r>
            <w:r w:rsidR="00B47224" w:rsidRPr="006316DF">
              <w:rPr>
                <w:rFonts w:ascii="Cambria Math" w:hAnsi="Cambria Math" w:cs="Cambria Math"/>
                <w:color w:val="C00000"/>
              </w:rPr>
              <w:t>⨀</w:t>
            </w:r>
          </w:p>
          <w:p w:rsidR="00805885" w:rsidRPr="006316DF" w:rsidRDefault="00805885" w:rsidP="00805885">
            <w:pPr>
              <w:pStyle w:val="Tabletext"/>
              <w:rPr>
                <w:rFonts w:cs="Arial"/>
              </w:rPr>
            </w:pPr>
            <w:r>
              <w:rPr>
                <w:rFonts w:cs="Arial"/>
              </w:rPr>
              <w:t>I</w:t>
            </w:r>
            <w:r w:rsidRPr="006316DF">
              <w:rPr>
                <w:rFonts w:cs="Arial"/>
              </w:rPr>
              <w:t>mportant</w:t>
            </w:r>
          </w:p>
        </w:tc>
      </w:tr>
      <w:tr w:rsidR="0075777C" w:rsidRPr="006316DF" w:rsidTr="00805885">
        <w:tc>
          <w:tcPr>
            <w:tcW w:w="1560" w:type="dxa"/>
          </w:tcPr>
          <w:p w:rsidR="0075777C" w:rsidRPr="006316DF" w:rsidRDefault="0075777C" w:rsidP="00805885">
            <w:pPr>
              <w:pStyle w:val="Tabletext"/>
              <w:rPr>
                <w:rFonts w:cs="Arial"/>
              </w:rPr>
            </w:pPr>
            <w:r w:rsidRPr="006C4A08">
              <w:rPr>
                <w:rFonts w:cs="Arial"/>
              </w:rPr>
              <w:t>Change in haemodynamic parameters from baseline</w:t>
            </w:r>
          </w:p>
        </w:tc>
        <w:tc>
          <w:tcPr>
            <w:tcW w:w="1275" w:type="dxa"/>
          </w:tcPr>
          <w:p w:rsidR="0075777C" w:rsidRPr="001B552D" w:rsidRDefault="0075777C" w:rsidP="00805885">
            <w:pPr>
              <w:pStyle w:val="Tabletext"/>
              <w:rPr>
                <w:rFonts w:cs="Arial"/>
              </w:rPr>
            </w:pPr>
            <w:r w:rsidRPr="001B552D">
              <w:rPr>
                <w:rFonts w:cs="Arial"/>
              </w:rPr>
              <w:t>N=</w:t>
            </w:r>
            <w:r w:rsidR="001B552D" w:rsidRPr="001B552D">
              <w:rPr>
                <w:rFonts w:cs="Arial"/>
              </w:rPr>
              <w:t>2</w:t>
            </w:r>
            <w:r w:rsidRPr="001B552D">
              <w:rPr>
                <w:rFonts w:cs="Arial"/>
              </w:rPr>
              <w:t>6</w:t>
            </w:r>
            <w:r w:rsidR="001B552D" w:rsidRPr="001B552D">
              <w:rPr>
                <w:rFonts w:cs="Arial"/>
              </w:rPr>
              <w:t>5</w:t>
            </w:r>
          </w:p>
          <w:p w:rsidR="0075777C" w:rsidRPr="001B552D" w:rsidRDefault="001B552D" w:rsidP="00805885">
            <w:pPr>
              <w:pStyle w:val="Tabletext"/>
              <w:rPr>
                <w:rFonts w:cs="Arial"/>
              </w:rPr>
            </w:pPr>
            <w:r w:rsidRPr="001B552D">
              <w:rPr>
                <w:rFonts w:cs="Arial"/>
              </w:rPr>
              <w:t>k=1</w:t>
            </w:r>
            <w:r w:rsidR="0075777C" w:rsidRPr="001B552D">
              <w:rPr>
                <w:rFonts w:cs="Arial"/>
              </w:rPr>
              <w:t xml:space="preserve"> RCT</w:t>
            </w:r>
          </w:p>
        </w:tc>
        <w:tc>
          <w:tcPr>
            <w:tcW w:w="1701" w:type="dxa"/>
          </w:tcPr>
          <w:p w:rsidR="0075777C" w:rsidRPr="001B552D" w:rsidRDefault="0075777C" w:rsidP="00805885">
            <w:pPr>
              <w:pStyle w:val="Tabletext"/>
              <w:rPr>
                <w:rFonts w:cs="Arial"/>
              </w:rPr>
            </w:pPr>
            <w:r w:rsidRPr="001B552D">
              <w:rPr>
                <w:rFonts w:cs="Arial"/>
              </w:rPr>
              <w:t>Risk of bias: 0</w:t>
            </w:r>
          </w:p>
          <w:p w:rsidR="0075777C" w:rsidRPr="001B552D" w:rsidRDefault="0075777C" w:rsidP="00805885">
            <w:pPr>
              <w:pStyle w:val="Tabletext"/>
              <w:rPr>
                <w:rFonts w:cs="Arial"/>
              </w:rPr>
            </w:pPr>
            <w:r w:rsidRPr="001B552D">
              <w:rPr>
                <w:rFonts w:cs="Arial"/>
              </w:rPr>
              <w:t>Inconsistency: 0</w:t>
            </w:r>
          </w:p>
          <w:p w:rsidR="0075777C" w:rsidRPr="001B552D" w:rsidRDefault="0075777C" w:rsidP="00805885">
            <w:pPr>
              <w:pStyle w:val="Tabletext"/>
              <w:rPr>
                <w:rFonts w:cs="Arial"/>
              </w:rPr>
            </w:pPr>
            <w:r w:rsidRPr="001B552D">
              <w:rPr>
                <w:rFonts w:cs="Arial"/>
              </w:rPr>
              <w:t xml:space="preserve">Indirectness: </w:t>
            </w:r>
            <w:r w:rsidR="00B47224">
              <w:rPr>
                <w:rFonts w:cs="Arial"/>
              </w:rPr>
              <w:t>−2</w:t>
            </w:r>
          </w:p>
          <w:p w:rsidR="0075777C" w:rsidRPr="001B552D" w:rsidRDefault="0075777C" w:rsidP="00805885">
            <w:pPr>
              <w:pStyle w:val="Tabletext"/>
              <w:rPr>
                <w:rFonts w:cs="Arial"/>
              </w:rPr>
            </w:pPr>
            <w:r w:rsidRPr="001B552D">
              <w:rPr>
                <w:rFonts w:cs="Arial"/>
              </w:rPr>
              <w:t>Imprecision: 0</w:t>
            </w:r>
          </w:p>
          <w:p w:rsidR="0075777C" w:rsidRPr="001B552D" w:rsidRDefault="0075777C" w:rsidP="00805885">
            <w:pPr>
              <w:pStyle w:val="Tabletext"/>
              <w:rPr>
                <w:rFonts w:cs="Arial"/>
              </w:rPr>
            </w:pPr>
            <w:r w:rsidRPr="001B552D">
              <w:rPr>
                <w:rFonts w:cs="Arial"/>
              </w:rPr>
              <w:t>Publication bias: 0</w:t>
            </w:r>
          </w:p>
          <w:p w:rsidR="0075777C" w:rsidRPr="001B552D" w:rsidRDefault="0075777C" w:rsidP="00805885">
            <w:pPr>
              <w:pStyle w:val="Tabletext"/>
              <w:rPr>
                <w:rFonts w:cs="Arial"/>
              </w:rPr>
            </w:pPr>
            <w:r w:rsidRPr="001B552D">
              <w:rPr>
                <w:rFonts w:cs="Arial"/>
              </w:rPr>
              <w:t>Association: 0</w:t>
            </w:r>
            <w:r w:rsidR="00310F4A">
              <w:rPr>
                <w:rFonts w:cs="Arial"/>
              </w:rPr>
              <w:t xml:space="preserve"> to +1</w:t>
            </w:r>
          </w:p>
        </w:tc>
        <w:tc>
          <w:tcPr>
            <w:tcW w:w="1418" w:type="dxa"/>
          </w:tcPr>
          <w:p w:rsidR="0075777C" w:rsidRPr="001B552D" w:rsidRDefault="0075777C" w:rsidP="00805885">
            <w:pPr>
              <w:pStyle w:val="Tabletext"/>
            </w:pPr>
            <w:r w:rsidRPr="001B552D">
              <w:t>PVR</w:t>
            </w:r>
            <w:r w:rsidRPr="001B552D">
              <w:br/>
              <w:t>MD = 20.8% improvement</w:t>
            </w:r>
          </w:p>
          <w:p w:rsidR="0075777C" w:rsidRPr="001B552D" w:rsidRDefault="0075777C" w:rsidP="00805885">
            <w:pPr>
              <w:pStyle w:val="Tabletext"/>
            </w:pPr>
            <w:r w:rsidRPr="001B552D">
              <w:t>mPAP</w:t>
            </w:r>
            <w:r w:rsidRPr="001B552D">
              <w:br/>
              <w:t>MD = 7.5% improvement</w:t>
            </w:r>
          </w:p>
          <w:p w:rsidR="0075777C" w:rsidRPr="001B552D" w:rsidRDefault="0075777C" w:rsidP="00805885">
            <w:pPr>
              <w:pStyle w:val="Tabletext"/>
            </w:pPr>
            <w:r w:rsidRPr="001B552D">
              <w:t>mRAP</w:t>
            </w:r>
            <w:r w:rsidRPr="001B552D">
              <w:br/>
              <w:t>2.1 mmHg improvement</w:t>
            </w:r>
          </w:p>
        </w:tc>
        <w:tc>
          <w:tcPr>
            <w:tcW w:w="2551" w:type="dxa"/>
          </w:tcPr>
          <w:p w:rsidR="0075777C" w:rsidRPr="002812F2" w:rsidRDefault="0075777C" w:rsidP="00805885">
            <w:pPr>
              <w:pStyle w:val="Tabletext"/>
              <w:rPr>
                <w:rFonts w:cs="Arial"/>
              </w:rPr>
            </w:pPr>
            <w:r>
              <w:rPr>
                <w:rFonts w:cs="Arial"/>
              </w:rPr>
              <w:t>P</w:t>
            </w:r>
            <w:r w:rsidRPr="002812F2">
              <w:rPr>
                <w:rFonts w:cs="Arial"/>
              </w:rPr>
              <w:t xml:space="preserve">atients </w:t>
            </w:r>
            <w:r>
              <w:rPr>
                <w:rFonts w:cs="Arial"/>
              </w:rPr>
              <w:t>on combination therapy</w:t>
            </w:r>
            <w:r w:rsidRPr="002812F2">
              <w:rPr>
                <w:rFonts w:cs="Arial"/>
              </w:rPr>
              <w:t xml:space="preserve"> </w:t>
            </w:r>
            <w:r w:rsidRPr="004B26E4">
              <w:rPr>
                <w:rFonts w:cs="Arial"/>
              </w:rPr>
              <w:t>ha</w:t>
            </w:r>
            <w:r>
              <w:rPr>
                <w:rFonts w:cs="Arial"/>
              </w:rPr>
              <w:t>d</w:t>
            </w:r>
            <w:r w:rsidRPr="004B26E4">
              <w:rPr>
                <w:rFonts w:cs="Arial"/>
              </w:rPr>
              <w:t xml:space="preserve"> a larger </w:t>
            </w:r>
            <w:r>
              <w:rPr>
                <w:rFonts w:cs="Arial"/>
              </w:rPr>
              <w:t xml:space="preserve">mean </w:t>
            </w:r>
            <w:r w:rsidRPr="004B26E4">
              <w:rPr>
                <w:rFonts w:cs="Arial"/>
              </w:rPr>
              <w:t xml:space="preserve">improvement in their </w:t>
            </w:r>
            <w:r>
              <w:rPr>
                <w:rFonts w:cs="Arial"/>
              </w:rPr>
              <w:t>haemodynamic parameters compared with</w:t>
            </w:r>
            <w:r w:rsidRPr="002812F2">
              <w:rPr>
                <w:rFonts w:cs="Arial"/>
              </w:rPr>
              <w:t xml:space="preserve"> those </w:t>
            </w:r>
            <w:r>
              <w:rPr>
                <w:rFonts w:cs="Arial"/>
              </w:rPr>
              <w:t>on monotherapy</w:t>
            </w:r>
            <w:r w:rsidR="00B97B32" w:rsidRPr="00B97B32">
              <w:rPr>
                <w:rFonts w:cs="Arial"/>
              </w:rPr>
              <w:t xml:space="preserve"> and this improvement may be clinically important </w:t>
            </w:r>
            <w:r w:rsidR="00B97B32">
              <w:rPr>
                <w:rFonts w:cs="Arial"/>
              </w:rPr>
              <w:t xml:space="preserve">for </w:t>
            </w:r>
            <w:r w:rsidR="00B97B32" w:rsidRPr="00B97B32">
              <w:rPr>
                <w:rFonts w:cs="Arial"/>
              </w:rPr>
              <w:t>PVR and mRAP</w:t>
            </w:r>
          </w:p>
        </w:tc>
        <w:tc>
          <w:tcPr>
            <w:tcW w:w="1134" w:type="dxa"/>
          </w:tcPr>
          <w:p w:rsidR="0075777C" w:rsidRPr="006316DF" w:rsidRDefault="00B47224" w:rsidP="00805885">
            <w:pPr>
              <w:pStyle w:val="Tabletext"/>
              <w:rPr>
                <w:rFonts w:cs="Arial"/>
              </w:rPr>
            </w:pPr>
            <w:r>
              <w:rPr>
                <w:rFonts w:cs="Arial"/>
              </w:rPr>
              <w:t>Low</w:t>
            </w:r>
          </w:p>
          <w:p w:rsidR="0075777C" w:rsidRPr="006316DF" w:rsidRDefault="0075777C" w:rsidP="00805885">
            <w:pPr>
              <w:pStyle w:val="Tabletext"/>
              <w:rPr>
                <w:rFonts w:cs="Cambria Math"/>
                <w:bCs/>
              </w:rPr>
            </w:pPr>
            <w:r w:rsidRPr="006316DF">
              <w:rPr>
                <w:rFonts w:ascii="Cambria Math" w:hAnsi="Cambria Math" w:cs="Cambria Math"/>
                <w:bCs/>
                <w:color w:val="00B050"/>
              </w:rPr>
              <w:t>⨁⨁</w:t>
            </w:r>
            <w:r w:rsidR="00B47224" w:rsidRPr="006316DF">
              <w:rPr>
                <w:rFonts w:ascii="Cambria Math" w:hAnsi="Cambria Math" w:cs="Cambria Math"/>
                <w:color w:val="C00000"/>
              </w:rPr>
              <w:t>⨀⨀</w:t>
            </w:r>
          </w:p>
          <w:p w:rsidR="0075777C" w:rsidRPr="006316DF" w:rsidRDefault="00805885" w:rsidP="00805885">
            <w:pPr>
              <w:pStyle w:val="Tabletext"/>
              <w:rPr>
                <w:rFonts w:cs="Arial"/>
              </w:rPr>
            </w:pPr>
            <w:r>
              <w:rPr>
                <w:rFonts w:cs="Arial"/>
              </w:rPr>
              <w:t>Not i</w:t>
            </w:r>
            <w:r w:rsidR="0075777C" w:rsidRPr="006316DF">
              <w:rPr>
                <w:rFonts w:cs="Arial"/>
              </w:rPr>
              <w:t>mportant</w:t>
            </w:r>
          </w:p>
        </w:tc>
      </w:tr>
    </w:tbl>
    <w:p w:rsidR="0075777C" w:rsidRPr="006316DF" w:rsidRDefault="0075777C" w:rsidP="00805885">
      <w:pPr>
        <w:pStyle w:val="Tablenote"/>
      </w:pPr>
      <w:r w:rsidRPr="006316DF">
        <w:rPr>
          <w:vertAlign w:val="superscript"/>
        </w:rPr>
        <w:t xml:space="preserve">a </w:t>
      </w:r>
      <w:r w:rsidRPr="006316DF">
        <w:t xml:space="preserve">GRADE Working Group grades of evidence </w:t>
      </w:r>
      <w:r w:rsidR="001D34EE" w:rsidRPr="001D34EE">
        <w:rPr>
          <w:noProof/>
          <w:vertAlign w:val="superscript"/>
        </w:rPr>
        <w:t>1</w:t>
      </w:r>
    </w:p>
    <w:p w:rsidR="0075777C" w:rsidRPr="006316DF" w:rsidRDefault="0075777C" w:rsidP="00805885">
      <w:pPr>
        <w:pStyle w:val="Tablenote"/>
      </w:pPr>
      <w:r w:rsidRPr="006316DF">
        <w:rPr>
          <w:rFonts w:ascii="Cambria Math" w:hAnsi="Cambria Math" w:cs="Cambria Math"/>
          <w:color w:val="00B050"/>
        </w:rPr>
        <w:lastRenderedPageBreak/>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75777C" w:rsidRPr="006316DF" w:rsidRDefault="0075777C" w:rsidP="00805885">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Moderate quality:</w:t>
      </w:r>
      <w:r w:rsidRPr="006316DF">
        <w:t xml:space="preserve"> We are moderately confident in the effect estimate: The true effect is likely to be close to the estimate of the effect, but there is a possibility that it is substantially different</w:t>
      </w:r>
    </w:p>
    <w:p w:rsidR="00C95108" w:rsidRPr="006316DF" w:rsidRDefault="00C95108" w:rsidP="00C95108">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F24B06" w:rsidRDefault="0075777C" w:rsidP="00B21201">
      <w:pPr>
        <w:pStyle w:val="Tablenote"/>
        <w:tabs>
          <w:tab w:val="left" w:pos="2410"/>
        </w:tabs>
      </w:pPr>
      <w:r>
        <w:t xml:space="preserve">6MWD = 6-minute </w:t>
      </w:r>
      <w:r w:rsidR="0082368E">
        <w:t>walk distance</w:t>
      </w:r>
      <w:r w:rsidR="00B21201">
        <w:t>; ARD</w:t>
      </w:r>
      <w:r>
        <w:t xml:space="preserve"> = absolute risk </w:t>
      </w:r>
      <w:r w:rsidR="00B21201">
        <w:t>difference</w:t>
      </w:r>
      <w:r>
        <w:t xml:space="preserve">; CI = confidence interval; </w:t>
      </w:r>
      <w:r w:rsidR="00385E5A">
        <w:t>GRADE = grading of recommendations assessment, development and evaluation</w:t>
      </w:r>
      <w:r w:rsidR="001D34EE" w:rsidRPr="001D34EE">
        <w:rPr>
          <w:noProof/>
          <w:vertAlign w:val="superscript"/>
        </w:rPr>
        <w:t>1</w:t>
      </w:r>
      <w:r w:rsidR="00F24B06" w:rsidRPr="00F24B06">
        <w:t xml:space="preserve">; k = number of studies; </w:t>
      </w:r>
      <w:r>
        <w:t>MD = mean difference</w:t>
      </w:r>
      <w:r w:rsidR="00214AC1">
        <w:t>; mPAP = mean pulmonary artery</w:t>
      </w:r>
      <w:r>
        <w:t xml:space="preserve"> pressure; mRAP = mean right atrial pressure; N = number of patients; </w:t>
      </w:r>
      <w:r w:rsidRPr="00C65B42">
        <w:t xml:space="preserve">PAH = pulmonary arterial hypertension; </w:t>
      </w:r>
      <w:r w:rsidRPr="009B5AB3">
        <w:t>PDE-5 = phosphodiesterase type-5</w:t>
      </w:r>
      <w:r>
        <w:t>;</w:t>
      </w:r>
      <w:r w:rsidRPr="009B5AB3">
        <w:t xml:space="preserve"> </w:t>
      </w:r>
      <w:r w:rsidRPr="009123E2">
        <w:t>PVR</w:t>
      </w:r>
      <w:r>
        <w:t xml:space="preserve"> = p</w:t>
      </w:r>
      <w:r w:rsidRPr="009123E2">
        <w:t xml:space="preserve">ulmonary </w:t>
      </w:r>
      <w:r>
        <w:t>v</w:t>
      </w:r>
      <w:r w:rsidRPr="009123E2">
        <w:t xml:space="preserve">ascular </w:t>
      </w:r>
      <w:r>
        <w:t>r</w:t>
      </w:r>
      <w:r w:rsidRPr="009123E2">
        <w:t>esistance</w:t>
      </w:r>
      <w:r>
        <w:t>; RCT = randomised controlled trial; RR = relative risk</w:t>
      </w:r>
    </w:p>
    <w:p w:rsidR="0075777C" w:rsidRPr="006316DF" w:rsidRDefault="0075777C" w:rsidP="0075777C">
      <w:pPr>
        <w:pStyle w:val="Heading5"/>
      </w:pPr>
      <w:r w:rsidRPr="006316DF">
        <w:t>Safety</w:t>
      </w:r>
    </w:p>
    <w:p w:rsidR="0075777C" w:rsidRDefault="0075777C" w:rsidP="0075777C">
      <w:r w:rsidRPr="006316DF">
        <w:t xml:space="preserve">The </w:t>
      </w:r>
      <w:r>
        <w:t xml:space="preserve">detailed </w:t>
      </w:r>
      <w:r w:rsidRPr="006316DF">
        <w:t>GRADE</w:t>
      </w:r>
      <w:r w:rsidR="001D34EE" w:rsidRPr="001D34EE">
        <w:rPr>
          <w:noProof/>
          <w:vertAlign w:val="superscript"/>
        </w:rPr>
        <w:t>1</w:t>
      </w:r>
      <w:r w:rsidRPr="006316DF">
        <w:t xml:space="preserve"> assessments of </w:t>
      </w:r>
      <w:r>
        <w:t>safety</w:t>
      </w:r>
      <w:r w:rsidRPr="006316DF">
        <w:t xml:space="preserve"> outco</w:t>
      </w:r>
      <w:r>
        <w:t>mes when comparing a</w:t>
      </w:r>
      <w:r w:rsidRPr="006316DF">
        <w:t xml:space="preserve"> </w:t>
      </w:r>
      <w:r w:rsidRPr="00BB3BB5">
        <w:t>PDE-5 inhibitor</w:t>
      </w:r>
      <w:r w:rsidRPr="006316DF">
        <w:t xml:space="preserve"> </w:t>
      </w:r>
      <w:r w:rsidRPr="00BB3BB5">
        <w:t>in addition to</w:t>
      </w:r>
      <w:r w:rsidRPr="00AD232F">
        <w:t xml:space="preserve"> </w:t>
      </w:r>
      <w:r w:rsidR="00976CAA">
        <w:t>a prostanoid</w:t>
      </w:r>
      <w:r w:rsidRPr="00BB3BB5">
        <w:t xml:space="preserve">, relative to </w:t>
      </w:r>
      <w:r w:rsidR="00976CAA">
        <w:t>prostanoid</w:t>
      </w:r>
      <w:r w:rsidRPr="00BB3BB5">
        <w:t xml:space="preserve"> monotherapy </w:t>
      </w:r>
      <w:r w:rsidRPr="006316DF">
        <w:t>are reported in</w:t>
      </w:r>
      <w:r>
        <w:t xml:space="preserve"> </w:t>
      </w:r>
      <w:r w:rsidR="00AA722D">
        <w:t>Table 4.</w:t>
      </w:r>
      <w:r w:rsidR="00AA722D">
        <w:rPr>
          <w:noProof/>
        </w:rPr>
        <w:t>162</w:t>
      </w:r>
      <w:r>
        <w:t xml:space="preserve"> i</w:t>
      </w:r>
      <w:r w:rsidRPr="006316DF">
        <w:t xml:space="preserve">n Appendix </w:t>
      </w:r>
      <w:r w:rsidR="00DA2636">
        <w:t>4</w:t>
      </w:r>
      <w:r w:rsidR="001B552D">
        <w:t>C</w:t>
      </w:r>
      <w:r>
        <w:t xml:space="preserve">. </w:t>
      </w:r>
      <w:r w:rsidRPr="006316DF">
        <w:t xml:space="preserve">The evidence for the </w:t>
      </w:r>
      <w:r>
        <w:t xml:space="preserve">safety </w:t>
      </w:r>
      <w:r w:rsidRPr="006316DF">
        <w:t xml:space="preserve">outcomes </w:t>
      </w:r>
      <w:r>
        <w:t xml:space="preserve">for all PAH patients is summarised </w:t>
      </w:r>
      <w:r w:rsidRPr="006316DF">
        <w:t>in</w:t>
      </w:r>
      <w:r>
        <w:t xml:space="preserve"> </w:t>
      </w:r>
      <w:r w:rsidR="00AA722D">
        <w:t>Table 4.</w:t>
      </w:r>
      <w:r w:rsidR="00AA722D">
        <w:rPr>
          <w:noProof/>
        </w:rPr>
        <w:t>136</w:t>
      </w:r>
      <w:r>
        <w:t xml:space="preserve">. </w:t>
      </w:r>
      <w:r w:rsidR="00E20AB7">
        <w:t>There were no new safety signal identified.</w:t>
      </w:r>
    </w:p>
    <w:p w:rsidR="0075777C" w:rsidRPr="008727D6" w:rsidRDefault="0075777C" w:rsidP="0075777C">
      <w:r>
        <w:t xml:space="preserve">All outcomes were </w:t>
      </w:r>
      <w:r w:rsidRPr="006316DF">
        <w:t xml:space="preserve">considered to be of </w:t>
      </w:r>
      <w:r>
        <w:t>high</w:t>
      </w:r>
      <w:r w:rsidRPr="006316DF">
        <w:t xml:space="preserve"> quality (GRADE </w:t>
      </w:r>
      <w:r w:rsidRPr="00920393">
        <w:rPr>
          <w:rFonts w:ascii="Cambria Math" w:eastAsia="Times New Roman" w:hAnsi="Cambria Math" w:cs="Tahoma"/>
          <w:bCs/>
          <w:color w:val="00B050"/>
        </w:rPr>
        <w:t>⨁⨁⨁⨁</w:t>
      </w:r>
      <w:r w:rsidRPr="008727D6">
        <w:t xml:space="preserve">). Patients were just as likely to experience any AE after starting combination therapy as they were on monotherapy. Patients on combination therapy were less likely to have a serious AE and more likely to have an AE that would lead to treatment discontinuation compared with those on monotherapy, but the </w:t>
      </w:r>
      <w:r w:rsidR="00D84687">
        <w:t>95% CI indicates</w:t>
      </w:r>
      <w:r w:rsidRPr="008727D6">
        <w:t xml:space="preserve"> that there could also be no or the opposite effect.</w:t>
      </w:r>
    </w:p>
    <w:p w:rsidR="0075777C" w:rsidRDefault="0075777C" w:rsidP="0075777C">
      <w:r w:rsidRPr="006316DF">
        <w:t>Th</w:t>
      </w:r>
      <w:r w:rsidR="001E5DED">
        <w:t xml:space="preserve">us, </w:t>
      </w:r>
      <w:r w:rsidR="001E5DED" w:rsidRPr="001E5DED">
        <w:t xml:space="preserve">the use of a PDE-5 inhibitor in addition to a prostanoid is likely to be </w:t>
      </w:r>
      <w:r w:rsidR="009C65FF">
        <w:t>non-inferior to</w:t>
      </w:r>
      <w:r w:rsidR="001E5DED" w:rsidRPr="001E5DED">
        <w:t xml:space="preserve"> prostanoid monotherapy </w:t>
      </w:r>
      <w:r w:rsidR="009C65FF">
        <w:t xml:space="preserve">in term of safety </w:t>
      </w:r>
      <w:r w:rsidR="001E5DED" w:rsidRPr="001E5DED">
        <w:t>when treating PAH patients</w:t>
      </w:r>
      <w:r w:rsidRPr="006316DF">
        <w:t xml:space="preserve">. </w:t>
      </w:r>
    </w:p>
    <w:p w:rsidR="0075777C" w:rsidRPr="006316DF" w:rsidRDefault="00272F8F" w:rsidP="00BC5A2B">
      <w:pPr>
        <w:pStyle w:val="Caption"/>
      </w:pPr>
      <w:bookmarkStart w:id="375" w:name="_Ref505862025"/>
      <w:bookmarkStart w:id="376" w:name="_Toc512855540"/>
      <w:r>
        <w:t>Table 4.</w:t>
      </w:r>
      <w:r w:rsidR="00AA722D">
        <w:rPr>
          <w:noProof/>
        </w:rPr>
        <w:t>136</w:t>
      </w:r>
      <w:bookmarkEnd w:id="375"/>
      <w:r w:rsidR="008727D6">
        <w:tab/>
      </w:r>
      <w:r w:rsidR="0075777C" w:rsidRPr="006316DF">
        <w:t xml:space="preserve">Balance of clinical harms of </w:t>
      </w:r>
      <w:r w:rsidR="001B552D">
        <w:t xml:space="preserve">a </w:t>
      </w:r>
      <w:r w:rsidR="0075777C" w:rsidRPr="006C4A08">
        <w:t xml:space="preserve">PDE-5 inhibitor in addition to </w:t>
      </w:r>
      <w:r w:rsidR="001B552D">
        <w:t xml:space="preserve">a </w:t>
      </w:r>
      <w:r w:rsidR="00805885" w:rsidRPr="006C4A08">
        <w:t>prostanoid</w:t>
      </w:r>
      <w:r w:rsidR="0075777C" w:rsidRPr="006C4A08">
        <w:t xml:space="preserve">, relative to </w:t>
      </w:r>
      <w:r w:rsidR="00805885" w:rsidRPr="006C4A08">
        <w:t>prostanoid</w:t>
      </w:r>
      <w:r w:rsidR="0075777C" w:rsidRPr="006C4A08">
        <w:t xml:space="preserve"> </w:t>
      </w:r>
      <w:r w:rsidR="0075777C" w:rsidRPr="004A69F0">
        <w:t>monotherapy</w:t>
      </w:r>
      <w:r w:rsidR="0075777C">
        <w:t xml:space="preserve"> in all patients with PAH</w:t>
      </w:r>
      <w:bookmarkEnd w:id="376"/>
    </w:p>
    <w:tbl>
      <w:tblPr>
        <w:tblStyle w:val="TableGrid"/>
        <w:tblW w:w="9639" w:type="dxa"/>
        <w:tblLayout w:type="fixed"/>
        <w:tblLook w:val="04A0" w:firstRow="1" w:lastRow="0" w:firstColumn="1" w:lastColumn="0" w:noHBand="0" w:noVBand="1"/>
        <w:tblCaption w:val="Balance of clinical harms of a PDE-5 inhibitor in addition to a prostanoid, relative to prostanoid monotherapy in all patients with PAH"/>
      </w:tblPr>
      <w:tblGrid>
        <w:gridCol w:w="1560"/>
        <w:gridCol w:w="1275"/>
        <w:gridCol w:w="1701"/>
        <w:gridCol w:w="1418"/>
        <w:gridCol w:w="2551"/>
        <w:gridCol w:w="1134"/>
      </w:tblGrid>
      <w:tr w:rsidR="0075777C" w:rsidRPr="00805885" w:rsidTr="00805885">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805885" w:rsidRDefault="0075777C" w:rsidP="00805885">
            <w:pPr>
              <w:pStyle w:val="Tabletext"/>
              <w:rPr>
                <w:b/>
                <w:noProof/>
              </w:rPr>
            </w:pPr>
            <w:r w:rsidRPr="00805885">
              <w:rPr>
                <w:b/>
                <w:noProof/>
              </w:rPr>
              <w:t xml:space="preserve">Outcomes </w:t>
            </w:r>
          </w:p>
        </w:tc>
        <w:tc>
          <w:tcPr>
            <w:tcW w:w="1275" w:type="dxa"/>
          </w:tcPr>
          <w:p w:rsidR="0075777C" w:rsidRPr="00805885" w:rsidRDefault="0075777C" w:rsidP="00805885">
            <w:pPr>
              <w:pStyle w:val="Tabletext"/>
              <w:rPr>
                <w:b/>
                <w:noProof/>
              </w:rPr>
            </w:pPr>
            <w:r w:rsidRPr="00805885">
              <w:rPr>
                <w:b/>
                <w:noProof/>
              </w:rPr>
              <w:t>Participants (studies)</w:t>
            </w:r>
          </w:p>
        </w:tc>
        <w:tc>
          <w:tcPr>
            <w:tcW w:w="1701" w:type="dxa"/>
          </w:tcPr>
          <w:p w:rsidR="0075777C" w:rsidRPr="00805885" w:rsidRDefault="0075777C" w:rsidP="00805885">
            <w:pPr>
              <w:pStyle w:val="Tabletext"/>
              <w:rPr>
                <w:b/>
                <w:noProof/>
              </w:rPr>
            </w:pPr>
            <w:r w:rsidRPr="00805885">
              <w:rPr>
                <w:b/>
                <w:noProof/>
              </w:rPr>
              <w:t>Quality of evidence</w:t>
            </w:r>
          </w:p>
        </w:tc>
        <w:tc>
          <w:tcPr>
            <w:tcW w:w="1418" w:type="dxa"/>
          </w:tcPr>
          <w:p w:rsidR="0075777C" w:rsidRPr="00805885" w:rsidRDefault="0075777C" w:rsidP="00805885">
            <w:pPr>
              <w:pStyle w:val="Tabletext"/>
              <w:rPr>
                <w:b/>
                <w:noProof/>
              </w:rPr>
            </w:pPr>
            <w:r w:rsidRPr="00805885">
              <w:rPr>
                <w:b/>
                <w:noProof/>
              </w:rPr>
              <w:t>Results</w:t>
            </w:r>
          </w:p>
        </w:tc>
        <w:tc>
          <w:tcPr>
            <w:tcW w:w="2551" w:type="dxa"/>
          </w:tcPr>
          <w:p w:rsidR="0075777C" w:rsidRPr="00805885" w:rsidRDefault="0075777C" w:rsidP="00805885">
            <w:pPr>
              <w:pStyle w:val="Tabletext"/>
              <w:rPr>
                <w:b/>
                <w:noProof/>
              </w:rPr>
            </w:pPr>
            <w:r w:rsidRPr="00805885">
              <w:rPr>
                <w:b/>
                <w:noProof/>
              </w:rPr>
              <w:t>Interpretation</w:t>
            </w:r>
          </w:p>
        </w:tc>
        <w:tc>
          <w:tcPr>
            <w:tcW w:w="1134" w:type="dxa"/>
          </w:tcPr>
          <w:p w:rsidR="0075777C" w:rsidRPr="00805885" w:rsidRDefault="0075777C" w:rsidP="00805885">
            <w:pPr>
              <w:pStyle w:val="Tabletext"/>
              <w:rPr>
                <w:b/>
                <w:noProof/>
              </w:rPr>
            </w:pPr>
            <w:r w:rsidRPr="00805885">
              <w:rPr>
                <w:b/>
                <w:noProof/>
              </w:rPr>
              <w:t>GRADE</w:t>
            </w:r>
            <w:r w:rsidR="007446CB" w:rsidRPr="007446CB">
              <w:rPr>
                <w:b/>
                <w:noProof/>
                <w:vertAlign w:val="superscript"/>
              </w:rPr>
              <w:t>a</w:t>
            </w:r>
          </w:p>
          <w:p w:rsidR="0075777C" w:rsidRPr="00805885" w:rsidRDefault="0075777C" w:rsidP="00805885">
            <w:pPr>
              <w:pStyle w:val="Tabletext"/>
              <w:rPr>
                <w:b/>
                <w:noProof/>
              </w:rPr>
            </w:pPr>
            <w:r w:rsidRPr="00805885">
              <w:rPr>
                <w:b/>
                <w:noProof/>
              </w:rPr>
              <w:t>Importance</w:t>
            </w:r>
          </w:p>
        </w:tc>
      </w:tr>
      <w:tr w:rsidR="0075777C" w:rsidRPr="006316DF" w:rsidTr="00805885">
        <w:tc>
          <w:tcPr>
            <w:tcW w:w="1560" w:type="dxa"/>
          </w:tcPr>
          <w:p w:rsidR="0075777C" w:rsidRPr="006316DF" w:rsidRDefault="0075777C" w:rsidP="00805885">
            <w:pPr>
              <w:pStyle w:val="Tabletext"/>
              <w:rPr>
                <w:rFonts w:cs="Arial"/>
              </w:rPr>
            </w:pPr>
            <w:r>
              <w:rPr>
                <w:rFonts w:cs="Arial"/>
              </w:rPr>
              <w:t>Any AE</w:t>
            </w:r>
            <w:r w:rsidRPr="006316DF">
              <w:rPr>
                <w:rFonts w:cs="Arial"/>
              </w:rPr>
              <w:t xml:space="preserve"> </w:t>
            </w:r>
          </w:p>
        </w:tc>
        <w:tc>
          <w:tcPr>
            <w:tcW w:w="1275" w:type="dxa"/>
          </w:tcPr>
          <w:p w:rsidR="0075777C" w:rsidRPr="006316DF" w:rsidRDefault="0075777C" w:rsidP="00805885">
            <w:pPr>
              <w:pStyle w:val="Tabletext"/>
              <w:rPr>
                <w:rFonts w:cs="Arial"/>
              </w:rPr>
            </w:pPr>
            <w:r>
              <w:rPr>
                <w:rFonts w:cs="Arial"/>
              </w:rPr>
              <w:t>N=265</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Imprecision: 0</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0</w:t>
            </w:r>
          </w:p>
        </w:tc>
        <w:tc>
          <w:tcPr>
            <w:tcW w:w="1418" w:type="dxa"/>
          </w:tcPr>
          <w:p w:rsidR="0075777C" w:rsidRPr="000E45D6" w:rsidRDefault="0075777C" w:rsidP="00805885">
            <w:pPr>
              <w:pStyle w:val="Tabletext"/>
              <w:rPr>
                <w:rFonts w:cs="Arial"/>
              </w:rPr>
            </w:pPr>
            <w:r w:rsidRPr="00AC54F2">
              <w:t xml:space="preserve">RR </w:t>
            </w:r>
            <w:r>
              <w:t xml:space="preserve">= </w:t>
            </w:r>
            <w:r w:rsidRPr="00AC54F2">
              <w:t>0.95</w:t>
            </w:r>
            <w:r>
              <w:t xml:space="preserve"> </w:t>
            </w:r>
            <w:r w:rsidRPr="00AC54F2">
              <w:t>(</w:t>
            </w:r>
            <w:r>
              <w:t xml:space="preserve">95% CI </w:t>
            </w:r>
            <w:r w:rsidRPr="00AC54F2">
              <w:t>0.90</w:t>
            </w:r>
            <w:r>
              <w:t>,</w:t>
            </w:r>
            <w:r w:rsidRPr="00AC54F2">
              <w:t xml:space="preserve"> 1.00)</w:t>
            </w:r>
          </w:p>
        </w:tc>
        <w:tc>
          <w:tcPr>
            <w:tcW w:w="2551" w:type="dxa"/>
          </w:tcPr>
          <w:p w:rsidR="0075777C" w:rsidRPr="000E45D6" w:rsidRDefault="0075777C" w:rsidP="00805885">
            <w:pPr>
              <w:pStyle w:val="Tabletext"/>
              <w:rPr>
                <w:rFonts w:cs="Arial"/>
              </w:rPr>
            </w:pPr>
            <w:r>
              <w:rPr>
                <w:rFonts w:cs="Arial"/>
              </w:rPr>
              <w:t>T</w:t>
            </w:r>
            <w:r w:rsidRPr="000E45D6">
              <w:rPr>
                <w:rFonts w:cs="Arial"/>
              </w:rPr>
              <w:t xml:space="preserve">he </w:t>
            </w:r>
            <w:r>
              <w:rPr>
                <w:rFonts w:cs="Arial"/>
              </w:rPr>
              <w:t>proportion</w:t>
            </w:r>
            <w:r w:rsidRPr="000E45D6">
              <w:rPr>
                <w:rFonts w:cs="Arial"/>
              </w:rPr>
              <w:t xml:space="preserve"> of patients </w:t>
            </w:r>
            <w:r>
              <w:rPr>
                <w:rFonts w:cs="Arial"/>
              </w:rPr>
              <w:t>who</w:t>
            </w:r>
            <w:r w:rsidRPr="000E45D6">
              <w:rPr>
                <w:rFonts w:cs="Arial"/>
              </w:rPr>
              <w:t xml:space="preserve"> experience</w:t>
            </w:r>
            <w:r>
              <w:rPr>
                <w:rFonts w:cs="Arial"/>
              </w:rPr>
              <w:t>d</w:t>
            </w:r>
            <w:r w:rsidRPr="000E45D6">
              <w:rPr>
                <w:rFonts w:cs="Arial"/>
              </w:rPr>
              <w:t xml:space="preserve"> </w:t>
            </w:r>
            <w:r>
              <w:rPr>
                <w:rFonts w:cs="Arial"/>
              </w:rPr>
              <w:t>an AE</w:t>
            </w:r>
            <w:r w:rsidRPr="000E45D6">
              <w:rPr>
                <w:rFonts w:cs="Arial"/>
              </w:rPr>
              <w:t xml:space="preserve"> </w:t>
            </w:r>
            <w:r>
              <w:rPr>
                <w:rFonts w:cs="Arial"/>
              </w:rPr>
              <w:t>with combination therapy was similar to the proportion on monotherapy</w:t>
            </w:r>
          </w:p>
        </w:tc>
        <w:tc>
          <w:tcPr>
            <w:tcW w:w="1134" w:type="dxa"/>
          </w:tcPr>
          <w:p w:rsidR="0075777C" w:rsidRPr="006316DF" w:rsidRDefault="0075777C" w:rsidP="00805885">
            <w:pPr>
              <w:pStyle w:val="Tabletext"/>
              <w:rPr>
                <w:rFonts w:cs="Arial"/>
              </w:rPr>
            </w:pPr>
            <w:r>
              <w:rPr>
                <w:rFonts w:cs="Arial"/>
              </w:rPr>
              <w:t>High</w:t>
            </w:r>
          </w:p>
          <w:p w:rsidR="0075777C" w:rsidRPr="006316DF" w:rsidRDefault="0075777C" w:rsidP="00805885">
            <w:pPr>
              <w:pStyle w:val="Tabletext"/>
              <w:rPr>
                <w:rFonts w:cs="Cambria Math"/>
                <w:bCs/>
              </w:rPr>
            </w:pPr>
            <w:r w:rsidRPr="006316DF">
              <w:rPr>
                <w:rFonts w:ascii="Cambria Math" w:hAnsi="Cambria Math" w:cs="Cambria Math"/>
                <w:bCs/>
                <w:color w:val="00B050"/>
              </w:rPr>
              <w:t>⨁⨁⨁⨁</w:t>
            </w:r>
          </w:p>
          <w:p w:rsidR="0075777C" w:rsidRPr="006316DF" w:rsidRDefault="0075777C" w:rsidP="00805885">
            <w:pPr>
              <w:pStyle w:val="Tabletext"/>
              <w:rPr>
                <w:rFonts w:cs="Arial"/>
              </w:rPr>
            </w:pPr>
            <w:r w:rsidRPr="006316DF">
              <w:rPr>
                <w:rFonts w:cs="Arial"/>
              </w:rPr>
              <w:t>Important</w:t>
            </w:r>
          </w:p>
        </w:tc>
      </w:tr>
      <w:tr w:rsidR="0075777C" w:rsidRPr="006316DF" w:rsidTr="00805885">
        <w:tc>
          <w:tcPr>
            <w:tcW w:w="1560" w:type="dxa"/>
          </w:tcPr>
          <w:p w:rsidR="0075777C" w:rsidRPr="006316DF" w:rsidRDefault="0075777C" w:rsidP="00805885">
            <w:pPr>
              <w:pStyle w:val="Tabletext"/>
              <w:rPr>
                <w:rFonts w:cs="Arial"/>
              </w:rPr>
            </w:pPr>
            <w:r>
              <w:rPr>
                <w:rFonts w:cs="Arial"/>
              </w:rPr>
              <w:t>Serious AEs</w:t>
            </w:r>
          </w:p>
        </w:tc>
        <w:tc>
          <w:tcPr>
            <w:tcW w:w="1275" w:type="dxa"/>
          </w:tcPr>
          <w:p w:rsidR="0075777C" w:rsidRPr="006316DF" w:rsidRDefault="0075777C" w:rsidP="00805885">
            <w:pPr>
              <w:pStyle w:val="Tabletext"/>
              <w:rPr>
                <w:rFonts w:cs="Arial"/>
              </w:rPr>
            </w:pPr>
            <w:r w:rsidRPr="006316DF">
              <w:rPr>
                <w:rFonts w:cs="Arial"/>
              </w:rPr>
              <w:t>N=</w:t>
            </w:r>
            <w:r>
              <w:rPr>
                <w:rFonts w:cs="Arial"/>
              </w:rPr>
              <w:t>26</w:t>
            </w:r>
            <w:r w:rsidRPr="006316DF">
              <w:rPr>
                <w:rFonts w:cs="Arial"/>
              </w:rPr>
              <w:t>5</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Imprecision: 0</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0</w:t>
            </w:r>
          </w:p>
        </w:tc>
        <w:tc>
          <w:tcPr>
            <w:tcW w:w="1418" w:type="dxa"/>
          </w:tcPr>
          <w:p w:rsidR="0075777C" w:rsidRPr="000E45D6" w:rsidRDefault="0075777C" w:rsidP="00805885">
            <w:pPr>
              <w:pStyle w:val="Tabletext"/>
            </w:pPr>
            <w:r w:rsidRPr="00AC54F2">
              <w:t xml:space="preserve">RR </w:t>
            </w:r>
            <w:r>
              <w:t xml:space="preserve">= </w:t>
            </w:r>
            <w:r w:rsidRPr="00AC54F2">
              <w:t>0.73</w:t>
            </w:r>
            <w:r>
              <w:t xml:space="preserve"> </w:t>
            </w:r>
            <w:r w:rsidRPr="00AC54F2">
              <w:t>(</w:t>
            </w:r>
            <w:r>
              <w:t xml:space="preserve">95% CI </w:t>
            </w:r>
            <w:r w:rsidRPr="00AC54F2">
              <w:t>0.48</w:t>
            </w:r>
            <w:r>
              <w:t>,</w:t>
            </w:r>
            <w:r w:rsidRPr="00AC54F2">
              <w:t xml:space="preserve"> 1.10)</w:t>
            </w:r>
          </w:p>
        </w:tc>
        <w:tc>
          <w:tcPr>
            <w:tcW w:w="2551" w:type="dxa"/>
          </w:tcPr>
          <w:p w:rsidR="0075777C" w:rsidRPr="000E45D6" w:rsidRDefault="0075777C" w:rsidP="00805885">
            <w:pPr>
              <w:pStyle w:val="Tabletext"/>
            </w:pPr>
            <w:r>
              <w:rPr>
                <w:rFonts w:cs="Arial"/>
              </w:rPr>
              <w:t>F</w:t>
            </w:r>
            <w:r w:rsidRPr="000E45D6">
              <w:rPr>
                <w:rFonts w:cs="Arial"/>
              </w:rPr>
              <w:t xml:space="preserve">ewer patients </w:t>
            </w:r>
            <w:r>
              <w:rPr>
                <w:rFonts w:cs="Arial"/>
              </w:rPr>
              <w:t xml:space="preserve">experienced a serious AE </w:t>
            </w:r>
            <w:r w:rsidRPr="000E45D6">
              <w:rPr>
                <w:rFonts w:cs="Arial"/>
              </w:rPr>
              <w:t xml:space="preserve">with combination therapy compared with </w:t>
            </w:r>
            <w:r>
              <w:rPr>
                <w:rFonts w:cs="Arial"/>
              </w:rPr>
              <w:t>monotherapy,</w:t>
            </w:r>
            <w:r>
              <w:t xml:space="preserve"> </w:t>
            </w:r>
            <w:r w:rsidRPr="004B26E4">
              <w:rPr>
                <w:rFonts w:cs="Arial"/>
              </w:rPr>
              <w:t xml:space="preserve">but the </w:t>
            </w:r>
            <w:r w:rsidR="00D84687">
              <w:rPr>
                <w:rFonts w:cs="Arial"/>
              </w:rPr>
              <w:t>95% CI indicates</w:t>
            </w:r>
            <w:r w:rsidRPr="004B26E4">
              <w:rPr>
                <w:rFonts w:cs="Arial"/>
              </w:rPr>
              <w:t xml:space="preserve"> that there could also be </w:t>
            </w:r>
            <w:r>
              <w:rPr>
                <w:rFonts w:cs="Arial"/>
              </w:rPr>
              <w:t xml:space="preserve">no </w:t>
            </w:r>
            <w:r w:rsidR="00196DB5">
              <w:rPr>
                <w:rFonts w:cs="Arial"/>
              </w:rPr>
              <w:t xml:space="preserve">or the opposite </w:t>
            </w:r>
            <w:r>
              <w:rPr>
                <w:rFonts w:cs="Arial"/>
              </w:rPr>
              <w:t>effect.</w:t>
            </w:r>
          </w:p>
        </w:tc>
        <w:tc>
          <w:tcPr>
            <w:tcW w:w="1134" w:type="dxa"/>
          </w:tcPr>
          <w:p w:rsidR="0075777C" w:rsidRPr="006316DF" w:rsidRDefault="0075777C" w:rsidP="00805885">
            <w:pPr>
              <w:pStyle w:val="Tabletext"/>
              <w:rPr>
                <w:rFonts w:cs="Arial"/>
              </w:rPr>
            </w:pPr>
            <w:r>
              <w:rPr>
                <w:rFonts w:cs="Arial"/>
              </w:rPr>
              <w:t>High</w:t>
            </w:r>
          </w:p>
          <w:p w:rsidR="0075777C" w:rsidRPr="006316DF" w:rsidRDefault="0075777C" w:rsidP="00805885">
            <w:pPr>
              <w:pStyle w:val="Tabletext"/>
              <w:rPr>
                <w:rFonts w:cs="Cambria Math"/>
                <w:bCs/>
              </w:rPr>
            </w:pPr>
            <w:r w:rsidRPr="006316DF">
              <w:rPr>
                <w:rFonts w:ascii="Cambria Math" w:hAnsi="Cambria Math" w:cs="Cambria Math"/>
                <w:bCs/>
                <w:color w:val="00B050"/>
              </w:rPr>
              <w:t>⨁⨁⨁⨁</w:t>
            </w:r>
          </w:p>
          <w:p w:rsidR="0075777C" w:rsidRPr="006316DF" w:rsidRDefault="0075777C" w:rsidP="00805885">
            <w:pPr>
              <w:pStyle w:val="Tabletext"/>
              <w:rPr>
                <w:rFonts w:cs="Arial"/>
              </w:rPr>
            </w:pPr>
            <w:r w:rsidRPr="006316DF">
              <w:rPr>
                <w:rFonts w:cs="Arial"/>
              </w:rPr>
              <w:t>Important</w:t>
            </w:r>
          </w:p>
        </w:tc>
      </w:tr>
      <w:tr w:rsidR="0075777C" w:rsidRPr="006316DF" w:rsidTr="00805885">
        <w:tc>
          <w:tcPr>
            <w:tcW w:w="1560" w:type="dxa"/>
          </w:tcPr>
          <w:p w:rsidR="0075777C" w:rsidRPr="006316DF" w:rsidRDefault="0075777C" w:rsidP="00805885">
            <w:pPr>
              <w:pStyle w:val="Tabletext"/>
              <w:rPr>
                <w:rFonts w:cs="Arial"/>
              </w:rPr>
            </w:pPr>
            <w:r w:rsidRPr="000E45D6">
              <w:rPr>
                <w:rFonts w:cs="Arial"/>
              </w:rPr>
              <w:t>AEs leading to treatment discontinuation</w:t>
            </w:r>
          </w:p>
        </w:tc>
        <w:tc>
          <w:tcPr>
            <w:tcW w:w="1275" w:type="dxa"/>
          </w:tcPr>
          <w:p w:rsidR="0075777C" w:rsidRPr="006316DF" w:rsidRDefault="0075777C" w:rsidP="00805885">
            <w:pPr>
              <w:pStyle w:val="Tabletext"/>
              <w:rPr>
                <w:rFonts w:cs="Arial"/>
              </w:rPr>
            </w:pPr>
            <w:r>
              <w:rPr>
                <w:rFonts w:cs="Arial"/>
              </w:rPr>
              <w:t>N=265</w:t>
            </w:r>
          </w:p>
          <w:p w:rsidR="0075777C" w:rsidRPr="006316DF" w:rsidRDefault="0075777C" w:rsidP="001B552D">
            <w:pPr>
              <w:pStyle w:val="Tabletext"/>
              <w:rPr>
                <w:rFonts w:cs="Arial"/>
              </w:rPr>
            </w:pPr>
            <w:r w:rsidRPr="006316DF">
              <w:rPr>
                <w:rFonts w:cs="Arial"/>
              </w:rPr>
              <w:t>k=</w:t>
            </w:r>
            <w:r w:rsidR="001B552D">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Imprecision: 0</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0</w:t>
            </w:r>
          </w:p>
        </w:tc>
        <w:tc>
          <w:tcPr>
            <w:tcW w:w="1418" w:type="dxa"/>
          </w:tcPr>
          <w:p w:rsidR="0075777C" w:rsidRPr="002812F2" w:rsidRDefault="0075777C" w:rsidP="00E70D1D">
            <w:pPr>
              <w:pStyle w:val="Tabletext"/>
            </w:pPr>
            <w:r w:rsidRPr="00AC54F2">
              <w:t xml:space="preserve">RR </w:t>
            </w:r>
            <w:r>
              <w:t xml:space="preserve">= </w:t>
            </w:r>
            <w:r w:rsidR="00E70D1D">
              <w:t>0.49</w:t>
            </w:r>
            <w:r>
              <w:t xml:space="preserve"> </w:t>
            </w:r>
            <w:r w:rsidRPr="00AC54F2">
              <w:t>(</w:t>
            </w:r>
            <w:r>
              <w:t xml:space="preserve">95% CI </w:t>
            </w:r>
            <w:r w:rsidRPr="00AC54F2">
              <w:t>0.</w:t>
            </w:r>
            <w:r w:rsidR="00E70D1D">
              <w:t>2</w:t>
            </w:r>
            <w:r w:rsidRPr="00AC54F2">
              <w:t>0</w:t>
            </w:r>
            <w:r>
              <w:t>,</w:t>
            </w:r>
            <w:r w:rsidRPr="00AC54F2">
              <w:t xml:space="preserve"> 1</w:t>
            </w:r>
            <w:r w:rsidR="00E70D1D">
              <w:t>.17</w:t>
            </w:r>
            <w:r w:rsidRPr="00AC54F2">
              <w:t>)</w:t>
            </w:r>
          </w:p>
        </w:tc>
        <w:tc>
          <w:tcPr>
            <w:tcW w:w="2551" w:type="dxa"/>
          </w:tcPr>
          <w:p w:rsidR="0075777C" w:rsidRPr="002812F2" w:rsidRDefault="00444C33" w:rsidP="00805885">
            <w:pPr>
              <w:pStyle w:val="Tabletext"/>
              <w:rPr>
                <w:rFonts w:cs="Arial"/>
              </w:rPr>
            </w:pPr>
            <w:r>
              <w:rPr>
                <w:rFonts w:cs="Arial"/>
              </w:rPr>
              <w:t>Fewer</w:t>
            </w:r>
            <w:r w:rsidRPr="002812F2">
              <w:rPr>
                <w:rFonts w:cs="Arial"/>
              </w:rPr>
              <w:t xml:space="preserve"> </w:t>
            </w:r>
            <w:r w:rsidR="0075777C" w:rsidRPr="002812F2">
              <w:rPr>
                <w:rFonts w:cs="Arial"/>
              </w:rPr>
              <w:t xml:space="preserve">patients </w:t>
            </w:r>
            <w:r w:rsidR="0075777C">
              <w:rPr>
                <w:rFonts w:cs="Arial"/>
              </w:rPr>
              <w:t>needed to discontinue treatment due to</w:t>
            </w:r>
            <w:r w:rsidR="0075777C" w:rsidRPr="00424867">
              <w:rPr>
                <w:rFonts w:cs="Arial"/>
              </w:rPr>
              <w:t xml:space="preserve"> a</w:t>
            </w:r>
            <w:r w:rsidR="0075777C">
              <w:rPr>
                <w:rFonts w:cs="Arial"/>
              </w:rPr>
              <w:t>n</w:t>
            </w:r>
            <w:r w:rsidR="0075777C" w:rsidRPr="00424867">
              <w:rPr>
                <w:rFonts w:cs="Arial"/>
              </w:rPr>
              <w:t xml:space="preserve"> AE with combination th</w:t>
            </w:r>
            <w:r w:rsidR="0075777C">
              <w:rPr>
                <w:rFonts w:cs="Arial"/>
              </w:rPr>
              <w:t xml:space="preserve">erapy compared with monotherapy, </w:t>
            </w:r>
            <w:r w:rsidR="0075777C" w:rsidRPr="00424867">
              <w:rPr>
                <w:rFonts w:cs="Arial"/>
              </w:rPr>
              <w:t xml:space="preserve">but the </w:t>
            </w:r>
            <w:r w:rsidR="00D84687">
              <w:rPr>
                <w:rFonts w:cs="Arial"/>
              </w:rPr>
              <w:t>95% CI indicates</w:t>
            </w:r>
            <w:r w:rsidR="0075777C" w:rsidRPr="00424867">
              <w:rPr>
                <w:rFonts w:cs="Arial"/>
              </w:rPr>
              <w:t xml:space="preserve"> that there could also be </w:t>
            </w:r>
            <w:r w:rsidR="0075777C">
              <w:rPr>
                <w:rFonts w:cs="Arial"/>
              </w:rPr>
              <w:t>the opposite</w:t>
            </w:r>
            <w:r w:rsidR="0075777C" w:rsidRPr="00424867">
              <w:rPr>
                <w:rFonts w:cs="Arial"/>
              </w:rPr>
              <w:t xml:space="preserve"> effect</w:t>
            </w:r>
            <w:r w:rsidR="0075777C">
              <w:rPr>
                <w:rFonts w:cs="Arial"/>
              </w:rPr>
              <w:t>.</w:t>
            </w:r>
          </w:p>
        </w:tc>
        <w:tc>
          <w:tcPr>
            <w:tcW w:w="1134" w:type="dxa"/>
          </w:tcPr>
          <w:p w:rsidR="0075777C" w:rsidRPr="006316DF" w:rsidRDefault="0075777C" w:rsidP="00805885">
            <w:pPr>
              <w:pStyle w:val="Tabletext"/>
              <w:rPr>
                <w:rFonts w:cs="Arial"/>
              </w:rPr>
            </w:pPr>
            <w:r>
              <w:rPr>
                <w:rFonts w:cs="Arial"/>
              </w:rPr>
              <w:t>High</w:t>
            </w:r>
          </w:p>
          <w:p w:rsidR="0075777C" w:rsidRPr="006316DF" w:rsidRDefault="0075777C" w:rsidP="00805885">
            <w:pPr>
              <w:pStyle w:val="Tabletext"/>
              <w:rPr>
                <w:rFonts w:cs="Cambria Math"/>
                <w:bCs/>
              </w:rPr>
            </w:pPr>
            <w:r w:rsidRPr="006316DF">
              <w:rPr>
                <w:rFonts w:ascii="Cambria Math" w:hAnsi="Cambria Math" w:cs="Cambria Math"/>
                <w:bCs/>
                <w:color w:val="00B050"/>
              </w:rPr>
              <w:t>⨁⨁⨁⨁</w:t>
            </w:r>
          </w:p>
          <w:p w:rsidR="0075777C" w:rsidRPr="006316DF" w:rsidRDefault="0075777C" w:rsidP="00805885">
            <w:pPr>
              <w:pStyle w:val="Tabletext"/>
              <w:rPr>
                <w:rFonts w:cs="Arial"/>
              </w:rPr>
            </w:pPr>
            <w:r w:rsidRPr="006316DF">
              <w:rPr>
                <w:rFonts w:cs="Arial"/>
              </w:rPr>
              <w:t>Important</w:t>
            </w:r>
          </w:p>
        </w:tc>
      </w:tr>
    </w:tbl>
    <w:p w:rsidR="0075777C" w:rsidRPr="006316DF" w:rsidRDefault="0075777C" w:rsidP="00805885">
      <w:pPr>
        <w:pStyle w:val="Tablenote"/>
      </w:pPr>
      <w:r w:rsidRPr="006316DF">
        <w:rPr>
          <w:vertAlign w:val="superscript"/>
        </w:rPr>
        <w:lastRenderedPageBreak/>
        <w:t xml:space="preserve">a </w:t>
      </w:r>
      <w:r w:rsidRPr="006316DF">
        <w:t xml:space="preserve">GRADE Working Group grades of evidence </w:t>
      </w:r>
      <w:r w:rsidR="001D34EE" w:rsidRPr="001D34EE">
        <w:rPr>
          <w:noProof/>
          <w:vertAlign w:val="superscript"/>
        </w:rPr>
        <w:t>1</w:t>
      </w:r>
    </w:p>
    <w:p w:rsidR="0075777C" w:rsidRPr="006316DF" w:rsidRDefault="0075777C" w:rsidP="00805885">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7446CB" w:rsidRDefault="0075777C" w:rsidP="00805885">
      <w:pPr>
        <w:pStyle w:val="Tablenote"/>
      </w:pPr>
      <w:r>
        <w:t xml:space="preserve">AE = adverse event; CI = confidence interval; </w:t>
      </w:r>
      <w:r w:rsidR="00385E5A">
        <w:t>GRADE = grading of recommendations assessment, development and evaluation</w:t>
      </w:r>
      <w:r w:rsidR="001D34EE" w:rsidRPr="001D34EE">
        <w:rPr>
          <w:noProof/>
          <w:vertAlign w:val="superscript"/>
        </w:rPr>
        <w:t>1</w:t>
      </w:r>
      <w:r w:rsidR="007446CB" w:rsidRPr="00F24B06">
        <w:t xml:space="preserve">; k = number of studies; </w:t>
      </w:r>
      <w:r>
        <w:t xml:space="preserve">N = number of patients; </w:t>
      </w:r>
      <w:r w:rsidRPr="00C65B42">
        <w:t xml:space="preserve">PAH = pulmonary arterial hypertension; </w:t>
      </w:r>
      <w:r w:rsidRPr="009B5AB3">
        <w:t>PDE-5 = phosphodiesterase type-5</w:t>
      </w:r>
      <w:r>
        <w:t>;</w:t>
      </w:r>
      <w:r w:rsidRPr="009B5AB3">
        <w:t xml:space="preserve"> </w:t>
      </w:r>
      <w:r>
        <w:t>RCT = randomised controlled trial; RR = relative risk</w:t>
      </w:r>
    </w:p>
    <w:p w:rsidR="0075777C" w:rsidRPr="006316DF" w:rsidRDefault="000E0079" w:rsidP="0017012F">
      <w:pPr>
        <w:pStyle w:val="Heading4"/>
      </w:pPr>
      <w:r>
        <w:t>4.5.3.5</w:t>
      </w:r>
      <w:r>
        <w:tab/>
      </w:r>
      <w:r w:rsidR="0017012F">
        <w:t>P</w:t>
      </w:r>
      <w:r w:rsidR="0017012F" w:rsidRPr="0017012F">
        <w:t xml:space="preserve">rostanoid </w:t>
      </w:r>
      <w:r w:rsidR="0075777C" w:rsidRPr="006C4A08">
        <w:t xml:space="preserve">in addition to </w:t>
      </w:r>
      <w:r w:rsidR="0075777C">
        <w:t>an ERA</w:t>
      </w:r>
    </w:p>
    <w:p w:rsidR="0075777C" w:rsidRPr="00107676" w:rsidRDefault="0075777C" w:rsidP="0075777C">
      <w:pPr>
        <w:pStyle w:val="Heading5"/>
      </w:pPr>
      <w:r w:rsidRPr="00107676">
        <w:t>Clinical effectiveness</w:t>
      </w:r>
    </w:p>
    <w:p w:rsidR="0075777C" w:rsidRDefault="0075777C" w:rsidP="0075777C">
      <w:r>
        <w:t xml:space="preserve">Both of the RCTs that provided the evidence base for </w:t>
      </w:r>
      <w:r w:rsidRPr="000522D6">
        <w:t xml:space="preserve">comparing </w:t>
      </w:r>
      <w:r>
        <w:t xml:space="preserve">the effectiveness of </w:t>
      </w:r>
      <w:r w:rsidRPr="000522D6">
        <w:t xml:space="preserve">a </w:t>
      </w:r>
      <w:r w:rsidR="004F2B0B">
        <w:t>prostanoid</w:t>
      </w:r>
      <w:r>
        <w:t xml:space="preserve"> </w:t>
      </w:r>
      <w:r w:rsidRPr="000522D6">
        <w:t xml:space="preserve">in addition to </w:t>
      </w:r>
      <w:r>
        <w:t xml:space="preserve">an </w:t>
      </w:r>
      <w:r w:rsidRPr="000522D6">
        <w:t xml:space="preserve">ERA </w:t>
      </w:r>
      <w:r>
        <w:t>compared with</w:t>
      </w:r>
      <w:r w:rsidRPr="000522D6">
        <w:t xml:space="preserve"> </w:t>
      </w:r>
      <w:r>
        <w:t>ERA</w:t>
      </w:r>
      <w:r w:rsidRPr="000522D6">
        <w:t xml:space="preserve"> monotherapy</w:t>
      </w:r>
      <w:r>
        <w:t xml:space="preserve"> enrolled patients on stable ERA monotherapy (sequential combination therapy). One trial enrolled patients with </w:t>
      </w:r>
      <w:r w:rsidRPr="00C754B8">
        <w:t xml:space="preserve">WHO FC III IPAH </w:t>
      </w:r>
      <w:r>
        <w:t xml:space="preserve">and the other patients with </w:t>
      </w:r>
      <w:r w:rsidR="006B4B22">
        <w:t>WHO</w:t>
      </w:r>
      <w:r w:rsidRPr="00C754B8">
        <w:t xml:space="preserve"> FC III/IV PAH</w:t>
      </w:r>
      <w:r>
        <w:t>.</w:t>
      </w:r>
    </w:p>
    <w:p w:rsidR="0075777C" w:rsidRPr="006316DF" w:rsidRDefault="0075777C" w:rsidP="003F6AC4">
      <w:pPr>
        <w:spacing w:before="0" w:line="240" w:lineRule="auto"/>
      </w:pPr>
      <w:r w:rsidRPr="006316DF">
        <w:t xml:space="preserve">The </w:t>
      </w:r>
      <w:r>
        <w:t xml:space="preserve">detailed </w:t>
      </w:r>
      <w:r w:rsidRPr="006316DF">
        <w:t>GRADE</w:t>
      </w:r>
      <w:r w:rsidR="001D34EE" w:rsidRPr="001D34EE">
        <w:rPr>
          <w:noProof/>
          <w:vertAlign w:val="superscript"/>
        </w:rPr>
        <w:t>1</w:t>
      </w:r>
      <w:r w:rsidRPr="006316DF">
        <w:t xml:space="preserve"> assessments of the outcomes when comparing </w:t>
      </w:r>
      <w:r>
        <w:t xml:space="preserve">a </w:t>
      </w:r>
      <w:r w:rsidR="00920393" w:rsidRPr="00687533">
        <w:t>prostanoid</w:t>
      </w:r>
      <w:r w:rsidRPr="00687533">
        <w:t xml:space="preserve"> in addition to an ERA</w:t>
      </w:r>
      <w:r>
        <w:t>, relative to</w:t>
      </w:r>
      <w:r w:rsidRPr="00687533">
        <w:t xml:space="preserve"> ERA monotherapy </w:t>
      </w:r>
      <w:r>
        <w:t xml:space="preserve">in patients with WHO FC III/IV PAH are reported in </w:t>
      </w:r>
      <w:r w:rsidR="00AA722D">
        <w:t>Table 4.</w:t>
      </w:r>
      <w:r w:rsidR="00AA722D">
        <w:rPr>
          <w:noProof/>
        </w:rPr>
        <w:t>163</w:t>
      </w:r>
      <w:r>
        <w:t xml:space="preserve"> </w:t>
      </w:r>
      <w:r w:rsidRPr="006316DF">
        <w:t xml:space="preserve">in Appendix </w:t>
      </w:r>
      <w:r w:rsidR="00DA2636">
        <w:t>4</w:t>
      </w:r>
      <w:r w:rsidR="001B552D">
        <w:t>C</w:t>
      </w:r>
      <w:r w:rsidRPr="006316DF">
        <w:t>. A summary of these results is provided in</w:t>
      </w:r>
      <w:r w:rsidR="003F6AC4">
        <w:t xml:space="preserve"> Table 4.137</w:t>
      </w:r>
      <w:r w:rsidRPr="006316DF">
        <w:t xml:space="preserve">. The evidence base for </w:t>
      </w:r>
      <w:r>
        <w:t>the critical outcome</w:t>
      </w:r>
      <w:r w:rsidR="00DD4DEC">
        <w:t>s</w:t>
      </w:r>
      <w:r>
        <w:t xml:space="preserve"> was considered to be of </w:t>
      </w:r>
      <w:r w:rsidR="00DD4DEC">
        <w:t xml:space="preserve">very </w:t>
      </w:r>
      <w:r>
        <w:t xml:space="preserve">low quality </w:t>
      </w:r>
      <w:r w:rsidRPr="006316DF">
        <w:t xml:space="preserve">(GRADE </w:t>
      </w:r>
      <w:r w:rsidRPr="00920393">
        <w:rPr>
          <w:rFonts w:ascii="Cambria Math" w:eastAsia="Times New Roman" w:hAnsi="Cambria Math" w:cs="Tahoma"/>
          <w:bCs/>
          <w:color w:val="00B050"/>
        </w:rPr>
        <w:t>⨁⨁</w:t>
      </w:r>
      <w:r w:rsidRPr="00920393">
        <w:rPr>
          <w:rFonts w:ascii="Cambria Math" w:eastAsia="Times New Roman" w:hAnsi="Cambria Math" w:cs="Cambria Math"/>
          <w:bCs/>
          <w:color w:val="C00000"/>
        </w:rPr>
        <w:t>⨀⨀</w:t>
      </w:r>
      <w:r w:rsidRPr="00920393">
        <w:t xml:space="preserve">) </w:t>
      </w:r>
      <w:r w:rsidR="00DD4DEC">
        <w:t xml:space="preserve">for clinical worsening </w:t>
      </w:r>
      <w:r w:rsidRPr="00920393">
        <w:t xml:space="preserve">and </w:t>
      </w:r>
      <w:r w:rsidR="00DD4DEC">
        <w:t>moderate</w:t>
      </w:r>
      <w:r w:rsidR="00DD4DEC" w:rsidRPr="00DD4DEC">
        <w:t xml:space="preserve"> quality </w:t>
      </w:r>
      <w:r w:rsidR="00DD4DEC" w:rsidRPr="006316DF">
        <w:t xml:space="preserve">(GRADE </w:t>
      </w:r>
      <w:r w:rsidR="00DD4DEC" w:rsidRPr="00920393">
        <w:rPr>
          <w:rFonts w:ascii="Cambria Math" w:eastAsia="Times New Roman" w:hAnsi="Cambria Math" w:cs="Tahoma"/>
          <w:bCs/>
          <w:color w:val="00B050"/>
        </w:rPr>
        <w:t>⨁⨁⨁</w:t>
      </w:r>
      <w:r w:rsidR="00DD4DEC" w:rsidRPr="00920393">
        <w:rPr>
          <w:rFonts w:ascii="Cambria Math" w:eastAsia="Times New Roman" w:hAnsi="Cambria Math" w:cs="Cambria Math"/>
          <w:bCs/>
          <w:color w:val="C00000"/>
        </w:rPr>
        <w:t>⨀</w:t>
      </w:r>
      <w:r w:rsidR="00DD4DEC" w:rsidRPr="00920393">
        <w:t xml:space="preserve">) </w:t>
      </w:r>
      <w:r w:rsidR="00DD4DEC">
        <w:t>for</w:t>
      </w:r>
      <w:r w:rsidRPr="00920393">
        <w:t xml:space="preserve"> </w:t>
      </w:r>
      <w:r w:rsidR="00DD4DEC">
        <w:t xml:space="preserve">the </w:t>
      </w:r>
      <w:r w:rsidRPr="00920393">
        <w:t>mortality</w:t>
      </w:r>
      <w:r>
        <w:t xml:space="preserve"> rate</w:t>
      </w:r>
      <w:r w:rsidR="00DD4DEC">
        <w:t>.</w:t>
      </w:r>
      <w:r>
        <w:t xml:space="preserve"> </w:t>
      </w:r>
      <w:r w:rsidR="00DD4DEC">
        <w:t>Other outcomes were considered to be of moderate to very low quality.</w:t>
      </w:r>
    </w:p>
    <w:p w:rsidR="0075777C" w:rsidRPr="006316DF" w:rsidRDefault="0075777C" w:rsidP="0075777C">
      <w:r w:rsidRPr="006316DF">
        <w:t xml:space="preserve">When taking </w:t>
      </w:r>
      <w:r>
        <w:t>the whole body of evidence</w:t>
      </w:r>
      <w:r w:rsidRPr="006316DF">
        <w:t xml:space="preserve"> into account, </w:t>
      </w:r>
      <w:r>
        <w:t>significantly more patients improved their WHO FC on combination therapy compared with monotherapy</w:t>
      </w:r>
      <w:r w:rsidR="0055519E">
        <w:t>, but this was a low</w:t>
      </w:r>
      <w:r w:rsidR="0055519E" w:rsidRPr="00DD4DEC">
        <w:t xml:space="preserve"> quality </w:t>
      </w:r>
      <w:r w:rsidR="0055519E" w:rsidRPr="006316DF">
        <w:t xml:space="preserve">(GRADE </w:t>
      </w:r>
      <w:r w:rsidR="0055519E" w:rsidRPr="00920393">
        <w:rPr>
          <w:rFonts w:ascii="Cambria Math" w:eastAsia="Times New Roman" w:hAnsi="Cambria Math" w:cs="Tahoma"/>
          <w:bCs/>
          <w:color w:val="00B050"/>
        </w:rPr>
        <w:t>⨁⨁</w:t>
      </w:r>
      <w:r w:rsidR="0055519E" w:rsidRPr="00920393">
        <w:rPr>
          <w:rFonts w:ascii="Cambria Math" w:eastAsia="Times New Roman" w:hAnsi="Cambria Math" w:cs="Cambria Math"/>
          <w:bCs/>
          <w:color w:val="C00000"/>
        </w:rPr>
        <w:t>⨀⨀</w:t>
      </w:r>
      <w:r w:rsidR="0055519E" w:rsidRPr="00920393">
        <w:t xml:space="preserve">) </w:t>
      </w:r>
      <w:r w:rsidR="0055519E">
        <w:t>outcome</w:t>
      </w:r>
      <w:r>
        <w:t xml:space="preserve">. Less </w:t>
      </w:r>
      <w:r w:rsidRPr="006316DF">
        <w:t>patients experienc</w:t>
      </w:r>
      <w:r>
        <w:t>ed</w:t>
      </w:r>
      <w:r w:rsidRPr="006316DF">
        <w:t xml:space="preserve"> clinical worsening</w:t>
      </w:r>
      <w:r>
        <w:t xml:space="preserve"> on combination therapy compared with monotherapy but the 95% CI indicates that there could also be the opposite effect.</w:t>
      </w:r>
      <w:r w:rsidRPr="006316DF">
        <w:t xml:space="preserve"> </w:t>
      </w:r>
      <w:r>
        <w:t>No patients died during the study periods of the two included RCTs, so the effect of combination therapy compared with monotherapy on all-cause mortality could not be determined.</w:t>
      </w:r>
      <w:r w:rsidRPr="00095280">
        <w:t xml:space="preserve"> There </w:t>
      </w:r>
      <w:r>
        <w:t>wa</w:t>
      </w:r>
      <w:r w:rsidRPr="00095280">
        <w:t xml:space="preserve">s </w:t>
      </w:r>
      <w:r>
        <w:t>some</w:t>
      </w:r>
      <w:r w:rsidRPr="00095280">
        <w:t xml:space="preserve"> evidence to suggest that fewer patients </w:t>
      </w:r>
      <w:r>
        <w:t>we</w:t>
      </w:r>
      <w:r w:rsidRPr="00095280">
        <w:t xml:space="preserve">re hospitalised </w:t>
      </w:r>
      <w:r>
        <w:t xml:space="preserve">or had worsening of their WHO FC </w:t>
      </w:r>
      <w:r w:rsidRPr="00095280">
        <w:t>with combination therapy compared with monotherapy</w:t>
      </w:r>
      <w:r>
        <w:t xml:space="preserve">, but the </w:t>
      </w:r>
      <w:r w:rsidR="00B21201">
        <w:t>ARD</w:t>
      </w:r>
      <w:r>
        <w:t xml:space="preserve"> was small (3−7%). P</w:t>
      </w:r>
      <w:r w:rsidRPr="006316DF">
        <w:t xml:space="preserve">atients </w:t>
      </w:r>
      <w:r>
        <w:t>on combination therapy</w:t>
      </w:r>
      <w:r w:rsidRPr="006316DF">
        <w:t xml:space="preserve"> ha</w:t>
      </w:r>
      <w:r>
        <w:t>d</w:t>
      </w:r>
      <w:r w:rsidRPr="006316DF">
        <w:t xml:space="preserve"> a larger </w:t>
      </w:r>
      <w:r>
        <w:t xml:space="preserve">mean </w:t>
      </w:r>
      <w:r w:rsidRPr="006316DF">
        <w:t>improvement in their 6MWD</w:t>
      </w:r>
      <w:r>
        <w:t>, haemodynamic parameters and QoL than those on monotherapy, but only the mean differences in PVR and QoL improvement were large enough to be clinically important</w:t>
      </w:r>
      <w:r w:rsidRPr="006316DF">
        <w:t>.</w:t>
      </w:r>
    </w:p>
    <w:p w:rsidR="0075777C" w:rsidRDefault="0075777C" w:rsidP="0075777C">
      <w:r w:rsidRPr="006316DF">
        <w:t xml:space="preserve">Thus, </w:t>
      </w:r>
      <w:r w:rsidRPr="000522D6">
        <w:t xml:space="preserve">the </w:t>
      </w:r>
      <w:r w:rsidRPr="006316DF">
        <w:t xml:space="preserve">use of a </w:t>
      </w:r>
      <w:r w:rsidR="00805885" w:rsidRPr="00FF0F23">
        <w:t>prostanoid</w:t>
      </w:r>
      <w:r w:rsidRPr="00FF0F23">
        <w:t xml:space="preserve"> in addition to an ERA</w:t>
      </w:r>
      <w:r w:rsidRPr="000522D6">
        <w:t xml:space="preserve">, relative to </w:t>
      </w:r>
      <w:r>
        <w:t>ERA</w:t>
      </w:r>
      <w:r w:rsidRPr="000522D6">
        <w:t xml:space="preserve"> monotherapy </w:t>
      </w:r>
      <w:r w:rsidRPr="006316DF">
        <w:t xml:space="preserve">to treat </w:t>
      </w:r>
      <w:r w:rsidR="00403921">
        <w:t xml:space="preserve">patients with WHO FC III/IV PAH may be </w:t>
      </w:r>
      <w:r w:rsidRPr="006316DF">
        <w:t xml:space="preserve">beneficial. </w:t>
      </w:r>
    </w:p>
    <w:p w:rsidR="005E60A7" w:rsidRDefault="005E60A7">
      <w:pPr>
        <w:spacing w:before="0" w:line="240" w:lineRule="auto"/>
        <w:rPr>
          <w:rFonts w:ascii="Arial" w:hAnsi="Arial"/>
          <w:b/>
          <w:iCs/>
          <w:sz w:val="20"/>
          <w:szCs w:val="18"/>
        </w:rPr>
      </w:pPr>
      <w:bookmarkStart w:id="377" w:name="_Ref505863045"/>
      <w:r>
        <w:br w:type="page"/>
      </w:r>
    </w:p>
    <w:p w:rsidR="0075777C" w:rsidRPr="006316DF" w:rsidRDefault="00272F8F" w:rsidP="00BC5A2B">
      <w:pPr>
        <w:pStyle w:val="Caption"/>
      </w:pPr>
      <w:bookmarkStart w:id="378" w:name="_Toc512855541"/>
      <w:r>
        <w:lastRenderedPageBreak/>
        <w:t>Table 4.</w:t>
      </w:r>
      <w:r w:rsidR="00AA722D">
        <w:rPr>
          <w:noProof/>
        </w:rPr>
        <w:t>137</w:t>
      </w:r>
      <w:bookmarkEnd w:id="377"/>
      <w:r w:rsidR="008727D6">
        <w:tab/>
      </w:r>
      <w:r w:rsidR="0075777C" w:rsidRPr="006316DF">
        <w:t xml:space="preserve">Balance of clinical benefits of </w:t>
      </w:r>
      <w:r w:rsidR="001B552D">
        <w:t xml:space="preserve">a </w:t>
      </w:r>
      <w:r w:rsidR="00805885" w:rsidRPr="006C4A08">
        <w:t>prost</w:t>
      </w:r>
      <w:r w:rsidR="00805885">
        <w:t>anoid</w:t>
      </w:r>
      <w:r w:rsidR="0075777C" w:rsidRPr="006C4A08">
        <w:t xml:space="preserve"> in addition to</w:t>
      </w:r>
      <w:r w:rsidR="0075777C">
        <w:t xml:space="preserve"> </w:t>
      </w:r>
      <w:r w:rsidR="001B552D">
        <w:t xml:space="preserve">an </w:t>
      </w:r>
      <w:r w:rsidR="0075777C">
        <w:t>ERA</w:t>
      </w:r>
      <w:r w:rsidR="0075777C" w:rsidRPr="006316DF">
        <w:t xml:space="preserve">, relative to </w:t>
      </w:r>
      <w:r w:rsidR="0075777C">
        <w:t>ERA</w:t>
      </w:r>
      <w:r w:rsidR="0075777C" w:rsidRPr="006C4A08">
        <w:t xml:space="preserve"> </w:t>
      </w:r>
      <w:r w:rsidR="0075777C">
        <w:t xml:space="preserve">monotherapy in </w:t>
      </w:r>
      <w:r w:rsidR="0075777C" w:rsidRPr="006C4A08">
        <w:t>patients with WHO FC III/IV PAH</w:t>
      </w:r>
      <w:bookmarkEnd w:id="378"/>
    </w:p>
    <w:tbl>
      <w:tblPr>
        <w:tblStyle w:val="TableGrid"/>
        <w:tblW w:w="9639" w:type="dxa"/>
        <w:tblLayout w:type="fixed"/>
        <w:tblLook w:val="04A0" w:firstRow="1" w:lastRow="0" w:firstColumn="1" w:lastColumn="0" w:noHBand="0" w:noVBand="1"/>
        <w:tblCaption w:val="Balance of clinical benefits of a prostanoid in addition to an ERA, relative to ERA monotherapy in patients with WHO FC III/IV PAH"/>
      </w:tblPr>
      <w:tblGrid>
        <w:gridCol w:w="1560"/>
        <w:gridCol w:w="1275"/>
        <w:gridCol w:w="1701"/>
        <w:gridCol w:w="1418"/>
        <w:gridCol w:w="2551"/>
        <w:gridCol w:w="1134"/>
      </w:tblGrid>
      <w:tr w:rsidR="0075777C" w:rsidRPr="00805885" w:rsidTr="00805885">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805885" w:rsidRDefault="0075777C" w:rsidP="00805885">
            <w:pPr>
              <w:pStyle w:val="Tabletext"/>
              <w:rPr>
                <w:b/>
                <w:noProof/>
              </w:rPr>
            </w:pPr>
            <w:r w:rsidRPr="00805885">
              <w:rPr>
                <w:b/>
                <w:noProof/>
              </w:rPr>
              <w:t xml:space="preserve">Outcomes </w:t>
            </w:r>
          </w:p>
        </w:tc>
        <w:tc>
          <w:tcPr>
            <w:tcW w:w="1275" w:type="dxa"/>
          </w:tcPr>
          <w:p w:rsidR="0075777C" w:rsidRPr="00805885" w:rsidRDefault="0075777C" w:rsidP="00805885">
            <w:pPr>
              <w:pStyle w:val="Tabletext"/>
              <w:rPr>
                <w:b/>
                <w:noProof/>
              </w:rPr>
            </w:pPr>
            <w:r w:rsidRPr="00805885">
              <w:rPr>
                <w:b/>
                <w:noProof/>
              </w:rPr>
              <w:t>Participants (studies)</w:t>
            </w:r>
          </w:p>
        </w:tc>
        <w:tc>
          <w:tcPr>
            <w:tcW w:w="1701" w:type="dxa"/>
          </w:tcPr>
          <w:p w:rsidR="0075777C" w:rsidRPr="00805885" w:rsidRDefault="0075777C" w:rsidP="00805885">
            <w:pPr>
              <w:pStyle w:val="Tabletext"/>
              <w:rPr>
                <w:b/>
                <w:noProof/>
              </w:rPr>
            </w:pPr>
            <w:r w:rsidRPr="00805885">
              <w:rPr>
                <w:b/>
                <w:noProof/>
              </w:rPr>
              <w:t>Quality of evidence</w:t>
            </w:r>
          </w:p>
        </w:tc>
        <w:tc>
          <w:tcPr>
            <w:tcW w:w="1418" w:type="dxa"/>
          </w:tcPr>
          <w:p w:rsidR="0075777C" w:rsidRPr="00805885" w:rsidRDefault="0075777C" w:rsidP="00805885">
            <w:pPr>
              <w:pStyle w:val="Tabletext"/>
              <w:rPr>
                <w:b/>
                <w:noProof/>
              </w:rPr>
            </w:pPr>
            <w:r w:rsidRPr="00805885">
              <w:rPr>
                <w:b/>
                <w:noProof/>
              </w:rPr>
              <w:t>Results</w:t>
            </w:r>
          </w:p>
        </w:tc>
        <w:tc>
          <w:tcPr>
            <w:tcW w:w="2551" w:type="dxa"/>
          </w:tcPr>
          <w:p w:rsidR="0075777C" w:rsidRPr="00805885" w:rsidRDefault="0075777C" w:rsidP="00805885">
            <w:pPr>
              <w:pStyle w:val="Tabletext"/>
              <w:rPr>
                <w:b/>
                <w:noProof/>
              </w:rPr>
            </w:pPr>
            <w:r w:rsidRPr="00805885">
              <w:rPr>
                <w:b/>
                <w:noProof/>
              </w:rPr>
              <w:t>Interpretation</w:t>
            </w:r>
          </w:p>
        </w:tc>
        <w:tc>
          <w:tcPr>
            <w:tcW w:w="1134" w:type="dxa"/>
          </w:tcPr>
          <w:p w:rsidR="0075777C" w:rsidRPr="00805885" w:rsidRDefault="0075777C" w:rsidP="00805885">
            <w:pPr>
              <w:pStyle w:val="Tabletext"/>
              <w:rPr>
                <w:b/>
                <w:noProof/>
              </w:rPr>
            </w:pPr>
            <w:r w:rsidRPr="00805885">
              <w:rPr>
                <w:b/>
                <w:noProof/>
              </w:rPr>
              <w:t>GRADE</w:t>
            </w:r>
            <w:r w:rsidR="007446CB" w:rsidRPr="007446CB">
              <w:rPr>
                <w:b/>
                <w:noProof/>
                <w:vertAlign w:val="superscript"/>
              </w:rPr>
              <w:t>a</w:t>
            </w:r>
          </w:p>
          <w:p w:rsidR="0075777C" w:rsidRPr="00805885" w:rsidRDefault="0075777C" w:rsidP="00805885">
            <w:pPr>
              <w:pStyle w:val="Tabletext"/>
              <w:rPr>
                <w:b/>
                <w:noProof/>
              </w:rPr>
            </w:pPr>
            <w:r w:rsidRPr="00805885">
              <w:rPr>
                <w:b/>
                <w:noProof/>
              </w:rPr>
              <w:t>Importance</w:t>
            </w:r>
          </w:p>
        </w:tc>
      </w:tr>
      <w:tr w:rsidR="00B97B32" w:rsidRPr="006316DF" w:rsidTr="00805885">
        <w:tc>
          <w:tcPr>
            <w:tcW w:w="1560" w:type="dxa"/>
          </w:tcPr>
          <w:p w:rsidR="00B97B32" w:rsidRPr="006316DF" w:rsidRDefault="00B97B32" w:rsidP="00B97B32">
            <w:pPr>
              <w:pStyle w:val="Tabletext"/>
              <w:rPr>
                <w:rFonts w:cs="Arial"/>
              </w:rPr>
            </w:pPr>
            <w:r w:rsidRPr="006316DF">
              <w:rPr>
                <w:rFonts w:cs="Arial"/>
              </w:rPr>
              <w:t xml:space="preserve">Clinical worsening </w:t>
            </w:r>
          </w:p>
        </w:tc>
        <w:tc>
          <w:tcPr>
            <w:tcW w:w="1275" w:type="dxa"/>
          </w:tcPr>
          <w:p w:rsidR="00B97B32" w:rsidRPr="006316DF" w:rsidRDefault="00B97B32" w:rsidP="00B97B32">
            <w:pPr>
              <w:pStyle w:val="Tabletext"/>
              <w:rPr>
                <w:rFonts w:cs="Arial"/>
              </w:rPr>
            </w:pPr>
            <w:r w:rsidRPr="006316DF">
              <w:rPr>
                <w:rFonts w:cs="Arial"/>
              </w:rPr>
              <w:t>N=</w:t>
            </w:r>
            <w:r>
              <w:rPr>
                <w:rFonts w:cs="Arial"/>
              </w:rPr>
              <w:t>105</w:t>
            </w:r>
          </w:p>
          <w:p w:rsidR="00B97B32" w:rsidRPr="006316DF" w:rsidRDefault="00B97B32" w:rsidP="00B97B32">
            <w:pPr>
              <w:pStyle w:val="Tabletext"/>
              <w:rPr>
                <w:rFonts w:cs="Arial"/>
              </w:rPr>
            </w:pPr>
            <w:r w:rsidRPr="006316DF">
              <w:rPr>
                <w:rFonts w:cs="Arial"/>
              </w:rPr>
              <w:t>k=</w:t>
            </w:r>
            <w:r>
              <w:rPr>
                <w:rFonts w:cs="Arial"/>
              </w:rPr>
              <w:t>2</w:t>
            </w:r>
            <w:r w:rsidRPr="006316DF">
              <w:rPr>
                <w:rFonts w:cs="Arial"/>
              </w:rPr>
              <w:t xml:space="preserve"> RCTs</w:t>
            </w:r>
          </w:p>
        </w:tc>
        <w:tc>
          <w:tcPr>
            <w:tcW w:w="1701" w:type="dxa"/>
          </w:tcPr>
          <w:p w:rsidR="00B97B32" w:rsidRPr="006316DF" w:rsidRDefault="00B97B32" w:rsidP="00B97B32">
            <w:pPr>
              <w:pStyle w:val="Tabletext"/>
              <w:rPr>
                <w:rFonts w:cs="Arial"/>
              </w:rPr>
            </w:pPr>
            <w:r>
              <w:rPr>
                <w:rFonts w:cs="Arial"/>
              </w:rPr>
              <w:t>Risk of bias: −1</w:t>
            </w:r>
          </w:p>
          <w:p w:rsidR="00B97B32" w:rsidRPr="006316DF" w:rsidRDefault="00B97B32" w:rsidP="00B97B32">
            <w:pPr>
              <w:pStyle w:val="Tabletext"/>
              <w:rPr>
                <w:rFonts w:cs="Arial"/>
              </w:rPr>
            </w:pPr>
            <w:r w:rsidRPr="006316DF">
              <w:rPr>
                <w:rFonts w:cs="Arial"/>
              </w:rPr>
              <w:t>Inconsistency: 0</w:t>
            </w:r>
          </w:p>
          <w:p w:rsidR="00B97B32" w:rsidRPr="006316DF" w:rsidRDefault="00B97B32" w:rsidP="00B97B32">
            <w:pPr>
              <w:pStyle w:val="Tabletext"/>
              <w:rPr>
                <w:rFonts w:cs="Arial"/>
              </w:rPr>
            </w:pPr>
            <w:r w:rsidRPr="006316DF">
              <w:rPr>
                <w:rFonts w:cs="Arial"/>
              </w:rPr>
              <w:t>Indirectness: 0</w:t>
            </w:r>
          </w:p>
          <w:p w:rsidR="00B97B32" w:rsidRDefault="00B97B32" w:rsidP="00B97B32">
            <w:pPr>
              <w:pStyle w:val="Tabletext"/>
              <w:rPr>
                <w:rFonts w:cs="Arial"/>
              </w:rPr>
            </w:pPr>
            <w:r w:rsidRPr="006316DF">
              <w:rPr>
                <w:rFonts w:cs="Arial"/>
              </w:rPr>
              <w:t>Im</w:t>
            </w:r>
            <w:r>
              <w:rPr>
                <w:rFonts w:cs="Arial"/>
              </w:rPr>
              <w:t>precision: −2</w:t>
            </w:r>
          </w:p>
          <w:p w:rsidR="00B97B32" w:rsidRDefault="00B97B32" w:rsidP="00B97B32">
            <w:pPr>
              <w:pStyle w:val="Tabletext"/>
              <w:rPr>
                <w:rFonts w:cs="Arial"/>
              </w:rPr>
            </w:pPr>
            <w:r w:rsidRPr="006316DF">
              <w:rPr>
                <w:rFonts w:cs="Arial"/>
              </w:rPr>
              <w:t>Publication bias: 0</w:t>
            </w:r>
          </w:p>
          <w:p w:rsidR="00B97B32" w:rsidRPr="006316DF" w:rsidRDefault="00B97B32" w:rsidP="00B97B32">
            <w:pPr>
              <w:pStyle w:val="Tabletext"/>
              <w:rPr>
                <w:rFonts w:cs="Arial"/>
              </w:rPr>
            </w:pPr>
            <w:r>
              <w:rPr>
                <w:rFonts w:cs="Arial"/>
              </w:rPr>
              <w:t>Association: 0</w:t>
            </w:r>
          </w:p>
        </w:tc>
        <w:tc>
          <w:tcPr>
            <w:tcW w:w="1418" w:type="dxa"/>
          </w:tcPr>
          <w:p w:rsidR="00B97B32" w:rsidRPr="00F03461" w:rsidRDefault="00B97B32" w:rsidP="00B97B32">
            <w:pPr>
              <w:pStyle w:val="Tabletext"/>
              <w:rPr>
                <w:rFonts w:cs="Arial"/>
              </w:rPr>
            </w:pPr>
            <w:r>
              <w:t xml:space="preserve">Pooled </w:t>
            </w:r>
            <w:r w:rsidRPr="00A72EDD">
              <w:t xml:space="preserve">RR </w:t>
            </w:r>
            <w:r>
              <w:t xml:space="preserve">= </w:t>
            </w:r>
            <w:r w:rsidRPr="00A72EDD">
              <w:t>0.39</w:t>
            </w:r>
            <w:r>
              <w:t xml:space="preserve"> </w:t>
            </w:r>
            <w:r w:rsidRPr="00A72EDD">
              <w:t>(</w:t>
            </w:r>
            <w:r>
              <w:t xml:space="preserve">95% CI </w:t>
            </w:r>
            <w:r w:rsidRPr="00A72EDD">
              <w:t>0.04</w:t>
            </w:r>
            <w:r>
              <w:t>,</w:t>
            </w:r>
            <w:r w:rsidRPr="00A72EDD">
              <w:t xml:space="preserve"> 3.45)</w:t>
            </w:r>
          </w:p>
        </w:tc>
        <w:tc>
          <w:tcPr>
            <w:tcW w:w="2551" w:type="dxa"/>
          </w:tcPr>
          <w:p w:rsidR="00B97B32" w:rsidRPr="00F03461" w:rsidRDefault="00B97B32" w:rsidP="00B97B32">
            <w:pPr>
              <w:pStyle w:val="Tabletext"/>
              <w:rPr>
                <w:rFonts w:cs="Arial"/>
              </w:rPr>
            </w:pPr>
            <w:r>
              <w:rPr>
                <w:rFonts w:cs="Arial"/>
              </w:rPr>
              <w:t xml:space="preserve">Fewer </w:t>
            </w:r>
            <w:r w:rsidRPr="00F03461">
              <w:rPr>
                <w:rFonts w:cs="Arial"/>
              </w:rPr>
              <w:t>patients experience</w:t>
            </w:r>
            <w:r>
              <w:rPr>
                <w:rFonts w:cs="Arial"/>
              </w:rPr>
              <w:t>d</w:t>
            </w:r>
            <w:r w:rsidRPr="00F03461">
              <w:rPr>
                <w:rFonts w:cs="Arial"/>
              </w:rPr>
              <w:t xml:space="preserve"> clinical worsening with combination therapy compared with monotherapy</w:t>
            </w:r>
            <w:r w:rsidRPr="00F032EC">
              <w:rPr>
                <w:rFonts w:cs="Arial"/>
              </w:rPr>
              <w:t xml:space="preserve">, but the </w:t>
            </w:r>
            <w:r>
              <w:rPr>
                <w:rFonts w:cs="Arial"/>
              </w:rPr>
              <w:t>95% CI indicates</w:t>
            </w:r>
            <w:r w:rsidRPr="00F032EC">
              <w:rPr>
                <w:rFonts w:cs="Arial"/>
              </w:rPr>
              <w:t xml:space="preserve"> that there could also be the opposite effect.</w:t>
            </w:r>
          </w:p>
        </w:tc>
        <w:tc>
          <w:tcPr>
            <w:tcW w:w="1134" w:type="dxa"/>
          </w:tcPr>
          <w:p w:rsidR="00B97B32" w:rsidRDefault="00B97B32" w:rsidP="00B97B32">
            <w:pPr>
              <w:pStyle w:val="Tabletext"/>
              <w:rPr>
                <w:bCs/>
              </w:rPr>
            </w:pPr>
            <w:r>
              <w:rPr>
                <w:bCs/>
              </w:rPr>
              <w:t>Very low</w:t>
            </w:r>
          </w:p>
          <w:p w:rsidR="00B97B32" w:rsidRDefault="00B97B32" w:rsidP="00B97B32">
            <w:pPr>
              <w:pStyle w:val="Tabletext"/>
              <w:rPr>
                <w:rFonts w:ascii="Cambria Math" w:hAnsi="Cambria Math" w:cs="Cambria Math"/>
                <w:bCs/>
              </w:rPr>
            </w:pPr>
            <w:r>
              <w:rPr>
                <w:rFonts w:ascii="Cambria Math" w:hAnsi="Cambria Math" w:cs="Cambria Math"/>
                <w:bCs/>
                <w:color w:val="00B050"/>
              </w:rPr>
              <w:t>⨁</w:t>
            </w:r>
            <w:r w:rsidRPr="00E564DD">
              <w:rPr>
                <w:rFonts w:ascii="Cambria Math" w:hAnsi="Cambria Math" w:cs="Cambria Math"/>
                <w:bCs/>
                <w:color w:val="FF0000"/>
              </w:rPr>
              <w:t>⨀⨀⨀</w:t>
            </w:r>
          </w:p>
          <w:p w:rsidR="00B97B32" w:rsidRPr="006316DF" w:rsidRDefault="00B97B32" w:rsidP="00B97B32">
            <w:pPr>
              <w:pStyle w:val="Tabletext"/>
              <w:rPr>
                <w:rFonts w:cs="Arial"/>
              </w:rPr>
            </w:pPr>
            <w:r w:rsidRPr="006316DF">
              <w:rPr>
                <w:rFonts w:cs="Cambria Math"/>
                <w:bCs/>
              </w:rPr>
              <w:t xml:space="preserve">Critical </w:t>
            </w:r>
          </w:p>
        </w:tc>
      </w:tr>
      <w:tr w:rsidR="0075777C" w:rsidRPr="006316DF" w:rsidTr="00805885">
        <w:tc>
          <w:tcPr>
            <w:tcW w:w="1560" w:type="dxa"/>
          </w:tcPr>
          <w:p w:rsidR="0075777C" w:rsidRPr="006316DF" w:rsidRDefault="0075777C" w:rsidP="00805885">
            <w:pPr>
              <w:pStyle w:val="Tabletext"/>
              <w:rPr>
                <w:rFonts w:cs="Arial"/>
              </w:rPr>
            </w:pPr>
            <w:r w:rsidRPr="006316DF">
              <w:rPr>
                <w:rFonts w:cs="Arial"/>
              </w:rPr>
              <w:t>All-cause mortality</w:t>
            </w:r>
          </w:p>
        </w:tc>
        <w:tc>
          <w:tcPr>
            <w:tcW w:w="1275" w:type="dxa"/>
          </w:tcPr>
          <w:p w:rsidR="0075777C" w:rsidRPr="006316DF" w:rsidRDefault="0075777C" w:rsidP="00805885">
            <w:pPr>
              <w:pStyle w:val="Tabletext"/>
              <w:rPr>
                <w:rFonts w:cs="Arial"/>
              </w:rPr>
            </w:pPr>
            <w:r w:rsidRPr="006316DF">
              <w:rPr>
                <w:rFonts w:cs="Arial"/>
              </w:rPr>
              <w:t>N=</w:t>
            </w:r>
            <w:r>
              <w:rPr>
                <w:rFonts w:cs="Arial"/>
              </w:rPr>
              <w:t>105</w:t>
            </w:r>
          </w:p>
          <w:p w:rsidR="0075777C" w:rsidRPr="006316DF" w:rsidRDefault="0075777C" w:rsidP="00805885">
            <w:pPr>
              <w:pStyle w:val="Tabletext"/>
              <w:rPr>
                <w:rFonts w:cs="Arial"/>
              </w:rPr>
            </w:pPr>
            <w:r w:rsidRPr="006316DF">
              <w:rPr>
                <w:rFonts w:cs="Arial"/>
              </w:rPr>
              <w:t>k=</w:t>
            </w:r>
            <w:r>
              <w:rPr>
                <w:rFonts w:cs="Arial"/>
              </w:rPr>
              <w:t>2</w:t>
            </w:r>
            <w:r w:rsidRPr="006316DF">
              <w:rPr>
                <w:rFonts w:cs="Arial"/>
              </w:rPr>
              <w:t xml:space="preserve"> RCTs</w:t>
            </w:r>
          </w:p>
        </w:tc>
        <w:tc>
          <w:tcPr>
            <w:tcW w:w="1701" w:type="dxa"/>
          </w:tcPr>
          <w:p w:rsidR="0075777C" w:rsidRPr="006316DF" w:rsidRDefault="0075777C" w:rsidP="00805885">
            <w:pPr>
              <w:pStyle w:val="Tabletext"/>
              <w:rPr>
                <w:rFonts w:cs="Arial"/>
              </w:rPr>
            </w:pPr>
            <w:r>
              <w:rPr>
                <w:rFonts w:cs="Arial"/>
              </w:rPr>
              <w:t>Risk of bias: −1</w:t>
            </w:r>
          </w:p>
          <w:p w:rsidR="0075777C" w:rsidRPr="006316DF" w:rsidRDefault="0075777C" w:rsidP="00805885">
            <w:pPr>
              <w:pStyle w:val="Tabletext"/>
              <w:rPr>
                <w:rFonts w:cs="Arial"/>
              </w:rPr>
            </w:pPr>
            <w:r w:rsidRPr="006316DF">
              <w:rPr>
                <w:rFonts w:cs="Arial"/>
              </w:rPr>
              <w:t xml:space="preserve">Inconsistency: </w:t>
            </w:r>
            <w:r>
              <w:rPr>
                <w:rFonts w:cs="Arial"/>
              </w:rPr>
              <w:t>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Imprecision: 0</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0</w:t>
            </w:r>
          </w:p>
        </w:tc>
        <w:tc>
          <w:tcPr>
            <w:tcW w:w="1418" w:type="dxa"/>
          </w:tcPr>
          <w:p w:rsidR="0075777C" w:rsidRPr="00F03461" w:rsidRDefault="0075777C" w:rsidP="00805885">
            <w:pPr>
              <w:pStyle w:val="Tabletext"/>
            </w:pPr>
            <w:r>
              <w:t>N</w:t>
            </w:r>
            <w:r w:rsidRPr="00A72EDD">
              <w:t>ot estimable</w:t>
            </w:r>
          </w:p>
        </w:tc>
        <w:tc>
          <w:tcPr>
            <w:tcW w:w="2551" w:type="dxa"/>
          </w:tcPr>
          <w:p w:rsidR="0075777C" w:rsidRPr="00F03461" w:rsidRDefault="0075777C" w:rsidP="00805885">
            <w:pPr>
              <w:pStyle w:val="Tabletext"/>
            </w:pPr>
            <w:r>
              <w:rPr>
                <w:rFonts w:cs="Arial"/>
              </w:rPr>
              <w:t xml:space="preserve">There were no deaths during the study period </w:t>
            </w:r>
          </w:p>
        </w:tc>
        <w:tc>
          <w:tcPr>
            <w:tcW w:w="1134" w:type="dxa"/>
          </w:tcPr>
          <w:p w:rsidR="0075777C" w:rsidRDefault="0075777C" w:rsidP="00805885">
            <w:pPr>
              <w:pStyle w:val="Tabletext"/>
              <w:rPr>
                <w:bCs/>
              </w:rPr>
            </w:pPr>
            <w:r w:rsidRPr="00E564DD">
              <w:rPr>
                <w:bCs/>
              </w:rPr>
              <w:t>Moderate</w:t>
            </w:r>
          </w:p>
          <w:p w:rsidR="0075777C" w:rsidRDefault="0075777C" w:rsidP="00805885">
            <w:pPr>
              <w:pStyle w:val="Tabletext"/>
              <w:rPr>
                <w:rFonts w:ascii="Cambria Math" w:hAnsi="Cambria Math" w:cs="Cambria Math"/>
                <w:bCs/>
              </w:rPr>
            </w:pPr>
            <w:r w:rsidRPr="00E564DD">
              <w:rPr>
                <w:rFonts w:ascii="Cambria Math" w:hAnsi="Cambria Math" w:cs="Cambria Math"/>
                <w:bCs/>
                <w:color w:val="00B050"/>
              </w:rPr>
              <w:t>⨁⨁⨁</w:t>
            </w:r>
            <w:r w:rsidRPr="00E564DD">
              <w:rPr>
                <w:rFonts w:ascii="Cambria Math" w:hAnsi="Cambria Math" w:cs="Cambria Math"/>
                <w:bCs/>
                <w:color w:val="FF0000"/>
              </w:rPr>
              <w:t>⨀</w:t>
            </w:r>
          </w:p>
          <w:p w:rsidR="0075777C" w:rsidRPr="006316DF" w:rsidRDefault="0075777C" w:rsidP="00805885">
            <w:pPr>
              <w:pStyle w:val="Tabletext"/>
              <w:rPr>
                <w:rFonts w:cs="Arial"/>
              </w:rPr>
            </w:pPr>
            <w:r w:rsidRPr="006316DF">
              <w:rPr>
                <w:rFonts w:cs="Arial"/>
              </w:rPr>
              <w:t>Critical</w:t>
            </w:r>
          </w:p>
        </w:tc>
      </w:tr>
      <w:tr w:rsidR="0075777C" w:rsidRPr="006316DF" w:rsidTr="00805885">
        <w:tc>
          <w:tcPr>
            <w:tcW w:w="1560" w:type="dxa"/>
          </w:tcPr>
          <w:p w:rsidR="0075777C" w:rsidRPr="00163A1F" w:rsidRDefault="0075777C" w:rsidP="00805885">
            <w:pPr>
              <w:pStyle w:val="Tabletext"/>
              <w:rPr>
                <w:rFonts w:cs="Arial"/>
              </w:rPr>
            </w:pPr>
            <w:r w:rsidRPr="00163A1F">
              <w:rPr>
                <w:rFonts w:cs="Arial"/>
              </w:rPr>
              <w:t>Hospitalisation</w:t>
            </w:r>
            <w:r w:rsidR="00086A04">
              <w:rPr>
                <w:rFonts w:cs="Arial"/>
              </w:rPr>
              <w:t xml:space="preserve"> due to </w:t>
            </w:r>
            <w:r w:rsidR="00B97B32">
              <w:rPr>
                <w:rFonts w:cs="Arial"/>
              </w:rPr>
              <w:t xml:space="preserve">worsening </w:t>
            </w:r>
            <w:r w:rsidR="00086A04">
              <w:rPr>
                <w:rFonts w:cs="Arial"/>
              </w:rPr>
              <w:t>PAH</w:t>
            </w:r>
          </w:p>
        </w:tc>
        <w:tc>
          <w:tcPr>
            <w:tcW w:w="1275" w:type="dxa"/>
          </w:tcPr>
          <w:p w:rsidR="0075777C" w:rsidRPr="00163A1F" w:rsidRDefault="0075777C" w:rsidP="00805885">
            <w:pPr>
              <w:pStyle w:val="Tabletext"/>
              <w:rPr>
                <w:rFonts w:cs="Arial"/>
              </w:rPr>
            </w:pPr>
            <w:r w:rsidRPr="00163A1F">
              <w:rPr>
                <w:rFonts w:cs="Arial"/>
              </w:rPr>
              <w:t>N=105</w:t>
            </w:r>
          </w:p>
          <w:p w:rsidR="0075777C" w:rsidRPr="00163A1F" w:rsidRDefault="0075777C" w:rsidP="00805885">
            <w:pPr>
              <w:pStyle w:val="Tabletext"/>
              <w:rPr>
                <w:rFonts w:cs="Arial"/>
              </w:rPr>
            </w:pPr>
            <w:r w:rsidRPr="00163A1F">
              <w:rPr>
                <w:rFonts w:cs="Arial"/>
              </w:rPr>
              <w:t>k=2 RCTs</w:t>
            </w:r>
          </w:p>
        </w:tc>
        <w:tc>
          <w:tcPr>
            <w:tcW w:w="1701" w:type="dxa"/>
          </w:tcPr>
          <w:p w:rsidR="0075777C" w:rsidRPr="00163A1F" w:rsidRDefault="0075777C" w:rsidP="00805885">
            <w:pPr>
              <w:pStyle w:val="Tabletext"/>
              <w:rPr>
                <w:rFonts w:cs="Arial"/>
              </w:rPr>
            </w:pPr>
            <w:r w:rsidRPr="00163A1F">
              <w:rPr>
                <w:rFonts w:cs="Arial"/>
              </w:rPr>
              <w:t>Risk of bias: −1</w:t>
            </w:r>
          </w:p>
          <w:p w:rsidR="0075777C" w:rsidRPr="00163A1F" w:rsidRDefault="0075777C" w:rsidP="00805885">
            <w:pPr>
              <w:pStyle w:val="Tabletext"/>
              <w:rPr>
                <w:rFonts w:cs="Arial"/>
              </w:rPr>
            </w:pPr>
            <w:r w:rsidRPr="00163A1F">
              <w:rPr>
                <w:rFonts w:cs="Arial"/>
              </w:rPr>
              <w:t>Inconsistency: 0</w:t>
            </w:r>
          </w:p>
          <w:p w:rsidR="0075777C" w:rsidRPr="00163A1F" w:rsidRDefault="0075777C" w:rsidP="00805885">
            <w:pPr>
              <w:pStyle w:val="Tabletext"/>
              <w:rPr>
                <w:rFonts w:cs="Arial"/>
              </w:rPr>
            </w:pPr>
            <w:r w:rsidRPr="00163A1F">
              <w:rPr>
                <w:rFonts w:cs="Arial"/>
              </w:rPr>
              <w:t>Indirectness: 0</w:t>
            </w:r>
          </w:p>
          <w:p w:rsidR="0075777C" w:rsidRPr="00163A1F" w:rsidRDefault="0075777C" w:rsidP="00805885">
            <w:pPr>
              <w:pStyle w:val="Tabletext"/>
              <w:rPr>
                <w:rFonts w:cs="Arial"/>
              </w:rPr>
            </w:pPr>
            <w:r w:rsidRPr="00163A1F">
              <w:rPr>
                <w:rFonts w:cs="Arial"/>
              </w:rPr>
              <w:t>Imprecision: 0</w:t>
            </w:r>
          </w:p>
          <w:p w:rsidR="0075777C" w:rsidRPr="00163A1F" w:rsidRDefault="0075777C" w:rsidP="00805885">
            <w:pPr>
              <w:pStyle w:val="Tabletext"/>
              <w:rPr>
                <w:rFonts w:cs="Arial"/>
              </w:rPr>
            </w:pPr>
            <w:r w:rsidRPr="00163A1F">
              <w:rPr>
                <w:rFonts w:cs="Arial"/>
              </w:rPr>
              <w:t>Publication bias: 0</w:t>
            </w:r>
          </w:p>
          <w:p w:rsidR="0075777C" w:rsidRPr="00163A1F" w:rsidRDefault="0075777C" w:rsidP="00805885">
            <w:pPr>
              <w:pStyle w:val="Tabletext"/>
              <w:rPr>
                <w:rFonts w:cs="Arial"/>
              </w:rPr>
            </w:pPr>
            <w:r w:rsidRPr="00163A1F">
              <w:rPr>
                <w:rFonts w:cs="Arial"/>
              </w:rPr>
              <w:t>Association: 0</w:t>
            </w:r>
          </w:p>
        </w:tc>
        <w:tc>
          <w:tcPr>
            <w:tcW w:w="1418" w:type="dxa"/>
          </w:tcPr>
          <w:p w:rsidR="0075777C" w:rsidRPr="00163A1F" w:rsidRDefault="00C035C0" w:rsidP="00C035C0">
            <w:pPr>
              <w:pStyle w:val="Tabletext"/>
            </w:pPr>
            <w:r>
              <w:t xml:space="preserve">Pooled </w:t>
            </w:r>
            <w:r w:rsidR="00B21201">
              <w:t>ARD</w:t>
            </w:r>
            <w:r w:rsidR="0075777C" w:rsidRPr="00163A1F">
              <w:t xml:space="preserve"> = −</w:t>
            </w:r>
            <w:r>
              <w:t>5.5</w:t>
            </w:r>
            <w:r w:rsidR="0075777C" w:rsidRPr="00163A1F">
              <w:t>% (95% CI −1</w:t>
            </w:r>
            <w:r>
              <w:t>8.9</w:t>
            </w:r>
            <w:r w:rsidR="0075777C" w:rsidRPr="00163A1F">
              <w:t xml:space="preserve">, </w:t>
            </w:r>
            <w:r>
              <w:t>7.8</w:t>
            </w:r>
            <w:r w:rsidR="0075777C" w:rsidRPr="00163A1F">
              <w:t>)</w:t>
            </w:r>
          </w:p>
        </w:tc>
        <w:tc>
          <w:tcPr>
            <w:tcW w:w="2551" w:type="dxa"/>
          </w:tcPr>
          <w:p w:rsidR="0075777C" w:rsidRPr="00163A1F" w:rsidRDefault="00C035C0" w:rsidP="00C035C0">
            <w:pPr>
              <w:pStyle w:val="Tabletext"/>
            </w:pPr>
            <w:r>
              <w:rPr>
                <w:rFonts w:cs="Arial"/>
              </w:rPr>
              <w:t>F</w:t>
            </w:r>
            <w:r w:rsidR="0075777C" w:rsidRPr="00163A1F">
              <w:rPr>
                <w:rFonts w:cs="Arial"/>
              </w:rPr>
              <w:t>ewer patients were hospitalised</w:t>
            </w:r>
            <w:r w:rsidR="0075777C" w:rsidRPr="00163A1F">
              <w:t xml:space="preserve"> </w:t>
            </w:r>
            <w:r w:rsidR="0075777C" w:rsidRPr="00163A1F">
              <w:rPr>
                <w:rFonts w:cs="Arial"/>
              </w:rPr>
              <w:t>with combination therapy compared with monotherapy</w:t>
            </w:r>
            <w:r w:rsidRPr="00F032EC">
              <w:rPr>
                <w:rFonts w:cs="Arial"/>
              </w:rPr>
              <w:t xml:space="preserve">, but the </w:t>
            </w:r>
            <w:r>
              <w:rPr>
                <w:rFonts w:cs="Arial"/>
              </w:rPr>
              <w:t>95% CI indicates</w:t>
            </w:r>
            <w:r w:rsidRPr="00F032EC">
              <w:rPr>
                <w:rFonts w:cs="Arial"/>
              </w:rPr>
              <w:t xml:space="preserve"> that there could also be the opposite effect.</w:t>
            </w:r>
            <w:r w:rsidR="0075777C" w:rsidRPr="00163A1F">
              <w:rPr>
                <w:rFonts w:cs="Arial"/>
              </w:rPr>
              <w:t xml:space="preserve"> </w:t>
            </w:r>
          </w:p>
        </w:tc>
        <w:tc>
          <w:tcPr>
            <w:tcW w:w="1134" w:type="dxa"/>
          </w:tcPr>
          <w:p w:rsidR="0075777C" w:rsidRPr="00163A1F" w:rsidRDefault="0075777C" w:rsidP="00805885">
            <w:pPr>
              <w:pStyle w:val="Tabletext"/>
              <w:rPr>
                <w:bCs/>
              </w:rPr>
            </w:pPr>
            <w:r w:rsidRPr="00163A1F">
              <w:rPr>
                <w:bCs/>
              </w:rPr>
              <w:t>Moderate</w:t>
            </w:r>
          </w:p>
          <w:p w:rsidR="0075777C" w:rsidRPr="00163A1F" w:rsidRDefault="0075777C" w:rsidP="00805885">
            <w:pPr>
              <w:pStyle w:val="Tabletext"/>
              <w:rPr>
                <w:rFonts w:ascii="Cambria Math" w:hAnsi="Cambria Math" w:cs="Cambria Math"/>
                <w:bCs/>
              </w:rPr>
            </w:pPr>
            <w:r w:rsidRPr="00163A1F">
              <w:rPr>
                <w:rFonts w:ascii="Cambria Math" w:hAnsi="Cambria Math" w:cs="Cambria Math"/>
                <w:bCs/>
                <w:color w:val="00B050"/>
              </w:rPr>
              <w:t>⨁⨁⨁</w:t>
            </w:r>
            <w:r w:rsidRPr="00163A1F">
              <w:rPr>
                <w:rFonts w:ascii="Cambria Math" w:hAnsi="Cambria Math" w:cs="Cambria Math"/>
                <w:bCs/>
                <w:color w:val="FF0000"/>
              </w:rPr>
              <w:t>⨀</w:t>
            </w:r>
          </w:p>
          <w:p w:rsidR="0075777C" w:rsidRPr="00163A1F" w:rsidRDefault="00805885" w:rsidP="00805885">
            <w:pPr>
              <w:pStyle w:val="Tabletext"/>
              <w:rPr>
                <w:rFonts w:cs="Arial"/>
              </w:rPr>
            </w:pPr>
            <w:r>
              <w:rPr>
                <w:rFonts w:cs="Arial"/>
              </w:rPr>
              <w:t>Important</w:t>
            </w:r>
          </w:p>
        </w:tc>
      </w:tr>
      <w:tr w:rsidR="00B97B32" w:rsidRPr="006316DF" w:rsidTr="00805885">
        <w:tc>
          <w:tcPr>
            <w:tcW w:w="1560" w:type="dxa"/>
          </w:tcPr>
          <w:p w:rsidR="00B97B32" w:rsidRPr="006316DF" w:rsidRDefault="00B97B32" w:rsidP="00B97B32">
            <w:pPr>
              <w:pStyle w:val="Tabletext"/>
              <w:rPr>
                <w:rFonts w:cs="Arial"/>
              </w:rPr>
            </w:pPr>
            <w:r w:rsidRPr="006316DF">
              <w:rPr>
                <w:rFonts w:cs="Arial"/>
              </w:rPr>
              <w:t>Improved WHO FC</w:t>
            </w:r>
          </w:p>
        </w:tc>
        <w:tc>
          <w:tcPr>
            <w:tcW w:w="1275" w:type="dxa"/>
          </w:tcPr>
          <w:p w:rsidR="00B97B32" w:rsidRPr="006316DF" w:rsidRDefault="00B97B32" w:rsidP="00B97B32">
            <w:pPr>
              <w:pStyle w:val="Tabletext"/>
              <w:rPr>
                <w:rFonts w:cs="Arial"/>
              </w:rPr>
            </w:pPr>
            <w:r w:rsidRPr="006316DF">
              <w:rPr>
                <w:rFonts w:cs="Arial"/>
              </w:rPr>
              <w:t>N=</w:t>
            </w:r>
            <w:r>
              <w:rPr>
                <w:rFonts w:cs="Arial"/>
              </w:rPr>
              <w:t>65</w:t>
            </w:r>
          </w:p>
          <w:p w:rsidR="00B97B32" w:rsidRPr="006316DF" w:rsidRDefault="00B97B32" w:rsidP="00B97B32">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97B32" w:rsidRPr="006316DF" w:rsidRDefault="00B97B32" w:rsidP="00B97B32">
            <w:pPr>
              <w:pStyle w:val="Tabletext"/>
              <w:rPr>
                <w:rFonts w:cs="Arial"/>
              </w:rPr>
            </w:pPr>
            <w:r>
              <w:rPr>
                <w:rFonts w:cs="Arial"/>
              </w:rPr>
              <w:t>Risk of bias: 0</w:t>
            </w:r>
          </w:p>
          <w:p w:rsidR="00B97B32" w:rsidRPr="006316DF" w:rsidRDefault="00B97B32" w:rsidP="00B97B32">
            <w:pPr>
              <w:pStyle w:val="Tabletext"/>
              <w:rPr>
                <w:rFonts w:cs="Arial"/>
              </w:rPr>
            </w:pPr>
            <w:r w:rsidRPr="006316DF">
              <w:rPr>
                <w:rFonts w:cs="Arial"/>
              </w:rPr>
              <w:t>Inconsistency: 0</w:t>
            </w:r>
          </w:p>
          <w:p w:rsidR="00B97B32" w:rsidRPr="006316DF" w:rsidRDefault="00B97B32" w:rsidP="00B97B32">
            <w:pPr>
              <w:pStyle w:val="Tabletext"/>
              <w:rPr>
                <w:rFonts w:cs="Arial"/>
              </w:rPr>
            </w:pPr>
            <w:r w:rsidRPr="006316DF">
              <w:rPr>
                <w:rFonts w:cs="Arial"/>
              </w:rPr>
              <w:t>Indirectness: 0</w:t>
            </w:r>
          </w:p>
          <w:p w:rsidR="00B97B32" w:rsidRDefault="00B97B32" w:rsidP="00B97B32">
            <w:pPr>
              <w:pStyle w:val="Tabletext"/>
              <w:rPr>
                <w:rFonts w:cs="Arial"/>
              </w:rPr>
            </w:pPr>
            <w:r w:rsidRPr="006316DF">
              <w:rPr>
                <w:rFonts w:cs="Arial"/>
              </w:rPr>
              <w:t xml:space="preserve">Imprecision: </w:t>
            </w:r>
            <w:r>
              <w:rPr>
                <w:rFonts w:cs="Arial"/>
              </w:rPr>
              <w:t>−2</w:t>
            </w:r>
          </w:p>
          <w:p w:rsidR="00B97B32" w:rsidRDefault="00B97B32" w:rsidP="00B97B32">
            <w:pPr>
              <w:pStyle w:val="Tabletext"/>
              <w:rPr>
                <w:rFonts w:cs="Arial"/>
              </w:rPr>
            </w:pPr>
            <w:r w:rsidRPr="006316DF">
              <w:rPr>
                <w:rFonts w:cs="Arial"/>
              </w:rPr>
              <w:t>Publication bias: 0</w:t>
            </w:r>
          </w:p>
          <w:p w:rsidR="00B97B32" w:rsidRPr="006316DF" w:rsidRDefault="00B97B32" w:rsidP="00B97B32">
            <w:pPr>
              <w:pStyle w:val="Tabletext"/>
              <w:rPr>
                <w:rFonts w:cs="Arial"/>
              </w:rPr>
            </w:pPr>
            <w:r>
              <w:rPr>
                <w:rFonts w:cs="Arial"/>
              </w:rPr>
              <w:t>Association: 0</w:t>
            </w:r>
          </w:p>
        </w:tc>
        <w:tc>
          <w:tcPr>
            <w:tcW w:w="1418" w:type="dxa"/>
          </w:tcPr>
          <w:p w:rsidR="00B97B32" w:rsidRPr="006E6ADE" w:rsidRDefault="00B97B32" w:rsidP="00B97B32">
            <w:pPr>
              <w:pStyle w:val="Tabletext"/>
            </w:pPr>
            <w:r w:rsidRPr="00A72EDD">
              <w:t xml:space="preserve">RR </w:t>
            </w:r>
            <w:r>
              <w:t xml:space="preserve">= </w:t>
            </w:r>
            <w:r w:rsidRPr="00A72EDD">
              <w:t>5.67</w:t>
            </w:r>
            <w:r>
              <w:t xml:space="preserve"> </w:t>
            </w:r>
            <w:r w:rsidRPr="00A72EDD">
              <w:t>(</w:t>
            </w:r>
            <w:r>
              <w:t xml:space="preserve">95% CI </w:t>
            </w:r>
            <w:r w:rsidRPr="00A72EDD">
              <w:t>1.36</w:t>
            </w:r>
            <w:r>
              <w:t>, 23.61)</w:t>
            </w:r>
          </w:p>
        </w:tc>
        <w:tc>
          <w:tcPr>
            <w:tcW w:w="2551" w:type="dxa"/>
          </w:tcPr>
          <w:p w:rsidR="00B97B32" w:rsidRPr="002812F2" w:rsidRDefault="00B97B32" w:rsidP="00B97B32">
            <w:pPr>
              <w:pStyle w:val="Tabletext"/>
              <w:rPr>
                <w:rFonts w:cs="Arial"/>
              </w:rPr>
            </w:pPr>
            <w:r>
              <w:rPr>
                <w:rFonts w:cs="Arial"/>
              </w:rPr>
              <w:t>Significantly m</w:t>
            </w:r>
            <w:r w:rsidRPr="002812F2">
              <w:rPr>
                <w:rFonts w:cs="Arial"/>
              </w:rPr>
              <w:t xml:space="preserve">ore patients </w:t>
            </w:r>
            <w:r>
              <w:rPr>
                <w:rFonts w:cs="Arial"/>
              </w:rPr>
              <w:t>on combination therapy</w:t>
            </w:r>
            <w:r w:rsidRPr="002812F2">
              <w:rPr>
                <w:rFonts w:cs="Arial"/>
              </w:rPr>
              <w:t xml:space="preserve"> improve</w:t>
            </w:r>
            <w:r>
              <w:rPr>
                <w:rFonts w:cs="Arial"/>
              </w:rPr>
              <w:t>d</w:t>
            </w:r>
            <w:r w:rsidRPr="002812F2">
              <w:rPr>
                <w:rFonts w:cs="Arial"/>
              </w:rPr>
              <w:t xml:space="preserve"> their WHO FC than those </w:t>
            </w:r>
            <w:r>
              <w:rPr>
                <w:rFonts w:cs="Arial"/>
              </w:rPr>
              <w:t>on monotherapy</w:t>
            </w:r>
          </w:p>
        </w:tc>
        <w:tc>
          <w:tcPr>
            <w:tcW w:w="1134" w:type="dxa"/>
          </w:tcPr>
          <w:p w:rsidR="00B97B32" w:rsidRPr="006316DF" w:rsidRDefault="00B97B32" w:rsidP="00B97B32">
            <w:pPr>
              <w:pStyle w:val="Tabletext"/>
              <w:rPr>
                <w:rFonts w:cs="Arial"/>
              </w:rPr>
            </w:pPr>
            <w:r>
              <w:rPr>
                <w:rFonts w:cs="Arial"/>
              </w:rPr>
              <w:t>Low</w:t>
            </w:r>
          </w:p>
          <w:p w:rsidR="00B97B32" w:rsidRPr="006316DF" w:rsidRDefault="00B97B32" w:rsidP="00B97B32">
            <w:pPr>
              <w:pStyle w:val="Tabletext"/>
              <w:rPr>
                <w:rFonts w:cs="Cambria Math"/>
                <w:bCs/>
              </w:rPr>
            </w:pPr>
            <w:r w:rsidRPr="006316DF">
              <w:rPr>
                <w:rFonts w:ascii="Cambria Math" w:hAnsi="Cambria Math" w:cs="Cambria Math"/>
                <w:bCs/>
                <w:color w:val="00B050"/>
              </w:rPr>
              <w:t>⨁⨁</w:t>
            </w:r>
            <w:r w:rsidRPr="00E564DD">
              <w:rPr>
                <w:rFonts w:ascii="Cambria Math" w:eastAsia="Times New Roman" w:hAnsi="Cambria Math" w:cs="Cambria Math"/>
                <w:bCs/>
                <w:color w:val="C00000"/>
              </w:rPr>
              <w:t>⨀</w:t>
            </w:r>
            <w:r w:rsidRPr="006316DF">
              <w:rPr>
                <w:rFonts w:ascii="Cambria Math" w:hAnsi="Cambria Math" w:cs="Cambria Math"/>
                <w:color w:val="C00000"/>
              </w:rPr>
              <w:t>⨀</w:t>
            </w:r>
          </w:p>
          <w:p w:rsidR="00B97B32" w:rsidRPr="006316DF" w:rsidRDefault="00B97B32" w:rsidP="00B97B32">
            <w:pPr>
              <w:pStyle w:val="Tabletext"/>
              <w:rPr>
                <w:rFonts w:cs="Arial"/>
              </w:rPr>
            </w:pPr>
            <w:r w:rsidRPr="006316DF">
              <w:rPr>
                <w:rFonts w:cs="Arial"/>
              </w:rPr>
              <w:t>Important</w:t>
            </w:r>
          </w:p>
        </w:tc>
      </w:tr>
      <w:tr w:rsidR="00B97B32" w:rsidRPr="006316DF" w:rsidTr="00805885">
        <w:tc>
          <w:tcPr>
            <w:tcW w:w="1560" w:type="dxa"/>
          </w:tcPr>
          <w:p w:rsidR="00B97B32" w:rsidRPr="00163A1F" w:rsidRDefault="00B97B32" w:rsidP="00B97B32">
            <w:pPr>
              <w:pStyle w:val="Tabletext"/>
              <w:rPr>
                <w:rFonts w:cs="Arial"/>
              </w:rPr>
            </w:pPr>
            <w:r w:rsidRPr="00163A1F">
              <w:rPr>
                <w:rFonts w:cs="Arial"/>
              </w:rPr>
              <w:t>Worsened WHO FC</w:t>
            </w:r>
          </w:p>
        </w:tc>
        <w:tc>
          <w:tcPr>
            <w:tcW w:w="1275" w:type="dxa"/>
          </w:tcPr>
          <w:p w:rsidR="00B97B32" w:rsidRPr="00163A1F" w:rsidRDefault="00B97B32" w:rsidP="00B97B32">
            <w:pPr>
              <w:pStyle w:val="Tabletext"/>
              <w:rPr>
                <w:rFonts w:cs="Arial"/>
              </w:rPr>
            </w:pPr>
            <w:r w:rsidRPr="00163A1F">
              <w:rPr>
                <w:rFonts w:cs="Arial"/>
              </w:rPr>
              <w:t>N=65</w:t>
            </w:r>
          </w:p>
          <w:p w:rsidR="00B97B32" w:rsidRPr="00163A1F" w:rsidRDefault="00B97B32" w:rsidP="00B97B32">
            <w:pPr>
              <w:pStyle w:val="Tabletext"/>
              <w:rPr>
                <w:rFonts w:cs="Arial"/>
              </w:rPr>
            </w:pPr>
            <w:r w:rsidRPr="00163A1F">
              <w:rPr>
                <w:rFonts w:cs="Arial"/>
              </w:rPr>
              <w:t>k=1 RCT</w:t>
            </w:r>
          </w:p>
        </w:tc>
        <w:tc>
          <w:tcPr>
            <w:tcW w:w="1701" w:type="dxa"/>
          </w:tcPr>
          <w:p w:rsidR="00B97B32" w:rsidRPr="00163A1F" w:rsidRDefault="00B97B32" w:rsidP="00B97B32">
            <w:pPr>
              <w:pStyle w:val="Tabletext"/>
              <w:rPr>
                <w:rFonts w:cs="Arial"/>
              </w:rPr>
            </w:pPr>
            <w:r w:rsidRPr="00163A1F">
              <w:rPr>
                <w:rFonts w:cs="Arial"/>
              </w:rPr>
              <w:t>Risk of bias: 0</w:t>
            </w:r>
          </w:p>
          <w:p w:rsidR="00B97B32" w:rsidRPr="00163A1F" w:rsidRDefault="00B97B32" w:rsidP="00B97B32">
            <w:pPr>
              <w:pStyle w:val="Tabletext"/>
              <w:rPr>
                <w:rFonts w:cs="Arial"/>
              </w:rPr>
            </w:pPr>
            <w:r w:rsidRPr="00163A1F">
              <w:rPr>
                <w:rFonts w:cs="Arial"/>
              </w:rPr>
              <w:t>Inconsistency: 0</w:t>
            </w:r>
          </w:p>
          <w:p w:rsidR="00B97B32" w:rsidRPr="00163A1F" w:rsidRDefault="00B97B32" w:rsidP="00B97B32">
            <w:pPr>
              <w:pStyle w:val="Tabletext"/>
              <w:rPr>
                <w:rFonts w:cs="Arial"/>
              </w:rPr>
            </w:pPr>
            <w:r w:rsidRPr="00163A1F">
              <w:rPr>
                <w:rFonts w:cs="Arial"/>
              </w:rPr>
              <w:t>Indirectness: 0</w:t>
            </w:r>
          </w:p>
          <w:p w:rsidR="00B97B32" w:rsidRPr="00163A1F" w:rsidRDefault="00B97B32" w:rsidP="00B97B32">
            <w:pPr>
              <w:pStyle w:val="Tabletext"/>
              <w:rPr>
                <w:rFonts w:cs="Arial"/>
              </w:rPr>
            </w:pPr>
            <w:r w:rsidRPr="00163A1F">
              <w:rPr>
                <w:rFonts w:cs="Arial"/>
              </w:rPr>
              <w:t xml:space="preserve">Imprecision: </w:t>
            </w:r>
            <w:r>
              <w:rPr>
                <w:rFonts w:cs="Arial"/>
              </w:rPr>
              <w:t>−1</w:t>
            </w:r>
          </w:p>
          <w:p w:rsidR="00B97B32" w:rsidRPr="00163A1F" w:rsidRDefault="00B97B32" w:rsidP="00B97B32">
            <w:pPr>
              <w:pStyle w:val="Tabletext"/>
              <w:rPr>
                <w:rFonts w:cs="Arial"/>
              </w:rPr>
            </w:pPr>
            <w:r w:rsidRPr="00163A1F">
              <w:rPr>
                <w:rFonts w:cs="Arial"/>
              </w:rPr>
              <w:t>Publication bias: 0</w:t>
            </w:r>
          </w:p>
          <w:p w:rsidR="00B97B32" w:rsidRPr="00163A1F" w:rsidRDefault="00B97B32" w:rsidP="00B97B32">
            <w:pPr>
              <w:pStyle w:val="Tabletext"/>
              <w:rPr>
                <w:rFonts w:cs="Arial"/>
              </w:rPr>
            </w:pPr>
            <w:r w:rsidRPr="00163A1F">
              <w:rPr>
                <w:rFonts w:cs="Arial"/>
              </w:rPr>
              <w:t>Association: 0</w:t>
            </w:r>
          </w:p>
        </w:tc>
        <w:tc>
          <w:tcPr>
            <w:tcW w:w="1418" w:type="dxa"/>
          </w:tcPr>
          <w:p w:rsidR="00B97B32" w:rsidRPr="00163A1F" w:rsidRDefault="00B97B32" w:rsidP="00B97B32">
            <w:pPr>
              <w:pStyle w:val="Tabletext"/>
            </w:pPr>
            <w:r>
              <w:t>ARD</w:t>
            </w:r>
            <w:r w:rsidRPr="00163A1F">
              <w:t xml:space="preserve"> = −3.0% (95% CI −8.9, 2.8)</w:t>
            </w:r>
          </w:p>
        </w:tc>
        <w:tc>
          <w:tcPr>
            <w:tcW w:w="2551" w:type="dxa"/>
          </w:tcPr>
          <w:p w:rsidR="00B97B32" w:rsidRPr="00163A1F" w:rsidRDefault="00B97B32" w:rsidP="00B97B32">
            <w:pPr>
              <w:pStyle w:val="Tabletext"/>
              <w:rPr>
                <w:rFonts w:cs="Arial"/>
              </w:rPr>
            </w:pPr>
            <w:r w:rsidRPr="00163A1F">
              <w:rPr>
                <w:rFonts w:cs="Arial"/>
              </w:rPr>
              <w:t>Fewer patients experienced clinical worsening with combination therapy compared with monotherapy, but the difference was not statistically significant (p = 0.32)</w:t>
            </w:r>
          </w:p>
        </w:tc>
        <w:tc>
          <w:tcPr>
            <w:tcW w:w="1134" w:type="dxa"/>
          </w:tcPr>
          <w:p w:rsidR="00B97B32" w:rsidRPr="00163A1F" w:rsidRDefault="00B97B32" w:rsidP="00B97B32">
            <w:pPr>
              <w:pStyle w:val="Tabletext"/>
              <w:rPr>
                <w:rFonts w:cs="Arial"/>
              </w:rPr>
            </w:pPr>
            <w:r>
              <w:rPr>
                <w:rFonts w:cs="Arial"/>
              </w:rPr>
              <w:t>Moderate</w:t>
            </w:r>
          </w:p>
          <w:p w:rsidR="00B97B32" w:rsidRPr="00163A1F" w:rsidRDefault="00B97B32" w:rsidP="00B97B32">
            <w:pPr>
              <w:pStyle w:val="Tabletext"/>
              <w:rPr>
                <w:rFonts w:cs="Cambria Math"/>
                <w:bCs/>
              </w:rPr>
            </w:pPr>
            <w:r w:rsidRPr="00163A1F">
              <w:rPr>
                <w:rFonts w:ascii="Cambria Math" w:hAnsi="Cambria Math" w:cs="Cambria Math"/>
                <w:bCs/>
                <w:color w:val="00B050"/>
              </w:rPr>
              <w:t>⨁⨁⨁</w:t>
            </w:r>
            <w:r w:rsidRPr="00E564DD">
              <w:rPr>
                <w:rFonts w:ascii="Cambria Math" w:eastAsia="Times New Roman" w:hAnsi="Cambria Math" w:cs="Cambria Math"/>
                <w:bCs/>
                <w:color w:val="C00000"/>
              </w:rPr>
              <w:t>⨀</w:t>
            </w:r>
          </w:p>
          <w:p w:rsidR="00B97B32" w:rsidRPr="00163A1F" w:rsidRDefault="00B97B32" w:rsidP="00B97B32">
            <w:pPr>
              <w:pStyle w:val="Tabletext"/>
              <w:rPr>
                <w:rFonts w:cs="Arial"/>
              </w:rPr>
            </w:pPr>
            <w:r w:rsidRPr="00163A1F">
              <w:rPr>
                <w:rFonts w:cs="Arial"/>
              </w:rPr>
              <w:t>Important</w:t>
            </w:r>
          </w:p>
        </w:tc>
      </w:tr>
      <w:tr w:rsidR="00B97B32" w:rsidRPr="006316DF" w:rsidTr="00805885">
        <w:tc>
          <w:tcPr>
            <w:tcW w:w="1560" w:type="dxa"/>
          </w:tcPr>
          <w:p w:rsidR="00B97B32" w:rsidRPr="006316DF" w:rsidRDefault="00B97B32" w:rsidP="00B97B32">
            <w:pPr>
              <w:pStyle w:val="Tabletext"/>
              <w:rPr>
                <w:rFonts w:cs="Arial"/>
              </w:rPr>
            </w:pPr>
            <w:r w:rsidRPr="006316DF">
              <w:rPr>
                <w:rFonts w:cs="Arial"/>
              </w:rPr>
              <w:t>Change in 6MWD</w:t>
            </w:r>
            <w:r>
              <w:rPr>
                <w:rFonts w:cs="Arial"/>
              </w:rPr>
              <w:t xml:space="preserve"> from baseline</w:t>
            </w:r>
          </w:p>
        </w:tc>
        <w:tc>
          <w:tcPr>
            <w:tcW w:w="1275" w:type="dxa"/>
          </w:tcPr>
          <w:p w:rsidR="00B97B32" w:rsidRPr="006316DF" w:rsidRDefault="00B97B32" w:rsidP="00B97B32">
            <w:pPr>
              <w:pStyle w:val="Tabletext"/>
              <w:rPr>
                <w:rFonts w:cs="Arial"/>
              </w:rPr>
            </w:pPr>
            <w:r w:rsidRPr="006316DF">
              <w:rPr>
                <w:rFonts w:cs="Arial"/>
              </w:rPr>
              <w:t>N=1</w:t>
            </w:r>
            <w:r>
              <w:rPr>
                <w:rFonts w:cs="Arial"/>
              </w:rPr>
              <w:t>05</w:t>
            </w:r>
          </w:p>
          <w:p w:rsidR="00B97B32" w:rsidRPr="006316DF" w:rsidRDefault="00B97B32" w:rsidP="00B97B32">
            <w:pPr>
              <w:pStyle w:val="Tabletext"/>
              <w:rPr>
                <w:rFonts w:cs="Arial"/>
              </w:rPr>
            </w:pPr>
            <w:r w:rsidRPr="006316DF">
              <w:rPr>
                <w:rFonts w:cs="Arial"/>
              </w:rPr>
              <w:t>k=</w:t>
            </w:r>
            <w:r>
              <w:rPr>
                <w:rFonts w:cs="Arial"/>
              </w:rPr>
              <w:t>2</w:t>
            </w:r>
            <w:r w:rsidRPr="006316DF">
              <w:rPr>
                <w:rFonts w:cs="Arial"/>
              </w:rPr>
              <w:t xml:space="preserve"> RCT</w:t>
            </w:r>
            <w:r>
              <w:rPr>
                <w:rFonts w:cs="Arial"/>
              </w:rPr>
              <w:t>s</w:t>
            </w:r>
          </w:p>
        </w:tc>
        <w:tc>
          <w:tcPr>
            <w:tcW w:w="1701" w:type="dxa"/>
          </w:tcPr>
          <w:p w:rsidR="00B97B32" w:rsidRPr="006316DF" w:rsidRDefault="00B97B32" w:rsidP="00B97B32">
            <w:pPr>
              <w:pStyle w:val="Tabletext"/>
              <w:rPr>
                <w:rFonts w:cs="Arial"/>
              </w:rPr>
            </w:pPr>
            <w:r>
              <w:rPr>
                <w:rFonts w:cs="Arial"/>
              </w:rPr>
              <w:t>Risk of bias: −1</w:t>
            </w:r>
          </w:p>
          <w:p w:rsidR="00B97B32" w:rsidRPr="006316DF" w:rsidRDefault="00B97B32" w:rsidP="00B97B32">
            <w:pPr>
              <w:pStyle w:val="Tabletext"/>
              <w:rPr>
                <w:rFonts w:cs="Arial"/>
              </w:rPr>
            </w:pPr>
            <w:r w:rsidRPr="006316DF">
              <w:rPr>
                <w:rFonts w:cs="Arial"/>
              </w:rPr>
              <w:t>Inconsistency: 0</w:t>
            </w:r>
          </w:p>
          <w:p w:rsidR="00B97B32" w:rsidRPr="006316DF" w:rsidRDefault="00B97B32" w:rsidP="00B97B32">
            <w:pPr>
              <w:pStyle w:val="Tabletext"/>
              <w:rPr>
                <w:rFonts w:cs="Arial"/>
              </w:rPr>
            </w:pPr>
            <w:r w:rsidRPr="006316DF">
              <w:rPr>
                <w:rFonts w:cs="Arial"/>
              </w:rPr>
              <w:t xml:space="preserve">Indirectness: </w:t>
            </w:r>
            <w:r>
              <w:rPr>
                <w:rFonts w:cs="Arial"/>
              </w:rPr>
              <w:t>−1</w:t>
            </w:r>
          </w:p>
          <w:p w:rsidR="00B97B32" w:rsidRDefault="00B97B32" w:rsidP="00B97B32">
            <w:pPr>
              <w:pStyle w:val="Tabletext"/>
              <w:rPr>
                <w:rFonts w:cs="Arial"/>
              </w:rPr>
            </w:pPr>
            <w:r w:rsidRPr="006316DF">
              <w:rPr>
                <w:rFonts w:cs="Arial"/>
              </w:rPr>
              <w:t>Imprecision: 0</w:t>
            </w:r>
          </w:p>
          <w:p w:rsidR="00B97B32" w:rsidRDefault="00B97B32" w:rsidP="00B97B32">
            <w:pPr>
              <w:pStyle w:val="Tabletext"/>
              <w:rPr>
                <w:rFonts w:cs="Arial"/>
              </w:rPr>
            </w:pPr>
            <w:r w:rsidRPr="006316DF">
              <w:rPr>
                <w:rFonts w:cs="Arial"/>
              </w:rPr>
              <w:t>Publication bias: 0</w:t>
            </w:r>
          </w:p>
          <w:p w:rsidR="00B97B32" w:rsidRPr="006316DF" w:rsidRDefault="00B97B32" w:rsidP="00B97B32">
            <w:pPr>
              <w:pStyle w:val="Tabletext"/>
              <w:rPr>
                <w:rFonts w:cs="Arial"/>
              </w:rPr>
            </w:pPr>
            <w:r>
              <w:rPr>
                <w:rFonts w:cs="Arial"/>
              </w:rPr>
              <w:t>Association: 0</w:t>
            </w:r>
          </w:p>
        </w:tc>
        <w:tc>
          <w:tcPr>
            <w:tcW w:w="1418" w:type="dxa"/>
          </w:tcPr>
          <w:p w:rsidR="00B97B32" w:rsidRPr="0006289E" w:rsidRDefault="00B97B32" w:rsidP="00B97B32">
            <w:pPr>
              <w:pStyle w:val="Tabletext"/>
            </w:pPr>
            <w:r>
              <w:t>Range 10−26 m further</w:t>
            </w:r>
          </w:p>
        </w:tc>
        <w:tc>
          <w:tcPr>
            <w:tcW w:w="2551" w:type="dxa"/>
          </w:tcPr>
          <w:p w:rsidR="00B97B32" w:rsidRPr="0006289E" w:rsidRDefault="00B97B32" w:rsidP="00B97B32">
            <w:pPr>
              <w:pStyle w:val="Tabletext"/>
              <w:rPr>
                <w:rFonts w:cs="Arial"/>
              </w:rPr>
            </w:pPr>
            <w:r>
              <w:rPr>
                <w:rFonts w:cs="Arial"/>
              </w:rPr>
              <w:t>P</w:t>
            </w:r>
            <w:r w:rsidRPr="0006289E">
              <w:rPr>
                <w:rFonts w:cs="Arial"/>
              </w:rPr>
              <w:t>atients on combination th</w:t>
            </w:r>
            <w:r>
              <w:rPr>
                <w:rFonts w:cs="Arial"/>
              </w:rPr>
              <w:t>e</w:t>
            </w:r>
            <w:r w:rsidRPr="0006289E">
              <w:rPr>
                <w:rFonts w:cs="Arial"/>
              </w:rPr>
              <w:t>rapy ha</w:t>
            </w:r>
            <w:r>
              <w:rPr>
                <w:rFonts w:cs="Arial"/>
              </w:rPr>
              <w:t>d</w:t>
            </w:r>
            <w:r w:rsidRPr="0006289E">
              <w:rPr>
                <w:rFonts w:cs="Arial"/>
              </w:rPr>
              <w:t xml:space="preserve"> a larger </w:t>
            </w:r>
            <w:r>
              <w:rPr>
                <w:rFonts w:cs="Arial"/>
              </w:rPr>
              <w:t xml:space="preserve">mean </w:t>
            </w:r>
            <w:r w:rsidRPr="0006289E">
              <w:rPr>
                <w:rFonts w:cs="Arial"/>
              </w:rPr>
              <w:t>improvement in their 6MWD than those on monotherapy</w:t>
            </w:r>
            <w:r w:rsidR="00196DB5">
              <w:rPr>
                <w:rFonts w:cs="Arial"/>
              </w:rPr>
              <w:t>, but the difference was not clinically important</w:t>
            </w:r>
          </w:p>
        </w:tc>
        <w:tc>
          <w:tcPr>
            <w:tcW w:w="1134" w:type="dxa"/>
          </w:tcPr>
          <w:p w:rsidR="00B97B32" w:rsidRDefault="00B97B32" w:rsidP="00B97B32">
            <w:pPr>
              <w:pStyle w:val="Tabletext"/>
              <w:rPr>
                <w:bCs/>
              </w:rPr>
            </w:pPr>
            <w:r>
              <w:rPr>
                <w:bCs/>
              </w:rPr>
              <w:t>Low</w:t>
            </w:r>
          </w:p>
          <w:p w:rsidR="00B97B32" w:rsidRDefault="00B97B32" w:rsidP="00B97B32">
            <w:pPr>
              <w:pStyle w:val="Tabletext"/>
              <w:rPr>
                <w:rFonts w:ascii="Cambria Math" w:hAnsi="Cambria Math" w:cs="Cambria Math"/>
                <w:bCs/>
              </w:rPr>
            </w:pPr>
            <w:r w:rsidRPr="00E564DD">
              <w:rPr>
                <w:rFonts w:ascii="Cambria Math" w:hAnsi="Cambria Math" w:cs="Cambria Math"/>
                <w:bCs/>
                <w:color w:val="00B050"/>
              </w:rPr>
              <w:t>⨁⨁</w:t>
            </w:r>
            <w:r w:rsidRPr="006316DF">
              <w:rPr>
                <w:rFonts w:ascii="Cambria Math" w:hAnsi="Cambria Math" w:cs="Cambria Math"/>
                <w:color w:val="C00000"/>
              </w:rPr>
              <w:t>⨀</w:t>
            </w:r>
            <w:r w:rsidRPr="00E564DD">
              <w:rPr>
                <w:rFonts w:ascii="Cambria Math" w:hAnsi="Cambria Math" w:cs="Cambria Math"/>
                <w:bCs/>
                <w:color w:val="FF0000"/>
              </w:rPr>
              <w:t>⨀</w:t>
            </w:r>
          </w:p>
          <w:p w:rsidR="00B97B32" w:rsidRPr="006316DF" w:rsidRDefault="00B97B32" w:rsidP="00B97B32">
            <w:pPr>
              <w:pStyle w:val="Tabletext"/>
              <w:rPr>
                <w:rFonts w:cs="Arial"/>
              </w:rPr>
            </w:pPr>
            <w:r>
              <w:rPr>
                <w:rFonts w:cs="Arial"/>
              </w:rPr>
              <w:t>I</w:t>
            </w:r>
            <w:r w:rsidRPr="006316DF">
              <w:rPr>
                <w:rFonts w:cs="Arial"/>
              </w:rPr>
              <w:t>mportant</w:t>
            </w:r>
          </w:p>
        </w:tc>
      </w:tr>
      <w:tr w:rsidR="00B97B32" w:rsidRPr="006316DF" w:rsidTr="00805885">
        <w:tc>
          <w:tcPr>
            <w:tcW w:w="1560" w:type="dxa"/>
          </w:tcPr>
          <w:p w:rsidR="00B97B32" w:rsidRPr="006316DF" w:rsidRDefault="00B97B32" w:rsidP="00B97B32">
            <w:pPr>
              <w:pStyle w:val="Tabletext"/>
              <w:rPr>
                <w:rFonts w:cs="Arial"/>
              </w:rPr>
            </w:pPr>
            <w:r w:rsidRPr="006316DF">
              <w:rPr>
                <w:rFonts w:cs="Arial"/>
              </w:rPr>
              <w:lastRenderedPageBreak/>
              <w:t xml:space="preserve">Change in </w:t>
            </w:r>
            <w:r>
              <w:rPr>
                <w:rFonts w:cs="Arial"/>
              </w:rPr>
              <w:t>QoL from baseline</w:t>
            </w:r>
          </w:p>
        </w:tc>
        <w:tc>
          <w:tcPr>
            <w:tcW w:w="1275" w:type="dxa"/>
          </w:tcPr>
          <w:p w:rsidR="00B97B32" w:rsidRPr="006316DF" w:rsidRDefault="00B97B32" w:rsidP="00B97B32">
            <w:pPr>
              <w:pStyle w:val="Tabletext"/>
              <w:rPr>
                <w:rFonts w:cs="Arial"/>
              </w:rPr>
            </w:pPr>
            <w:r w:rsidRPr="006316DF">
              <w:rPr>
                <w:rFonts w:cs="Arial"/>
              </w:rPr>
              <w:t>N=4</w:t>
            </w:r>
            <w:r>
              <w:rPr>
                <w:rFonts w:cs="Arial"/>
              </w:rPr>
              <w:t>0</w:t>
            </w:r>
          </w:p>
          <w:p w:rsidR="00B97B32" w:rsidRPr="006316DF" w:rsidRDefault="00B97B32" w:rsidP="00B97B32">
            <w:pPr>
              <w:pStyle w:val="Tabletext"/>
              <w:rPr>
                <w:rFonts w:cs="Arial"/>
              </w:rPr>
            </w:pPr>
            <w:r w:rsidRPr="006316DF">
              <w:rPr>
                <w:rFonts w:cs="Arial"/>
              </w:rPr>
              <w:t>k=1 RCT</w:t>
            </w:r>
          </w:p>
        </w:tc>
        <w:tc>
          <w:tcPr>
            <w:tcW w:w="1701" w:type="dxa"/>
          </w:tcPr>
          <w:p w:rsidR="00B97B32" w:rsidRPr="006316DF" w:rsidRDefault="00B97B32" w:rsidP="00B97B32">
            <w:pPr>
              <w:pStyle w:val="Tabletext"/>
              <w:rPr>
                <w:rFonts w:cs="Arial"/>
              </w:rPr>
            </w:pPr>
            <w:r>
              <w:rPr>
                <w:rFonts w:cs="Arial"/>
              </w:rPr>
              <w:t>Risk of bias: −2</w:t>
            </w:r>
          </w:p>
          <w:p w:rsidR="00B97B32" w:rsidRPr="006316DF" w:rsidRDefault="00B97B32" w:rsidP="00B97B32">
            <w:pPr>
              <w:pStyle w:val="Tabletext"/>
              <w:rPr>
                <w:rFonts w:cs="Arial"/>
              </w:rPr>
            </w:pPr>
            <w:r w:rsidRPr="006316DF">
              <w:rPr>
                <w:rFonts w:cs="Arial"/>
              </w:rPr>
              <w:t>Inconsistency: 0</w:t>
            </w:r>
          </w:p>
          <w:p w:rsidR="00B97B32" w:rsidRPr="006316DF" w:rsidRDefault="00B97B32" w:rsidP="00B97B32">
            <w:pPr>
              <w:pStyle w:val="Tabletext"/>
              <w:rPr>
                <w:rFonts w:cs="Arial"/>
              </w:rPr>
            </w:pPr>
            <w:r w:rsidRPr="006316DF">
              <w:rPr>
                <w:rFonts w:cs="Arial"/>
              </w:rPr>
              <w:t>Indirectness: 0</w:t>
            </w:r>
          </w:p>
          <w:p w:rsidR="00B97B32" w:rsidRDefault="00B97B32" w:rsidP="00B97B32">
            <w:pPr>
              <w:pStyle w:val="Tabletext"/>
              <w:rPr>
                <w:rFonts w:cs="Arial"/>
              </w:rPr>
            </w:pPr>
            <w:r w:rsidRPr="006316DF">
              <w:rPr>
                <w:rFonts w:cs="Arial"/>
              </w:rPr>
              <w:t xml:space="preserve">Imprecision: </w:t>
            </w:r>
            <w:r>
              <w:rPr>
                <w:rFonts w:cs="Arial"/>
              </w:rPr>
              <w:t>−2</w:t>
            </w:r>
          </w:p>
          <w:p w:rsidR="00B97B32" w:rsidRDefault="00B97B32" w:rsidP="00B97B32">
            <w:pPr>
              <w:pStyle w:val="Tabletext"/>
              <w:rPr>
                <w:rFonts w:cs="Arial"/>
              </w:rPr>
            </w:pPr>
            <w:r w:rsidRPr="006316DF">
              <w:rPr>
                <w:rFonts w:cs="Arial"/>
              </w:rPr>
              <w:t>Publication bias: 0</w:t>
            </w:r>
          </w:p>
          <w:p w:rsidR="00B97B32" w:rsidRPr="006316DF" w:rsidRDefault="00B97B32" w:rsidP="00B97B32">
            <w:pPr>
              <w:pStyle w:val="Tabletext"/>
              <w:rPr>
                <w:rFonts w:cs="Arial"/>
              </w:rPr>
            </w:pPr>
            <w:r>
              <w:rPr>
                <w:rFonts w:cs="Arial"/>
              </w:rPr>
              <w:t>Association: +1</w:t>
            </w:r>
          </w:p>
        </w:tc>
        <w:tc>
          <w:tcPr>
            <w:tcW w:w="1418" w:type="dxa"/>
          </w:tcPr>
          <w:p w:rsidR="00B97B32" w:rsidRPr="0006289E" w:rsidRDefault="00B97B32" w:rsidP="00B97B32">
            <w:pPr>
              <w:pStyle w:val="Tabletext"/>
            </w:pPr>
            <w:r w:rsidRPr="0043303C">
              <w:t>EQ-</w:t>
            </w:r>
            <w:r>
              <w:t>VAS</w:t>
            </w:r>
            <w:r w:rsidRPr="0017449B">
              <w:rPr>
                <w:vertAlign w:val="superscript"/>
              </w:rPr>
              <w:t>b</w:t>
            </w:r>
            <w:r>
              <w:br/>
              <w:t>MD = 10 point improvement</w:t>
            </w:r>
          </w:p>
        </w:tc>
        <w:tc>
          <w:tcPr>
            <w:tcW w:w="2551" w:type="dxa"/>
          </w:tcPr>
          <w:p w:rsidR="00B97B32" w:rsidRPr="0006289E" w:rsidRDefault="00B97B32" w:rsidP="00B97B32">
            <w:pPr>
              <w:pStyle w:val="Tabletext"/>
              <w:rPr>
                <w:rFonts w:cs="Arial"/>
              </w:rPr>
            </w:pPr>
            <w:r>
              <w:rPr>
                <w:rFonts w:cs="Arial"/>
              </w:rPr>
              <w:t>P</w:t>
            </w:r>
            <w:r w:rsidRPr="0006289E">
              <w:rPr>
                <w:rFonts w:cs="Arial"/>
              </w:rPr>
              <w:t>atients on combination th</w:t>
            </w:r>
            <w:r>
              <w:rPr>
                <w:rFonts w:cs="Arial"/>
              </w:rPr>
              <w:t>e</w:t>
            </w:r>
            <w:r w:rsidRPr="0006289E">
              <w:rPr>
                <w:rFonts w:cs="Arial"/>
              </w:rPr>
              <w:t>rapy ha</w:t>
            </w:r>
            <w:r>
              <w:rPr>
                <w:rFonts w:cs="Arial"/>
              </w:rPr>
              <w:t>d</w:t>
            </w:r>
            <w:r w:rsidRPr="0006289E">
              <w:rPr>
                <w:rFonts w:cs="Arial"/>
              </w:rPr>
              <w:t xml:space="preserve"> a larger </w:t>
            </w:r>
            <w:r>
              <w:rPr>
                <w:rFonts w:cs="Arial"/>
              </w:rPr>
              <w:t xml:space="preserve">clinically important mean </w:t>
            </w:r>
            <w:r w:rsidRPr="0006289E">
              <w:rPr>
                <w:rFonts w:cs="Arial"/>
              </w:rPr>
              <w:t xml:space="preserve">improvement in their </w:t>
            </w:r>
            <w:r>
              <w:rPr>
                <w:rFonts w:cs="Arial"/>
              </w:rPr>
              <w:t>QoL</w:t>
            </w:r>
            <w:r w:rsidRPr="0006289E">
              <w:rPr>
                <w:rFonts w:cs="Arial"/>
              </w:rPr>
              <w:t xml:space="preserve"> than those on monotherapy</w:t>
            </w:r>
          </w:p>
        </w:tc>
        <w:tc>
          <w:tcPr>
            <w:tcW w:w="1134" w:type="dxa"/>
          </w:tcPr>
          <w:p w:rsidR="00B97B32" w:rsidRDefault="00B97B32" w:rsidP="00B97B32">
            <w:pPr>
              <w:pStyle w:val="Tabletext"/>
              <w:rPr>
                <w:bCs/>
              </w:rPr>
            </w:pPr>
            <w:r>
              <w:rPr>
                <w:bCs/>
              </w:rPr>
              <w:t>Very low</w:t>
            </w:r>
          </w:p>
          <w:p w:rsidR="00B97B32" w:rsidRDefault="00B97B32" w:rsidP="00B97B32">
            <w:pPr>
              <w:pStyle w:val="Tabletext"/>
              <w:rPr>
                <w:rFonts w:ascii="Cambria Math" w:hAnsi="Cambria Math" w:cs="Cambria Math"/>
                <w:bCs/>
              </w:rPr>
            </w:pPr>
            <w:r w:rsidRPr="00E564DD">
              <w:rPr>
                <w:rFonts w:ascii="Cambria Math" w:hAnsi="Cambria Math" w:cs="Cambria Math"/>
                <w:bCs/>
                <w:color w:val="00B050"/>
              </w:rPr>
              <w:t>⨁</w:t>
            </w:r>
            <w:r w:rsidRPr="00E564DD">
              <w:rPr>
                <w:rFonts w:ascii="Cambria Math" w:eastAsia="Times New Roman" w:hAnsi="Cambria Math" w:cs="Cambria Math"/>
                <w:bCs/>
                <w:color w:val="C00000"/>
              </w:rPr>
              <w:t>⨀</w:t>
            </w:r>
            <w:r w:rsidRPr="006316DF">
              <w:rPr>
                <w:rFonts w:ascii="Cambria Math" w:hAnsi="Cambria Math" w:cs="Cambria Math"/>
                <w:color w:val="C00000"/>
              </w:rPr>
              <w:t>⨀</w:t>
            </w:r>
            <w:r w:rsidRPr="00E564DD">
              <w:rPr>
                <w:rFonts w:ascii="Cambria Math" w:hAnsi="Cambria Math" w:cs="Cambria Math"/>
                <w:bCs/>
                <w:color w:val="FF0000"/>
              </w:rPr>
              <w:t>⨀</w:t>
            </w:r>
          </w:p>
          <w:p w:rsidR="00B97B32" w:rsidRPr="006316DF" w:rsidRDefault="00B97B32" w:rsidP="00B97B32">
            <w:pPr>
              <w:pStyle w:val="Tabletext"/>
              <w:rPr>
                <w:rFonts w:cs="Arial"/>
              </w:rPr>
            </w:pPr>
            <w:r>
              <w:rPr>
                <w:rFonts w:cs="Arial"/>
              </w:rPr>
              <w:t>I</w:t>
            </w:r>
            <w:r w:rsidRPr="006316DF">
              <w:rPr>
                <w:rFonts w:cs="Arial"/>
              </w:rPr>
              <w:t>mportant</w:t>
            </w:r>
          </w:p>
        </w:tc>
      </w:tr>
      <w:tr w:rsidR="00B97B32" w:rsidRPr="006316DF" w:rsidTr="007446CB">
        <w:trPr>
          <w:trHeight w:val="1298"/>
        </w:trPr>
        <w:tc>
          <w:tcPr>
            <w:tcW w:w="1560" w:type="dxa"/>
          </w:tcPr>
          <w:p w:rsidR="00B97B32" w:rsidRPr="006316DF" w:rsidRDefault="00B97B32" w:rsidP="00B97B32">
            <w:pPr>
              <w:pStyle w:val="Tabletext"/>
              <w:rPr>
                <w:rFonts w:cs="Arial"/>
              </w:rPr>
            </w:pPr>
            <w:r w:rsidRPr="006C4A08">
              <w:rPr>
                <w:rFonts w:cs="Arial"/>
              </w:rPr>
              <w:t>Change in haemodynamic parameters from baseline</w:t>
            </w:r>
          </w:p>
        </w:tc>
        <w:tc>
          <w:tcPr>
            <w:tcW w:w="1275" w:type="dxa"/>
          </w:tcPr>
          <w:p w:rsidR="00B97B32" w:rsidRPr="006316DF" w:rsidRDefault="00B97B32" w:rsidP="00B97B32">
            <w:pPr>
              <w:pStyle w:val="Tabletext"/>
              <w:rPr>
                <w:rFonts w:cs="Arial"/>
              </w:rPr>
            </w:pPr>
            <w:r>
              <w:rPr>
                <w:rFonts w:cs="Arial"/>
              </w:rPr>
              <w:t>N=65</w:t>
            </w:r>
          </w:p>
          <w:p w:rsidR="00B97B32" w:rsidRPr="006316DF" w:rsidRDefault="00B97B32" w:rsidP="00B97B32">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97B32" w:rsidRPr="006316DF" w:rsidRDefault="00B97B32" w:rsidP="00B97B32">
            <w:pPr>
              <w:pStyle w:val="Tabletext"/>
              <w:rPr>
                <w:rFonts w:cs="Arial"/>
              </w:rPr>
            </w:pPr>
            <w:r w:rsidRPr="006316DF">
              <w:rPr>
                <w:rFonts w:cs="Arial"/>
              </w:rPr>
              <w:t xml:space="preserve">Risk of bias: </w:t>
            </w:r>
            <w:r>
              <w:rPr>
                <w:rFonts w:cs="Arial"/>
              </w:rPr>
              <w:t>0</w:t>
            </w:r>
          </w:p>
          <w:p w:rsidR="00B97B32" w:rsidRPr="006316DF" w:rsidRDefault="00B97B32" w:rsidP="00B97B32">
            <w:pPr>
              <w:pStyle w:val="Tabletext"/>
              <w:rPr>
                <w:rFonts w:cs="Arial"/>
              </w:rPr>
            </w:pPr>
            <w:r w:rsidRPr="006316DF">
              <w:rPr>
                <w:rFonts w:cs="Arial"/>
              </w:rPr>
              <w:t>Inconsistency: 0</w:t>
            </w:r>
          </w:p>
          <w:p w:rsidR="00B97B32" w:rsidRPr="006316DF" w:rsidRDefault="00B97B32" w:rsidP="00B97B32">
            <w:pPr>
              <w:pStyle w:val="Tabletext"/>
              <w:rPr>
                <w:rFonts w:cs="Arial"/>
              </w:rPr>
            </w:pPr>
            <w:r w:rsidRPr="006316DF">
              <w:rPr>
                <w:rFonts w:cs="Arial"/>
              </w:rPr>
              <w:t xml:space="preserve">Indirectness: </w:t>
            </w:r>
            <w:r>
              <w:rPr>
                <w:rFonts w:cs="Arial"/>
              </w:rPr>
              <w:t>−2</w:t>
            </w:r>
          </w:p>
          <w:p w:rsidR="00B97B32" w:rsidRDefault="00B97B32" w:rsidP="00B97B32">
            <w:pPr>
              <w:pStyle w:val="Tabletext"/>
              <w:rPr>
                <w:rFonts w:cs="Arial"/>
              </w:rPr>
            </w:pPr>
            <w:r>
              <w:rPr>
                <w:rFonts w:cs="Arial"/>
              </w:rPr>
              <w:t>Imprecision: −1</w:t>
            </w:r>
          </w:p>
          <w:p w:rsidR="00B97B32" w:rsidRDefault="00B97B32" w:rsidP="00B97B32">
            <w:pPr>
              <w:pStyle w:val="Tabletext"/>
              <w:rPr>
                <w:rFonts w:cs="Arial"/>
              </w:rPr>
            </w:pPr>
            <w:r w:rsidRPr="006316DF">
              <w:rPr>
                <w:rFonts w:cs="Arial"/>
              </w:rPr>
              <w:t>Publication bias: 0</w:t>
            </w:r>
          </w:p>
          <w:p w:rsidR="00B97B32" w:rsidRPr="006316DF" w:rsidRDefault="00B97B32" w:rsidP="00B97B32">
            <w:pPr>
              <w:pStyle w:val="Tabletext"/>
              <w:rPr>
                <w:rFonts w:cs="Arial"/>
              </w:rPr>
            </w:pPr>
            <w:r>
              <w:rPr>
                <w:rFonts w:cs="Arial"/>
              </w:rPr>
              <w:t>Association: +1</w:t>
            </w:r>
          </w:p>
        </w:tc>
        <w:tc>
          <w:tcPr>
            <w:tcW w:w="1418" w:type="dxa"/>
          </w:tcPr>
          <w:p w:rsidR="00B97B32" w:rsidRDefault="00B97B32" w:rsidP="00B97B32">
            <w:pPr>
              <w:pStyle w:val="Tabletext"/>
            </w:pPr>
            <w:r>
              <w:t>PVR</w:t>
            </w:r>
            <w:r>
              <w:br/>
              <w:t>MD = 30.4% improvement</w:t>
            </w:r>
          </w:p>
          <w:p w:rsidR="00B97B32" w:rsidRPr="002812F2" w:rsidRDefault="00B97B32" w:rsidP="00B97B32">
            <w:pPr>
              <w:pStyle w:val="Tabletext"/>
            </w:pPr>
            <w:r>
              <w:t>mPAP</w:t>
            </w:r>
            <w:r>
              <w:br/>
              <w:t>MD = 15.6% improvement</w:t>
            </w:r>
          </w:p>
        </w:tc>
        <w:tc>
          <w:tcPr>
            <w:tcW w:w="2551" w:type="dxa"/>
          </w:tcPr>
          <w:p w:rsidR="00B97B32" w:rsidRPr="002812F2" w:rsidRDefault="00B97B32" w:rsidP="00B97B32">
            <w:pPr>
              <w:pStyle w:val="Tabletext"/>
              <w:rPr>
                <w:rFonts w:cs="Arial"/>
              </w:rPr>
            </w:pPr>
            <w:r>
              <w:rPr>
                <w:rFonts w:cs="Arial"/>
              </w:rPr>
              <w:t>Patients on combination therapy</w:t>
            </w:r>
            <w:r w:rsidRPr="00F032EC">
              <w:rPr>
                <w:rFonts w:cs="Arial"/>
              </w:rPr>
              <w:t xml:space="preserve"> ha</w:t>
            </w:r>
            <w:r>
              <w:rPr>
                <w:rFonts w:cs="Arial"/>
              </w:rPr>
              <w:t>d</w:t>
            </w:r>
            <w:r w:rsidRPr="00F032EC">
              <w:rPr>
                <w:rFonts w:cs="Arial"/>
              </w:rPr>
              <w:t xml:space="preserve"> a larger </w:t>
            </w:r>
            <w:r>
              <w:rPr>
                <w:rFonts w:cs="Arial"/>
              </w:rPr>
              <w:t xml:space="preserve">mean </w:t>
            </w:r>
            <w:r w:rsidRPr="00F032EC">
              <w:rPr>
                <w:rFonts w:cs="Arial"/>
              </w:rPr>
              <w:t xml:space="preserve">improvement in their </w:t>
            </w:r>
            <w:r>
              <w:rPr>
                <w:rFonts w:cs="Arial"/>
              </w:rPr>
              <w:t>haemodynamic parameters</w:t>
            </w:r>
            <w:r w:rsidRPr="00F032EC">
              <w:rPr>
                <w:rFonts w:cs="Arial"/>
              </w:rPr>
              <w:t xml:space="preserve"> than those on monotherapy</w:t>
            </w:r>
            <w:r>
              <w:rPr>
                <w:rFonts w:cs="Arial"/>
              </w:rPr>
              <w:t>. The differences were likely to be clinically important</w:t>
            </w:r>
          </w:p>
        </w:tc>
        <w:tc>
          <w:tcPr>
            <w:tcW w:w="1134" w:type="dxa"/>
          </w:tcPr>
          <w:p w:rsidR="00B97B32" w:rsidRPr="006316DF" w:rsidRDefault="00B97B32" w:rsidP="00B97B32">
            <w:pPr>
              <w:pStyle w:val="Tabletext"/>
              <w:rPr>
                <w:rFonts w:cs="Arial"/>
              </w:rPr>
            </w:pPr>
            <w:r>
              <w:rPr>
                <w:rFonts w:cs="Arial"/>
              </w:rPr>
              <w:t>Low</w:t>
            </w:r>
          </w:p>
          <w:p w:rsidR="00B97B32" w:rsidRPr="006316DF" w:rsidRDefault="00B97B32" w:rsidP="00B97B32">
            <w:pPr>
              <w:pStyle w:val="Tabletext"/>
              <w:rPr>
                <w:rFonts w:cs="Cambria Math"/>
                <w:bCs/>
              </w:rPr>
            </w:pPr>
            <w:r w:rsidRPr="006316DF">
              <w:rPr>
                <w:rFonts w:ascii="Cambria Math" w:hAnsi="Cambria Math" w:cs="Cambria Math"/>
                <w:bCs/>
                <w:color w:val="00B050"/>
              </w:rPr>
              <w:t>⨁⨁</w:t>
            </w:r>
            <w:r w:rsidRPr="00E564DD">
              <w:rPr>
                <w:rFonts w:ascii="Cambria Math" w:eastAsia="Times New Roman" w:hAnsi="Cambria Math" w:cs="Cambria Math"/>
                <w:bCs/>
                <w:color w:val="C00000"/>
              </w:rPr>
              <w:t>⨀</w:t>
            </w:r>
            <w:r w:rsidRPr="006316DF">
              <w:rPr>
                <w:rFonts w:ascii="Cambria Math" w:hAnsi="Cambria Math" w:cs="Cambria Math"/>
                <w:color w:val="C00000"/>
              </w:rPr>
              <w:t>⨀</w:t>
            </w:r>
          </w:p>
          <w:p w:rsidR="00B97B32" w:rsidRPr="006316DF" w:rsidRDefault="00B97B32" w:rsidP="00B97B32">
            <w:pPr>
              <w:pStyle w:val="Tabletext"/>
              <w:rPr>
                <w:rFonts w:cs="Arial"/>
              </w:rPr>
            </w:pPr>
            <w:r>
              <w:rPr>
                <w:rFonts w:cs="Arial"/>
              </w:rPr>
              <w:t>Not i</w:t>
            </w:r>
            <w:r w:rsidRPr="006316DF">
              <w:rPr>
                <w:rFonts w:cs="Arial"/>
              </w:rPr>
              <w:t>mportant</w:t>
            </w:r>
          </w:p>
        </w:tc>
      </w:tr>
    </w:tbl>
    <w:p w:rsidR="0075777C" w:rsidRPr="006316DF" w:rsidRDefault="0075777C" w:rsidP="00805885">
      <w:pPr>
        <w:pStyle w:val="Tablenote"/>
      </w:pPr>
      <w:r w:rsidRPr="006316DF">
        <w:rPr>
          <w:vertAlign w:val="superscript"/>
        </w:rPr>
        <w:t xml:space="preserve">a </w:t>
      </w:r>
      <w:r w:rsidRPr="006316DF">
        <w:t xml:space="preserve">GRADE Working Group grades of evidence </w:t>
      </w:r>
      <w:r w:rsidR="001D34EE" w:rsidRPr="001D34EE">
        <w:rPr>
          <w:noProof/>
          <w:vertAlign w:val="superscript"/>
        </w:rPr>
        <w:t>1</w:t>
      </w:r>
    </w:p>
    <w:p w:rsidR="0017449B" w:rsidRDefault="0017449B" w:rsidP="0017449B">
      <w:pPr>
        <w:pStyle w:val="Tablenote"/>
      </w:pPr>
      <w:r w:rsidRPr="0017449B">
        <w:rPr>
          <w:vertAlign w:val="superscript"/>
        </w:rPr>
        <w:t>b</w:t>
      </w:r>
      <w:r>
        <w:t xml:space="preserve"> </w:t>
      </w:r>
      <w:r w:rsidRPr="000054CF">
        <w:t xml:space="preserve">EQ-VAS scores range from 0 to 100. A higher score represents better </w:t>
      </w:r>
      <w:r>
        <w:t>QoL</w:t>
      </w:r>
      <w:r w:rsidRPr="000054CF">
        <w:t xml:space="preserve">. </w:t>
      </w:r>
    </w:p>
    <w:p w:rsidR="0075777C" w:rsidRPr="006316DF" w:rsidRDefault="0075777C" w:rsidP="00805885">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Moderate quality:</w:t>
      </w:r>
      <w:r w:rsidRPr="006316DF">
        <w:t xml:space="preserve"> We are moderately confident in the effect estimate: The true effect is likely to be close to the estimate of the effect, but there is a possibility that it is substantially different</w:t>
      </w:r>
    </w:p>
    <w:p w:rsidR="0075777C" w:rsidRPr="006316DF" w:rsidRDefault="0075777C" w:rsidP="00805885">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B97B32" w:rsidRPr="00E564DD" w:rsidRDefault="00B97B32" w:rsidP="00B97B32">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Very low quality:</w:t>
      </w:r>
      <w:r w:rsidRPr="00E564DD">
        <w:t xml:space="preserve"> We have very little confidence in the effect estimate: The true effect is likely to be substantially different from the estimate of effect</w:t>
      </w:r>
    </w:p>
    <w:p w:rsidR="007446CB" w:rsidRDefault="0075777C" w:rsidP="00805885">
      <w:pPr>
        <w:pStyle w:val="Tablenote"/>
      </w:pPr>
      <w:r>
        <w:t xml:space="preserve">6MWD = 6-minute </w:t>
      </w:r>
      <w:r w:rsidR="0082368E">
        <w:t>walk distance</w:t>
      </w:r>
      <w:r w:rsidR="00B21201">
        <w:t>; ARD</w:t>
      </w:r>
      <w:r>
        <w:t xml:space="preserve"> = absolute risk </w:t>
      </w:r>
      <w:r w:rsidR="00B21201">
        <w:t>difference</w:t>
      </w:r>
      <w:r>
        <w:t xml:space="preserve">; CI = confidence interval; </w:t>
      </w:r>
      <w:r w:rsidR="00107963" w:rsidRPr="00107963">
        <w:t>EQ-VAS = EuroQoL visual analogue scale</w:t>
      </w:r>
      <w:r w:rsidR="00107963">
        <w:t xml:space="preserve">; </w:t>
      </w:r>
      <w:r>
        <w:t>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7446CB" w:rsidRPr="00F24B06">
        <w:t xml:space="preserve">; k = number of studies; </w:t>
      </w:r>
      <w:r>
        <w:t>MD = mean difference</w:t>
      </w:r>
      <w:r w:rsidR="00214AC1">
        <w:t>; mPAP = mean pulmonary artery</w:t>
      </w:r>
      <w:r>
        <w:t xml:space="preserve"> pressure; N = number of patients; </w:t>
      </w:r>
      <w:r w:rsidRPr="00C65B42">
        <w:t xml:space="preserve">PAH = pulmonary arterial hypertension; </w:t>
      </w:r>
      <w:r w:rsidRPr="009123E2">
        <w:t>PVR</w:t>
      </w:r>
      <w:r>
        <w:t xml:space="preserve"> = p</w:t>
      </w:r>
      <w:r w:rsidRPr="009123E2">
        <w:t xml:space="preserve">ulmonary </w:t>
      </w:r>
      <w:r>
        <w:t>v</w:t>
      </w:r>
      <w:r w:rsidRPr="009123E2">
        <w:t xml:space="preserve">ascular </w:t>
      </w:r>
      <w:r>
        <w:t>r</w:t>
      </w:r>
      <w:r w:rsidRPr="009123E2">
        <w:t>esistance</w:t>
      </w:r>
      <w:r>
        <w:t>; QoL = quality of life; RCT = randomised controlled trial; RR = relative risk; WHO = World Health Organization</w:t>
      </w:r>
    </w:p>
    <w:p w:rsidR="0075777C" w:rsidRPr="006316DF" w:rsidRDefault="0075777C" w:rsidP="0075777C">
      <w:pPr>
        <w:pStyle w:val="Heading5"/>
      </w:pPr>
      <w:r w:rsidRPr="006316DF">
        <w:t>Safety</w:t>
      </w:r>
    </w:p>
    <w:p w:rsidR="0075777C" w:rsidRDefault="0075777C" w:rsidP="003F6AC4">
      <w:pPr>
        <w:spacing w:before="0" w:line="240" w:lineRule="auto"/>
      </w:pPr>
      <w:r w:rsidRPr="006316DF">
        <w:t xml:space="preserve">The </w:t>
      </w:r>
      <w:r>
        <w:t xml:space="preserve">detailed </w:t>
      </w:r>
      <w:r w:rsidRPr="006316DF">
        <w:t>GRADE</w:t>
      </w:r>
      <w:r w:rsidR="001D34EE" w:rsidRPr="001D34EE">
        <w:rPr>
          <w:noProof/>
          <w:vertAlign w:val="superscript"/>
        </w:rPr>
        <w:t>1</w:t>
      </w:r>
      <w:r w:rsidRPr="006316DF">
        <w:t xml:space="preserve"> assessments of </w:t>
      </w:r>
      <w:r>
        <w:t>safety</w:t>
      </w:r>
      <w:r w:rsidRPr="006316DF">
        <w:t xml:space="preserve"> outco</w:t>
      </w:r>
      <w:r>
        <w:t>mes when comparing a</w:t>
      </w:r>
      <w:r w:rsidRPr="006316DF">
        <w:t xml:space="preserve"> </w:t>
      </w:r>
      <w:r w:rsidR="00920393">
        <w:t>prostanoid</w:t>
      </w:r>
      <w:r w:rsidRPr="006316DF">
        <w:t xml:space="preserve"> </w:t>
      </w:r>
      <w:r w:rsidRPr="00BB3BB5">
        <w:t>in addition to</w:t>
      </w:r>
      <w:r w:rsidRPr="00AD232F">
        <w:t xml:space="preserve"> </w:t>
      </w:r>
      <w:r w:rsidRPr="006316DF">
        <w:t>ERA</w:t>
      </w:r>
      <w:r w:rsidRPr="00BB3BB5">
        <w:t xml:space="preserve">, relative to </w:t>
      </w:r>
      <w:r>
        <w:t>ERA</w:t>
      </w:r>
      <w:r w:rsidRPr="00BB3BB5">
        <w:t xml:space="preserve"> monotherapy </w:t>
      </w:r>
      <w:r>
        <w:t xml:space="preserve">in patients with WHO FC III/IV PAH </w:t>
      </w:r>
      <w:r w:rsidRPr="006316DF">
        <w:t>are reported in</w:t>
      </w:r>
      <w:r>
        <w:t xml:space="preserve"> </w:t>
      </w:r>
      <w:r w:rsidR="00AA722D">
        <w:t>Table 4.</w:t>
      </w:r>
      <w:r w:rsidR="00AA722D">
        <w:rPr>
          <w:noProof/>
        </w:rPr>
        <w:t>164</w:t>
      </w:r>
      <w:r>
        <w:t xml:space="preserve"> i</w:t>
      </w:r>
      <w:r w:rsidRPr="006316DF">
        <w:t xml:space="preserve">n Appendix </w:t>
      </w:r>
      <w:r w:rsidR="00DA2636">
        <w:t>4</w:t>
      </w:r>
      <w:r w:rsidR="001B552D">
        <w:t>C</w:t>
      </w:r>
      <w:r>
        <w:t xml:space="preserve">. </w:t>
      </w:r>
      <w:r w:rsidRPr="006316DF">
        <w:t xml:space="preserve">The evidence for the </w:t>
      </w:r>
      <w:r>
        <w:t xml:space="preserve">safety </w:t>
      </w:r>
      <w:r w:rsidRPr="006316DF">
        <w:t xml:space="preserve">outcomes </w:t>
      </w:r>
      <w:r>
        <w:t xml:space="preserve">for all PAH patients is summarised </w:t>
      </w:r>
      <w:r w:rsidRPr="006316DF">
        <w:t>in</w:t>
      </w:r>
      <w:r>
        <w:t xml:space="preserve"> </w:t>
      </w:r>
      <w:r w:rsidR="003F6AC4">
        <w:t>Table 4.138</w:t>
      </w:r>
      <w:r>
        <w:t xml:space="preserve">. </w:t>
      </w:r>
      <w:r w:rsidR="00E20AB7">
        <w:t>There were no new safety signal identified by any of the included trials</w:t>
      </w:r>
      <w:r>
        <w:t>.</w:t>
      </w:r>
    </w:p>
    <w:p w:rsidR="0075777C" w:rsidRDefault="0075777C" w:rsidP="0075777C">
      <w:r>
        <w:t xml:space="preserve">Two outcomes were of </w:t>
      </w:r>
      <w:r w:rsidR="0055519E">
        <w:t xml:space="preserve">very </w:t>
      </w:r>
      <w:r>
        <w:t xml:space="preserve">low quality </w:t>
      </w:r>
      <w:r w:rsidRPr="006316DF">
        <w:t xml:space="preserve">(GRADE </w:t>
      </w:r>
      <w:r w:rsidRPr="00920393">
        <w:rPr>
          <w:rFonts w:ascii="Cambria Math" w:eastAsia="Times New Roman" w:hAnsi="Cambria Math" w:cs="Tahoma"/>
          <w:bCs/>
          <w:color w:val="00B050"/>
        </w:rPr>
        <w:t>⨁</w:t>
      </w:r>
      <w:r w:rsidR="0055519E" w:rsidRPr="00920393">
        <w:rPr>
          <w:rFonts w:ascii="Cambria Math" w:eastAsia="Times New Roman" w:hAnsi="Cambria Math" w:cs="Cambria Math"/>
          <w:bCs/>
          <w:color w:val="C00000"/>
        </w:rPr>
        <w:t>⨀</w:t>
      </w:r>
      <w:r w:rsidRPr="00920393">
        <w:rPr>
          <w:rFonts w:ascii="Cambria Math" w:eastAsia="Times New Roman" w:hAnsi="Cambria Math" w:cs="Cambria Math"/>
          <w:bCs/>
          <w:color w:val="C00000"/>
        </w:rPr>
        <w:t>⨀⨀</w:t>
      </w:r>
      <w:r w:rsidRPr="00920393">
        <w:t xml:space="preserve">) and one outcome was of </w:t>
      </w:r>
      <w:r w:rsidR="0055519E">
        <w:t>low</w:t>
      </w:r>
      <w:r w:rsidRPr="00920393">
        <w:t xml:space="preserve"> quality</w:t>
      </w:r>
      <w:r>
        <w:rPr>
          <w:rFonts w:eastAsia="Times New Roman" w:cs="Cambria Math"/>
          <w:bCs/>
        </w:rPr>
        <w:t xml:space="preserve"> </w:t>
      </w:r>
      <w:r w:rsidRPr="006316DF">
        <w:t xml:space="preserve">(GRADE </w:t>
      </w:r>
      <w:r w:rsidRPr="00920393">
        <w:rPr>
          <w:rFonts w:ascii="Cambria Math" w:eastAsia="Times New Roman" w:hAnsi="Cambria Math" w:cs="Tahoma"/>
          <w:bCs/>
          <w:color w:val="00B050"/>
        </w:rPr>
        <w:t>⨁⨁</w:t>
      </w:r>
      <w:r w:rsidR="0055519E" w:rsidRPr="00920393">
        <w:rPr>
          <w:rFonts w:ascii="Cambria Math" w:eastAsia="Times New Roman" w:hAnsi="Cambria Math" w:cs="Cambria Math"/>
          <w:bCs/>
          <w:color w:val="C00000"/>
        </w:rPr>
        <w:t>⨀</w:t>
      </w:r>
      <w:r w:rsidRPr="00920393">
        <w:rPr>
          <w:rFonts w:ascii="Cambria Math" w:eastAsia="Times New Roman" w:hAnsi="Cambria Math" w:cs="Cambria Math"/>
          <w:bCs/>
          <w:color w:val="C00000"/>
        </w:rPr>
        <w:t>⨀</w:t>
      </w:r>
      <w:r w:rsidRPr="00920393">
        <w:t>).</w:t>
      </w:r>
      <w:r w:rsidR="00920393">
        <w:t xml:space="preserve"> </w:t>
      </w:r>
      <w:r w:rsidRPr="00920393">
        <w:t xml:space="preserve">Patients on combination therapy were more likely to have an AE </w:t>
      </w:r>
      <w:r w:rsidR="0055519E" w:rsidRPr="00920393">
        <w:t xml:space="preserve">and less likely to have a serious AE compared with those on monotherapy, but the wide </w:t>
      </w:r>
      <w:r w:rsidR="0055519E">
        <w:t>95% CI indicates</w:t>
      </w:r>
      <w:r w:rsidR="0055519E" w:rsidRPr="00920393">
        <w:t xml:space="preserve"> that there could also be the</w:t>
      </w:r>
      <w:r w:rsidR="0055519E" w:rsidRPr="00621F68">
        <w:t xml:space="preserve"> opposite effect</w:t>
      </w:r>
      <w:r w:rsidR="0055519E" w:rsidRPr="006316DF">
        <w:rPr>
          <w:rFonts w:eastAsia="Times New Roman" w:cs="Cambria Math"/>
          <w:bCs/>
        </w:rPr>
        <w:t>.</w:t>
      </w:r>
      <w:r w:rsidR="0055519E">
        <w:rPr>
          <w:rFonts w:eastAsia="Times New Roman" w:cs="Cambria Math"/>
          <w:bCs/>
        </w:rPr>
        <w:t xml:space="preserve"> </w:t>
      </w:r>
      <w:r>
        <w:t>There wa</w:t>
      </w:r>
      <w:r w:rsidRPr="004F7ADF">
        <w:t xml:space="preserve">s </w:t>
      </w:r>
      <w:r>
        <w:t>little</w:t>
      </w:r>
      <w:r w:rsidRPr="004F7ADF">
        <w:t xml:space="preserve"> evidence to </w:t>
      </w:r>
      <w:r>
        <w:t>determine</w:t>
      </w:r>
      <w:r w:rsidRPr="004F7ADF">
        <w:t xml:space="preserve"> </w:t>
      </w:r>
      <w:r>
        <w:t>whether</w:t>
      </w:r>
      <w:r w:rsidRPr="004F7ADF">
        <w:t xml:space="preserve"> more patients with combination therapy compared with monotherapy</w:t>
      </w:r>
      <w:r>
        <w:t xml:space="preserve"> as only one patient (in the combination therapy group) discontinued treatment due to an AE.</w:t>
      </w:r>
    </w:p>
    <w:p w:rsidR="0075777C" w:rsidRDefault="0075777C" w:rsidP="0075777C">
      <w:r w:rsidRPr="006316DF">
        <w:t>Th</w:t>
      </w:r>
      <w:r>
        <w:t xml:space="preserve">us, </w:t>
      </w:r>
      <w:r w:rsidR="004F2B0B" w:rsidRPr="004F2B0B">
        <w:t xml:space="preserve">there is considerable uncertainty as to whether the </w:t>
      </w:r>
      <w:r w:rsidRPr="006316DF">
        <w:t xml:space="preserve">use of a </w:t>
      </w:r>
      <w:r w:rsidR="00920393">
        <w:t>prostanoid</w:t>
      </w:r>
      <w:r w:rsidRPr="00621F68">
        <w:t xml:space="preserve"> in addition to ERA </w:t>
      </w:r>
      <w:r w:rsidR="004F2B0B" w:rsidRPr="006316DF">
        <w:t xml:space="preserve">is likely to be </w:t>
      </w:r>
      <w:r w:rsidR="004F2B0B">
        <w:t>as safe</w:t>
      </w:r>
      <w:r w:rsidR="004F2B0B" w:rsidRPr="006316DF">
        <w:t xml:space="preserve"> </w:t>
      </w:r>
      <w:r w:rsidR="004F2B0B">
        <w:t>as</w:t>
      </w:r>
      <w:r w:rsidRPr="00621F68">
        <w:t xml:space="preserve"> ERA monotherapy </w:t>
      </w:r>
      <w:r w:rsidR="004F2B0B">
        <w:t>in</w:t>
      </w:r>
      <w:r w:rsidRPr="006316DF">
        <w:t xml:space="preserve"> </w:t>
      </w:r>
      <w:r>
        <w:t xml:space="preserve">patients </w:t>
      </w:r>
      <w:r w:rsidRPr="00C754B8">
        <w:t>with WHO FC III/IV PAH</w:t>
      </w:r>
      <w:r w:rsidRPr="006316DF">
        <w:t xml:space="preserve">. </w:t>
      </w:r>
    </w:p>
    <w:p w:rsidR="005E60A7" w:rsidRDefault="005E60A7">
      <w:pPr>
        <w:spacing w:before="0" w:line="240" w:lineRule="auto"/>
        <w:rPr>
          <w:rFonts w:ascii="Arial" w:hAnsi="Arial"/>
          <w:b/>
          <w:iCs/>
          <w:sz w:val="20"/>
          <w:szCs w:val="18"/>
        </w:rPr>
      </w:pPr>
      <w:bookmarkStart w:id="379" w:name="_Ref505863106"/>
      <w:r>
        <w:br w:type="page"/>
      </w:r>
    </w:p>
    <w:p w:rsidR="0075777C" w:rsidRPr="006316DF" w:rsidRDefault="00272F8F" w:rsidP="00BC5A2B">
      <w:pPr>
        <w:pStyle w:val="Caption"/>
      </w:pPr>
      <w:bookmarkStart w:id="380" w:name="_Toc512855542"/>
      <w:r>
        <w:lastRenderedPageBreak/>
        <w:t>Table 4.</w:t>
      </w:r>
      <w:r w:rsidR="00AA722D">
        <w:rPr>
          <w:noProof/>
        </w:rPr>
        <w:t>138</w:t>
      </w:r>
      <w:bookmarkEnd w:id="379"/>
      <w:r w:rsidR="008727D6">
        <w:tab/>
      </w:r>
      <w:r w:rsidR="0075777C" w:rsidRPr="006316DF">
        <w:t xml:space="preserve">Balance of clinical harms of </w:t>
      </w:r>
      <w:r w:rsidR="001B552D">
        <w:t xml:space="preserve">a </w:t>
      </w:r>
      <w:r w:rsidR="00920393" w:rsidRPr="0006289E">
        <w:t>prostanoid</w:t>
      </w:r>
      <w:r w:rsidR="0075777C" w:rsidRPr="0006289E">
        <w:t xml:space="preserve"> in addition to </w:t>
      </w:r>
      <w:r w:rsidR="001B552D">
        <w:t xml:space="preserve">an </w:t>
      </w:r>
      <w:r w:rsidR="0075777C" w:rsidRPr="0006289E">
        <w:t>ERA, relative to ERA monotherapy in patients with WHO FC III/IV PAH</w:t>
      </w:r>
      <w:bookmarkEnd w:id="380"/>
    </w:p>
    <w:tbl>
      <w:tblPr>
        <w:tblStyle w:val="TableGrid"/>
        <w:tblW w:w="9639" w:type="dxa"/>
        <w:tblLayout w:type="fixed"/>
        <w:tblLook w:val="04A0" w:firstRow="1" w:lastRow="0" w:firstColumn="1" w:lastColumn="0" w:noHBand="0" w:noVBand="1"/>
        <w:tblCaption w:val="Balance of clinical harms of a prostanoid in addition to an ERA, relative to ERA monotherapy in patients with WHO FC III/IV PAH"/>
      </w:tblPr>
      <w:tblGrid>
        <w:gridCol w:w="1560"/>
        <w:gridCol w:w="1275"/>
        <w:gridCol w:w="1701"/>
        <w:gridCol w:w="1418"/>
        <w:gridCol w:w="2551"/>
        <w:gridCol w:w="1134"/>
      </w:tblGrid>
      <w:tr w:rsidR="0075777C" w:rsidRPr="00805885" w:rsidTr="00805885">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805885" w:rsidRDefault="0075777C" w:rsidP="00805885">
            <w:pPr>
              <w:pStyle w:val="Tabletext"/>
              <w:rPr>
                <w:b/>
                <w:noProof/>
              </w:rPr>
            </w:pPr>
            <w:r w:rsidRPr="00805885">
              <w:rPr>
                <w:b/>
                <w:noProof/>
              </w:rPr>
              <w:t xml:space="preserve">Outcomes </w:t>
            </w:r>
          </w:p>
        </w:tc>
        <w:tc>
          <w:tcPr>
            <w:tcW w:w="1275" w:type="dxa"/>
          </w:tcPr>
          <w:p w:rsidR="0075777C" w:rsidRPr="00805885" w:rsidRDefault="0075777C" w:rsidP="00805885">
            <w:pPr>
              <w:pStyle w:val="Tabletext"/>
              <w:rPr>
                <w:b/>
                <w:noProof/>
              </w:rPr>
            </w:pPr>
            <w:r w:rsidRPr="00805885">
              <w:rPr>
                <w:b/>
                <w:noProof/>
              </w:rPr>
              <w:t>Participants (studies)</w:t>
            </w:r>
          </w:p>
        </w:tc>
        <w:tc>
          <w:tcPr>
            <w:tcW w:w="1701" w:type="dxa"/>
          </w:tcPr>
          <w:p w:rsidR="0075777C" w:rsidRPr="00805885" w:rsidRDefault="0075777C" w:rsidP="00805885">
            <w:pPr>
              <w:pStyle w:val="Tabletext"/>
              <w:rPr>
                <w:b/>
                <w:noProof/>
              </w:rPr>
            </w:pPr>
            <w:r w:rsidRPr="00805885">
              <w:rPr>
                <w:b/>
                <w:noProof/>
              </w:rPr>
              <w:t>Quality of evidence</w:t>
            </w:r>
          </w:p>
        </w:tc>
        <w:tc>
          <w:tcPr>
            <w:tcW w:w="1418" w:type="dxa"/>
          </w:tcPr>
          <w:p w:rsidR="0075777C" w:rsidRPr="00805885" w:rsidRDefault="0075777C" w:rsidP="00805885">
            <w:pPr>
              <w:pStyle w:val="Tabletext"/>
              <w:rPr>
                <w:b/>
                <w:noProof/>
              </w:rPr>
            </w:pPr>
            <w:r w:rsidRPr="00805885">
              <w:rPr>
                <w:b/>
                <w:noProof/>
              </w:rPr>
              <w:t>Results</w:t>
            </w:r>
          </w:p>
        </w:tc>
        <w:tc>
          <w:tcPr>
            <w:tcW w:w="2551" w:type="dxa"/>
          </w:tcPr>
          <w:p w:rsidR="0075777C" w:rsidRPr="00805885" w:rsidRDefault="0075777C" w:rsidP="00805885">
            <w:pPr>
              <w:pStyle w:val="Tabletext"/>
              <w:rPr>
                <w:b/>
                <w:noProof/>
              </w:rPr>
            </w:pPr>
            <w:r w:rsidRPr="00805885">
              <w:rPr>
                <w:b/>
                <w:noProof/>
              </w:rPr>
              <w:t>Interpretation</w:t>
            </w:r>
          </w:p>
        </w:tc>
        <w:tc>
          <w:tcPr>
            <w:tcW w:w="1134" w:type="dxa"/>
          </w:tcPr>
          <w:p w:rsidR="0075777C" w:rsidRPr="00805885" w:rsidRDefault="0075777C" w:rsidP="00805885">
            <w:pPr>
              <w:pStyle w:val="Tabletext"/>
              <w:rPr>
                <w:b/>
                <w:noProof/>
              </w:rPr>
            </w:pPr>
            <w:r w:rsidRPr="00805885">
              <w:rPr>
                <w:b/>
                <w:noProof/>
              </w:rPr>
              <w:t>GRADE</w:t>
            </w:r>
            <w:r w:rsidR="007446CB" w:rsidRPr="007446CB">
              <w:rPr>
                <w:b/>
                <w:noProof/>
                <w:vertAlign w:val="superscript"/>
              </w:rPr>
              <w:t>a</w:t>
            </w:r>
          </w:p>
          <w:p w:rsidR="0075777C" w:rsidRPr="00805885" w:rsidRDefault="0075777C" w:rsidP="00805885">
            <w:pPr>
              <w:pStyle w:val="Tabletext"/>
              <w:rPr>
                <w:b/>
                <w:noProof/>
              </w:rPr>
            </w:pPr>
            <w:r w:rsidRPr="00805885">
              <w:rPr>
                <w:b/>
                <w:noProof/>
              </w:rPr>
              <w:t>Importance</w:t>
            </w:r>
          </w:p>
        </w:tc>
      </w:tr>
      <w:tr w:rsidR="0075777C" w:rsidRPr="006316DF" w:rsidTr="00805885">
        <w:tc>
          <w:tcPr>
            <w:tcW w:w="1560" w:type="dxa"/>
          </w:tcPr>
          <w:p w:rsidR="0075777C" w:rsidRPr="006316DF" w:rsidRDefault="0075777C" w:rsidP="00805885">
            <w:pPr>
              <w:pStyle w:val="Tabletext"/>
              <w:rPr>
                <w:rFonts w:cs="Arial"/>
              </w:rPr>
            </w:pPr>
            <w:r>
              <w:rPr>
                <w:rFonts w:cs="Arial"/>
              </w:rPr>
              <w:t>Any AE</w:t>
            </w:r>
            <w:r w:rsidRPr="006316DF">
              <w:rPr>
                <w:rFonts w:cs="Arial"/>
              </w:rPr>
              <w:t xml:space="preserve"> </w:t>
            </w:r>
          </w:p>
        </w:tc>
        <w:tc>
          <w:tcPr>
            <w:tcW w:w="1275" w:type="dxa"/>
          </w:tcPr>
          <w:p w:rsidR="0075777C" w:rsidRPr="006316DF" w:rsidRDefault="0075777C" w:rsidP="00805885">
            <w:pPr>
              <w:pStyle w:val="Tabletext"/>
              <w:rPr>
                <w:rFonts w:cs="Arial"/>
              </w:rPr>
            </w:pPr>
            <w:r>
              <w:rPr>
                <w:rFonts w:cs="Arial"/>
              </w:rPr>
              <w:t>N=107</w:t>
            </w:r>
          </w:p>
          <w:p w:rsidR="0075777C" w:rsidRPr="006316DF" w:rsidRDefault="0075777C" w:rsidP="00805885">
            <w:pPr>
              <w:pStyle w:val="Tabletext"/>
              <w:rPr>
                <w:rFonts w:cs="Arial"/>
              </w:rPr>
            </w:pPr>
            <w:r w:rsidRPr="006316DF">
              <w:rPr>
                <w:rFonts w:cs="Arial"/>
              </w:rPr>
              <w:t>k=</w:t>
            </w:r>
            <w:r>
              <w:rPr>
                <w:rFonts w:cs="Arial"/>
              </w:rPr>
              <w:t>2</w:t>
            </w:r>
            <w:r w:rsidRPr="006316DF">
              <w:rPr>
                <w:rFonts w:cs="Arial"/>
              </w:rPr>
              <w:t xml:space="preserve"> RCT</w:t>
            </w:r>
            <w:r>
              <w:rPr>
                <w:rFonts w:cs="Arial"/>
              </w:rPr>
              <w:t>s</w:t>
            </w:r>
          </w:p>
        </w:tc>
        <w:tc>
          <w:tcPr>
            <w:tcW w:w="1701" w:type="dxa"/>
          </w:tcPr>
          <w:p w:rsidR="0075777C" w:rsidRPr="006316DF" w:rsidRDefault="0075777C" w:rsidP="00805885">
            <w:pPr>
              <w:pStyle w:val="Tabletext"/>
              <w:rPr>
                <w:rFonts w:cs="Arial"/>
              </w:rPr>
            </w:pPr>
            <w:r>
              <w:rPr>
                <w:rFonts w:cs="Arial"/>
              </w:rPr>
              <w:t>Risk of bias: −1</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F95747" w:rsidP="00805885">
            <w:pPr>
              <w:pStyle w:val="Tabletext"/>
              <w:rPr>
                <w:rFonts w:cs="Arial"/>
              </w:rPr>
            </w:pPr>
            <w:r>
              <w:rPr>
                <w:rFonts w:cs="Arial"/>
              </w:rPr>
              <w:t>Imprecision: −2</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0</w:t>
            </w:r>
          </w:p>
        </w:tc>
        <w:tc>
          <w:tcPr>
            <w:tcW w:w="1418" w:type="dxa"/>
          </w:tcPr>
          <w:p w:rsidR="0075777C" w:rsidRPr="000E45D6" w:rsidRDefault="0075777C" w:rsidP="00805885">
            <w:pPr>
              <w:pStyle w:val="Tabletext"/>
              <w:rPr>
                <w:rFonts w:cs="Arial"/>
              </w:rPr>
            </w:pPr>
            <w:r>
              <w:t xml:space="preserve">Pooled </w:t>
            </w:r>
            <w:r w:rsidRPr="0043303C">
              <w:t xml:space="preserve">RR </w:t>
            </w:r>
            <w:r>
              <w:t xml:space="preserve">= </w:t>
            </w:r>
            <w:r w:rsidRPr="0043303C">
              <w:t>2.40</w:t>
            </w:r>
            <w:r>
              <w:t xml:space="preserve"> </w:t>
            </w:r>
            <w:r w:rsidRPr="0043303C">
              <w:t>(</w:t>
            </w:r>
            <w:r>
              <w:t xml:space="preserve">95% CI </w:t>
            </w:r>
            <w:r w:rsidRPr="0043303C">
              <w:t>0.15</w:t>
            </w:r>
            <w:r>
              <w:t>,</w:t>
            </w:r>
            <w:r w:rsidRPr="0043303C">
              <w:t xml:space="preserve"> </w:t>
            </w:r>
            <w:r>
              <w:t>37.41)</w:t>
            </w:r>
          </w:p>
        </w:tc>
        <w:tc>
          <w:tcPr>
            <w:tcW w:w="2551" w:type="dxa"/>
          </w:tcPr>
          <w:p w:rsidR="0075777C" w:rsidRPr="000E45D6" w:rsidRDefault="0075777C" w:rsidP="00805885">
            <w:pPr>
              <w:pStyle w:val="Tabletext"/>
              <w:rPr>
                <w:rFonts w:cs="Arial"/>
              </w:rPr>
            </w:pPr>
            <w:r>
              <w:rPr>
                <w:rFonts w:cs="Arial"/>
              </w:rPr>
              <w:t>More</w:t>
            </w:r>
            <w:r w:rsidRPr="000E45D6">
              <w:rPr>
                <w:rFonts w:cs="Arial"/>
              </w:rPr>
              <w:t xml:space="preserve"> patients </w:t>
            </w:r>
            <w:r>
              <w:rPr>
                <w:rFonts w:cs="Arial"/>
              </w:rPr>
              <w:t xml:space="preserve">experienced an AE </w:t>
            </w:r>
            <w:r w:rsidRPr="000E45D6">
              <w:rPr>
                <w:rFonts w:cs="Arial"/>
              </w:rPr>
              <w:t xml:space="preserve">with combination therapy compared with </w:t>
            </w:r>
            <w:r>
              <w:rPr>
                <w:rFonts w:cs="Arial"/>
              </w:rPr>
              <w:t xml:space="preserve">monotherapy, </w:t>
            </w:r>
            <w:r w:rsidRPr="00424867">
              <w:rPr>
                <w:rFonts w:cs="Arial"/>
              </w:rPr>
              <w:t xml:space="preserve">but the </w:t>
            </w:r>
            <w:r w:rsidR="00D84687">
              <w:rPr>
                <w:rFonts w:cs="Arial"/>
              </w:rPr>
              <w:t>95% CI indicates</w:t>
            </w:r>
            <w:r w:rsidRPr="00424867">
              <w:rPr>
                <w:rFonts w:cs="Arial"/>
              </w:rPr>
              <w:t xml:space="preserve"> that there could also be </w:t>
            </w:r>
            <w:r>
              <w:rPr>
                <w:rFonts w:cs="Arial"/>
              </w:rPr>
              <w:t>the opposite</w:t>
            </w:r>
            <w:r w:rsidRPr="00424867">
              <w:rPr>
                <w:rFonts w:cs="Arial"/>
              </w:rPr>
              <w:t xml:space="preserve"> effect</w:t>
            </w:r>
            <w:r>
              <w:rPr>
                <w:rFonts w:cs="Arial"/>
              </w:rPr>
              <w:t>.</w:t>
            </w:r>
          </w:p>
        </w:tc>
        <w:tc>
          <w:tcPr>
            <w:tcW w:w="1134" w:type="dxa"/>
          </w:tcPr>
          <w:p w:rsidR="0075777C" w:rsidRDefault="00F95747" w:rsidP="00805885">
            <w:pPr>
              <w:pStyle w:val="Tabletext"/>
              <w:rPr>
                <w:bCs/>
              </w:rPr>
            </w:pPr>
            <w:r>
              <w:rPr>
                <w:bCs/>
              </w:rPr>
              <w:t>Very l</w:t>
            </w:r>
            <w:r w:rsidR="0075777C">
              <w:rPr>
                <w:bCs/>
              </w:rPr>
              <w:t>ow</w:t>
            </w:r>
          </w:p>
          <w:p w:rsidR="0075777C" w:rsidRDefault="0075777C" w:rsidP="00805885">
            <w:pPr>
              <w:pStyle w:val="Tabletext"/>
              <w:rPr>
                <w:rFonts w:ascii="Cambria Math" w:hAnsi="Cambria Math" w:cs="Cambria Math"/>
                <w:bCs/>
              </w:rPr>
            </w:pPr>
            <w:r>
              <w:rPr>
                <w:rFonts w:ascii="Cambria Math" w:hAnsi="Cambria Math" w:cs="Cambria Math"/>
                <w:bCs/>
                <w:color w:val="00B050"/>
              </w:rPr>
              <w:t>⨁</w:t>
            </w:r>
            <w:r w:rsidR="00F95747" w:rsidRPr="00E564DD">
              <w:rPr>
                <w:rFonts w:ascii="Cambria Math" w:eastAsia="Times New Roman" w:hAnsi="Cambria Math" w:cs="Cambria Math"/>
                <w:bCs/>
                <w:color w:val="FF0000"/>
              </w:rPr>
              <w:t>⨀</w:t>
            </w:r>
            <w:r w:rsidRPr="00E564DD">
              <w:rPr>
                <w:rFonts w:ascii="Cambria Math" w:hAnsi="Cambria Math" w:cs="Cambria Math"/>
                <w:bCs/>
                <w:color w:val="FF0000"/>
              </w:rPr>
              <w:t>⨀⨀</w:t>
            </w:r>
          </w:p>
          <w:p w:rsidR="0075777C" w:rsidRPr="006316DF" w:rsidRDefault="0075777C" w:rsidP="00805885">
            <w:pPr>
              <w:pStyle w:val="Tabletext"/>
              <w:rPr>
                <w:rFonts w:cs="Arial"/>
              </w:rPr>
            </w:pPr>
            <w:r w:rsidRPr="006316DF">
              <w:rPr>
                <w:rFonts w:cs="Arial"/>
              </w:rPr>
              <w:t>Important</w:t>
            </w:r>
          </w:p>
        </w:tc>
      </w:tr>
      <w:tr w:rsidR="0075777C" w:rsidRPr="006316DF" w:rsidTr="00805885">
        <w:tc>
          <w:tcPr>
            <w:tcW w:w="1560" w:type="dxa"/>
          </w:tcPr>
          <w:p w:rsidR="0075777C" w:rsidRPr="006316DF" w:rsidRDefault="0075777C" w:rsidP="00805885">
            <w:pPr>
              <w:pStyle w:val="Tabletext"/>
              <w:rPr>
                <w:rFonts w:cs="Arial"/>
              </w:rPr>
            </w:pPr>
            <w:r>
              <w:rPr>
                <w:rFonts w:cs="Arial"/>
              </w:rPr>
              <w:t>Serious AEs</w:t>
            </w:r>
          </w:p>
        </w:tc>
        <w:tc>
          <w:tcPr>
            <w:tcW w:w="1275" w:type="dxa"/>
          </w:tcPr>
          <w:p w:rsidR="0075777C" w:rsidRPr="006316DF" w:rsidRDefault="0075777C" w:rsidP="00805885">
            <w:pPr>
              <w:pStyle w:val="Tabletext"/>
              <w:rPr>
                <w:rFonts w:cs="Arial"/>
              </w:rPr>
            </w:pPr>
            <w:r w:rsidRPr="006316DF">
              <w:rPr>
                <w:rFonts w:cs="Arial"/>
              </w:rPr>
              <w:t>N=</w:t>
            </w:r>
            <w:r>
              <w:rPr>
                <w:rFonts w:cs="Arial"/>
              </w:rPr>
              <w:t>67</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 xml:space="preserve">Imprecision: </w:t>
            </w:r>
            <w:r>
              <w:rPr>
                <w:rFonts w:cs="Arial"/>
              </w:rPr>
              <w:t>−</w:t>
            </w:r>
            <w:r w:rsidR="00B97B32">
              <w:rPr>
                <w:rFonts w:cs="Arial"/>
              </w:rPr>
              <w:t>2</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0</w:t>
            </w:r>
          </w:p>
        </w:tc>
        <w:tc>
          <w:tcPr>
            <w:tcW w:w="1418" w:type="dxa"/>
          </w:tcPr>
          <w:p w:rsidR="0075777C" w:rsidRPr="000E45D6" w:rsidRDefault="0075777C" w:rsidP="00805885">
            <w:pPr>
              <w:pStyle w:val="Tabletext"/>
            </w:pPr>
            <w:r w:rsidRPr="0043303C">
              <w:t xml:space="preserve">RR </w:t>
            </w:r>
            <w:r>
              <w:t xml:space="preserve">= </w:t>
            </w:r>
            <w:r w:rsidRPr="0043303C">
              <w:t>0.65</w:t>
            </w:r>
            <w:r>
              <w:t xml:space="preserve"> </w:t>
            </w:r>
            <w:r w:rsidRPr="0043303C">
              <w:t>(</w:t>
            </w:r>
            <w:r>
              <w:t xml:space="preserve">95% CI </w:t>
            </w:r>
            <w:r w:rsidRPr="0043303C">
              <w:t>0.23</w:t>
            </w:r>
            <w:r>
              <w:t>,</w:t>
            </w:r>
            <w:r w:rsidRPr="0043303C">
              <w:t xml:space="preserve"> 1.85)</w:t>
            </w:r>
          </w:p>
        </w:tc>
        <w:tc>
          <w:tcPr>
            <w:tcW w:w="2551" w:type="dxa"/>
          </w:tcPr>
          <w:p w:rsidR="0075777C" w:rsidRPr="000E45D6" w:rsidRDefault="0075777C" w:rsidP="00805885">
            <w:pPr>
              <w:pStyle w:val="Tabletext"/>
            </w:pPr>
            <w:r>
              <w:rPr>
                <w:rFonts w:cs="Arial"/>
              </w:rPr>
              <w:t>F</w:t>
            </w:r>
            <w:r w:rsidRPr="000E45D6">
              <w:rPr>
                <w:rFonts w:cs="Arial"/>
              </w:rPr>
              <w:t xml:space="preserve">ewer patients </w:t>
            </w:r>
            <w:r>
              <w:rPr>
                <w:rFonts w:cs="Arial"/>
              </w:rPr>
              <w:t xml:space="preserve">had a serious AE </w:t>
            </w:r>
            <w:r w:rsidRPr="000E45D6">
              <w:rPr>
                <w:rFonts w:cs="Arial"/>
              </w:rPr>
              <w:t xml:space="preserve">with combination therapy compared with </w:t>
            </w:r>
            <w:r>
              <w:rPr>
                <w:rFonts w:cs="Arial"/>
              </w:rPr>
              <w:t>monotherapy,</w:t>
            </w:r>
            <w:r>
              <w:t xml:space="preserve"> </w:t>
            </w:r>
            <w:r w:rsidRPr="00574104">
              <w:rPr>
                <w:rFonts w:cs="Arial"/>
              </w:rPr>
              <w:t xml:space="preserve">but the </w:t>
            </w:r>
            <w:r w:rsidR="00D84687">
              <w:rPr>
                <w:rFonts w:cs="Arial"/>
              </w:rPr>
              <w:t>95% CI indicates</w:t>
            </w:r>
            <w:r w:rsidRPr="00574104">
              <w:rPr>
                <w:rFonts w:cs="Arial"/>
              </w:rPr>
              <w:t xml:space="preserve"> that there could also be the opposite effect.</w:t>
            </w:r>
          </w:p>
        </w:tc>
        <w:tc>
          <w:tcPr>
            <w:tcW w:w="1134" w:type="dxa"/>
          </w:tcPr>
          <w:p w:rsidR="0075777C" w:rsidRDefault="00B97B32" w:rsidP="00805885">
            <w:pPr>
              <w:pStyle w:val="Tabletext"/>
              <w:rPr>
                <w:bCs/>
              </w:rPr>
            </w:pPr>
            <w:r>
              <w:rPr>
                <w:bCs/>
              </w:rPr>
              <w:t>Low</w:t>
            </w:r>
          </w:p>
          <w:p w:rsidR="0075777C" w:rsidRDefault="0075777C" w:rsidP="00805885">
            <w:pPr>
              <w:pStyle w:val="Tabletext"/>
              <w:rPr>
                <w:rFonts w:ascii="Cambria Math" w:hAnsi="Cambria Math" w:cs="Cambria Math"/>
                <w:bCs/>
              </w:rPr>
            </w:pPr>
            <w:r w:rsidRPr="00E564DD">
              <w:rPr>
                <w:rFonts w:ascii="Cambria Math" w:hAnsi="Cambria Math" w:cs="Cambria Math"/>
                <w:bCs/>
                <w:color w:val="00B050"/>
              </w:rPr>
              <w:t>⨁⨁</w:t>
            </w:r>
            <w:r w:rsidR="00B97B32" w:rsidRPr="00E564DD">
              <w:rPr>
                <w:rFonts w:ascii="Cambria Math" w:hAnsi="Cambria Math" w:cs="Cambria Math"/>
                <w:bCs/>
                <w:color w:val="FF0000"/>
              </w:rPr>
              <w:t>⨀</w:t>
            </w:r>
            <w:r w:rsidRPr="00E564DD">
              <w:rPr>
                <w:rFonts w:ascii="Cambria Math" w:hAnsi="Cambria Math" w:cs="Cambria Math"/>
                <w:bCs/>
                <w:color w:val="FF0000"/>
              </w:rPr>
              <w:t>⨀</w:t>
            </w:r>
          </w:p>
          <w:p w:rsidR="0075777C" w:rsidRPr="006316DF" w:rsidRDefault="0075777C" w:rsidP="00805885">
            <w:pPr>
              <w:pStyle w:val="Tabletext"/>
              <w:rPr>
                <w:rFonts w:cs="Arial"/>
              </w:rPr>
            </w:pPr>
            <w:r w:rsidRPr="006316DF">
              <w:rPr>
                <w:rFonts w:cs="Arial"/>
              </w:rPr>
              <w:t>Important</w:t>
            </w:r>
          </w:p>
        </w:tc>
      </w:tr>
      <w:tr w:rsidR="00B97B32" w:rsidRPr="006316DF" w:rsidTr="00805885">
        <w:tc>
          <w:tcPr>
            <w:tcW w:w="1560" w:type="dxa"/>
          </w:tcPr>
          <w:p w:rsidR="00B97B32" w:rsidRPr="00163A1F" w:rsidRDefault="00B97B32" w:rsidP="00B97B32">
            <w:pPr>
              <w:pStyle w:val="Tabletext"/>
              <w:rPr>
                <w:rFonts w:cs="Arial"/>
              </w:rPr>
            </w:pPr>
            <w:r w:rsidRPr="00163A1F">
              <w:rPr>
                <w:rFonts w:cs="Arial"/>
              </w:rPr>
              <w:t>AEs leading to treatment discontinuation</w:t>
            </w:r>
          </w:p>
        </w:tc>
        <w:tc>
          <w:tcPr>
            <w:tcW w:w="1275" w:type="dxa"/>
          </w:tcPr>
          <w:p w:rsidR="00B97B32" w:rsidRPr="00163A1F" w:rsidRDefault="00B97B32" w:rsidP="00B97B32">
            <w:pPr>
              <w:pStyle w:val="Tabletext"/>
              <w:rPr>
                <w:rFonts w:cs="Arial"/>
              </w:rPr>
            </w:pPr>
            <w:r w:rsidRPr="00163A1F">
              <w:rPr>
                <w:rFonts w:cs="Arial"/>
              </w:rPr>
              <w:t>N=40</w:t>
            </w:r>
          </w:p>
          <w:p w:rsidR="00B97B32" w:rsidRPr="00163A1F" w:rsidRDefault="00B97B32" w:rsidP="00B97B32">
            <w:pPr>
              <w:pStyle w:val="Tabletext"/>
              <w:rPr>
                <w:rFonts w:cs="Arial"/>
              </w:rPr>
            </w:pPr>
            <w:r w:rsidRPr="00163A1F">
              <w:rPr>
                <w:rFonts w:cs="Arial"/>
              </w:rPr>
              <w:t>k=1 RCT</w:t>
            </w:r>
          </w:p>
        </w:tc>
        <w:tc>
          <w:tcPr>
            <w:tcW w:w="1701" w:type="dxa"/>
          </w:tcPr>
          <w:p w:rsidR="00B97B32" w:rsidRPr="00163A1F" w:rsidRDefault="00B97B32" w:rsidP="00B97B32">
            <w:pPr>
              <w:pStyle w:val="Tabletext"/>
              <w:rPr>
                <w:rFonts w:cs="Arial"/>
              </w:rPr>
            </w:pPr>
            <w:r w:rsidRPr="00163A1F">
              <w:rPr>
                <w:rFonts w:cs="Arial"/>
              </w:rPr>
              <w:t>Risk of bias: −2</w:t>
            </w:r>
          </w:p>
          <w:p w:rsidR="00B97B32" w:rsidRPr="00163A1F" w:rsidRDefault="00B97B32" w:rsidP="00B97B32">
            <w:pPr>
              <w:pStyle w:val="Tabletext"/>
              <w:rPr>
                <w:rFonts w:cs="Arial"/>
              </w:rPr>
            </w:pPr>
            <w:r w:rsidRPr="00163A1F">
              <w:rPr>
                <w:rFonts w:cs="Arial"/>
              </w:rPr>
              <w:t>Inconsistency: 0</w:t>
            </w:r>
          </w:p>
          <w:p w:rsidR="00B97B32" w:rsidRPr="00163A1F" w:rsidRDefault="00B97B32" w:rsidP="00B97B32">
            <w:pPr>
              <w:pStyle w:val="Tabletext"/>
              <w:rPr>
                <w:rFonts w:cs="Arial"/>
              </w:rPr>
            </w:pPr>
            <w:r w:rsidRPr="00163A1F">
              <w:rPr>
                <w:rFonts w:cs="Arial"/>
              </w:rPr>
              <w:t>Indirectness: 0</w:t>
            </w:r>
          </w:p>
          <w:p w:rsidR="00B97B32" w:rsidRPr="00163A1F" w:rsidRDefault="00B97B32" w:rsidP="00B97B32">
            <w:pPr>
              <w:pStyle w:val="Tabletext"/>
              <w:rPr>
                <w:rFonts w:cs="Arial"/>
              </w:rPr>
            </w:pPr>
            <w:r w:rsidRPr="00163A1F">
              <w:rPr>
                <w:rFonts w:cs="Arial"/>
              </w:rPr>
              <w:t>Imprecisio</w:t>
            </w:r>
            <w:r>
              <w:rPr>
                <w:rFonts w:cs="Arial"/>
              </w:rPr>
              <w:t>n: −2</w:t>
            </w:r>
          </w:p>
          <w:p w:rsidR="00B97B32" w:rsidRPr="00163A1F" w:rsidRDefault="00B97B32" w:rsidP="00B97B32">
            <w:pPr>
              <w:pStyle w:val="Tabletext"/>
              <w:rPr>
                <w:rFonts w:cs="Arial"/>
              </w:rPr>
            </w:pPr>
            <w:r w:rsidRPr="00163A1F">
              <w:rPr>
                <w:rFonts w:cs="Arial"/>
              </w:rPr>
              <w:t>Publication bias: 0</w:t>
            </w:r>
          </w:p>
          <w:p w:rsidR="00B97B32" w:rsidRPr="00163A1F" w:rsidRDefault="00B97B32" w:rsidP="00B97B32">
            <w:pPr>
              <w:pStyle w:val="Tabletext"/>
              <w:rPr>
                <w:rFonts w:cs="Arial"/>
              </w:rPr>
            </w:pPr>
            <w:r w:rsidRPr="00163A1F">
              <w:rPr>
                <w:rFonts w:cs="Arial"/>
              </w:rPr>
              <w:t>Association: 0</w:t>
            </w:r>
          </w:p>
        </w:tc>
        <w:tc>
          <w:tcPr>
            <w:tcW w:w="1418" w:type="dxa"/>
          </w:tcPr>
          <w:p w:rsidR="00B97B32" w:rsidRPr="00163A1F" w:rsidRDefault="00B97B32" w:rsidP="00B97B32">
            <w:pPr>
              <w:pStyle w:val="Tabletext"/>
            </w:pPr>
            <w:r>
              <w:t>ARD</w:t>
            </w:r>
            <w:r w:rsidRPr="00163A1F">
              <w:t xml:space="preserve"> = 5.2% (95% CI −4.8, 15.3)</w:t>
            </w:r>
          </w:p>
        </w:tc>
        <w:tc>
          <w:tcPr>
            <w:tcW w:w="2551" w:type="dxa"/>
          </w:tcPr>
          <w:p w:rsidR="00B97B32" w:rsidRPr="00163A1F" w:rsidRDefault="00B97B32" w:rsidP="00B97B32">
            <w:pPr>
              <w:pStyle w:val="Tabletext"/>
              <w:rPr>
                <w:rFonts w:cs="Arial"/>
              </w:rPr>
            </w:pPr>
            <w:r w:rsidRPr="00163A1F">
              <w:rPr>
                <w:rFonts w:cs="Arial"/>
              </w:rPr>
              <w:t>More patients needed to discontinue treatment due to an AE with combination therapy compared with monotherapy,</w:t>
            </w:r>
            <w:r w:rsidRPr="00163A1F">
              <w:t xml:space="preserve"> </w:t>
            </w:r>
            <w:r w:rsidRPr="00163A1F">
              <w:rPr>
                <w:rFonts w:cs="Arial"/>
              </w:rPr>
              <w:t>but the difference was not statistically significant (p = 0.29)</w:t>
            </w:r>
          </w:p>
        </w:tc>
        <w:tc>
          <w:tcPr>
            <w:tcW w:w="1134" w:type="dxa"/>
          </w:tcPr>
          <w:p w:rsidR="00B97B32" w:rsidRDefault="00B97B32" w:rsidP="00B97B32">
            <w:pPr>
              <w:pStyle w:val="Tabletext"/>
              <w:rPr>
                <w:bCs/>
              </w:rPr>
            </w:pPr>
            <w:r>
              <w:rPr>
                <w:bCs/>
              </w:rPr>
              <w:t>Very low</w:t>
            </w:r>
          </w:p>
          <w:p w:rsidR="00B97B32" w:rsidRDefault="00B97B32" w:rsidP="00B97B32">
            <w:pPr>
              <w:pStyle w:val="Tabletext"/>
              <w:rPr>
                <w:rFonts w:ascii="Cambria Math" w:hAnsi="Cambria Math" w:cs="Cambria Math"/>
                <w:bCs/>
              </w:rPr>
            </w:pPr>
            <w:r>
              <w:rPr>
                <w:rFonts w:ascii="Cambria Math" w:hAnsi="Cambria Math" w:cs="Cambria Math"/>
                <w:bCs/>
                <w:color w:val="00B050"/>
              </w:rPr>
              <w:t>⨁</w:t>
            </w:r>
            <w:r w:rsidRPr="00E564DD">
              <w:rPr>
                <w:rFonts w:ascii="Cambria Math" w:eastAsia="Times New Roman" w:hAnsi="Cambria Math" w:cs="Cambria Math"/>
                <w:bCs/>
                <w:color w:val="FF0000"/>
              </w:rPr>
              <w:t>⨀</w:t>
            </w:r>
            <w:r w:rsidRPr="00E564DD">
              <w:rPr>
                <w:rFonts w:ascii="Cambria Math" w:hAnsi="Cambria Math" w:cs="Cambria Math"/>
                <w:bCs/>
                <w:color w:val="FF0000"/>
              </w:rPr>
              <w:t>⨀⨀</w:t>
            </w:r>
          </w:p>
          <w:p w:rsidR="00B97B32" w:rsidRPr="00163A1F" w:rsidRDefault="00B97B32" w:rsidP="00B97B32">
            <w:pPr>
              <w:pStyle w:val="Tabletext"/>
              <w:rPr>
                <w:rFonts w:cs="Arial"/>
              </w:rPr>
            </w:pPr>
            <w:r w:rsidRPr="006316DF">
              <w:rPr>
                <w:rFonts w:cs="Arial"/>
              </w:rPr>
              <w:t>Important</w:t>
            </w:r>
          </w:p>
        </w:tc>
      </w:tr>
    </w:tbl>
    <w:p w:rsidR="0075777C" w:rsidRPr="006316DF" w:rsidRDefault="0075777C" w:rsidP="00805885">
      <w:pPr>
        <w:pStyle w:val="Tablenote"/>
      </w:pPr>
      <w:r w:rsidRPr="006316DF">
        <w:rPr>
          <w:vertAlign w:val="superscript"/>
        </w:rPr>
        <w:t xml:space="preserve">a </w:t>
      </w:r>
      <w:r w:rsidRPr="006316DF">
        <w:t xml:space="preserve">GRADE Working Group grades of evidence </w:t>
      </w:r>
      <w:r w:rsidR="001D34EE" w:rsidRPr="001D34EE">
        <w:rPr>
          <w:noProof/>
          <w:vertAlign w:val="superscript"/>
        </w:rPr>
        <w:t>1</w:t>
      </w:r>
    </w:p>
    <w:p w:rsidR="0075777C" w:rsidRPr="006316DF" w:rsidRDefault="0075777C" w:rsidP="00805885">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F95747" w:rsidRPr="00E564DD" w:rsidRDefault="00F95747" w:rsidP="00F95747">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Very low quality:</w:t>
      </w:r>
      <w:r w:rsidRPr="00E564DD">
        <w:t xml:space="preserve"> We have very little confidence in the effect estimate: The true effect is likely to be substantially different from the estimate of effect</w:t>
      </w:r>
    </w:p>
    <w:p w:rsidR="007446CB" w:rsidRDefault="0075777C" w:rsidP="00805885">
      <w:pPr>
        <w:pStyle w:val="Tablenote"/>
      </w:pPr>
      <w:r>
        <w:t>AE = adverse even</w:t>
      </w:r>
      <w:r w:rsidR="00B21201">
        <w:t>t; ARD</w:t>
      </w:r>
      <w:r>
        <w:t xml:space="preserve"> = absolute risk </w:t>
      </w:r>
      <w:r w:rsidR="00B21201">
        <w:t>difference</w:t>
      </w:r>
      <w:r>
        <w: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7446CB" w:rsidRPr="00F24B06">
        <w:t>; k = number of studies;</w:t>
      </w:r>
      <w:r w:rsidR="007446CB">
        <w:t xml:space="preserve"> </w:t>
      </w:r>
      <w:r>
        <w:t xml:space="preserve">N = number of patients; </w:t>
      </w:r>
      <w:r w:rsidRPr="00C65B42">
        <w:t xml:space="preserve">PAH = pulmonary arterial hypertension; </w:t>
      </w:r>
      <w:r>
        <w:t>RCT = randomised controlled trial; RR = relative risk; WHO = World Health Organization</w:t>
      </w:r>
    </w:p>
    <w:p w:rsidR="0075777C" w:rsidRPr="006316DF" w:rsidRDefault="000E0079" w:rsidP="0075777C">
      <w:pPr>
        <w:pStyle w:val="Heading4"/>
      </w:pPr>
      <w:r>
        <w:t>4.5.3.6</w:t>
      </w:r>
      <w:r>
        <w:tab/>
      </w:r>
      <w:r w:rsidR="0075777C">
        <w:t>sGC stimulator</w:t>
      </w:r>
      <w:r w:rsidR="0075777C" w:rsidRPr="00EF6A61">
        <w:t xml:space="preserve"> </w:t>
      </w:r>
      <w:r w:rsidR="0075777C" w:rsidRPr="006C4A08">
        <w:t xml:space="preserve">in addition to </w:t>
      </w:r>
      <w:r w:rsidR="0075777C">
        <w:t>an ERA</w:t>
      </w:r>
    </w:p>
    <w:p w:rsidR="0075777C" w:rsidRPr="00107676" w:rsidRDefault="0075777C" w:rsidP="0075777C">
      <w:pPr>
        <w:pStyle w:val="Heading5"/>
      </w:pPr>
      <w:r w:rsidRPr="00107676">
        <w:t>Clinical effectiveness</w:t>
      </w:r>
    </w:p>
    <w:p w:rsidR="0075777C" w:rsidRDefault="0075777C" w:rsidP="0075777C">
      <w:r>
        <w:t xml:space="preserve">The RCT that provided the evidence base for </w:t>
      </w:r>
      <w:r w:rsidRPr="000522D6">
        <w:t xml:space="preserve">comparing </w:t>
      </w:r>
      <w:r>
        <w:t xml:space="preserve">the effectiveness of </w:t>
      </w:r>
      <w:r w:rsidRPr="000522D6">
        <w:t xml:space="preserve">a </w:t>
      </w:r>
      <w:r w:rsidRPr="001A61AD">
        <w:t xml:space="preserve">sGC stimulator </w:t>
      </w:r>
      <w:r w:rsidRPr="000522D6">
        <w:t xml:space="preserve">in addition to </w:t>
      </w:r>
      <w:r>
        <w:t xml:space="preserve">an </w:t>
      </w:r>
      <w:r w:rsidRPr="000522D6">
        <w:t xml:space="preserve">ERA </w:t>
      </w:r>
      <w:r>
        <w:t>compared with</w:t>
      </w:r>
      <w:r w:rsidRPr="000522D6">
        <w:t xml:space="preserve"> </w:t>
      </w:r>
      <w:r>
        <w:t>ERA</w:t>
      </w:r>
      <w:r w:rsidRPr="000522D6">
        <w:t xml:space="preserve"> monotherapy</w:t>
      </w:r>
      <w:r>
        <w:t xml:space="preserve"> enrolled a subgroup of patients </w:t>
      </w:r>
      <w:r w:rsidRPr="004F7ADF">
        <w:t xml:space="preserve">with background ERA </w:t>
      </w:r>
      <w:r>
        <w:t>t</w:t>
      </w:r>
      <w:r w:rsidRPr="004F7ADF">
        <w:t>herapy</w:t>
      </w:r>
      <w:r>
        <w:t xml:space="preserve"> </w:t>
      </w:r>
      <w:r w:rsidRPr="001A61AD">
        <w:t>(sequential combination therapy).</w:t>
      </w:r>
      <w:r>
        <w:t xml:space="preserve"> Subgroup analysis for patients with WHO FC III/IV PAH was also included.</w:t>
      </w:r>
    </w:p>
    <w:p w:rsidR="0075777C" w:rsidRPr="006316DF" w:rsidRDefault="0075777C" w:rsidP="0075777C">
      <w:r w:rsidRPr="006316DF">
        <w:t xml:space="preserve">The </w:t>
      </w:r>
      <w:r>
        <w:t xml:space="preserve">detailed </w:t>
      </w:r>
      <w:r w:rsidRPr="006316DF">
        <w:t>GRADE</w:t>
      </w:r>
      <w:r w:rsidR="001D34EE" w:rsidRPr="001D34EE">
        <w:rPr>
          <w:noProof/>
          <w:vertAlign w:val="superscript"/>
        </w:rPr>
        <w:t>1</w:t>
      </w:r>
      <w:r w:rsidRPr="006316DF">
        <w:t xml:space="preserve"> assessments of the outcomes when comparing a </w:t>
      </w:r>
      <w:r w:rsidRPr="00B73C5B">
        <w:t xml:space="preserve">sGC stimulator in addition to an </w:t>
      </w:r>
      <w:r>
        <w:t xml:space="preserve">ERA, </w:t>
      </w:r>
      <w:r w:rsidRPr="00B73C5B">
        <w:t xml:space="preserve">relative to ERA monotherapy </w:t>
      </w:r>
      <w:r>
        <w:t xml:space="preserve">are reported in </w:t>
      </w:r>
      <w:r w:rsidR="00AA722D">
        <w:t>Table 4.</w:t>
      </w:r>
      <w:r w:rsidR="00AA722D">
        <w:rPr>
          <w:noProof/>
        </w:rPr>
        <w:t>165</w:t>
      </w:r>
      <w:r>
        <w:t xml:space="preserve"> and </w:t>
      </w:r>
      <w:r w:rsidR="00AA722D">
        <w:t>Table 4.</w:t>
      </w:r>
      <w:r w:rsidR="00AA722D">
        <w:rPr>
          <w:noProof/>
        </w:rPr>
        <w:t>166</w:t>
      </w:r>
      <w:r>
        <w:t xml:space="preserve"> </w:t>
      </w:r>
      <w:r w:rsidR="00DA2636">
        <w:t>in Appendix 4</w:t>
      </w:r>
      <w:r w:rsidR="001B552D">
        <w:t>C</w:t>
      </w:r>
      <w:r w:rsidRPr="006316DF">
        <w:t xml:space="preserve">. A summary of these results </w:t>
      </w:r>
      <w:r>
        <w:t xml:space="preserve">for all PAH patients </w:t>
      </w:r>
      <w:r w:rsidRPr="006316DF">
        <w:t>is provided in</w:t>
      </w:r>
      <w:r>
        <w:t xml:space="preserve"> </w:t>
      </w:r>
      <w:r w:rsidR="00AA722D">
        <w:t>Table 4.</w:t>
      </w:r>
      <w:r w:rsidR="00AA722D">
        <w:rPr>
          <w:noProof/>
        </w:rPr>
        <w:t>139</w:t>
      </w:r>
      <w:r w:rsidR="00585084">
        <w:t>.</w:t>
      </w:r>
      <w:r w:rsidR="00AA722D">
        <w:t>Table 4.</w:t>
      </w:r>
      <w:r w:rsidR="00AA722D">
        <w:rPr>
          <w:noProof/>
        </w:rPr>
        <w:t>139</w:t>
      </w:r>
      <w:r w:rsidRPr="006316DF">
        <w:t xml:space="preserve">The evidence base for </w:t>
      </w:r>
      <w:r>
        <w:t>all</w:t>
      </w:r>
      <w:r w:rsidRPr="006316DF">
        <w:t xml:space="preserve"> outcomes was considered to be of </w:t>
      </w:r>
      <w:r>
        <w:t>high</w:t>
      </w:r>
      <w:r w:rsidRPr="006316DF">
        <w:t xml:space="preserve"> (GRADE </w:t>
      </w:r>
      <w:r w:rsidRPr="00920393">
        <w:rPr>
          <w:rFonts w:ascii="Cambria Math" w:eastAsia="Times New Roman" w:hAnsi="Cambria Math" w:cs="Tahoma"/>
          <w:bCs/>
          <w:color w:val="00B050"/>
        </w:rPr>
        <w:t>⨁⨁⨁⨁</w:t>
      </w:r>
      <w:r w:rsidRPr="00920393">
        <w:t>)</w:t>
      </w:r>
      <w:r w:rsidR="0055519E">
        <w:t xml:space="preserve"> or moderate </w:t>
      </w:r>
      <w:r w:rsidR="0055519E" w:rsidRPr="006316DF">
        <w:t xml:space="preserve">(GRADE </w:t>
      </w:r>
      <w:r w:rsidR="0055519E" w:rsidRPr="00920393">
        <w:rPr>
          <w:rFonts w:ascii="Cambria Math" w:eastAsia="Times New Roman" w:hAnsi="Cambria Math" w:cs="Tahoma"/>
          <w:bCs/>
          <w:color w:val="00B050"/>
        </w:rPr>
        <w:t>⨁⨁⨁</w:t>
      </w:r>
      <w:r w:rsidR="0055519E" w:rsidRPr="00920393">
        <w:rPr>
          <w:rFonts w:ascii="Cambria Math" w:eastAsia="Times New Roman" w:hAnsi="Cambria Math" w:cs="Cambria Math"/>
          <w:bCs/>
          <w:color w:val="C00000"/>
        </w:rPr>
        <w:t>⨀</w:t>
      </w:r>
      <w:r w:rsidR="0055519E" w:rsidRPr="00920393">
        <w:t xml:space="preserve">) </w:t>
      </w:r>
      <w:r w:rsidR="0055519E" w:rsidRPr="006316DF">
        <w:t>quality</w:t>
      </w:r>
      <w:r w:rsidR="0055519E">
        <w:t xml:space="preserve">, except for change in haemodynamic parameters which is of low quality </w:t>
      </w:r>
      <w:r w:rsidR="0055519E" w:rsidRPr="006316DF">
        <w:t xml:space="preserve">(GRADE </w:t>
      </w:r>
      <w:r w:rsidR="0055519E" w:rsidRPr="00920393">
        <w:rPr>
          <w:rFonts w:ascii="Cambria Math" w:eastAsia="Times New Roman" w:hAnsi="Cambria Math" w:cs="Tahoma"/>
          <w:bCs/>
          <w:color w:val="00B050"/>
        </w:rPr>
        <w:t>⨁⨁</w:t>
      </w:r>
      <w:r w:rsidR="0055519E" w:rsidRPr="00920393">
        <w:rPr>
          <w:rFonts w:ascii="Cambria Math" w:eastAsia="Times New Roman" w:hAnsi="Cambria Math" w:cs="Cambria Math"/>
          <w:bCs/>
          <w:color w:val="C00000"/>
        </w:rPr>
        <w:t>⨀⨀</w:t>
      </w:r>
      <w:r w:rsidR="0055519E" w:rsidRPr="00920393">
        <w:t>)</w:t>
      </w:r>
      <w:r w:rsidR="0055519E">
        <w:t>.</w:t>
      </w:r>
    </w:p>
    <w:p w:rsidR="0075777C" w:rsidRDefault="0075777C" w:rsidP="0075777C">
      <w:r w:rsidRPr="006316DF">
        <w:lastRenderedPageBreak/>
        <w:t xml:space="preserve">When taking </w:t>
      </w:r>
      <w:r>
        <w:t>the whole body of evidence</w:t>
      </w:r>
      <w:r w:rsidRPr="006316DF">
        <w:t xml:space="preserve"> into account, </w:t>
      </w:r>
      <w:r>
        <w:t xml:space="preserve">the point estimates indicate that </w:t>
      </w:r>
      <w:r w:rsidRPr="006316DF">
        <w:t>the number of patients experiencing clinical worsening</w:t>
      </w:r>
      <w:r>
        <w:t xml:space="preserve">, dying from any cause or being hospitalised </w:t>
      </w:r>
      <w:r w:rsidRPr="006316DF">
        <w:t xml:space="preserve">would be </w:t>
      </w:r>
      <w:r w:rsidR="00A17B9D">
        <w:rPr>
          <w:noProof/>
          <w:color w:val="000000"/>
          <w:highlight w:val="black"/>
        </w:rPr>
        <w:t>'''''''''''''''</w:t>
      </w:r>
      <w:r w:rsidRPr="006316DF">
        <w:t xml:space="preserve"> when </w:t>
      </w:r>
      <w:r>
        <w:t>on combination therapy</w:t>
      </w:r>
      <w:r w:rsidRPr="00A240BF">
        <w:t xml:space="preserve"> compared with monotherapy</w:t>
      </w:r>
      <w:r>
        <w:t>,</w:t>
      </w:r>
      <w:r w:rsidRPr="00A240BF">
        <w:t xml:space="preserve"> </w:t>
      </w:r>
      <w:r w:rsidR="00A17B9D">
        <w:rPr>
          <w:noProof/>
          <w:color w:val="000000"/>
          <w:highlight w:val="black"/>
        </w:rPr>
        <w:t>''''''' '''''' '''''''' '''' '''''''''''''''' '''''''' '''''''''' '''''''' '''''''' ''''' ''''''' ''''''''''''''' ''''''''''''</w:t>
      </w:r>
      <w:r w:rsidRPr="006316DF">
        <w:t>. Similarly</w:t>
      </w:r>
      <w:r w:rsidR="00A17B9D">
        <w:rPr>
          <w:noProof/>
          <w:color w:val="000000"/>
          <w:highlight w:val="black"/>
        </w:rPr>
        <w:t>'' '''''''''</w:t>
      </w:r>
      <w:r>
        <w:t xml:space="preserve"> </w:t>
      </w:r>
      <w:r w:rsidRPr="006316DF">
        <w:t xml:space="preserve">patients will have </w:t>
      </w:r>
      <w:r>
        <w:t>an</w:t>
      </w:r>
      <w:r w:rsidRPr="006316DF">
        <w:t xml:space="preserve"> improvement in their </w:t>
      </w:r>
      <w:r>
        <w:t xml:space="preserve">WHO FC and </w:t>
      </w:r>
      <w:r w:rsidR="00A17B9D">
        <w:rPr>
          <w:noProof/>
          <w:color w:val="000000"/>
          <w:highlight w:val="black"/>
        </w:rPr>
        <w:t>''''''''''</w:t>
      </w:r>
      <w:r>
        <w:t xml:space="preserve"> a worsening of WHO FC, </w:t>
      </w:r>
      <w:r w:rsidR="00A17B9D">
        <w:rPr>
          <w:noProof/>
          <w:color w:val="000000"/>
          <w:highlight w:val="black"/>
        </w:rPr>
        <w:t>''''''' '''''' '''''''' '''' '''''''''''''''' '''''''' ''''''''' '''''''' '''''''' ''''' '''''' ''''''''''''</w:t>
      </w:r>
      <w:r>
        <w:t xml:space="preserve"> </w:t>
      </w:r>
      <w:r w:rsidRPr="00F36D40">
        <w:t xml:space="preserve">Patients on combination therapy had </w:t>
      </w:r>
      <w:r w:rsidR="00A17B9D">
        <w:rPr>
          <w:noProof/>
          <w:color w:val="000000"/>
          <w:highlight w:val="black"/>
        </w:rPr>
        <w:t>''' ''''''''''' '''''''''' '''''''''''''''''''''''''</w:t>
      </w:r>
      <w:r w:rsidRPr="00F36D40">
        <w:t xml:space="preserve"> in their 6MWD, </w:t>
      </w:r>
      <w:r>
        <w:t xml:space="preserve">PVR </w:t>
      </w:r>
      <w:r w:rsidRPr="00F36D40">
        <w:t xml:space="preserve">and QoL than those on monotherapy, but only the mean difference </w:t>
      </w:r>
      <w:r>
        <w:t>for</w:t>
      </w:r>
      <w:r w:rsidRPr="00F36D40">
        <w:t xml:space="preserve"> </w:t>
      </w:r>
      <w:r>
        <w:t xml:space="preserve">EQ-5D </w:t>
      </w:r>
      <w:r w:rsidRPr="00F36D40">
        <w:t xml:space="preserve">QoL </w:t>
      </w:r>
      <w:r w:rsidR="00A17B9D">
        <w:rPr>
          <w:noProof/>
          <w:color w:val="000000"/>
          <w:highlight w:val="black"/>
        </w:rPr>
        <w:t>'''''''' ''''''''' '''''''''''''' ''''' '''''' ''''''''''''''''' ''''''''''''''''''</w:t>
      </w:r>
      <w:r w:rsidRPr="00F36D40">
        <w:t>.</w:t>
      </w:r>
    </w:p>
    <w:p w:rsidR="00585084" w:rsidRDefault="00585084" w:rsidP="0075777C">
      <w:r w:rsidRPr="00585084">
        <w:t>Thus, there is limited evidence indicating that the use of a sGC stimulator in addition to an ERA, relative to ERA monotherapy to treat P</w:t>
      </w:r>
      <w:r w:rsidR="00377908">
        <w:t>AH patients may be beneficial.</w:t>
      </w:r>
    </w:p>
    <w:p w:rsidR="0075777C" w:rsidRPr="006316DF" w:rsidRDefault="00272F8F" w:rsidP="00BC5A2B">
      <w:pPr>
        <w:pStyle w:val="Caption"/>
      </w:pPr>
      <w:bookmarkStart w:id="381" w:name="_Ref505865988"/>
      <w:bookmarkStart w:id="382" w:name="_Toc512855543"/>
      <w:r>
        <w:t>Table 4.</w:t>
      </w:r>
      <w:r w:rsidR="00AA722D">
        <w:rPr>
          <w:noProof/>
        </w:rPr>
        <w:t>139</w:t>
      </w:r>
      <w:bookmarkEnd w:id="381"/>
      <w:r w:rsidR="00805885">
        <w:tab/>
      </w:r>
      <w:r w:rsidR="0075777C" w:rsidRPr="006316DF">
        <w:t xml:space="preserve">Balance of clinical benefits of </w:t>
      </w:r>
      <w:r w:rsidR="00805885">
        <w:t>a</w:t>
      </w:r>
      <w:r w:rsidR="0075777C">
        <w:t xml:space="preserve"> </w:t>
      </w:r>
      <w:r w:rsidR="0075777C" w:rsidRPr="0006289E">
        <w:t xml:space="preserve">sGC stimulator </w:t>
      </w:r>
      <w:r w:rsidR="0075777C" w:rsidRPr="006C4A08">
        <w:t>in addition to</w:t>
      </w:r>
      <w:r w:rsidR="0075777C">
        <w:t xml:space="preserve"> </w:t>
      </w:r>
      <w:r w:rsidR="001B552D">
        <w:t xml:space="preserve">an </w:t>
      </w:r>
      <w:r w:rsidR="0075777C">
        <w:t>ERA</w:t>
      </w:r>
      <w:r w:rsidR="0075777C" w:rsidRPr="006316DF">
        <w:t xml:space="preserve">, relative to </w:t>
      </w:r>
      <w:r w:rsidR="0075777C">
        <w:t>ERA</w:t>
      </w:r>
      <w:r w:rsidR="0075777C" w:rsidRPr="006C4A08">
        <w:t xml:space="preserve"> </w:t>
      </w:r>
      <w:r w:rsidR="0075777C">
        <w:t>monotherapy in all PAH patients</w:t>
      </w:r>
      <w:bookmarkEnd w:id="382"/>
    </w:p>
    <w:tbl>
      <w:tblPr>
        <w:tblStyle w:val="TableGrid"/>
        <w:tblW w:w="9639" w:type="dxa"/>
        <w:tblLayout w:type="fixed"/>
        <w:tblLook w:val="04A0" w:firstRow="1" w:lastRow="0" w:firstColumn="1" w:lastColumn="0" w:noHBand="0" w:noVBand="1"/>
        <w:tblDescription w:val="Balance of clinical benefits of a sGC stimulator in addition to an ERA, relative to ERA monotherapy in all PAH patients"/>
      </w:tblPr>
      <w:tblGrid>
        <w:gridCol w:w="1560"/>
        <w:gridCol w:w="1275"/>
        <w:gridCol w:w="1701"/>
        <w:gridCol w:w="1418"/>
        <w:gridCol w:w="2551"/>
        <w:gridCol w:w="1134"/>
      </w:tblGrid>
      <w:tr w:rsidR="0075777C" w:rsidRPr="00805885" w:rsidTr="00805885">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805885" w:rsidRDefault="0075777C" w:rsidP="00805885">
            <w:pPr>
              <w:pStyle w:val="Tabletext"/>
              <w:rPr>
                <w:b/>
                <w:noProof/>
              </w:rPr>
            </w:pPr>
            <w:r w:rsidRPr="00805885">
              <w:rPr>
                <w:b/>
                <w:noProof/>
              </w:rPr>
              <w:t xml:space="preserve">Outcomes </w:t>
            </w:r>
          </w:p>
        </w:tc>
        <w:tc>
          <w:tcPr>
            <w:tcW w:w="1275" w:type="dxa"/>
          </w:tcPr>
          <w:p w:rsidR="0075777C" w:rsidRPr="00805885" w:rsidRDefault="0075777C" w:rsidP="00805885">
            <w:pPr>
              <w:pStyle w:val="Tabletext"/>
              <w:rPr>
                <w:b/>
                <w:noProof/>
              </w:rPr>
            </w:pPr>
            <w:r w:rsidRPr="00805885">
              <w:rPr>
                <w:b/>
                <w:noProof/>
              </w:rPr>
              <w:t>Participants (studies)</w:t>
            </w:r>
          </w:p>
        </w:tc>
        <w:tc>
          <w:tcPr>
            <w:tcW w:w="1701" w:type="dxa"/>
          </w:tcPr>
          <w:p w:rsidR="0075777C" w:rsidRPr="00805885" w:rsidRDefault="0075777C" w:rsidP="00805885">
            <w:pPr>
              <w:pStyle w:val="Tabletext"/>
              <w:rPr>
                <w:b/>
                <w:noProof/>
              </w:rPr>
            </w:pPr>
            <w:r w:rsidRPr="00805885">
              <w:rPr>
                <w:b/>
                <w:noProof/>
              </w:rPr>
              <w:t>Quality of evidence</w:t>
            </w:r>
          </w:p>
        </w:tc>
        <w:tc>
          <w:tcPr>
            <w:tcW w:w="1418" w:type="dxa"/>
          </w:tcPr>
          <w:p w:rsidR="0075777C" w:rsidRPr="00805885" w:rsidRDefault="0075777C" w:rsidP="00805885">
            <w:pPr>
              <w:pStyle w:val="Tabletext"/>
              <w:rPr>
                <w:b/>
                <w:noProof/>
              </w:rPr>
            </w:pPr>
            <w:r w:rsidRPr="00805885">
              <w:rPr>
                <w:b/>
                <w:noProof/>
              </w:rPr>
              <w:t>Results</w:t>
            </w:r>
          </w:p>
        </w:tc>
        <w:tc>
          <w:tcPr>
            <w:tcW w:w="2551" w:type="dxa"/>
          </w:tcPr>
          <w:p w:rsidR="0075777C" w:rsidRPr="00805885" w:rsidRDefault="0075777C" w:rsidP="00805885">
            <w:pPr>
              <w:pStyle w:val="Tabletext"/>
              <w:rPr>
                <w:b/>
                <w:noProof/>
              </w:rPr>
            </w:pPr>
            <w:r w:rsidRPr="00805885">
              <w:rPr>
                <w:b/>
                <w:noProof/>
              </w:rPr>
              <w:t>Interpretation</w:t>
            </w:r>
          </w:p>
        </w:tc>
        <w:tc>
          <w:tcPr>
            <w:tcW w:w="1134" w:type="dxa"/>
          </w:tcPr>
          <w:p w:rsidR="0075777C" w:rsidRPr="00805885" w:rsidRDefault="0075777C" w:rsidP="00805885">
            <w:pPr>
              <w:pStyle w:val="Tabletext"/>
              <w:rPr>
                <w:b/>
                <w:noProof/>
              </w:rPr>
            </w:pPr>
            <w:r w:rsidRPr="00805885">
              <w:rPr>
                <w:b/>
                <w:noProof/>
              </w:rPr>
              <w:t>GRADE</w:t>
            </w:r>
            <w:r w:rsidR="007446CB" w:rsidRPr="007446CB">
              <w:rPr>
                <w:b/>
                <w:noProof/>
                <w:vertAlign w:val="superscript"/>
              </w:rPr>
              <w:t>a</w:t>
            </w:r>
          </w:p>
          <w:p w:rsidR="0075777C" w:rsidRPr="00805885" w:rsidRDefault="0075777C" w:rsidP="00805885">
            <w:pPr>
              <w:pStyle w:val="Tabletext"/>
              <w:rPr>
                <w:b/>
                <w:noProof/>
              </w:rPr>
            </w:pPr>
            <w:r w:rsidRPr="00805885">
              <w:rPr>
                <w:b/>
                <w:noProof/>
              </w:rPr>
              <w:t>Importance</w:t>
            </w:r>
          </w:p>
        </w:tc>
      </w:tr>
      <w:tr w:rsidR="0075777C" w:rsidRPr="006316DF" w:rsidTr="00805885">
        <w:tc>
          <w:tcPr>
            <w:tcW w:w="1560" w:type="dxa"/>
          </w:tcPr>
          <w:p w:rsidR="0075777C" w:rsidRPr="006316DF" w:rsidRDefault="0075777C" w:rsidP="00805885">
            <w:pPr>
              <w:pStyle w:val="Tabletext"/>
              <w:rPr>
                <w:rFonts w:cs="Arial"/>
              </w:rPr>
            </w:pPr>
            <w:r w:rsidRPr="006316DF">
              <w:rPr>
                <w:rFonts w:cs="Arial"/>
              </w:rPr>
              <w:t xml:space="preserve">Clinical worsening </w:t>
            </w:r>
          </w:p>
        </w:tc>
        <w:tc>
          <w:tcPr>
            <w:tcW w:w="1275" w:type="dxa"/>
          </w:tcPr>
          <w:p w:rsidR="0075777C" w:rsidRPr="006316DF" w:rsidRDefault="0075777C" w:rsidP="00805885">
            <w:pPr>
              <w:pStyle w:val="Tabletext"/>
              <w:rPr>
                <w:rFonts w:cs="Arial"/>
              </w:rPr>
            </w:pPr>
            <w:r w:rsidRPr="006316DF">
              <w:rPr>
                <w:rFonts w:cs="Arial"/>
              </w:rPr>
              <w:t>N=</w:t>
            </w:r>
            <w:r>
              <w:rPr>
                <w:rFonts w:cs="Arial"/>
              </w:rPr>
              <w:t>167</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Imprecisio</w:t>
            </w:r>
            <w:r>
              <w:rPr>
                <w:rFonts w:cs="Arial"/>
              </w:rPr>
              <w:t>n: −1</w:t>
            </w:r>
          </w:p>
          <w:p w:rsidR="0075777C" w:rsidRDefault="0075777C" w:rsidP="00805885">
            <w:pPr>
              <w:pStyle w:val="Tabletext"/>
              <w:rPr>
                <w:rFonts w:cs="Arial"/>
              </w:rPr>
            </w:pPr>
            <w:r w:rsidRPr="006316DF">
              <w:rPr>
                <w:rFonts w:cs="Arial"/>
              </w:rPr>
              <w:t>Publication bias: 0</w:t>
            </w:r>
          </w:p>
          <w:p w:rsidR="0075777C" w:rsidRPr="006316DF" w:rsidRDefault="00F95747" w:rsidP="00805885">
            <w:pPr>
              <w:pStyle w:val="Tabletext"/>
              <w:rPr>
                <w:rFonts w:cs="Arial"/>
              </w:rPr>
            </w:pPr>
            <w:r>
              <w:rPr>
                <w:rFonts w:cs="Arial"/>
              </w:rPr>
              <w:t>Association: 0</w:t>
            </w:r>
          </w:p>
        </w:tc>
        <w:tc>
          <w:tcPr>
            <w:tcW w:w="1418" w:type="dxa"/>
          </w:tcPr>
          <w:p w:rsidR="0075777C" w:rsidRPr="00A17B9D" w:rsidRDefault="00A17B9D" w:rsidP="00805885">
            <w:pPr>
              <w:pStyle w:val="Tabletext"/>
              <w:rPr>
                <w:rFonts w:cs="Arial"/>
                <w:highlight w:val="black"/>
              </w:rPr>
            </w:pPr>
            <w:r>
              <w:rPr>
                <w:noProof/>
                <w:color w:val="000000"/>
                <w:highlight w:val="black"/>
              </w:rPr>
              <w:t>'''''''' '''' ''''''''''' ''''''''''''' '''''' '''''''''''' '''''''''''</w:t>
            </w:r>
          </w:p>
        </w:tc>
        <w:tc>
          <w:tcPr>
            <w:tcW w:w="2551" w:type="dxa"/>
          </w:tcPr>
          <w:p w:rsidR="0075777C" w:rsidRPr="00A17B9D" w:rsidRDefault="00A17B9D" w:rsidP="00805885">
            <w:pPr>
              <w:pStyle w:val="Tabletext"/>
              <w:rPr>
                <w:rFonts w:cs="Arial"/>
                <w:highlight w:val="black"/>
              </w:rPr>
            </w:pPr>
            <w:r>
              <w:rPr>
                <w:rFonts w:cs="Arial"/>
                <w:noProof/>
                <w:color w:val="000000"/>
                <w:highlight w:val="black"/>
              </w:rPr>
              <w:t>'''''''''''''''' ''''''''''''''''''' ''''''''''''''''''''''''''' ''''''''''''''''' ''''''''''''''''''''''''' ''''''''' '''''''''''''''''''''''''' '''''''''''''''''' ''''''''''''''''''''''' '''''''''' ''''''''''''''''''''''''''''''''''' ''''''''' '''''''' '''''''''' '''''' '''''''''''''''''''''' ''''''''' ''''''''''' ''''''''''' ''''''''''' '''''' ''''''' '''''''''''''''''' '''''''''''''</w:t>
            </w:r>
          </w:p>
        </w:tc>
        <w:tc>
          <w:tcPr>
            <w:tcW w:w="1134" w:type="dxa"/>
          </w:tcPr>
          <w:p w:rsidR="00F95747" w:rsidRDefault="00F95747" w:rsidP="00F95747">
            <w:pPr>
              <w:pStyle w:val="Tabletext"/>
              <w:rPr>
                <w:rFonts w:eastAsia="Times New Roman" w:cs="Tahoma"/>
                <w:bCs/>
              </w:rPr>
            </w:pPr>
            <w:r>
              <w:rPr>
                <w:rFonts w:eastAsia="Times New Roman" w:cs="Tahoma"/>
                <w:bCs/>
              </w:rPr>
              <w:t>Moderate</w:t>
            </w:r>
          </w:p>
          <w:p w:rsidR="00F95747" w:rsidRDefault="00F95747" w:rsidP="00F95747">
            <w:pPr>
              <w:pStyle w:val="Tabletext"/>
              <w:rPr>
                <w:rFonts w:ascii="Cambria Math" w:eastAsia="Times New Roman" w:hAnsi="Cambria Math" w:cs="Cambria Math"/>
                <w:bCs/>
              </w:rPr>
            </w:pP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75777C" w:rsidRPr="006316DF" w:rsidRDefault="0075777C" w:rsidP="00805885">
            <w:pPr>
              <w:pStyle w:val="Tabletext"/>
              <w:rPr>
                <w:rFonts w:cs="Arial"/>
              </w:rPr>
            </w:pPr>
            <w:r w:rsidRPr="006316DF">
              <w:rPr>
                <w:rFonts w:cs="Cambria Math"/>
                <w:bCs/>
              </w:rPr>
              <w:t xml:space="preserve">Critical </w:t>
            </w:r>
          </w:p>
        </w:tc>
      </w:tr>
      <w:tr w:rsidR="0075777C" w:rsidRPr="006316DF" w:rsidTr="00805885">
        <w:tc>
          <w:tcPr>
            <w:tcW w:w="1560" w:type="dxa"/>
          </w:tcPr>
          <w:p w:rsidR="0075777C" w:rsidRPr="006316DF" w:rsidRDefault="0075777C" w:rsidP="00805885">
            <w:pPr>
              <w:pStyle w:val="Tabletext"/>
              <w:rPr>
                <w:rFonts w:cs="Arial"/>
              </w:rPr>
            </w:pPr>
            <w:r w:rsidRPr="006316DF">
              <w:rPr>
                <w:rFonts w:cs="Arial"/>
              </w:rPr>
              <w:t>All-cause mortality</w:t>
            </w:r>
          </w:p>
        </w:tc>
        <w:tc>
          <w:tcPr>
            <w:tcW w:w="1275" w:type="dxa"/>
          </w:tcPr>
          <w:p w:rsidR="0075777C" w:rsidRPr="006316DF" w:rsidRDefault="0075777C" w:rsidP="00805885">
            <w:pPr>
              <w:pStyle w:val="Tabletext"/>
              <w:rPr>
                <w:rFonts w:cs="Arial"/>
              </w:rPr>
            </w:pPr>
            <w:r w:rsidRPr="006316DF">
              <w:rPr>
                <w:rFonts w:cs="Arial"/>
              </w:rPr>
              <w:t>N=</w:t>
            </w:r>
            <w:r>
              <w:rPr>
                <w:rFonts w:cs="Arial"/>
              </w:rPr>
              <w:t>167</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 xml:space="preserve">Imprecision: </w:t>
            </w:r>
            <w:r w:rsidR="004F560A">
              <w:rPr>
                <w:rFonts w:cs="Arial"/>
              </w:rPr>
              <w:t>0</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 xml:space="preserve">Association: </w:t>
            </w:r>
            <w:r w:rsidR="004F560A">
              <w:rPr>
                <w:rFonts w:cs="Arial"/>
              </w:rPr>
              <w:t>0</w:t>
            </w:r>
          </w:p>
        </w:tc>
        <w:tc>
          <w:tcPr>
            <w:tcW w:w="1418" w:type="dxa"/>
          </w:tcPr>
          <w:p w:rsidR="0075777C" w:rsidRPr="00A17B9D" w:rsidRDefault="00A17B9D" w:rsidP="004F560A">
            <w:pPr>
              <w:pStyle w:val="Tabletext"/>
              <w:rPr>
                <w:highlight w:val="black"/>
              </w:rPr>
            </w:pPr>
            <w:r>
              <w:rPr>
                <w:noProof/>
                <w:color w:val="000000"/>
                <w:highlight w:val="black"/>
              </w:rPr>
              <w:t>'''''''''''' '''' ''''''''''''''''' ''''''''''' '''''' ''''''''''' '''''''''</w:t>
            </w:r>
          </w:p>
        </w:tc>
        <w:tc>
          <w:tcPr>
            <w:tcW w:w="2551" w:type="dxa"/>
          </w:tcPr>
          <w:p w:rsidR="0075777C" w:rsidRPr="002F62A8" w:rsidRDefault="00A17B9D" w:rsidP="00805885">
            <w:pPr>
              <w:pStyle w:val="Tabletext"/>
              <w:rPr>
                <w:highlight w:val="green"/>
              </w:rPr>
            </w:pPr>
            <w:r>
              <w:rPr>
                <w:rFonts w:cs="Arial"/>
                <w:noProof/>
                <w:color w:val="000000"/>
                <w:highlight w:val="black"/>
              </w:rPr>
              <w:t>''''''''''''''' '''''''''''''''''' ''''''''''' ''''''''''' ''''''''' '''''''''''''''' ''''''''' ''''''''''''''''''''''''''''''' ''''''''''''''''''' '''''''''''''''''''''''' ''''''''' ''''''''''''''''''''''''''''''''''' '''''''' '''''''' ''''''''''' '''''' ''''''''''''''''''''' '''''''''' ''''''''''''' ''''''''''' ''''''''' '''''' '''''''' ''''''''''''''''''''' ''''''''''''''</w:t>
            </w:r>
            <w:r w:rsidR="0075777C" w:rsidRPr="00AD46B9">
              <w:t>.</w:t>
            </w:r>
          </w:p>
        </w:tc>
        <w:tc>
          <w:tcPr>
            <w:tcW w:w="1134" w:type="dxa"/>
          </w:tcPr>
          <w:p w:rsidR="0075777C" w:rsidRPr="006316DF" w:rsidRDefault="0075777C" w:rsidP="00805885">
            <w:pPr>
              <w:pStyle w:val="Tabletext"/>
              <w:rPr>
                <w:rFonts w:cs="Arial"/>
              </w:rPr>
            </w:pPr>
            <w:r>
              <w:rPr>
                <w:rFonts w:cs="Arial"/>
              </w:rPr>
              <w:t>High</w:t>
            </w:r>
          </w:p>
          <w:p w:rsidR="0075777C" w:rsidRPr="006316DF" w:rsidRDefault="0075777C" w:rsidP="00805885">
            <w:pPr>
              <w:pStyle w:val="Tabletext"/>
              <w:rPr>
                <w:rFonts w:cs="Cambria Math"/>
                <w:bCs/>
              </w:rPr>
            </w:pPr>
            <w:r w:rsidRPr="006316DF">
              <w:rPr>
                <w:rFonts w:ascii="Cambria Math" w:hAnsi="Cambria Math" w:cs="Cambria Math"/>
                <w:bCs/>
                <w:color w:val="00B050"/>
              </w:rPr>
              <w:t>⨁⨁⨁⨁</w:t>
            </w:r>
          </w:p>
          <w:p w:rsidR="0075777C" w:rsidRPr="006316DF" w:rsidRDefault="0075777C" w:rsidP="00805885">
            <w:pPr>
              <w:pStyle w:val="Tabletext"/>
              <w:rPr>
                <w:rFonts w:cs="Arial"/>
              </w:rPr>
            </w:pPr>
            <w:r w:rsidRPr="006316DF">
              <w:rPr>
                <w:rFonts w:cs="Arial"/>
              </w:rPr>
              <w:t>Critical</w:t>
            </w:r>
          </w:p>
        </w:tc>
      </w:tr>
      <w:tr w:rsidR="0075777C" w:rsidRPr="006316DF" w:rsidTr="00805885">
        <w:tc>
          <w:tcPr>
            <w:tcW w:w="1560" w:type="dxa"/>
          </w:tcPr>
          <w:p w:rsidR="0075777C" w:rsidRPr="006316DF" w:rsidRDefault="0075777C" w:rsidP="00805885">
            <w:pPr>
              <w:pStyle w:val="Tabletext"/>
              <w:rPr>
                <w:rFonts w:cs="Arial"/>
              </w:rPr>
            </w:pPr>
            <w:r>
              <w:rPr>
                <w:rFonts w:cs="Arial"/>
              </w:rPr>
              <w:t>Hospitalisation</w:t>
            </w:r>
            <w:r w:rsidR="004F560A">
              <w:rPr>
                <w:rFonts w:cs="Arial"/>
              </w:rPr>
              <w:t xml:space="preserve"> due to </w:t>
            </w:r>
            <w:r w:rsidR="00BD512F">
              <w:rPr>
                <w:rFonts w:cs="Arial"/>
              </w:rPr>
              <w:t xml:space="preserve">worsening </w:t>
            </w:r>
            <w:r w:rsidR="004F560A">
              <w:rPr>
                <w:rFonts w:cs="Arial"/>
              </w:rPr>
              <w:t>PAH</w:t>
            </w:r>
          </w:p>
        </w:tc>
        <w:tc>
          <w:tcPr>
            <w:tcW w:w="1275" w:type="dxa"/>
          </w:tcPr>
          <w:p w:rsidR="0075777C" w:rsidRPr="006316DF" w:rsidRDefault="0075777C" w:rsidP="00805885">
            <w:pPr>
              <w:pStyle w:val="Tabletext"/>
              <w:rPr>
                <w:rFonts w:cs="Arial"/>
              </w:rPr>
            </w:pPr>
            <w:r w:rsidRPr="006316DF">
              <w:rPr>
                <w:rFonts w:cs="Arial"/>
              </w:rPr>
              <w:t>N=</w:t>
            </w:r>
            <w:r>
              <w:rPr>
                <w:rFonts w:cs="Arial"/>
              </w:rPr>
              <w:t>167</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 xml:space="preserve">Imprecision: </w:t>
            </w:r>
            <w:r>
              <w:rPr>
                <w:rFonts w:cs="Arial"/>
              </w:rPr>
              <w:t>−</w:t>
            </w:r>
            <w:r w:rsidRPr="006316DF">
              <w:rPr>
                <w:rFonts w:cs="Arial"/>
              </w:rPr>
              <w:t>1</w:t>
            </w:r>
          </w:p>
          <w:p w:rsidR="0075777C" w:rsidRDefault="0075777C" w:rsidP="00805885">
            <w:pPr>
              <w:pStyle w:val="Tabletext"/>
              <w:rPr>
                <w:rFonts w:cs="Arial"/>
              </w:rPr>
            </w:pPr>
            <w:r w:rsidRPr="006316DF">
              <w:rPr>
                <w:rFonts w:cs="Arial"/>
              </w:rPr>
              <w:t>Publication bias: 0</w:t>
            </w:r>
          </w:p>
          <w:p w:rsidR="0075777C" w:rsidRPr="006316DF" w:rsidRDefault="00BE799B" w:rsidP="00805885">
            <w:pPr>
              <w:pStyle w:val="Tabletext"/>
              <w:rPr>
                <w:rFonts w:cs="Arial"/>
              </w:rPr>
            </w:pPr>
            <w:r>
              <w:rPr>
                <w:rFonts w:cs="Arial"/>
              </w:rPr>
              <w:t>Association: 0</w:t>
            </w:r>
          </w:p>
        </w:tc>
        <w:tc>
          <w:tcPr>
            <w:tcW w:w="1418" w:type="dxa"/>
          </w:tcPr>
          <w:p w:rsidR="0075777C" w:rsidRPr="00A17B9D" w:rsidRDefault="00A17B9D" w:rsidP="00805885">
            <w:pPr>
              <w:pStyle w:val="Tabletext"/>
              <w:rPr>
                <w:highlight w:val="black"/>
              </w:rPr>
            </w:pPr>
            <w:r>
              <w:rPr>
                <w:noProof/>
                <w:color w:val="000000"/>
                <w:highlight w:val="black"/>
              </w:rPr>
              <w:t>''''''' ''' '''''''''''' '''''''''''' ''''' '''''''''''' '''''''''''</w:t>
            </w:r>
          </w:p>
        </w:tc>
        <w:tc>
          <w:tcPr>
            <w:tcW w:w="2551" w:type="dxa"/>
          </w:tcPr>
          <w:p w:rsidR="0075777C" w:rsidRPr="002F62A8" w:rsidRDefault="00116B52" w:rsidP="00805885">
            <w:pPr>
              <w:pStyle w:val="Tabletext"/>
              <w:rPr>
                <w:highlight w:val="green"/>
              </w:rPr>
            </w:pPr>
            <w:r>
              <w:rPr>
                <w:rFonts w:cs="Arial"/>
                <w:noProof/>
                <w:color w:val="000000"/>
                <w:highlight w:val="black"/>
              </w:rPr>
              <w:t>''''''''''''''' '''''''''''''''''' '''''''''''' '''''''''''''''''''''''''''''' ''''''''' ''''''''''''''''''''''''''''' '''''''''''''''''' '''''''''''''''''''''''''' '''''''''' '''''''''''''''''''''''''''''''' ''''''' ''''''' '''''''''' '''''' '''''''''''''''''''''' ''''''''' ''''''''''''' '''''''''' ''''''''''' '''''' ''''''' '''''''''''''''''''''' ''''''''''''</w:t>
            </w:r>
          </w:p>
        </w:tc>
        <w:tc>
          <w:tcPr>
            <w:tcW w:w="1134" w:type="dxa"/>
          </w:tcPr>
          <w:p w:rsidR="00BE799B" w:rsidRDefault="00BE799B" w:rsidP="00BE799B">
            <w:pPr>
              <w:pStyle w:val="Tabletext"/>
              <w:rPr>
                <w:rFonts w:eastAsia="Times New Roman" w:cs="Tahoma"/>
                <w:bCs/>
              </w:rPr>
            </w:pPr>
            <w:r>
              <w:rPr>
                <w:rFonts w:eastAsia="Times New Roman" w:cs="Tahoma"/>
                <w:bCs/>
              </w:rPr>
              <w:t>Moderate</w:t>
            </w:r>
          </w:p>
          <w:p w:rsidR="00BE799B" w:rsidRDefault="00BE799B" w:rsidP="00BE799B">
            <w:pPr>
              <w:pStyle w:val="Tabletext"/>
              <w:rPr>
                <w:rFonts w:ascii="Cambria Math" w:eastAsia="Times New Roman" w:hAnsi="Cambria Math" w:cs="Cambria Math"/>
                <w:bCs/>
              </w:rPr>
            </w:pP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75777C" w:rsidRPr="006316DF" w:rsidRDefault="00805885" w:rsidP="00805885">
            <w:pPr>
              <w:pStyle w:val="Tabletext"/>
              <w:rPr>
                <w:rFonts w:cs="Arial"/>
              </w:rPr>
            </w:pPr>
            <w:r>
              <w:rPr>
                <w:rFonts w:cs="Arial"/>
              </w:rPr>
              <w:t>Important</w:t>
            </w:r>
          </w:p>
        </w:tc>
      </w:tr>
      <w:tr w:rsidR="0075777C" w:rsidRPr="006316DF" w:rsidTr="00805885">
        <w:tc>
          <w:tcPr>
            <w:tcW w:w="1560" w:type="dxa"/>
          </w:tcPr>
          <w:p w:rsidR="0075777C" w:rsidRPr="006316DF" w:rsidRDefault="0075777C" w:rsidP="00805885">
            <w:pPr>
              <w:pStyle w:val="Tabletext"/>
              <w:rPr>
                <w:rFonts w:cs="Arial"/>
              </w:rPr>
            </w:pPr>
            <w:r w:rsidRPr="006316DF">
              <w:rPr>
                <w:rFonts w:cs="Arial"/>
              </w:rPr>
              <w:t>Improved WHO FC</w:t>
            </w:r>
          </w:p>
        </w:tc>
        <w:tc>
          <w:tcPr>
            <w:tcW w:w="1275" w:type="dxa"/>
          </w:tcPr>
          <w:p w:rsidR="0075777C" w:rsidRPr="006316DF" w:rsidRDefault="0075777C" w:rsidP="00805885">
            <w:pPr>
              <w:pStyle w:val="Tabletext"/>
              <w:rPr>
                <w:rFonts w:cs="Arial"/>
              </w:rPr>
            </w:pPr>
            <w:r w:rsidRPr="006316DF">
              <w:rPr>
                <w:rFonts w:cs="Arial"/>
              </w:rPr>
              <w:t>N=</w:t>
            </w:r>
            <w:r>
              <w:rPr>
                <w:rFonts w:cs="Arial"/>
              </w:rPr>
              <w:t>167</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 xml:space="preserve">Imprecision: </w:t>
            </w:r>
            <w:r>
              <w:rPr>
                <w:rFonts w:cs="Arial"/>
              </w:rPr>
              <w:t>−</w:t>
            </w:r>
            <w:r w:rsidRPr="006316DF">
              <w:rPr>
                <w:rFonts w:cs="Arial"/>
              </w:rPr>
              <w:t>1</w:t>
            </w:r>
          </w:p>
          <w:p w:rsidR="0075777C" w:rsidRDefault="0075777C" w:rsidP="00805885">
            <w:pPr>
              <w:pStyle w:val="Tabletext"/>
              <w:rPr>
                <w:rFonts w:cs="Arial"/>
              </w:rPr>
            </w:pPr>
            <w:r w:rsidRPr="006316DF">
              <w:rPr>
                <w:rFonts w:cs="Arial"/>
              </w:rPr>
              <w:t>Publication bias: 0</w:t>
            </w:r>
          </w:p>
          <w:p w:rsidR="0075777C" w:rsidRPr="006316DF" w:rsidRDefault="00BE799B" w:rsidP="00805885">
            <w:pPr>
              <w:pStyle w:val="Tabletext"/>
              <w:rPr>
                <w:rFonts w:cs="Arial"/>
              </w:rPr>
            </w:pPr>
            <w:r>
              <w:rPr>
                <w:rFonts w:cs="Arial"/>
              </w:rPr>
              <w:t>Association: 0</w:t>
            </w:r>
          </w:p>
        </w:tc>
        <w:tc>
          <w:tcPr>
            <w:tcW w:w="1418" w:type="dxa"/>
          </w:tcPr>
          <w:p w:rsidR="0075777C" w:rsidRPr="00A17B9D" w:rsidRDefault="00A17B9D" w:rsidP="00805885">
            <w:pPr>
              <w:pStyle w:val="Tabletext"/>
              <w:rPr>
                <w:highlight w:val="black"/>
              </w:rPr>
            </w:pPr>
            <w:r>
              <w:rPr>
                <w:noProof/>
                <w:color w:val="000000"/>
                <w:highlight w:val="black"/>
              </w:rPr>
              <w:t>'''''''' '''' ''''''''''' ''''''''''''' '''''' ''''''''''' '''''''''''</w:t>
            </w:r>
          </w:p>
        </w:tc>
        <w:tc>
          <w:tcPr>
            <w:tcW w:w="2551" w:type="dxa"/>
          </w:tcPr>
          <w:p w:rsidR="0075777C" w:rsidRPr="00A17B9D" w:rsidRDefault="00A17B9D" w:rsidP="00805885">
            <w:pPr>
              <w:pStyle w:val="Tabletext"/>
              <w:rPr>
                <w:rFonts w:cs="Arial"/>
                <w:highlight w:val="black"/>
              </w:rPr>
            </w:pPr>
            <w:r>
              <w:rPr>
                <w:rFonts w:cs="Arial"/>
                <w:noProof/>
                <w:color w:val="000000"/>
                <w:highlight w:val="black"/>
              </w:rPr>
              <w:t>''''''''''' ''''''''''''''''''''' '''''' '''''''''''''''''''''''''' '''''''''''''''''' '''''''''''''''''''' '''''''''' '''''''''''''' ''''''' '''''''''' '''''''''''''' '''''' '''''''''''''''''''''''''''''''' '''''''''''''''''''''' '''''''' '''''''''''''' ''''''' ''''''' ''''''''''' '''''''''''''' ''''''''''''''''''''' '''''''''''''''''''''''''''''</w:t>
            </w:r>
          </w:p>
        </w:tc>
        <w:tc>
          <w:tcPr>
            <w:tcW w:w="1134" w:type="dxa"/>
          </w:tcPr>
          <w:p w:rsidR="00BE799B" w:rsidRDefault="00BE799B" w:rsidP="00BE799B">
            <w:pPr>
              <w:pStyle w:val="Tabletext"/>
              <w:rPr>
                <w:rFonts w:eastAsia="Times New Roman" w:cs="Tahoma"/>
                <w:bCs/>
              </w:rPr>
            </w:pPr>
            <w:r>
              <w:rPr>
                <w:rFonts w:eastAsia="Times New Roman" w:cs="Tahoma"/>
                <w:bCs/>
              </w:rPr>
              <w:t>Moderate</w:t>
            </w:r>
          </w:p>
          <w:p w:rsidR="00BE799B" w:rsidRDefault="00BE799B" w:rsidP="00BE799B">
            <w:pPr>
              <w:pStyle w:val="Tabletext"/>
              <w:rPr>
                <w:rFonts w:ascii="Cambria Math" w:eastAsia="Times New Roman" w:hAnsi="Cambria Math" w:cs="Cambria Math"/>
                <w:bCs/>
              </w:rPr>
            </w:pP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75777C" w:rsidRPr="006316DF" w:rsidRDefault="0075777C" w:rsidP="00805885">
            <w:pPr>
              <w:pStyle w:val="Tabletext"/>
              <w:rPr>
                <w:rFonts w:cs="Arial"/>
              </w:rPr>
            </w:pPr>
            <w:r w:rsidRPr="006316DF">
              <w:rPr>
                <w:rFonts w:cs="Arial"/>
              </w:rPr>
              <w:t>Important</w:t>
            </w:r>
          </w:p>
        </w:tc>
      </w:tr>
      <w:tr w:rsidR="0075777C" w:rsidRPr="006316DF" w:rsidTr="00805885">
        <w:tc>
          <w:tcPr>
            <w:tcW w:w="1560" w:type="dxa"/>
          </w:tcPr>
          <w:p w:rsidR="0075777C" w:rsidRPr="006316DF" w:rsidRDefault="0075777C" w:rsidP="00805885">
            <w:pPr>
              <w:pStyle w:val="Tabletext"/>
              <w:rPr>
                <w:rFonts w:cs="Arial"/>
              </w:rPr>
            </w:pPr>
            <w:r>
              <w:rPr>
                <w:rFonts w:cs="Arial"/>
              </w:rPr>
              <w:lastRenderedPageBreak/>
              <w:t xml:space="preserve">Worsened </w:t>
            </w:r>
            <w:r w:rsidRPr="006316DF">
              <w:rPr>
                <w:rFonts w:cs="Arial"/>
              </w:rPr>
              <w:t>WHO FC</w:t>
            </w:r>
          </w:p>
        </w:tc>
        <w:tc>
          <w:tcPr>
            <w:tcW w:w="1275" w:type="dxa"/>
          </w:tcPr>
          <w:p w:rsidR="0075777C" w:rsidRPr="006316DF" w:rsidRDefault="0075777C" w:rsidP="00805885">
            <w:pPr>
              <w:pStyle w:val="Tabletext"/>
              <w:rPr>
                <w:rFonts w:cs="Arial"/>
              </w:rPr>
            </w:pPr>
            <w:r w:rsidRPr="006316DF">
              <w:rPr>
                <w:rFonts w:cs="Arial"/>
              </w:rPr>
              <w:t>N=</w:t>
            </w:r>
            <w:r>
              <w:rPr>
                <w:rFonts w:cs="Arial"/>
              </w:rPr>
              <w:t>167</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 xml:space="preserve">Imprecision: </w:t>
            </w:r>
            <w:r>
              <w:rPr>
                <w:rFonts w:cs="Arial"/>
              </w:rPr>
              <w:t>−</w:t>
            </w:r>
            <w:r w:rsidRPr="006316DF">
              <w:rPr>
                <w:rFonts w:cs="Arial"/>
              </w:rPr>
              <w:t>1</w:t>
            </w:r>
          </w:p>
          <w:p w:rsidR="0075777C" w:rsidRDefault="0075777C" w:rsidP="00805885">
            <w:pPr>
              <w:pStyle w:val="Tabletext"/>
              <w:rPr>
                <w:rFonts w:cs="Arial"/>
              </w:rPr>
            </w:pPr>
            <w:r w:rsidRPr="006316DF">
              <w:rPr>
                <w:rFonts w:cs="Arial"/>
              </w:rPr>
              <w:t>Publication bias: 0</w:t>
            </w:r>
          </w:p>
          <w:p w:rsidR="0075777C" w:rsidRPr="006316DF" w:rsidRDefault="00BE799B" w:rsidP="00805885">
            <w:pPr>
              <w:pStyle w:val="Tabletext"/>
              <w:rPr>
                <w:rFonts w:cs="Arial"/>
              </w:rPr>
            </w:pPr>
            <w:r>
              <w:rPr>
                <w:rFonts w:cs="Arial"/>
              </w:rPr>
              <w:t>Association: 0</w:t>
            </w:r>
          </w:p>
        </w:tc>
        <w:tc>
          <w:tcPr>
            <w:tcW w:w="1418" w:type="dxa"/>
          </w:tcPr>
          <w:p w:rsidR="0075777C" w:rsidRPr="00A17B9D" w:rsidRDefault="00A17B9D" w:rsidP="00805885">
            <w:pPr>
              <w:pStyle w:val="Tabletext"/>
              <w:rPr>
                <w:highlight w:val="black"/>
              </w:rPr>
            </w:pPr>
            <w:r>
              <w:rPr>
                <w:noProof/>
                <w:color w:val="000000"/>
                <w:highlight w:val="black"/>
              </w:rPr>
              <w:t>''''''''' ''' ''''''''''' '''''''''''' ''''' ''''''''''''' '''''''''''</w:t>
            </w:r>
          </w:p>
        </w:tc>
        <w:tc>
          <w:tcPr>
            <w:tcW w:w="2551" w:type="dxa"/>
          </w:tcPr>
          <w:p w:rsidR="0075777C" w:rsidRPr="00A17B9D" w:rsidRDefault="00A17B9D" w:rsidP="00805885">
            <w:pPr>
              <w:pStyle w:val="Tabletext"/>
              <w:rPr>
                <w:rFonts w:cs="Arial"/>
                <w:highlight w:val="black"/>
              </w:rPr>
            </w:pPr>
            <w:r>
              <w:rPr>
                <w:rFonts w:cs="Arial"/>
                <w:noProof/>
                <w:color w:val="000000"/>
                <w:highlight w:val="black"/>
              </w:rPr>
              <w:t>'''''''''''''' ''''''''''''''''''''' ''''''''''''''''''''''''''' ''''''''''''''' '''''''''''''''''''''''' '''''''''' '''''''''''''''''''''''''' ''''''''''''''''' '''''''''''''''''''''''' ''''''''' ''''''''''''''''''''''''''''''''''' ''''''''''''''''''''''' '''''''' ''''''''''''' ''''''' '''''''' ''''''''''''' ''''''''''''' '''''''''''''''''''''''' '''''''''''''''''''''''''''''''</w:t>
            </w:r>
          </w:p>
        </w:tc>
        <w:tc>
          <w:tcPr>
            <w:tcW w:w="1134" w:type="dxa"/>
          </w:tcPr>
          <w:p w:rsidR="00BE799B" w:rsidRDefault="00BE799B" w:rsidP="00BE799B">
            <w:pPr>
              <w:pStyle w:val="Tabletext"/>
              <w:rPr>
                <w:rFonts w:eastAsia="Times New Roman" w:cs="Tahoma"/>
                <w:bCs/>
              </w:rPr>
            </w:pPr>
            <w:r>
              <w:rPr>
                <w:rFonts w:eastAsia="Times New Roman" w:cs="Tahoma"/>
                <w:bCs/>
              </w:rPr>
              <w:t>Moderate</w:t>
            </w:r>
          </w:p>
          <w:p w:rsidR="00BE799B" w:rsidRDefault="00BE799B" w:rsidP="00BE799B">
            <w:pPr>
              <w:pStyle w:val="Tabletext"/>
              <w:rPr>
                <w:rFonts w:ascii="Cambria Math" w:eastAsia="Times New Roman" w:hAnsi="Cambria Math" w:cs="Cambria Math"/>
                <w:bCs/>
              </w:rPr>
            </w:pP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75777C" w:rsidRPr="006316DF" w:rsidRDefault="0075777C" w:rsidP="00805885">
            <w:pPr>
              <w:pStyle w:val="Tabletext"/>
              <w:rPr>
                <w:rFonts w:cs="Arial"/>
              </w:rPr>
            </w:pPr>
            <w:r w:rsidRPr="006316DF">
              <w:rPr>
                <w:rFonts w:cs="Arial"/>
              </w:rPr>
              <w:t>Important</w:t>
            </w:r>
          </w:p>
        </w:tc>
      </w:tr>
      <w:tr w:rsidR="00805885" w:rsidRPr="006316DF" w:rsidTr="00805885">
        <w:tc>
          <w:tcPr>
            <w:tcW w:w="1560" w:type="dxa"/>
          </w:tcPr>
          <w:p w:rsidR="00805885" w:rsidRPr="006316DF" w:rsidRDefault="00805885" w:rsidP="00805885">
            <w:pPr>
              <w:pStyle w:val="Tabletext"/>
              <w:rPr>
                <w:rFonts w:cs="Arial"/>
              </w:rPr>
            </w:pPr>
            <w:r w:rsidRPr="006316DF">
              <w:rPr>
                <w:rFonts w:cs="Arial"/>
              </w:rPr>
              <w:t>Change in 6MWD</w:t>
            </w:r>
            <w:r>
              <w:rPr>
                <w:rFonts w:cs="Arial"/>
              </w:rPr>
              <w:t xml:space="preserve"> from baseline</w:t>
            </w:r>
          </w:p>
        </w:tc>
        <w:tc>
          <w:tcPr>
            <w:tcW w:w="1275" w:type="dxa"/>
          </w:tcPr>
          <w:p w:rsidR="00805885" w:rsidRPr="006316DF" w:rsidRDefault="00805885" w:rsidP="00805885">
            <w:pPr>
              <w:pStyle w:val="Tabletext"/>
              <w:rPr>
                <w:rFonts w:cs="Arial"/>
              </w:rPr>
            </w:pPr>
            <w:r w:rsidRPr="006316DF">
              <w:rPr>
                <w:rFonts w:cs="Arial"/>
              </w:rPr>
              <w:t>N=</w:t>
            </w:r>
            <w:r>
              <w:rPr>
                <w:rFonts w:cs="Arial"/>
              </w:rPr>
              <w:t>167</w:t>
            </w:r>
          </w:p>
          <w:p w:rsidR="00805885" w:rsidRPr="006316DF" w:rsidRDefault="00805885"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805885" w:rsidRPr="006316DF" w:rsidRDefault="00805885" w:rsidP="00805885">
            <w:pPr>
              <w:pStyle w:val="Tabletext"/>
              <w:rPr>
                <w:rFonts w:cs="Arial"/>
              </w:rPr>
            </w:pPr>
            <w:r>
              <w:rPr>
                <w:rFonts w:cs="Arial"/>
              </w:rPr>
              <w:t>Risk of bias: 0</w:t>
            </w:r>
          </w:p>
          <w:p w:rsidR="00805885" w:rsidRPr="006316DF" w:rsidRDefault="00805885" w:rsidP="00805885">
            <w:pPr>
              <w:pStyle w:val="Tabletext"/>
              <w:rPr>
                <w:rFonts w:cs="Arial"/>
              </w:rPr>
            </w:pPr>
            <w:r w:rsidRPr="006316DF">
              <w:rPr>
                <w:rFonts w:cs="Arial"/>
              </w:rPr>
              <w:t>Inconsistency: 0</w:t>
            </w:r>
          </w:p>
          <w:p w:rsidR="00805885" w:rsidRPr="006316DF" w:rsidRDefault="00805885" w:rsidP="00805885">
            <w:pPr>
              <w:pStyle w:val="Tabletext"/>
              <w:rPr>
                <w:rFonts w:cs="Arial"/>
              </w:rPr>
            </w:pPr>
            <w:r w:rsidRPr="006316DF">
              <w:rPr>
                <w:rFonts w:cs="Arial"/>
              </w:rPr>
              <w:t xml:space="preserve">Indirectness: </w:t>
            </w:r>
            <w:r w:rsidR="00B47224">
              <w:rPr>
                <w:rFonts w:cs="Arial"/>
              </w:rPr>
              <w:t>−1</w:t>
            </w:r>
          </w:p>
          <w:p w:rsidR="00805885" w:rsidRDefault="00805885" w:rsidP="00805885">
            <w:pPr>
              <w:pStyle w:val="Tabletext"/>
              <w:rPr>
                <w:rFonts w:cs="Arial"/>
              </w:rPr>
            </w:pPr>
            <w:r w:rsidRPr="006316DF">
              <w:rPr>
                <w:rFonts w:cs="Arial"/>
              </w:rPr>
              <w:t>Imprecision: 0</w:t>
            </w:r>
          </w:p>
          <w:p w:rsidR="00805885" w:rsidRDefault="00805885" w:rsidP="00805885">
            <w:pPr>
              <w:pStyle w:val="Tabletext"/>
              <w:rPr>
                <w:rFonts w:cs="Arial"/>
              </w:rPr>
            </w:pPr>
            <w:r w:rsidRPr="006316DF">
              <w:rPr>
                <w:rFonts w:cs="Arial"/>
              </w:rPr>
              <w:t>Publication bias: 0</w:t>
            </w:r>
          </w:p>
          <w:p w:rsidR="00805885" w:rsidRPr="006316DF" w:rsidRDefault="00805885" w:rsidP="00805885">
            <w:pPr>
              <w:pStyle w:val="Tabletext"/>
              <w:rPr>
                <w:rFonts w:cs="Arial"/>
              </w:rPr>
            </w:pPr>
            <w:r>
              <w:rPr>
                <w:rFonts w:cs="Arial"/>
              </w:rPr>
              <w:t>Association: 0</w:t>
            </w:r>
          </w:p>
        </w:tc>
        <w:tc>
          <w:tcPr>
            <w:tcW w:w="1418" w:type="dxa"/>
          </w:tcPr>
          <w:p w:rsidR="00805885" w:rsidRPr="00A17B9D" w:rsidRDefault="00A17B9D" w:rsidP="007B3912">
            <w:pPr>
              <w:pStyle w:val="Tabletext"/>
              <w:rPr>
                <w:highlight w:val="black"/>
              </w:rPr>
            </w:pPr>
            <w:r>
              <w:rPr>
                <w:noProof/>
                <w:color w:val="000000"/>
                <w:highlight w:val="black"/>
              </w:rPr>
              <w:t>'''''''' ''' ''''''''''' '''' '''''''''''''''''</w:t>
            </w:r>
            <w:r>
              <w:rPr>
                <w:noProof/>
                <w:color w:val="000000"/>
                <w:highlight w:val="black"/>
              </w:rPr>
              <w:br/>
              <w:t>'''''''''''' '''''' ''''''''' '''''''''''</w:t>
            </w:r>
          </w:p>
        </w:tc>
        <w:tc>
          <w:tcPr>
            <w:tcW w:w="2551" w:type="dxa"/>
          </w:tcPr>
          <w:p w:rsidR="00805885" w:rsidRPr="00A17B9D" w:rsidRDefault="00A17B9D" w:rsidP="00805885">
            <w:pPr>
              <w:pStyle w:val="Tabletext"/>
              <w:rPr>
                <w:rFonts w:cs="Arial"/>
                <w:highlight w:val="black"/>
              </w:rPr>
            </w:pPr>
            <w:r>
              <w:rPr>
                <w:rFonts w:cs="Arial"/>
                <w:noProof/>
                <w:color w:val="000000"/>
                <w:highlight w:val="black"/>
              </w:rPr>
              <w:t>''''''''''''''''''''' '''''' ''''''''''''''''''''''''''''' ''''''''''''''''''' ''''''''' ''' ''''''''''''''' ''''''''''''' '''''''''''''''''''''''''''''''' ''''' ''''''''' ''''''''''''''' ''''''''''' '''''''''''' '''''' ''''''''''''''''''''''''''''' '''''''' ''''''' ''''''''''''''''''''''''' '''''''''' '''''''' ''''''''''''''''''' ''''''''''''''''''''''''</w:t>
            </w:r>
          </w:p>
        </w:tc>
        <w:tc>
          <w:tcPr>
            <w:tcW w:w="1134" w:type="dxa"/>
          </w:tcPr>
          <w:p w:rsidR="00805885" w:rsidRPr="006316DF" w:rsidRDefault="00B47224" w:rsidP="00805885">
            <w:pPr>
              <w:pStyle w:val="Tabletext"/>
              <w:rPr>
                <w:rFonts w:cs="Arial"/>
              </w:rPr>
            </w:pPr>
            <w:r>
              <w:rPr>
                <w:rFonts w:cs="Arial"/>
              </w:rPr>
              <w:t>Moderate</w:t>
            </w:r>
          </w:p>
          <w:p w:rsidR="00805885" w:rsidRPr="006316DF" w:rsidRDefault="00805885" w:rsidP="00805885">
            <w:pPr>
              <w:pStyle w:val="Tabletext"/>
              <w:rPr>
                <w:rFonts w:cs="Cambria Math"/>
                <w:bCs/>
              </w:rPr>
            </w:pPr>
            <w:r w:rsidRPr="006316DF">
              <w:rPr>
                <w:rFonts w:ascii="Cambria Math" w:hAnsi="Cambria Math" w:cs="Cambria Math"/>
                <w:bCs/>
                <w:color w:val="00B050"/>
              </w:rPr>
              <w:t>⨁⨁⨁</w:t>
            </w:r>
            <w:r w:rsidR="00B47224" w:rsidRPr="006316DF">
              <w:rPr>
                <w:rFonts w:ascii="Cambria Math" w:hAnsi="Cambria Math" w:cs="Cambria Math"/>
                <w:color w:val="C00000"/>
              </w:rPr>
              <w:t>⨀</w:t>
            </w:r>
          </w:p>
          <w:p w:rsidR="00805885" w:rsidRPr="006316DF" w:rsidRDefault="00805885" w:rsidP="00805885">
            <w:pPr>
              <w:pStyle w:val="Tabletext"/>
              <w:rPr>
                <w:rFonts w:cs="Arial"/>
              </w:rPr>
            </w:pPr>
            <w:r>
              <w:rPr>
                <w:rFonts w:cs="Arial"/>
              </w:rPr>
              <w:t>I</w:t>
            </w:r>
            <w:r w:rsidRPr="006316DF">
              <w:rPr>
                <w:rFonts w:cs="Arial"/>
              </w:rPr>
              <w:t>mportant</w:t>
            </w:r>
          </w:p>
        </w:tc>
      </w:tr>
      <w:tr w:rsidR="00805885" w:rsidRPr="006316DF" w:rsidTr="00805885">
        <w:tc>
          <w:tcPr>
            <w:tcW w:w="1560" w:type="dxa"/>
          </w:tcPr>
          <w:p w:rsidR="00805885" w:rsidRPr="006316DF" w:rsidRDefault="00805885" w:rsidP="00805885">
            <w:pPr>
              <w:pStyle w:val="Tabletext"/>
              <w:rPr>
                <w:rFonts w:cs="Arial"/>
              </w:rPr>
            </w:pPr>
            <w:r w:rsidRPr="006316DF">
              <w:rPr>
                <w:rFonts w:cs="Arial"/>
              </w:rPr>
              <w:t xml:space="preserve">Change in </w:t>
            </w:r>
            <w:r>
              <w:rPr>
                <w:rFonts w:cs="Arial"/>
              </w:rPr>
              <w:t>QoL from baseline</w:t>
            </w:r>
          </w:p>
        </w:tc>
        <w:tc>
          <w:tcPr>
            <w:tcW w:w="1275" w:type="dxa"/>
          </w:tcPr>
          <w:p w:rsidR="00805885" w:rsidRPr="006316DF" w:rsidRDefault="00805885" w:rsidP="00805885">
            <w:pPr>
              <w:pStyle w:val="Tabletext"/>
              <w:rPr>
                <w:rFonts w:cs="Arial"/>
              </w:rPr>
            </w:pPr>
            <w:r w:rsidRPr="006316DF">
              <w:rPr>
                <w:rFonts w:cs="Arial"/>
              </w:rPr>
              <w:t>N=</w:t>
            </w:r>
            <w:r>
              <w:rPr>
                <w:rFonts w:cs="Arial"/>
              </w:rPr>
              <w:t>167</w:t>
            </w:r>
          </w:p>
          <w:p w:rsidR="00805885" w:rsidRPr="006316DF" w:rsidRDefault="00805885"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805885" w:rsidRPr="006316DF" w:rsidRDefault="00805885" w:rsidP="00805885">
            <w:pPr>
              <w:pStyle w:val="Tabletext"/>
              <w:rPr>
                <w:rFonts w:cs="Arial"/>
              </w:rPr>
            </w:pPr>
            <w:r>
              <w:rPr>
                <w:rFonts w:cs="Arial"/>
              </w:rPr>
              <w:t>Risk of bias: 0</w:t>
            </w:r>
          </w:p>
          <w:p w:rsidR="00805885" w:rsidRPr="006316DF" w:rsidRDefault="00805885" w:rsidP="00805885">
            <w:pPr>
              <w:pStyle w:val="Tabletext"/>
              <w:rPr>
                <w:rFonts w:cs="Arial"/>
              </w:rPr>
            </w:pPr>
            <w:r w:rsidRPr="006316DF">
              <w:rPr>
                <w:rFonts w:cs="Arial"/>
              </w:rPr>
              <w:t>Inconsistency: 0</w:t>
            </w:r>
          </w:p>
          <w:p w:rsidR="00805885" w:rsidRPr="006316DF" w:rsidRDefault="00805885" w:rsidP="00805885">
            <w:pPr>
              <w:pStyle w:val="Tabletext"/>
              <w:rPr>
                <w:rFonts w:cs="Arial"/>
              </w:rPr>
            </w:pPr>
            <w:r w:rsidRPr="006316DF">
              <w:rPr>
                <w:rFonts w:cs="Arial"/>
              </w:rPr>
              <w:t>Indirectness: 0</w:t>
            </w:r>
          </w:p>
          <w:p w:rsidR="00805885" w:rsidRDefault="00805885" w:rsidP="00805885">
            <w:pPr>
              <w:pStyle w:val="Tabletext"/>
              <w:rPr>
                <w:rFonts w:cs="Arial"/>
              </w:rPr>
            </w:pPr>
            <w:r w:rsidRPr="006316DF">
              <w:rPr>
                <w:rFonts w:cs="Arial"/>
              </w:rPr>
              <w:t>Imprecision: 0</w:t>
            </w:r>
          </w:p>
          <w:p w:rsidR="00805885" w:rsidRDefault="00805885" w:rsidP="00805885">
            <w:pPr>
              <w:pStyle w:val="Tabletext"/>
              <w:rPr>
                <w:rFonts w:cs="Arial"/>
              </w:rPr>
            </w:pPr>
            <w:r w:rsidRPr="006316DF">
              <w:rPr>
                <w:rFonts w:cs="Arial"/>
              </w:rPr>
              <w:t>Publication bias: 0</w:t>
            </w:r>
          </w:p>
          <w:p w:rsidR="00805885" w:rsidRPr="006316DF" w:rsidRDefault="00805885" w:rsidP="00805885">
            <w:pPr>
              <w:pStyle w:val="Tabletext"/>
              <w:rPr>
                <w:rFonts w:cs="Arial"/>
              </w:rPr>
            </w:pPr>
            <w:r>
              <w:rPr>
                <w:rFonts w:cs="Arial"/>
              </w:rPr>
              <w:t xml:space="preserve">Association: </w:t>
            </w:r>
            <w:r w:rsidR="006D0484">
              <w:rPr>
                <w:rFonts w:cs="Arial"/>
              </w:rPr>
              <w:t xml:space="preserve">0 to </w:t>
            </w:r>
            <w:r>
              <w:rPr>
                <w:rFonts w:cs="Arial"/>
              </w:rPr>
              <w:t>+1</w:t>
            </w:r>
          </w:p>
        </w:tc>
        <w:tc>
          <w:tcPr>
            <w:tcW w:w="1418" w:type="dxa"/>
          </w:tcPr>
          <w:p w:rsidR="00805885" w:rsidRPr="00A17B9D" w:rsidRDefault="00A17B9D" w:rsidP="00805885">
            <w:pPr>
              <w:pStyle w:val="Tabletext"/>
              <w:rPr>
                <w:highlight w:val="black"/>
              </w:rPr>
            </w:pPr>
            <w:r>
              <w:rPr>
                <w:noProof/>
                <w:color w:val="000000"/>
                <w:highlight w:val="black"/>
              </w:rPr>
              <w:t>'''''''''''''''''''''</w:t>
            </w:r>
            <w:r>
              <w:rPr>
                <w:noProof/>
                <w:color w:val="000000"/>
                <w:highlight w:val="black"/>
              </w:rPr>
              <w:br/>
              <w:t>''''''''' '''' ''''''''' ''''''''''' ''''''''''''''''''''''''''''''''</w:t>
            </w:r>
          </w:p>
          <w:p w:rsidR="00805885" w:rsidRPr="00A17B9D" w:rsidRDefault="00A17B9D" w:rsidP="00805885">
            <w:pPr>
              <w:pStyle w:val="Tabletext"/>
              <w:rPr>
                <w:highlight w:val="black"/>
              </w:rPr>
            </w:pPr>
            <w:r>
              <w:rPr>
                <w:noProof/>
                <w:color w:val="000000"/>
                <w:highlight w:val="black"/>
              </w:rPr>
              <w:t>''''''''''''''</w:t>
            </w:r>
            <w:r>
              <w:rPr>
                <w:noProof/>
                <w:color w:val="000000"/>
                <w:highlight w:val="black"/>
              </w:rPr>
              <w:br/>
              <w:t>''''''''' '''' ''''''''''' ''''''''''' ''''''''''''''''''''''''''''''</w:t>
            </w:r>
          </w:p>
        </w:tc>
        <w:tc>
          <w:tcPr>
            <w:tcW w:w="2551" w:type="dxa"/>
          </w:tcPr>
          <w:p w:rsidR="00805885" w:rsidRPr="00A17B9D" w:rsidRDefault="00A17B9D" w:rsidP="00805885">
            <w:pPr>
              <w:pStyle w:val="Tabletext"/>
              <w:rPr>
                <w:rFonts w:cs="Arial"/>
                <w:highlight w:val="black"/>
              </w:rPr>
            </w:pPr>
            <w:r>
              <w:rPr>
                <w:rFonts w:cs="Arial"/>
                <w:noProof/>
                <w:color w:val="000000"/>
                <w:highlight w:val="black"/>
              </w:rPr>
              <w:t>''''''''''''''''''' ''''''' ''''''''''''''''''''''''''''' ''''''''''''''''''' '''''''''' ''' ''''''''''''''' '''''''''''''' '''''''''''''''''''''''''''''' '''' '''''''''' ''''''''''' ''''''''''' ''''''''''''' ''''' '''''''''''''''''''''''''''''''' ''''''''' ''''''''''''''''''''''' ''''' '''''''''''''''' ''''''''''''' '''''''''' '''''''''''''''''''' '''''''''''''''''''''</w:t>
            </w:r>
          </w:p>
        </w:tc>
        <w:tc>
          <w:tcPr>
            <w:tcW w:w="1134" w:type="dxa"/>
          </w:tcPr>
          <w:p w:rsidR="00805885" w:rsidRPr="006316DF" w:rsidRDefault="00805885" w:rsidP="00805885">
            <w:pPr>
              <w:pStyle w:val="Tabletext"/>
              <w:rPr>
                <w:rFonts w:cs="Arial"/>
              </w:rPr>
            </w:pPr>
            <w:r>
              <w:rPr>
                <w:rFonts w:cs="Arial"/>
              </w:rPr>
              <w:t>High</w:t>
            </w:r>
          </w:p>
          <w:p w:rsidR="00805885" w:rsidRPr="006316DF" w:rsidRDefault="00805885" w:rsidP="00805885">
            <w:pPr>
              <w:pStyle w:val="Tabletext"/>
              <w:rPr>
                <w:rFonts w:cs="Cambria Math"/>
                <w:bCs/>
              </w:rPr>
            </w:pPr>
            <w:r w:rsidRPr="006316DF">
              <w:rPr>
                <w:rFonts w:ascii="Cambria Math" w:hAnsi="Cambria Math" w:cs="Cambria Math"/>
                <w:bCs/>
                <w:color w:val="00B050"/>
              </w:rPr>
              <w:t>⨁⨁⨁⨁</w:t>
            </w:r>
          </w:p>
          <w:p w:rsidR="00805885" w:rsidRPr="006316DF" w:rsidRDefault="00805885" w:rsidP="00805885">
            <w:pPr>
              <w:pStyle w:val="Tabletext"/>
              <w:rPr>
                <w:rFonts w:cs="Arial"/>
              </w:rPr>
            </w:pPr>
            <w:r>
              <w:rPr>
                <w:rFonts w:cs="Arial"/>
              </w:rPr>
              <w:t>I</w:t>
            </w:r>
            <w:r w:rsidRPr="006316DF">
              <w:rPr>
                <w:rFonts w:cs="Arial"/>
              </w:rPr>
              <w:t>mportant</w:t>
            </w:r>
          </w:p>
        </w:tc>
      </w:tr>
      <w:tr w:rsidR="0075777C" w:rsidRPr="006316DF" w:rsidTr="00805885">
        <w:tc>
          <w:tcPr>
            <w:tcW w:w="1560" w:type="dxa"/>
          </w:tcPr>
          <w:p w:rsidR="0075777C" w:rsidRPr="006316DF" w:rsidRDefault="0075777C" w:rsidP="00805885">
            <w:pPr>
              <w:pStyle w:val="Tabletext"/>
              <w:rPr>
                <w:rFonts w:cs="Arial"/>
              </w:rPr>
            </w:pPr>
            <w:r w:rsidRPr="006C4A08">
              <w:rPr>
                <w:rFonts w:cs="Arial"/>
              </w:rPr>
              <w:t>Change in haemodynamic parameters from baseline</w:t>
            </w:r>
          </w:p>
        </w:tc>
        <w:tc>
          <w:tcPr>
            <w:tcW w:w="1275" w:type="dxa"/>
          </w:tcPr>
          <w:p w:rsidR="0075777C" w:rsidRPr="006316DF" w:rsidRDefault="0075777C" w:rsidP="00805885">
            <w:pPr>
              <w:pStyle w:val="Tabletext"/>
              <w:rPr>
                <w:rFonts w:cs="Arial"/>
              </w:rPr>
            </w:pPr>
            <w:r w:rsidRPr="006316DF">
              <w:rPr>
                <w:rFonts w:cs="Arial"/>
              </w:rPr>
              <w:t>N=</w:t>
            </w:r>
            <w:r>
              <w:rPr>
                <w:rFonts w:cs="Arial"/>
              </w:rPr>
              <w:t>1</w:t>
            </w:r>
            <w:r w:rsidR="0051596A">
              <w:rPr>
                <w:rFonts w:cs="Arial"/>
              </w:rPr>
              <w:t>48</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sidRPr="006316DF">
              <w:rPr>
                <w:rFonts w:cs="Arial"/>
              </w:rPr>
              <w:t xml:space="preserve">Risk of bias: </w:t>
            </w:r>
            <w:r>
              <w:rPr>
                <w:rFonts w:cs="Arial"/>
              </w:rPr>
              <w:t>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 xml:space="preserve">Indirectness: </w:t>
            </w:r>
            <w:r w:rsidR="00B47224">
              <w:rPr>
                <w:rFonts w:cs="Arial"/>
              </w:rPr>
              <w:t>−2</w:t>
            </w:r>
          </w:p>
          <w:p w:rsidR="0075777C" w:rsidRDefault="0075777C" w:rsidP="00805885">
            <w:pPr>
              <w:pStyle w:val="Tabletext"/>
              <w:rPr>
                <w:rFonts w:cs="Arial"/>
              </w:rPr>
            </w:pPr>
            <w:r>
              <w:rPr>
                <w:rFonts w:cs="Arial"/>
              </w:rPr>
              <w:t>Imprecision: 0</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0</w:t>
            </w:r>
          </w:p>
        </w:tc>
        <w:tc>
          <w:tcPr>
            <w:tcW w:w="1418" w:type="dxa"/>
          </w:tcPr>
          <w:p w:rsidR="0075777C" w:rsidRPr="00A17B9D" w:rsidRDefault="00A17B9D" w:rsidP="00805885">
            <w:pPr>
              <w:pStyle w:val="Tabletext"/>
              <w:rPr>
                <w:highlight w:val="black"/>
              </w:rPr>
            </w:pPr>
            <w:r>
              <w:rPr>
                <w:noProof/>
                <w:color w:val="000000"/>
                <w:highlight w:val="black"/>
              </w:rPr>
              <w:t>'''''''''''</w:t>
            </w:r>
            <w:r>
              <w:rPr>
                <w:noProof/>
                <w:color w:val="000000"/>
                <w:highlight w:val="black"/>
              </w:rPr>
              <w:br/>
              <w:t>''''''''' '''' ''''''''''''''''' '''''''''''''''''''''''''''''''</w:t>
            </w:r>
          </w:p>
        </w:tc>
        <w:tc>
          <w:tcPr>
            <w:tcW w:w="2551" w:type="dxa"/>
          </w:tcPr>
          <w:p w:rsidR="0075777C" w:rsidRPr="00A17B9D" w:rsidRDefault="00A17B9D" w:rsidP="0055519E">
            <w:pPr>
              <w:pStyle w:val="Tabletext"/>
              <w:rPr>
                <w:rFonts w:cs="Arial"/>
                <w:highlight w:val="black"/>
              </w:rPr>
            </w:pPr>
            <w:r>
              <w:rPr>
                <w:rFonts w:cs="Arial"/>
                <w:noProof/>
                <w:color w:val="000000"/>
                <w:highlight w:val="black"/>
              </w:rPr>
              <w:t>''''''''''''''''' '''''' ''''''''''''''''''''''''''' ''''''''''''''''' ''''''''' '''' ''''''''''''' '''''''''''''' '''''''''''''''''''''''''''''''' ''''' '''''''''''' ''''''''''''''''''''''''''''''''''''' ''''''''''''''''''''''''' ''''''''''' ''''''''''''' ''''' ''''''''''''''''''''''''''''</w:t>
            </w:r>
          </w:p>
        </w:tc>
        <w:tc>
          <w:tcPr>
            <w:tcW w:w="1134" w:type="dxa"/>
          </w:tcPr>
          <w:p w:rsidR="0075777C" w:rsidRPr="006316DF" w:rsidRDefault="00B47224" w:rsidP="00805885">
            <w:pPr>
              <w:pStyle w:val="Tabletext"/>
              <w:rPr>
                <w:rFonts w:cs="Arial"/>
              </w:rPr>
            </w:pPr>
            <w:r>
              <w:rPr>
                <w:rFonts w:cs="Arial"/>
              </w:rPr>
              <w:t>Low</w:t>
            </w:r>
          </w:p>
          <w:p w:rsidR="0075777C" w:rsidRPr="006316DF" w:rsidRDefault="0075777C" w:rsidP="00805885">
            <w:pPr>
              <w:pStyle w:val="Tabletext"/>
              <w:rPr>
                <w:rFonts w:cs="Cambria Math"/>
                <w:bCs/>
              </w:rPr>
            </w:pPr>
            <w:r w:rsidRPr="006316DF">
              <w:rPr>
                <w:rFonts w:ascii="Cambria Math" w:hAnsi="Cambria Math" w:cs="Cambria Math"/>
                <w:bCs/>
                <w:color w:val="00B050"/>
              </w:rPr>
              <w:t>⨁⨁</w:t>
            </w:r>
            <w:r w:rsidR="00B47224" w:rsidRPr="006316DF">
              <w:rPr>
                <w:rFonts w:ascii="Cambria Math" w:hAnsi="Cambria Math" w:cs="Cambria Math"/>
                <w:color w:val="C00000"/>
              </w:rPr>
              <w:t>⨀⨀</w:t>
            </w:r>
          </w:p>
          <w:p w:rsidR="0075777C" w:rsidRPr="006316DF" w:rsidRDefault="0075777C" w:rsidP="00805885">
            <w:pPr>
              <w:pStyle w:val="Tabletext"/>
              <w:rPr>
                <w:rFonts w:cs="Arial"/>
              </w:rPr>
            </w:pPr>
            <w:r>
              <w:rPr>
                <w:rFonts w:cs="Arial"/>
              </w:rPr>
              <w:t>Not i</w:t>
            </w:r>
            <w:r w:rsidRPr="006316DF">
              <w:rPr>
                <w:rFonts w:cs="Arial"/>
              </w:rPr>
              <w:t>mportant</w:t>
            </w:r>
          </w:p>
        </w:tc>
      </w:tr>
    </w:tbl>
    <w:p w:rsidR="0075777C" w:rsidRDefault="0075777C" w:rsidP="00805885">
      <w:pPr>
        <w:pStyle w:val="Tablenote"/>
      </w:pPr>
      <w:r w:rsidRPr="006316DF">
        <w:rPr>
          <w:vertAlign w:val="superscript"/>
        </w:rPr>
        <w:t xml:space="preserve">a </w:t>
      </w:r>
      <w:r w:rsidRPr="006316DF">
        <w:t xml:space="preserve">GRADE Working Group grades of evidence </w:t>
      </w:r>
      <w:r w:rsidR="001D34EE" w:rsidRPr="001D34EE">
        <w:rPr>
          <w:noProof/>
          <w:vertAlign w:val="superscript"/>
        </w:rPr>
        <w:t>1</w:t>
      </w:r>
    </w:p>
    <w:p w:rsidR="000211A3" w:rsidRDefault="000211A3" w:rsidP="000211A3">
      <w:pPr>
        <w:pStyle w:val="Tablenote"/>
      </w:pPr>
      <w:r>
        <w:rPr>
          <w:vertAlign w:val="superscript"/>
        </w:rPr>
        <w:t xml:space="preserve">b </w:t>
      </w:r>
      <w:r>
        <w:t xml:space="preserve">EQ-5D utility scores range from </w:t>
      </w:r>
      <w:r w:rsidRPr="00C569DB">
        <w:t>−</w:t>
      </w:r>
      <w:r>
        <w:t>0.59 to 1.00. A higher score represents better QoL.</w:t>
      </w:r>
    </w:p>
    <w:p w:rsidR="000211A3" w:rsidRPr="006316DF" w:rsidRDefault="000211A3" w:rsidP="00805885">
      <w:pPr>
        <w:pStyle w:val="Tablenote"/>
      </w:pPr>
      <w:r>
        <w:rPr>
          <w:vertAlign w:val="superscript"/>
        </w:rPr>
        <w:t xml:space="preserve">c </w:t>
      </w:r>
      <w:r>
        <w:t>LPH total scores range from 0 to 105. A higher score indicates poorer QoL.</w:t>
      </w:r>
    </w:p>
    <w:p w:rsidR="0075777C" w:rsidRDefault="0075777C" w:rsidP="00805885">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C95108" w:rsidRPr="006316DF" w:rsidRDefault="00C95108" w:rsidP="00C95108">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Moderate quality:</w:t>
      </w:r>
      <w:r w:rsidRPr="006316DF">
        <w:t xml:space="preserve"> We are moderately confident in the effect estimate: The true effect is likely to be close to the estimate of the effect, but there is a possibility that it is substantially different</w:t>
      </w:r>
    </w:p>
    <w:p w:rsidR="00C95108" w:rsidRPr="006316DF" w:rsidRDefault="00C95108" w:rsidP="00C95108">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7446CB" w:rsidRPr="006316DF" w:rsidRDefault="0075777C" w:rsidP="00805885">
      <w:pPr>
        <w:pStyle w:val="Tablenote"/>
      </w:pPr>
      <w:r>
        <w:t xml:space="preserve">6MWD = 6-minute </w:t>
      </w:r>
      <w:r w:rsidR="0082368E">
        <w:t>walk distance</w:t>
      </w:r>
      <w:r>
        <w:t>; CI = confiden</w:t>
      </w:r>
      <w:r w:rsidR="00572AE9">
        <w:t xml:space="preserve">ce interval; EQ-5D = EuroQual 5 </w:t>
      </w:r>
      <w:r>
        <w:t>dimension;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7446CB" w:rsidRPr="00F24B06">
        <w:t xml:space="preserve">; k = number of studies; </w:t>
      </w:r>
      <w:r w:rsidR="007446CB" w:rsidRPr="00DC16A3">
        <w:t xml:space="preserve">LPH = living with pulmonary hypertension; </w:t>
      </w:r>
      <w:r>
        <w:t xml:space="preserve">MD = mean difference; N = number of patients; </w:t>
      </w:r>
      <w:r w:rsidRPr="00C65B42">
        <w:t xml:space="preserve">PAH = pulmonary arterial hypertension; </w:t>
      </w:r>
      <w:r w:rsidRPr="009123E2">
        <w:t>PVR</w:t>
      </w:r>
      <w:r>
        <w:t xml:space="preserve"> = p</w:t>
      </w:r>
      <w:r w:rsidRPr="009123E2">
        <w:t xml:space="preserve">ulmonary </w:t>
      </w:r>
      <w:r>
        <w:t>v</w:t>
      </w:r>
      <w:r w:rsidRPr="009123E2">
        <w:t xml:space="preserve">ascular </w:t>
      </w:r>
      <w:r>
        <w:t>r</w:t>
      </w:r>
      <w:r w:rsidRPr="009123E2">
        <w:t>esistance</w:t>
      </w:r>
      <w:r>
        <w:t xml:space="preserve">; QoL = quality of life; RCT = randomised controlled trial; RR = relative risk; </w:t>
      </w:r>
      <w:r w:rsidRPr="006C6F7B">
        <w:t xml:space="preserve">sGC </w:t>
      </w:r>
      <w:r>
        <w:t>= s</w:t>
      </w:r>
      <w:r w:rsidRPr="006C6F7B">
        <w:t>oluble guanylate cyclase</w:t>
      </w:r>
      <w:r>
        <w:t>; WHO = World Health Organization</w:t>
      </w:r>
    </w:p>
    <w:p w:rsidR="00585084" w:rsidRDefault="0075777C" w:rsidP="0075777C">
      <w:r w:rsidRPr="006316DF">
        <w:t xml:space="preserve">A summary of these results </w:t>
      </w:r>
      <w:r>
        <w:t xml:space="preserve">for patients with WHO FC III/IV PAH </w:t>
      </w:r>
      <w:r w:rsidRPr="006316DF">
        <w:t>is provided in</w:t>
      </w:r>
      <w:r>
        <w:t xml:space="preserve"> </w:t>
      </w:r>
      <w:r w:rsidR="00AA722D">
        <w:t>Table 4.</w:t>
      </w:r>
      <w:r w:rsidR="00AA722D">
        <w:rPr>
          <w:noProof/>
        </w:rPr>
        <w:t>140</w:t>
      </w:r>
      <w:r w:rsidRPr="006316DF">
        <w:t xml:space="preserve">. </w:t>
      </w:r>
      <w:r w:rsidR="00585084" w:rsidRPr="006316DF">
        <w:t xml:space="preserve">The evidence base for </w:t>
      </w:r>
      <w:r w:rsidR="00585084">
        <w:t>all</w:t>
      </w:r>
      <w:r w:rsidR="00585084" w:rsidRPr="006316DF">
        <w:t xml:space="preserve"> outcomes was considered to be of </w:t>
      </w:r>
      <w:r w:rsidR="00585084">
        <w:t>high</w:t>
      </w:r>
      <w:r w:rsidR="00585084" w:rsidRPr="006316DF">
        <w:t xml:space="preserve"> (GRADE </w:t>
      </w:r>
      <w:r w:rsidR="00585084" w:rsidRPr="00920393">
        <w:rPr>
          <w:rFonts w:ascii="Cambria Math" w:eastAsia="Times New Roman" w:hAnsi="Cambria Math" w:cs="Tahoma"/>
          <w:bCs/>
          <w:color w:val="00B050"/>
        </w:rPr>
        <w:t>⨁⨁⨁⨁</w:t>
      </w:r>
      <w:r w:rsidR="00585084" w:rsidRPr="00920393">
        <w:t>)</w:t>
      </w:r>
      <w:r w:rsidR="00585084">
        <w:t xml:space="preserve"> or moderate </w:t>
      </w:r>
      <w:r w:rsidR="00585084" w:rsidRPr="006316DF">
        <w:t xml:space="preserve">(GRADE </w:t>
      </w:r>
      <w:r w:rsidR="00585084" w:rsidRPr="00920393">
        <w:rPr>
          <w:rFonts w:ascii="Cambria Math" w:eastAsia="Times New Roman" w:hAnsi="Cambria Math" w:cs="Tahoma"/>
          <w:bCs/>
          <w:color w:val="00B050"/>
        </w:rPr>
        <w:t>⨁⨁⨁</w:t>
      </w:r>
      <w:r w:rsidR="00585084" w:rsidRPr="00920393">
        <w:rPr>
          <w:rFonts w:ascii="Cambria Math" w:eastAsia="Times New Roman" w:hAnsi="Cambria Math" w:cs="Cambria Math"/>
          <w:bCs/>
          <w:color w:val="C00000"/>
        </w:rPr>
        <w:t>⨀</w:t>
      </w:r>
      <w:r w:rsidR="00585084" w:rsidRPr="00920393">
        <w:t xml:space="preserve">) </w:t>
      </w:r>
      <w:r w:rsidR="00585084" w:rsidRPr="006316DF">
        <w:t>quality</w:t>
      </w:r>
      <w:r w:rsidR="00585084">
        <w:t>.</w:t>
      </w:r>
    </w:p>
    <w:p w:rsidR="0075777C" w:rsidRDefault="0075777C" w:rsidP="0075777C">
      <w:r w:rsidRPr="006316DF">
        <w:t xml:space="preserve">When taking </w:t>
      </w:r>
      <w:r>
        <w:t>the whole body of evidence</w:t>
      </w:r>
      <w:r w:rsidRPr="006316DF">
        <w:t xml:space="preserve"> into account, </w:t>
      </w:r>
      <w:r w:rsidR="00585084">
        <w:t xml:space="preserve">significantly fewer patients dies or had worsening of their WHO FC </w:t>
      </w:r>
      <w:r w:rsidR="00585084" w:rsidRPr="00585084">
        <w:t>when on combination therapy compared with monotherapy</w:t>
      </w:r>
      <w:r w:rsidR="00585084">
        <w:t>. T</w:t>
      </w:r>
      <w:r>
        <w:t xml:space="preserve">he point estimates indicate that </w:t>
      </w:r>
      <w:r w:rsidRPr="006316DF">
        <w:t>the number of patients experiencing clinical worsening</w:t>
      </w:r>
      <w:r w:rsidR="00585084">
        <w:t xml:space="preserve"> or hospitalisation </w:t>
      </w:r>
      <w:r w:rsidRPr="006316DF">
        <w:t xml:space="preserve">would </w:t>
      </w:r>
      <w:r w:rsidR="00A17B9D">
        <w:rPr>
          <w:noProof/>
          <w:color w:val="000000"/>
          <w:highlight w:val="black"/>
        </w:rPr>
        <w:t>'''''' '''''''''''''' '''''''''''''''</w:t>
      </w:r>
      <w:r w:rsidRPr="006316DF">
        <w:t xml:space="preserve"> when </w:t>
      </w:r>
      <w:r>
        <w:t>on combination therapy</w:t>
      </w:r>
      <w:r w:rsidRPr="00A240BF">
        <w:t xml:space="preserve"> compared with monotherapy</w:t>
      </w:r>
      <w:r>
        <w:t>,</w:t>
      </w:r>
      <w:r w:rsidRPr="00A240BF">
        <w:t xml:space="preserve"> </w:t>
      </w:r>
      <w:r w:rsidR="00A17B9D">
        <w:rPr>
          <w:noProof/>
          <w:color w:val="000000"/>
          <w:highlight w:val="black"/>
        </w:rPr>
        <w:t>'''''''' '''''' ''''''''' ''''' '''''''''''''''' ''''''' ''''''''' ''''''''' ''''''' '''''' ''''' ''''' '''''' ''''''''''''''' ''''''''''''</w:t>
      </w:r>
      <w:r w:rsidRPr="006316DF">
        <w:t xml:space="preserve"> Similarly, </w:t>
      </w:r>
      <w:r w:rsidR="00A17B9D">
        <w:rPr>
          <w:noProof/>
          <w:color w:val="000000"/>
          <w:highlight w:val="black"/>
        </w:rPr>
        <w:t>'''''''''''</w:t>
      </w:r>
      <w:r>
        <w:t xml:space="preserve"> </w:t>
      </w:r>
      <w:r w:rsidRPr="006316DF">
        <w:t>patients ha</w:t>
      </w:r>
      <w:r w:rsidR="00585084">
        <w:t>d</w:t>
      </w:r>
      <w:r w:rsidRPr="006316DF">
        <w:t xml:space="preserve"> </w:t>
      </w:r>
      <w:r>
        <w:lastRenderedPageBreak/>
        <w:t>an</w:t>
      </w:r>
      <w:r w:rsidRPr="006316DF">
        <w:t xml:space="preserve"> improvement in their </w:t>
      </w:r>
      <w:r>
        <w:t xml:space="preserve">WHO FC, </w:t>
      </w:r>
      <w:r w:rsidR="00A17B9D">
        <w:rPr>
          <w:noProof/>
          <w:color w:val="000000"/>
          <w:highlight w:val="black"/>
        </w:rPr>
        <w:t>''''''' '''''' ''''''' '''' ''''''''''''''''' '''''''' ''''''''''' ''''''' '''''''' ''''' '''''' ''''' ''''''' ''''''''''''''''' '''''''''''</w:t>
      </w:r>
      <w:r>
        <w:t xml:space="preserve">. </w:t>
      </w:r>
      <w:r w:rsidRPr="00F36D40">
        <w:t xml:space="preserve">Patients on combination therapy had </w:t>
      </w:r>
      <w:r w:rsidR="00A17B9D">
        <w:rPr>
          <w:noProof/>
          <w:color w:val="000000"/>
          <w:highlight w:val="black"/>
        </w:rPr>
        <w:t>''' '''''''''' '''''''''' ''''''''''''''''''''''''</w:t>
      </w:r>
      <w:r w:rsidRPr="00F36D40">
        <w:t xml:space="preserve"> in their 6MWD, </w:t>
      </w:r>
      <w:r>
        <w:t xml:space="preserve">PVR </w:t>
      </w:r>
      <w:r w:rsidRPr="00F36D40">
        <w:t xml:space="preserve">and QoL than those on monotherapy, </w:t>
      </w:r>
      <w:r>
        <w:t>and</w:t>
      </w:r>
      <w:r w:rsidRPr="00F36D40">
        <w:t xml:space="preserve"> the mean differences </w:t>
      </w:r>
      <w:r>
        <w:t>for</w:t>
      </w:r>
      <w:r w:rsidRPr="00F36D40">
        <w:t xml:space="preserve"> </w:t>
      </w:r>
      <w:r>
        <w:t xml:space="preserve">6MWD, PVR and EQ-5D </w:t>
      </w:r>
      <w:r w:rsidRPr="00F36D40">
        <w:t>QoL w</w:t>
      </w:r>
      <w:r>
        <w:t>ere</w:t>
      </w:r>
      <w:r w:rsidRPr="00F36D40">
        <w:t xml:space="preserve"> </w:t>
      </w:r>
      <w:r w:rsidR="00A17B9D">
        <w:rPr>
          <w:noProof/>
          <w:color w:val="000000"/>
          <w:highlight w:val="black"/>
        </w:rPr>
        <w:t>''''''''' '''''''''''''' '''' ''''' ''''''''''''''' '''''''''''''''''</w:t>
      </w:r>
      <w:r w:rsidRPr="00F36D40">
        <w:t>.</w:t>
      </w:r>
    </w:p>
    <w:p w:rsidR="0075777C" w:rsidRDefault="0075777C" w:rsidP="0075777C">
      <w:r w:rsidRPr="006316DF">
        <w:t xml:space="preserve">Thus, </w:t>
      </w:r>
      <w:r w:rsidRPr="000522D6">
        <w:t xml:space="preserve">there </w:t>
      </w:r>
      <w:r w:rsidR="00A17B9D">
        <w:rPr>
          <w:noProof/>
          <w:color w:val="000000"/>
          <w:highlight w:val="black"/>
        </w:rPr>
        <w:t>''' '''''''''''</w:t>
      </w:r>
      <w:r w:rsidRPr="000522D6">
        <w:t xml:space="preserve"> </w:t>
      </w:r>
      <w:r w:rsidR="00F9316D" w:rsidRPr="00F9316D">
        <w:t xml:space="preserve">evidence indicating that the use of a sGC stimulator in addition to an ERA, relative to ERA monotherapy to treat patients </w:t>
      </w:r>
      <w:r w:rsidRPr="00F25F74">
        <w:t xml:space="preserve">with WHO FC III/IV PAH </w:t>
      </w:r>
      <w:r w:rsidR="00A17B9D">
        <w:rPr>
          <w:noProof/>
          <w:color w:val="000000"/>
          <w:highlight w:val="black"/>
        </w:rPr>
        <w:t>'''''''' ''''' ''''''''''''''''''</w:t>
      </w:r>
      <w:r w:rsidRPr="006316DF">
        <w:t xml:space="preserve">. </w:t>
      </w:r>
    </w:p>
    <w:p w:rsidR="0075777C" w:rsidRPr="006316DF" w:rsidRDefault="00272F8F" w:rsidP="00BC5A2B">
      <w:pPr>
        <w:pStyle w:val="Caption"/>
      </w:pPr>
      <w:bookmarkStart w:id="383" w:name="_Ref505868379"/>
      <w:bookmarkStart w:id="384" w:name="_Toc512855544"/>
      <w:r>
        <w:t>Table 4.</w:t>
      </w:r>
      <w:r w:rsidR="00AA722D">
        <w:rPr>
          <w:noProof/>
        </w:rPr>
        <w:t>140</w:t>
      </w:r>
      <w:bookmarkEnd w:id="383"/>
      <w:r w:rsidR="00805885">
        <w:tab/>
      </w:r>
      <w:r w:rsidR="0075777C" w:rsidRPr="006316DF">
        <w:t xml:space="preserve">Balance of clinical benefits of </w:t>
      </w:r>
      <w:r w:rsidR="0075777C">
        <w:t xml:space="preserve">a </w:t>
      </w:r>
      <w:r w:rsidR="0075777C" w:rsidRPr="0006289E">
        <w:t xml:space="preserve">sGC stimulator </w:t>
      </w:r>
      <w:r w:rsidR="0075777C" w:rsidRPr="006C4A08">
        <w:t>in addition to</w:t>
      </w:r>
      <w:r w:rsidR="0075777C">
        <w:t xml:space="preserve"> </w:t>
      </w:r>
      <w:r w:rsidR="001B552D">
        <w:t xml:space="preserve">an </w:t>
      </w:r>
      <w:r w:rsidR="0075777C">
        <w:t>ERA</w:t>
      </w:r>
      <w:r w:rsidR="0075777C" w:rsidRPr="006316DF">
        <w:t xml:space="preserve">, relative to </w:t>
      </w:r>
      <w:r w:rsidR="0075777C">
        <w:t>ERA</w:t>
      </w:r>
      <w:r w:rsidR="0075777C" w:rsidRPr="006C4A08">
        <w:t xml:space="preserve"> </w:t>
      </w:r>
      <w:r w:rsidR="0075777C">
        <w:t>monotherapy in patients</w:t>
      </w:r>
      <w:r w:rsidR="0075777C" w:rsidRPr="002F62A8">
        <w:t xml:space="preserve"> with WHO FC III/IV PAH</w:t>
      </w:r>
      <w:bookmarkEnd w:id="384"/>
    </w:p>
    <w:tbl>
      <w:tblPr>
        <w:tblStyle w:val="TableGrid"/>
        <w:tblW w:w="9634" w:type="dxa"/>
        <w:tblLayout w:type="fixed"/>
        <w:tblLook w:val="04A0" w:firstRow="1" w:lastRow="0" w:firstColumn="1" w:lastColumn="0" w:noHBand="0" w:noVBand="1"/>
        <w:tblCaption w:val="Balance of clinical benefits of a sGC stimulator in addition to an ERA, relative to ERA monotherapy in patients with WHO FC III/IV PAH"/>
      </w:tblPr>
      <w:tblGrid>
        <w:gridCol w:w="1560"/>
        <w:gridCol w:w="1275"/>
        <w:gridCol w:w="1701"/>
        <w:gridCol w:w="1413"/>
        <w:gridCol w:w="2551"/>
        <w:gridCol w:w="1134"/>
      </w:tblGrid>
      <w:tr w:rsidR="0075777C" w:rsidRPr="00805885" w:rsidTr="00805885">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805885" w:rsidRDefault="0075777C" w:rsidP="00805885">
            <w:pPr>
              <w:pStyle w:val="Tabletext"/>
              <w:rPr>
                <w:b/>
                <w:noProof/>
              </w:rPr>
            </w:pPr>
            <w:r w:rsidRPr="00805885">
              <w:rPr>
                <w:b/>
                <w:noProof/>
              </w:rPr>
              <w:t xml:space="preserve">Outcomes </w:t>
            </w:r>
          </w:p>
        </w:tc>
        <w:tc>
          <w:tcPr>
            <w:tcW w:w="1275" w:type="dxa"/>
          </w:tcPr>
          <w:p w:rsidR="0075777C" w:rsidRPr="00805885" w:rsidRDefault="0075777C" w:rsidP="00805885">
            <w:pPr>
              <w:pStyle w:val="Tabletext"/>
              <w:rPr>
                <w:b/>
                <w:noProof/>
              </w:rPr>
            </w:pPr>
            <w:r w:rsidRPr="00805885">
              <w:rPr>
                <w:b/>
                <w:noProof/>
              </w:rPr>
              <w:t>Participants (studies)</w:t>
            </w:r>
          </w:p>
        </w:tc>
        <w:tc>
          <w:tcPr>
            <w:tcW w:w="1701" w:type="dxa"/>
          </w:tcPr>
          <w:p w:rsidR="0075777C" w:rsidRPr="00805885" w:rsidRDefault="0075777C" w:rsidP="00805885">
            <w:pPr>
              <w:pStyle w:val="Tabletext"/>
              <w:rPr>
                <w:b/>
                <w:noProof/>
              </w:rPr>
            </w:pPr>
            <w:r w:rsidRPr="00805885">
              <w:rPr>
                <w:b/>
                <w:noProof/>
              </w:rPr>
              <w:t>Quality of evidence</w:t>
            </w:r>
          </w:p>
        </w:tc>
        <w:tc>
          <w:tcPr>
            <w:tcW w:w="1413" w:type="dxa"/>
          </w:tcPr>
          <w:p w:rsidR="0075777C" w:rsidRPr="00805885" w:rsidRDefault="0075777C" w:rsidP="00805885">
            <w:pPr>
              <w:pStyle w:val="Tabletext"/>
              <w:rPr>
                <w:b/>
                <w:noProof/>
              </w:rPr>
            </w:pPr>
            <w:r w:rsidRPr="00805885">
              <w:rPr>
                <w:b/>
                <w:noProof/>
              </w:rPr>
              <w:t>Results</w:t>
            </w:r>
          </w:p>
        </w:tc>
        <w:tc>
          <w:tcPr>
            <w:tcW w:w="2551" w:type="dxa"/>
          </w:tcPr>
          <w:p w:rsidR="0075777C" w:rsidRPr="00805885" w:rsidRDefault="0075777C" w:rsidP="00805885">
            <w:pPr>
              <w:pStyle w:val="Tabletext"/>
              <w:rPr>
                <w:b/>
                <w:noProof/>
              </w:rPr>
            </w:pPr>
            <w:r w:rsidRPr="00805885">
              <w:rPr>
                <w:b/>
                <w:noProof/>
              </w:rPr>
              <w:t>Interpretation</w:t>
            </w:r>
          </w:p>
        </w:tc>
        <w:tc>
          <w:tcPr>
            <w:tcW w:w="1134" w:type="dxa"/>
          </w:tcPr>
          <w:p w:rsidR="0075777C" w:rsidRPr="00805885" w:rsidRDefault="0075777C" w:rsidP="00805885">
            <w:pPr>
              <w:pStyle w:val="Tabletext"/>
              <w:rPr>
                <w:b/>
                <w:noProof/>
              </w:rPr>
            </w:pPr>
            <w:r w:rsidRPr="00805885">
              <w:rPr>
                <w:b/>
                <w:noProof/>
              </w:rPr>
              <w:t>GRADE</w:t>
            </w:r>
            <w:r w:rsidR="007446CB" w:rsidRPr="007446CB">
              <w:rPr>
                <w:b/>
                <w:noProof/>
                <w:vertAlign w:val="superscript"/>
              </w:rPr>
              <w:t>a</w:t>
            </w:r>
          </w:p>
          <w:p w:rsidR="0075777C" w:rsidRPr="00805885" w:rsidRDefault="0075777C" w:rsidP="00805885">
            <w:pPr>
              <w:pStyle w:val="Tabletext"/>
              <w:rPr>
                <w:b/>
                <w:noProof/>
              </w:rPr>
            </w:pPr>
            <w:r w:rsidRPr="00805885">
              <w:rPr>
                <w:b/>
                <w:noProof/>
              </w:rPr>
              <w:t>Importance</w:t>
            </w:r>
          </w:p>
        </w:tc>
      </w:tr>
      <w:tr w:rsidR="0075777C" w:rsidRPr="006316DF" w:rsidTr="00805885">
        <w:tc>
          <w:tcPr>
            <w:tcW w:w="1560" w:type="dxa"/>
          </w:tcPr>
          <w:p w:rsidR="0075777C" w:rsidRPr="006316DF" w:rsidRDefault="0075777C" w:rsidP="00805885">
            <w:pPr>
              <w:pStyle w:val="Tabletext"/>
              <w:rPr>
                <w:rFonts w:cs="Arial"/>
              </w:rPr>
            </w:pPr>
            <w:r w:rsidRPr="006316DF">
              <w:rPr>
                <w:rFonts w:cs="Arial"/>
              </w:rPr>
              <w:t xml:space="preserve">Clinical worsening </w:t>
            </w:r>
          </w:p>
        </w:tc>
        <w:tc>
          <w:tcPr>
            <w:tcW w:w="1275" w:type="dxa"/>
          </w:tcPr>
          <w:p w:rsidR="0075777C" w:rsidRPr="006316DF" w:rsidRDefault="0075777C" w:rsidP="00805885">
            <w:pPr>
              <w:pStyle w:val="Tabletext"/>
              <w:rPr>
                <w:rFonts w:cs="Arial"/>
              </w:rPr>
            </w:pPr>
            <w:r w:rsidRPr="006316DF">
              <w:rPr>
                <w:rFonts w:cs="Arial"/>
              </w:rPr>
              <w:t>N=</w:t>
            </w:r>
            <w:r>
              <w:rPr>
                <w:rFonts w:cs="Arial"/>
              </w:rPr>
              <w:t>1</w:t>
            </w:r>
            <w:r w:rsidR="0051596A">
              <w:rPr>
                <w:rFonts w:cs="Arial"/>
              </w:rPr>
              <w:t>20</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Imprecisio</w:t>
            </w:r>
            <w:r>
              <w:rPr>
                <w:rFonts w:cs="Arial"/>
              </w:rPr>
              <w:t>n: −1</w:t>
            </w:r>
          </w:p>
          <w:p w:rsidR="0075777C" w:rsidRDefault="0075777C" w:rsidP="00805885">
            <w:pPr>
              <w:pStyle w:val="Tabletext"/>
              <w:rPr>
                <w:rFonts w:cs="Arial"/>
              </w:rPr>
            </w:pPr>
            <w:r w:rsidRPr="006316DF">
              <w:rPr>
                <w:rFonts w:cs="Arial"/>
              </w:rPr>
              <w:t>Publication bias: 0</w:t>
            </w:r>
          </w:p>
          <w:p w:rsidR="0075777C" w:rsidRPr="006316DF" w:rsidRDefault="00BE799B" w:rsidP="00805885">
            <w:pPr>
              <w:pStyle w:val="Tabletext"/>
              <w:rPr>
                <w:rFonts w:cs="Arial"/>
              </w:rPr>
            </w:pPr>
            <w:r>
              <w:rPr>
                <w:rFonts w:cs="Arial"/>
              </w:rPr>
              <w:t>Association: 0</w:t>
            </w:r>
          </w:p>
        </w:tc>
        <w:tc>
          <w:tcPr>
            <w:tcW w:w="1413" w:type="dxa"/>
          </w:tcPr>
          <w:p w:rsidR="0075777C" w:rsidRPr="00A17B9D" w:rsidRDefault="00A17B9D" w:rsidP="00805885">
            <w:pPr>
              <w:pStyle w:val="Tabletext"/>
              <w:rPr>
                <w:rFonts w:cs="Arial"/>
                <w:highlight w:val="black"/>
              </w:rPr>
            </w:pPr>
            <w:r>
              <w:rPr>
                <w:noProof/>
                <w:color w:val="000000"/>
                <w:highlight w:val="black"/>
              </w:rPr>
              <w:t>'''''''' ''' ''''''''''' ''''''''''''' ''''' ''''''''''' '''''''''''</w:t>
            </w:r>
          </w:p>
        </w:tc>
        <w:tc>
          <w:tcPr>
            <w:tcW w:w="2551" w:type="dxa"/>
          </w:tcPr>
          <w:p w:rsidR="0075777C" w:rsidRPr="00A17B9D" w:rsidRDefault="00A17B9D" w:rsidP="00805885">
            <w:pPr>
              <w:pStyle w:val="Tabletext"/>
              <w:rPr>
                <w:rFonts w:cs="Arial"/>
                <w:highlight w:val="black"/>
              </w:rPr>
            </w:pPr>
            <w:r>
              <w:rPr>
                <w:rFonts w:cs="Arial"/>
                <w:noProof/>
                <w:color w:val="000000"/>
                <w:highlight w:val="black"/>
              </w:rPr>
              <w:t>'''''''''''''' ''''''''''''''''''''' ''''''''''''''''''''''''''''' '''''''''''''' '''''''''''''''''''''''' ''''''''' ''''''''''''''''''''''''''''''' '''''''''''''''''''' ''''''''''''''''''''''' ''''''''' '''''''''''''''''''''''''''''''' '''''''' '''''''' ''''''''''' '''''' ''''''''''''''''''' '''''''' ''''''''''' ''''''''''' ''''''''' '''''' '''''' '''''' '''''''' '''''''''''''''''''' ''''''''''''''</w:t>
            </w:r>
          </w:p>
        </w:tc>
        <w:tc>
          <w:tcPr>
            <w:tcW w:w="1134" w:type="dxa"/>
          </w:tcPr>
          <w:p w:rsidR="00BE799B" w:rsidRPr="006316DF" w:rsidRDefault="00BE799B" w:rsidP="00BE799B">
            <w:pPr>
              <w:pStyle w:val="Tabletext"/>
              <w:rPr>
                <w:rFonts w:cs="Arial"/>
              </w:rPr>
            </w:pPr>
            <w:r>
              <w:rPr>
                <w:rFonts w:cs="Arial"/>
              </w:rPr>
              <w:t>Moderate</w:t>
            </w:r>
          </w:p>
          <w:p w:rsidR="00BE799B" w:rsidRPr="006316DF" w:rsidRDefault="00BE799B" w:rsidP="00BE799B">
            <w:pPr>
              <w:pStyle w:val="Tabletext"/>
              <w:rPr>
                <w:rFonts w:cs="Cambria Math"/>
                <w:bCs/>
              </w:rPr>
            </w:pPr>
            <w:r w:rsidRPr="006316DF">
              <w:rPr>
                <w:rFonts w:ascii="Cambria Math" w:hAnsi="Cambria Math" w:cs="Cambria Math"/>
                <w:bCs/>
                <w:color w:val="00B050"/>
              </w:rPr>
              <w:t>⨁⨁⨁</w:t>
            </w:r>
            <w:r w:rsidRPr="006316DF">
              <w:rPr>
                <w:rFonts w:ascii="Cambria Math" w:hAnsi="Cambria Math" w:cs="Cambria Math"/>
                <w:color w:val="C00000"/>
              </w:rPr>
              <w:t>⨀</w:t>
            </w:r>
          </w:p>
          <w:p w:rsidR="0075777C" w:rsidRPr="006316DF" w:rsidRDefault="0075777C" w:rsidP="00805885">
            <w:pPr>
              <w:pStyle w:val="Tabletext"/>
              <w:rPr>
                <w:rFonts w:cs="Arial"/>
              </w:rPr>
            </w:pPr>
            <w:r w:rsidRPr="006316DF">
              <w:rPr>
                <w:rFonts w:cs="Cambria Math"/>
                <w:bCs/>
              </w:rPr>
              <w:t xml:space="preserve">Critical </w:t>
            </w:r>
          </w:p>
        </w:tc>
      </w:tr>
      <w:tr w:rsidR="0075777C" w:rsidRPr="006316DF" w:rsidTr="00805885">
        <w:tc>
          <w:tcPr>
            <w:tcW w:w="1560" w:type="dxa"/>
          </w:tcPr>
          <w:p w:rsidR="0075777C" w:rsidRPr="006316DF" w:rsidRDefault="0075777C" w:rsidP="00805885">
            <w:pPr>
              <w:pStyle w:val="Tabletext"/>
              <w:rPr>
                <w:rFonts w:cs="Arial"/>
              </w:rPr>
            </w:pPr>
            <w:r w:rsidRPr="006316DF">
              <w:rPr>
                <w:rFonts w:cs="Arial"/>
              </w:rPr>
              <w:t>All-cause mortality</w:t>
            </w:r>
          </w:p>
        </w:tc>
        <w:tc>
          <w:tcPr>
            <w:tcW w:w="1275" w:type="dxa"/>
          </w:tcPr>
          <w:p w:rsidR="0075777C" w:rsidRPr="006316DF" w:rsidRDefault="0075777C" w:rsidP="00805885">
            <w:pPr>
              <w:pStyle w:val="Tabletext"/>
              <w:rPr>
                <w:rFonts w:cs="Arial"/>
              </w:rPr>
            </w:pPr>
            <w:r w:rsidRPr="006316DF">
              <w:rPr>
                <w:rFonts w:cs="Arial"/>
              </w:rPr>
              <w:t>N=</w:t>
            </w:r>
            <w:r>
              <w:rPr>
                <w:rFonts w:cs="Arial"/>
              </w:rPr>
              <w:t>1</w:t>
            </w:r>
            <w:r w:rsidR="0051596A">
              <w:rPr>
                <w:rFonts w:cs="Arial"/>
              </w:rPr>
              <w:t>20</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 xml:space="preserve">Imprecision: </w:t>
            </w:r>
            <w:r w:rsidR="004F560A">
              <w:rPr>
                <w:rFonts w:cs="Arial"/>
              </w:rPr>
              <w:t>0</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 xml:space="preserve">Association: </w:t>
            </w:r>
            <w:r w:rsidR="004F560A">
              <w:rPr>
                <w:rFonts w:cs="Arial"/>
              </w:rPr>
              <w:t>0</w:t>
            </w:r>
          </w:p>
        </w:tc>
        <w:tc>
          <w:tcPr>
            <w:tcW w:w="1413" w:type="dxa"/>
          </w:tcPr>
          <w:p w:rsidR="0075777C" w:rsidRPr="00A17B9D" w:rsidRDefault="00A17B9D" w:rsidP="0088536B">
            <w:pPr>
              <w:pStyle w:val="Tabletext"/>
              <w:rPr>
                <w:highlight w:val="black"/>
              </w:rPr>
            </w:pPr>
            <w:r>
              <w:rPr>
                <w:noProof/>
                <w:color w:val="000000"/>
                <w:highlight w:val="black"/>
              </w:rPr>
              <w:t>''''''''''' '''' ''''''''''''''' ''''''''''''' ''''' '''''''''''''' '''''''''</w:t>
            </w:r>
          </w:p>
        </w:tc>
        <w:tc>
          <w:tcPr>
            <w:tcW w:w="2551" w:type="dxa"/>
          </w:tcPr>
          <w:p w:rsidR="0075777C" w:rsidRPr="00A17B9D" w:rsidRDefault="00A17B9D" w:rsidP="00DD704F">
            <w:pPr>
              <w:pStyle w:val="Tabletext"/>
              <w:rPr>
                <w:highlight w:val="black"/>
              </w:rPr>
            </w:pPr>
            <w:r>
              <w:rPr>
                <w:rFonts w:cs="Arial"/>
                <w:noProof/>
                <w:color w:val="000000"/>
                <w:highlight w:val="black"/>
              </w:rPr>
              <w:t>''''''''''''''''''''''''' ''''''''''''' '''''''''''''''''' '''''''''''''' '''''''' ''''''''''' '''''''' ''''''''''''' ''''''''' '''''''''''''''''''''''''''' ''''''''''''''''' ''''''''''''''''''''''''' ''''''''' '''''''''''''''''''''''''''''''' '''''' ''' '''''''''''''</w:t>
            </w:r>
          </w:p>
        </w:tc>
        <w:tc>
          <w:tcPr>
            <w:tcW w:w="1134" w:type="dxa"/>
          </w:tcPr>
          <w:p w:rsidR="0075777C" w:rsidRPr="006316DF" w:rsidRDefault="0075777C" w:rsidP="00805885">
            <w:pPr>
              <w:pStyle w:val="Tabletext"/>
              <w:rPr>
                <w:rFonts w:cs="Arial"/>
              </w:rPr>
            </w:pPr>
            <w:r>
              <w:rPr>
                <w:rFonts w:cs="Arial"/>
              </w:rPr>
              <w:t>High</w:t>
            </w:r>
          </w:p>
          <w:p w:rsidR="0075777C" w:rsidRPr="006316DF" w:rsidRDefault="0075777C" w:rsidP="00805885">
            <w:pPr>
              <w:pStyle w:val="Tabletext"/>
              <w:rPr>
                <w:rFonts w:cs="Cambria Math"/>
                <w:bCs/>
              </w:rPr>
            </w:pPr>
            <w:r w:rsidRPr="006316DF">
              <w:rPr>
                <w:rFonts w:ascii="Cambria Math" w:hAnsi="Cambria Math" w:cs="Cambria Math"/>
                <w:bCs/>
                <w:color w:val="00B050"/>
              </w:rPr>
              <w:t>⨁⨁⨁⨁</w:t>
            </w:r>
          </w:p>
          <w:p w:rsidR="0075777C" w:rsidRPr="006316DF" w:rsidRDefault="0075777C" w:rsidP="00805885">
            <w:pPr>
              <w:pStyle w:val="Tabletext"/>
              <w:rPr>
                <w:rFonts w:cs="Arial"/>
              </w:rPr>
            </w:pPr>
            <w:r w:rsidRPr="006316DF">
              <w:rPr>
                <w:rFonts w:cs="Arial"/>
              </w:rPr>
              <w:t>Critical</w:t>
            </w:r>
          </w:p>
        </w:tc>
      </w:tr>
      <w:tr w:rsidR="0075777C" w:rsidRPr="006316DF" w:rsidTr="00805885">
        <w:tc>
          <w:tcPr>
            <w:tcW w:w="1560" w:type="dxa"/>
          </w:tcPr>
          <w:p w:rsidR="0075777C" w:rsidRPr="006316DF" w:rsidRDefault="0075777C" w:rsidP="00805885">
            <w:pPr>
              <w:pStyle w:val="Tabletext"/>
              <w:rPr>
                <w:rFonts w:cs="Arial"/>
              </w:rPr>
            </w:pPr>
            <w:r>
              <w:rPr>
                <w:rFonts w:cs="Arial"/>
              </w:rPr>
              <w:t>Hospitalisation</w:t>
            </w:r>
            <w:r w:rsidR="004F560A">
              <w:rPr>
                <w:rFonts w:cs="Arial"/>
              </w:rPr>
              <w:t xml:space="preserve"> due to PAH</w:t>
            </w:r>
          </w:p>
        </w:tc>
        <w:tc>
          <w:tcPr>
            <w:tcW w:w="1275" w:type="dxa"/>
          </w:tcPr>
          <w:p w:rsidR="0075777C" w:rsidRPr="006316DF" w:rsidRDefault="0075777C" w:rsidP="00805885">
            <w:pPr>
              <w:pStyle w:val="Tabletext"/>
              <w:rPr>
                <w:rFonts w:cs="Arial"/>
              </w:rPr>
            </w:pPr>
            <w:r w:rsidRPr="006316DF">
              <w:rPr>
                <w:rFonts w:cs="Arial"/>
              </w:rPr>
              <w:t>N=</w:t>
            </w:r>
            <w:r>
              <w:rPr>
                <w:rFonts w:cs="Arial"/>
              </w:rPr>
              <w:t>1</w:t>
            </w:r>
            <w:r w:rsidR="0051596A">
              <w:rPr>
                <w:rFonts w:cs="Arial"/>
              </w:rPr>
              <w:t>20</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 xml:space="preserve">Imprecision: </w:t>
            </w:r>
            <w:r>
              <w:rPr>
                <w:rFonts w:cs="Arial"/>
              </w:rPr>
              <w:t>−</w:t>
            </w:r>
            <w:r w:rsidRPr="006316DF">
              <w:rPr>
                <w:rFonts w:cs="Arial"/>
              </w:rPr>
              <w:t>1</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+2</w:t>
            </w:r>
          </w:p>
        </w:tc>
        <w:tc>
          <w:tcPr>
            <w:tcW w:w="1413" w:type="dxa"/>
          </w:tcPr>
          <w:p w:rsidR="0075777C" w:rsidRPr="00A17B9D" w:rsidRDefault="00A17B9D" w:rsidP="00805885">
            <w:pPr>
              <w:pStyle w:val="Tabletext"/>
              <w:rPr>
                <w:highlight w:val="black"/>
              </w:rPr>
            </w:pPr>
            <w:r>
              <w:rPr>
                <w:noProof/>
                <w:color w:val="000000"/>
                <w:highlight w:val="black"/>
              </w:rPr>
              <w:t>'''''''' ''' ''''''''''' '''''''''''''' '''''' '''''''''''' '''''''''''''</w:t>
            </w:r>
          </w:p>
        </w:tc>
        <w:tc>
          <w:tcPr>
            <w:tcW w:w="2551" w:type="dxa"/>
          </w:tcPr>
          <w:p w:rsidR="0075777C" w:rsidRPr="002F62A8" w:rsidRDefault="00A17B9D" w:rsidP="00805885">
            <w:pPr>
              <w:pStyle w:val="Tabletext"/>
              <w:rPr>
                <w:highlight w:val="green"/>
              </w:rPr>
            </w:pPr>
            <w:r>
              <w:rPr>
                <w:rFonts w:cs="Arial"/>
                <w:noProof/>
                <w:color w:val="000000"/>
                <w:highlight w:val="black"/>
              </w:rPr>
              <w:t>''''''''''''''' ''''''''''''''''' ''''''''''''''' ''''' ''''''''''''''''''''''''''''' ''''''''' '''''''''''''''''''''''''' '''''''''''''''' ''''''''''''''''''''''''' ''''''''''' '''''''''''''''''''''''''''''''' '''''''' ''''''' '''''''''' ''''' ''''''''''''''''''' '''''''''' ''''''''''''' ''''''''''' ''''''''''' '''''' '''''''' '''''''''''''''''''''' '''''''''''''</w:t>
            </w:r>
            <w:r w:rsidR="0075777C" w:rsidRPr="002F62A8">
              <w:rPr>
                <w:highlight w:val="green"/>
              </w:rPr>
              <w:t>.</w:t>
            </w:r>
          </w:p>
        </w:tc>
        <w:tc>
          <w:tcPr>
            <w:tcW w:w="1134" w:type="dxa"/>
          </w:tcPr>
          <w:p w:rsidR="00BE799B" w:rsidRPr="006316DF" w:rsidRDefault="00BE799B" w:rsidP="00BE799B">
            <w:pPr>
              <w:pStyle w:val="Tabletext"/>
              <w:rPr>
                <w:rFonts w:cs="Arial"/>
              </w:rPr>
            </w:pPr>
            <w:r>
              <w:rPr>
                <w:rFonts w:cs="Arial"/>
              </w:rPr>
              <w:t>Moderate</w:t>
            </w:r>
          </w:p>
          <w:p w:rsidR="00BE799B" w:rsidRPr="006316DF" w:rsidRDefault="00BE799B" w:rsidP="00BE799B">
            <w:pPr>
              <w:pStyle w:val="Tabletext"/>
              <w:rPr>
                <w:rFonts w:cs="Cambria Math"/>
                <w:bCs/>
              </w:rPr>
            </w:pPr>
            <w:r w:rsidRPr="006316DF">
              <w:rPr>
                <w:rFonts w:ascii="Cambria Math" w:hAnsi="Cambria Math" w:cs="Cambria Math"/>
                <w:bCs/>
                <w:color w:val="00B050"/>
              </w:rPr>
              <w:t>⨁⨁⨁</w:t>
            </w:r>
            <w:r w:rsidRPr="006316DF">
              <w:rPr>
                <w:rFonts w:ascii="Cambria Math" w:hAnsi="Cambria Math" w:cs="Cambria Math"/>
                <w:color w:val="C00000"/>
              </w:rPr>
              <w:t>⨀</w:t>
            </w:r>
          </w:p>
          <w:p w:rsidR="0075777C" w:rsidRPr="006316DF" w:rsidRDefault="00805885" w:rsidP="00805885">
            <w:pPr>
              <w:pStyle w:val="Tabletext"/>
              <w:rPr>
                <w:rFonts w:cs="Arial"/>
              </w:rPr>
            </w:pPr>
            <w:r>
              <w:rPr>
                <w:rFonts w:cs="Arial"/>
              </w:rPr>
              <w:t>Important</w:t>
            </w:r>
          </w:p>
        </w:tc>
      </w:tr>
      <w:tr w:rsidR="0075777C" w:rsidRPr="006316DF" w:rsidTr="00805885">
        <w:tc>
          <w:tcPr>
            <w:tcW w:w="1560" w:type="dxa"/>
          </w:tcPr>
          <w:p w:rsidR="0075777C" w:rsidRPr="006316DF" w:rsidRDefault="0075777C" w:rsidP="00805885">
            <w:pPr>
              <w:pStyle w:val="Tabletext"/>
              <w:rPr>
                <w:rFonts w:cs="Arial"/>
              </w:rPr>
            </w:pPr>
            <w:r w:rsidRPr="006316DF">
              <w:rPr>
                <w:rFonts w:cs="Arial"/>
              </w:rPr>
              <w:t>Improved WHO FC</w:t>
            </w:r>
          </w:p>
        </w:tc>
        <w:tc>
          <w:tcPr>
            <w:tcW w:w="1275" w:type="dxa"/>
          </w:tcPr>
          <w:p w:rsidR="0075777C" w:rsidRPr="006316DF" w:rsidRDefault="0075777C" w:rsidP="00805885">
            <w:pPr>
              <w:pStyle w:val="Tabletext"/>
              <w:rPr>
                <w:rFonts w:cs="Arial"/>
              </w:rPr>
            </w:pPr>
            <w:r w:rsidRPr="006316DF">
              <w:rPr>
                <w:rFonts w:cs="Arial"/>
              </w:rPr>
              <w:t>N=</w:t>
            </w:r>
            <w:r>
              <w:rPr>
                <w:rFonts w:cs="Arial"/>
              </w:rPr>
              <w:t>1</w:t>
            </w:r>
            <w:r w:rsidR="0051596A">
              <w:rPr>
                <w:rFonts w:cs="Arial"/>
              </w:rPr>
              <w:t>20</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 xml:space="preserve">Imprecision: </w:t>
            </w:r>
            <w:r>
              <w:rPr>
                <w:rFonts w:cs="Arial"/>
              </w:rPr>
              <w:t>−</w:t>
            </w:r>
            <w:r w:rsidRPr="006316DF">
              <w:rPr>
                <w:rFonts w:cs="Arial"/>
              </w:rPr>
              <w:t>1</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+1</w:t>
            </w:r>
          </w:p>
        </w:tc>
        <w:tc>
          <w:tcPr>
            <w:tcW w:w="1413" w:type="dxa"/>
          </w:tcPr>
          <w:p w:rsidR="0075777C" w:rsidRPr="00A17B9D" w:rsidRDefault="00A17B9D" w:rsidP="006B498F">
            <w:pPr>
              <w:pStyle w:val="Tabletext"/>
              <w:rPr>
                <w:highlight w:val="black"/>
              </w:rPr>
            </w:pPr>
            <w:r>
              <w:rPr>
                <w:noProof/>
                <w:color w:val="000000"/>
                <w:highlight w:val="black"/>
              </w:rPr>
              <w:t>''''''' '''' ''''''''''' '''''''''''' '''''' ''''''''''''' '''''''''''''</w:t>
            </w:r>
          </w:p>
        </w:tc>
        <w:tc>
          <w:tcPr>
            <w:tcW w:w="2551" w:type="dxa"/>
          </w:tcPr>
          <w:p w:rsidR="0075777C" w:rsidRPr="00A17B9D" w:rsidRDefault="00A17B9D" w:rsidP="00805885">
            <w:pPr>
              <w:pStyle w:val="Tabletext"/>
              <w:rPr>
                <w:rFonts w:cs="Arial"/>
                <w:highlight w:val="black"/>
              </w:rPr>
            </w:pPr>
            <w:r>
              <w:rPr>
                <w:rFonts w:cs="Arial"/>
                <w:noProof/>
                <w:color w:val="000000"/>
                <w:highlight w:val="black"/>
              </w:rPr>
              <w:t>''''''''''' '''''''''''''''''''' '''''' '''''''''''''''''''''''''' '''''''''''''''''' '''''''''''''' ''''''''''''''''' ''''''''''' ''''''''''''' '''''''' '''''''''''' '''''''''''''' '''''' '''''''''''''''''''''''''''''''' '''''''' ''''''' '''''''''''' '''''' '''''''''''''''''''''' '''''''''' '''''''''''' '''''''''' '''''''''' ''''''' '''''' ''''''''''''''''</w:t>
            </w:r>
          </w:p>
        </w:tc>
        <w:tc>
          <w:tcPr>
            <w:tcW w:w="1134" w:type="dxa"/>
          </w:tcPr>
          <w:p w:rsidR="00BE799B" w:rsidRPr="006316DF" w:rsidRDefault="00BE799B" w:rsidP="00BE799B">
            <w:pPr>
              <w:pStyle w:val="Tabletext"/>
              <w:rPr>
                <w:rFonts w:cs="Arial"/>
              </w:rPr>
            </w:pPr>
            <w:r>
              <w:rPr>
                <w:rFonts w:cs="Arial"/>
              </w:rPr>
              <w:t>Moderate</w:t>
            </w:r>
          </w:p>
          <w:p w:rsidR="00BE799B" w:rsidRPr="006316DF" w:rsidRDefault="00BE799B" w:rsidP="00BE799B">
            <w:pPr>
              <w:pStyle w:val="Tabletext"/>
              <w:rPr>
                <w:rFonts w:cs="Cambria Math"/>
                <w:bCs/>
              </w:rPr>
            </w:pPr>
            <w:r w:rsidRPr="006316DF">
              <w:rPr>
                <w:rFonts w:ascii="Cambria Math" w:hAnsi="Cambria Math" w:cs="Cambria Math"/>
                <w:bCs/>
                <w:color w:val="00B050"/>
              </w:rPr>
              <w:t>⨁⨁⨁</w:t>
            </w:r>
            <w:r w:rsidRPr="006316DF">
              <w:rPr>
                <w:rFonts w:ascii="Cambria Math" w:hAnsi="Cambria Math" w:cs="Cambria Math"/>
                <w:color w:val="C00000"/>
              </w:rPr>
              <w:t>⨀</w:t>
            </w:r>
          </w:p>
          <w:p w:rsidR="0075777C" w:rsidRPr="006316DF" w:rsidRDefault="0075777C" w:rsidP="00805885">
            <w:pPr>
              <w:pStyle w:val="Tabletext"/>
              <w:rPr>
                <w:rFonts w:cs="Arial"/>
              </w:rPr>
            </w:pPr>
            <w:r w:rsidRPr="006316DF">
              <w:rPr>
                <w:rFonts w:cs="Arial"/>
              </w:rPr>
              <w:t>Important</w:t>
            </w:r>
          </w:p>
        </w:tc>
      </w:tr>
      <w:tr w:rsidR="0075777C" w:rsidRPr="006316DF" w:rsidTr="00805885">
        <w:tc>
          <w:tcPr>
            <w:tcW w:w="1560" w:type="dxa"/>
          </w:tcPr>
          <w:p w:rsidR="0075777C" w:rsidRPr="006316DF" w:rsidRDefault="0075777C" w:rsidP="00805885">
            <w:pPr>
              <w:pStyle w:val="Tabletext"/>
              <w:rPr>
                <w:rFonts w:cs="Arial"/>
              </w:rPr>
            </w:pPr>
            <w:r>
              <w:rPr>
                <w:rFonts w:cs="Arial"/>
              </w:rPr>
              <w:t xml:space="preserve">Worsened </w:t>
            </w:r>
            <w:r w:rsidRPr="006316DF">
              <w:rPr>
                <w:rFonts w:cs="Arial"/>
              </w:rPr>
              <w:t>WHO FC</w:t>
            </w:r>
          </w:p>
        </w:tc>
        <w:tc>
          <w:tcPr>
            <w:tcW w:w="1275" w:type="dxa"/>
          </w:tcPr>
          <w:p w:rsidR="0075777C" w:rsidRPr="006316DF" w:rsidRDefault="0075777C" w:rsidP="00805885">
            <w:pPr>
              <w:pStyle w:val="Tabletext"/>
              <w:rPr>
                <w:rFonts w:cs="Arial"/>
              </w:rPr>
            </w:pPr>
            <w:r w:rsidRPr="006316DF">
              <w:rPr>
                <w:rFonts w:cs="Arial"/>
              </w:rPr>
              <w:t>N=</w:t>
            </w:r>
            <w:r>
              <w:rPr>
                <w:rFonts w:cs="Arial"/>
              </w:rPr>
              <w:t>1</w:t>
            </w:r>
            <w:r w:rsidR="0051596A">
              <w:rPr>
                <w:rFonts w:cs="Arial"/>
              </w:rPr>
              <w:t>20</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 xml:space="preserve">Imprecision: </w:t>
            </w:r>
            <w:r w:rsidR="00BD512F">
              <w:rPr>
                <w:rFonts w:cs="Arial"/>
              </w:rPr>
              <w:t>0</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0</w:t>
            </w:r>
          </w:p>
        </w:tc>
        <w:tc>
          <w:tcPr>
            <w:tcW w:w="1413" w:type="dxa"/>
          </w:tcPr>
          <w:p w:rsidR="0075777C" w:rsidRPr="00A17B9D" w:rsidRDefault="00A17B9D" w:rsidP="00805885">
            <w:pPr>
              <w:pStyle w:val="Tabletext"/>
              <w:rPr>
                <w:highlight w:val="black"/>
              </w:rPr>
            </w:pPr>
            <w:r>
              <w:rPr>
                <w:noProof/>
                <w:color w:val="000000"/>
                <w:highlight w:val="black"/>
              </w:rPr>
              <w:t>''''''''''''' ''' '''''''''''''' '''''''''''' ''''' '''''''''''''' '''''''''</w:t>
            </w:r>
          </w:p>
        </w:tc>
        <w:tc>
          <w:tcPr>
            <w:tcW w:w="2551" w:type="dxa"/>
          </w:tcPr>
          <w:p w:rsidR="0075777C" w:rsidRPr="00A17B9D" w:rsidRDefault="00A17B9D" w:rsidP="00805885">
            <w:pPr>
              <w:pStyle w:val="Tabletext"/>
              <w:rPr>
                <w:rFonts w:cs="Arial"/>
                <w:highlight w:val="black"/>
              </w:rPr>
            </w:pPr>
            <w:r>
              <w:rPr>
                <w:rFonts w:cs="Arial"/>
                <w:noProof/>
                <w:color w:val="000000"/>
                <w:highlight w:val="black"/>
              </w:rPr>
              <w:t>''''''''''''''''''''''''''' '''''''''''''' ''''''''''''''''' ''''''''''''''''''''''''''''''' '''''''''''''''' '''''''''''''''''''''' '''''''''' ''''''''''''''''''''''''''''' '''''''''''''''' ''''''''''''''''''''''' '''''''''' '''''''''''''''''''''''''''''' ''''' ''' '''''''''''''''''</w:t>
            </w:r>
          </w:p>
        </w:tc>
        <w:tc>
          <w:tcPr>
            <w:tcW w:w="1134" w:type="dxa"/>
          </w:tcPr>
          <w:p w:rsidR="0075777C" w:rsidRDefault="00BD512F" w:rsidP="00805885">
            <w:pPr>
              <w:pStyle w:val="Tabletext"/>
              <w:rPr>
                <w:bCs/>
              </w:rPr>
            </w:pPr>
            <w:r>
              <w:rPr>
                <w:bCs/>
              </w:rPr>
              <w:t>High</w:t>
            </w:r>
          </w:p>
          <w:p w:rsidR="0075777C" w:rsidRDefault="0075777C" w:rsidP="00805885">
            <w:pPr>
              <w:pStyle w:val="Tabletext"/>
              <w:rPr>
                <w:rFonts w:ascii="Cambria Math" w:hAnsi="Cambria Math" w:cs="Cambria Math"/>
                <w:bCs/>
              </w:rPr>
            </w:pPr>
            <w:r w:rsidRPr="00E564DD">
              <w:rPr>
                <w:rFonts w:ascii="Cambria Math" w:hAnsi="Cambria Math" w:cs="Cambria Math"/>
                <w:bCs/>
                <w:color w:val="00B050"/>
              </w:rPr>
              <w:t>⨁⨁⨁</w:t>
            </w:r>
            <w:r w:rsidR="00BD512F" w:rsidRPr="00E564DD">
              <w:rPr>
                <w:rFonts w:ascii="Cambria Math" w:hAnsi="Cambria Math" w:cs="Cambria Math"/>
                <w:bCs/>
                <w:color w:val="00B050"/>
              </w:rPr>
              <w:t>⨁</w:t>
            </w:r>
          </w:p>
          <w:p w:rsidR="0075777C" w:rsidRPr="006316DF" w:rsidRDefault="0075777C" w:rsidP="00805885">
            <w:pPr>
              <w:pStyle w:val="Tabletext"/>
              <w:rPr>
                <w:rFonts w:cs="Arial"/>
              </w:rPr>
            </w:pPr>
            <w:r w:rsidRPr="006316DF">
              <w:rPr>
                <w:rFonts w:cs="Arial"/>
              </w:rPr>
              <w:t>Important</w:t>
            </w:r>
          </w:p>
        </w:tc>
      </w:tr>
      <w:tr w:rsidR="00805885" w:rsidRPr="006316DF" w:rsidTr="00805885">
        <w:tc>
          <w:tcPr>
            <w:tcW w:w="1560" w:type="dxa"/>
          </w:tcPr>
          <w:p w:rsidR="00805885" w:rsidRPr="006316DF" w:rsidRDefault="00805885" w:rsidP="00805885">
            <w:pPr>
              <w:pStyle w:val="Tabletext"/>
              <w:rPr>
                <w:rFonts w:cs="Arial"/>
              </w:rPr>
            </w:pPr>
            <w:r w:rsidRPr="006316DF">
              <w:rPr>
                <w:rFonts w:cs="Arial"/>
              </w:rPr>
              <w:lastRenderedPageBreak/>
              <w:t>Change in 6MWD</w:t>
            </w:r>
            <w:r>
              <w:rPr>
                <w:rFonts w:cs="Arial"/>
              </w:rPr>
              <w:t xml:space="preserve"> from baseline</w:t>
            </w:r>
          </w:p>
        </w:tc>
        <w:tc>
          <w:tcPr>
            <w:tcW w:w="1275" w:type="dxa"/>
          </w:tcPr>
          <w:p w:rsidR="00805885" w:rsidRPr="006316DF" w:rsidRDefault="00805885" w:rsidP="00805885">
            <w:pPr>
              <w:pStyle w:val="Tabletext"/>
              <w:rPr>
                <w:rFonts w:cs="Arial"/>
              </w:rPr>
            </w:pPr>
            <w:r w:rsidRPr="006316DF">
              <w:rPr>
                <w:rFonts w:cs="Arial"/>
              </w:rPr>
              <w:t>N=</w:t>
            </w:r>
            <w:r>
              <w:rPr>
                <w:rFonts w:cs="Arial"/>
              </w:rPr>
              <w:t>1</w:t>
            </w:r>
            <w:r w:rsidR="0051596A">
              <w:rPr>
                <w:rFonts w:cs="Arial"/>
              </w:rPr>
              <w:t>20</w:t>
            </w:r>
          </w:p>
          <w:p w:rsidR="00805885" w:rsidRPr="006316DF" w:rsidRDefault="00805885"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805885" w:rsidRPr="006316DF" w:rsidRDefault="00805885" w:rsidP="00805885">
            <w:pPr>
              <w:pStyle w:val="Tabletext"/>
              <w:rPr>
                <w:rFonts w:cs="Arial"/>
              </w:rPr>
            </w:pPr>
            <w:r>
              <w:rPr>
                <w:rFonts w:cs="Arial"/>
              </w:rPr>
              <w:t>Risk of bias: 0</w:t>
            </w:r>
          </w:p>
          <w:p w:rsidR="00805885" w:rsidRPr="006316DF" w:rsidRDefault="00805885" w:rsidP="00805885">
            <w:pPr>
              <w:pStyle w:val="Tabletext"/>
              <w:rPr>
                <w:rFonts w:cs="Arial"/>
              </w:rPr>
            </w:pPr>
            <w:r w:rsidRPr="006316DF">
              <w:rPr>
                <w:rFonts w:cs="Arial"/>
              </w:rPr>
              <w:t>Inconsistency: 0</w:t>
            </w:r>
          </w:p>
          <w:p w:rsidR="00805885" w:rsidRPr="006316DF" w:rsidRDefault="00805885" w:rsidP="00805885">
            <w:pPr>
              <w:pStyle w:val="Tabletext"/>
              <w:rPr>
                <w:rFonts w:cs="Arial"/>
              </w:rPr>
            </w:pPr>
            <w:r w:rsidRPr="006316DF">
              <w:rPr>
                <w:rFonts w:cs="Arial"/>
              </w:rPr>
              <w:t xml:space="preserve">Indirectness: </w:t>
            </w:r>
            <w:r w:rsidR="00B47224">
              <w:rPr>
                <w:rFonts w:cs="Arial"/>
              </w:rPr>
              <w:t>−1</w:t>
            </w:r>
          </w:p>
          <w:p w:rsidR="00805885" w:rsidRDefault="00805885" w:rsidP="00805885">
            <w:pPr>
              <w:pStyle w:val="Tabletext"/>
              <w:rPr>
                <w:rFonts w:cs="Arial"/>
              </w:rPr>
            </w:pPr>
            <w:r w:rsidRPr="006316DF">
              <w:rPr>
                <w:rFonts w:cs="Arial"/>
              </w:rPr>
              <w:t>Imprecision: 0</w:t>
            </w:r>
          </w:p>
          <w:p w:rsidR="00805885" w:rsidRDefault="00805885" w:rsidP="00805885">
            <w:pPr>
              <w:pStyle w:val="Tabletext"/>
              <w:rPr>
                <w:rFonts w:cs="Arial"/>
              </w:rPr>
            </w:pPr>
            <w:r w:rsidRPr="006316DF">
              <w:rPr>
                <w:rFonts w:cs="Arial"/>
              </w:rPr>
              <w:t>Publication bias: 0</w:t>
            </w:r>
          </w:p>
          <w:p w:rsidR="00805885" w:rsidRPr="006316DF" w:rsidRDefault="00805885" w:rsidP="00805885">
            <w:pPr>
              <w:pStyle w:val="Tabletext"/>
              <w:rPr>
                <w:rFonts w:cs="Arial"/>
              </w:rPr>
            </w:pPr>
            <w:r>
              <w:rPr>
                <w:rFonts w:cs="Arial"/>
              </w:rPr>
              <w:t>Association: +1</w:t>
            </w:r>
          </w:p>
        </w:tc>
        <w:tc>
          <w:tcPr>
            <w:tcW w:w="1413" w:type="dxa"/>
          </w:tcPr>
          <w:p w:rsidR="00805885" w:rsidRPr="00A17B9D" w:rsidRDefault="00A17B9D" w:rsidP="007B3912">
            <w:pPr>
              <w:pStyle w:val="Tabletext"/>
              <w:rPr>
                <w:highlight w:val="black"/>
              </w:rPr>
            </w:pPr>
            <w:r>
              <w:rPr>
                <w:noProof/>
                <w:color w:val="000000"/>
                <w:highlight w:val="black"/>
              </w:rPr>
              <w:t>'''''''' ''' ''''''''''' '''' ''''''''''''''</w:t>
            </w:r>
            <w:r>
              <w:rPr>
                <w:noProof/>
                <w:color w:val="000000"/>
                <w:highlight w:val="black"/>
              </w:rPr>
              <w:br/>
              <w:t>'''''''''''''' '''''' ''''''''''''' '''''''''''''</w:t>
            </w:r>
          </w:p>
        </w:tc>
        <w:tc>
          <w:tcPr>
            <w:tcW w:w="2551" w:type="dxa"/>
          </w:tcPr>
          <w:p w:rsidR="00805885" w:rsidRPr="00A17B9D" w:rsidRDefault="00A17B9D" w:rsidP="00805885">
            <w:pPr>
              <w:pStyle w:val="Tabletext"/>
              <w:rPr>
                <w:rFonts w:cs="Arial"/>
                <w:highlight w:val="black"/>
              </w:rPr>
            </w:pPr>
            <w:r>
              <w:rPr>
                <w:rFonts w:cs="Arial"/>
                <w:noProof/>
                <w:color w:val="000000"/>
                <w:highlight w:val="black"/>
              </w:rPr>
              <w:t>'''''''''''''''''''' '''''' '''''''''''''''''''''''''''''' ''''''''''''''''''' ''''''''' '''' ''''''''''''''''' ''''''''''''''''''''' '''''''''''''''''''''' '''''''''''''' '''''''''''''''''''''''''''''''' ''''' ''''''''' ''''''''''''''' '''''''''' ''''''''''''''' '''''' ''''''''''''''''''''''''''''''</w:t>
            </w:r>
          </w:p>
        </w:tc>
        <w:tc>
          <w:tcPr>
            <w:tcW w:w="1134" w:type="dxa"/>
          </w:tcPr>
          <w:p w:rsidR="00805885" w:rsidRPr="006316DF" w:rsidRDefault="00805885" w:rsidP="00805885">
            <w:pPr>
              <w:pStyle w:val="Tabletext"/>
              <w:rPr>
                <w:rFonts w:cs="Arial"/>
              </w:rPr>
            </w:pPr>
            <w:r>
              <w:rPr>
                <w:rFonts w:cs="Arial"/>
              </w:rPr>
              <w:t>High</w:t>
            </w:r>
          </w:p>
          <w:p w:rsidR="00805885" w:rsidRPr="006316DF" w:rsidRDefault="00805885" w:rsidP="00805885">
            <w:pPr>
              <w:pStyle w:val="Tabletext"/>
              <w:rPr>
                <w:rFonts w:cs="Cambria Math"/>
                <w:bCs/>
              </w:rPr>
            </w:pPr>
            <w:r w:rsidRPr="006316DF">
              <w:rPr>
                <w:rFonts w:ascii="Cambria Math" w:hAnsi="Cambria Math" w:cs="Cambria Math"/>
                <w:bCs/>
                <w:color w:val="00B050"/>
              </w:rPr>
              <w:t>⨁⨁⨁⨁</w:t>
            </w:r>
          </w:p>
          <w:p w:rsidR="00805885" w:rsidRPr="006316DF" w:rsidRDefault="00805885" w:rsidP="00805885">
            <w:pPr>
              <w:pStyle w:val="Tabletext"/>
              <w:rPr>
                <w:rFonts w:cs="Arial"/>
              </w:rPr>
            </w:pPr>
            <w:r>
              <w:rPr>
                <w:rFonts w:cs="Arial"/>
              </w:rPr>
              <w:t>I</w:t>
            </w:r>
            <w:r w:rsidRPr="006316DF">
              <w:rPr>
                <w:rFonts w:cs="Arial"/>
              </w:rPr>
              <w:t>mportant</w:t>
            </w:r>
          </w:p>
        </w:tc>
      </w:tr>
      <w:tr w:rsidR="00805885" w:rsidRPr="006316DF" w:rsidTr="00805885">
        <w:tc>
          <w:tcPr>
            <w:tcW w:w="1560" w:type="dxa"/>
          </w:tcPr>
          <w:p w:rsidR="00805885" w:rsidRPr="006316DF" w:rsidRDefault="00805885" w:rsidP="00805885">
            <w:pPr>
              <w:pStyle w:val="Tabletext"/>
              <w:rPr>
                <w:rFonts w:cs="Arial"/>
              </w:rPr>
            </w:pPr>
            <w:r w:rsidRPr="006316DF">
              <w:rPr>
                <w:rFonts w:cs="Arial"/>
              </w:rPr>
              <w:t xml:space="preserve">Change in </w:t>
            </w:r>
            <w:r>
              <w:rPr>
                <w:rFonts w:cs="Arial"/>
              </w:rPr>
              <w:t>QoL from baseline</w:t>
            </w:r>
          </w:p>
        </w:tc>
        <w:tc>
          <w:tcPr>
            <w:tcW w:w="1275" w:type="dxa"/>
          </w:tcPr>
          <w:p w:rsidR="00805885" w:rsidRPr="006316DF" w:rsidRDefault="00805885" w:rsidP="00805885">
            <w:pPr>
              <w:pStyle w:val="Tabletext"/>
              <w:rPr>
                <w:rFonts w:cs="Arial"/>
              </w:rPr>
            </w:pPr>
            <w:r w:rsidRPr="006316DF">
              <w:rPr>
                <w:rFonts w:cs="Arial"/>
              </w:rPr>
              <w:t>N=</w:t>
            </w:r>
            <w:r>
              <w:rPr>
                <w:rFonts w:cs="Arial"/>
              </w:rPr>
              <w:t>1</w:t>
            </w:r>
            <w:r w:rsidR="0051596A">
              <w:rPr>
                <w:rFonts w:cs="Arial"/>
              </w:rPr>
              <w:t>20</w:t>
            </w:r>
          </w:p>
          <w:p w:rsidR="00805885" w:rsidRPr="006316DF" w:rsidRDefault="00805885"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805885" w:rsidRPr="006316DF" w:rsidRDefault="00805885" w:rsidP="00805885">
            <w:pPr>
              <w:pStyle w:val="Tabletext"/>
              <w:rPr>
                <w:rFonts w:cs="Arial"/>
              </w:rPr>
            </w:pPr>
            <w:r>
              <w:rPr>
                <w:rFonts w:cs="Arial"/>
              </w:rPr>
              <w:t>Risk of bias: 0</w:t>
            </w:r>
          </w:p>
          <w:p w:rsidR="00805885" w:rsidRPr="006316DF" w:rsidRDefault="00805885" w:rsidP="00805885">
            <w:pPr>
              <w:pStyle w:val="Tabletext"/>
              <w:rPr>
                <w:rFonts w:cs="Arial"/>
              </w:rPr>
            </w:pPr>
            <w:r w:rsidRPr="006316DF">
              <w:rPr>
                <w:rFonts w:cs="Arial"/>
              </w:rPr>
              <w:t>Inconsistency: 0</w:t>
            </w:r>
          </w:p>
          <w:p w:rsidR="00805885" w:rsidRPr="006316DF" w:rsidRDefault="00805885" w:rsidP="00805885">
            <w:pPr>
              <w:pStyle w:val="Tabletext"/>
              <w:rPr>
                <w:rFonts w:cs="Arial"/>
              </w:rPr>
            </w:pPr>
            <w:r w:rsidRPr="006316DF">
              <w:rPr>
                <w:rFonts w:cs="Arial"/>
              </w:rPr>
              <w:t>Indirectness: 0</w:t>
            </w:r>
          </w:p>
          <w:p w:rsidR="00805885" w:rsidRDefault="00805885" w:rsidP="00805885">
            <w:pPr>
              <w:pStyle w:val="Tabletext"/>
              <w:rPr>
                <w:rFonts w:cs="Arial"/>
              </w:rPr>
            </w:pPr>
            <w:r w:rsidRPr="006316DF">
              <w:rPr>
                <w:rFonts w:cs="Arial"/>
              </w:rPr>
              <w:t>Imprecision: 0</w:t>
            </w:r>
          </w:p>
          <w:p w:rsidR="00805885" w:rsidRDefault="00805885" w:rsidP="00805885">
            <w:pPr>
              <w:pStyle w:val="Tabletext"/>
              <w:rPr>
                <w:rFonts w:cs="Arial"/>
              </w:rPr>
            </w:pPr>
            <w:r w:rsidRPr="006316DF">
              <w:rPr>
                <w:rFonts w:cs="Arial"/>
              </w:rPr>
              <w:t>Publication bias: 0</w:t>
            </w:r>
          </w:p>
          <w:p w:rsidR="00805885" w:rsidRPr="006316DF" w:rsidRDefault="00805885" w:rsidP="00B47224">
            <w:pPr>
              <w:pStyle w:val="Tabletext"/>
              <w:rPr>
                <w:rFonts w:cs="Arial"/>
              </w:rPr>
            </w:pPr>
            <w:r>
              <w:rPr>
                <w:rFonts w:cs="Arial"/>
              </w:rPr>
              <w:t xml:space="preserve">Association: </w:t>
            </w:r>
            <w:r w:rsidR="00B47224">
              <w:rPr>
                <w:rFonts w:cs="Arial"/>
              </w:rPr>
              <w:t>0</w:t>
            </w:r>
            <w:r w:rsidR="006D0484">
              <w:rPr>
                <w:rFonts w:cs="Arial"/>
              </w:rPr>
              <w:t xml:space="preserve"> to </w:t>
            </w:r>
            <w:r>
              <w:rPr>
                <w:rFonts w:cs="Arial"/>
              </w:rPr>
              <w:t>+1</w:t>
            </w:r>
          </w:p>
        </w:tc>
        <w:tc>
          <w:tcPr>
            <w:tcW w:w="1413" w:type="dxa"/>
          </w:tcPr>
          <w:p w:rsidR="00805885" w:rsidRPr="00A17B9D" w:rsidRDefault="00A17B9D" w:rsidP="00805885">
            <w:pPr>
              <w:pStyle w:val="Tabletext"/>
              <w:rPr>
                <w:highlight w:val="black"/>
              </w:rPr>
            </w:pPr>
            <w:r>
              <w:rPr>
                <w:noProof/>
                <w:color w:val="000000"/>
                <w:highlight w:val="black"/>
              </w:rPr>
              <w:t>''''''''''''''''''</w:t>
            </w:r>
            <w:r>
              <w:rPr>
                <w:noProof/>
                <w:color w:val="000000"/>
                <w:highlight w:val="black"/>
              </w:rPr>
              <w:br/>
              <w:t>''''''''' ''''''''''''' ''''''''''' '''''''''''''''''''''''''''''</w:t>
            </w:r>
          </w:p>
          <w:p w:rsidR="00805885" w:rsidRPr="00A17B9D" w:rsidRDefault="00A17B9D" w:rsidP="00805885">
            <w:pPr>
              <w:pStyle w:val="Tabletext"/>
              <w:rPr>
                <w:highlight w:val="black"/>
              </w:rPr>
            </w:pPr>
            <w:r>
              <w:rPr>
                <w:noProof/>
                <w:color w:val="000000"/>
                <w:highlight w:val="black"/>
              </w:rPr>
              <w:t>'''''''''''''''</w:t>
            </w:r>
            <w:r>
              <w:rPr>
                <w:noProof/>
                <w:color w:val="000000"/>
                <w:highlight w:val="black"/>
              </w:rPr>
              <w:br/>
              <w:t>'''''''' ''''''''' '''''''''''' ''''''''''''''''''''''''''''''''</w:t>
            </w:r>
          </w:p>
        </w:tc>
        <w:tc>
          <w:tcPr>
            <w:tcW w:w="2551" w:type="dxa"/>
          </w:tcPr>
          <w:p w:rsidR="00805885" w:rsidRPr="00A17B9D" w:rsidRDefault="00A17B9D" w:rsidP="00805885">
            <w:pPr>
              <w:pStyle w:val="Tabletext"/>
              <w:rPr>
                <w:rFonts w:cs="Arial"/>
                <w:highlight w:val="black"/>
              </w:rPr>
            </w:pPr>
            <w:r>
              <w:rPr>
                <w:rFonts w:cs="Arial"/>
                <w:noProof/>
                <w:color w:val="000000"/>
                <w:highlight w:val="black"/>
              </w:rPr>
              <w:t>'''''''''''''''''''' '''''' ''''''''''''''''''''''''''''' ''''''''''''''''''' ''''''''' '''' ''''''''''''''' ''''''''''''' ''''''''''''''''''''''''''''''''' ''''' ''''''''''' '''''''''' '''''''''' ''''''''''''''' ''''''' '''''''''''''''''''''''''''''''''' ''''''''' ''''''''''''''''''''''''' ''''' ''''''''''''''''' ''''''''''''' '''''''''' ''''''''''''''''''''' ''''''''''''''''''''''</w:t>
            </w:r>
          </w:p>
        </w:tc>
        <w:tc>
          <w:tcPr>
            <w:tcW w:w="1134" w:type="dxa"/>
          </w:tcPr>
          <w:p w:rsidR="00805885" w:rsidRPr="006316DF" w:rsidRDefault="00805885" w:rsidP="00805885">
            <w:pPr>
              <w:pStyle w:val="Tabletext"/>
              <w:rPr>
                <w:rFonts w:cs="Arial"/>
              </w:rPr>
            </w:pPr>
            <w:r>
              <w:rPr>
                <w:rFonts w:cs="Arial"/>
              </w:rPr>
              <w:t>High</w:t>
            </w:r>
          </w:p>
          <w:p w:rsidR="00805885" w:rsidRPr="006316DF" w:rsidRDefault="00805885" w:rsidP="00805885">
            <w:pPr>
              <w:pStyle w:val="Tabletext"/>
              <w:rPr>
                <w:rFonts w:cs="Cambria Math"/>
                <w:bCs/>
              </w:rPr>
            </w:pPr>
            <w:r w:rsidRPr="006316DF">
              <w:rPr>
                <w:rFonts w:ascii="Cambria Math" w:hAnsi="Cambria Math" w:cs="Cambria Math"/>
                <w:bCs/>
                <w:color w:val="00B050"/>
              </w:rPr>
              <w:t>⨁⨁⨁⨁</w:t>
            </w:r>
          </w:p>
          <w:p w:rsidR="00805885" w:rsidRPr="006316DF" w:rsidRDefault="00805885" w:rsidP="00805885">
            <w:pPr>
              <w:pStyle w:val="Tabletext"/>
              <w:rPr>
                <w:rFonts w:cs="Arial"/>
              </w:rPr>
            </w:pPr>
            <w:r>
              <w:rPr>
                <w:rFonts w:cs="Arial"/>
              </w:rPr>
              <w:t>I</w:t>
            </w:r>
            <w:r w:rsidRPr="006316DF">
              <w:rPr>
                <w:rFonts w:cs="Arial"/>
              </w:rPr>
              <w:t>mportant</w:t>
            </w:r>
          </w:p>
        </w:tc>
      </w:tr>
      <w:tr w:rsidR="0075777C" w:rsidRPr="006316DF" w:rsidTr="00805885">
        <w:tc>
          <w:tcPr>
            <w:tcW w:w="1560" w:type="dxa"/>
          </w:tcPr>
          <w:p w:rsidR="0075777C" w:rsidRPr="006316DF" w:rsidRDefault="0075777C" w:rsidP="00805885">
            <w:pPr>
              <w:pStyle w:val="Tabletext"/>
              <w:rPr>
                <w:rFonts w:cs="Arial"/>
              </w:rPr>
            </w:pPr>
            <w:r w:rsidRPr="006C4A08">
              <w:rPr>
                <w:rFonts w:cs="Arial"/>
              </w:rPr>
              <w:t>Change in haemodynamic parameters from baseline</w:t>
            </w:r>
          </w:p>
        </w:tc>
        <w:tc>
          <w:tcPr>
            <w:tcW w:w="1275" w:type="dxa"/>
          </w:tcPr>
          <w:p w:rsidR="0075777C" w:rsidRPr="006316DF" w:rsidRDefault="0075777C" w:rsidP="00805885">
            <w:pPr>
              <w:pStyle w:val="Tabletext"/>
              <w:rPr>
                <w:rFonts w:cs="Arial"/>
              </w:rPr>
            </w:pPr>
            <w:r w:rsidRPr="006316DF">
              <w:rPr>
                <w:rFonts w:cs="Arial"/>
              </w:rPr>
              <w:t>N=</w:t>
            </w:r>
            <w:r>
              <w:rPr>
                <w:rFonts w:cs="Arial"/>
              </w:rPr>
              <w:t>1</w:t>
            </w:r>
            <w:r w:rsidR="0051596A">
              <w:rPr>
                <w:rFonts w:cs="Arial"/>
              </w:rPr>
              <w:t>03</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sidRPr="006316DF">
              <w:rPr>
                <w:rFonts w:cs="Arial"/>
              </w:rPr>
              <w:t xml:space="preserve">Risk of bias: </w:t>
            </w:r>
            <w:r>
              <w:rPr>
                <w:rFonts w:cs="Arial"/>
              </w:rPr>
              <w:t>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 xml:space="preserve">Indirectness: </w:t>
            </w:r>
            <w:r w:rsidR="00B47224">
              <w:rPr>
                <w:rFonts w:cs="Arial"/>
              </w:rPr>
              <w:t>−2</w:t>
            </w:r>
          </w:p>
          <w:p w:rsidR="0075777C" w:rsidRDefault="0075777C" w:rsidP="00805885">
            <w:pPr>
              <w:pStyle w:val="Tabletext"/>
              <w:rPr>
                <w:rFonts w:cs="Arial"/>
              </w:rPr>
            </w:pPr>
            <w:r>
              <w:rPr>
                <w:rFonts w:cs="Arial"/>
              </w:rPr>
              <w:t>Imprecision: 0</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+1</w:t>
            </w:r>
          </w:p>
        </w:tc>
        <w:tc>
          <w:tcPr>
            <w:tcW w:w="1413" w:type="dxa"/>
          </w:tcPr>
          <w:p w:rsidR="0075777C" w:rsidRPr="00A17B9D" w:rsidRDefault="00A17B9D" w:rsidP="00805885">
            <w:pPr>
              <w:pStyle w:val="Tabletext"/>
              <w:rPr>
                <w:highlight w:val="black"/>
              </w:rPr>
            </w:pPr>
            <w:r>
              <w:rPr>
                <w:noProof/>
                <w:color w:val="000000"/>
                <w:highlight w:val="black"/>
              </w:rPr>
              <w:t>''''''''''''</w:t>
            </w:r>
            <w:r>
              <w:rPr>
                <w:noProof/>
                <w:color w:val="000000"/>
                <w:highlight w:val="black"/>
              </w:rPr>
              <w:br/>
              <w:t>''''''''' ''' '''''''''''''''' '''''''''''''''''''''''''''''''</w:t>
            </w:r>
          </w:p>
        </w:tc>
        <w:tc>
          <w:tcPr>
            <w:tcW w:w="2551" w:type="dxa"/>
          </w:tcPr>
          <w:p w:rsidR="0075777C" w:rsidRPr="00A17B9D" w:rsidRDefault="00A17B9D" w:rsidP="00805885">
            <w:pPr>
              <w:pStyle w:val="Tabletext"/>
              <w:rPr>
                <w:rFonts w:cs="Arial"/>
                <w:highlight w:val="black"/>
              </w:rPr>
            </w:pPr>
            <w:r>
              <w:rPr>
                <w:rFonts w:cs="Arial"/>
                <w:noProof/>
                <w:color w:val="000000"/>
                <w:highlight w:val="black"/>
              </w:rPr>
              <w:t>'''''''''''''''''''' '''''' '''''''''''''''''''''''''''''' '''''''''''''''' ''''''''' ''' '''''''''''''''' '''''''''''''''''' '''''''''''''''''''' ''''''''''''' '''''''''''''''''''''''''''''' ''''' ''''''''''' '''''''''''''''''''''''''''''''''''' ''''''''''''''''''''''''''' ''''''''''' '''''''''''''' ''''''' ''''''''''''''''''''''''''''''</w:t>
            </w:r>
          </w:p>
        </w:tc>
        <w:tc>
          <w:tcPr>
            <w:tcW w:w="1134" w:type="dxa"/>
          </w:tcPr>
          <w:p w:rsidR="0075777C" w:rsidRPr="006316DF" w:rsidRDefault="00B47224" w:rsidP="00805885">
            <w:pPr>
              <w:pStyle w:val="Tabletext"/>
              <w:rPr>
                <w:rFonts w:cs="Arial"/>
              </w:rPr>
            </w:pPr>
            <w:r>
              <w:rPr>
                <w:rFonts w:cs="Arial"/>
              </w:rPr>
              <w:t>Moderate</w:t>
            </w:r>
          </w:p>
          <w:p w:rsidR="0075777C" w:rsidRPr="006316DF" w:rsidRDefault="0075777C" w:rsidP="00805885">
            <w:pPr>
              <w:pStyle w:val="Tabletext"/>
              <w:rPr>
                <w:rFonts w:cs="Cambria Math"/>
                <w:bCs/>
              </w:rPr>
            </w:pPr>
            <w:r w:rsidRPr="006316DF">
              <w:rPr>
                <w:rFonts w:ascii="Cambria Math" w:hAnsi="Cambria Math" w:cs="Cambria Math"/>
                <w:bCs/>
                <w:color w:val="00B050"/>
              </w:rPr>
              <w:t>⨁⨁⨁</w:t>
            </w:r>
            <w:r w:rsidR="00B47224" w:rsidRPr="006316DF">
              <w:rPr>
                <w:rFonts w:ascii="Cambria Math" w:hAnsi="Cambria Math" w:cs="Cambria Math"/>
                <w:color w:val="C00000"/>
              </w:rPr>
              <w:t>⨀</w:t>
            </w:r>
          </w:p>
          <w:p w:rsidR="0075777C" w:rsidRPr="006316DF" w:rsidRDefault="0075777C" w:rsidP="00805885">
            <w:pPr>
              <w:pStyle w:val="Tabletext"/>
              <w:rPr>
                <w:rFonts w:cs="Arial"/>
              </w:rPr>
            </w:pPr>
            <w:r>
              <w:rPr>
                <w:rFonts w:cs="Arial"/>
              </w:rPr>
              <w:t>Not i</w:t>
            </w:r>
            <w:r w:rsidRPr="006316DF">
              <w:rPr>
                <w:rFonts w:cs="Arial"/>
              </w:rPr>
              <w:t>mportant</w:t>
            </w:r>
          </w:p>
        </w:tc>
      </w:tr>
    </w:tbl>
    <w:p w:rsidR="0075777C" w:rsidRPr="006316DF" w:rsidRDefault="0075777C" w:rsidP="00805885">
      <w:pPr>
        <w:pStyle w:val="Tablenote"/>
      </w:pPr>
      <w:r w:rsidRPr="006316DF">
        <w:rPr>
          <w:vertAlign w:val="superscript"/>
        </w:rPr>
        <w:t xml:space="preserve">a </w:t>
      </w:r>
      <w:r w:rsidRPr="006316DF">
        <w:t xml:space="preserve">GRADE Working Group grades of evidence </w:t>
      </w:r>
      <w:r w:rsidR="001D34EE" w:rsidRPr="001D34EE">
        <w:rPr>
          <w:noProof/>
          <w:vertAlign w:val="superscript"/>
        </w:rPr>
        <w:t>1</w:t>
      </w:r>
    </w:p>
    <w:p w:rsidR="000211A3" w:rsidRDefault="000211A3" w:rsidP="000211A3">
      <w:pPr>
        <w:pStyle w:val="Tablenote"/>
      </w:pPr>
      <w:r>
        <w:rPr>
          <w:vertAlign w:val="superscript"/>
        </w:rPr>
        <w:t xml:space="preserve">b </w:t>
      </w:r>
      <w:r>
        <w:t xml:space="preserve">EQ-5D utility scores range from </w:t>
      </w:r>
      <w:r w:rsidRPr="00C569DB">
        <w:t>−</w:t>
      </w:r>
      <w:r>
        <w:t>0.59 to 1.00. A higher score represents better QoL.</w:t>
      </w:r>
    </w:p>
    <w:p w:rsidR="000211A3" w:rsidRDefault="000211A3" w:rsidP="000211A3">
      <w:pPr>
        <w:pStyle w:val="Tablenote"/>
      </w:pPr>
      <w:r>
        <w:rPr>
          <w:vertAlign w:val="superscript"/>
        </w:rPr>
        <w:t xml:space="preserve">c </w:t>
      </w:r>
      <w:r>
        <w:t>LPH total scores range from 0 to 105. A higher score indicates poorer QoL.</w:t>
      </w:r>
    </w:p>
    <w:p w:rsidR="0075777C" w:rsidRDefault="0075777C" w:rsidP="00805885">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75777C" w:rsidRPr="006316DF" w:rsidRDefault="0075777C" w:rsidP="00805885">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Moderate quality:</w:t>
      </w:r>
      <w:r w:rsidRPr="006316DF">
        <w:t xml:space="preserve"> We are moderately confident in the effect estimate: The true effect is likely to be close to the estimate of the effect, but there is a possibility that it is substantially different</w:t>
      </w:r>
    </w:p>
    <w:p w:rsidR="007446CB" w:rsidRDefault="0075777C" w:rsidP="00805885">
      <w:pPr>
        <w:pStyle w:val="Tablenote"/>
      </w:pPr>
      <w:r>
        <w:t xml:space="preserve">6MWD = 6-minute </w:t>
      </w:r>
      <w:r w:rsidR="0082368E">
        <w:t>walk distance</w:t>
      </w:r>
      <w:r w:rsidR="00B21201">
        <w:t>; ARD</w:t>
      </w:r>
      <w:r>
        <w:t xml:space="preserve"> = absolute risk </w:t>
      </w:r>
      <w:r w:rsidR="00B21201">
        <w:t>difference</w:t>
      </w:r>
      <w:r>
        <w:t>; CI = confidence interval; EQ-5D = EuroQual 5 dimension;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146880" w:rsidRPr="00F24B06">
        <w:t xml:space="preserve">; k = number of studies; </w:t>
      </w:r>
      <w:r>
        <w:t xml:space="preserve">MD = mean difference; N = number of patients; </w:t>
      </w:r>
      <w:r w:rsidRPr="00C65B42">
        <w:t xml:space="preserve">PAH = pulmonary arterial hypertension; </w:t>
      </w:r>
      <w:r w:rsidRPr="009123E2">
        <w:t>PVR</w:t>
      </w:r>
      <w:r>
        <w:t xml:space="preserve"> = p</w:t>
      </w:r>
      <w:r w:rsidRPr="009123E2">
        <w:t xml:space="preserve">ulmonary </w:t>
      </w:r>
      <w:r>
        <w:t>v</w:t>
      </w:r>
      <w:r w:rsidRPr="009123E2">
        <w:t xml:space="preserve">ascular </w:t>
      </w:r>
      <w:r>
        <w:t>r</w:t>
      </w:r>
      <w:r w:rsidRPr="009123E2">
        <w:t>esistance</w:t>
      </w:r>
      <w:r>
        <w:t xml:space="preserve">; QoL = quality of life; RCT = randomised controlled trial; RR = relative risk; </w:t>
      </w:r>
      <w:r w:rsidRPr="006C6F7B">
        <w:t xml:space="preserve">sGC = soluble guanylate cyclase; </w:t>
      </w:r>
      <w:r>
        <w:t>WHO = World Health Organization</w:t>
      </w:r>
    </w:p>
    <w:p w:rsidR="0075777C" w:rsidRPr="006316DF" w:rsidRDefault="0075777C" w:rsidP="0075777C">
      <w:pPr>
        <w:pStyle w:val="Heading5"/>
      </w:pPr>
      <w:r w:rsidRPr="006316DF">
        <w:t>Safety</w:t>
      </w:r>
    </w:p>
    <w:p w:rsidR="0075777C" w:rsidRDefault="00457FA6" w:rsidP="0075777C">
      <w:r w:rsidRPr="00457FA6">
        <w:t xml:space="preserve">No conclusions about the comparative safety of a sGC stimulator in addition to an ERA, relative to ERA monotherapy in </w:t>
      </w:r>
      <w:r>
        <w:t xml:space="preserve">PAH </w:t>
      </w:r>
      <w:r w:rsidRPr="00457FA6">
        <w:t>patients could be made due to a lack of evidence.</w:t>
      </w:r>
      <w:r w:rsidR="0075777C" w:rsidRPr="003447BE">
        <w:t xml:space="preserve"> </w:t>
      </w:r>
    </w:p>
    <w:p w:rsidR="0075777C" w:rsidRPr="006316DF" w:rsidRDefault="000E0079" w:rsidP="0075777C">
      <w:pPr>
        <w:pStyle w:val="Heading4"/>
      </w:pPr>
      <w:r>
        <w:t>4.5.3.7</w:t>
      </w:r>
      <w:r>
        <w:tab/>
      </w:r>
      <w:r w:rsidR="0075777C" w:rsidRPr="0006289E">
        <w:t>sGC stimulator in addition to PDE-5 inhibitor</w:t>
      </w:r>
    </w:p>
    <w:p w:rsidR="0075777C" w:rsidRPr="00107676" w:rsidRDefault="0075777C" w:rsidP="0075777C">
      <w:pPr>
        <w:pStyle w:val="Heading5"/>
      </w:pPr>
      <w:r w:rsidRPr="00107676">
        <w:t>Clinical effectiveness</w:t>
      </w:r>
    </w:p>
    <w:p w:rsidR="0075777C" w:rsidRDefault="0075777C" w:rsidP="0075777C">
      <w:r>
        <w:t xml:space="preserve">The RCT that provided the evidence base for </w:t>
      </w:r>
      <w:r w:rsidRPr="000522D6">
        <w:t xml:space="preserve">comparing </w:t>
      </w:r>
      <w:r>
        <w:t xml:space="preserve">the effectiveness of </w:t>
      </w:r>
      <w:r w:rsidRPr="000522D6">
        <w:t xml:space="preserve">a </w:t>
      </w:r>
      <w:r w:rsidRPr="001A61AD">
        <w:t xml:space="preserve">sGC stimulator </w:t>
      </w:r>
      <w:r w:rsidRPr="000522D6">
        <w:t xml:space="preserve">in addition to </w:t>
      </w:r>
      <w:r>
        <w:t xml:space="preserve">a </w:t>
      </w:r>
      <w:r w:rsidRPr="00A14F28">
        <w:t xml:space="preserve">PDE-5 inhibitor </w:t>
      </w:r>
      <w:r>
        <w:t>compared with</w:t>
      </w:r>
      <w:r w:rsidRPr="000522D6">
        <w:t xml:space="preserve"> </w:t>
      </w:r>
      <w:r w:rsidRPr="00A14F28">
        <w:t xml:space="preserve">PDE-5 inhibitor </w:t>
      </w:r>
      <w:r w:rsidRPr="000522D6">
        <w:t>monotherapy</w:t>
      </w:r>
      <w:r>
        <w:t xml:space="preserve"> enrolled patients receiving stable </w:t>
      </w:r>
      <w:r w:rsidRPr="00B73C5B">
        <w:t>PDE-5 inhibitor</w:t>
      </w:r>
      <w:r w:rsidRPr="004F7ADF">
        <w:t xml:space="preserve"> </w:t>
      </w:r>
      <w:r>
        <w:t>t</w:t>
      </w:r>
      <w:r w:rsidRPr="004F7ADF">
        <w:t>herapy</w:t>
      </w:r>
      <w:r>
        <w:t xml:space="preserve"> </w:t>
      </w:r>
      <w:r w:rsidRPr="001A61AD">
        <w:t>(sequential combination therapy).</w:t>
      </w:r>
      <w:r>
        <w:t xml:space="preserve"> No WHO FC or PAH aetiology subgroup analysis was undertaken.</w:t>
      </w:r>
    </w:p>
    <w:p w:rsidR="0075777C" w:rsidRPr="00920393" w:rsidRDefault="0075777C" w:rsidP="0075777C">
      <w:r w:rsidRPr="006316DF">
        <w:t xml:space="preserve">The </w:t>
      </w:r>
      <w:r>
        <w:t xml:space="preserve">detailed </w:t>
      </w:r>
      <w:r w:rsidRPr="006316DF">
        <w:t>GRADE</w:t>
      </w:r>
      <w:r w:rsidR="001D34EE" w:rsidRPr="001D34EE">
        <w:rPr>
          <w:noProof/>
          <w:vertAlign w:val="superscript"/>
        </w:rPr>
        <w:t>1</w:t>
      </w:r>
      <w:r w:rsidRPr="006316DF">
        <w:t xml:space="preserve"> assessments of the outcomes when comparing </w:t>
      </w:r>
      <w:r>
        <w:t xml:space="preserve">a </w:t>
      </w:r>
      <w:r w:rsidRPr="00944958">
        <w:t xml:space="preserve">sGC stimulator in addition to </w:t>
      </w:r>
      <w:r>
        <w:t xml:space="preserve">a </w:t>
      </w:r>
      <w:r w:rsidRPr="00944958">
        <w:t xml:space="preserve">PDE-5 inhibitor, relative to PDE-5 inhibitor monotherapy </w:t>
      </w:r>
      <w:r w:rsidRPr="006316DF">
        <w:t xml:space="preserve">are reported in </w:t>
      </w:r>
      <w:r w:rsidR="00AA722D">
        <w:t>Table 4.</w:t>
      </w:r>
      <w:r w:rsidR="00AA722D">
        <w:rPr>
          <w:noProof/>
        </w:rPr>
        <w:t>167</w:t>
      </w:r>
      <w:r w:rsidR="00FD5A29">
        <w:t xml:space="preserve"> </w:t>
      </w:r>
      <w:r w:rsidRPr="006316DF">
        <w:t xml:space="preserve">in Appendix </w:t>
      </w:r>
      <w:r w:rsidR="00DA2636">
        <w:t>4</w:t>
      </w:r>
      <w:r w:rsidR="001B552D">
        <w:t>C</w:t>
      </w:r>
      <w:r w:rsidRPr="006316DF">
        <w:t>. A summary of these results is provided in</w:t>
      </w:r>
      <w:r w:rsidR="003F6AC4">
        <w:t xml:space="preserve"> Table 4.120</w:t>
      </w:r>
      <w:r w:rsidRPr="006316DF">
        <w:t xml:space="preserve">. The evidence base for </w:t>
      </w:r>
      <w:r w:rsidR="00585084">
        <w:t>all</w:t>
      </w:r>
      <w:r w:rsidRPr="006316DF">
        <w:t xml:space="preserve"> </w:t>
      </w:r>
      <w:r w:rsidRPr="006316DF">
        <w:lastRenderedPageBreak/>
        <w:t>outcomes w</w:t>
      </w:r>
      <w:r w:rsidR="00585084">
        <w:t>ere</w:t>
      </w:r>
      <w:r w:rsidRPr="006316DF">
        <w:t xml:space="preserve"> considered to be of </w:t>
      </w:r>
      <w:r w:rsidR="00585084">
        <w:t>low</w:t>
      </w:r>
      <w:r w:rsidRPr="006316DF">
        <w:t xml:space="preserve"> quality (GRADE </w:t>
      </w:r>
      <w:r w:rsidRPr="00920393">
        <w:rPr>
          <w:rFonts w:ascii="Cambria Math" w:eastAsia="Times New Roman" w:hAnsi="Cambria Math" w:cs="Tahoma"/>
          <w:bCs/>
          <w:color w:val="00B050"/>
        </w:rPr>
        <w:t>⨁⨁</w:t>
      </w:r>
      <w:r w:rsidR="00585084" w:rsidRPr="00920393">
        <w:rPr>
          <w:rFonts w:ascii="Cambria Math" w:eastAsia="Times New Roman" w:hAnsi="Cambria Math" w:cs="Cambria Math"/>
          <w:bCs/>
          <w:color w:val="C00000"/>
        </w:rPr>
        <w:t>⨀⨀</w:t>
      </w:r>
      <w:r w:rsidRPr="00920393">
        <w:t>)</w:t>
      </w:r>
      <w:r w:rsidR="00585084">
        <w:t>, except for change in 6MWD, which</w:t>
      </w:r>
      <w:r w:rsidRPr="00920393">
        <w:t xml:space="preserve"> was considered to be</w:t>
      </w:r>
      <w:r w:rsidRPr="006316DF">
        <w:t xml:space="preserve"> of </w:t>
      </w:r>
      <w:r w:rsidR="00585084">
        <w:t>very low</w:t>
      </w:r>
      <w:r w:rsidRPr="006316DF">
        <w:t xml:space="preserve"> quality (GRADE </w:t>
      </w:r>
      <w:r w:rsidRPr="00920393">
        <w:rPr>
          <w:rFonts w:ascii="Cambria Math" w:eastAsia="Times New Roman" w:hAnsi="Cambria Math" w:cs="Tahoma"/>
          <w:bCs/>
          <w:color w:val="00B050"/>
        </w:rPr>
        <w:t>⨁</w:t>
      </w:r>
      <w:r w:rsidR="00585084" w:rsidRPr="00920393">
        <w:rPr>
          <w:rFonts w:ascii="Cambria Math" w:eastAsia="Times New Roman" w:hAnsi="Cambria Math" w:cs="Cambria Math"/>
          <w:bCs/>
          <w:color w:val="C00000"/>
        </w:rPr>
        <w:t>⨀⨀</w:t>
      </w:r>
      <w:r w:rsidRPr="00920393">
        <w:rPr>
          <w:rFonts w:ascii="Cambria Math" w:eastAsia="Times New Roman" w:hAnsi="Cambria Math" w:cs="Cambria Math"/>
          <w:bCs/>
          <w:color w:val="C00000"/>
        </w:rPr>
        <w:t>⨀</w:t>
      </w:r>
      <w:r w:rsidRPr="00920393">
        <w:t xml:space="preserve">). Thus, the true effect of treating PAH with a sGC stimulator in addition to a PDE-5 inhibitor, relative to PDE-5 inhibitor monotherapy </w:t>
      </w:r>
      <w:r w:rsidR="00B3296A">
        <w:t>is likely to</w:t>
      </w:r>
      <w:r w:rsidR="00B3296A" w:rsidRPr="00B3296A">
        <w:t xml:space="preserve"> be substantially different from the estimate of the effect</w:t>
      </w:r>
      <w:r w:rsidR="00B3296A">
        <w:t>.</w:t>
      </w:r>
    </w:p>
    <w:p w:rsidR="0075777C" w:rsidRPr="006316DF" w:rsidRDefault="0075777C" w:rsidP="0075777C">
      <w:r w:rsidRPr="006316DF">
        <w:t xml:space="preserve">When taking </w:t>
      </w:r>
      <w:r>
        <w:t>the whole body of evidence</w:t>
      </w:r>
      <w:r w:rsidRPr="006316DF">
        <w:t xml:space="preserve"> into account, </w:t>
      </w:r>
      <w:r w:rsidR="00B3296A">
        <w:t>fewer</w:t>
      </w:r>
      <w:r w:rsidRPr="006316DF">
        <w:t xml:space="preserve"> patients </w:t>
      </w:r>
      <w:r>
        <w:t>on combination therapy</w:t>
      </w:r>
      <w:r w:rsidRPr="006316DF">
        <w:t xml:space="preserve"> </w:t>
      </w:r>
      <w:r w:rsidR="00B3296A">
        <w:t xml:space="preserve">improved their WHO FC </w:t>
      </w:r>
      <w:r w:rsidRPr="006316DF">
        <w:t xml:space="preserve">compared with </w:t>
      </w:r>
      <w:r>
        <w:t>monotherapy</w:t>
      </w:r>
      <w:r w:rsidR="00B3296A">
        <w:t>.</w:t>
      </w:r>
      <w:r w:rsidRPr="006316DF">
        <w:t xml:space="preserve"> </w:t>
      </w:r>
      <w:r w:rsidR="00B3296A">
        <w:t xml:space="preserve">Patients on combination therapy also </w:t>
      </w:r>
      <w:r w:rsidR="00B3296A" w:rsidRPr="00B3296A">
        <w:t>had a smaller mean improvement in their 6MWD than those on monotherapy</w:t>
      </w:r>
      <w:r w:rsidR="00B3296A">
        <w:t xml:space="preserve">. The difference in mortality and worsening of WHO FC between the two treatment arms could not be determined as no patients had these outcomes during the study period. </w:t>
      </w:r>
      <w:r w:rsidRPr="006316DF">
        <w:t xml:space="preserve">Additionally, given </w:t>
      </w:r>
      <w:r>
        <w:t>the small study size</w:t>
      </w:r>
      <w:r w:rsidRPr="006316DF">
        <w:t>, it is likely that the RCT were underpowered to detect a true difference for these outcomes.</w:t>
      </w:r>
    </w:p>
    <w:p w:rsidR="0075777C" w:rsidRDefault="0075777C" w:rsidP="0075777C">
      <w:r w:rsidRPr="006316DF">
        <w:t xml:space="preserve">Thus, </w:t>
      </w:r>
      <w:r w:rsidRPr="00944958">
        <w:t xml:space="preserve">there is </w:t>
      </w:r>
      <w:r w:rsidR="00F9316D">
        <w:t>insufficient</w:t>
      </w:r>
      <w:r w:rsidRPr="00944958">
        <w:t xml:space="preserve"> evidence</w:t>
      </w:r>
      <w:r w:rsidRPr="000522D6">
        <w:t xml:space="preserve"> </w:t>
      </w:r>
      <w:r w:rsidR="00F9316D">
        <w:t>to determine</w:t>
      </w:r>
      <w:r w:rsidRPr="000522D6">
        <w:t xml:space="preserve"> whether </w:t>
      </w:r>
      <w:r w:rsidRPr="006316DF">
        <w:t xml:space="preserve">use of a </w:t>
      </w:r>
      <w:r w:rsidRPr="00DC1C45">
        <w:t>sGC stimulator</w:t>
      </w:r>
      <w:r w:rsidRPr="00D00AC2">
        <w:t xml:space="preserve"> in addition to a </w:t>
      </w:r>
      <w:r w:rsidRPr="00944958">
        <w:t>PDE-5 inhibitor</w:t>
      </w:r>
      <w:r w:rsidRPr="000522D6">
        <w:t xml:space="preserve">, relative to </w:t>
      </w:r>
      <w:r w:rsidRPr="00944958">
        <w:t xml:space="preserve">PDE-5 inhibitor </w:t>
      </w:r>
      <w:r w:rsidRPr="000522D6">
        <w:t xml:space="preserve">monotherapy </w:t>
      </w:r>
      <w:r w:rsidRPr="006316DF">
        <w:t xml:space="preserve">to treat </w:t>
      </w:r>
      <w:r>
        <w:t xml:space="preserve">PAH patients </w:t>
      </w:r>
      <w:r w:rsidRPr="006316DF">
        <w:t xml:space="preserve">is likely to be beneficial. </w:t>
      </w:r>
    </w:p>
    <w:p w:rsidR="0075777C" w:rsidRPr="006316DF" w:rsidRDefault="00272F8F" w:rsidP="00BC5A2B">
      <w:pPr>
        <w:pStyle w:val="Caption"/>
      </w:pPr>
      <w:bookmarkStart w:id="385" w:name="_Toc512855545"/>
      <w:r>
        <w:t>Table 4.</w:t>
      </w:r>
      <w:r w:rsidR="00AA722D">
        <w:rPr>
          <w:noProof/>
        </w:rPr>
        <w:t>141</w:t>
      </w:r>
      <w:r w:rsidR="00805885">
        <w:tab/>
      </w:r>
      <w:r w:rsidR="0075777C" w:rsidRPr="006316DF">
        <w:t xml:space="preserve">Balance of clinical benefits of </w:t>
      </w:r>
      <w:r w:rsidR="001B552D">
        <w:t xml:space="preserve">a </w:t>
      </w:r>
      <w:r w:rsidR="0075777C" w:rsidRPr="0006289E">
        <w:t xml:space="preserve">sGC stimulator in addition to </w:t>
      </w:r>
      <w:r w:rsidR="001B552D">
        <w:t xml:space="preserve">a </w:t>
      </w:r>
      <w:r w:rsidR="0075777C" w:rsidRPr="0006289E">
        <w:t>PDE-5 inhibitor</w:t>
      </w:r>
      <w:r w:rsidR="0075777C" w:rsidRPr="006316DF">
        <w:t xml:space="preserve">, relative to </w:t>
      </w:r>
      <w:r w:rsidR="0075777C" w:rsidRPr="0006289E">
        <w:t xml:space="preserve">PDE-5 inhibitor </w:t>
      </w:r>
      <w:r w:rsidR="0075777C">
        <w:t>monotherapy in all PAH patients</w:t>
      </w:r>
      <w:bookmarkEnd w:id="385"/>
    </w:p>
    <w:tbl>
      <w:tblPr>
        <w:tblStyle w:val="TableGrid"/>
        <w:tblW w:w="9634" w:type="dxa"/>
        <w:tblLayout w:type="fixed"/>
        <w:tblLook w:val="04A0" w:firstRow="1" w:lastRow="0" w:firstColumn="1" w:lastColumn="0" w:noHBand="0" w:noVBand="1"/>
        <w:tblCaption w:val="Balance of clinical benefits of a sGC stimulator in addition to a PDE-5 inhibitor, relative to PDE-5 inhibitor monotherapy in all PAH patients"/>
      </w:tblPr>
      <w:tblGrid>
        <w:gridCol w:w="1560"/>
        <w:gridCol w:w="1275"/>
        <w:gridCol w:w="1701"/>
        <w:gridCol w:w="1413"/>
        <w:gridCol w:w="2551"/>
        <w:gridCol w:w="1134"/>
      </w:tblGrid>
      <w:tr w:rsidR="0075777C" w:rsidRPr="00805885" w:rsidTr="00B14FF5">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805885" w:rsidRDefault="0075777C" w:rsidP="00805885">
            <w:pPr>
              <w:pStyle w:val="Tabletext"/>
              <w:rPr>
                <w:b/>
                <w:noProof/>
              </w:rPr>
            </w:pPr>
            <w:r w:rsidRPr="00805885">
              <w:rPr>
                <w:b/>
                <w:noProof/>
              </w:rPr>
              <w:t xml:space="preserve">Outcomes </w:t>
            </w:r>
          </w:p>
        </w:tc>
        <w:tc>
          <w:tcPr>
            <w:tcW w:w="1275" w:type="dxa"/>
          </w:tcPr>
          <w:p w:rsidR="0075777C" w:rsidRPr="00805885" w:rsidRDefault="0075777C" w:rsidP="00805885">
            <w:pPr>
              <w:pStyle w:val="Tabletext"/>
              <w:rPr>
                <w:b/>
                <w:noProof/>
              </w:rPr>
            </w:pPr>
            <w:r w:rsidRPr="00805885">
              <w:rPr>
                <w:b/>
                <w:noProof/>
              </w:rPr>
              <w:t>Participants (studies)</w:t>
            </w:r>
          </w:p>
        </w:tc>
        <w:tc>
          <w:tcPr>
            <w:tcW w:w="1701" w:type="dxa"/>
          </w:tcPr>
          <w:p w:rsidR="0075777C" w:rsidRPr="00805885" w:rsidRDefault="0075777C" w:rsidP="00805885">
            <w:pPr>
              <w:pStyle w:val="Tabletext"/>
              <w:rPr>
                <w:b/>
                <w:noProof/>
              </w:rPr>
            </w:pPr>
            <w:r w:rsidRPr="00805885">
              <w:rPr>
                <w:b/>
                <w:noProof/>
              </w:rPr>
              <w:t>Quality of evidence</w:t>
            </w:r>
          </w:p>
        </w:tc>
        <w:tc>
          <w:tcPr>
            <w:tcW w:w="1413" w:type="dxa"/>
          </w:tcPr>
          <w:p w:rsidR="0075777C" w:rsidRPr="00805885" w:rsidRDefault="0075777C" w:rsidP="00805885">
            <w:pPr>
              <w:pStyle w:val="Tabletext"/>
              <w:rPr>
                <w:b/>
                <w:noProof/>
              </w:rPr>
            </w:pPr>
            <w:r w:rsidRPr="00805885">
              <w:rPr>
                <w:b/>
                <w:noProof/>
              </w:rPr>
              <w:t>Results</w:t>
            </w:r>
          </w:p>
        </w:tc>
        <w:tc>
          <w:tcPr>
            <w:tcW w:w="2551" w:type="dxa"/>
          </w:tcPr>
          <w:p w:rsidR="0075777C" w:rsidRPr="00805885" w:rsidRDefault="0075777C" w:rsidP="00805885">
            <w:pPr>
              <w:pStyle w:val="Tabletext"/>
              <w:rPr>
                <w:b/>
                <w:noProof/>
              </w:rPr>
            </w:pPr>
            <w:r w:rsidRPr="00805885">
              <w:rPr>
                <w:b/>
                <w:noProof/>
              </w:rPr>
              <w:t>Interpretation</w:t>
            </w:r>
          </w:p>
        </w:tc>
        <w:tc>
          <w:tcPr>
            <w:tcW w:w="1134" w:type="dxa"/>
          </w:tcPr>
          <w:p w:rsidR="0075777C" w:rsidRPr="00805885" w:rsidRDefault="0075777C" w:rsidP="00805885">
            <w:pPr>
              <w:pStyle w:val="Tabletext"/>
              <w:rPr>
                <w:b/>
                <w:noProof/>
              </w:rPr>
            </w:pPr>
            <w:r w:rsidRPr="00805885">
              <w:rPr>
                <w:b/>
                <w:noProof/>
              </w:rPr>
              <w:t>GRADE</w:t>
            </w:r>
            <w:r w:rsidR="00146880" w:rsidRPr="00146880">
              <w:rPr>
                <w:b/>
                <w:noProof/>
                <w:vertAlign w:val="superscript"/>
              </w:rPr>
              <w:t>a</w:t>
            </w:r>
          </w:p>
          <w:p w:rsidR="0075777C" w:rsidRPr="00805885" w:rsidRDefault="0075777C" w:rsidP="00805885">
            <w:pPr>
              <w:pStyle w:val="Tabletext"/>
              <w:rPr>
                <w:b/>
                <w:noProof/>
              </w:rPr>
            </w:pPr>
            <w:r w:rsidRPr="00805885">
              <w:rPr>
                <w:b/>
                <w:noProof/>
              </w:rPr>
              <w:t>Importance</w:t>
            </w:r>
          </w:p>
        </w:tc>
      </w:tr>
      <w:tr w:rsidR="00BD512F" w:rsidRPr="006316DF" w:rsidTr="00B14FF5">
        <w:tc>
          <w:tcPr>
            <w:tcW w:w="1560" w:type="dxa"/>
          </w:tcPr>
          <w:p w:rsidR="00BD512F" w:rsidRPr="006316DF" w:rsidRDefault="00BD512F" w:rsidP="00BD512F">
            <w:pPr>
              <w:pStyle w:val="Tabletext"/>
              <w:rPr>
                <w:rFonts w:cs="Arial"/>
              </w:rPr>
            </w:pPr>
            <w:r w:rsidRPr="006316DF">
              <w:rPr>
                <w:rFonts w:cs="Arial"/>
              </w:rPr>
              <w:t>All-cause mortality</w:t>
            </w:r>
          </w:p>
        </w:tc>
        <w:tc>
          <w:tcPr>
            <w:tcW w:w="1275" w:type="dxa"/>
          </w:tcPr>
          <w:p w:rsidR="00BD512F" w:rsidRPr="006316DF" w:rsidRDefault="00BD512F" w:rsidP="00BD512F">
            <w:pPr>
              <w:pStyle w:val="Tabletext"/>
              <w:rPr>
                <w:rFonts w:cs="Arial"/>
              </w:rPr>
            </w:pPr>
            <w:r w:rsidRPr="006316DF">
              <w:rPr>
                <w:rFonts w:cs="Arial"/>
              </w:rPr>
              <w:t>N=</w:t>
            </w:r>
            <w:r>
              <w:rPr>
                <w:rFonts w:cs="Arial"/>
              </w:rPr>
              <w:t>18</w:t>
            </w:r>
          </w:p>
          <w:p w:rsidR="00BD512F" w:rsidRPr="006316DF" w:rsidRDefault="00BD512F" w:rsidP="00BD512F">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D512F" w:rsidRPr="006316DF" w:rsidRDefault="00BD512F" w:rsidP="00BD512F">
            <w:pPr>
              <w:pStyle w:val="Tabletext"/>
              <w:rPr>
                <w:rFonts w:cs="Arial"/>
              </w:rPr>
            </w:pPr>
            <w:r>
              <w:rPr>
                <w:rFonts w:cs="Arial"/>
              </w:rPr>
              <w:t>Risk of bias: 0</w:t>
            </w:r>
          </w:p>
          <w:p w:rsidR="00BD512F" w:rsidRPr="006316DF" w:rsidRDefault="00BD512F" w:rsidP="00BD512F">
            <w:pPr>
              <w:pStyle w:val="Tabletext"/>
              <w:rPr>
                <w:rFonts w:cs="Arial"/>
              </w:rPr>
            </w:pPr>
            <w:r w:rsidRPr="006316DF">
              <w:rPr>
                <w:rFonts w:cs="Arial"/>
              </w:rPr>
              <w:t xml:space="preserve">Inconsistency: </w:t>
            </w:r>
            <w:r>
              <w:rPr>
                <w:rFonts w:cs="Arial"/>
              </w:rPr>
              <w:t>0</w:t>
            </w:r>
          </w:p>
          <w:p w:rsidR="00BD512F" w:rsidRPr="006316DF" w:rsidRDefault="00BD512F" w:rsidP="00BD512F">
            <w:pPr>
              <w:pStyle w:val="Tabletext"/>
              <w:rPr>
                <w:rFonts w:cs="Arial"/>
              </w:rPr>
            </w:pPr>
            <w:r w:rsidRPr="006316DF">
              <w:rPr>
                <w:rFonts w:cs="Arial"/>
              </w:rPr>
              <w:t>Indirectness: 0</w:t>
            </w:r>
          </w:p>
          <w:p w:rsidR="00BD512F" w:rsidRDefault="00BD512F" w:rsidP="00BD512F">
            <w:pPr>
              <w:pStyle w:val="Tabletext"/>
              <w:rPr>
                <w:rFonts w:cs="Arial"/>
              </w:rPr>
            </w:pPr>
            <w:r w:rsidRPr="006316DF">
              <w:rPr>
                <w:rFonts w:cs="Arial"/>
              </w:rPr>
              <w:t xml:space="preserve">Imprecision: </w:t>
            </w:r>
            <w:r>
              <w:rPr>
                <w:rFonts w:cs="Arial"/>
              </w:rPr>
              <w:t>−2</w:t>
            </w:r>
          </w:p>
          <w:p w:rsidR="00BD512F" w:rsidRDefault="00BD512F" w:rsidP="00BD512F">
            <w:pPr>
              <w:pStyle w:val="Tabletext"/>
              <w:rPr>
                <w:rFonts w:cs="Arial"/>
              </w:rPr>
            </w:pPr>
            <w:r w:rsidRPr="006316DF">
              <w:rPr>
                <w:rFonts w:cs="Arial"/>
              </w:rPr>
              <w:t>Publication bias: 0</w:t>
            </w:r>
          </w:p>
          <w:p w:rsidR="00BD512F" w:rsidRPr="006316DF" w:rsidRDefault="00BD512F" w:rsidP="00BD512F">
            <w:pPr>
              <w:pStyle w:val="Tabletext"/>
              <w:rPr>
                <w:rFonts w:cs="Arial"/>
              </w:rPr>
            </w:pPr>
            <w:r>
              <w:rPr>
                <w:rFonts w:cs="Arial"/>
              </w:rPr>
              <w:t>Association: 0</w:t>
            </w:r>
          </w:p>
        </w:tc>
        <w:tc>
          <w:tcPr>
            <w:tcW w:w="1413" w:type="dxa"/>
          </w:tcPr>
          <w:p w:rsidR="00BD512F" w:rsidRPr="0006289E" w:rsidRDefault="00BD512F" w:rsidP="00BD512F">
            <w:pPr>
              <w:pStyle w:val="Tabletext"/>
            </w:pPr>
            <w:r w:rsidRPr="00B72870">
              <w:t>Not estimable</w:t>
            </w:r>
          </w:p>
        </w:tc>
        <w:tc>
          <w:tcPr>
            <w:tcW w:w="2551" w:type="dxa"/>
          </w:tcPr>
          <w:p w:rsidR="00BD512F" w:rsidRPr="0006289E" w:rsidRDefault="00BD512F" w:rsidP="00BD512F">
            <w:pPr>
              <w:pStyle w:val="Tabletext"/>
            </w:pPr>
            <w:r>
              <w:rPr>
                <w:rFonts w:cs="Arial"/>
              </w:rPr>
              <w:t>No patients died during the study period</w:t>
            </w:r>
          </w:p>
        </w:tc>
        <w:tc>
          <w:tcPr>
            <w:tcW w:w="1134" w:type="dxa"/>
          </w:tcPr>
          <w:p w:rsidR="00BD512F" w:rsidRPr="006316DF" w:rsidRDefault="00BD512F" w:rsidP="00BD512F">
            <w:pPr>
              <w:pStyle w:val="Tabletext"/>
              <w:rPr>
                <w:rFonts w:cs="Arial"/>
              </w:rPr>
            </w:pPr>
            <w:r>
              <w:rPr>
                <w:rFonts w:cs="Arial"/>
              </w:rPr>
              <w:t>Low</w:t>
            </w:r>
          </w:p>
          <w:p w:rsidR="00BD512F" w:rsidRPr="006316DF" w:rsidRDefault="00BD512F" w:rsidP="00BD512F">
            <w:pPr>
              <w:pStyle w:val="Tabletext"/>
              <w:rPr>
                <w:rFonts w:cs="Cambria Math"/>
                <w:bCs/>
              </w:rPr>
            </w:pPr>
            <w:r w:rsidRPr="006316DF">
              <w:rPr>
                <w:rFonts w:ascii="Cambria Math" w:hAnsi="Cambria Math" w:cs="Cambria Math"/>
                <w:bCs/>
                <w:color w:val="00B050"/>
              </w:rPr>
              <w:t>⨁⨁</w:t>
            </w:r>
            <w:r w:rsidRPr="00E564DD">
              <w:rPr>
                <w:rFonts w:ascii="Cambria Math" w:eastAsia="Times New Roman" w:hAnsi="Cambria Math" w:cs="Cambria Math"/>
                <w:bCs/>
                <w:color w:val="FF0000"/>
              </w:rPr>
              <w:t>⨀⨀</w:t>
            </w:r>
          </w:p>
          <w:p w:rsidR="00BD512F" w:rsidRPr="006316DF" w:rsidRDefault="00BD512F" w:rsidP="00BD512F">
            <w:pPr>
              <w:pStyle w:val="Tabletext"/>
              <w:rPr>
                <w:rFonts w:cs="Arial"/>
              </w:rPr>
            </w:pPr>
            <w:r w:rsidRPr="006316DF">
              <w:rPr>
                <w:rFonts w:cs="Arial"/>
              </w:rPr>
              <w:t>Critical</w:t>
            </w:r>
          </w:p>
        </w:tc>
      </w:tr>
      <w:tr w:rsidR="00BD512F" w:rsidRPr="006316DF" w:rsidTr="00B14FF5">
        <w:tc>
          <w:tcPr>
            <w:tcW w:w="1560" w:type="dxa"/>
          </w:tcPr>
          <w:p w:rsidR="00BD512F" w:rsidRPr="006316DF" w:rsidRDefault="00BD512F" w:rsidP="00BD512F">
            <w:pPr>
              <w:pStyle w:val="Tabletext"/>
              <w:rPr>
                <w:rFonts w:cs="Arial"/>
              </w:rPr>
            </w:pPr>
            <w:r w:rsidRPr="006316DF">
              <w:rPr>
                <w:rFonts w:cs="Arial"/>
              </w:rPr>
              <w:t>Improved WHO FC</w:t>
            </w:r>
          </w:p>
        </w:tc>
        <w:tc>
          <w:tcPr>
            <w:tcW w:w="1275" w:type="dxa"/>
          </w:tcPr>
          <w:p w:rsidR="00BD512F" w:rsidRPr="006316DF" w:rsidRDefault="00BD512F" w:rsidP="00BD512F">
            <w:pPr>
              <w:pStyle w:val="Tabletext"/>
              <w:rPr>
                <w:rFonts w:cs="Arial"/>
              </w:rPr>
            </w:pPr>
            <w:r w:rsidRPr="006316DF">
              <w:rPr>
                <w:rFonts w:cs="Arial"/>
              </w:rPr>
              <w:t>N=</w:t>
            </w:r>
            <w:r>
              <w:rPr>
                <w:rFonts w:cs="Arial"/>
              </w:rPr>
              <w:t>18</w:t>
            </w:r>
          </w:p>
          <w:p w:rsidR="00BD512F" w:rsidRPr="006316DF" w:rsidRDefault="00BD512F" w:rsidP="00BD512F">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D512F" w:rsidRPr="006316DF" w:rsidRDefault="00BD512F" w:rsidP="00BD512F">
            <w:pPr>
              <w:pStyle w:val="Tabletext"/>
              <w:rPr>
                <w:rFonts w:cs="Arial"/>
              </w:rPr>
            </w:pPr>
            <w:r>
              <w:rPr>
                <w:rFonts w:cs="Arial"/>
              </w:rPr>
              <w:t>Risk of bias: 0</w:t>
            </w:r>
          </w:p>
          <w:p w:rsidR="00BD512F" w:rsidRPr="006316DF" w:rsidRDefault="00BD512F" w:rsidP="00BD512F">
            <w:pPr>
              <w:pStyle w:val="Tabletext"/>
              <w:rPr>
                <w:rFonts w:cs="Arial"/>
              </w:rPr>
            </w:pPr>
            <w:r w:rsidRPr="006316DF">
              <w:rPr>
                <w:rFonts w:cs="Arial"/>
              </w:rPr>
              <w:t>Inconsistency: 0</w:t>
            </w:r>
          </w:p>
          <w:p w:rsidR="00BD512F" w:rsidRPr="006316DF" w:rsidRDefault="00BD512F" w:rsidP="00BD512F">
            <w:pPr>
              <w:pStyle w:val="Tabletext"/>
              <w:rPr>
                <w:rFonts w:cs="Arial"/>
              </w:rPr>
            </w:pPr>
            <w:r w:rsidRPr="006316DF">
              <w:rPr>
                <w:rFonts w:cs="Arial"/>
              </w:rPr>
              <w:t>Indirectness: 0</w:t>
            </w:r>
          </w:p>
          <w:p w:rsidR="00BD512F" w:rsidRDefault="00BD512F" w:rsidP="00BD512F">
            <w:pPr>
              <w:pStyle w:val="Tabletext"/>
              <w:rPr>
                <w:rFonts w:cs="Arial"/>
              </w:rPr>
            </w:pPr>
            <w:r>
              <w:rPr>
                <w:rFonts w:cs="Arial"/>
              </w:rPr>
              <w:t>Imprecision: −2</w:t>
            </w:r>
          </w:p>
          <w:p w:rsidR="00BD512F" w:rsidRDefault="00BD512F" w:rsidP="00BD512F">
            <w:pPr>
              <w:pStyle w:val="Tabletext"/>
              <w:rPr>
                <w:rFonts w:cs="Arial"/>
              </w:rPr>
            </w:pPr>
            <w:r w:rsidRPr="006316DF">
              <w:rPr>
                <w:rFonts w:cs="Arial"/>
              </w:rPr>
              <w:t>Publication bias: 0</w:t>
            </w:r>
          </w:p>
          <w:p w:rsidR="00BD512F" w:rsidRPr="006316DF" w:rsidRDefault="00BD512F" w:rsidP="00BD512F">
            <w:pPr>
              <w:pStyle w:val="Tabletext"/>
              <w:rPr>
                <w:rFonts w:cs="Arial"/>
              </w:rPr>
            </w:pPr>
            <w:r>
              <w:rPr>
                <w:rFonts w:cs="Arial"/>
              </w:rPr>
              <w:t>Association: 0</w:t>
            </w:r>
          </w:p>
        </w:tc>
        <w:tc>
          <w:tcPr>
            <w:tcW w:w="1413" w:type="dxa"/>
          </w:tcPr>
          <w:p w:rsidR="00BD512F" w:rsidRPr="00B65207" w:rsidRDefault="00BD512F" w:rsidP="00BD512F">
            <w:pPr>
              <w:pStyle w:val="Tabletext"/>
            </w:pPr>
            <w:r w:rsidRPr="00485061">
              <w:t xml:space="preserve">RR </w:t>
            </w:r>
            <w:r>
              <w:t xml:space="preserve">= </w:t>
            </w:r>
            <w:r w:rsidRPr="00485061">
              <w:t>0.50</w:t>
            </w:r>
            <w:r>
              <w:t xml:space="preserve"> </w:t>
            </w:r>
            <w:r w:rsidRPr="00485061">
              <w:t>(</w:t>
            </w:r>
            <w:r>
              <w:t xml:space="preserve">95% CI </w:t>
            </w:r>
            <w:r w:rsidRPr="00485061">
              <w:t>0.09</w:t>
            </w:r>
            <w:r>
              <w:t>, 2.73)</w:t>
            </w:r>
          </w:p>
        </w:tc>
        <w:tc>
          <w:tcPr>
            <w:tcW w:w="2551" w:type="dxa"/>
          </w:tcPr>
          <w:p w:rsidR="00BD512F" w:rsidRPr="002812F2" w:rsidRDefault="00BD512F" w:rsidP="00BD512F">
            <w:pPr>
              <w:pStyle w:val="Tabletext"/>
              <w:rPr>
                <w:rFonts w:cs="Arial"/>
              </w:rPr>
            </w:pPr>
            <w:r>
              <w:rPr>
                <w:rFonts w:cs="Arial"/>
              </w:rPr>
              <w:t>Fewer</w:t>
            </w:r>
            <w:r w:rsidRPr="002812F2">
              <w:rPr>
                <w:rFonts w:cs="Arial"/>
              </w:rPr>
              <w:t xml:space="preserve"> patients </w:t>
            </w:r>
            <w:r>
              <w:rPr>
                <w:rFonts w:cs="Arial"/>
              </w:rPr>
              <w:t>on combination therapy</w:t>
            </w:r>
            <w:r w:rsidRPr="002812F2">
              <w:rPr>
                <w:rFonts w:cs="Arial"/>
              </w:rPr>
              <w:t xml:space="preserve"> improve</w:t>
            </w:r>
            <w:r>
              <w:rPr>
                <w:rFonts w:cs="Arial"/>
              </w:rPr>
              <w:t>d</w:t>
            </w:r>
            <w:r w:rsidRPr="002812F2">
              <w:rPr>
                <w:rFonts w:cs="Arial"/>
              </w:rPr>
              <w:t xml:space="preserve"> their WHO FC </w:t>
            </w:r>
            <w:r>
              <w:rPr>
                <w:rFonts w:cs="Arial"/>
              </w:rPr>
              <w:t xml:space="preserve">compared with monotherapy, </w:t>
            </w:r>
            <w:r w:rsidRPr="00B65207">
              <w:rPr>
                <w:rFonts w:cs="Arial"/>
              </w:rPr>
              <w:t xml:space="preserve">but the </w:t>
            </w:r>
            <w:r w:rsidR="003D210A">
              <w:rPr>
                <w:rFonts w:cs="Arial"/>
              </w:rPr>
              <w:t xml:space="preserve">wide </w:t>
            </w:r>
            <w:r>
              <w:rPr>
                <w:rFonts w:cs="Arial"/>
              </w:rPr>
              <w:t>95% CI indicates</w:t>
            </w:r>
            <w:r w:rsidRPr="00B65207">
              <w:rPr>
                <w:rFonts w:cs="Arial"/>
              </w:rPr>
              <w:t xml:space="preserve"> that </w:t>
            </w:r>
            <w:r w:rsidR="003D210A">
              <w:rPr>
                <w:rFonts w:cs="Arial"/>
              </w:rPr>
              <w:t>the study was underpowered for this outcome</w:t>
            </w:r>
            <w:r w:rsidRPr="00B65207">
              <w:rPr>
                <w:rFonts w:cs="Arial"/>
              </w:rPr>
              <w:t>.</w:t>
            </w:r>
          </w:p>
        </w:tc>
        <w:tc>
          <w:tcPr>
            <w:tcW w:w="1134" w:type="dxa"/>
          </w:tcPr>
          <w:p w:rsidR="00BD512F" w:rsidRDefault="00BD512F" w:rsidP="00BD512F">
            <w:pPr>
              <w:pStyle w:val="Tabletext"/>
              <w:rPr>
                <w:bCs/>
              </w:rPr>
            </w:pPr>
            <w:r>
              <w:rPr>
                <w:bCs/>
              </w:rPr>
              <w:t>Low</w:t>
            </w:r>
          </w:p>
          <w:p w:rsidR="00BD512F" w:rsidRDefault="00BD512F" w:rsidP="00BD512F">
            <w:pPr>
              <w:pStyle w:val="Tabletext"/>
              <w:rPr>
                <w:rFonts w:ascii="Cambria Math" w:hAnsi="Cambria Math" w:cs="Cambria Math"/>
                <w:bCs/>
              </w:rPr>
            </w:pPr>
            <w:r w:rsidRPr="00E564DD">
              <w:rPr>
                <w:rFonts w:ascii="Cambria Math" w:hAnsi="Cambria Math" w:cs="Cambria Math"/>
                <w:bCs/>
                <w:color w:val="00B050"/>
              </w:rPr>
              <w:t>⨁⨁</w:t>
            </w:r>
            <w:r w:rsidRPr="00E564DD">
              <w:rPr>
                <w:rFonts w:ascii="Cambria Math" w:hAnsi="Cambria Math" w:cs="Cambria Math"/>
                <w:bCs/>
                <w:color w:val="FF0000"/>
              </w:rPr>
              <w:t>⨀⨀</w:t>
            </w:r>
          </w:p>
          <w:p w:rsidR="00BD512F" w:rsidRPr="006316DF" w:rsidRDefault="00BD512F" w:rsidP="00BD512F">
            <w:pPr>
              <w:pStyle w:val="Tabletext"/>
              <w:rPr>
                <w:rFonts w:cs="Arial"/>
              </w:rPr>
            </w:pPr>
            <w:r w:rsidRPr="006316DF">
              <w:rPr>
                <w:rFonts w:cs="Arial"/>
              </w:rPr>
              <w:t>Important</w:t>
            </w:r>
          </w:p>
        </w:tc>
      </w:tr>
      <w:tr w:rsidR="00BD512F" w:rsidRPr="006316DF" w:rsidTr="00B14FF5">
        <w:tc>
          <w:tcPr>
            <w:tcW w:w="1560" w:type="dxa"/>
          </w:tcPr>
          <w:p w:rsidR="00BD512F" w:rsidRPr="006316DF" w:rsidRDefault="00BD512F" w:rsidP="00BD512F">
            <w:pPr>
              <w:pStyle w:val="Tabletext"/>
              <w:rPr>
                <w:rFonts w:cs="Arial"/>
              </w:rPr>
            </w:pPr>
            <w:r>
              <w:rPr>
                <w:rFonts w:cs="Arial"/>
              </w:rPr>
              <w:t xml:space="preserve">Worsened </w:t>
            </w:r>
            <w:r w:rsidRPr="006316DF">
              <w:rPr>
                <w:rFonts w:cs="Arial"/>
              </w:rPr>
              <w:t>WHO FC</w:t>
            </w:r>
          </w:p>
        </w:tc>
        <w:tc>
          <w:tcPr>
            <w:tcW w:w="1275" w:type="dxa"/>
          </w:tcPr>
          <w:p w:rsidR="00BD512F" w:rsidRPr="006316DF" w:rsidRDefault="00BD512F" w:rsidP="00BD512F">
            <w:pPr>
              <w:pStyle w:val="Tabletext"/>
              <w:rPr>
                <w:rFonts w:cs="Arial"/>
              </w:rPr>
            </w:pPr>
            <w:r w:rsidRPr="006316DF">
              <w:rPr>
                <w:rFonts w:cs="Arial"/>
              </w:rPr>
              <w:t>N=</w:t>
            </w:r>
            <w:r>
              <w:rPr>
                <w:rFonts w:cs="Arial"/>
              </w:rPr>
              <w:t>18</w:t>
            </w:r>
          </w:p>
          <w:p w:rsidR="00BD512F" w:rsidRPr="006316DF" w:rsidRDefault="00BD512F" w:rsidP="00BD512F">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D512F" w:rsidRPr="006316DF" w:rsidRDefault="00BD512F" w:rsidP="00BD512F">
            <w:pPr>
              <w:pStyle w:val="Tabletext"/>
              <w:rPr>
                <w:rFonts w:cs="Arial"/>
              </w:rPr>
            </w:pPr>
            <w:r>
              <w:rPr>
                <w:rFonts w:cs="Arial"/>
              </w:rPr>
              <w:t>Risk of bias: 0</w:t>
            </w:r>
          </w:p>
          <w:p w:rsidR="00BD512F" w:rsidRPr="006316DF" w:rsidRDefault="00BD512F" w:rsidP="00BD512F">
            <w:pPr>
              <w:pStyle w:val="Tabletext"/>
              <w:rPr>
                <w:rFonts w:cs="Arial"/>
              </w:rPr>
            </w:pPr>
            <w:r w:rsidRPr="006316DF">
              <w:rPr>
                <w:rFonts w:cs="Arial"/>
              </w:rPr>
              <w:t>Inconsistency: 0</w:t>
            </w:r>
          </w:p>
          <w:p w:rsidR="00BD512F" w:rsidRPr="006316DF" w:rsidRDefault="00BD512F" w:rsidP="00BD512F">
            <w:pPr>
              <w:pStyle w:val="Tabletext"/>
              <w:rPr>
                <w:rFonts w:cs="Arial"/>
              </w:rPr>
            </w:pPr>
            <w:r w:rsidRPr="006316DF">
              <w:rPr>
                <w:rFonts w:cs="Arial"/>
              </w:rPr>
              <w:t>Indirectness: 0</w:t>
            </w:r>
          </w:p>
          <w:p w:rsidR="00BD512F" w:rsidRDefault="00BD512F" w:rsidP="00BD512F">
            <w:pPr>
              <w:pStyle w:val="Tabletext"/>
              <w:rPr>
                <w:rFonts w:cs="Arial"/>
              </w:rPr>
            </w:pPr>
            <w:r w:rsidRPr="006316DF">
              <w:rPr>
                <w:rFonts w:cs="Arial"/>
              </w:rPr>
              <w:t xml:space="preserve">Imprecision: </w:t>
            </w:r>
            <w:r>
              <w:rPr>
                <w:rFonts w:cs="Arial"/>
              </w:rPr>
              <w:t>−2</w:t>
            </w:r>
          </w:p>
          <w:p w:rsidR="00BD512F" w:rsidRDefault="00BD512F" w:rsidP="00BD512F">
            <w:pPr>
              <w:pStyle w:val="Tabletext"/>
              <w:rPr>
                <w:rFonts w:cs="Arial"/>
              </w:rPr>
            </w:pPr>
            <w:r w:rsidRPr="006316DF">
              <w:rPr>
                <w:rFonts w:cs="Arial"/>
              </w:rPr>
              <w:t>Publication bias: 0</w:t>
            </w:r>
          </w:p>
          <w:p w:rsidR="00BD512F" w:rsidRPr="006316DF" w:rsidRDefault="00BD512F" w:rsidP="00BD512F">
            <w:pPr>
              <w:pStyle w:val="Tabletext"/>
              <w:rPr>
                <w:rFonts w:cs="Arial"/>
              </w:rPr>
            </w:pPr>
            <w:r>
              <w:rPr>
                <w:rFonts w:cs="Arial"/>
              </w:rPr>
              <w:t>Association: 0</w:t>
            </w:r>
          </w:p>
        </w:tc>
        <w:tc>
          <w:tcPr>
            <w:tcW w:w="1413" w:type="dxa"/>
          </w:tcPr>
          <w:p w:rsidR="00BD512F" w:rsidRPr="002812F2" w:rsidRDefault="00BD512F" w:rsidP="00BD512F">
            <w:pPr>
              <w:pStyle w:val="Tabletext"/>
            </w:pPr>
            <w:r w:rsidRPr="00B72870">
              <w:t>Not estimable</w:t>
            </w:r>
          </w:p>
        </w:tc>
        <w:tc>
          <w:tcPr>
            <w:tcW w:w="2551" w:type="dxa"/>
          </w:tcPr>
          <w:p w:rsidR="00BD512F" w:rsidRPr="002812F2" w:rsidRDefault="00BD512F" w:rsidP="00BD512F">
            <w:pPr>
              <w:pStyle w:val="Tabletext"/>
              <w:rPr>
                <w:rFonts w:cs="Arial"/>
              </w:rPr>
            </w:pPr>
            <w:r>
              <w:rPr>
                <w:rFonts w:cs="Arial"/>
              </w:rPr>
              <w:t>No patients had worsening of their WHO FC</w:t>
            </w:r>
          </w:p>
        </w:tc>
        <w:tc>
          <w:tcPr>
            <w:tcW w:w="1134" w:type="dxa"/>
          </w:tcPr>
          <w:p w:rsidR="00BD512F" w:rsidRPr="006316DF" w:rsidRDefault="00BD512F" w:rsidP="00BD512F">
            <w:pPr>
              <w:pStyle w:val="Tabletext"/>
              <w:rPr>
                <w:rFonts w:cs="Arial"/>
              </w:rPr>
            </w:pPr>
            <w:r>
              <w:rPr>
                <w:rFonts w:cs="Arial"/>
              </w:rPr>
              <w:t>Low</w:t>
            </w:r>
          </w:p>
          <w:p w:rsidR="00BD512F" w:rsidRPr="006316DF" w:rsidRDefault="00BD512F" w:rsidP="00BD512F">
            <w:pPr>
              <w:pStyle w:val="Tabletext"/>
              <w:rPr>
                <w:rFonts w:cs="Cambria Math"/>
                <w:bCs/>
              </w:rPr>
            </w:pPr>
            <w:r w:rsidRPr="006316DF">
              <w:rPr>
                <w:rFonts w:ascii="Cambria Math" w:hAnsi="Cambria Math" w:cs="Cambria Math"/>
                <w:bCs/>
                <w:color w:val="00B050"/>
              </w:rPr>
              <w:t>⨁⨁</w:t>
            </w:r>
            <w:r w:rsidRPr="00E564DD">
              <w:rPr>
                <w:rFonts w:ascii="Cambria Math" w:eastAsia="Times New Roman" w:hAnsi="Cambria Math" w:cs="Cambria Math"/>
                <w:bCs/>
                <w:color w:val="FF0000"/>
              </w:rPr>
              <w:t>⨀⨀</w:t>
            </w:r>
          </w:p>
          <w:p w:rsidR="00BD512F" w:rsidRPr="006316DF" w:rsidRDefault="00BD512F" w:rsidP="00BD512F">
            <w:pPr>
              <w:pStyle w:val="Tabletext"/>
              <w:rPr>
                <w:rFonts w:cs="Arial"/>
              </w:rPr>
            </w:pPr>
            <w:r w:rsidRPr="006316DF">
              <w:rPr>
                <w:rFonts w:cs="Arial"/>
              </w:rPr>
              <w:t>Important</w:t>
            </w:r>
          </w:p>
        </w:tc>
      </w:tr>
      <w:tr w:rsidR="00BD512F" w:rsidRPr="006316DF" w:rsidTr="00B14FF5">
        <w:tc>
          <w:tcPr>
            <w:tcW w:w="1560" w:type="dxa"/>
          </w:tcPr>
          <w:p w:rsidR="00BD512F" w:rsidRPr="006316DF" w:rsidRDefault="00BD512F" w:rsidP="00BD512F">
            <w:pPr>
              <w:pStyle w:val="Tabletext"/>
              <w:rPr>
                <w:rFonts w:cs="Arial"/>
              </w:rPr>
            </w:pPr>
            <w:r w:rsidRPr="006316DF">
              <w:rPr>
                <w:rFonts w:cs="Arial"/>
              </w:rPr>
              <w:t>Change in 6MWD</w:t>
            </w:r>
            <w:r>
              <w:rPr>
                <w:rFonts w:cs="Arial"/>
              </w:rPr>
              <w:t xml:space="preserve"> from baseline</w:t>
            </w:r>
          </w:p>
        </w:tc>
        <w:tc>
          <w:tcPr>
            <w:tcW w:w="1275" w:type="dxa"/>
          </w:tcPr>
          <w:p w:rsidR="00BD512F" w:rsidRPr="006316DF" w:rsidRDefault="00BD512F" w:rsidP="00BD512F">
            <w:pPr>
              <w:pStyle w:val="Tabletext"/>
              <w:rPr>
                <w:rFonts w:cs="Arial"/>
              </w:rPr>
            </w:pPr>
            <w:r w:rsidRPr="006316DF">
              <w:rPr>
                <w:rFonts w:cs="Arial"/>
              </w:rPr>
              <w:t>N=</w:t>
            </w:r>
            <w:r>
              <w:rPr>
                <w:rFonts w:cs="Arial"/>
              </w:rPr>
              <w:t>18</w:t>
            </w:r>
          </w:p>
          <w:p w:rsidR="00BD512F" w:rsidRPr="006316DF" w:rsidRDefault="00BD512F" w:rsidP="00BD512F">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D512F" w:rsidRPr="006316DF" w:rsidRDefault="00BD512F" w:rsidP="00BD512F">
            <w:pPr>
              <w:pStyle w:val="Tabletext"/>
              <w:rPr>
                <w:rFonts w:cs="Arial"/>
              </w:rPr>
            </w:pPr>
            <w:r>
              <w:rPr>
                <w:rFonts w:cs="Arial"/>
              </w:rPr>
              <w:t>Risk of bias: 0</w:t>
            </w:r>
          </w:p>
          <w:p w:rsidR="00BD512F" w:rsidRPr="006316DF" w:rsidRDefault="00BD512F" w:rsidP="00BD512F">
            <w:pPr>
              <w:pStyle w:val="Tabletext"/>
              <w:rPr>
                <w:rFonts w:cs="Arial"/>
              </w:rPr>
            </w:pPr>
            <w:r w:rsidRPr="006316DF">
              <w:rPr>
                <w:rFonts w:cs="Arial"/>
              </w:rPr>
              <w:t>Inconsistency: 0</w:t>
            </w:r>
          </w:p>
          <w:p w:rsidR="00BD512F" w:rsidRPr="006316DF" w:rsidRDefault="00BD512F" w:rsidP="00BD512F">
            <w:pPr>
              <w:pStyle w:val="Tabletext"/>
              <w:rPr>
                <w:rFonts w:cs="Arial"/>
              </w:rPr>
            </w:pPr>
            <w:r w:rsidRPr="006316DF">
              <w:rPr>
                <w:rFonts w:cs="Arial"/>
              </w:rPr>
              <w:t xml:space="preserve">Indirectness: </w:t>
            </w:r>
            <w:r>
              <w:rPr>
                <w:rFonts w:cs="Arial"/>
              </w:rPr>
              <w:t>−1</w:t>
            </w:r>
          </w:p>
          <w:p w:rsidR="00BD512F" w:rsidRDefault="00BD512F" w:rsidP="00BD512F">
            <w:pPr>
              <w:pStyle w:val="Tabletext"/>
              <w:rPr>
                <w:rFonts w:cs="Arial"/>
              </w:rPr>
            </w:pPr>
            <w:r w:rsidRPr="006316DF">
              <w:rPr>
                <w:rFonts w:cs="Arial"/>
              </w:rPr>
              <w:t xml:space="preserve">Imprecision: </w:t>
            </w:r>
            <w:r>
              <w:rPr>
                <w:rFonts w:cs="Arial"/>
              </w:rPr>
              <w:t>−2</w:t>
            </w:r>
          </w:p>
          <w:p w:rsidR="00BD512F" w:rsidRDefault="00BD512F" w:rsidP="00BD512F">
            <w:pPr>
              <w:pStyle w:val="Tabletext"/>
              <w:rPr>
                <w:rFonts w:cs="Arial"/>
              </w:rPr>
            </w:pPr>
            <w:r w:rsidRPr="006316DF">
              <w:rPr>
                <w:rFonts w:cs="Arial"/>
              </w:rPr>
              <w:t>Publication bias: 0</w:t>
            </w:r>
          </w:p>
          <w:p w:rsidR="00BD512F" w:rsidRPr="006316DF" w:rsidRDefault="00BD512F" w:rsidP="00BD512F">
            <w:pPr>
              <w:pStyle w:val="Tabletext"/>
              <w:rPr>
                <w:rFonts w:cs="Arial"/>
              </w:rPr>
            </w:pPr>
            <w:r>
              <w:rPr>
                <w:rFonts w:cs="Arial"/>
              </w:rPr>
              <w:t>Association: 0</w:t>
            </w:r>
          </w:p>
        </w:tc>
        <w:tc>
          <w:tcPr>
            <w:tcW w:w="1413" w:type="dxa"/>
          </w:tcPr>
          <w:p w:rsidR="00BD512F" w:rsidRPr="0006289E" w:rsidRDefault="00BD512F" w:rsidP="00BD512F">
            <w:pPr>
              <w:pStyle w:val="Tabletext"/>
            </w:pPr>
            <w:r>
              <w:t>MD = 23 m less</w:t>
            </w:r>
          </w:p>
        </w:tc>
        <w:tc>
          <w:tcPr>
            <w:tcW w:w="2551" w:type="dxa"/>
          </w:tcPr>
          <w:p w:rsidR="00BD512F" w:rsidRPr="0006289E" w:rsidRDefault="00BD512F" w:rsidP="00BD512F">
            <w:pPr>
              <w:pStyle w:val="Tabletext"/>
              <w:rPr>
                <w:rFonts w:cs="Arial"/>
              </w:rPr>
            </w:pPr>
            <w:r>
              <w:rPr>
                <w:rFonts w:cs="Arial"/>
              </w:rPr>
              <w:t>P</w:t>
            </w:r>
            <w:r w:rsidRPr="0006289E">
              <w:rPr>
                <w:rFonts w:cs="Arial"/>
              </w:rPr>
              <w:t>atients on combination th</w:t>
            </w:r>
            <w:r>
              <w:rPr>
                <w:rFonts w:cs="Arial"/>
              </w:rPr>
              <w:t>e</w:t>
            </w:r>
            <w:r w:rsidRPr="0006289E">
              <w:rPr>
                <w:rFonts w:cs="Arial"/>
              </w:rPr>
              <w:t>rapy ha</w:t>
            </w:r>
            <w:r>
              <w:rPr>
                <w:rFonts w:cs="Arial"/>
              </w:rPr>
              <w:t>d</w:t>
            </w:r>
            <w:r w:rsidRPr="0006289E">
              <w:rPr>
                <w:rFonts w:cs="Arial"/>
              </w:rPr>
              <w:t xml:space="preserve"> a </w:t>
            </w:r>
            <w:r>
              <w:rPr>
                <w:rFonts w:cs="Arial"/>
              </w:rPr>
              <w:t>smaller</w:t>
            </w:r>
            <w:r w:rsidRPr="0006289E">
              <w:rPr>
                <w:rFonts w:cs="Arial"/>
              </w:rPr>
              <w:t xml:space="preserve"> </w:t>
            </w:r>
            <w:r>
              <w:rPr>
                <w:rFonts w:cs="Arial"/>
              </w:rPr>
              <w:t xml:space="preserve">mean </w:t>
            </w:r>
            <w:r w:rsidRPr="0006289E">
              <w:rPr>
                <w:rFonts w:cs="Arial"/>
              </w:rPr>
              <w:t>improvement in their 6MWD than those on monotherapy</w:t>
            </w:r>
            <w:r w:rsidR="003D210A">
              <w:rPr>
                <w:rFonts w:cs="Arial"/>
              </w:rPr>
              <w:t>, but the difference was not clinically important</w:t>
            </w:r>
          </w:p>
        </w:tc>
        <w:tc>
          <w:tcPr>
            <w:tcW w:w="1134" w:type="dxa"/>
          </w:tcPr>
          <w:p w:rsidR="00BD512F" w:rsidRPr="006316DF" w:rsidRDefault="00BD512F" w:rsidP="00BD512F">
            <w:pPr>
              <w:pStyle w:val="Tabletext"/>
              <w:rPr>
                <w:rFonts w:cs="Arial"/>
              </w:rPr>
            </w:pPr>
            <w:r>
              <w:rPr>
                <w:rFonts w:cs="Arial"/>
              </w:rPr>
              <w:t>Very low</w:t>
            </w:r>
          </w:p>
          <w:p w:rsidR="00BD512F" w:rsidRPr="006316DF" w:rsidRDefault="00BD512F" w:rsidP="00BD512F">
            <w:pPr>
              <w:pStyle w:val="Tabletext"/>
              <w:rPr>
                <w:rFonts w:cs="Cambria Math"/>
                <w:bCs/>
              </w:rPr>
            </w:pPr>
            <w:r w:rsidRPr="006316DF">
              <w:rPr>
                <w:rFonts w:ascii="Cambria Math" w:hAnsi="Cambria Math" w:cs="Cambria Math"/>
                <w:bCs/>
                <w:color w:val="00B050"/>
              </w:rPr>
              <w:t>⨁</w:t>
            </w:r>
            <w:r w:rsidRPr="00E564DD">
              <w:rPr>
                <w:rFonts w:ascii="Cambria Math" w:eastAsia="Times New Roman" w:hAnsi="Cambria Math" w:cs="Cambria Math"/>
                <w:bCs/>
                <w:color w:val="FF0000"/>
              </w:rPr>
              <w:t>⨀⨀</w:t>
            </w:r>
            <w:r w:rsidRPr="006316DF">
              <w:rPr>
                <w:rFonts w:ascii="Cambria Math" w:hAnsi="Cambria Math" w:cs="Cambria Math"/>
                <w:color w:val="C00000"/>
              </w:rPr>
              <w:t>⨀</w:t>
            </w:r>
          </w:p>
          <w:p w:rsidR="00BD512F" w:rsidRPr="006316DF" w:rsidRDefault="00BD512F" w:rsidP="00BD512F">
            <w:pPr>
              <w:pStyle w:val="Tabletext"/>
              <w:rPr>
                <w:rFonts w:cs="Arial"/>
              </w:rPr>
            </w:pPr>
            <w:r>
              <w:rPr>
                <w:rFonts w:cs="Arial"/>
              </w:rPr>
              <w:t>I</w:t>
            </w:r>
            <w:r w:rsidRPr="006316DF">
              <w:rPr>
                <w:rFonts w:cs="Arial"/>
              </w:rPr>
              <w:t>mportant</w:t>
            </w:r>
          </w:p>
        </w:tc>
      </w:tr>
    </w:tbl>
    <w:p w:rsidR="0075777C" w:rsidRPr="006316DF" w:rsidRDefault="0075777C" w:rsidP="00B14FF5">
      <w:pPr>
        <w:pStyle w:val="Tablenote"/>
      </w:pPr>
      <w:r w:rsidRPr="006316DF">
        <w:rPr>
          <w:vertAlign w:val="superscript"/>
        </w:rPr>
        <w:t xml:space="preserve">a </w:t>
      </w:r>
      <w:r w:rsidRPr="006316DF">
        <w:t xml:space="preserve">GRADE Working Group grades of evidence </w:t>
      </w:r>
      <w:r w:rsidR="001D34EE" w:rsidRPr="001D34EE">
        <w:rPr>
          <w:noProof/>
          <w:vertAlign w:val="superscript"/>
        </w:rPr>
        <w:t>1</w:t>
      </w:r>
    </w:p>
    <w:p w:rsidR="00BD512F" w:rsidRPr="006316DF" w:rsidRDefault="00BD512F" w:rsidP="00BD512F">
      <w:pPr>
        <w:pStyle w:val="Tablenote"/>
      </w:pPr>
      <w:r w:rsidRPr="006316DF">
        <w:rPr>
          <w:rFonts w:ascii="Cambria Math" w:hAnsi="Cambria Math" w:cs="Cambria Math"/>
          <w:color w:val="00B050"/>
        </w:rPr>
        <w:lastRenderedPageBreak/>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BD512F" w:rsidRPr="00E564DD" w:rsidRDefault="00BD512F" w:rsidP="00BD512F">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Very low quality:</w:t>
      </w:r>
      <w:r w:rsidRPr="00E564DD">
        <w:t xml:space="preserve"> We have very little confidence in the effect estimate: The true effect is likely to be substantially different from the estimate of effect</w:t>
      </w:r>
    </w:p>
    <w:p w:rsidR="00146880" w:rsidRDefault="0075777C" w:rsidP="00B14FF5">
      <w:pPr>
        <w:pStyle w:val="Tablenote"/>
      </w:pPr>
      <w:r>
        <w:t xml:space="preserve">6MWD = 6-minute </w:t>
      </w:r>
      <w:r w:rsidR="0082368E">
        <w:t>walk distance</w:t>
      </w:r>
      <w:r>
        <w:t xml:space="preserve">; CI = confidence interval; FC = functional class; </w:t>
      </w:r>
      <w:r w:rsidR="00385E5A">
        <w:t>GRADE = grading of recommendations assessment, development and evaluation</w:t>
      </w:r>
      <w:r w:rsidR="001D34EE" w:rsidRPr="001D34EE">
        <w:rPr>
          <w:noProof/>
          <w:vertAlign w:val="superscript"/>
        </w:rPr>
        <w:t>1</w:t>
      </w:r>
      <w:r w:rsidR="00146880" w:rsidRPr="00F24B06">
        <w:t xml:space="preserve">; k = number of studies; </w:t>
      </w:r>
      <w:r>
        <w:t xml:space="preserve">MD = mean difference; N = number of patients; </w:t>
      </w:r>
      <w:r w:rsidRPr="00C65B42">
        <w:t xml:space="preserve">PAH = pulmonary arterial hypertension; </w:t>
      </w:r>
      <w:r w:rsidRPr="009B5AB3">
        <w:t>PDE-5 = phosphodiesterase type-5</w:t>
      </w:r>
      <w:r>
        <w:t>;</w:t>
      </w:r>
      <w:r w:rsidRPr="009B5AB3">
        <w:t xml:space="preserve"> </w:t>
      </w:r>
      <w:r>
        <w:t xml:space="preserve">RCT = randomised controlled trial; RR = relative risk; </w:t>
      </w:r>
      <w:r w:rsidRPr="006C6F7B">
        <w:t xml:space="preserve">sGC = soluble guanylate cyclase; </w:t>
      </w:r>
      <w:r>
        <w:t>WHO = World Health Organization</w:t>
      </w:r>
    </w:p>
    <w:p w:rsidR="0075777C" w:rsidRPr="006316DF" w:rsidRDefault="0075777C" w:rsidP="0075777C">
      <w:pPr>
        <w:pStyle w:val="Heading5"/>
      </w:pPr>
      <w:r w:rsidRPr="006316DF">
        <w:t>Safety</w:t>
      </w:r>
    </w:p>
    <w:p w:rsidR="0075777C" w:rsidRDefault="0075777C" w:rsidP="0075777C">
      <w:r w:rsidRPr="006316DF">
        <w:t xml:space="preserve">The </w:t>
      </w:r>
      <w:r>
        <w:t xml:space="preserve">detailed </w:t>
      </w:r>
      <w:r w:rsidRPr="006316DF">
        <w:t>GRADE</w:t>
      </w:r>
      <w:r w:rsidR="001D34EE" w:rsidRPr="001D34EE">
        <w:rPr>
          <w:noProof/>
          <w:vertAlign w:val="superscript"/>
        </w:rPr>
        <w:t>1</w:t>
      </w:r>
      <w:r w:rsidRPr="006316DF">
        <w:t xml:space="preserve"> assessments of </w:t>
      </w:r>
      <w:r>
        <w:t>safety</w:t>
      </w:r>
      <w:r w:rsidRPr="006316DF">
        <w:t xml:space="preserve"> outco</w:t>
      </w:r>
      <w:r>
        <w:t>mes when comparing a</w:t>
      </w:r>
      <w:r w:rsidRPr="006316DF">
        <w:t xml:space="preserve"> </w:t>
      </w:r>
      <w:r w:rsidRPr="00BB1C5E">
        <w:t xml:space="preserve">sGC stimulator in addition to PDE-5 inhibitor, relative to PDE-5 inhibitor monotherapy </w:t>
      </w:r>
      <w:r w:rsidRPr="006316DF">
        <w:t>are reported in</w:t>
      </w:r>
      <w:r>
        <w:t xml:space="preserve"> </w:t>
      </w:r>
      <w:r w:rsidR="00AA722D">
        <w:t>Table 4.</w:t>
      </w:r>
      <w:r w:rsidR="00AA722D">
        <w:rPr>
          <w:noProof/>
        </w:rPr>
        <w:t>168</w:t>
      </w:r>
      <w:r>
        <w:t xml:space="preserve"> i</w:t>
      </w:r>
      <w:r w:rsidRPr="006316DF">
        <w:t xml:space="preserve">n Appendix </w:t>
      </w:r>
      <w:r w:rsidR="00DA2636">
        <w:t>4</w:t>
      </w:r>
      <w:r w:rsidR="001B552D">
        <w:t>C</w:t>
      </w:r>
      <w:r>
        <w:t xml:space="preserve">. </w:t>
      </w:r>
      <w:r w:rsidRPr="006316DF">
        <w:t xml:space="preserve">The evidence for the </w:t>
      </w:r>
      <w:r>
        <w:t xml:space="preserve">safety </w:t>
      </w:r>
      <w:r w:rsidRPr="006316DF">
        <w:t xml:space="preserve">outcomes </w:t>
      </w:r>
      <w:r>
        <w:t xml:space="preserve">for all PAH patients is summarised </w:t>
      </w:r>
      <w:r w:rsidRPr="006316DF">
        <w:t>in</w:t>
      </w:r>
      <w:r>
        <w:t xml:space="preserve"> </w:t>
      </w:r>
      <w:r w:rsidR="00AA722D">
        <w:t>Table 4.</w:t>
      </w:r>
      <w:r w:rsidR="00AA722D">
        <w:rPr>
          <w:noProof/>
        </w:rPr>
        <w:t>142</w:t>
      </w:r>
      <w:r>
        <w:t xml:space="preserve">. </w:t>
      </w:r>
      <w:r w:rsidR="00E20AB7">
        <w:t>There were no new safety signal identified.</w:t>
      </w:r>
    </w:p>
    <w:p w:rsidR="0075777C" w:rsidRPr="006316DF" w:rsidRDefault="0075777C" w:rsidP="0075777C">
      <w:r>
        <w:t xml:space="preserve">All outcomes were </w:t>
      </w:r>
      <w:r w:rsidRPr="006316DF">
        <w:t xml:space="preserve">considered to be of </w:t>
      </w:r>
      <w:r w:rsidR="00B3296A">
        <w:t>low</w:t>
      </w:r>
      <w:r w:rsidRPr="006316DF">
        <w:t xml:space="preserve"> quality (GRADE </w:t>
      </w:r>
      <w:r w:rsidRPr="00920393">
        <w:rPr>
          <w:rFonts w:ascii="Cambria Math" w:eastAsia="Times New Roman" w:hAnsi="Cambria Math" w:cs="Tahoma"/>
          <w:bCs/>
          <w:color w:val="00B050"/>
        </w:rPr>
        <w:t>⨁⨁</w:t>
      </w:r>
      <w:r w:rsidR="00B3296A" w:rsidRPr="00920393">
        <w:rPr>
          <w:rFonts w:ascii="Cambria Math" w:eastAsia="Times New Roman" w:hAnsi="Cambria Math" w:cs="Cambria Math"/>
          <w:bCs/>
          <w:color w:val="C00000"/>
        </w:rPr>
        <w:t>⨀⨀</w:t>
      </w:r>
      <w:r w:rsidRPr="00920393">
        <w:t xml:space="preserve">). Patients on combination therapy were more likely to have an AE a compared with those on monotherapy, but the </w:t>
      </w:r>
      <w:r w:rsidR="00D84687">
        <w:t>95% CI indicates</w:t>
      </w:r>
      <w:r w:rsidRPr="00920393">
        <w:t xml:space="preserve"> that there could also be no effect. There is some evidence to suggest</w:t>
      </w:r>
      <w:r w:rsidRPr="00BB1C5E">
        <w:t xml:space="preserve"> that more patients would </w:t>
      </w:r>
      <w:r>
        <w:t xml:space="preserve">either experience a serious AE or </w:t>
      </w:r>
      <w:r w:rsidRPr="00BB1C5E">
        <w:t>need to discontinue treatment due to an AE with combination therapy compared with monotherapy.</w:t>
      </w:r>
      <w:r>
        <w:t xml:space="preserve"> However, the study was very small and likely to be underpowered to detect a true difference.</w:t>
      </w:r>
    </w:p>
    <w:p w:rsidR="0075777C" w:rsidRDefault="0075777C" w:rsidP="0075777C">
      <w:r w:rsidRPr="006316DF">
        <w:t>Th</w:t>
      </w:r>
      <w:r w:rsidR="00F9316D">
        <w:t>us, th</w:t>
      </w:r>
      <w:r w:rsidRPr="000522D6">
        <w:t>e</w:t>
      </w:r>
      <w:r w:rsidR="00F9316D">
        <w:t>re is considerable uncertainty whether the</w:t>
      </w:r>
      <w:r w:rsidRPr="000522D6">
        <w:t xml:space="preserve"> </w:t>
      </w:r>
      <w:r w:rsidRPr="006316DF">
        <w:t xml:space="preserve">use of a </w:t>
      </w:r>
      <w:r w:rsidRPr="00BB1C5E">
        <w:t>sGC stimulator in addition to PDE-5 inhibitor, relative to PDE-5 inhibitor</w:t>
      </w:r>
      <w:r w:rsidRPr="00621F68">
        <w:t xml:space="preserve"> monotherapy</w:t>
      </w:r>
      <w:r w:rsidR="00403921">
        <w:t>,</w:t>
      </w:r>
      <w:r w:rsidRPr="00621F68">
        <w:t xml:space="preserve"> </w:t>
      </w:r>
      <w:r w:rsidR="00F9316D">
        <w:t>would cause additional harm</w:t>
      </w:r>
      <w:r w:rsidR="00403921" w:rsidRPr="00403921">
        <w:t xml:space="preserve"> </w:t>
      </w:r>
      <w:r w:rsidR="00403921">
        <w:t>to</w:t>
      </w:r>
      <w:r w:rsidR="00403921" w:rsidRPr="006316DF">
        <w:t xml:space="preserve"> </w:t>
      </w:r>
      <w:r w:rsidR="00403921">
        <w:t>PAH patients</w:t>
      </w:r>
      <w:r w:rsidR="00F9316D">
        <w:t>.</w:t>
      </w:r>
    </w:p>
    <w:p w:rsidR="0075777C" w:rsidRPr="006316DF" w:rsidRDefault="00272F8F" w:rsidP="00BC5A2B">
      <w:pPr>
        <w:pStyle w:val="Caption"/>
      </w:pPr>
      <w:bookmarkStart w:id="386" w:name="_Ref505869997"/>
      <w:bookmarkStart w:id="387" w:name="_Toc512855546"/>
      <w:r>
        <w:t>Table 4.</w:t>
      </w:r>
      <w:r w:rsidR="00AA722D">
        <w:rPr>
          <w:noProof/>
        </w:rPr>
        <w:t>142</w:t>
      </w:r>
      <w:bookmarkEnd w:id="386"/>
      <w:r w:rsidR="00B14FF5">
        <w:tab/>
      </w:r>
      <w:r w:rsidR="0075777C" w:rsidRPr="006316DF">
        <w:t xml:space="preserve">Balance of clinical harms of </w:t>
      </w:r>
      <w:r w:rsidR="001B552D">
        <w:t xml:space="preserve">a </w:t>
      </w:r>
      <w:r w:rsidR="0075777C" w:rsidRPr="0006289E">
        <w:t xml:space="preserve">sGC stimulator in addition to </w:t>
      </w:r>
      <w:r w:rsidR="001B552D">
        <w:t xml:space="preserve">a </w:t>
      </w:r>
      <w:r w:rsidR="0075777C" w:rsidRPr="0006289E">
        <w:t>PDE-5 inhibitor, relative to PDE-5 inhibitor monotherapy in all PAH patients</w:t>
      </w:r>
      <w:bookmarkEnd w:id="387"/>
    </w:p>
    <w:tbl>
      <w:tblPr>
        <w:tblStyle w:val="TableGrid"/>
        <w:tblW w:w="9634" w:type="dxa"/>
        <w:tblLayout w:type="fixed"/>
        <w:tblLook w:val="04A0" w:firstRow="1" w:lastRow="0" w:firstColumn="1" w:lastColumn="0" w:noHBand="0" w:noVBand="1"/>
        <w:tblCaption w:val="Balance of clinical harms of a sGC stimulator in addition to a PDE-5 inhibitor, relative to PDE-5 inhibitor monotherapy in all PAH patients"/>
      </w:tblPr>
      <w:tblGrid>
        <w:gridCol w:w="1560"/>
        <w:gridCol w:w="1275"/>
        <w:gridCol w:w="1701"/>
        <w:gridCol w:w="1413"/>
        <w:gridCol w:w="2551"/>
        <w:gridCol w:w="1134"/>
      </w:tblGrid>
      <w:tr w:rsidR="0075777C" w:rsidRPr="00B14FF5" w:rsidTr="00B14FF5">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B14FF5" w:rsidRDefault="0075777C" w:rsidP="00B14FF5">
            <w:pPr>
              <w:pStyle w:val="Tabletext"/>
              <w:rPr>
                <w:b/>
                <w:noProof/>
              </w:rPr>
            </w:pPr>
            <w:r w:rsidRPr="00B14FF5">
              <w:rPr>
                <w:b/>
                <w:noProof/>
              </w:rPr>
              <w:t xml:space="preserve">Outcomes </w:t>
            </w:r>
          </w:p>
        </w:tc>
        <w:tc>
          <w:tcPr>
            <w:tcW w:w="1275" w:type="dxa"/>
          </w:tcPr>
          <w:p w:rsidR="0075777C" w:rsidRPr="00B14FF5" w:rsidRDefault="0075777C" w:rsidP="00B14FF5">
            <w:pPr>
              <w:pStyle w:val="Tabletext"/>
              <w:rPr>
                <w:b/>
                <w:noProof/>
              </w:rPr>
            </w:pPr>
            <w:r w:rsidRPr="00B14FF5">
              <w:rPr>
                <w:b/>
                <w:noProof/>
              </w:rPr>
              <w:t>Participants (studies)</w:t>
            </w:r>
          </w:p>
        </w:tc>
        <w:tc>
          <w:tcPr>
            <w:tcW w:w="1701" w:type="dxa"/>
          </w:tcPr>
          <w:p w:rsidR="0075777C" w:rsidRPr="00B14FF5" w:rsidRDefault="0075777C" w:rsidP="00B14FF5">
            <w:pPr>
              <w:pStyle w:val="Tabletext"/>
              <w:rPr>
                <w:b/>
                <w:noProof/>
              </w:rPr>
            </w:pPr>
            <w:r w:rsidRPr="00B14FF5">
              <w:rPr>
                <w:b/>
                <w:noProof/>
              </w:rPr>
              <w:t>Quality of evidence</w:t>
            </w:r>
          </w:p>
        </w:tc>
        <w:tc>
          <w:tcPr>
            <w:tcW w:w="1413" w:type="dxa"/>
          </w:tcPr>
          <w:p w:rsidR="0075777C" w:rsidRPr="00B14FF5" w:rsidRDefault="0075777C" w:rsidP="00B14FF5">
            <w:pPr>
              <w:pStyle w:val="Tabletext"/>
              <w:rPr>
                <w:b/>
                <w:noProof/>
              </w:rPr>
            </w:pPr>
            <w:r w:rsidRPr="00B14FF5">
              <w:rPr>
                <w:b/>
                <w:noProof/>
              </w:rPr>
              <w:t>Results</w:t>
            </w:r>
          </w:p>
        </w:tc>
        <w:tc>
          <w:tcPr>
            <w:tcW w:w="2551" w:type="dxa"/>
          </w:tcPr>
          <w:p w:rsidR="0075777C" w:rsidRPr="00B14FF5" w:rsidRDefault="0075777C" w:rsidP="00B14FF5">
            <w:pPr>
              <w:pStyle w:val="Tabletext"/>
              <w:rPr>
                <w:b/>
                <w:noProof/>
              </w:rPr>
            </w:pPr>
            <w:r w:rsidRPr="00B14FF5">
              <w:rPr>
                <w:b/>
                <w:noProof/>
              </w:rPr>
              <w:t>Interpretation</w:t>
            </w:r>
          </w:p>
        </w:tc>
        <w:tc>
          <w:tcPr>
            <w:tcW w:w="1134" w:type="dxa"/>
          </w:tcPr>
          <w:p w:rsidR="0075777C" w:rsidRPr="00B14FF5" w:rsidRDefault="0075777C" w:rsidP="00B14FF5">
            <w:pPr>
              <w:pStyle w:val="Tabletext"/>
              <w:rPr>
                <w:b/>
                <w:noProof/>
              </w:rPr>
            </w:pPr>
            <w:r w:rsidRPr="00B14FF5">
              <w:rPr>
                <w:b/>
                <w:noProof/>
              </w:rPr>
              <w:t>GRADE</w:t>
            </w:r>
            <w:r w:rsidR="00146880" w:rsidRPr="00146880">
              <w:rPr>
                <w:b/>
                <w:noProof/>
                <w:vertAlign w:val="superscript"/>
              </w:rPr>
              <w:t>a</w:t>
            </w:r>
          </w:p>
          <w:p w:rsidR="0075777C" w:rsidRPr="00B14FF5" w:rsidRDefault="0075777C" w:rsidP="00B14FF5">
            <w:pPr>
              <w:pStyle w:val="Tabletext"/>
              <w:rPr>
                <w:b/>
                <w:noProof/>
              </w:rPr>
            </w:pPr>
            <w:r w:rsidRPr="00B14FF5">
              <w:rPr>
                <w:b/>
                <w:noProof/>
              </w:rPr>
              <w:t>Importance</w:t>
            </w:r>
          </w:p>
        </w:tc>
      </w:tr>
      <w:tr w:rsidR="00BD512F" w:rsidRPr="006316DF" w:rsidTr="00B14FF5">
        <w:tc>
          <w:tcPr>
            <w:tcW w:w="1560" w:type="dxa"/>
          </w:tcPr>
          <w:p w:rsidR="00BD512F" w:rsidRPr="006316DF" w:rsidRDefault="00BD512F" w:rsidP="00BD512F">
            <w:pPr>
              <w:pStyle w:val="Tabletext"/>
              <w:rPr>
                <w:rFonts w:cs="Arial"/>
              </w:rPr>
            </w:pPr>
            <w:r>
              <w:rPr>
                <w:rFonts w:cs="Arial"/>
              </w:rPr>
              <w:t>Any AE</w:t>
            </w:r>
            <w:r w:rsidRPr="006316DF">
              <w:rPr>
                <w:rFonts w:cs="Arial"/>
              </w:rPr>
              <w:t xml:space="preserve"> </w:t>
            </w:r>
          </w:p>
        </w:tc>
        <w:tc>
          <w:tcPr>
            <w:tcW w:w="1275" w:type="dxa"/>
          </w:tcPr>
          <w:p w:rsidR="00BD512F" w:rsidRPr="006316DF" w:rsidRDefault="00BD512F" w:rsidP="00BD512F">
            <w:pPr>
              <w:pStyle w:val="Tabletext"/>
              <w:rPr>
                <w:rFonts w:cs="Arial"/>
              </w:rPr>
            </w:pPr>
            <w:r w:rsidRPr="006316DF">
              <w:rPr>
                <w:rFonts w:cs="Arial"/>
              </w:rPr>
              <w:t>N=</w:t>
            </w:r>
            <w:r>
              <w:rPr>
                <w:rFonts w:cs="Arial"/>
              </w:rPr>
              <w:t>18</w:t>
            </w:r>
          </w:p>
          <w:p w:rsidR="00BD512F" w:rsidRPr="006316DF" w:rsidRDefault="00BD512F" w:rsidP="00BD512F">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D512F" w:rsidRPr="006316DF" w:rsidRDefault="00BD512F" w:rsidP="00BD512F">
            <w:pPr>
              <w:pStyle w:val="Tabletext"/>
              <w:rPr>
                <w:rFonts w:cs="Arial"/>
              </w:rPr>
            </w:pPr>
            <w:r>
              <w:rPr>
                <w:rFonts w:cs="Arial"/>
              </w:rPr>
              <w:t>Risk of bias: 0</w:t>
            </w:r>
          </w:p>
          <w:p w:rsidR="00BD512F" w:rsidRPr="006316DF" w:rsidRDefault="00BD512F" w:rsidP="00BD512F">
            <w:pPr>
              <w:pStyle w:val="Tabletext"/>
              <w:rPr>
                <w:rFonts w:cs="Arial"/>
              </w:rPr>
            </w:pPr>
            <w:r w:rsidRPr="006316DF">
              <w:rPr>
                <w:rFonts w:cs="Arial"/>
              </w:rPr>
              <w:t>Inconsistency: 0</w:t>
            </w:r>
          </w:p>
          <w:p w:rsidR="00BD512F" w:rsidRPr="006316DF" w:rsidRDefault="00BD512F" w:rsidP="00BD512F">
            <w:pPr>
              <w:pStyle w:val="Tabletext"/>
              <w:rPr>
                <w:rFonts w:cs="Arial"/>
              </w:rPr>
            </w:pPr>
            <w:r w:rsidRPr="006316DF">
              <w:rPr>
                <w:rFonts w:cs="Arial"/>
              </w:rPr>
              <w:t>Indirectness: 0</w:t>
            </w:r>
          </w:p>
          <w:p w:rsidR="00BD512F" w:rsidRDefault="00BD512F" w:rsidP="00BD512F">
            <w:pPr>
              <w:pStyle w:val="Tabletext"/>
              <w:rPr>
                <w:rFonts w:cs="Arial"/>
              </w:rPr>
            </w:pPr>
            <w:r w:rsidRPr="006316DF">
              <w:rPr>
                <w:rFonts w:cs="Arial"/>
              </w:rPr>
              <w:t xml:space="preserve">Imprecision: </w:t>
            </w:r>
            <w:r>
              <w:rPr>
                <w:rFonts w:cs="Arial"/>
              </w:rPr>
              <w:t>−2</w:t>
            </w:r>
          </w:p>
          <w:p w:rsidR="00BD512F" w:rsidRDefault="00BD512F" w:rsidP="00BD512F">
            <w:pPr>
              <w:pStyle w:val="Tabletext"/>
              <w:rPr>
                <w:rFonts w:cs="Arial"/>
              </w:rPr>
            </w:pPr>
            <w:r w:rsidRPr="006316DF">
              <w:rPr>
                <w:rFonts w:cs="Arial"/>
              </w:rPr>
              <w:t>Publication bias: 0</w:t>
            </w:r>
          </w:p>
          <w:p w:rsidR="00BD512F" w:rsidRPr="006316DF" w:rsidRDefault="00BD512F" w:rsidP="00BD512F">
            <w:pPr>
              <w:pStyle w:val="Tabletext"/>
              <w:rPr>
                <w:rFonts w:cs="Arial"/>
              </w:rPr>
            </w:pPr>
            <w:r>
              <w:rPr>
                <w:rFonts w:cs="Arial"/>
              </w:rPr>
              <w:t>Association: 0</w:t>
            </w:r>
          </w:p>
        </w:tc>
        <w:tc>
          <w:tcPr>
            <w:tcW w:w="1413" w:type="dxa"/>
          </w:tcPr>
          <w:p w:rsidR="00BD512F" w:rsidRPr="000E45D6" w:rsidRDefault="00BD512F" w:rsidP="00BD512F">
            <w:pPr>
              <w:pStyle w:val="Tabletext"/>
              <w:rPr>
                <w:rFonts w:cs="Arial"/>
              </w:rPr>
            </w:pPr>
            <w:r w:rsidRPr="00485061">
              <w:t xml:space="preserve">RR </w:t>
            </w:r>
            <w:r>
              <w:t xml:space="preserve">= </w:t>
            </w:r>
            <w:r w:rsidRPr="00485061">
              <w:t>1.50</w:t>
            </w:r>
            <w:r>
              <w:t xml:space="preserve"> </w:t>
            </w:r>
            <w:r w:rsidRPr="00485061">
              <w:t>(0.85</w:t>
            </w:r>
            <w:r>
              <w:t>,</w:t>
            </w:r>
            <w:r w:rsidRPr="00485061">
              <w:t xml:space="preserve"> 2.64)</w:t>
            </w:r>
          </w:p>
        </w:tc>
        <w:tc>
          <w:tcPr>
            <w:tcW w:w="2551" w:type="dxa"/>
          </w:tcPr>
          <w:p w:rsidR="00BD512F" w:rsidRPr="000E45D6" w:rsidRDefault="00BD512F" w:rsidP="00BD512F">
            <w:pPr>
              <w:pStyle w:val="Tabletext"/>
              <w:rPr>
                <w:rFonts w:cs="Arial"/>
              </w:rPr>
            </w:pPr>
            <w:r>
              <w:rPr>
                <w:rFonts w:cs="Arial"/>
              </w:rPr>
              <w:t>More</w:t>
            </w:r>
            <w:r w:rsidRPr="000E45D6">
              <w:rPr>
                <w:rFonts w:cs="Arial"/>
              </w:rPr>
              <w:t xml:space="preserve"> patients </w:t>
            </w:r>
            <w:r>
              <w:rPr>
                <w:rFonts w:cs="Arial"/>
              </w:rPr>
              <w:t xml:space="preserve">experienced an AE </w:t>
            </w:r>
            <w:r w:rsidRPr="000E45D6">
              <w:rPr>
                <w:rFonts w:cs="Arial"/>
              </w:rPr>
              <w:t xml:space="preserve">with combination therapy compared with </w:t>
            </w:r>
            <w:r>
              <w:rPr>
                <w:rFonts w:cs="Arial"/>
              </w:rPr>
              <w:t>monotherapy,</w:t>
            </w:r>
            <w:r>
              <w:t xml:space="preserve"> </w:t>
            </w:r>
            <w:r w:rsidR="003D210A" w:rsidRPr="002375AD">
              <w:t xml:space="preserve">but the </w:t>
            </w:r>
            <w:r w:rsidR="003D210A">
              <w:t>95% CI indicates</w:t>
            </w:r>
            <w:r w:rsidR="003D210A" w:rsidRPr="002375AD">
              <w:t xml:space="preserve"> that </w:t>
            </w:r>
            <w:r w:rsidR="003D210A">
              <w:t>the study was underpowered for this outcome</w:t>
            </w:r>
            <w:r>
              <w:t>.</w:t>
            </w:r>
          </w:p>
        </w:tc>
        <w:tc>
          <w:tcPr>
            <w:tcW w:w="1134" w:type="dxa"/>
          </w:tcPr>
          <w:p w:rsidR="00BD512F" w:rsidRPr="006316DF" w:rsidRDefault="00BD512F" w:rsidP="00BD512F">
            <w:pPr>
              <w:pStyle w:val="Tabletext"/>
              <w:rPr>
                <w:rFonts w:cs="Arial"/>
              </w:rPr>
            </w:pPr>
            <w:r>
              <w:rPr>
                <w:rFonts w:cs="Arial"/>
              </w:rPr>
              <w:t>Low</w:t>
            </w:r>
          </w:p>
          <w:p w:rsidR="00BD512F" w:rsidRPr="006316DF" w:rsidRDefault="00BD512F" w:rsidP="00BD512F">
            <w:pPr>
              <w:pStyle w:val="Tabletext"/>
              <w:rPr>
                <w:rFonts w:cs="Cambria Math"/>
                <w:bCs/>
              </w:rPr>
            </w:pPr>
            <w:r w:rsidRPr="006316DF">
              <w:rPr>
                <w:rFonts w:ascii="Cambria Math" w:hAnsi="Cambria Math" w:cs="Cambria Math"/>
                <w:bCs/>
                <w:color w:val="00B050"/>
              </w:rPr>
              <w:t>⨁⨁</w:t>
            </w:r>
            <w:r w:rsidRPr="00E564DD">
              <w:rPr>
                <w:rFonts w:ascii="Cambria Math" w:eastAsia="Times New Roman" w:hAnsi="Cambria Math" w:cs="Cambria Math"/>
                <w:bCs/>
                <w:color w:val="FF0000"/>
              </w:rPr>
              <w:t>⨀⨀</w:t>
            </w:r>
          </w:p>
          <w:p w:rsidR="00BD512F" w:rsidRPr="006316DF" w:rsidRDefault="00BD512F" w:rsidP="00BD512F">
            <w:pPr>
              <w:pStyle w:val="Tabletext"/>
              <w:rPr>
                <w:rFonts w:cs="Arial"/>
              </w:rPr>
            </w:pPr>
            <w:r w:rsidRPr="006316DF">
              <w:rPr>
                <w:rFonts w:cs="Arial"/>
              </w:rPr>
              <w:t>Important</w:t>
            </w:r>
          </w:p>
        </w:tc>
      </w:tr>
      <w:tr w:rsidR="00BD512F" w:rsidRPr="00527A70" w:rsidTr="00B14FF5">
        <w:tc>
          <w:tcPr>
            <w:tcW w:w="1560" w:type="dxa"/>
          </w:tcPr>
          <w:p w:rsidR="00BD512F" w:rsidRPr="00163A1F" w:rsidRDefault="00BD512F" w:rsidP="00BD512F">
            <w:pPr>
              <w:pStyle w:val="Tabletext"/>
              <w:rPr>
                <w:rFonts w:cs="Arial"/>
              </w:rPr>
            </w:pPr>
            <w:r w:rsidRPr="00163A1F">
              <w:rPr>
                <w:rFonts w:cs="Arial"/>
              </w:rPr>
              <w:t>Serious AEs</w:t>
            </w:r>
          </w:p>
        </w:tc>
        <w:tc>
          <w:tcPr>
            <w:tcW w:w="1275" w:type="dxa"/>
          </w:tcPr>
          <w:p w:rsidR="00BD512F" w:rsidRPr="00163A1F" w:rsidRDefault="00BD512F" w:rsidP="00BD512F">
            <w:pPr>
              <w:pStyle w:val="Tabletext"/>
              <w:rPr>
                <w:rFonts w:cs="Arial"/>
              </w:rPr>
            </w:pPr>
            <w:r w:rsidRPr="00163A1F">
              <w:rPr>
                <w:rFonts w:cs="Arial"/>
              </w:rPr>
              <w:t>N=18</w:t>
            </w:r>
          </w:p>
          <w:p w:rsidR="00BD512F" w:rsidRPr="00163A1F" w:rsidRDefault="00BD512F" w:rsidP="00BD512F">
            <w:pPr>
              <w:pStyle w:val="Tabletext"/>
              <w:rPr>
                <w:rFonts w:cs="Arial"/>
              </w:rPr>
            </w:pPr>
            <w:r w:rsidRPr="00163A1F">
              <w:rPr>
                <w:rFonts w:cs="Arial"/>
              </w:rPr>
              <w:t>k=1 RCT</w:t>
            </w:r>
          </w:p>
        </w:tc>
        <w:tc>
          <w:tcPr>
            <w:tcW w:w="1701" w:type="dxa"/>
          </w:tcPr>
          <w:p w:rsidR="00BD512F" w:rsidRPr="00163A1F" w:rsidRDefault="00BD512F" w:rsidP="00BD512F">
            <w:pPr>
              <w:pStyle w:val="Tabletext"/>
              <w:rPr>
                <w:rFonts w:cs="Arial"/>
              </w:rPr>
            </w:pPr>
            <w:r w:rsidRPr="00163A1F">
              <w:rPr>
                <w:rFonts w:cs="Arial"/>
              </w:rPr>
              <w:t>Risk of bias: 0</w:t>
            </w:r>
          </w:p>
          <w:p w:rsidR="00BD512F" w:rsidRPr="00163A1F" w:rsidRDefault="00BD512F" w:rsidP="00BD512F">
            <w:pPr>
              <w:pStyle w:val="Tabletext"/>
              <w:rPr>
                <w:rFonts w:cs="Arial"/>
              </w:rPr>
            </w:pPr>
            <w:r w:rsidRPr="00163A1F">
              <w:rPr>
                <w:rFonts w:cs="Arial"/>
              </w:rPr>
              <w:t>Inconsistency: 0</w:t>
            </w:r>
          </w:p>
          <w:p w:rsidR="00BD512F" w:rsidRPr="00163A1F" w:rsidRDefault="00BD512F" w:rsidP="00BD512F">
            <w:pPr>
              <w:pStyle w:val="Tabletext"/>
              <w:rPr>
                <w:rFonts w:cs="Arial"/>
              </w:rPr>
            </w:pPr>
            <w:r w:rsidRPr="00163A1F">
              <w:rPr>
                <w:rFonts w:cs="Arial"/>
              </w:rPr>
              <w:t>Indirectness: 0</w:t>
            </w:r>
          </w:p>
          <w:p w:rsidR="00BD512F" w:rsidRPr="00163A1F" w:rsidRDefault="00BD512F" w:rsidP="00BD512F">
            <w:pPr>
              <w:pStyle w:val="Tabletext"/>
              <w:rPr>
                <w:rFonts w:cs="Arial"/>
              </w:rPr>
            </w:pPr>
            <w:r w:rsidRPr="00163A1F">
              <w:rPr>
                <w:rFonts w:cs="Arial"/>
              </w:rPr>
              <w:t xml:space="preserve">Imprecision: </w:t>
            </w:r>
            <w:r>
              <w:rPr>
                <w:rFonts w:cs="Arial"/>
              </w:rPr>
              <w:t>−2</w:t>
            </w:r>
          </w:p>
          <w:p w:rsidR="00BD512F" w:rsidRPr="00163A1F" w:rsidRDefault="00BD512F" w:rsidP="00BD512F">
            <w:pPr>
              <w:pStyle w:val="Tabletext"/>
              <w:rPr>
                <w:rFonts w:cs="Arial"/>
              </w:rPr>
            </w:pPr>
            <w:r w:rsidRPr="00163A1F">
              <w:rPr>
                <w:rFonts w:cs="Arial"/>
              </w:rPr>
              <w:t>Publication bias: 0</w:t>
            </w:r>
          </w:p>
          <w:p w:rsidR="00BD512F" w:rsidRPr="00163A1F" w:rsidRDefault="00BD512F" w:rsidP="00BD512F">
            <w:pPr>
              <w:pStyle w:val="Tabletext"/>
              <w:rPr>
                <w:rFonts w:cs="Arial"/>
              </w:rPr>
            </w:pPr>
            <w:r w:rsidRPr="00163A1F">
              <w:rPr>
                <w:rFonts w:cs="Arial"/>
              </w:rPr>
              <w:t>Association: 0</w:t>
            </w:r>
          </w:p>
        </w:tc>
        <w:tc>
          <w:tcPr>
            <w:tcW w:w="1413" w:type="dxa"/>
          </w:tcPr>
          <w:p w:rsidR="00BD512F" w:rsidRPr="00163A1F" w:rsidRDefault="00BD512F" w:rsidP="00BD512F">
            <w:pPr>
              <w:pStyle w:val="Tabletext"/>
            </w:pPr>
            <w:r>
              <w:t>ARD</w:t>
            </w:r>
            <w:r w:rsidRPr="00163A1F">
              <w:t xml:space="preserve"> = 16.7% (−4.4, 37.8)</w:t>
            </w:r>
          </w:p>
        </w:tc>
        <w:tc>
          <w:tcPr>
            <w:tcW w:w="2551" w:type="dxa"/>
          </w:tcPr>
          <w:p w:rsidR="00BD512F" w:rsidRPr="00163A1F" w:rsidRDefault="00BD512F" w:rsidP="00BD512F">
            <w:pPr>
              <w:pStyle w:val="Tabletext"/>
            </w:pPr>
            <w:r w:rsidRPr="00163A1F">
              <w:rPr>
                <w:rFonts w:cs="Arial"/>
              </w:rPr>
              <w:t>More patients experienced a serious AE with combination therapy compared with monotherapy,</w:t>
            </w:r>
            <w:r w:rsidRPr="00163A1F">
              <w:t xml:space="preserve"> </w:t>
            </w:r>
            <w:r w:rsidR="003D210A" w:rsidRPr="002375AD">
              <w:t xml:space="preserve">but the </w:t>
            </w:r>
            <w:r w:rsidR="003D210A">
              <w:t>95% CI indicates</w:t>
            </w:r>
            <w:r w:rsidR="003D210A" w:rsidRPr="002375AD">
              <w:t xml:space="preserve"> that </w:t>
            </w:r>
            <w:r w:rsidR="003D210A">
              <w:t>the study was underpowered for this outcome</w:t>
            </w:r>
          </w:p>
        </w:tc>
        <w:tc>
          <w:tcPr>
            <w:tcW w:w="1134" w:type="dxa"/>
          </w:tcPr>
          <w:p w:rsidR="00BD512F" w:rsidRPr="00163A1F" w:rsidRDefault="00BD512F" w:rsidP="00BD512F">
            <w:pPr>
              <w:pStyle w:val="Tabletext"/>
              <w:rPr>
                <w:rFonts w:cs="Arial"/>
              </w:rPr>
            </w:pPr>
            <w:r>
              <w:rPr>
                <w:rFonts w:cs="Arial"/>
              </w:rPr>
              <w:t>Low</w:t>
            </w:r>
          </w:p>
          <w:p w:rsidR="00BD512F" w:rsidRPr="00163A1F" w:rsidRDefault="00BD512F" w:rsidP="00BD512F">
            <w:pPr>
              <w:pStyle w:val="Tabletext"/>
              <w:rPr>
                <w:rFonts w:cs="Cambria Math"/>
                <w:bCs/>
              </w:rPr>
            </w:pPr>
            <w:r w:rsidRPr="00163A1F">
              <w:rPr>
                <w:rFonts w:ascii="Cambria Math" w:hAnsi="Cambria Math" w:cs="Cambria Math"/>
                <w:bCs/>
                <w:color w:val="00B050"/>
              </w:rPr>
              <w:t>⨁⨁</w:t>
            </w:r>
            <w:r w:rsidRPr="00E564DD">
              <w:rPr>
                <w:rFonts w:ascii="Cambria Math" w:eastAsia="Times New Roman" w:hAnsi="Cambria Math" w:cs="Cambria Math"/>
                <w:bCs/>
                <w:color w:val="FF0000"/>
              </w:rPr>
              <w:t>⨀⨀</w:t>
            </w:r>
          </w:p>
          <w:p w:rsidR="00BD512F" w:rsidRPr="00163A1F" w:rsidRDefault="00BD512F" w:rsidP="00BD512F">
            <w:pPr>
              <w:pStyle w:val="Tabletext"/>
              <w:rPr>
                <w:rFonts w:cs="Arial"/>
              </w:rPr>
            </w:pPr>
            <w:r w:rsidRPr="00163A1F">
              <w:rPr>
                <w:rFonts w:cs="Arial"/>
              </w:rPr>
              <w:t>Important</w:t>
            </w:r>
          </w:p>
        </w:tc>
      </w:tr>
      <w:tr w:rsidR="00BD512F" w:rsidRPr="006316DF" w:rsidTr="00B14FF5">
        <w:tc>
          <w:tcPr>
            <w:tcW w:w="1560" w:type="dxa"/>
          </w:tcPr>
          <w:p w:rsidR="00BD512F" w:rsidRPr="00163A1F" w:rsidRDefault="00BD512F" w:rsidP="00BD512F">
            <w:pPr>
              <w:pStyle w:val="Tabletext"/>
              <w:rPr>
                <w:rFonts w:cs="Arial"/>
              </w:rPr>
            </w:pPr>
            <w:r w:rsidRPr="00163A1F">
              <w:rPr>
                <w:rFonts w:cs="Arial"/>
              </w:rPr>
              <w:t>AEs leading to treatment discontinuation</w:t>
            </w:r>
          </w:p>
        </w:tc>
        <w:tc>
          <w:tcPr>
            <w:tcW w:w="1275" w:type="dxa"/>
          </w:tcPr>
          <w:p w:rsidR="00BD512F" w:rsidRPr="00163A1F" w:rsidRDefault="00BD512F" w:rsidP="00BD512F">
            <w:pPr>
              <w:pStyle w:val="Tabletext"/>
              <w:rPr>
                <w:rFonts w:cs="Arial"/>
              </w:rPr>
            </w:pPr>
            <w:r w:rsidRPr="00163A1F">
              <w:rPr>
                <w:rFonts w:cs="Arial"/>
              </w:rPr>
              <w:t>N=18</w:t>
            </w:r>
          </w:p>
          <w:p w:rsidR="00BD512F" w:rsidRPr="00163A1F" w:rsidRDefault="00BD512F" w:rsidP="00BD512F">
            <w:pPr>
              <w:pStyle w:val="Tabletext"/>
              <w:rPr>
                <w:rFonts w:cs="Arial"/>
              </w:rPr>
            </w:pPr>
            <w:r w:rsidRPr="00163A1F">
              <w:rPr>
                <w:rFonts w:cs="Arial"/>
              </w:rPr>
              <w:t>k=1 RCT</w:t>
            </w:r>
          </w:p>
        </w:tc>
        <w:tc>
          <w:tcPr>
            <w:tcW w:w="1701" w:type="dxa"/>
          </w:tcPr>
          <w:p w:rsidR="00BD512F" w:rsidRPr="00163A1F" w:rsidRDefault="00BD512F" w:rsidP="00BD512F">
            <w:pPr>
              <w:pStyle w:val="Tabletext"/>
              <w:rPr>
                <w:rFonts w:cs="Arial"/>
              </w:rPr>
            </w:pPr>
            <w:r w:rsidRPr="00163A1F">
              <w:rPr>
                <w:rFonts w:cs="Arial"/>
              </w:rPr>
              <w:t>Risk of bias: 0</w:t>
            </w:r>
          </w:p>
          <w:p w:rsidR="00BD512F" w:rsidRPr="00163A1F" w:rsidRDefault="00BD512F" w:rsidP="00BD512F">
            <w:pPr>
              <w:pStyle w:val="Tabletext"/>
              <w:rPr>
                <w:rFonts w:cs="Arial"/>
              </w:rPr>
            </w:pPr>
            <w:r w:rsidRPr="00163A1F">
              <w:rPr>
                <w:rFonts w:cs="Arial"/>
              </w:rPr>
              <w:t>Inconsistency: 0</w:t>
            </w:r>
          </w:p>
          <w:p w:rsidR="00BD512F" w:rsidRPr="00163A1F" w:rsidRDefault="00BD512F" w:rsidP="00BD512F">
            <w:pPr>
              <w:pStyle w:val="Tabletext"/>
              <w:rPr>
                <w:rFonts w:cs="Arial"/>
              </w:rPr>
            </w:pPr>
            <w:r w:rsidRPr="00163A1F">
              <w:rPr>
                <w:rFonts w:cs="Arial"/>
              </w:rPr>
              <w:t>Indirectness: 0</w:t>
            </w:r>
          </w:p>
          <w:p w:rsidR="00BD512F" w:rsidRPr="00163A1F" w:rsidRDefault="00BD512F" w:rsidP="00BD512F">
            <w:pPr>
              <w:pStyle w:val="Tabletext"/>
              <w:rPr>
                <w:rFonts w:cs="Arial"/>
              </w:rPr>
            </w:pPr>
            <w:r w:rsidRPr="00163A1F">
              <w:rPr>
                <w:rFonts w:cs="Arial"/>
              </w:rPr>
              <w:t xml:space="preserve">Imprecision: </w:t>
            </w:r>
            <w:r>
              <w:rPr>
                <w:rFonts w:cs="Arial"/>
              </w:rPr>
              <w:t>−2</w:t>
            </w:r>
          </w:p>
          <w:p w:rsidR="00BD512F" w:rsidRPr="00163A1F" w:rsidRDefault="00BD512F" w:rsidP="00BD512F">
            <w:pPr>
              <w:pStyle w:val="Tabletext"/>
              <w:rPr>
                <w:rFonts w:cs="Arial"/>
              </w:rPr>
            </w:pPr>
            <w:r w:rsidRPr="00163A1F">
              <w:rPr>
                <w:rFonts w:cs="Arial"/>
              </w:rPr>
              <w:t>Publication bias: 0</w:t>
            </w:r>
          </w:p>
          <w:p w:rsidR="00BD512F" w:rsidRPr="00163A1F" w:rsidRDefault="00BD512F" w:rsidP="00BD512F">
            <w:pPr>
              <w:pStyle w:val="Tabletext"/>
              <w:rPr>
                <w:rFonts w:cs="Arial"/>
              </w:rPr>
            </w:pPr>
            <w:r w:rsidRPr="00163A1F">
              <w:rPr>
                <w:rFonts w:cs="Arial"/>
              </w:rPr>
              <w:t>Association: 0</w:t>
            </w:r>
          </w:p>
        </w:tc>
        <w:tc>
          <w:tcPr>
            <w:tcW w:w="1413" w:type="dxa"/>
          </w:tcPr>
          <w:p w:rsidR="00BD512F" w:rsidRPr="00163A1F" w:rsidRDefault="00BD512F" w:rsidP="00BD512F">
            <w:pPr>
              <w:pStyle w:val="Tabletext"/>
            </w:pPr>
            <w:r>
              <w:t>ARD</w:t>
            </w:r>
            <w:r w:rsidRPr="00163A1F">
              <w:t xml:space="preserve"> = 8.3% (−7.3, 24.0)</w:t>
            </w:r>
          </w:p>
        </w:tc>
        <w:tc>
          <w:tcPr>
            <w:tcW w:w="2551" w:type="dxa"/>
          </w:tcPr>
          <w:p w:rsidR="00BD512F" w:rsidRPr="00163A1F" w:rsidRDefault="00BD512F" w:rsidP="00BD512F">
            <w:pPr>
              <w:pStyle w:val="Tabletext"/>
              <w:rPr>
                <w:rFonts w:cs="Arial"/>
              </w:rPr>
            </w:pPr>
            <w:r w:rsidRPr="00163A1F">
              <w:rPr>
                <w:rFonts w:cs="Arial"/>
              </w:rPr>
              <w:t xml:space="preserve">More patients needed to discontinue treatment due to an AE with combination therapy compared with monotherapy, </w:t>
            </w:r>
            <w:r w:rsidR="003D210A" w:rsidRPr="002375AD">
              <w:t xml:space="preserve">but the </w:t>
            </w:r>
            <w:r w:rsidR="003D210A">
              <w:t>95% CI indicates</w:t>
            </w:r>
            <w:r w:rsidR="003D210A" w:rsidRPr="002375AD">
              <w:t xml:space="preserve"> that </w:t>
            </w:r>
            <w:r w:rsidR="003D210A">
              <w:t>the study was underpowered for this outcome</w:t>
            </w:r>
          </w:p>
        </w:tc>
        <w:tc>
          <w:tcPr>
            <w:tcW w:w="1134" w:type="dxa"/>
          </w:tcPr>
          <w:p w:rsidR="00BD512F" w:rsidRPr="00163A1F" w:rsidRDefault="00BD512F" w:rsidP="00BD512F">
            <w:pPr>
              <w:pStyle w:val="Tabletext"/>
              <w:rPr>
                <w:rFonts w:cs="Arial"/>
              </w:rPr>
            </w:pPr>
            <w:r>
              <w:rPr>
                <w:rFonts w:cs="Arial"/>
              </w:rPr>
              <w:t>Low</w:t>
            </w:r>
          </w:p>
          <w:p w:rsidR="00BD512F" w:rsidRPr="00163A1F" w:rsidRDefault="00BD512F" w:rsidP="00BD512F">
            <w:pPr>
              <w:pStyle w:val="Tabletext"/>
              <w:rPr>
                <w:rFonts w:cs="Cambria Math"/>
                <w:bCs/>
              </w:rPr>
            </w:pPr>
            <w:r w:rsidRPr="00163A1F">
              <w:rPr>
                <w:rFonts w:ascii="Cambria Math" w:hAnsi="Cambria Math" w:cs="Cambria Math"/>
                <w:bCs/>
                <w:color w:val="00B050"/>
              </w:rPr>
              <w:t>⨁⨁</w:t>
            </w:r>
            <w:r w:rsidRPr="00E564DD">
              <w:rPr>
                <w:rFonts w:ascii="Cambria Math" w:eastAsia="Times New Roman" w:hAnsi="Cambria Math" w:cs="Cambria Math"/>
                <w:bCs/>
                <w:color w:val="FF0000"/>
              </w:rPr>
              <w:t>⨀⨀</w:t>
            </w:r>
          </w:p>
          <w:p w:rsidR="00BD512F" w:rsidRPr="00163A1F" w:rsidRDefault="00BD512F" w:rsidP="00BD512F">
            <w:pPr>
              <w:pStyle w:val="Tabletext"/>
              <w:rPr>
                <w:rFonts w:cs="Arial"/>
              </w:rPr>
            </w:pPr>
            <w:r w:rsidRPr="00163A1F">
              <w:rPr>
                <w:rFonts w:cs="Arial"/>
              </w:rPr>
              <w:t>Important</w:t>
            </w:r>
          </w:p>
        </w:tc>
      </w:tr>
    </w:tbl>
    <w:p w:rsidR="0075777C" w:rsidRPr="006316DF" w:rsidRDefault="0075777C" w:rsidP="00B14FF5">
      <w:pPr>
        <w:pStyle w:val="Tablenote"/>
      </w:pPr>
      <w:r w:rsidRPr="006316DF">
        <w:rPr>
          <w:vertAlign w:val="superscript"/>
        </w:rPr>
        <w:lastRenderedPageBreak/>
        <w:t xml:space="preserve">a </w:t>
      </w:r>
      <w:r w:rsidRPr="006316DF">
        <w:t xml:space="preserve">GRADE Working Group grades of evidence </w:t>
      </w:r>
      <w:r w:rsidR="001D34EE" w:rsidRPr="001D34EE">
        <w:rPr>
          <w:noProof/>
          <w:vertAlign w:val="superscript"/>
        </w:rPr>
        <w:t>1</w:t>
      </w:r>
    </w:p>
    <w:p w:rsidR="00BD512F" w:rsidRPr="006316DF" w:rsidRDefault="00BD512F" w:rsidP="00BD512F">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146880" w:rsidRDefault="00B21201" w:rsidP="00B14FF5">
      <w:pPr>
        <w:pStyle w:val="Tablenote"/>
      </w:pPr>
      <w:r>
        <w:t>AE = adverse event; ARD</w:t>
      </w:r>
      <w:r w:rsidR="0075777C">
        <w:t xml:space="preserve"> = absolute risk </w:t>
      </w:r>
      <w:r>
        <w:t>difference</w:t>
      </w:r>
      <w:r w:rsidR="0075777C">
        <w:t xml:space="preserve">; CI = confidence interval; </w:t>
      </w:r>
      <w:r w:rsidR="00385E5A">
        <w:t>GRADE = grading of recommendations assessment, development and evaluation</w:t>
      </w:r>
      <w:r w:rsidR="001D34EE" w:rsidRPr="001D34EE">
        <w:rPr>
          <w:noProof/>
          <w:vertAlign w:val="superscript"/>
        </w:rPr>
        <w:t>1</w:t>
      </w:r>
      <w:r w:rsidR="00146880" w:rsidRPr="00F24B06">
        <w:t xml:space="preserve">; k = number of studies; </w:t>
      </w:r>
      <w:r w:rsidR="0075777C">
        <w:t xml:space="preserve">N = number of patients; </w:t>
      </w:r>
      <w:r w:rsidR="0075777C" w:rsidRPr="00C65B42">
        <w:t xml:space="preserve">PAH = pulmonary arterial hypertension; </w:t>
      </w:r>
      <w:r w:rsidR="0075777C" w:rsidRPr="009B5AB3">
        <w:t>PDE-5 = phosphodiesterase type-5</w:t>
      </w:r>
      <w:r w:rsidR="0075777C">
        <w:t>;</w:t>
      </w:r>
      <w:r w:rsidR="0075777C" w:rsidRPr="009B5AB3">
        <w:t xml:space="preserve"> </w:t>
      </w:r>
      <w:r w:rsidR="0075777C">
        <w:t xml:space="preserve">RCT = randomised controlled trial; RR = relative risk; </w:t>
      </w:r>
      <w:r w:rsidR="0075777C" w:rsidRPr="006C6F7B">
        <w:t>sGC = solubl</w:t>
      </w:r>
      <w:r w:rsidR="0075777C">
        <w:t>e guanylate cyclase</w:t>
      </w:r>
    </w:p>
    <w:p w:rsidR="0075777C" w:rsidRPr="006316DF" w:rsidRDefault="000E0079" w:rsidP="0017012F">
      <w:pPr>
        <w:pStyle w:val="Heading4"/>
      </w:pPr>
      <w:r>
        <w:t>4.5.3.8</w:t>
      </w:r>
      <w:r>
        <w:tab/>
      </w:r>
      <w:r w:rsidR="0075777C" w:rsidRPr="0006289E">
        <w:t xml:space="preserve">sGC stimulator in addition to a </w:t>
      </w:r>
      <w:r w:rsidR="0017012F" w:rsidRPr="0017012F">
        <w:t>prostanoid</w:t>
      </w:r>
    </w:p>
    <w:p w:rsidR="0075777C" w:rsidRPr="00107676" w:rsidRDefault="0075777C" w:rsidP="0075777C">
      <w:pPr>
        <w:pStyle w:val="Heading5"/>
      </w:pPr>
      <w:r w:rsidRPr="00107676">
        <w:t>Clinical effectiveness</w:t>
      </w:r>
    </w:p>
    <w:p w:rsidR="0075777C" w:rsidRDefault="0075777C" w:rsidP="0075777C">
      <w:r>
        <w:t xml:space="preserve">The RCT that provided the evidence base for </w:t>
      </w:r>
      <w:r w:rsidRPr="000522D6">
        <w:t xml:space="preserve">comparing </w:t>
      </w:r>
      <w:r>
        <w:t xml:space="preserve">the effectiveness of </w:t>
      </w:r>
      <w:r w:rsidRPr="000522D6">
        <w:t xml:space="preserve">a </w:t>
      </w:r>
      <w:r w:rsidRPr="001A61AD">
        <w:t xml:space="preserve">sGC stimulator </w:t>
      </w:r>
      <w:r w:rsidRPr="000522D6">
        <w:t xml:space="preserve">in addition to </w:t>
      </w:r>
      <w:r>
        <w:t xml:space="preserve">a </w:t>
      </w:r>
      <w:r w:rsidR="00920393">
        <w:t>prostanoid</w:t>
      </w:r>
      <w:r w:rsidRPr="000522D6">
        <w:t xml:space="preserve"> </w:t>
      </w:r>
      <w:r>
        <w:t>compared with</w:t>
      </w:r>
      <w:r w:rsidRPr="000522D6">
        <w:t xml:space="preserve"> </w:t>
      </w:r>
      <w:r w:rsidR="00920393">
        <w:t>prostanoid</w:t>
      </w:r>
      <w:r w:rsidRPr="000522D6">
        <w:t xml:space="preserve"> monotherapy</w:t>
      </w:r>
      <w:r>
        <w:t xml:space="preserve"> enrolled a subgroup of patients </w:t>
      </w:r>
      <w:r w:rsidRPr="004F7ADF">
        <w:t xml:space="preserve">with background </w:t>
      </w:r>
      <w:r w:rsidR="00920393">
        <w:t>prostanoid</w:t>
      </w:r>
      <w:r w:rsidRPr="004F7ADF">
        <w:t xml:space="preserve"> </w:t>
      </w:r>
      <w:r>
        <w:t>t</w:t>
      </w:r>
      <w:r w:rsidRPr="004F7ADF">
        <w:t>herapy</w:t>
      </w:r>
      <w:r>
        <w:t xml:space="preserve"> </w:t>
      </w:r>
      <w:r w:rsidRPr="001A61AD">
        <w:t>(sequential combination therapy).</w:t>
      </w:r>
      <w:r>
        <w:t xml:space="preserve"> As this was a very small subgroup, no additional subgroup analysis based on WHO FC or PAH aetiology was undertaken.</w:t>
      </w:r>
    </w:p>
    <w:p w:rsidR="0075777C" w:rsidRPr="00920393" w:rsidRDefault="0075777C" w:rsidP="0075777C">
      <w:r w:rsidRPr="006316DF">
        <w:t xml:space="preserve">The </w:t>
      </w:r>
      <w:r>
        <w:t xml:space="preserve">detailed </w:t>
      </w:r>
      <w:r w:rsidRPr="006316DF">
        <w:t>GRADE</w:t>
      </w:r>
      <w:r w:rsidR="001D34EE" w:rsidRPr="001D34EE">
        <w:rPr>
          <w:noProof/>
          <w:vertAlign w:val="superscript"/>
        </w:rPr>
        <w:t>1</w:t>
      </w:r>
      <w:r w:rsidRPr="006316DF">
        <w:t xml:space="preserve"> assessments of the outcomes when comparing </w:t>
      </w:r>
      <w:r>
        <w:t xml:space="preserve">a </w:t>
      </w:r>
      <w:r w:rsidRPr="008B0075">
        <w:t xml:space="preserve">sGC stimulator in addition to a </w:t>
      </w:r>
      <w:r w:rsidR="00920393" w:rsidRPr="008B0075">
        <w:t>prostanoid</w:t>
      </w:r>
      <w:r w:rsidRPr="008B0075">
        <w:t xml:space="preserve">, relative to </w:t>
      </w:r>
      <w:r w:rsidR="00920393" w:rsidRPr="008B0075">
        <w:t>prostanoid</w:t>
      </w:r>
      <w:r w:rsidRPr="008B0075">
        <w:t xml:space="preserve"> monotherapy </w:t>
      </w:r>
      <w:r>
        <w:t xml:space="preserve">are reported in </w:t>
      </w:r>
      <w:r w:rsidR="00AA722D">
        <w:t>Table 4.</w:t>
      </w:r>
      <w:r w:rsidR="00AA722D">
        <w:rPr>
          <w:noProof/>
        </w:rPr>
        <w:t>169</w:t>
      </w:r>
      <w:r>
        <w:t xml:space="preserve"> </w:t>
      </w:r>
      <w:r w:rsidRPr="006316DF">
        <w:t xml:space="preserve">in Appendix </w:t>
      </w:r>
      <w:r w:rsidR="00DA2636">
        <w:t>4</w:t>
      </w:r>
      <w:r w:rsidR="001B552D">
        <w:t>C</w:t>
      </w:r>
      <w:r w:rsidRPr="006316DF">
        <w:t>. A summary of these results is provided in</w:t>
      </w:r>
      <w:r>
        <w:t xml:space="preserve"> </w:t>
      </w:r>
      <w:r w:rsidR="00AA722D">
        <w:t>Table 4.</w:t>
      </w:r>
      <w:r w:rsidR="00AA722D">
        <w:rPr>
          <w:noProof/>
        </w:rPr>
        <w:t>143</w:t>
      </w:r>
      <w:r w:rsidR="00B3296A">
        <w:t xml:space="preserve">. </w:t>
      </w:r>
      <w:r w:rsidRPr="006316DF">
        <w:t xml:space="preserve">The evidence base for </w:t>
      </w:r>
      <w:r w:rsidR="00B3296A">
        <w:t>most</w:t>
      </w:r>
      <w:r w:rsidRPr="006316DF">
        <w:t xml:space="preserve"> outcomes considered to be of </w:t>
      </w:r>
      <w:r w:rsidR="00B3296A">
        <w:t>low</w:t>
      </w:r>
      <w:r w:rsidRPr="006316DF">
        <w:t xml:space="preserve"> quality (GRADE </w:t>
      </w:r>
      <w:r w:rsidRPr="00920393">
        <w:rPr>
          <w:rFonts w:ascii="Cambria Math" w:eastAsia="Times New Roman" w:hAnsi="Cambria Math" w:cs="Tahoma"/>
          <w:bCs/>
          <w:color w:val="00B050"/>
        </w:rPr>
        <w:t>⨁⨁</w:t>
      </w:r>
      <w:r w:rsidR="00B3296A" w:rsidRPr="00920393">
        <w:rPr>
          <w:rFonts w:ascii="Cambria Math" w:eastAsia="Times New Roman" w:hAnsi="Cambria Math" w:cs="Cambria Math"/>
          <w:bCs/>
          <w:color w:val="C00000"/>
        </w:rPr>
        <w:t>⨀⨀</w:t>
      </w:r>
      <w:r w:rsidRPr="00920393">
        <w:t>). However, the study was very small and is likely underpowered to detect a true difference in this patient subgroup.</w:t>
      </w:r>
    </w:p>
    <w:p w:rsidR="0075777C" w:rsidRDefault="0075777C" w:rsidP="0075777C">
      <w:r w:rsidRPr="006316DF">
        <w:t xml:space="preserve">When taking </w:t>
      </w:r>
      <w:r>
        <w:t>the whole body of evidence</w:t>
      </w:r>
      <w:r w:rsidRPr="006316DF">
        <w:t xml:space="preserve"> into account, patients </w:t>
      </w:r>
      <w:r>
        <w:t>on combination therapy</w:t>
      </w:r>
      <w:r w:rsidRPr="006316DF">
        <w:t xml:space="preserve"> ha</w:t>
      </w:r>
      <w:r>
        <w:t>d</w:t>
      </w:r>
      <w:r w:rsidRPr="006316DF">
        <w:t xml:space="preserve"> a </w:t>
      </w:r>
      <w:r>
        <w:t xml:space="preserve">larger mean </w:t>
      </w:r>
      <w:r w:rsidRPr="006316DF">
        <w:t>improvement in their 6MWD</w:t>
      </w:r>
      <w:r>
        <w:t>,</w:t>
      </w:r>
      <w:r w:rsidRPr="006316DF">
        <w:t xml:space="preserve"> </w:t>
      </w:r>
      <w:r>
        <w:t xml:space="preserve">PVR and QoL </w:t>
      </w:r>
      <w:r w:rsidRPr="006316DF">
        <w:t>than those taking a placebo</w:t>
      </w:r>
      <w:r>
        <w:t>; the large mean differences between the combination and monotherapy groups were</w:t>
      </w:r>
      <w:r w:rsidRPr="006316DF">
        <w:t xml:space="preserve"> </w:t>
      </w:r>
      <w:r>
        <w:t>clinically important.</w:t>
      </w:r>
      <w:r w:rsidRPr="006316DF">
        <w:t xml:space="preserve"> </w:t>
      </w:r>
      <w:r>
        <w:t xml:space="preserve">More </w:t>
      </w:r>
      <w:r w:rsidRPr="00944958">
        <w:t xml:space="preserve">patients </w:t>
      </w:r>
      <w:r>
        <w:t xml:space="preserve">improved their WHO FC </w:t>
      </w:r>
      <w:r w:rsidRPr="00944958">
        <w:t>on combination therapy compared with monotherapy</w:t>
      </w:r>
      <w:r>
        <w:t>,</w:t>
      </w:r>
      <w:r w:rsidRPr="00944958">
        <w:t xml:space="preserve"> but the </w:t>
      </w:r>
      <w:r w:rsidR="003D210A">
        <w:t xml:space="preserve">wide </w:t>
      </w:r>
      <w:r w:rsidR="00D84687">
        <w:t>95% CI indicates</w:t>
      </w:r>
      <w:r w:rsidRPr="00944958">
        <w:t xml:space="preserve"> that there may also be the opposite effect.</w:t>
      </w:r>
      <w:r>
        <w:t xml:space="preserve"> </w:t>
      </w:r>
      <w:r w:rsidRPr="006316DF">
        <w:t xml:space="preserve">All </w:t>
      </w:r>
      <w:r>
        <w:t xml:space="preserve">other </w:t>
      </w:r>
      <w:r w:rsidRPr="006316DF">
        <w:t xml:space="preserve">outcomes </w:t>
      </w:r>
      <w:r w:rsidR="003D210A">
        <w:t>numerically</w:t>
      </w:r>
      <w:r>
        <w:t xml:space="preserve"> </w:t>
      </w:r>
      <w:r w:rsidRPr="006316DF">
        <w:t>favour</w:t>
      </w:r>
      <w:r>
        <w:t>ed</w:t>
      </w:r>
      <w:r w:rsidRPr="006316DF">
        <w:t xml:space="preserve"> the use of </w:t>
      </w:r>
      <w:r>
        <w:t xml:space="preserve">combination therapy </w:t>
      </w:r>
      <w:r w:rsidRPr="006316DF">
        <w:t xml:space="preserve">over </w:t>
      </w:r>
      <w:r>
        <w:t>monotherapy</w:t>
      </w:r>
      <w:r w:rsidR="003D210A">
        <w:t>. The small sample size indicates that the study was statistically underpower</w:t>
      </w:r>
      <w:r w:rsidR="00377908">
        <w:t>ed to detect a true difference.</w:t>
      </w:r>
    </w:p>
    <w:p w:rsidR="00B3296A" w:rsidRPr="006316DF" w:rsidRDefault="00B3296A" w:rsidP="0075777C">
      <w:r w:rsidRPr="00B3296A">
        <w:t>Thus, there is considerable uncertainty as to whether the use of a sGC stimulator in addition to a prostanoid, relative to prostanoid monotherapy to treat PAH patients is likely to be beneficial.</w:t>
      </w:r>
    </w:p>
    <w:p w:rsidR="0075777C" w:rsidRPr="006316DF" w:rsidRDefault="00272F8F" w:rsidP="00BC5A2B">
      <w:pPr>
        <w:pStyle w:val="Caption"/>
      </w:pPr>
      <w:bookmarkStart w:id="388" w:name="_Ref505870509"/>
      <w:bookmarkStart w:id="389" w:name="_Toc512855547"/>
      <w:r>
        <w:t>Table 4.</w:t>
      </w:r>
      <w:r w:rsidR="00AA722D">
        <w:rPr>
          <w:noProof/>
        </w:rPr>
        <w:t>143</w:t>
      </w:r>
      <w:bookmarkEnd w:id="388"/>
      <w:r w:rsidR="00B14FF5">
        <w:tab/>
      </w:r>
      <w:r w:rsidR="0075777C" w:rsidRPr="006316DF">
        <w:t xml:space="preserve">Balance of clinical benefits of </w:t>
      </w:r>
      <w:r w:rsidR="001B552D">
        <w:t xml:space="preserve">a </w:t>
      </w:r>
      <w:r w:rsidR="0075777C" w:rsidRPr="0006289E">
        <w:t xml:space="preserve">sGC stimulator in addition to a </w:t>
      </w:r>
      <w:r w:rsidR="00920393" w:rsidRPr="0006289E">
        <w:t>prostanoid</w:t>
      </w:r>
      <w:r w:rsidR="0075777C" w:rsidRPr="006316DF">
        <w:t xml:space="preserve">, relative to </w:t>
      </w:r>
      <w:r w:rsidR="00920393" w:rsidRPr="0006289E">
        <w:t>prostanoid</w:t>
      </w:r>
      <w:r w:rsidR="0075777C">
        <w:t xml:space="preserve"> monotherapy in all PAH patients</w:t>
      </w:r>
      <w:bookmarkEnd w:id="389"/>
    </w:p>
    <w:tbl>
      <w:tblPr>
        <w:tblStyle w:val="TableGrid"/>
        <w:tblW w:w="9634" w:type="dxa"/>
        <w:tblLayout w:type="fixed"/>
        <w:tblLook w:val="04A0" w:firstRow="1" w:lastRow="0" w:firstColumn="1" w:lastColumn="0" w:noHBand="0" w:noVBand="1"/>
        <w:tblCaption w:val="Balance of clinical benefits of a sGC stimulator in addition to a prostanoid, relative to prostanoid monotherapy in all PAH patients"/>
      </w:tblPr>
      <w:tblGrid>
        <w:gridCol w:w="1560"/>
        <w:gridCol w:w="1275"/>
        <w:gridCol w:w="1701"/>
        <w:gridCol w:w="1413"/>
        <w:gridCol w:w="2551"/>
        <w:gridCol w:w="1134"/>
      </w:tblGrid>
      <w:tr w:rsidR="0075777C" w:rsidRPr="00B14FF5" w:rsidTr="00B14FF5">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B14FF5" w:rsidRDefault="0075777C" w:rsidP="00B14FF5">
            <w:pPr>
              <w:pStyle w:val="Tabletext"/>
              <w:rPr>
                <w:b/>
                <w:noProof/>
              </w:rPr>
            </w:pPr>
            <w:r w:rsidRPr="00B14FF5">
              <w:rPr>
                <w:b/>
                <w:noProof/>
              </w:rPr>
              <w:t xml:space="preserve">Outcomes </w:t>
            </w:r>
          </w:p>
        </w:tc>
        <w:tc>
          <w:tcPr>
            <w:tcW w:w="1275" w:type="dxa"/>
          </w:tcPr>
          <w:p w:rsidR="0075777C" w:rsidRPr="00B14FF5" w:rsidRDefault="0075777C" w:rsidP="00B14FF5">
            <w:pPr>
              <w:pStyle w:val="Tabletext"/>
              <w:rPr>
                <w:b/>
                <w:noProof/>
              </w:rPr>
            </w:pPr>
            <w:r w:rsidRPr="00B14FF5">
              <w:rPr>
                <w:b/>
                <w:noProof/>
              </w:rPr>
              <w:t>Participants (studies)</w:t>
            </w:r>
          </w:p>
        </w:tc>
        <w:tc>
          <w:tcPr>
            <w:tcW w:w="1701" w:type="dxa"/>
          </w:tcPr>
          <w:p w:rsidR="0075777C" w:rsidRPr="00B14FF5" w:rsidRDefault="0075777C" w:rsidP="00B14FF5">
            <w:pPr>
              <w:pStyle w:val="Tabletext"/>
              <w:rPr>
                <w:b/>
                <w:noProof/>
              </w:rPr>
            </w:pPr>
            <w:r w:rsidRPr="00B14FF5">
              <w:rPr>
                <w:b/>
                <w:noProof/>
              </w:rPr>
              <w:t>Quality of evidence</w:t>
            </w:r>
          </w:p>
        </w:tc>
        <w:tc>
          <w:tcPr>
            <w:tcW w:w="1413" w:type="dxa"/>
          </w:tcPr>
          <w:p w:rsidR="0075777C" w:rsidRPr="00B14FF5" w:rsidRDefault="0075777C" w:rsidP="00B14FF5">
            <w:pPr>
              <w:pStyle w:val="Tabletext"/>
              <w:rPr>
                <w:b/>
                <w:noProof/>
              </w:rPr>
            </w:pPr>
            <w:r w:rsidRPr="00B14FF5">
              <w:rPr>
                <w:b/>
                <w:noProof/>
              </w:rPr>
              <w:t>Results</w:t>
            </w:r>
          </w:p>
        </w:tc>
        <w:tc>
          <w:tcPr>
            <w:tcW w:w="2551" w:type="dxa"/>
          </w:tcPr>
          <w:p w:rsidR="0075777C" w:rsidRPr="00B14FF5" w:rsidRDefault="0075777C" w:rsidP="00B14FF5">
            <w:pPr>
              <w:pStyle w:val="Tabletext"/>
              <w:rPr>
                <w:b/>
                <w:noProof/>
              </w:rPr>
            </w:pPr>
            <w:r w:rsidRPr="00B14FF5">
              <w:rPr>
                <w:b/>
                <w:noProof/>
              </w:rPr>
              <w:t>Interpretation</w:t>
            </w:r>
          </w:p>
        </w:tc>
        <w:tc>
          <w:tcPr>
            <w:tcW w:w="1134" w:type="dxa"/>
          </w:tcPr>
          <w:p w:rsidR="0075777C" w:rsidRPr="00B14FF5" w:rsidRDefault="0075777C" w:rsidP="00B14FF5">
            <w:pPr>
              <w:pStyle w:val="Tabletext"/>
              <w:rPr>
                <w:b/>
                <w:noProof/>
              </w:rPr>
            </w:pPr>
            <w:r w:rsidRPr="00B14FF5">
              <w:rPr>
                <w:b/>
                <w:noProof/>
              </w:rPr>
              <w:t>GRADE</w:t>
            </w:r>
            <w:r w:rsidR="00146880" w:rsidRPr="00146880">
              <w:rPr>
                <w:b/>
                <w:noProof/>
                <w:vertAlign w:val="superscript"/>
              </w:rPr>
              <w:t>a</w:t>
            </w:r>
          </w:p>
          <w:p w:rsidR="0075777C" w:rsidRPr="00B14FF5" w:rsidRDefault="0075777C" w:rsidP="00B14FF5">
            <w:pPr>
              <w:pStyle w:val="Tabletext"/>
              <w:rPr>
                <w:b/>
                <w:noProof/>
              </w:rPr>
            </w:pPr>
            <w:r w:rsidRPr="00B14FF5">
              <w:rPr>
                <w:b/>
                <w:noProof/>
              </w:rPr>
              <w:t>Importance</w:t>
            </w:r>
          </w:p>
        </w:tc>
      </w:tr>
      <w:tr w:rsidR="00BD512F" w:rsidRPr="006316DF" w:rsidTr="00B14FF5">
        <w:tc>
          <w:tcPr>
            <w:tcW w:w="1560" w:type="dxa"/>
          </w:tcPr>
          <w:p w:rsidR="00BD512F" w:rsidRPr="00163A1F" w:rsidRDefault="00BD512F" w:rsidP="00BD512F">
            <w:pPr>
              <w:pStyle w:val="Tabletext"/>
              <w:rPr>
                <w:rFonts w:cs="Arial"/>
              </w:rPr>
            </w:pPr>
            <w:r w:rsidRPr="00163A1F">
              <w:rPr>
                <w:rFonts w:cs="Arial"/>
              </w:rPr>
              <w:t xml:space="preserve">Clinical worsening </w:t>
            </w:r>
          </w:p>
        </w:tc>
        <w:tc>
          <w:tcPr>
            <w:tcW w:w="1275" w:type="dxa"/>
          </w:tcPr>
          <w:p w:rsidR="00BD512F" w:rsidRPr="006316DF" w:rsidRDefault="00BD512F" w:rsidP="00BD512F">
            <w:pPr>
              <w:pStyle w:val="Tabletext"/>
              <w:rPr>
                <w:rFonts w:cs="Arial"/>
              </w:rPr>
            </w:pPr>
            <w:r w:rsidRPr="006316DF">
              <w:rPr>
                <w:rFonts w:cs="Arial"/>
              </w:rPr>
              <w:t>N=</w:t>
            </w:r>
            <w:r>
              <w:rPr>
                <w:rFonts w:cs="Arial"/>
              </w:rPr>
              <w:t>27</w:t>
            </w:r>
          </w:p>
          <w:p w:rsidR="00BD512F" w:rsidRPr="006316DF" w:rsidRDefault="00BD512F" w:rsidP="00BD512F">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D512F" w:rsidRPr="006316DF" w:rsidRDefault="00BD512F" w:rsidP="00BD512F">
            <w:pPr>
              <w:pStyle w:val="Tabletext"/>
              <w:rPr>
                <w:rFonts w:cs="Arial"/>
              </w:rPr>
            </w:pPr>
            <w:r>
              <w:rPr>
                <w:rFonts w:cs="Arial"/>
              </w:rPr>
              <w:t>Risk of bias: 0</w:t>
            </w:r>
          </w:p>
          <w:p w:rsidR="00BD512F" w:rsidRPr="006316DF" w:rsidRDefault="00BD512F" w:rsidP="00BD512F">
            <w:pPr>
              <w:pStyle w:val="Tabletext"/>
              <w:rPr>
                <w:rFonts w:cs="Arial"/>
              </w:rPr>
            </w:pPr>
            <w:r w:rsidRPr="006316DF">
              <w:rPr>
                <w:rFonts w:cs="Arial"/>
              </w:rPr>
              <w:t>Inconsistency: 0</w:t>
            </w:r>
          </w:p>
          <w:p w:rsidR="00BD512F" w:rsidRPr="006316DF" w:rsidRDefault="00BD512F" w:rsidP="00BD512F">
            <w:pPr>
              <w:pStyle w:val="Tabletext"/>
              <w:rPr>
                <w:rFonts w:cs="Arial"/>
              </w:rPr>
            </w:pPr>
            <w:r w:rsidRPr="006316DF">
              <w:rPr>
                <w:rFonts w:cs="Arial"/>
              </w:rPr>
              <w:t>Indirectness: 0</w:t>
            </w:r>
          </w:p>
          <w:p w:rsidR="00BD512F" w:rsidRDefault="00BD512F" w:rsidP="00BD512F">
            <w:pPr>
              <w:pStyle w:val="Tabletext"/>
              <w:rPr>
                <w:rFonts w:cs="Arial"/>
              </w:rPr>
            </w:pPr>
            <w:r w:rsidRPr="006316DF">
              <w:rPr>
                <w:rFonts w:cs="Arial"/>
              </w:rPr>
              <w:t xml:space="preserve">Imprecision: </w:t>
            </w:r>
            <w:r>
              <w:rPr>
                <w:rFonts w:cs="Arial"/>
              </w:rPr>
              <w:t>−2</w:t>
            </w:r>
          </w:p>
          <w:p w:rsidR="00BD512F" w:rsidRDefault="00BD512F" w:rsidP="00BD512F">
            <w:pPr>
              <w:pStyle w:val="Tabletext"/>
              <w:rPr>
                <w:rFonts w:cs="Arial"/>
              </w:rPr>
            </w:pPr>
            <w:r w:rsidRPr="006316DF">
              <w:rPr>
                <w:rFonts w:cs="Arial"/>
              </w:rPr>
              <w:t>Publication bias: 0</w:t>
            </w:r>
          </w:p>
          <w:p w:rsidR="00BD512F" w:rsidRPr="006316DF" w:rsidRDefault="00BD512F" w:rsidP="00BD512F">
            <w:pPr>
              <w:pStyle w:val="Tabletext"/>
              <w:rPr>
                <w:rFonts w:cs="Arial"/>
              </w:rPr>
            </w:pPr>
            <w:r>
              <w:rPr>
                <w:rFonts w:cs="Arial"/>
              </w:rPr>
              <w:t>Association: 0</w:t>
            </w:r>
          </w:p>
        </w:tc>
        <w:tc>
          <w:tcPr>
            <w:tcW w:w="1413" w:type="dxa"/>
          </w:tcPr>
          <w:p w:rsidR="00BD512F" w:rsidRPr="00A17B9D" w:rsidRDefault="00A17B9D" w:rsidP="00BD512F">
            <w:pPr>
              <w:pStyle w:val="Tabletext"/>
              <w:rPr>
                <w:rFonts w:cs="Arial"/>
                <w:highlight w:val="black"/>
              </w:rPr>
            </w:pPr>
            <w:r>
              <w:rPr>
                <w:noProof/>
                <w:color w:val="000000"/>
                <w:highlight w:val="black"/>
              </w:rPr>
              <w:t>'''''''''''' ''' ''''''''''''''''''' ''''''''''' '''''' '''''''''''''''' '''''''''''''</w:t>
            </w:r>
          </w:p>
        </w:tc>
        <w:tc>
          <w:tcPr>
            <w:tcW w:w="2551" w:type="dxa"/>
          </w:tcPr>
          <w:p w:rsidR="00BD512F" w:rsidRPr="00A17B9D" w:rsidRDefault="00A17B9D" w:rsidP="003D210A">
            <w:pPr>
              <w:pStyle w:val="Tabletext"/>
              <w:rPr>
                <w:rFonts w:cs="Arial"/>
                <w:highlight w:val="black"/>
              </w:rPr>
            </w:pPr>
            <w:r>
              <w:rPr>
                <w:rFonts w:cs="Arial"/>
                <w:noProof/>
                <w:color w:val="000000"/>
                <w:highlight w:val="black"/>
              </w:rPr>
              <w:t>'''''''''''''''' '''''''''''''''''' ''''''''''''''''''''''''''''' ''''''''''''''''' ''''''''''''''''''''''''' ''''''''' '''''''''''''''''''''''''''''' ''''''''''''''''' '''''''''''''''''''''' ''''''''''' ''''''''''''''''''''''''''''''''''' '''''''' '''''''' '''''''''''' ''''''''''' '''''' ''''''''''''''''''' '''''''''' ''''''' ''''''''''''' ''''''''' ''''''''''''''''''''''''''''''''''' '''''' ''''''''' ''''''''''''''''''''</w:t>
            </w:r>
          </w:p>
        </w:tc>
        <w:tc>
          <w:tcPr>
            <w:tcW w:w="1134" w:type="dxa"/>
          </w:tcPr>
          <w:p w:rsidR="00BD512F" w:rsidRPr="006316DF" w:rsidRDefault="00BD512F" w:rsidP="00BD512F">
            <w:pPr>
              <w:pStyle w:val="Tabletext"/>
              <w:rPr>
                <w:rFonts w:cs="Arial"/>
              </w:rPr>
            </w:pPr>
            <w:r>
              <w:rPr>
                <w:rFonts w:cs="Arial"/>
              </w:rPr>
              <w:t>Low</w:t>
            </w:r>
          </w:p>
          <w:p w:rsidR="00BD512F" w:rsidRPr="006316DF" w:rsidRDefault="00BD512F" w:rsidP="00BD512F">
            <w:pPr>
              <w:pStyle w:val="Tabletext"/>
              <w:rPr>
                <w:rFonts w:cs="Cambria Math"/>
                <w:bCs/>
              </w:rPr>
            </w:pPr>
            <w:r w:rsidRPr="006316DF">
              <w:rPr>
                <w:rFonts w:ascii="Cambria Math" w:hAnsi="Cambria Math" w:cs="Cambria Math"/>
                <w:bCs/>
                <w:color w:val="00B050"/>
              </w:rPr>
              <w:t>⨁⨁</w:t>
            </w:r>
            <w:r w:rsidRPr="00E564DD">
              <w:rPr>
                <w:rFonts w:ascii="Cambria Math" w:eastAsia="Times New Roman" w:hAnsi="Cambria Math" w:cs="Cambria Math"/>
                <w:bCs/>
                <w:color w:val="FF0000"/>
              </w:rPr>
              <w:t>⨀⨀</w:t>
            </w:r>
          </w:p>
          <w:p w:rsidR="00BD512F" w:rsidRPr="006316DF" w:rsidRDefault="00BD512F" w:rsidP="00BD512F">
            <w:pPr>
              <w:pStyle w:val="Tabletext"/>
              <w:rPr>
                <w:rFonts w:cs="Arial"/>
              </w:rPr>
            </w:pPr>
            <w:r w:rsidRPr="006316DF">
              <w:rPr>
                <w:rFonts w:cs="Cambria Math"/>
                <w:bCs/>
              </w:rPr>
              <w:t xml:space="preserve">Critical </w:t>
            </w:r>
          </w:p>
        </w:tc>
      </w:tr>
      <w:tr w:rsidR="00BD512F" w:rsidRPr="006316DF" w:rsidTr="00B14FF5">
        <w:tc>
          <w:tcPr>
            <w:tcW w:w="1560" w:type="dxa"/>
          </w:tcPr>
          <w:p w:rsidR="00BD512F" w:rsidRPr="00163A1F" w:rsidRDefault="00BD512F" w:rsidP="00BD512F">
            <w:pPr>
              <w:pStyle w:val="Tabletext"/>
              <w:rPr>
                <w:rFonts w:cs="Arial"/>
              </w:rPr>
            </w:pPr>
            <w:r w:rsidRPr="00163A1F">
              <w:rPr>
                <w:rFonts w:cs="Arial"/>
              </w:rPr>
              <w:lastRenderedPageBreak/>
              <w:t>All-cause mortality</w:t>
            </w:r>
          </w:p>
        </w:tc>
        <w:tc>
          <w:tcPr>
            <w:tcW w:w="1275" w:type="dxa"/>
          </w:tcPr>
          <w:p w:rsidR="00BD512F" w:rsidRPr="006316DF" w:rsidRDefault="00BD512F" w:rsidP="00BD512F">
            <w:pPr>
              <w:pStyle w:val="Tabletext"/>
              <w:rPr>
                <w:rFonts w:cs="Arial"/>
              </w:rPr>
            </w:pPr>
            <w:r w:rsidRPr="006316DF">
              <w:rPr>
                <w:rFonts w:cs="Arial"/>
              </w:rPr>
              <w:t>N=</w:t>
            </w:r>
            <w:r>
              <w:rPr>
                <w:rFonts w:cs="Arial"/>
              </w:rPr>
              <w:t>27</w:t>
            </w:r>
          </w:p>
          <w:p w:rsidR="00BD512F" w:rsidRPr="006316DF" w:rsidRDefault="00BD512F" w:rsidP="00BD512F">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D512F" w:rsidRPr="006316DF" w:rsidRDefault="00BD512F" w:rsidP="00BD512F">
            <w:pPr>
              <w:pStyle w:val="Tabletext"/>
              <w:rPr>
                <w:rFonts w:cs="Arial"/>
              </w:rPr>
            </w:pPr>
            <w:r>
              <w:rPr>
                <w:rFonts w:cs="Arial"/>
              </w:rPr>
              <w:t>Risk of bias: 0</w:t>
            </w:r>
          </w:p>
          <w:p w:rsidR="00BD512F" w:rsidRPr="006316DF" w:rsidRDefault="00BD512F" w:rsidP="00BD512F">
            <w:pPr>
              <w:pStyle w:val="Tabletext"/>
              <w:rPr>
                <w:rFonts w:cs="Arial"/>
              </w:rPr>
            </w:pPr>
            <w:r w:rsidRPr="006316DF">
              <w:rPr>
                <w:rFonts w:cs="Arial"/>
              </w:rPr>
              <w:t xml:space="preserve">Inconsistency: </w:t>
            </w:r>
            <w:r>
              <w:rPr>
                <w:rFonts w:cs="Arial"/>
              </w:rPr>
              <w:t>0</w:t>
            </w:r>
          </w:p>
          <w:p w:rsidR="00BD512F" w:rsidRPr="006316DF" w:rsidRDefault="00BD512F" w:rsidP="00BD512F">
            <w:pPr>
              <w:pStyle w:val="Tabletext"/>
              <w:rPr>
                <w:rFonts w:cs="Arial"/>
              </w:rPr>
            </w:pPr>
            <w:r w:rsidRPr="006316DF">
              <w:rPr>
                <w:rFonts w:cs="Arial"/>
              </w:rPr>
              <w:t>Indirectness: 0</w:t>
            </w:r>
          </w:p>
          <w:p w:rsidR="00BD512F" w:rsidRDefault="00BD512F" w:rsidP="00BD512F">
            <w:pPr>
              <w:pStyle w:val="Tabletext"/>
              <w:rPr>
                <w:rFonts w:cs="Arial"/>
              </w:rPr>
            </w:pPr>
            <w:r w:rsidRPr="006316DF">
              <w:rPr>
                <w:rFonts w:cs="Arial"/>
              </w:rPr>
              <w:t xml:space="preserve">Imprecision: </w:t>
            </w:r>
            <w:r>
              <w:rPr>
                <w:rFonts w:cs="Arial"/>
              </w:rPr>
              <w:t>−2</w:t>
            </w:r>
          </w:p>
          <w:p w:rsidR="00BD512F" w:rsidRDefault="00BD512F" w:rsidP="00BD512F">
            <w:pPr>
              <w:pStyle w:val="Tabletext"/>
              <w:rPr>
                <w:rFonts w:cs="Arial"/>
              </w:rPr>
            </w:pPr>
            <w:r w:rsidRPr="006316DF">
              <w:rPr>
                <w:rFonts w:cs="Arial"/>
              </w:rPr>
              <w:t>Publication bias: 0</w:t>
            </w:r>
          </w:p>
          <w:p w:rsidR="00BD512F" w:rsidRPr="006316DF" w:rsidRDefault="00BD512F" w:rsidP="00BD512F">
            <w:pPr>
              <w:pStyle w:val="Tabletext"/>
              <w:rPr>
                <w:rFonts w:cs="Arial"/>
              </w:rPr>
            </w:pPr>
            <w:r>
              <w:rPr>
                <w:rFonts w:cs="Arial"/>
              </w:rPr>
              <w:t>Association: 0</w:t>
            </w:r>
          </w:p>
        </w:tc>
        <w:tc>
          <w:tcPr>
            <w:tcW w:w="1413" w:type="dxa"/>
          </w:tcPr>
          <w:p w:rsidR="00BD512F" w:rsidRPr="00A17B9D" w:rsidRDefault="00A17B9D" w:rsidP="00BD512F">
            <w:pPr>
              <w:pStyle w:val="Tabletext"/>
              <w:rPr>
                <w:highlight w:val="black"/>
              </w:rPr>
            </w:pPr>
            <w:r>
              <w:rPr>
                <w:noProof/>
                <w:color w:val="000000"/>
                <w:highlight w:val="black"/>
              </w:rPr>
              <w:t>''''''''''' '''' '''''''''''''''''''' ''''''''''''' ''''' '''''''''''''' '''''''''''''</w:t>
            </w:r>
          </w:p>
        </w:tc>
        <w:tc>
          <w:tcPr>
            <w:tcW w:w="2551" w:type="dxa"/>
          </w:tcPr>
          <w:p w:rsidR="00BD512F" w:rsidRPr="00A17B9D" w:rsidRDefault="00A17B9D" w:rsidP="00BD512F">
            <w:pPr>
              <w:pStyle w:val="Tabletext"/>
              <w:rPr>
                <w:highlight w:val="black"/>
              </w:rPr>
            </w:pPr>
            <w:r>
              <w:rPr>
                <w:rFonts w:cs="Arial"/>
                <w:noProof/>
                <w:color w:val="000000"/>
                <w:highlight w:val="black"/>
              </w:rPr>
              <w:t>''''''''''''''' ''''''''''''''''' ''''''''''''''''''''''''''' ''''''''''''''''' ''''''''''''''''''''''''' '''''''''' ''''''''''''''''''''''''''''''' ''''''''''''''''''' '''''''''''''''''''''''' ''''''''''' '''''''''''''''''''''''''''''' '''''''' ''''''' '''''''''' '''''''''' '''''' '''''''''''''''''''' ''''''''' '''''''' ''''''''''''' ''''''''''' '''''''''''''''''''''''''''''''' ''''''' ''''''''' '''''''''''''''''''</w:t>
            </w:r>
          </w:p>
        </w:tc>
        <w:tc>
          <w:tcPr>
            <w:tcW w:w="1134" w:type="dxa"/>
          </w:tcPr>
          <w:p w:rsidR="00BD512F" w:rsidRPr="006316DF" w:rsidRDefault="00BD512F" w:rsidP="00BD512F">
            <w:pPr>
              <w:pStyle w:val="Tabletext"/>
              <w:rPr>
                <w:rFonts w:cs="Arial"/>
              </w:rPr>
            </w:pPr>
            <w:r>
              <w:rPr>
                <w:rFonts w:cs="Arial"/>
              </w:rPr>
              <w:t>Low</w:t>
            </w:r>
          </w:p>
          <w:p w:rsidR="00BD512F" w:rsidRPr="006316DF" w:rsidRDefault="00BD512F" w:rsidP="00BD512F">
            <w:pPr>
              <w:pStyle w:val="Tabletext"/>
              <w:rPr>
                <w:rFonts w:cs="Cambria Math"/>
                <w:bCs/>
              </w:rPr>
            </w:pPr>
            <w:r w:rsidRPr="006316DF">
              <w:rPr>
                <w:rFonts w:ascii="Cambria Math" w:hAnsi="Cambria Math" w:cs="Cambria Math"/>
                <w:bCs/>
                <w:color w:val="00B050"/>
              </w:rPr>
              <w:t>⨁⨁</w:t>
            </w:r>
            <w:r w:rsidRPr="00E564DD">
              <w:rPr>
                <w:rFonts w:ascii="Cambria Math" w:eastAsia="Times New Roman" w:hAnsi="Cambria Math" w:cs="Cambria Math"/>
                <w:bCs/>
                <w:color w:val="FF0000"/>
              </w:rPr>
              <w:t>⨀⨀</w:t>
            </w:r>
          </w:p>
          <w:p w:rsidR="00BD512F" w:rsidRPr="006316DF" w:rsidRDefault="00BD512F" w:rsidP="00BD512F">
            <w:pPr>
              <w:pStyle w:val="Tabletext"/>
              <w:rPr>
                <w:rFonts w:cs="Arial"/>
              </w:rPr>
            </w:pPr>
            <w:r w:rsidRPr="006316DF">
              <w:rPr>
                <w:rFonts w:cs="Arial"/>
              </w:rPr>
              <w:t>Critical</w:t>
            </w:r>
          </w:p>
        </w:tc>
      </w:tr>
      <w:tr w:rsidR="00BD512F" w:rsidRPr="006316DF" w:rsidTr="00B14FF5">
        <w:tc>
          <w:tcPr>
            <w:tcW w:w="1560" w:type="dxa"/>
          </w:tcPr>
          <w:p w:rsidR="00BD512F" w:rsidRPr="006316DF" w:rsidRDefault="00BD512F" w:rsidP="00BD512F">
            <w:pPr>
              <w:pStyle w:val="Tabletext"/>
              <w:rPr>
                <w:rFonts w:cs="Arial"/>
              </w:rPr>
            </w:pPr>
            <w:r>
              <w:rPr>
                <w:rFonts w:cs="Arial"/>
              </w:rPr>
              <w:t>Hospitalisation due to PAH</w:t>
            </w:r>
          </w:p>
        </w:tc>
        <w:tc>
          <w:tcPr>
            <w:tcW w:w="1275" w:type="dxa"/>
          </w:tcPr>
          <w:p w:rsidR="00BD512F" w:rsidRPr="006316DF" w:rsidRDefault="00BD512F" w:rsidP="00BD512F">
            <w:pPr>
              <w:pStyle w:val="Tabletext"/>
              <w:rPr>
                <w:rFonts w:cs="Arial"/>
              </w:rPr>
            </w:pPr>
            <w:r w:rsidRPr="006316DF">
              <w:rPr>
                <w:rFonts w:cs="Arial"/>
              </w:rPr>
              <w:t>N=</w:t>
            </w:r>
            <w:r>
              <w:rPr>
                <w:rFonts w:cs="Arial"/>
              </w:rPr>
              <w:t>27</w:t>
            </w:r>
          </w:p>
          <w:p w:rsidR="00BD512F" w:rsidRPr="006316DF" w:rsidRDefault="00BD512F" w:rsidP="00BD512F">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D512F" w:rsidRPr="006316DF" w:rsidRDefault="00BD512F" w:rsidP="00BD512F">
            <w:pPr>
              <w:pStyle w:val="Tabletext"/>
              <w:rPr>
                <w:rFonts w:cs="Arial"/>
              </w:rPr>
            </w:pPr>
            <w:r>
              <w:rPr>
                <w:rFonts w:cs="Arial"/>
              </w:rPr>
              <w:t>Risk of bias: 0</w:t>
            </w:r>
          </w:p>
          <w:p w:rsidR="00BD512F" w:rsidRPr="006316DF" w:rsidRDefault="00BD512F" w:rsidP="00BD512F">
            <w:pPr>
              <w:pStyle w:val="Tabletext"/>
              <w:rPr>
                <w:rFonts w:cs="Arial"/>
              </w:rPr>
            </w:pPr>
            <w:r w:rsidRPr="006316DF">
              <w:rPr>
                <w:rFonts w:cs="Arial"/>
              </w:rPr>
              <w:t xml:space="preserve">Inconsistency: </w:t>
            </w:r>
            <w:r>
              <w:rPr>
                <w:rFonts w:cs="Arial"/>
              </w:rPr>
              <w:t>0</w:t>
            </w:r>
          </w:p>
          <w:p w:rsidR="00BD512F" w:rsidRPr="006316DF" w:rsidRDefault="00BD512F" w:rsidP="00BD512F">
            <w:pPr>
              <w:pStyle w:val="Tabletext"/>
              <w:rPr>
                <w:rFonts w:cs="Arial"/>
              </w:rPr>
            </w:pPr>
            <w:r w:rsidRPr="006316DF">
              <w:rPr>
                <w:rFonts w:cs="Arial"/>
              </w:rPr>
              <w:t>Indirectness: 0</w:t>
            </w:r>
          </w:p>
          <w:p w:rsidR="00BD512F" w:rsidRDefault="00BD512F" w:rsidP="00BD512F">
            <w:pPr>
              <w:pStyle w:val="Tabletext"/>
              <w:rPr>
                <w:rFonts w:cs="Arial"/>
              </w:rPr>
            </w:pPr>
            <w:r w:rsidRPr="006316DF">
              <w:rPr>
                <w:rFonts w:cs="Arial"/>
              </w:rPr>
              <w:t xml:space="preserve">Imprecision: </w:t>
            </w:r>
            <w:r>
              <w:rPr>
                <w:rFonts w:cs="Arial"/>
              </w:rPr>
              <w:t>−2</w:t>
            </w:r>
          </w:p>
          <w:p w:rsidR="00BD512F" w:rsidRDefault="00BD512F" w:rsidP="00BD512F">
            <w:pPr>
              <w:pStyle w:val="Tabletext"/>
              <w:rPr>
                <w:rFonts w:cs="Arial"/>
              </w:rPr>
            </w:pPr>
            <w:r w:rsidRPr="006316DF">
              <w:rPr>
                <w:rFonts w:cs="Arial"/>
              </w:rPr>
              <w:t>Publication bias: 0</w:t>
            </w:r>
          </w:p>
          <w:p w:rsidR="00BD512F" w:rsidRPr="006316DF" w:rsidRDefault="00BD512F" w:rsidP="00BD512F">
            <w:pPr>
              <w:pStyle w:val="Tabletext"/>
              <w:rPr>
                <w:rFonts w:cs="Arial"/>
              </w:rPr>
            </w:pPr>
            <w:r>
              <w:rPr>
                <w:rFonts w:cs="Arial"/>
              </w:rPr>
              <w:t>Association: 0</w:t>
            </w:r>
          </w:p>
        </w:tc>
        <w:tc>
          <w:tcPr>
            <w:tcW w:w="1413" w:type="dxa"/>
          </w:tcPr>
          <w:p w:rsidR="00BD512F" w:rsidRPr="00A17B9D" w:rsidRDefault="00A17B9D" w:rsidP="00BD512F">
            <w:pPr>
              <w:pStyle w:val="Tabletext"/>
              <w:rPr>
                <w:highlight w:val="black"/>
              </w:rPr>
            </w:pPr>
            <w:r>
              <w:rPr>
                <w:noProof/>
                <w:color w:val="000000"/>
                <w:highlight w:val="black"/>
              </w:rPr>
              <w:t>'''''''' ''''''''''''''''''''''</w:t>
            </w:r>
          </w:p>
        </w:tc>
        <w:tc>
          <w:tcPr>
            <w:tcW w:w="2551" w:type="dxa"/>
          </w:tcPr>
          <w:p w:rsidR="00BD512F" w:rsidRPr="00A17B9D" w:rsidRDefault="00A17B9D" w:rsidP="00BD512F">
            <w:pPr>
              <w:pStyle w:val="Tabletext"/>
              <w:rPr>
                <w:highlight w:val="black"/>
              </w:rPr>
            </w:pPr>
            <w:r>
              <w:rPr>
                <w:rFonts w:cs="Arial"/>
                <w:noProof/>
                <w:color w:val="000000"/>
                <w:highlight w:val="black"/>
              </w:rPr>
              <w:t>''''''' ''''''''''''''''' ''''''''''''' ''''''''''''''''''''''''''''' ''''''''''''''' '''''''' ''''''''''''' ''''''''''''''''</w:t>
            </w:r>
          </w:p>
        </w:tc>
        <w:tc>
          <w:tcPr>
            <w:tcW w:w="1134" w:type="dxa"/>
          </w:tcPr>
          <w:p w:rsidR="00BD512F" w:rsidRPr="006316DF" w:rsidRDefault="00BD512F" w:rsidP="00BD512F">
            <w:pPr>
              <w:pStyle w:val="Tabletext"/>
              <w:rPr>
                <w:rFonts w:cs="Arial"/>
              </w:rPr>
            </w:pPr>
            <w:r>
              <w:rPr>
                <w:rFonts w:cs="Arial"/>
              </w:rPr>
              <w:t>Low</w:t>
            </w:r>
          </w:p>
          <w:p w:rsidR="00BD512F" w:rsidRPr="006316DF" w:rsidRDefault="00BD512F" w:rsidP="00BD512F">
            <w:pPr>
              <w:pStyle w:val="Tabletext"/>
              <w:rPr>
                <w:rFonts w:cs="Cambria Math"/>
                <w:bCs/>
              </w:rPr>
            </w:pPr>
            <w:r w:rsidRPr="006316DF">
              <w:rPr>
                <w:rFonts w:ascii="Cambria Math" w:hAnsi="Cambria Math" w:cs="Cambria Math"/>
                <w:bCs/>
                <w:color w:val="00B050"/>
              </w:rPr>
              <w:t>⨁⨁</w:t>
            </w:r>
            <w:r w:rsidRPr="00E564DD">
              <w:rPr>
                <w:rFonts w:ascii="Cambria Math" w:eastAsia="Times New Roman" w:hAnsi="Cambria Math" w:cs="Cambria Math"/>
                <w:bCs/>
                <w:color w:val="FF0000"/>
              </w:rPr>
              <w:t>⨀⨀</w:t>
            </w:r>
          </w:p>
          <w:p w:rsidR="00BD512F" w:rsidRPr="006316DF" w:rsidRDefault="00BD512F" w:rsidP="00BD512F">
            <w:pPr>
              <w:pStyle w:val="Tabletext"/>
              <w:rPr>
                <w:rFonts w:cs="Arial"/>
              </w:rPr>
            </w:pPr>
            <w:r w:rsidRPr="002332A9">
              <w:rPr>
                <w:rFonts w:cs="Arial"/>
              </w:rPr>
              <w:t>Critical</w:t>
            </w:r>
          </w:p>
        </w:tc>
      </w:tr>
      <w:tr w:rsidR="00BD512F" w:rsidRPr="006316DF" w:rsidTr="00B14FF5">
        <w:tc>
          <w:tcPr>
            <w:tcW w:w="1560" w:type="dxa"/>
          </w:tcPr>
          <w:p w:rsidR="00BD512F" w:rsidRPr="006316DF" w:rsidRDefault="00BD512F" w:rsidP="00BD512F">
            <w:pPr>
              <w:pStyle w:val="Tabletext"/>
              <w:rPr>
                <w:rFonts w:cs="Arial"/>
              </w:rPr>
            </w:pPr>
            <w:r w:rsidRPr="006316DF">
              <w:rPr>
                <w:rFonts w:cs="Arial"/>
              </w:rPr>
              <w:t>Improved WHO FC</w:t>
            </w:r>
          </w:p>
        </w:tc>
        <w:tc>
          <w:tcPr>
            <w:tcW w:w="1275" w:type="dxa"/>
          </w:tcPr>
          <w:p w:rsidR="00BD512F" w:rsidRPr="006316DF" w:rsidRDefault="00BD512F" w:rsidP="00BD512F">
            <w:pPr>
              <w:pStyle w:val="Tabletext"/>
              <w:rPr>
                <w:rFonts w:cs="Arial"/>
              </w:rPr>
            </w:pPr>
            <w:r w:rsidRPr="006316DF">
              <w:rPr>
                <w:rFonts w:cs="Arial"/>
              </w:rPr>
              <w:t>N=</w:t>
            </w:r>
            <w:r>
              <w:rPr>
                <w:rFonts w:cs="Arial"/>
              </w:rPr>
              <w:t>27</w:t>
            </w:r>
          </w:p>
          <w:p w:rsidR="00BD512F" w:rsidRPr="006316DF" w:rsidRDefault="00BD512F" w:rsidP="00BD512F">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D512F" w:rsidRPr="006316DF" w:rsidRDefault="00BD512F" w:rsidP="00BD512F">
            <w:pPr>
              <w:pStyle w:val="Tabletext"/>
              <w:rPr>
                <w:rFonts w:cs="Arial"/>
              </w:rPr>
            </w:pPr>
            <w:r>
              <w:rPr>
                <w:rFonts w:cs="Arial"/>
              </w:rPr>
              <w:t>Risk of bias: 0</w:t>
            </w:r>
          </w:p>
          <w:p w:rsidR="00BD512F" w:rsidRPr="006316DF" w:rsidRDefault="00BD512F" w:rsidP="00BD512F">
            <w:pPr>
              <w:pStyle w:val="Tabletext"/>
              <w:rPr>
                <w:rFonts w:cs="Arial"/>
              </w:rPr>
            </w:pPr>
            <w:r w:rsidRPr="006316DF">
              <w:rPr>
                <w:rFonts w:cs="Arial"/>
              </w:rPr>
              <w:t>Inconsistency: 0</w:t>
            </w:r>
          </w:p>
          <w:p w:rsidR="00BD512F" w:rsidRPr="006316DF" w:rsidRDefault="00BD512F" w:rsidP="00BD512F">
            <w:pPr>
              <w:pStyle w:val="Tabletext"/>
              <w:rPr>
                <w:rFonts w:cs="Arial"/>
              </w:rPr>
            </w:pPr>
            <w:r w:rsidRPr="006316DF">
              <w:rPr>
                <w:rFonts w:cs="Arial"/>
              </w:rPr>
              <w:t>Indirectness: 0</w:t>
            </w:r>
          </w:p>
          <w:p w:rsidR="00BD512F" w:rsidRDefault="00BD512F" w:rsidP="00BD512F">
            <w:pPr>
              <w:pStyle w:val="Tabletext"/>
              <w:rPr>
                <w:rFonts w:cs="Arial"/>
              </w:rPr>
            </w:pPr>
            <w:r>
              <w:rPr>
                <w:rFonts w:cs="Arial"/>
              </w:rPr>
              <w:t>Imprecision: −2</w:t>
            </w:r>
          </w:p>
          <w:p w:rsidR="00BD512F" w:rsidRDefault="00BD512F" w:rsidP="00BD512F">
            <w:pPr>
              <w:pStyle w:val="Tabletext"/>
              <w:rPr>
                <w:rFonts w:cs="Arial"/>
              </w:rPr>
            </w:pPr>
            <w:r w:rsidRPr="006316DF">
              <w:rPr>
                <w:rFonts w:cs="Arial"/>
              </w:rPr>
              <w:t>Publication bias: 0</w:t>
            </w:r>
          </w:p>
          <w:p w:rsidR="00BD512F" w:rsidRPr="006316DF" w:rsidRDefault="00BD512F" w:rsidP="00BD512F">
            <w:pPr>
              <w:pStyle w:val="Tabletext"/>
              <w:rPr>
                <w:rFonts w:cs="Arial"/>
              </w:rPr>
            </w:pPr>
            <w:r>
              <w:rPr>
                <w:rFonts w:cs="Arial"/>
              </w:rPr>
              <w:t>Association: 0</w:t>
            </w:r>
          </w:p>
        </w:tc>
        <w:tc>
          <w:tcPr>
            <w:tcW w:w="1413" w:type="dxa"/>
          </w:tcPr>
          <w:p w:rsidR="00BD512F" w:rsidRPr="00A17B9D" w:rsidRDefault="00A17B9D" w:rsidP="00BD512F">
            <w:pPr>
              <w:pStyle w:val="Tabletext"/>
              <w:rPr>
                <w:highlight w:val="black"/>
              </w:rPr>
            </w:pPr>
            <w:r>
              <w:rPr>
                <w:noProof/>
                <w:color w:val="000000"/>
                <w:highlight w:val="black"/>
              </w:rPr>
              <w:t>''''''''' ''' ''''''''''' '''''''''''' '''''' ''''''''''' ''''''''''''''''</w:t>
            </w:r>
          </w:p>
        </w:tc>
        <w:tc>
          <w:tcPr>
            <w:tcW w:w="2551" w:type="dxa"/>
          </w:tcPr>
          <w:p w:rsidR="00BD512F" w:rsidRPr="00A17B9D" w:rsidRDefault="00A17B9D" w:rsidP="00BD512F">
            <w:pPr>
              <w:pStyle w:val="Tabletext"/>
              <w:rPr>
                <w:rFonts w:cs="Arial"/>
                <w:highlight w:val="black"/>
              </w:rPr>
            </w:pPr>
            <w:r>
              <w:rPr>
                <w:rFonts w:cs="Arial"/>
                <w:noProof/>
                <w:color w:val="000000"/>
                <w:highlight w:val="black"/>
              </w:rPr>
              <w:t>'''''''''''' '''''''''''''''''' '''''' '''''''''''''''''''''''''''''' ''''''''''''''''''' '''''''''''''''''''''''' ''''''''''' ''''''''''''' '''''''' '''''''''''''''''''''''''' '''''''''' '''''''''''''''''''''''''''''''' '''''''' ''''''' '''''''''''' ''''''''''' ''''' '''''''''''''''''''''' ''''''''' '''''''' ''''''''''''' ''''''''' ''''''''''''''''''''''''''''''''' '''''' '''''''' ''''''''''''''''''''''</w:t>
            </w:r>
          </w:p>
        </w:tc>
        <w:tc>
          <w:tcPr>
            <w:tcW w:w="1134" w:type="dxa"/>
          </w:tcPr>
          <w:p w:rsidR="00BD512F" w:rsidRDefault="00BD512F" w:rsidP="00BD512F">
            <w:pPr>
              <w:pStyle w:val="Tabletext"/>
              <w:rPr>
                <w:rFonts w:eastAsia="Times New Roman" w:cs="Tahoma"/>
                <w:bCs/>
              </w:rPr>
            </w:pPr>
            <w:r>
              <w:rPr>
                <w:rFonts w:eastAsia="Times New Roman" w:cs="Tahoma"/>
                <w:bCs/>
              </w:rPr>
              <w:t>Very low</w:t>
            </w:r>
          </w:p>
          <w:p w:rsidR="00BD512F" w:rsidRDefault="00BD512F" w:rsidP="00BD512F">
            <w:pPr>
              <w:pStyle w:val="Tabletext"/>
              <w:rPr>
                <w:rFonts w:ascii="Cambria Math" w:eastAsia="Times New Roman" w:hAnsi="Cambria Math" w:cs="Cambria Math"/>
                <w:bCs/>
              </w:rPr>
            </w:pPr>
            <w:r>
              <w:rPr>
                <w:rFonts w:ascii="Cambria Math" w:eastAsia="Times New Roman" w:hAnsi="Cambria Math" w:cs="Cambria Math"/>
                <w:bCs/>
                <w:color w:val="00B050"/>
              </w:rPr>
              <w:t>⨁</w:t>
            </w:r>
            <w:r w:rsidRPr="00163A1F">
              <w:rPr>
                <w:rFonts w:ascii="Cambria Math" w:hAnsi="Cambria Math" w:cs="Cambria Math"/>
                <w:bCs/>
                <w:color w:val="00B050"/>
              </w:rPr>
              <w:t>⨁</w:t>
            </w:r>
            <w:r>
              <w:rPr>
                <w:rFonts w:ascii="Cambria Math" w:eastAsia="Times New Roman" w:hAnsi="Cambria Math" w:cs="Cambria Math"/>
                <w:bCs/>
                <w:color w:val="FF0000"/>
              </w:rPr>
              <w:t>⨀</w:t>
            </w:r>
            <w:r w:rsidRPr="00E564DD">
              <w:rPr>
                <w:rFonts w:ascii="Cambria Math" w:eastAsia="Times New Roman" w:hAnsi="Cambria Math" w:cs="Cambria Math"/>
                <w:bCs/>
                <w:color w:val="FF0000"/>
              </w:rPr>
              <w:t>⨀</w:t>
            </w:r>
          </w:p>
          <w:p w:rsidR="00BD512F" w:rsidRPr="006316DF" w:rsidRDefault="00BD512F" w:rsidP="00BD512F">
            <w:pPr>
              <w:pStyle w:val="Tabletext"/>
              <w:rPr>
                <w:rFonts w:cs="Arial"/>
              </w:rPr>
            </w:pPr>
            <w:r w:rsidRPr="006316DF">
              <w:rPr>
                <w:rFonts w:cs="Arial"/>
              </w:rPr>
              <w:t>Important</w:t>
            </w:r>
          </w:p>
        </w:tc>
      </w:tr>
      <w:tr w:rsidR="00BD512F" w:rsidRPr="006316DF" w:rsidTr="00B14FF5">
        <w:tc>
          <w:tcPr>
            <w:tcW w:w="1560" w:type="dxa"/>
          </w:tcPr>
          <w:p w:rsidR="00BD512F" w:rsidRPr="00163A1F" w:rsidRDefault="00BD512F" w:rsidP="00BD512F">
            <w:pPr>
              <w:pStyle w:val="Tabletext"/>
              <w:rPr>
                <w:rFonts w:cs="Arial"/>
              </w:rPr>
            </w:pPr>
            <w:r w:rsidRPr="00163A1F">
              <w:rPr>
                <w:rFonts w:cs="Arial"/>
              </w:rPr>
              <w:t>Worsened WHO FC</w:t>
            </w:r>
          </w:p>
        </w:tc>
        <w:tc>
          <w:tcPr>
            <w:tcW w:w="1275" w:type="dxa"/>
          </w:tcPr>
          <w:p w:rsidR="00BD512F" w:rsidRPr="006316DF" w:rsidRDefault="00BD512F" w:rsidP="00BD512F">
            <w:pPr>
              <w:pStyle w:val="Tabletext"/>
              <w:rPr>
                <w:rFonts w:cs="Arial"/>
              </w:rPr>
            </w:pPr>
            <w:r w:rsidRPr="006316DF">
              <w:rPr>
                <w:rFonts w:cs="Arial"/>
              </w:rPr>
              <w:t>N=</w:t>
            </w:r>
            <w:r>
              <w:rPr>
                <w:rFonts w:cs="Arial"/>
              </w:rPr>
              <w:t>27</w:t>
            </w:r>
          </w:p>
          <w:p w:rsidR="00BD512F" w:rsidRPr="006316DF" w:rsidRDefault="00BD512F" w:rsidP="00BD512F">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D512F" w:rsidRPr="006316DF" w:rsidRDefault="00BD512F" w:rsidP="00BD512F">
            <w:pPr>
              <w:pStyle w:val="Tabletext"/>
              <w:rPr>
                <w:rFonts w:cs="Arial"/>
              </w:rPr>
            </w:pPr>
            <w:r>
              <w:rPr>
                <w:rFonts w:cs="Arial"/>
              </w:rPr>
              <w:t>Risk of bias: 0</w:t>
            </w:r>
          </w:p>
          <w:p w:rsidR="00BD512F" w:rsidRPr="006316DF" w:rsidRDefault="00BD512F" w:rsidP="00BD512F">
            <w:pPr>
              <w:pStyle w:val="Tabletext"/>
              <w:rPr>
                <w:rFonts w:cs="Arial"/>
              </w:rPr>
            </w:pPr>
            <w:r w:rsidRPr="006316DF">
              <w:rPr>
                <w:rFonts w:cs="Arial"/>
              </w:rPr>
              <w:t>Inconsistency: 0</w:t>
            </w:r>
          </w:p>
          <w:p w:rsidR="00BD512F" w:rsidRPr="006316DF" w:rsidRDefault="00BD512F" w:rsidP="00BD512F">
            <w:pPr>
              <w:pStyle w:val="Tabletext"/>
              <w:rPr>
                <w:rFonts w:cs="Arial"/>
              </w:rPr>
            </w:pPr>
            <w:r w:rsidRPr="006316DF">
              <w:rPr>
                <w:rFonts w:cs="Arial"/>
              </w:rPr>
              <w:t>Indirectness: 0</w:t>
            </w:r>
          </w:p>
          <w:p w:rsidR="00BD512F" w:rsidRDefault="00BD512F" w:rsidP="00BD512F">
            <w:pPr>
              <w:pStyle w:val="Tabletext"/>
              <w:rPr>
                <w:rFonts w:cs="Arial"/>
              </w:rPr>
            </w:pPr>
            <w:r w:rsidRPr="006316DF">
              <w:rPr>
                <w:rFonts w:cs="Arial"/>
              </w:rPr>
              <w:t xml:space="preserve">Imprecision: </w:t>
            </w:r>
            <w:r>
              <w:rPr>
                <w:rFonts w:cs="Arial"/>
              </w:rPr>
              <w:t>−2</w:t>
            </w:r>
          </w:p>
          <w:p w:rsidR="00BD512F" w:rsidRDefault="00BD512F" w:rsidP="00BD512F">
            <w:pPr>
              <w:pStyle w:val="Tabletext"/>
              <w:rPr>
                <w:rFonts w:cs="Arial"/>
              </w:rPr>
            </w:pPr>
            <w:r w:rsidRPr="006316DF">
              <w:rPr>
                <w:rFonts w:cs="Arial"/>
              </w:rPr>
              <w:t>Publication bias: 0</w:t>
            </w:r>
          </w:p>
          <w:p w:rsidR="00BD512F" w:rsidRPr="006316DF" w:rsidRDefault="00BD512F" w:rsidP="00BD512F">
            <w:pPr>
              <w:pStyle w:val="Tabletext"/>
              <w:rPr>
                <w:rFonts w:cs="Arial"/>
              </w:rPr>
            </w:pPr>
            <w:r>
              <w:rPr>
                <w:rFonts w:cs="Arial"/>
              </w:rPr>
              <w:t>Association: 0</w:t>
            </w:r>
          </w:p>
        </w:tc>
        <w:tc>
          <w:tcPr>
            <w:tcW w:w="1413" w:type="dxa"/>
          </w:tcPr>
          <w:p w:rsidR="00BD512F" w:rsidRPr="00A17B9D" w:rsidRDefault="00A17B9D" w:rsidP="00BD512F">
            <w:pPr>
              <w:pStyle w:val="Tabletext"/>
              <w:rPr>
                <w:highlight w:val="black"/>
              </w:rPr>
            </w:pPr>
            <w:r>
              <w:rPr>
                <w:noProof/>
                <w:color w:val="000000"/>
                <w:highlight w:val="black"/>
              </w:rPr>
              <w:t>''''''''''''' '''' ''''''''''''''''' '''''''''''' '''''' '''''''''''''''' '''''''''''''</w:t>
            </w:r>
          </w:p>
        </w:tc>
        <w:tc>
          <w:tcPr>
            <w:tcW w:w="2551" w:type="dxa"/>
          </w:tcPr>
          <w:p w:rsidR="00BD512F" w:rsidRPr="00A17B9D" w:rsidRDefault="00A17B9D" w:rsidP="003D210A">
            <w:pPr>
              <w:pStyle w:val="Tabletext"/>
              <w:rPr>
                <w:rFonts w:cs="Arial"/>
                <w:highlight w:val="black"/>
              </w:rPr>
            </w:pPr>
            <w:r>
              <w:rPr>
                <w:rFonts w:cs="Arial"/>
                <w:noProof/>
                <w:color w:val="000000"/>
                <w:highlight w:val="black"/>
              </w:rPr>
              <w:t>'''''''''''''' ''''''''''''''''' '''''''''''''''''''''''''' ''''''''''''''''' ''''''''''''''''''''''''' ''''''''' '''''''''''''''''''''''''''''' ''''''''''''''''''' ''''''''''''''''''''' ''''''''' ''''''''''''''''''''''''''''' '''''''' ''''''' ''''''''''' ''''''''''' '''''' '''''''''''''''''''' ''''''''' '''''''' '''''''''''''' ''''''''' ''''''''''''''''''''''''''''''''''' ''''''' ''''''''' '''''''''''''''''''</w:t>
            </w:r>
          </w:p>
        </w:tc>
        <w:tc>
          <w:tcPr>
            <w:tcW w:w="1134" w:type="dxa"/>
          </w:tcPr>
          <w:p w:rsidR="00BD512F" w:rsidRPr="006316DF" w:rsidRDefault="00BD512F" w:rsidP="00BD512F">
            <w:pPr>
              <w:pStyle w:val="Tabletext"/>
              <w:rPr>
                <w:rFonts w:cs="Arial"/>
              </w:rPr>
            </w:pPr>
            <w:r>
              <w:rPr>
                <w:rFonts w:cs="Arial"/>
              </w:rPr>
              <w:t>Low</w:t>
            </w:r>
          </w:p>
          <w:p w:rsidR="00BD512F" w:rsidRPr="006316DF" w:rsidRDefault="00BD512F" w:rsidP="00BD512F">
            <w:pPr>
              <w:pStyle w:val="Tabletext"/>
              <w:rPr>
                <w:rFonts w:cs="Cambria Math"/>
                <w:bCs/>
              </w:rPr>
            </w:pPr>
            <w:r w:rsidRPr="006316DF">
              <w:rPr>
                <w:rFonts w:ascii="Cambria Math" w:hAnsi="Cambria Math" w:cs="Cambria Math"/>
                <w:bCs/>
                <w:color w:val="00B050"/>
              </w:rPr>
              <w:t>⨁⨁</w:t>
            </w:r>
            <w:r w:rsidRPr="00E564DD">
              <w:rPr>
                <w:rFonts w:ascii="Cambria Math" w:eastAsia="Times New Roman" w:hAnsi="Cambria Math" w:cs="Cambria Math"/>
                <w:bCs/>
                <w:color w:val="FF0000"/>
              </w:rPr>
              <w:t>⨀⨀</w:t>
            </w:r>
          </w:p>
          <w:p w:rsidR="00BD512F" w:rsidRPr="006316DF" w:rsidRDefault="00BD512F" w:rsidP="00BD512F">
            <w:pPr>
              <w:pStyle w:val="Tabletext"/>
              <w:rPr>
                <w:rFonts w:cs="Arial"/>
              </w:rPr>
            </w:pPr>
            <w:r w:rsidRPr="006316DF">
              <w:rPr>
                <w:rFonts w:cs="Arial"/>
              </w:rPr>
              <w:t>Important</w:t>
            </w:r>
          </w:p>
        </w:tc>
      </w:tr>
      <w:tr w:rsidR="00BD512F" w:rsidRPr="006316DF" w:rsidTr="001B552D">
        <w:tc>
          <w:tcPr>
            <w:tcW w:w="1560" w:type="dxa"/>
          </w:tcPr>
          <w:p w:rsidR="00BD512F" w:rsidRPr="006316DF" w:rsidRDefault="00BD512F" w:rsidP="00BD512F">
            <w:pPr>
              <w:pStyle w:val="Tabletext"/>
              <w:rPr>
                <w:rFonts w:cs="Arial"/>
              </w:rPr>
            </w:pPr>
            <w:r w:rsidRPr="006316DF">
              <w:rPr>
                <w:rFonts w:cs="Arial"/>
              </w:rPr>
              <w:t>Change in 6MWD</w:t>
            </w:r>
            <w:r>
              <w:rPr>
                <w:rFonts w:cs="Arial"/>
              </w:rPr>
              <w:t xml:space="preserve"> from baseline</w:t>
            </w:r>
          </w:p>
        </w:tc>
        <w:tc>
          <w:tcPr>
            <w:tcW w:w="1275" w:type="dxa"/>
          </w:tcPr>
          <w:p w:rsidR="00BD512F" w:rsidRPr="006316DF" w:rsidRDefault="00BD512F" w:rsidP="00BD512F">
            <w:pPr>
              <w:pStyle w:val="Tabletext"/>
              <w:rPr>
                <w:rFonts w:cs="Arial"/>
              </w:rPr>
            </w:pPr>
            <w:r w:rsidRPr="006316DF">
              <w:rPr>
                <w:rFonts w:cs="Arial"/>
              </w:rPr>
              <w:t>N=</w:t>
            </w:r>
            <w:r>
              <w:rPr>
                <w:rFonts w:cs="Arial"/>
              </w:rPr>
              <w:t>27</w:t>
            </w:r>
          </w:p>
          <w:p w:rsidR="00BD512F" w:rsidRPr="006316DF" w:rsidRDefault="00BD512F" w:rsidP="00BD512F">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D512F" w:rsidRPr="006316DF" w:rsidRDefault="00BD512F" w:rsidP="00BD512F">
            <w:pPr>
              <w:pStyle w:val="Tabletext"/>
              <w:rPr>
                <w:rFonts w:cs="Arial"/>
              </w:rPr>
            </w:pPr>
            <w:r>
              <w:rPr>
                <w:rFonts w:cs="Arial"/>
              </w:rPr>
              <w:t>Risk of bias: 0</w:t>
            </w:r>
          </w:p>
          <w:p w:rsidR="00BD512F" w:rsidRPr="006316DF" w:rsidRDefault="00BD512F" w:rsidP="00BD512F">
            <w:pPr>
              <w:pStyle w:val="Tabletext"/>
              <w:rPr>
                <w:rFonts w:cs="Arial"/>
              </w:rPr>
            </w:pPr>
            <w:r w:rsidRPr="006316DF">
              <w:rPr>
                <w:rFonts w:cs="Arial"/>
              </w:rPr>
              <w:t>Inconsistency: 0</w:t>
            </w:r>
          </w:p>
          <w:p w:rsidR="00BD512F" w:rsidRPr="006316DF" w:rsidRDefault="00BD512F" w:rsidP="00BD512F">
            <w:pPr>
              <w:pStyle w:val="Tabletext"/>
              <w:rPr>
                <w:rFonts w:cs="Arial"/>
              </w:rPr>
            </w:pPr>
            <w:r w:rsidRPr="006316DF">
              <w:rPr>
                <w:rFonts w:cs="Arial"/>
              </w:rPr>
              <w:t xml:space="preserve">Indirectness: </w:t>
            </w:r>
            <w:r>
              <w:rPr>
                <w:rFonts w:cs="Arial"/>
              </w:rPr>
              <w:t>−1</w:t>
            </w:r>
          </w:p>
          <w:p w:rsidR="00BD512F" w:rsidRDefault="00BD512F" w:rsidP="00BD512F">
            <w:pPr>
              <w:pStyle w:val="Tabletext"/>
              <w:rPr>
                <w:rFonts w:cs="Arial"/>
              </w:rPr>
            </w:pPr>
            <w:r w:rsidRPr="006316DF">
              <w:rPr>
                <w:rFonts w:cs="Arial"/>
              </w:rPr>
              <w:t xml:space="preserve">Imprecision: </w:t>
            </w:r>
            <w:r>
              <w:rPr>
                <w:rFonts w:cs="Arial"/>
              </w:rPr>
              <w:t>−2</w:t>
            </w:r>
          </w:p>
          <w:p w:rsidR="00BD512F" w:rsidRDefault="00BD512F" w:rsidP="00BD512F">
            <w:pPr>
              <w:pStyle w:val="Tabletext"/>
              <w:rPr>
                <w:rFonts w:cs="Arial"/>
              </w:rPr>
            </w:pPr>
            <w:r w:rsidRPr="006316DF">
              <w:rPr>
                <w:rFonts w:cs="Arial"/>
              </w:rPr>
              <w:t>Publication bias: 0</w:t>
            </w:r>
          </w:p>
          <w:p w:rsidR="00BD512F" w:rsidRPr="006316DF" w:rsidRDefault="00BD512F" w:rsidP="00BD512F">
            <w:pPr>
              <w:pStyle w:val="Tabletext"/>
              <w:rPr>
                <w:rFonts w:cs="Arial"/>
              </w:rPr>
            </w:pPr>
            <w:r>
              <w:rPr>
                <w:rFonts w:cs="Arial"/>
              </w:rPr>
              <w:t>Association: +1</w:t>
            </w:r>
          </w:p>
        </w:tc>
        <w:tc>
          <w:tcPr>
            <w:tcW w:w="1413" w:type="dxa"/>
          </w:tcPr>
          <w:p w:rsidR="00BD512F" w:rsidRPr="00A17B9D" w:rsidRDefault="00A17B9D" w:rsidP="00BD512F">
            <w:pPr>
              <w:pStyle w:val="Tabletext"/>
              <w:rPr>
                <w:highlight w:val="black"/>
              </w:rPr>
            </w:pPr>
            <w:r>
              <w:rPr>
                <w:noProof/>
                <w:color w:val="000000"/>
                <w:highlight w:val="black"/>
              </w:rPr>
              <w:t>''''''''' ''' '''''''''''' ''''' '''''''''''''''</w:t>
            </w:r>
            <w:r>
              <w:rPr>
                <w:noProof/>
                <w:color w:val="000000"/>
                <w:highlight w:val="black"/>
              </w:rPr>
              <w:br/>
              <w:t>'''''''''''''' '''''' '''''''' ''''''''''''''''</w:t>
            </w:r>
          </w:p>
        </w:tc>
        <w:tc>
          <w:tcPr>
            <w:tcW w:w="2551" w:type="dxa"/>
          </w:tcPr>
          <w:p w:rsidR="00BD512F" w:rsidRPr="00A17B9D" w:rsidRDefault="00A17B9D" w:rsidP="00B3296A">
            <w:pPr>
              <w:pStyle w:val="Tabletext"/>
              <w:rPr>
                <w:rFonts w:cs="Arial"/>
                <w:highlight w:val="black"/>
              </w:rPr>
            </w:pPr>
            <w:r>
              <w:rPr>
                <w:rFonts w:cs="Arial"/>
                <w:noProof/>
                <w:color w:val="000000"/>
                <w:highlight w:val="black"/>
              </w:rPr>
              <w:t>'''''''''''''''''' '''''' '''''''''''''''''''''''''' ''''''''''''''''''' ''''''''' '''' '''''''''''' ''''''''''''''''''' '''''''''''''''''''' ''''''''''''''' '''''''''''''''''''''''''''' ''''' ''''''''''' ''''''''''''''' '''''''''' '''''''''''''' '''''' '''''''''''''''''''''''''''''''</w:t>
            </w:r>
          </w:p>
        </w:tc>
        <w:tc>
          <w:tcPr>
            <w:tcW w:w="1134" w:type="dxa"/>
          </w:tcPr>
          <w:p w:rsidR="00BD512F" w:rsidRPr="006316DF" w:rsidRDefault="00BD512F" w:rsidP="00BD512F">
            <w:pPr>
              <w:pStyle w:val="Tabletext"/>
              <w:rPr>
                <w:rFonts w:cs="Arial"/>
              </w:rPr>
            </w:pPr>
            <w:r>
              <w:rPr>
                <w:rFonts w:cs="Arial"/>
              </w:rPr>
              <w:t>Low</w:t>
            </w:r>
          </w:p>
          <w:p w:rsidR="00BD512F" w:rsidRPr="006316DF" w:rsidRDefault="00BD512F" w:rsidP="00BD512F">
            <w:pPr>
              <w:pStyle w:val="Tabletext"/>
              <w:rPr>
                <w:rFonts w:cs="Cambria Math"/>
                <w:bCs/>
              </w:rPr>
            </w:pPr>
            <w:r w:rsidRPr="006316DF">
              <w:rPr>
                <w:rFonts w:ascii="Cambria Math" w:hAnsi="Cambria Math" w:cs="Cambria Math"/>
                <w:bCs/>
                <w:color w:val="00B050"/>
              </w:rPr>
              <w:t>⨁⨁</w:t>
            </w:r>
            <w:r w:rsidRPr="00E564DD">
              <w:rPr>
                <w:rFonts w:ascii="Cambria Math" w:eastAsia="Times New Roman" w:hAnsi="Cambria Math" w:cs="Cambria Math"/>
                <w:bCs/>
                <w:color w:val="FF0000"/>
              </w:rPr>
              <w:t>⨀⨀</w:t>
            </w:r>
          </w:p>
          <w:p w:rsidR="00BD512F" w:rsidRPr="006316DF" w:rsidRDefault="00BD512F" w:rsidP="00BD512F">
            <w:pPr>
              <w:pStyle w:val="Tabletext"/>
              <w:rPr>
                <w:rFonts w:cs="Arial"/>
              </w:rPr>
            </w:pPr>
            <w:r>
              <w:rPr>
                <w:rFonts w:cs="Arial"/>
              </w:rPr>
              <w:t>I</w:t>
            </w:r>
            <w:r w:rsidRPr="006316DF">
              <w:rPr>
                <w:rFonts w:cs="Arial"/>
              </w:rPr>
              <w:t>mportant</w:t>
            </w:r>
          </w:p>
        </w:tc>
      </w:tr>
      <w:tr w:rsidR="00BD512F" w:rsidRPr="006316DF" w:rsidTr="001B552D">
        <w:tc>
          <w:tcPr>
            <w:tcW w:w="1560" w:type="dxa"/>
          </w:tcPr>
          <w:p w:rsidR="00BD512F" w:rsidRPr="006316DF" w:rsidRDefault="00BD512F" w:rsidP="00BD512F">
            <w:pPr>
              <w:pStyle w:val="Tabletext"/>
              <w:rPr>
                <w:rFonts w:cs="Arial"/>
              </w:rPr>
            </w:pPr>
            <w:r w:rsidRPr="006316DF">
              <w:rPr>
                <w:rFonts w:cs="Arial"/>
              </w:rPr>
              <w:t xml:space="preserve">Change in </w:t>
            </w:r>
            <w:r>
              <w:rPr>
                <w:rFonts w:cs="Arial"/>
              </w:rPr>
              <w:t>QoL from baseline</w:t>
            </w:r>
          </w:p>
        </w:tc>
        <w:tc>
          <w:tcPr>
            <w:tcW w:w="1275" w:type="dxa"/>
          </w:tcPr>
          <w:p w:rsidR="00BD512F" w:rsidRPr="006316DF" w:rsidRDefault="00BD512F" w:rsidP="00BD512F">
            <w:pPr>
              <w:pStyle w:val="Tabletext"/>
              <w:rPr>
                <w:rFonts w:cs="Arial"/>
              </w:rPr>
            </w:pPr>
            <w:r w:rsidRPr="006316DF">
              <w:rPr>
                <w:rFonts w:cs="Arial"/>
              </w:rPr>
              <w:t>N=</w:t>
            </w:r>
            <w:r>
              <w:rPr>
                <w:rFonts w:cs="Arial"/>
              </w:rPr>
              <w:t>27</w:t>
            </w:r>
          </w:p>
          <w:p w:rsidR="00BD512F" w:rsidRPr="006316DF" w:rsidRDefault="00BD512F" w:rsidP="00BD512F">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D512F" w:rsidRPr="006316DF" w:rsidRDefault="00BD512F" w:rsidP="00BD512F">
            <w:pPr>
              <w:pStyle w:val="Tabletext"/>
              <w:rPr>
                <w:rFonts w:cs="Arial"/>
              </w:rPr>
            </w:pPr>
            <w:r>
              <w:rPr>
                <w:rFonts w:cs="Arial"/>
              </w:rPr>
              <w:t>Risk of bias: 0</w:t>
            </w:r>
          </w:p>
          <w:p w:rsidR="00BD512F" w:rsidRPr="006316DF" w:rsidRDefault="00BD512F" w:rsidP="00BD512F">
            <w:pPr>
              <w:pStyle w:val="Tabletext"/>
              <w:rPr>
                <w:rFonts w:cs="Arial"/>
              </w:rPr>
            </w:pPr>
            <w:r w:rsidRPr="006316DF">
              <w:rPr>
                <w:rFonts w:cs="Arial"/>
              </w:rPr>
              <w:t>Inconsistency: 0</w:t>
            </w:r>
          </w:p>
          <w:p w:rsidR="00BD512F" w:rsidRPr="006316DF" w:rsidRDefault="00BD512F" w:rsidP="00BD512F">
            <w:pPr>
              <w:pStyle w:val="Tabletext"/>
              <w:rPr>
                <w:rFonts w:cs="Arial"/>
              </w:rPr>
            </w:pPr>
            <w:r w:rsidRPr="006316DF">
              <w:rPr>
                <w:rFonts w:cs="Arial"/>
              </w:rPr>
              <w:t>Indirectness: 0</w:t>
            </w:r>
          </w:p>
          <w:p w:rsidR="00BD512F" w:rsidRDefault="00BD512F" w:rsidP="00BD512F">
            <w:pPr>
              <w:pStyle w:val="Tabletext"/>
              <w:rPr>
                <w:rFonts w:cs="Arial"/>
              </w:rPr>
            </w:pPr>
            <w:r w:rsidRPr="006316DF">
              <w:rPr>
                <w:rFonts w:cs="Arial"/>
              </w:rPr>
              <w:t xml:space="preserve">Imprecision: </w:t>
            </w:r>
            <w:r>
              <w:rPr>
                <w:rFonts w:cs="Arial"/>
              </w:rPr>
              <w:t>−2</w:t>
            </w:r>
          </w:p>
          <w:p w:rsidR="00BD512F" w:rsidRDefault="00BD512F" w:rsidP="00BD512F">
            <w:pPr>
              <w:pStyle w:val="Tabletext"/>
              <w:rPr>
                <w:rFonts w:cs="Arial"/>
              </w:rPr>
            </w:pPr>
            <w:r w:rsidRPr="006316DF">
              <w:rPr>
                <w:rFonts w:cs="Arial"/>
              </w:rPr>
              <w:t>Publication bias: 0</w:t>
            </w:r>
          </w:p>
          <w:p w:rsidR="00BD512F" w:rsidRPr="006316DF" w:rsidRDefault="00BD512F" w:rsidP="00BD512F">
            <w:pPr>
              <w:pStyle w:val="Tabletext"/>
              <w:rPr>
                <w:rFonts w:cs="Arial"/>
              </w:rPr>
            </w:pPr>
            <w:r>
              <w:rPr>
                <w:rFonts w:cs="Arial"/>
              </w:rPr>
              <w:t>Association: 0 to +1</w:t>
            </w:r>
          </w:p>
        </w:tc>
        <w:tc>
          <w:tcPr>
            <w:tcW w:w="1413" w:type="dxa"/>
          </w:tcPr>
          <w:p w:rsidR="00BD512F" w:rsidRPr="00A17B9D" w:rsidRDefault="00A17B9D" w:rsidP="00BD512F">
            <w:pPr>
              <w:pStyle w:val="Tabletext"/>
              <w:rPr>
                <w:highlight w:val="black"/>
              </w:rPr>
            </w:pPr>
            <w:r>
              <w:rPr>
                <w:noProof/>
                <w:color w:val="000000"/>
                <w:highlight w:val="black"/>
              </w:rPr>
              <w:t>''''''''''''''''''''</w:t>
            </w:r>
            <w:r>
              <w:rPr>
                <w:noProof/>
                <w:color w:val="000000"/>
                <w:highlight w:val="black"/>
              </w:rPr>
              <w:br/>
              <w:t>'''''''' ''' '''''''''''''' ''''''''''' ''''''''''''''''''''''''''''''</w:t>
            </w:r>
          </w:p>
          <w:p w:rsidR="00BD512F" w:rsidRPr="00A17B9D" w:rsidRDefault="00A17B9D" w:rsidP="00BD512F">
            <w:pPr>
              <w:pStyle w:val="Tabletext"/>
              <w:rPr>
                <w:highlight w:val="black"/>
              </w:rPr>
            </w:pPr>
            <w:r>
              <w:rPr>
                <w:noProof/>
                <w:color w:val="000000"/>
                <w:highlight w:val="black"/>
              </w:rPr>
              <w:t>'''''''''''''''</w:t>
            </w:r>
            <w:r>
              <w:rPr>
                <w:noProof/>
                <w:color w:val="000000"/>
                <w:highlight w:val="black"/>
              </w:rPr>
              <w:br/>
              <w:t>''''''''' ''' '''''''' '''''''''''' '''''''''''''''''''''''''''''</w:t>
            </w:r>
          </w:p>
        </w:tc>
        <w:tc>
          <w:tcPr>
            <w:tcW w:w="2551" w:type="dxa"/>
          </w:tcPr>
          <w:p w:rsidR="00BD512F" w:rsidRPr="00A17B9D" w:rsidRDefault="00A17B9D" w:rsidP="00BD512F">
            <w:pPr>
              <w:pStyle w:val="Tabletext"/>
              <w:rPr>
                <w:rFonts w:cs="Arial"/>
                <w:highlight w:val="black"/>
              </w:rPr>
            </w:pPr>
            <w:r>
              <w:rPr>
                <w:rFonts w:cs="Arial"/>
                <w:noProof/>
                <w:color w:val="000000"/>
                <w:highlight w:val="black"/>
              </w:rPr>
              <w:t>'''''''''''''''''''' '''''' '''''''''''''''''''''''''' ''''''''''''''''''' '''''''' ''' '''''''''''''' '''''''''''''' ''''''''''''''''''''''''''''''''' ''''' '''''''''' '''''''''' '''''''''' ''''''''''''' '''''' '''''''''''''''''''''''''''''' ''''''''' '''''''' '''''''''''''''''''''' ''''' '''''''' '''''''''''''''''' '''''''''''''' '''''''''''''''' '''''''''''''''''''''''</w:t>
            </w:r>
          </w:p>
        </w:tc>
        <w:tc>
          <w:tcPr>
            <w:tcW w:w="1134" w:type="dxa"/>
          </w:tcPr>
          <w:p w:rsidR="00BD512F" w:rsidRPr="006316DF" w:rsidRDefault="00BD512F" w:rsidP="00BD512F">
            <w:pPr>
              <w:pStyle w:val="Tabletext"/>
              <w:rPr>
                <w:rFonts w:cs="Arial"/>
              </w:rPr>
            </w:pPr>
            <w:r>
              <w:rPr>
                <w:rFonts w:cs="Arial"/>
              </w:rPr>
              <w:t>Moderate</w:t>
            </w:r>
          </w:p>
          <w:p w:rsidR="00BD512F" w:rsidRPr="006316DF" w:rsidRDefault="00BD512F" w:rsidP="00BD512F">
            <w:pPr>
              <w:pStyle w:val="Tabletext"/>
              <w:rPr>
                <w:rFonts w:cs="Cambria Math"/>
                <w:bCs/>
              </w:rPr>
            </w:pPr>
            <w:r w:rsidRPr="006316DF">
              <w:rPr>
                <w:rFonts w:ascii="Cambria Math" w:hAnsi="Cambria Math" w:cs="Cambria Math"/>
                <w:bCs/>
                <w:color w:val="00B050"/>
              </w:rPr>
              <w:t>⨁⨁⨁</w:t>
            </w:r>
            <w:r w:rsidRPr="00E564DD">
              <w:rPr>
                <w:rFonts w:ascii="Cambria Math" w:eastAsia="Times New Roman" w:hAnsi="Cambria Math" w:cs="Cambria Math"/>
                <w:bCs/>
                <w:color w:val="FF0000"/>
              </w:rPr>
              <w:t>⨀</w:t>
            </w:r>
          </w:p>
          <w:p w:rsidR="00BD512F" w:rsidRPr="006316DF" w:rsidRDefault="00BD512F" w:rsidP="00BD512F">
            <w:pPr>
              <w:pStyle w:val="Tabletext"/>
              <w:rPr>
                <w:rFonts w:cs="Arial"/>
              </w:rPr>
            </w:pPr>
            <w:r>
              <w:rPr>
                <w:rFonts w:cs="Arial"/>
              </w:rPr>
              <w:t>I</w:t>
            </w:r>
            <w:r w:rsidRPr="006316DF">
              <w:rPr>
                <w:rFonts w:cs="Arial"/>
              </w:rPr>
              <w:t>mportant</w:t>
            </w:r>
          </w:p>
        </w:tc>
      </w:tr>
      <w:tr w:rsidR="00BD512F" w:rsidRPr="006316DF" w:rsidTr="00B14FF5">
        <w:tc>
          <w:tcPr>
            <w:tcW w:w="1560" w:type="dxa"/>
          </w:tcPr>
          <w:p w:rsidR="00BD512F" w:rsidRPr="006316DF" w:rsidRDefault="00BD512F" w:rsidP="00BD512F">
            <w:pPr>
              <w:pStyle w:val="Tabletext"/>
              <w:rPr>
                <w:rFonts w:cs="Arial"/>
              </w:rPr>
            </w:pPr>
            <w:r w:rsidRPr="006C4A08">
              <w:rPr>
                <w:rFonts w:cs="Arial"/>
              </w:rPr>
              <w:t>Change in haemodynamic parameters from baseline</w:t>
            </w:r>
          </w:p>
        </w:tc>
        <w:tc>
          <w:tcPr>
            <w:tcW w:w="1275" w:type="dxa"/>
          </w:tcPr>
          <w:p w:rsidR="00BD512F" w:rsidRPr="006316DF" w:rsidRDefault="00BD512F" w:rsidP="00BD512F">
            <w:pPr>
              <w:pStyle w:val="Tabletext"/>
              <w:rPr>
                <w:rFonts w:cs="Arial"/>
              </w:rPr>
            </w:pPr>
            <w:r w:rsidRPr="006316DF">
              <w:rPr>
                <w:rFonts w:cs="Arial"/>
              </w:rPr>
              <w:t>N=</w:t>
            </w:r>
            <w:r>
              <w:rPr>
                <w:rFonts w:cs="Arial"/>
              </w:rPr>
              <w:t>27</w:t>
            </w:r>
          </w:p>
          <w:p w:rsidR="00BD512F" w:rsidRPr="006316DF" w:rsidRDefault="00BD512F" w:rsidP="00BD512F">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D512F" w:rsidRPr="006316DF" w:rsidRDefault="00BD512F" w:rsidP="00BD512F">
            <w:pPr>
              <w:pStyle w:val="Tabletext"/>
              <w:rPr>
                <w:rFonts w:cs="Arial"/>
              </w:rPr>
            </w:pPr>
            <w:r w:rsidRPr="006316DF">
              <w:rPr>
                <w:rFonts w:cs="Arial"/>
              </w:rPr>
              <w:t xml:space="preserve">Risk of bias: </w:t>
            </w:r>
            <w:r>
              <w:rPr>
                <w:rFonts w:cs="Arial"/>
              </w:rPr>
              <w:t>0</w:t>
            </w:r>
          </w:p>
          <w:p w:rsidR="00BD512F" w:rsidRPr="006316DF" w:rsidRDefault="00BD512F" w:rsidP="00BD512F">
            <w:pPr>
              <w:pStyle w:val="Tabletext"/>
              <w:rPr>
                <w:rFonts w:cs="Arial"/>
              </w:rPr>
            </w:pPr>
            <w:r w:rsidRPr="006316DF">
              <w:rPr>
                <w:rFonts w:cs="Arial"/>
              </w:rPr>
              <w:t>Inconsistency: 0</w:t>
            </w:r>
          </w:p>
          <w:p w:rsidR="00BD512F" w:rsidRPr="006316DF" w:rsidRDefault="00BD512F" w:rsidP="00BD512F">
            <w:pPr>
              <w:pStyle w:val="Tabletext"/>
              <w:rPr>
                <w:rFonts w:cs="Arial"/>
              </w:rPr>
            </w:pPr>
            <w:r w:rsidRPr="006316DF">
              <w:rPr>
                <w:rFonts w:cs="Arial"/>
              </w:rPr>
              <w:t xml:space="preserve">Indirectness: </w:t>
            </w:r>
            <w:r>
              <w:rPr>
                <w:rFonts w:cs="Arial"/>
              </w:rPr>
              <w:t>−2</w:t>
            </w:r>
          </w:p>
          <w:p w:rsidR="00BD512F" w:rsidRDefault="00BD512F" w:rsidP="00BD512F">
            <w:pPr>
              <w:pStyle w:val="Tabletext"/>
              <w:rPr>
                <w:rFonts w:cs="Arial"/>
              </w:rPr>
            </w:pPr>
            <w:r>
              <w:rPr>
                <w:rFonts w:cs="Arial"/>
              </w:rPr>
              <w:t>Imprecision: −2</w:t>
            </w:r>
          </w:p>
          <w:p w:rsidR="00BD512F" w:rsidRDefault="00BD512F" w:rsidP="00BD512F">
            <w:pPr>
              <w:pStyle w:val="Tabletext"/>
              <w:rPr>
                <w:rFonts w:cs="Arial"/>
              </w:rPr>
            </w:pPr>
            <w:r w:rsidRPr="006316DF">
              <w:rPr>
                <w:rFonts w:cs="Arial"/>
              </w:rPr>
              <w:t>Publication bias: 0</w:t>
            </w:r>
          </w:p>
          <w:p w:rsidR="00BD512F" w:rsidRPr="006316DF" w:rsidRDefault="00BD512F" w:rsidP="00BD512F">
            <w:pPr>
              <w:pStyle w:val="Tabletext"/>
              <w:rPr>
                <w:rFonts w:cs="Arial"/>
              </w:rPr>
            </w:pPr>
            <w:r>
              <w:rPr>
                <w:rFonts w:cs="Arial"/>
              </w:rPr>
              <w:t>Association: +1</w:t>
            </w:r>
          </w:p>
        </w:tc>
        <w:tc>
          <w:tcPr>
            <w:tcW w:w="1413" w:type="dxa"/>
          </w:tcPr>
          <w:p w:rsidR="00BD512F" w:rsidRPr="00A17B9D" w:rsidRDefault="00A17B9D" w:rsidP="00BD512F">
            <w:pPr>
              <w:pStyle w:val="Tabletext"/>
              <w:rPr>
                <w:highlight w:val="black"/>
              </w:rPr>
            </w:pPr>
            <w:r>
              <w:rPr>
                <w:noProof/>
                <w:color w:val="000000"/>
                <w:highlight w:val="black"/>
              </w:rPr>
              <w:t>'''''''''''</w:t>
            </w:r>
            <w:r>
              <w:rPr>
                <w:noProof/>
                <w:color w:val="000000"/>
                <w:highlight w:val="black"/>
              </w:rPr>
              <w:br/>
              <w:t>''''''''' '''' '''''''''''''' ''''''''''''''''''''''''''''''</w:t>
            </w:r>
          </w:p>
        </w:tc>
        <w:tc>
          <w:tcPr>
            <w:tcW w:w="2551" w:type="dxa"/>
          </w:tcPr>
          <w:p w:rsidR="00BD512F" w:rsidRPr="00A17B9D" w:rsidRDefault="00A17B9D" w:rsidP="005C0F6F">
            <w:pPr>
              <w:pStyle w:val="Tabletext"/>
              <w:rPr>
                <w:rFonts w:cs="Arial"/>
                <w:highlight w:val="black"/>
              </w:rPr>
            </w:pPr>
            <w:r>
              <w:rPr>
                <w:rFonts w:cs="Arial"/>
                <w:noProof/>
                <w:color w:val="000000"/>
                <w:highlight w:val="black"/>
              </w:rPr>
              <w:t>''''''''''''''''''''' '''''' ''''''''''''''''''''''''''''''' '''''''''''''''''''' '''''''' ''' ''''''''''''' '''''''''''''''''''' '''''''''''''''''''''''' '''''''''''' ''''''''''''''''''''''''''' ''''' '''''''''''' '''''''''''''''''''''''''''''''''''' '''''''''''''''''''''''' '''''''''' '''''''''''' '''''' '''''''''''''''''''''''''''''''''</w:t>
            </w:r>
          </w:p>
        </w:tc>
        <w:tc>
          <w:tcPr>
            <w:tcW w:w="1134" w:type="dxa"/>
          </w:tcPr>
          <w:p w:rsidR="00BD512F" w:rsidRPr="006316DF" w:rsidRDefault="00BD512F" w:rsidP="00BD512F">
            <w:pPr>
              <w:pStyle w:val="Tabletext"/>
              <w:rPr>
                <w:rFonts w:cs="Arial"/>
              </w:rPr>
            </w:pPr>
            <w:r>
              <w:rPr>
                <w:rFonts w:cs="Arial"/>
              </w:rPr>
              <w:t>Very low</w:t>
            </w:r>
          </w:p>
          <w:p w:rsidR="00BD512F" w:rsidRPr="006316DF" w:rsidRDefault="00BD512F" w:rsidP="00BD512F">
            <w:pPr>
              <w:pStyle w:val="Tabletext"/>
              <w:rPr>
                <w:rFonts w:cs="Cambria Math"/>
                <w:bCs/>
              </w:rPr>
            </w:pPr>
            <w:r w:rsidRPr="006316DF">
              <w:rPr>
                <w:rFonts w:ascii="Cambria Math" w:hAnsi="Cambria Math" w:cs="Cambria Math"/>
                <w:bCs/>
                <w:color w:val="00B050"/>
              </w:rPr>
              <w:t>⨁</w:t>
            </w:r>
            <w:r w:rsidRPr="00E564DD">
              <w:rPr>
                <w:rFonts w:ascii="Cambria Math" w:eastAsia="Times New Roman" w:hAnsi="Cambria Math" w:cs="Cambria Math"/>
                <w:bCs/>
                <w:color w:val="FF0000"/>
              </w:rPr>
              <w:t>⨀⨀</w:t>
            </w:r>
            <w:r w:rsidRPr="006316DF">
              <w:rPr>
                <w:rFonts w:ascii="Cambria Math" w:hAnsi="Cambria Math" w:cs="Cambria Math"/>
                <w:color w:val="C00000"/>
              </w:rPr>
              <w:t>⨀</w:t>
            </w:r>
          </w:p>
          <w:p w:rsidR="00BD512F" w:rsidRPr="006316DF" w:rsidRDefault="00BD512F" w:rsidP="00BD512F">
            <w:pPr>
              <w:pStyle w:val="Tabletext"/>
              <w:rPr>
                <w:rFonts w:cs="Arial"/>
              </w:rPr>
            </w:pPr>
            <w:r>
              <w:rPr>
                <w:rFonts w:cs="Arial"/>
              </w:rPr>
              <w:t>Not i</w:t>
            </w:r>
            <w:r w:rsidRPr="006316DF">
              <w:rPr>
                <w:rFonts w:cs="Arial"/>
              </w:rPr>
              <w:t>mportant</w:t>
            </w:r>
          </w:p>
        </w:tc>
      </w:tr>
    </w:tbl>
    <w:p w:rsidR="0075777C" w:rsidRPr="006316DF" w:rsidRDefault="0075777C" w:rsidP="00B14FF5">
      <w:pPr>
        <w:pStyle w:val="Tablenote"/>
      </w:pPr>
      <w:r w:rsidRPr="006316DF">
        <w:rPr>
          <w:vertAlign w:val="superscript"/>
        </w:rPr>
        <w:t xml:space="preserve">a </w:t>
      </w:r>
      <w:r w:rsidRPr="006316DF">
        <w:t xml:space="preserve">GRADE Working Group grades of evidence </w:t>
      </w:r>
      <w:r w:rsidR="001D34EE" w:rsidRPr="001D34EE">
        <w:rPr>
          <w:noProof/>
          <w:vertAlign w:val="superscript"/>
        </w:rPr>
        <w:t>1</w:t>
      </w:r>
    </w:p>
    <w:p w:rsidR="000211A3" w:rsidRDefault="000211A3" w:rsidP="000211A3">
      <w:pPr>
        <w:pStyle w:val="Tablenote"/>
      </w:pPr>
      <w:r>
        <w:rPr>
          <w:vertAlign w:val="superscript"/>
        </w:rPr>
        <w:lastRenderedPageBreak/>
        <w:t xml:space="preserve">b </w:t>
      </w:r>
      <w:r>
        <w:t xml:space="preserve">EQ-5D utility scores range from </w:t>
      </w:r>
      <w:r w:rsidRPr="00C569DB">
        <w:t>−</w:t>
      </w:r>
      <w:r>
        <w:t>0.59 to 1.00. A higher score represents better QoL.</w:t>
      </w:r>
    </w:p>
    <w:p w:rsidR="000211A3" w:rsidRDefault="000211A3" w:rsidP="000211A3">
      <w:pPr>
        <w:pStyle w:val="Tablenote"/>
      </w:pPr>
      <w:r>
        <w:rPr>
          <w:vertAlign w:val="superscript"/>
        </w:rPr>
        <w:t xml:space="preserve">c </w:t>
      </w:r>
      <w:r>
        <w:t>LPH total scores range from 0 to 105. A higher score indicates poorer QoL.</w:t>
      </w:r>
    </w:p>
    <w:p w:rsidR="00BD512F" w:rsidRPr="006316DF" w:rsidRDefault="00BD512F" w:rsidP="00BD512F">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Moderate quality:</w:t>
      </w:r>
      <w:r w:rsidRPr="006316DF">
        <w:t xml:space="preserve"> We are moderately confident in the effect estimate: The true effect is likely to be close to the estimate of the effect, but there is a possibility that it is substantially different</w:t>
      </w:r>
    </w:p>
    <w:p w:rsidR="00BD512F" w:rsidRPr="006316DF" w:rsidRDefault="00BD512F" w:rsidP="00BD512F">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BD512F" w:rsidRPr="00E564DD" w:rsidRDefault="00BD512F" w:rsidP="00BD512F">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Very low quality:</w:t>
      </w:r>
      <w:r w:rsidRPr="00E564DD">
        <w:t xml:space="preserve"> We have very little confidence in the effect estimate: The true effect is likely to be substantially different from the estimate of effect</w:t>
      </w:r>
    </w:p>
    <w:p w:rsidR="00146880" w:rsidRDefault="0075777C" w:rsidP="00B14FF5">
      <w:pPr>
        <w:pStyle w:val="Tablenote"/>
      </w:pPr>
      <w:r>
        <w:t xml:space="preserve">6MWD = 6-minute </w:t>
      </w:r>
      <w:r w:rsidR="0082368E">
        <w:t>walk distance</w:t>
      </w:r>
      <w:r w:rsidR="00B21201">
        <w:t>; ARD</w:t>
      </w:r>
      <w:r>
        <w:t xml:space="preserve"> = absolute risk </w:t>
      </w:r>
      <w:r w:rsidR="00B21201">
        <w:t>difference</w:t>
      </w:r>
      <w:r>
        <w:t xml:space="preserve">; CI = confidence interval; EQ-5D = EuroQual 5 dimension; FC = functional class; </w:t>
      </w:r>
      <w:r w:rsidR="00385E5A">
        <w:t>GRADE = grading of recommendations assessment, development and evaluation</w:t>
      </w:r>
      <w:r w:rsidR="001D34EE" w:rsidRPr="001D34EE">
        <w:rPr>
          <w:noProof/>
          <w:vertAlign w:val="superscript"/>
        </w:rPr>
        <w:t>1</w:t>
      </w:r>
      <w:r w:rsidR="00146880" w:rsidRPr="00F24B06">
        <w:t xml:space="preserve">; k = number of studies; </w:t>
      </w:r>
      <w:r w:rsidRPr="00C65B42">
        <w:t xml:space="preserve">LPH = living with pulmonary hypertension; </w:t>
      </w:r>
      <w:r>
        <w:t xml:space="preserve">MD = mean difference; N = number of patients; </w:t>
      </w:r>
      <w:r w:rsidRPr="00C65B42">
        <w:t xml:space="preserve">PAH = pulmonary arterial hypertension; </w:t>
      </w:r>
      <w:r w:rsidRPr="009123E2">
        <w:t>PVR</w:t>
      </w:r>
      <w:r>
        <w:t xml:space="preserve"> = p</w:t>
      </w:r>
      <w:r w:rsidRPr="009123E2">
        <w:t xml:space="preserve">ulmonary </w:t>
      </w:r>
      <w:r>
        <w:t>v</w:t>
      </w:r>
      <w:r w:rsidRPr="009123E2">
        <w:t xml:space="preserve">ascular </w:t>
      </w:r>
      <w:r>
        <w:t>r</w:t>
      </w:r>
      <w:r w:rsidRPr="009123E2">
        <w:t>esistance</w:t>
      </w:r>
      <w:r>
        <w:t xml:space="preserve">; </w:t>
      </w:r>
      <w:r w:rsidR="0023244F">
        <w:t xml:space="preserve">QoL = quality of life; </w:t>
      </w:r>
      <w:r>
        <w:t xml:space="preserve">RCT = randomised controlled trial; RR = relative risk; </w:t>
      </w:r>
      <w:r w:rsidRPr="006C6F7B">
        <w:t xml:space="preserve">sGC = soluble guanylate cyclase; </w:t>
      </w:r>
      <w:r>
        <w:t>WHO = World Health Organization</w:t>
      </w:r>
    </w:p>
    <w:p w:rsidR="0075777C" w:rsidRPr="006316DF" w:rsidRDefault="0075777C" w:rsidP="0075777C">
      <w:pPr>
        <w:pStyle w:val="Heading5"/>
      </w:pPr>
      <w:r w:rsidRPr="006316DF">
        <w:t>Safety</w:t>
      </w:r>
    </w:p>
    <w:p w:rsidR="00457FA6" w:rsidRDefault="00457FA6" w:rsidP="00457FA6">
      <w:r w:rsidRPr="00457FA6">
        <w:t xml:space="preserve">No conclusions about the comparative safety of a sGC stimulator in addition to a </w:t>
      </w:r>
      <w:r w:rsidRPr="00BC3335">
        <w:t>prostanoid</w:t>
      </w:r>
      <w:r w:rsidRPr="00457FA6">
        <w:t xml:space="preserve">, relative to </w:t>
      </w:r>
      <w:r w:rsidRPr="00BC3335">
        <w:t xml:space="preserve">prostanoid </w:t>
      </w:r>
      <w:r w:rsidRPr="00457FA6">
        <w:t xml:space="preserve">monotherapy in </w:t>
      </w:r>
      <w:r>
        <w:t xml:space="preserve">PAH </w:t>
      </w:r>
      <w:r w:rsidRPr="00457FA6">
        <w:t>patients could be made due to a lack of evidence.</w:t>
      </w:r>
    </w:p>
    <w:p w:rsidR="005A20F4" w:rsidRDefault="005A20F4" w:rsidP="005A20F4">
      <w:pPr>
        <w:pStyle w:val="Heading3"/>
      </w:pPr>
      <w:bookmarkStart w:id="390" w:name="_Toc512855397"/>
      <w:r>
        <w:t>Effectiveness and safety of triple combination therapy</w:t>
      </w:r>
      <w:bookmarkEnd w:id="390"/>
    </w:p>
    <w:p w:rsidR="00126F99" w:rsidRPr="00377908" w:rsidRDefault="0075777C" w:rsidP="00981B83">
      <w:r w:rsidRPr="00377908">
        <w:t>No cl</w:t>
      </w:r>
      <w:r w:rsidR="00981B83">
        <w:t>inical evidence was identified.</w:t>
      </w:r>
    </w:p>
    <w:p w:rsidR="00126F99" w:rsidRDefault="00126F99" w:rsidP="00126F99">
      <w:pPr>
        <w:pStyle w:val="Heading3"/>
      </w:pPr>
      <w:bookmarkStart w:id="391" w:name="_Toc512855398"/>
      <w:r>
        <w:t>Extended assessment of safety</w:t>
      </w:r>
      <w:bookmarkEnd w:id="391"/>
    </w:p>
    <w:p w:rsidR="001D0FDA" w:rsidRDefault="001D0FDA" w:rsidP="00E43898">
      <w:pPr>
        <w:pStyle w:val="BodyTextnospacebefore"/>
      </w:pPr>
      <w:r>
        <w:t xml:space="preserve">The four RCTs included for the extended safety assessment of PAH medicines had a short-term study period of 6 to 16 weeks. Results from Trial STARTS-1 indicated that, in paediatric PAH patients, sildenafil had an inferior safety profile, with </w:t>
      </w:r>
      <w:r w:rsidR="006B2A7D">
        <w:t>AE</w:t>
      </w:r>
      <w:r>
        <w:t xml:space="preserve">s of </w:t>
      </w:r>
      <w:r w:rsidRPr="00147C70">
        <w:t xml:space="preserve">pyrexia, increased erection, and upper respiratory tract infection </w:t>
      </w:r>
      <w:r>
        <w:t>occurring more frequently in children treated with sildenafil than those receiving placebo. The incidence of p</w:t>
      </w:r>
      <w:r w:rsidRPr="00147C70">
        <w:t>yrexia, vomiting, and na</w:t>
      </w:r>
      <w:r>
        <w:t xml:space="preserve">usea appeared to be sildenafil dose-related. The results of eye disorder </w:t>
      </w:r>
      <w:r w:rsidR="006B2A7D">
        <w:t>AE</w:t>
      </w:r>
      <w:r>
        <w:t xml:space="preserve">s from SUPER-1 indicated that, in general, sildenafil dosing up to 80 mg tid was tolerated from an ocular perspective in patients with PAH. In this population, the incidence of ocular </w:t>
      </w:r>
      <w:r w:rsidR="006B2A7D">
        <w:t>AE</w:t>
      </w:r>
      <w:r>
        <w:t xml:space="preserve">s was low and comparable between the 20 mg tid (PI-recommended dose) and placebo groups, but with some </w:t>
      </w:r>
      <w:r w:rsidR="006B2A7D">
        <w:t>AE</w:t>
      </w:r>
      <w:r>
        <w:t xml:space="preserve">s occurred only in patients receiving sildenafil, eg retinal haemorrhage. PHIRST trial reported higher incidence of overall </w:t>
      </w:r>
      <w:r w:rsidR="006B2A7D">
        <w:t>AE</w:t>
      </w:r>
      <w:r>
        <w:t xml:space="preserve">s, </w:t>
      </w:r>
      <w:r w:rsidRPr="00733295">
        <w:t xml:space="preserve">diarrhoea, nausea, nasopharyngitis, upper respiratory tract infection, myalgia, flushing, dyspepsia and pain </w:t>
      </w:r>
      <w:r w:rsidR="00DB4D9C" w:rsidRPr="00DB4D9C">
        <w:t>in the extremities</w:t>
      </w:r>
      <w:r w:rsidRPr="00733295">
        <w:t xml:space="preserve"> </w:t>
      </w:r>
      <w:r>
        <w:t xml:space="preserve">in patients receiving tadalafil at a recommended dose of 40mg od, compared with patients in the </w:t>
      </w:r>
      <w:r w:rsidRPr="00733295">
        <w:t>placebo</w:t>
      </w:r>
      <w:r>
        <w:t xml:space="preserve"> arm</w:t>
      </w:r>
      <w:r w:rsidRPr="00733295">
        <w:t xml:space="preserve">. </w:t>
      </w:r>
      <w:r>
        <w:t xml:space="preserve">Insufficient trial data was provided by </w:t>
      </w:r>
      <w:r w:rsidRPr="00733295">
        <w:t>Mukhopadhyay 2011</w:t>
      </w:r>
      <w:r>
        <w:t xml:space="preserve"> for evaluation of comparative safe</w:t>
      </w:r>
      <w:r w:rsidR="00981B83">
        <w:t>ty of tadalafil versus placebo.</w:t>
      </w:r>
    </w:p>
    <w:p w:rsidR="001D0FDA" w:rsidRDefault="001D0FDA" w:rsidP="00E43898">
      <w:pPr>
        <w:pStyle w:val="BodyTextnospacebefore"/>
      </w:pPr>
      <w:r>
        <w:t xml:space="preserve">The study period in the observational studies included for extended assessment of safety varied between 2 years to up to 5 years. This reflects the typical prolonged use of PAH medicines in clinical practice. However, any interpretation of the safety results should considered the non-comparative nature of these observational studies for safety assessment, which could hinder the establishment of a temporal association between PAH medicines and </w:t>
      </w:r>
      <w:r w:rsidR="006B2A7D">
        <w:t>AE</w:t>
      </w:r>
      <w:r>
        <w:t xml:space="preserve">s observed in these studies, especially when the incidence of </w:t>
      </w:r>
      <w:r w:rsidR="006B2A7D">
        <w:t>AE</w:t>
      </w:r>
      <w:r>
        <w:t xml:space="preserve">s is low. Overall, observational study findings generally agreed with each other and with the safety results reported by clinical trials and post-marketing data included in respective PI documents. No clear safety signal has been detected on the basis of the included observational studies. The incidence of some known treatment-related </w:t>
      </w:r>
      <w:r w:rsidR="006B2A7D">
        <w:t>AE</w:t>
      </w:r>
      <w:r>
        <w:t xml:space="preserve">s in the observational studies may be higher than that reported by clinical trials, given the long-term follow-up period of the </w:t>
      </w:r>
      <w:r w:rsidR="002D2E0E">
        <w:t>included observational studies.</w:t>
      </w:r>
    </w:p>
    <w:p w:rsidR="001D0FDA" w:rsidRDefault="001D0FDA" w:rsidP="00E43898">
      <w:pPr>
        <w:pStyle w:val="BodyTextnospacebefore"/>
      </w:pPr>
      <w:r>
        <w:lastRenderedPageBreak/>
        <w:t>There was limited data from the included studies on the safety of PAH medicines for treatment of paediatric PAH patients: STARTS-1 and its extension study for sildenafil and Hiplop 2011 for bosentan. Study results suggested that t</w:t>
      </w:r>
      <w:r w:rsidRPr="001A293B">
        <w:t xml:space="preserve">he safety profile seen in the paediatric </w:t>
      </w:r>
      <w:r>
        <w:t xml:space="preserve">patients </w:t>
      </w:r>
      <w:r w:rsidRPr="001A293B">
        <w:t>was generally consistent with that in adults</w:t>
      </w:r>
      <w:r>
        <w:t xml:space="preserve"> for both drugs</w:t>
      </w:r>
      <w:r w:rsidRPr="001A293B">
        <w:t>.</w:t>
      </w:r>
    </w:p>
    <w:p w:rsidR="001D0FDA" w:rsidRPr="00676D38" w:rsidRDefault="001D0FDA" w:rsidP="00E43898">
      <w:pPr>
        <w:pStyle w:val="BodyTextnospacebefore"/>
      </w:pPr>
      <w:r w:rsidRPr="00676D38">
        <w:t>The following safety signals are noted by the EMA SmPC, but have not been included in the TGA-approved PI: use of bosentan in patients with chronic obstructive pulmonary disease</w:t>
      </w:r>
      <w:r w:rsidR="00466BBD">
        <w:t xml:space="preserve"> (</w:t>
      </w:r>
      <w:r w:rsidR="00466BBD" w:rsidRPr="00466BBD">
        <w:t>increase in minute ventilation</w:t>
      </w:r>
      <w:r w:rsidR="00466BBD">
        <w:t xml:space="preserve">, </w:t>
      </w:r>
      <w:r w:rsidR="00466BBD" w:rsidRPr="00466BBD">
        <w:t>decrease in oxygen saturation</w:t>
      </w:r>
      <w:r w:rsidR="00466BBD">
        <w:t xml:space="preserve"> and dyspnoea)</w:t>
      </w:r>
      <w:r w:rsidRPr="00676D38">
        <w:t xml:space="preserve">; </w:t>
      </w:r>
      <w:r w:rsidR="006B2A7D">
        <w:t>AE</w:t>
      </w:r>
      <w:r w:rsidRPr="00676D38">
        <w:t xml:space="preserve">s of penile haemorrhage and haematospermia in patients receiving PDE-5 inhibitors (both sildenafil and tadalafil); potential for vaso-occlusive crises in patients receiving sildenafil for PH secondary to sickle cell anaemia; intracerebral haemorrhage in tadalafil-treated patients; and increased mortality and serious </w:t>
      </w:r>
      <w:r w:rsidR="006B2A7D">
        <w:t>AE</w:t>
      </w:r>
      <w:r w:rsidRPr="00676D38">
        <w:t xml:space="preserve">s in patients </w:t>
      </w:r>
      <w:r>
        <w:t xml:space="preserve">receiving riociguat for treatment of </w:t>
      </w:r>
      <w:r w:rsidRPr="00676D38">
        <w:t xml:space="preserve">PH associated with idiopathic interstitial pneumonias. </w:t>
      </w:r>
    </w:p>
    <w:p w:rsidR="00BF48DF" w:rsidRDefault="001D0FDA" w:rsidP="00E43898">
      <w:pPr>
        <w:pStyle w:val="BodyTextnospacebefore"/>
      </w:pPr>
      <w:r w:rsidRPr="00676D38">
        <w:t xml:space="preserve">Higher risk of mortality with increasing sildenafil dose for treatment paediatric PAH was reported by </w:t>
      </w:r>
      <w:r w:rsidR="00423DCE">
        <w:t xml:space="preserve">a </w:t>
      </w:r>
      <w:r w:rsidRPr="00676D38">
        <w:t>long-term observational stud</w:t>
      </w:r>
      <w:r w:rsidR="00423DCE">
        <w:t>y</w:t>
      </w:r>
      <w:r w:rsidRPr="00676D38">
        <w:t>. Different decisions were made by regulatory agencies based on this finding: the TGA states that sildenafil is not indicated for use in paediatric patients; the FDA does not recommend the use of sildenafil in paediatric patients (health care professionals must consider whether the benefits of treatment with the drug are likely to outweigh its potential risks for each patient); whilst the EMA recommends the use of sildenafil but only at a recommended low dose.</w:t>
      </w:r>
      <w:r>
        <w:t xml:space="preserve"> </w:t>
      </w:r>
      <w:r w:rsidR="00BF48DF">
        <w:br w:type="page"/>
      </w:r>
    </w:p>
    <w:p w:rsidR="00CC3BA4" w:rsidRPr="00CC3BA4" w:rsidRDefault="00CC3BA4" w:rsidP="001D0FDA">
      <w:pPr>
        <w:pStyle w:val="Heading2"/>
        <w:numPr>
          <w:ilvl w:val="0"/>
          <w:numId w:val="0"/>
        </w:numPr>
      </w:pPr>
      <w:bookmarkStart w:id="392" w:name="_Toc482351229"/>
      <w:bookmarkStart w:id="393" w:name="_Toc503811649"/>
      <w:bookmarkStart w:id="394" w:name="_Toc512855399"/>
      <w:r w:rsidRPr="00CC3BA4">
        <w:lastRenderedPageBreak/>
        <w:t>References</w:t>
      </w:r>
      <w:bookmarkEnd w:id="392"/>
      <w:bookmarkEnd w:id="393"/>
      <w:bookmarkEnd w:id="394"/>
    </w:p>
    <w:p w:rsidR="001D34EE" w:rsidRPr="001D34EE" w:rsidRDefault="001D34EE" w:rsidP="001D34EE">
      <w:pPr>
        <w:pStyle w:val="EndNoteBibliography"/>
        <w:spacing w:after="0"/>
        <w:ind w:left="720" w:hanging="720"/>
      </w:pPr>
      <w:bookmarkStart w:id="395" w:name="_ENREF_1"/>
      <w:r w:rsidRPr="001D34EE">
        <w:t>1.</w:t>
      </w:r>
      <w:r w:rsidRPr="001D34EE">
        <w:tab/>
        <w:t xml:space="preserve">Guyatt G, Oxman AD, Sultan S, Brozek J, Glasziou P, Alonso-Coello P, et al. GRADE guidelines: 11. Making an overall rating of confidence in effect estimates for a single outcome and for all outcomes. </w:t>
      </w:r>
      <w:r w:rsidRPr="001D34EE">
        <w:rPr>
          <w:i/>
        </w:rPr>
        <w:t>J Clin Epidemiol</w:t>
      </w:r>
      <w:r w:rsidRPr="001D34EE">
        <w:t>. 2013;66(2):151-7.</w:t>
      </w:r>
      <w:bookmarkEnd w:id="395"/>
    </w:p>
    <w:p w:rsidR="001D34EE" w:rsidRPr="001D34EE" w:rsidRDefault="001D34EE" w:rsidP="001D34EE">
      <w:pPr>
        <w:pStyle w:val="EndNoteBibliography"/>
        <w:spacing w:after="0"/>
        <w:ind w:left="720" w:hanging="720"/>
      </w:pPr>
      <w:bookmarkStart w:id="396" w:name="_ENREF_2"/>
      <w:r w:rsidRPr="001D34EE">
        <w:t>2.</w:t>
      </w:r>
      <w:r w:rsidRPr="001D34EE">
        <w:tab/>
        <w:t xml:space="preserve">Rubin LJ, Badesch DB, Barst RJ, Galiè N, Black CM, Keogh A, et al. Bosentan therapy for pulmonary arterial hypertension. </w:t>
      </w:r>
      <w:r w:rsidRPr="001D34EE">
        <w:rPr>
          <w:i/>
        </w:rPr>
        <w:t>New England Journal of Medicine</w:t>
      </w:r>
      <w:r w:rsidRPr="001D34EE">
        <w:t>. 2002;346(12):896-903.</w:t>
      </w:r>
      <w:bookmarkEnd w:id="396"/>
    </w:p>
    <w:p w:rsidR="001D34EE" w:rsidRPr="001D34EE" w:rsidRDefault="001D34EE" w:rsidP="001D34EE">
      <w:pPr>
        <w:pStyle w:val="EndNoteBibliography"/>
        <w:spacing w:after="0"/>
        <w:ind w:left="720" w:hanging="720"/>
      </w:pPr>
      <w:bookmarkStart w:id="397" w:name="_ENREF_3"/>
      <w:r w:rsidRPr="001D34EE">
        <w:t>3.</w:t>
      </w:r>
      <w:r w:rsidRPr="001D34EE">
        <w:tab/>
        <w:t xml:space="preserve">Badesch DB, Bodin F, Channick RN, Frost A, Rainisio M, Robbins IM, et al. Complete results of the first randomized, placebo-controlled study of bosentan, a dual endothelin receptor antagonist, in pulmonary arterial hypertension. </w:t>
      </w:r>
      <w:r w:rsidRPr="001D34EE">
        <w:rPr>
          <w:i/>
        </w:rPr>
        <w:t>Current Therapeutic Research - Clinical and Experimental</w:t>
      </w:r>
      <w:r w:rsidRPr="001D34EE">
        <w:t>. 2002;63(4):227-46.</w:t>
      </w:r>
      <w:bookmarkEnd w:id="397"/>
    </w:p>
    <w:p w:rsidR="001D34EE" w:rsidRPr="001D34EE" w:rsidRDefault="001D34EE" w:rsidP="001D34EE">
      <w:pPr>
        <w:pStyle w:val="EndNoteBibliography"/>
        <w:spacing w:after="0"/>
        <w:ind w:left="720" w:hanging="720"/>
      </w:pPr>
      <w:bookmarkStart w:id="398" w:name="_ENREF_4"/>
      <w:r w:rsidRPr="001D34EE">
        <w:t>4.</w:t>
      </w:r>
      <w:r w:rsidRPr="001D34EE">
        <w:tab/>
        <w:t xml:space="preserve">Channick RN, Simonneau G, Sitbon O, Robbins IM, Frost A, Tapson VF, et al. Effects of the dual endothelin-receptor antagonist bosentan in patients with pulmonary hypertension: A randomised placebo-controlled study. </w:t>
      </w:r>
      <w:r w:rsidRPr="001D34EE">
        <w:rPr>
          <w:i/>
        </w:rPr>
        <w:t>Lancet</w:t>
      </w:r>
      <w:r w:rsidRPr="001D34EE">
        <w:t>. 2001;358(9288):1119-23.</w:t>
      </w:r>
      <w:bookmarkEnd w:id="398"/>
    </w:p>
    <w:p w:rsidR="001D34EE" w:rsidRPr="001D34EE" w:rsidRDefault="001D34EE" w:rsidP="001D34EE">
      <w:pPr>
        <w:pStyle w:val="EndNoteBibliography"/>
        <w:spacing w:after="0"/>
        <w:ind w:left="720" w:hanging="720"/>
      </w:pPr>
      <w:bookmarkStart w:id="399" w:name="_ENREF_5"/>
      <w:r w:rsidRPr="001D34EE">
        <w:t>5.</w:t>
      </w:r>
      <w:r w:rsidRPr="001D34EE">
        <w:tab/>
        <w:t xml:space="preserve">Galiè N, Beghetti M, Gatzoulis MA, Granton J, Berger RMF, Lauer A, et al. Bosentan therapy in patients with Eisenmenger syndrome: A multicenter, double-blind, randomized, placebo-controlled study. </w:t>
      </w:r>
      <w:r w:rsidRPr="001D34EE">
        <w:rPr>
          <w:i/>
        </w:rPr>
        <w:t>Circulation</w:t>
      </w:r>
      <w:r w:rsidRPr="001D34EE">
        <w:t>. 2006;114(1):48-54.</w:t>
      </w:r>
      <w:bookmarkEnd w:id="399"/>
    </w:p>
    <w:p w:rsidR="001D34EE" w:rsidRPr="001D34EE" w:rsidRDefault="001D34EE" w:rsidP="001D34EE">
      <w:pPr>
        <w:pStyle w:val="EndNoteBibliography"/>
        <w:spacing w:after="0"/>
        <w:ind w:left="720" w:hanging="720"/>
      </w:pPr>
      <w:bookmarkStart w:id="400" w:name="_ENREF_6"/>
      <w:r w:rsidRPr="001D34EE">
        <w:t>6.</w:t>
      </w:r>
      <w:r w:rsidRPr="001D34EE">
        <w:tab/>
        <w:t xml:space="preserve">Galiè N, Olschewski H, Oudiz RJ, Torres F, Frost A, Ghofrani HA, et al. Ambrisentan for the treatment of pulmonary arterial hypertension: Results of the ambrisentan in pulmonary arterial hypertension, randomized, double-Blind, placebo-controlled, multicenter, efficacy (ARIES) study 1 and 2. </w:t>
      </w:r>
      <w:r w:rsidRPr="001D34EE">
        <w:rPr>
          <w:i/>
        </w:rPr>
        <w:t>Circulation</w:t>
      </w:r>
      <w:r w:rsidRPr="001D34EE">
        <w:t>. 2008;117(23):3010-9.</w:t>
      </w:r>
      <w:bookmarkEnd w:id="400"/>
    </w:p>
    <w:p w:rsidR="001D34EE" w:rsidRPr="001D34EE" w:rsidRDefault="001D34EE" w:rsidP="001D34EE">
      <w:pPr>
        <w:pStyle w:val="EndNoteBibliography"/>
        <w:spacing w:after="0"/>
        <w:ind w:left="720" w:hanging="720"/>
      </w:pPr>
      <w:bookmarkStart w:id="401" w:name="_ENREF_7"/>
      <w:r w:rsidRPr="001D34EE">
        <w:t>7.</w:t>
      </w:r>
      <w:r w:rsidRPr="001D34EE">
        <w:tab/>
        <w:t xml:space="preserve">Pulido T, Adzerikho I, Channick RN, Delcroix M, Galiè N, Ghofrani HA, et al. Macitentan and morbidity and mortality in pulmonary arterial hypertension. </w:t>
      </w:r>
      <w:r w:rsidRPr="001D34EE">
        <w:rPr>
          <w:i/>
        </w:rPr>
        <w:t>New England Journal of Medicine</w:t>
      </w:r>
      <w:r w:rsidRPr="001D34EE">
        <w:t>. 2013;369(9):809-18.</w:t>
      </w:r>
      <w:bookmarkEnd w:id="401"/>
    </w:p>
    <w:p w:rsidR="001D34EE" w:rsidRPr="001D34EE" w:rsidRDefault="001D34EE" w:rsidP="001D34EE">
      <w:pPr>
        <w:pStyle w:val="EndNoteBibliography"/>
        <w:spacing w:after="0"/>
        <w:ind w:left="720" w:hanging="720"/>
      </w:pPr>
      <w:bookmarkStart w:id="402" w:name="_ENREF_8"/>
      <w:r w:rsidRPr="001D34EE">
        <w:t>8.</w:t>
      </w:r>
      <w:r w:rsidRPr="001D34EE">
        <w:tab/>
        <w:t xml:space="preserve">Galiè N, Hinderliter AL, Torbicki A, Fourme T, Simonneau G, Pulido T, et al. Effects of the oral endothelin-receptor antagonist bosentan on echocardiographic and Doppler measures in patients with pulmonary arterial hypertension. </w:t>
      </w:r>
      <w:r w:rsidRPr="001D34EE">
        <w:rPr>
          <w:i/>
        </w:rPr>
        <w:t>Journal of the American College of Cardiology</w:t>
      </w:r>
      <w:r w:rsidRPr="001D34EE">
        <w:t>. 2003;41(8):1380-6.</w:t>
      </w:r>
      <w:bookmarkEnd w:id="402"/>
    </w:p>
    <w:p w:rsidR="001D34EE" w:rsidRPr="001D34EE" w:rsidRDefault="001D34EE" w:rsidP="001D34EE">
      <w:pPr>
        <w:pStyle w:val="EndNoteBibliography"/>
        <w:spacing w:after="0"/>
        <w:ind w:left="720" w:hanging="720"/>
      </w:pPr>
      <w:bookmarkStart w:id="403" w:name="_ENREF_9"/>
      <w:r w:rsidRPr="001D34EE">
        <w:t>9.</w:t>
      </w:r>
      <w:r w:rsidRPr="001D34EE">
        <w:tab/>
        <w:t xml:space="preserve">Galiè N, Rubin L, Hoeper M, Jansa P, Al-Hiti H, Meyer G, et al. Treatment of patients with mildly symptomatic pulmonary arterial hypertension with bosentan (EARLY study): a double-blind, randomised controlled trial. </w:t>
      </w:r>
      <w:r w:rsidRPr="001D34EE">
        <w:rPr>
          <w:i/>
        </w:rPr>
        <w:t>The Lancet</w:t>
      </w:r>
      <w:r w:rsidRPr="001D34EE">
        <w:t>. 2008;371(9630):2093-100.</w:t>
      </w:r>
      <w:bookmarkEnd w:id="403"/>
    </w:p>
    <w:p w:rsidR="001D34EE" w:rsidRPr="001D34EE" w:rsidRDefault="001D34EE" w:rsidP="001D34EE">
      <w:pPr>
        <w:pStyle w:val="EndNoteBibliography"/>
        <w:spacing w:after="0"/>
        <w:ind w:left="720" w:hanging="720"/>
      </w:pPr>
      <w:bookmarkStart w:id="404" w:name="_ENREF_10"/>
      <w:r w:rsidRPr="001D34EE">
        <w:t>10.</w:t>
      </w:r>
      <w:r w:rsidRPr="001D34EE">
        <w:tab/>
        <w:t xml:space="preserve">Barst RJ, Langleben D, Badesch D, Frost A, Lawrence EC, Shapiro S, et al. Treatment of Pulmonary Arterial Hypertension With the Selective Endothelin-A Receptor Antagonist Sitaxsentan. </w:t>
      </w:r>
      <w:r w:rsidRPr="001D34EE">
        <w:rPr>
          <w:i/>
        </w:rPr>
        <w:t>Journal of the American College of Cardiology</w:t>
      </w:r>
      <w:r w:rsidRPr="001D34EE">
        <w:t>. 2006;47(10):2049-56.</w:t>
      </w:r>
      <w:bookmarkEnd w:id="404"/>
    </w:p>
    <w:p w:rsidR="001D34EE" w:rsidRPr="001D34EE" w:rsidRDefault="001D34EE" w:rsidP="001D34EE">
      <w:pPr>
        <w:pStyle w:val="EndNoteBibliography"/>
        <w:spacing w:after="0"/>
        <w:ind w:left="720" w:hanging="720"/>
      </w:pPr>
      <w:bookmarkStart w:id="405" w:name="_ENREF_11"/>
      <w:r w:rsidRPr="001D34EE">
        <w:t>11.</w:t>
      </w:r>
      <w:r w:rsidRPr="001D34EE">
        <w:tab/>
        <w:t xml:space="preserve">Galiè N, Ghofrani HA, Torbicki A, Barst RJ, Rubin LJ, Badesch D, et al. Sildenafil citrate therapy for pulmonary arterial hypertension. </w:t>
      </w:r>
      <w:r w:rsidRPr="001D34EE">
        <w:rPr>
          <w:i/>
        </w:rPr>
        <w:t>New England Journal of Medicine</w:t>
      </w:r>
      <w:r w:rsidRPr="001D34EE">
        <w:t>. 2005;353(20):2148-57.</w:t>
      </w:r>
      <w:bookmarkEnd w:id="405"/>
    </w:p>
    <w:p w:rsidR="001D34EE" w:rsidRPr="001D34EE" w:rsidRDefault="001D34EE" w:rsidP="001D34EE">
      <w:pPr>
        <w:pStyle w:val="EndNoteBibliography"/>
        <w:spacing w:after="0"/>
        <w:ind w:left="720" w:hanging="720"/>
      </w:pPr>
      <w:bookmarkStart w:id="406" w:name="_ENREF_12"/>
      <w:r w:rsidRPr="001D34EE">
        <w:t>12.</w:t>
      </w:r>
      <w:r w:rsidRPr="001D34EE">
        <w:tab/>
        <w:t xml:space="preserve">Galiè N, Brundage BH, Ghofrani HA, Oudiz RJ, Simonneau G, Safdar Z, et al. Tadalafil therapy for pulmonary arterial hypertension. </w:t>
      </w:r>
      <w:r w:rsidRPr="001D34EE">
        <w:rPr>
          <w:i/>
        </w:rPr>
        <w:t>Circulation</w:t>
      </w:r>
      <w:r w:rsidRPr="001D34EE">
        <w:t>. 2009;119(22):2894-903.</w:t>
      </w:r>
      <w:bookmarkEnd w:id="406"/>
    </w:p>
    <w:p w:rsidR="001D34EE" w:rsidRPr="001D34EE" w:rsidRDefault="001D34EE" w:rsidP="001D34EE">
      <w:pPr>
        <w:pStyle w:val="EndNoteBibliography"/>
        <w:spacing w:after="0"/>
        <w:ind w:left="720" w:hanging="720"/>
      </w:pPr>
      <w:bookmarkStart w:id="407" w:name="_ENREF_13"/>
      <w:r w:rsidRPr="001D34EE">
        <w:t>13.</w:t>
      </w:r>
      <w:r w:rsidRPr="001D34EE">
        <w:tab/>
        <w:t xml:space="preserve">Pepke-Zaba J, Beardsworth A, Chan M, Angalakuditi M. Tadalafil therapy and health-related quality of life in pulmonary arterial hypertension. </w:t>
      </w:r>
      <w:r w:rsidRPr="001D34EE">
        <w:rPr>
          <w:i/>
        </w:rPr>
        <w:t>Current Medical Research and Opinion</w:t>
      </w:r>
      <w:r w:rsidRPr="001D34EE">
        <w:t>. 2009;25(10):2479-85.</w:t>
      </w:r>
      <w:bookmarkEnd w:id="407"/>
    </w:p>
    <w:p w:rsidR="001D34EE" w:rsidRPr="001D34EE" w:rsidRDefault="001D34EE" w:rsidP="001D34EE">
      <w:pPr>
        <w:pStyle w:val="EndNoteBibliography"/>
        <w:spacing w:after="0"/>
        <w:ind w:left="720" w:hanging="720"/>
      </w:pPr>
      <w:bookmarkStart w:id="408" w:name="_ENREF_14"/>
      <w:r w:rsidRPr="001D34EE">
        <w:t>14.</w:t>
      </w:r>
      <w:r w:rsidRPr="001D34EE">
        <w:tab/>
        <w:t xml:space="preserve">Croxtall JD, Lyseng-Williamson KA. Tadalafil: in pulmonary arterial hypertension. </w:t>
      </w:r>
      <w:r w:rsidRPr="001D34EE">
        <w:rPr>
          <w:i/>
        </w:rPr>
        <w:t>Drugs</w:t>
      </w:r>
      <w:r w:rsidRPr="001D34EE">
        <w:t>. 2010;70(4):479-88.</w:t>
      </w:r>
      <w:bookmarkEnd w:id="408"/>
    </w:p>
    <w:p w:rsidR="001D34EE" w:rsidRPr="001D34EE" w:rsidRDefault="001D34EE" w:rsidP="001D34EE">
      <w:pPr>
        <w:pStyle w:val="EndNoteBibliography"/>
        <w:spacing w:after="0"/>
        <w:ind w:left="720" w:hanging="720"/>
      </w:pPr>
      <w:bookmarkStart w:id="409" w:name="_ENREF_15"/>
      <w:r w:rsidRPr="001D34EE">
        <w:t>15.</w:t>
      </w:r>
      <w:r w:rsidRPr="001D34EE">
        <w:tab/>
        <w:t xml:space="preserve">Badesch DB, Hill NS, Burgess G, Rubin LJ, Barst RJ, Galiè N, et al. Sildenafil for pulmonary arterial hypertension associated with connective tissue disease. </w:t>
      </w:r>
      <w:r w:rsidRPr="001D34EE">
        <w:rPr>
          <w:i/>
        </w:rPr>
        <w:t>Journal of Rheumatology</w:t>
      </w:r>
      <w:r w:rsidRPr="001D34EE">
        <w:t>. 2007;34(12):2417-22.</w:t>
      </w:r>
      <w:bookmarkEnd w:id="409"/>
    </w:p>
    <w:p w:rsidR="001D34EE" w:rsidRPr="001D34EE" w:rsidRDefault="001D34EE" w:rsidP="001D34EE">
      <w:pPr>
        <w:pStyle w:val="EndNoteBibliography"/>
        <w:spacing w:after="0"/>
        <w:ind w:left="720" w:hanging="720"/>
      </w:pPr>
      <w:bookmarkStart w:id="410" w:name="_ENREF_16"/>
      <w:r w:rsidRPr="001D34EE">
        <w:t>16.</w:t>
      </w:r>
      <w:r w:rsidRPr="001D34EE">
        <w:tab/>
        <w:t xml:space="preserve">Pepke-Zaba J, Gilbert C, Collings L, Brown MCJ. Sildenafil improves health-related quality of life in patients with pulmonary arterial hypertension. </w:t>
      </w:r>
      <w:r w:rsidRPr="001D34EE">
        <w:rPr>
          <w:i/>
        </w:rPr>
        <w:t>Chest</w:t>
      </w:r>
      <w:r w:rsidRPr="001D34EE">
        <w:t>. 2008;133(1):183-9.</w:t>
      </w:r>
      <w:bookmarkEnd w:id="410"/>
    </w:p>
    <w:p w:rsidR="001D34EE" w:rsidRPr="001D34EE" w:rsidRDefault="001D34EE" w:rsidP="001D34EE">
      <w:pPr>
        <w:pStyle w:val="EndNoteBibliography"/>
        <w:spacing w:after="0"/>
        <w:ind w:left="720" w:hanging="720"/>
      </w:pPr>
      <w:bookmarkStart w:id="411" w:name="_ENREF_17"/>
      <w:r w:rsidRPr="001D34EE">
        <w:lastRenderedPageBreak/>
        <w:t>17.</w:t>
      </w:r>
      <w:r w:rsidRPr="001D34EE">
        <w:tab/>
        <w:t xml:space="preserve">Gilbert C, Brown MCJ, Cappelleri JC, Carlsson M, McKenna SP. Estimating a minimally important difference in pulmonary arterial hypertension following treatment with sildenafil. </w:t>
      </w:r>
      <w:r w:rsidRPr="001D34EE">
        <w:rPr>
          <w:i/>
        </w:rPr>
        <w:t>Chest</w:t>
      </w:r>
      <w:r w:rsidRPr="001D34EE">
        <w:t>. 2009;135(1):137-42.</w:t>
      </w:r>
      <w:bookmarkEnd w:id="411"/>
    </w:p>
    <w:p w:rsidR="001D34EE" w:rsidRPr="001D34EE" w:rsidRDefault="001D34EE" w:rsidP="001D34EE">
      <w:pPr>
        <w:pStyle w:val="EndNoteBibliography"/>
        <w:spacing w:after="0"/>
        <w:ind w:left="720" w:hanging="720"/>
      </w:pPr>
      <w:bookmarkStart w:id="412" w:name="_ENREF_18"/>
      <w:r w:rsidRPr="001D34EE">
        <w:t>18.</w:t>
      </w:r>
      <w:r w:rsidRPr="001D34EE">
        <w:tab/>
        <w:t xml:space="preserve">Olschewski H, Simonneau G, Galiè N, Higenbottam T, Naeije R, Rubin LJ, et al. Inhaled iloprost for severe pulmonary hypertension. </w:t>
      </w:r>
      <w:r w:rsidRPr="001D34EE">
        <w:rPr>
          <w:i/>
        </w:rPr>
        <w:t>New England Journal of Medicine</w:t>
      </w:r>
      <w:r w:rsidRPr="001D34EE">
        <w:t>. 2002;347(5):322-9.</w:t>
      </w:r>
      <w:bookmarkEnd w:id="412"/>
    </w:p>
    <w:p w:rsidR="001D34EE" w:rsidRPr="001D34EE" w:rsidRDefault="001D34EE" w:rsidP="001D34EE">
      <w:pPr>
        <w:pStyle w:val="EndNoteBibliography"/>
        <w:spacing w:after="0"/>
        <w:ind w:left="720" w:hanging="720"/>
      </w:pPr>
      <w:bookmarkStart w:id="413" w:name="_ENREF_19"/>
      <w:r w:rsidRPr="001D34EE">
        <w:t>19.</w:t>
      </w:r>
      <w:r w:rsidRPr="001D34EE">
        <w:tab/>
        <w:t xml:space="preserve">Barst RJ, Rubin LJ, Long WA, McGoon MD, Rich S, Badesch DB, et al. A comparison of continuous intravenous epoprostenol (prostacyclin) with conventional therapy for primary pulmonary hypertension. </w:t>
      </w:r>
      <w:r w:rsidRPr="001D34EE">
        <w:rPr>
          <w:i/>
        </w:rPr>
        <w:t>New England Journal of Medicine</w:t>
      </w:r>
      <w:r w:rsidRPr="001D34EE">
        <w:t>. 1996;334(5):296-301.</w:t>
      </w:r>
      <w:bookmarkEnd w:id="413"/>
    </w:p>
    <w:p w:rsidR="001D34EE" w:rsidRPr="001D34EE" w:rsidRDefault="001D34EE" w:rsidP="001D34EE">
      <w:pPr>
        <w:pStyle w:val="EndNoteBibliography"/>
        <w:spacing w:after="0"/>
        <w:ind w:left="720" w:hanging="720"/>
      </w:pPr>
      <w:bookmarkStart w:id="414" w:name="_ENREF_20"/>
      <w:r w:rsidRPr="001D34EE">
        <w:t>20.</w:t>
      </w:r>
      <w:r w:rsidRPr="001D34EE">
        <w:tab/>
        <w:t xml:space="preserve">Rubin LJ, Mendoza J, Hood M, McGoon M, Barst R, Williams WB, et al. Treatment of primary pulmonary hypertension with continuous intravenous prostacyclin (epoprostenol). Results of a randomized trial. </w:t>
      </w:r>
      <w:r w:rsidRPr="001D34EE">
        <w:rPr>
          <w:i/>
        </w:rPr>
        <w:t>Annals of Internal Medicine</w:t>
      </w:r>
      <w:r w:rsidRPr="001D34EE">
        <w:t>. 1990;112(7):485-91.</w:t>
      </w:r>
      <w:bookmarkEnd w:id="414"/>
    </w:p>
    <w:p w:rsidR="001D34EE" w:rsidRPr="001D34EE" w:rsidRDefault="001D34EE" w:rsidP="001D34EE">
      <w:pPr>
        <w:pStyle w:val="EndNoteBibliography"/>
        <w:spacing w:after="0"/>
        <w:ind w:left="720" w:hanging="720"/>
      </w:pPr>
      <w:bookmarkStart w:id="415" w:name="_ENREF_21"/>
      <w:r w:rsidRPr="001D34EE">
        <w:t>21.</w:t>
      </w:r>
      <w:r w:rsidRPr="001D34EE">
        <w:tab/>
        <w:t xml:space="preserve">Badesch DB, Tapson VF, McGoon MD, Brundage BH, Rubin LJ, Wigley FM, et al. Continuous intravenous epoprostenol for pulmonary hypertension due to the scleroderma spectrum of disease: A randomized, controlled trial. </w:t>
      </w:r>
      <w:r w:rsidRPr="001D34EE">
        <w:rPr>
          <w:i/>
        </w:rPr>
        <w:t>Annals of Internal Medicine</w:t>
      </w:r>
      <w:r w:rsidRPr="001D34EE">
        <w:t>. 2000;132(6):425-34.</w:t>
      </w:r>
      <w:bookmarkEnd w:id="415"/>
    </w:p>
    <w:p w:rsidR="001D34EE" w:rsidRPr="001D34EE" w:rsidRDefault="001D34EE" w:rsidP="001D34EE">
      <w:pPr>
        <w:pStyle w:val="EndNoteBibliography"/>
        <w:spacing w:after="0"/>
        <w:ind w:left="720" w:hanging="720"/>
      </w:pPr>
      <w:bookmarkStart w:id="416" w:name="_ENREF_22"/>
      <w:r w:rsidRPr="001D34EE">
        <w:t>22.</w:t>
      </w:r>
      <w:r w:rsidRPr="001D34EE">
        <w:tab/>
        <w:t xml:space="preserve">Denton CP, Humbert M, Rubin L, Black CM. Bosentan treatment for pulmonary arterial hypertension related to connective tissue disease: A subgroup analysis of the pivotal clinical trials and their open-label extensions. </w:t>
      </w:r>
      <w:r w:rsidRPr="001D34EE">
        <w:rPr>
          <w:i/>
        </w:rPr>
        <w:t>Annals of the Rheumatic Diseases</w:t>
      </w:r>
      <w:r w:rsidRPr="001D34EE">
        <w:t>. 2006;65(10):1336-40.</w:t>
      </w:r>
      <w:bookmarkEnd w:id="416"/>
    </w:p>
    <w:p w:rsidR="001D34EE" w:rsidRPr="001D34EE" w:rsidRDefault="001D34EE" w:rsidP="001D34EE">
      <w:pPr>
        <w:pStyle w:val="EndNoteBibliography"/>
        <w:spacing w:after="0"/>
        <w:ind w:left="720" w:hanging="720"/>
      </w:pPr>
      <w:bookmarkStart w:id="417" w:name="_ENREF_23"/>
      <w:r w:rsidRPr="001D34EE">
        <w:t>23.</w:t>
      </w:r>
      <w:r w:rsidRPr="001D34EE">
        <w:tab/>
        <w:t xml:space="preserve">Ghofrani HA, Galiè N, Grimminger F, Grünig E, Humbert M, Jing ZC, et al. Riociguat for the treatment of pulmonary arterial hypertension. </w:t>
      </w:r>
      <w:r w:rsidRPr="001D34EE">
        <w:rPr>
          <w:i/>
        </w:rPr>
        <w:t>New England Journal of Medicine</w:t>
      </w:r>
      <w:r w:rsidRPr="001D34EE">
        <w:t>. 2013;369(4):330-40.</w:t>
      </w:r>
      <w:bookmarkEnd w:id="417"/>
    </w:p>
    <w:p w:rsidR="001D34EE" w:rsidRPr="001D34EE" w:rsidRDefault="001D34EE" w:rsidP="001D34EE">
      <w:pPr>
        <w:pStyle w:val="EndNoteBibliography"/>
        <w:spacing w:after="0"/>
        <w:ind w:left="720" w:hanging="720"/>
      </w:pPr>
      <w:bookmarkStart w:id="418" w:name="_ENREF_24"/>
      <w:r w:rsidRPr="001D34EE">
        <w:t>24.</w:t>
      </w:r>
      <w:r w:rsidRPr="001D34EE">
        <w:tab/>
        <w:t xml:space="preserve">Liberati A, Altman DG, Tetzlaff J, Mulrow C, Gotzsche PC, Ioannidis JP, et al. The PRISMA statement for reporting systematic reviews and meta-analyses of studies that evaluate health care interventions: explanation and elaboration. </w:t>
      </w:r>
      <w:r w:rsidRPr="001D34EE">
        <w:rPr>
          <w:i/>
        </w:rPr>
        <w:t>PLoS Med</w:t>
      </w:r>
      <w:r w:rsidRPr="001D34EE">
        <w:t>. 2009;6(7):e1000100.</w:t>
      </w:r>
      <w:bookmarkEnd w:id="418"/>
    </w:p>
    <w:p w:rsidR="001D34EE" w:rsidRPr="001D34EE" w:rsidRDefault="001D34EE" w:rsidP="001D34EE">
      <w:pPr>
        <w:pStyle w:val="EndNoteBibliography"/>
        <w:spacing w:after="0"/>
        <w:ind w:left="720" w:hanging="720"/>
      </w:pPr>
      <w:bookmarkStart w:id="419" w:name="_ENREF_25"/>
      <w:r w:rsidRPr="001D34EE">
        <w:t>25.</w:t>
      </w:r>
      <w:r w:rsidRPr="001D34EE">
        <w:tab/>
        <w:t xml:space="preserve">Higgins JP, Altman DG, Gotzsche PC, Juni P, Moher D, Oxman AD, et al. The Cochrane Collaboration's tool for assessing risk of bias in randomised trials. </w:t>
      </w:r>
      <w:r w:rsidRPr="001D34EE">
        <w:rPr>
          <w:i/>
        </w:rPr>
        <w:t>BMJ</w:t>
      </w:r>
      <w:r w:rsidRPr="001D34EE">
        <w:t>. 2011;343:d5928.</w:t>
      </w:r>
      <w:bookmarkEnd w:id="419"/>
    </w:p>
    <w:p w:rsidR="001D34EE" w:rsidRPr="001D34EE" w:rsidRDefault="001D34EE" w:rsidP="001D34EE">
      <w:pPr>
        <w:pStyle w:val="EndNoteBibliography"/>
        <w:spacing w:after="0"/>
        <w:ind w:left="720" w:hanging="720"/>
      </w:pPr>
      <w:bookmarkStart w:id="420" w:name="_ENREF_26"/>
      <w:r w:rsidRPr="001D34EE">
        <w:t>26.</w:t>
      </w:r>
      <w:r w:rsidRPr="001D34EE">
        <w:tab/>
        <w:t xml:space="preserve">Sterne JA, Hernan MA, Reeves BC, Savovic J, Berkman ND, Viswanathan M, et al. ROBINS-I: a tool for assessing risk of bias in non-randomised studies of interventions. </w:t>
      </w:r>
      <w:r w:rsidRPr="001D34EE">
        <w:rPr>
          <w:i/>
        </w:rPr>
        <w:t>BMJ</w:t>
      </w:r>
      <w:r w:rsidRPr="001D34EE">
        <w:t>. 2016;355:i4919.</w:t>
      </w:r>
      <w:bookmarkEnd w:id="420"/>
    </w:p>
    <w:p w:rsidR="001D34EE" w:rsidRPr="001D34EE" w:rsidRDefault="001D34EE" w:rsidP="001D34EE">
      <w:pPr>
        <w:pStyle w:val="EndNoteBibliography"/>
        <w:spacing w:after="0"/>
        <w:ind w:left="720" w:hanging="720"/>
      </w:pPr>
      <w:bookmarkStart w:id="421" w:name="_ENREF_27"/>
      <w:r w:rsidRPr="001D34EE">
        <w:t>27.</w:t>
      </w:r>
      <w:r w:rsidRPr="001D34EE">
        <w:tab/>
        <w:t xml:space="preserve">Shea BJ, Reeves BC, Wells G, Thuku M, Hamel C, Moran J, et al. AMSTAR 2: a critical appraisal tool for systematic reviews that include randomised or non-randomised studies of healthcare interventions, or both. </w:t>
      </w:r>
      <w:r w:rsidRPr="001D34EE">
        <w:rPr>
          <w:i/>
        </w:rPr>
        <w:t>BMJ</w:t>
      </w:r>
      <w:r w:rsidRPr="001D34EE">
        <w:t>. 2017;358:j4008.</w:t>
      </w:r>
      <w:bookmarkEnd w:id="421"/>
    </w:p>
    <w:p w:rsidR="001D34EE" w:rsidRPr="001D34EE" w:rsidRDefault="001D34EE" w:rsidP="001D34EE">
      <w:pPr>
        <w:pStyle w:val="EndNoteBibliography"/>
        <w:spacing w:after="0"/>
        <w:ind w:left="720" w:hanging="720"/>
      </w:pPr>
      <w:bookmarkStart w:id="422" w:name="_ENREF_28"/>
      <w:r w:rsidRPr="001D34EE">
        <w:t>28.</w:t>
      </w:r>
      <w:r w:rsidRPr="001D34EE">
        <w:tab/>
      </w:r>
      <w:r w:rsidRPr="001D34EE">
        <w:rPr>
          <w:sz w:val="22"/>
        </w:rPr>
        <w:t>NHMRC</w:t>
      </w:r>
      <w:r w:rsidRPr="001D34EE">
        <w:t xml:space="preserve">. </w:t>
      </w:r>
      <w:r w:rsidRPr="001D34EE">
        <w:rPr>
          <w:sz w:val="22"/>
        </w:rPr>
        <w:t>How to use the evidence: assessment and application of scientific evidence</w:t>
      </w:r>
      <w:r w:rsidRPr="001D34EE">
        <w:t xml:space="preserve">. </w:t>
      </w:r>
      <w:r w:rsidRPr="001D34EE">
        <w:rPr>
          <w:sz w:val="22"/>
        </w:rPr>
        <w:t>Canberra</w:t>
      </w:r>
      <w:r w:rsidRPr="001D34EE">
        <w:t xml:space="preserve">: </w:t>
      </w:r>
      <w:r w:rsidRPr="001D34EE">
        <w:rPr>
          <w:sz w:val="22"/>
        </w:rPr>
        <w:t>National Health and Medical Research Council, Commonwealth of Australia</w:t>
      </w:r>
      <w:r w:rsidRPr="001D34EE">
        <w:t xml:space="preserve">. </w:t>
      </w:r>
      <w:r w:rsidRPr="001D34EE">
        <w:rPr>
          <w:sz w:val="22"/>
        </w:rPr>
        <w:t>2000</w:t>
      </w:r>
      <w:r w:rsidRPr="001D34EE">
        <w:t>.</w:t>
      </w:r>
      <w:bookmarkEnd w:id="422"/>
    </w:p>
    <w:p w:rsidR="001D34EE" w:rsidRPr="001D34EE" w:rsidRDefault="001D34EE" w:rsidP="001D34EE">
      <w:pPr>
        <w:pStyle w:val="EndNoteBibliography"/>
        <w:spacing w:after="0"/>
        <w:ind w:left="720" w:hanging="720"/>
      </w:pPr>
      <w:bookmarkStart w:id="423" w:name="_ENREF_29"/>
      <w:r w:rsidRPr="001D34EE">
        <w:t>29.</w:t>
      </w:r>
      <w:r w:rsidRPr="001D34EE">
        <w:tab/>
        <w:t xml:space="preserve">Merlin T, Weston A, Tooher R. Extending an evidence hierarchy to include topics other than treatment: revising the Australian 'levels of evidence'. </w:t>
      </w:r>
      <w:r w:rsidRPr="001D34EE">
        <w:rPr>
          <w:i/>
        </w:rPr>
        <w:t>BMC Med Res Methodol</w:t>
      </w:r>
      <w:r w:rsidRPr="001D34EE">
        <w:t>. 2009;9:34.</w:t>
      </w:r>
      <w:bookmarkEnd w:id="423"/>
    </w:p>
    <w:p w:rsidR="001D34EE" w:rsidRPr="001D34EE" w:rsidRDefault="001D34EE" w:rsidP="001D34EE">
      <w:pPr>
        <w:pStyle w:val="EndNoteBibliography"/>
        <w:spacing w:after="0"/>
        <w:ind w:left="720" w:hanging="720"/>
      </w:pPr>
      <w:bookmarkStart w:id="424" w:name="_ENREF_30"/>
      <w:r w:rsidRPr="001D34EE">
        <w:t>30.</w:t>
      </w:r>
      <w:r w:rsidRPr="001D34EE">
        <w:tab/>
        <w:t xml:space="preserve">Galie N, Barbera JA, Frost AE, Ghofrani HA, Hoeper MM, McLaughlin VV, et al. Initial use of ambrisentan plus tadalafil in pulmonary arterial hypertension. </w:t>
      </w:r>
      <w:r w:rsidRPr="001D34EE">
        <w:rPr>
          <w:i/>
        </w:rPr>
        <w:t>New England Journal of Medicine</w:t>
      </w:r>
      <w:r w:rsidRPr="001D34EE">
        <w:t>. 2015;373(9):834-44.</w:t>
      </w:r>
      <w:bookmarkEnd w:id="424"/>
    </w:p>
    <w:p w:rsidR="001D34EE" w:rsidRPr="001D34EE" w:rsidRDefault="001D34EE" w:rsidP="001D34EE">
      <w:pPr>
        <w:pStyle w:val="EndNoteBibliography"/>
        <w:spacing w:after="0"/>
        <w:ind w:left="720" w:hanging="720"/>
      </w:pPr>
      <w:bookmarkStart w:id="425" w:name="_ENREF_31"/>
      <w:r w:rsidRPr="001D34EE">
        <w:t>31.</w:t>
      </w:r>
      <w:r w:rsidRPr="001D34EE">
        <w:tab/>
        <w:t xml:space="preserve">Coghlan J, Galie N, Barbera J, Frost A, Ghofrani H, Hoeper M. Initial combination therapy with ambrisentan and tadalafil in connective tissue disease-associated pulmonary arterial hypertension (CTD-PAH): subgroup analysis from the AMBITION trial. </w:t>
      </w:r>
      <w:r w:rsidRPr="001D34EE">
        <w:rPr>
          <w:i/>
        </w:rPr>
        <w:t>Annals of the Rheumatic Diseases</w:t>
      </w:r>
      <w:r w:rsidRPr="001D34EE">
        <w:t>. 2016;76(7):1219-27.</w:t>
      </w:r>
      <w:bookmarkEnd w:id="425"/>
    </w:p>
    <w:p w:rsidR="001D34EE" w:rsidRPr="001D34EE" w:rsidRDefault="001D34EE" w:rsidP="001D34EE">
      <w:pPr>
        <w:pStyle w:val="EndNoteBibliography"/>
        <w:spacing w:after="0"/>
        <w:ind w:left="720" w:hanging="720"/>
      </w:pPr>
      <w:bookmarkStart w:id="426" w:name="_ENREF_32"/>
      <w:r w:rsidRPr="001D34EE">
        <w:t>32.</w:t>
      </w:r>
      <w:r w:rsidRPr="001D34EE">
        <w:tab/>
        <w:t xml:space="preserve">Hoeper MM, McLaughlin VV, Barberá JA, Frost AE, Ghofrani HA, Peacock AJ, et al. Initial combination therapy with ambrisentan and tadalafil and mortality in patients with pulmonary arterial hypertension: a secondary analysis of the results from the randomised, controlled AMBITION study. </w:t>
      </w:r>
      <w:r w:rsidRPr="001D34EE">
        <w:rPr>
          <w:i/>
        </w:rPr>
        <w:t>The Lancet Respiratory Medicine</w:t>
      </w:r>
      <w:r w:rsidRPr="001D34EE">
        <w:t>. 2016;4(11):894-901.</w:t>
      </w:r>
      <w:bookmarkEnd w:id="426"/>
    </w:p>
    <w:p w:rsidR="001D34EE" w:rsidRPr="001D34EE" w:rsidRDefault="001D34EE" w:rsidP="001D34EE">
      <w:pPr>
        <w:pStyle w:val="EndNoteBibliography"/>
        <w:spacing w:after="0"/>
        <w:ind w:left="720" w:hanging="720"/>
      </w:pPr>
      <w:bookmarkStart w:id="427" w:name="_ENREF_33"/>
      <w:r w:rsidRPr="001D34EE">
        <w:lastRenderedPageBreak/>
        <w:t>33.</w:t>
      </w:r>
      <w:r w:rsidRPr="001D34EE">
        <w:tab/>
        <w:t xml:space="preserve">Chin KM, Bartolome S, Miller K, Blair C, Gillies H, Torres F. Does treatment response to ambrisentan vary by pulmonary arterial hypertension severity? Implications for clinicians and for the design of future clinical trials. </w:t>
      </w:r>
      <w:r w:rsidRPr="001D34EE">
        <w:rPr>
          <w:i/>
        </w:rPr>
        <w:t>International Journal of Clinical Practice</w:t>
      </w:r>
      <w:r w:rsidRPr="001D34EE">
        <w:t>. 2014;68(5):568-77.</w:t>
      </w:r>
      <w:bookmarkEnd w:id="427"/>
    </w:p>
    <w:p w:rsidR="001D34EE" w:rsidRPr="001D34EE" w:rsidRDefault="001D34EE" w:rsidP="001D34EE">
      <w:pPr>
        <w:pStyle w:val="EndNoteBibliography"/>
        <w:spacing w:after="0"/>
        <w:ind w:left="720" w:hanging="720"/>
      </w:pPr>
      <w:bookmarkStart w:id="428" w:name="_ENREF_34"/>
      <w:r w:rsidRPr="001D34EE">
        <w:t>34.</w:t>
      </w:r>
      <w:r w:rsidRPr="001D34EE">
        <w:tab/>
        <w:t xml:space="preserve">Fischer A, Denton CP, Matucci-Cerinic M, Gillies H, Blair C, Tislow J, et al. Ambrisentan response in connective tissue disease-associated pulmonary arterial hypertension (CTD-PAH) – A subgroup analysis of the ARIES-E clinical trial. </w:t>
      </w:r>
      <w:r w:rsidRPr="001D34EE">
        <w:rPr>
          <w:i/>
        </w:rPr>
        <w:t>Respiratory Medicine</w:t>
      </w:r>
      <w:r w:rsidRPr="001D34EE">
        <w:t>. 2016;117:254-63.</w:t>
      </w:r>
      <w:bookmarkEnd w:id="428"/>
    </w:p>
    <w:p w:rsidR="001D34EE" w:rsidRPr="001D34EE" w:rsidRDefault="001D34EE" w:rsidP="001D34EE">
      <w:pPr>
        <w:pStyle w:val="EndNoteBibliography"/>
        <w:spacing w:after="0"/>
        <w:ind w:left="720" w:hanging="720"/>
      </w:pPr>
      <w:bookmarkStart w:id="429" w:name="_ENREF_35"/>
      <w:r w:rsidRPr="001D34EE">
        <w:t>35.</w:t>
      </w:r>
      <w:r w:rsidRPr="001D34EE">
        <w:tab/>
        <w:t xml:space="preserve">Humbert M, Barst RJ, Robbins IM, Channick RN, Galiè N, Boonstra A, et al. Combination of bosentan with epoprostenol in pulmonary arterial hypertension: BREATHE-2. </w:t>
      </w:r>
      <w:r w:rsidRPr="001D34EE">
        <w:rPr>
          <w:i/>
        </w:rPr>
        <w:t>European Respiratory Journal</w:t>
      </w:r>
      <w:r w:rsidRPr="001D34EE">
        <w:t>. 2004;24(3):353-9.</w:t>
      </w:r>
      <w:bookmarkEnd w:id="429"/>
    </w:p>
    <w:p w:rsidR="001D34EE" w:rsidRPr="001D34EE" w:rsidRDefault="001D34EE" w:rsidP="001D34EE">
      <w:pPr>
        <w:pStyle w:val="EndNoteBibliography"/>
        <w:spacing w:after="0"/>
        <w:ind w:left="720" w:hanging="720"/>
      </w:pPr>
      <w:bookmarkStart w:id="430" w:name="_ENREF_36"/>
      <w:r w:rsidRPr="001D34EE">
        <w:t>36.</w:t>
      </w:r>
      <w:r w:rsidRPr="001D34EE">
        <w:tab/>
        <w:t xml:space="preserve">Hoeper MM, Leuchte H, Halank M, Wilkens H, Meyer FJ, Seyfarth HJ, et al. Combining inhaled iloprost with bosentan in patients with idiopathic pulmonary arterial hypertension. </w:t>
      </w:r>
      <w:r w:rsidRPr="001D34EE">
        <w:rPr>
          <w:i/>
        </w:rPr>
        <w:t>European Respiratory Journal</w:t>
      </w:r>
      <w:r w:rsidRPr="001D34EE">
        <w:t>. 2006;28(4):691-4.</w:t>
      </w:r>
      <w:bookmarkEnd w:id="430"/>
    </w:p>
    <w:p w:rsidR="001D34EE" w:rsidRPr="001D34EE" w:rsidRDefault="001D34EE" w:rsidP="001D34EE">
      <w:pPr>
        <w:pStyle w:val="EndNoteBibliography"/>
        <w:spacing w:after="0"/>
        <w:ind w:left="720" w:hanging="720"/>
      </w:pPr>
      <w:bookmarkStart w:id="431" w:name="_ENREF_37"/>
      <w:r w:rsidRPr="001D34EE">
        <w:t>37.</w:t>
      </w:r>
      <w:r w:rsidRPr="001D34EE">
        <w:tab/>
        <w:t xml:space="preserve">McLaughlin V, Channick RN, Ghofrani HA, Lemarié JC, Naeije R, Packer M, et al. Bosentan added to sildenafil therapy in patients with pulmonary arterial hypertension. </w:t>
      </w:r>
      <w:r w:rsidRPr="001D34EE">
        <w:rPr>
          <w:i/>
        </w:rPr>
        <w:t>European Respiratory Journal</w:t>
      </w:r>
      <w:r w:rsidRPr="001D34EE">
        <w:t>. 2015;46(2):405-13.</w:t>
      </w:r>
      <w:bookmarkEnd w:id="431"/>
    </w:p>
    <w:p w:rsidR="001D34EE" w:rsidRPr="001D34EE" w:rsidRDefault="001D34EE" w:rsidP="001D34EE">
      <w:pPr>
        <w:pStyle w:val="EndNoteBibliography"/>
        <w:spacing w:after="0"/>
        <w:ind w:left="720" w:hanging="720"/>
      </w:pPr>
      <w:bookmarkStart w:id="432" w:name="_ENREF_38"/>
      <w:r w:rsidRPr="001D34EE">
        <w:t>38.</w:t>
      </w:r>
      <w:r w:rsidRPr="001D34EE">
        <w:tab/>
        <w:t xml:space="preserve">Han X, Zhang Y, Dong L, Fang L, Chai Y, Niu M. Treatment of pulmonary arterial hypertension using initial combination therapy of bosentan and iloprost. </w:t>
      </w:r>
      <w:r w:rsidRPr="001D34EE">
        <w:rPr>
          <w:i/>
        </w:rPr>
        <w:t>Respiratory Care</w:t>
      </w:r>
      <w:r w:rsidRPr="001D34EE">
        <w:t>. 2017;62(4):489-96.</w:t>
      </w:r>
      <w:bookmarkEnd w:id="432"/>
    </w:p>
    <w:p w:rsidR="001D34EE" w:rsidRPr="001D34EE" w:rsidRDefault="001D34EE" w:rsidP="001D34EE">
      <w:pPr>
        <w:pStyle w:val="EndNoteBibliography"/>
        <w:spacing w:after="0"/>
        <w:ind w:left="720" w:hanging="720"/>
      </w:pPr>
      <w:bookmarkStart w:id="433" w:name="_ENREF_39"/>
      <w:r w:rsidRPr="001D34EE">
        <w:t>39.</w:t>
      </w:r>
      <w:r w:rsidRPr="001D34EE">
        <w:tab/>
        <w:t xml:space="preserve">Mainguy V, Malenfant S, Neyron AS, Bonnet S, Maltais F, Saey D, et al. Repeatability and responsiveness of exercise tests in pulmonary arterial hypertension. </w:t>
      </w:r>
      <w:r w:rsidRPr="001D34EE">
        <w:rPr>
          <w:i/>
        </w:rPr>
        <w:t>European Respiratory Journal</w:t>
      </w:r>
      <w:r w:rsidRPr="001D34EE">
        <w:t>. 2013;42(2):425-34.</w:t>
      </w:r>
      <w:bookmarkEnd w:id="433"/>
    </w:p>
    <w:p w:rsidR="001D34EE" w:rsidRPr="001D34EE" w:rsidRDefault="001D34EE" w:rsidP="001D34EE">
      <w:pPr>
        <w:pStyle w:val="EndNoteBibliography"/>
        <w:spacing w:after="0"/>
        <w:ind w:left="720" w:hanging="720"/>
      </w:pPr>
      <w:bookmarkStart w:id="434" w:name="_ENREF_40"/>
      <w:r w:rsidRPr="001D34EE">
        <w:t>40.</w:t>
      </w:r>
      <w:r w:rsidRPr="001D34EE">
        <w:tab/>
        <w:t xml:space="preserve">Mukhopadhyay S, Nathani S, Yusuf J, Shrimal D, Tyagi S. Clinical efficacy of phosphodiesterase-5 inhibitor tadalafil in Eisenmenger Syndrome-A randomized, placebo-controlled, double-blind crossover study. </w:t>
      </w:r>
      <w:r w:rsidRPr="001D34EE">
        <w:rPr>
          <w:i/>
        </w:rPr>
        <w:t>Congenital Heart Disease</w:t>
      </w:r>
      <w:r w:rsidRPr="001D34EE">
        <w:t>. 2011;6(5):424-31.</w:t>
      </w:r>
      <w:bookmarkEnd w:id="434"/>
    </w:p>
    <w:p w:rsidR="001D34EE" w:rsidRPr="001D34EE" w:rsidRDefault="001D34EE" w:rsidP="001D34EE">
      <w:pPr>
        <w:pStyle w:val="EndNoteBibliography"/>
        <w:spacing w:after="0"/>
        <w:ind w:left="720" w:hanging="720"/>
      </w:pPr>
      <w:bookmarkStart w:id="435" w:name="_ENREF_41"/>
      <w:r w:rsidRPr="001D34EE">
        <w:t>41.</w:t>
      </w:r>
      <w:r w:rsidRPr="001D34EE">
        <w:tab/>
        <w:t xml:space="preserve">Simonneau G, Rubin LJ, Galiè N, Barst RJ, Fleming TR, Frost AE, et al. Addition of sildenafil to long-term intravenous epoprostenol therapy in patients with pulmonary arterial hypertension: A randomized trial. </w:t>
      </w:r>
      <w:r w:rsidRPr="001D34EE">
        <w:rPr>
          <w:i/>
        </w:rPr>
        <w:t>Annals of Internal Medicine</w:t>
      </w:r>
      <w:r w:rsidRPr="001D34EE">
        <w:t>. 2008;149(8):521-30.</w:t>
      </w:r>
      <w:bookmarkEnd w:id="435"/>
    </w:p>
    <w:p w:rsidR="001D34EE" w:rsidRPr="001D34EE" w:rsidRDefault="001D34EE" w:rsidP="001D34EE">
      <w:pPr>
        <w:pStyle w:val="EndNoteBibliography"/>
        <w:spacing w:after="0"/>
        <w:ind w:left="720" w:hanging="720"/>
      </w:pPr>
      <w:bookmarkStart w:id="436" w:name="_ENREF_42"/>
      <w:r w:rsidRPr="001D34EE">
        <w:t>42.</w:t>
      </w:r>
      <w:r w:rsidRPr="001D34EE">
        <w:tab/>
        <w:t xml:space="preserve">Langleben D, Galiè N, He J, Huang Y, Humbert M, Keogh A, et al. Use of clinically relevant responder threshold criteria to evaluate the response to treatment in the Phase III PATENT-1 study. </w:t>
      </w:r>
      <w:r w:rsidRPr="001D34EE">
        <w:rPr>
          <w:i/>
        </w:rPr>
        <w:t>Journal of Heart and Lung Transplantation</w:t>
      </w:r>
      <w:r w:rsidRPr="001D34EE">
        <w:t>. 2015;34(3):338-47.</w:t>
      </w:r>
      <w:bookmarkEnd w:id="436"/>
    </w:p>
    <w:p w:rsidR="001D34EE" w:rsidRPr="001D34EE" w:rsidRDefault="001D34EE" w:rsidP="001D34EE">
      <w:pPr>
        <w:pStyle w:val="EndNoteBibliography"/>
        <w:spacing w:after="0"/>
        <w:ind w:left="720" w:hanging="720"/>
      </w:pPr>
      <w:bookmarkStart w:id="437" w:name="_ENREF_43"/>
      <w:r w:rsidRPr="001D34EE">
        <w:t>43.</w:t>
      </w:r>
      <w:r w:rsidRPr="001D34EE">
        <w:tab/>
        <w:t xml:space="preserve">Galiè N, Grimminger F, Grünig E, Hoeper MM, Humbert M, Jing ZC, et al. Comparison of hemodynamic parameters in treatment-naïve and pre-treated patients with pulmonary arterial hypertension in the randomized phase III PATENT-1 study. </w:t>
      </w:r>
      <w:r w:rsidRPr="001D34EE">
        <w:rPr>
          <w:i/>
        </w:rPr>
        <w:t>Journal of Heart and Lung Transplantation</w:t>
      </w:r>
      <w:r w:rsidRPr="001D34EE">
        <w:t>. 2017;36(5):509-19.</w:t>
      </w:r>
      <w:bookmarkEnd w:id="437"/>
    </w:p>
    <w:p w:rsidR="001D34EE" w:rsidRPr="001D34EE" w:rsidRDefault="001D34EE" w:rsidP="001D34EE">
      <w:pPr>
        <w:pStyle w:val="EndNoteBibliography"/>
        <w:spacing w:after="0"/>
        <w:ind w:left="720" w:hanging="720"/>
      </w:pPr>
      <w:bookmarkStart w:id="438" w:name="_ENREF_44"/>
      <w:r w:rsidRPr="001D34EE">
        <w:t>44.</w:t>
      </w:r>
      <w:r w:rsidRPr="001D34EE">
        <w:tab/>
        <w:t xml:space="preserve">Galiè N, Müller K, Scalise AV, Grünig E. PATENT PLUS: A blinded, randomised and extension study of riociguat plus sildenafil in pulmonary arterial hypertension. </w:t>
      </w:r>
      <w:r w:rsidRPr="001D34EE">
        <w:rPr>
          <w:i/>
        </w:rPr>
        <w:t>European Respiratory Journal</w:t>
      </w:r>
      <w:r w:rsidRPr="001D34EE">
        <w:t>. 2015;45(5):1314-22.</w:t>
      </w:r>
      <w:bookmarkEnd w:id="438"/>
    </w:p>
    <w:p w:rsidR="001D34EE" w:rsidRPr="001D34EE" w:rsidRDefault="001D34EE" w:rsidP="001D34EE">
      <w:pPr>
        <w:pStyle w:val="EndNoteBibliography"/>
        <w:spacing w:after="0"/>
        <w:ind w:left="720" w:hanging="720"/>
      </w:pPr>
      <w:bookmarkStart w:id="439" w:name="_ENREF_45"/>
      <w:r w:rsidRPr="001D34EE">
        <w:t>45.</w:t>
      </w:r>
      <w:r w:rsidRPr="001D34EE">
        <w:tab/>
        <w:t>Barst R, Oudiz R, Beardsworth A, Brundage B, Simonneau G, Ghofrani H, et al. Tadalafil monotherapy and as add-on to background bosentan in patients with pulmonary arterial hypertension. 2011;30(6):632-43.</w:t>
      </w:r>
      <w:bookmarkEnd w:id="439"/>
    </w:p>
    <w:p w:rsidR="001D34EE" w:rsidRPr="001D34EE" w:rsidRDefault="001D34EE" w:rsidP="001D34EE">
      <w:pPr>
        <w:pStyle w:val="EndNoteBibliography"/>
        <w:spacing w:after="0"/>
        <w:ind w:left="720" w:hanging="720"/>
      </w:pPr>
      <w:bookmarkStart w:id="440" w:name="_ENREF_46"/>
      <w:r w:rsidRPr="001D34EE">
        <w:t>46.</w:t>
      </w:r>
      <w:r w:rsidRPr="001D34EE">
        <w:tab/>
        <w:t xml:space="preserve">Channick RN, Delcroix M, Ghofrani HA, Hunsche E, Jansa P, Le Brun FO, et al. Effect of macitentan on hospitalizations: Results from the SERAPHIN trial. </w:t>
      </w:r>
      <w:r w:rsidRPr="001D34EE">
        <w:rPr>
          <w:i/>
        </w:rPr>
        <w:t>JACC: Heart Failure</w:t>
      </w:r>
      <w:r w:rsidRPr="001D34EE">
        <w:t>. 2015;3(1):1-8.</w:t>
      </w:r>
      <w:bookmarkEnd w:id="440"/>
    </w:p>
    <w:p w:rsidR="001D34EE" w:rsidRPr="001D34EE" w:rsidRDefault="001D34EE" w:rsidP="001D34EE">
      <w:pPr>
        <w:pStyle w:val="EndNoteBibliography"/>
        <w:spacing w:after="0"/>
        <w:ind w:left="720" w:hanging="720"/>
      </w:pPr>
      <w:bookmarkStart w:id="441" w:name="_ENREF_47"/>
      <w:r w:rsidRPr="001D34EE">
        <w:t>47.</w:t>
      </w:r>
      <w:r w:rsidRPr="001D34EE">
        <w:tab/>
        <w:t xml:space="preserve">Mehta S, Sastry BKS, Souza R, Torbicki A, Ghofrani HA, Channick RN, et al. Macitentan Improves Health-Related Quality of Life for Patients With Pulmonary Arterial Hypertension: Results From the Randomized Controlled SERAPHIN Trial. </w:t>
      </w:r>
      <w:r w:rsidRPr="001D34EE">
        <w:rPr>
          <w:i/>
        </w:rPr>
        <w:t>Chest</w:t>
      </w:r>
      <w:r w:rsidRPr="001D34EE">
        <w:t>. 2017;151(1):106-18.</w:t>
      </w:r>
      <w:bookmarkEnd w:id="441"/>
    </w:p>
    <w:p w:rsidR="001D34EE" w:rsidRPr="001D34EE" w:rsidRDefault="001D34EE" w:rsidP="001D34EE">
      <w:pPr>
        <w:pStyle w:val="EndNoteBibliography"/>
        <w:spacing w:after="0"/>
        <w:ind w:left="720" w:hanging="720"/>
      </w:pPr>
      <w:bookmarkStart w:id="442" w:name="_ENREF_48"/>
      <w:r w:rsidRPr="001D34EE">
        <w:lastRenderedPageBreak/>
        <w:t>48.</w:t>
      </w:r>
      <w:r w:rsidRPr="001D34EE">
        <w:tab/>
        <w:t xml:space="preserve">McLaughlin VV, Oudiz RJ, Frost A, Tapson VF, Murali S, Channick RN, et al. Randomized study of adding inhaled iloprost to existing bosentan in pulmonary arterial hypertension. </w:t>
      </w:r>
      <w:r w:rsidRPr="001D34EE">
        <w:rPr>
          <w:i/>
        </w:rPr>
        <w:t>American Journal of Respiratory and Critical Care Medicine</w:t>
      </w:r>
      <w:r w:rsidRPr="001D34EE">
        <w:t>. 2006;174(11):1257-63.</w:t>
      </w:r>
      <w:bookmarkEnd w:id="442"/>
    </w:p>
    <w:p w:rsidR="001D34EE" w:rsidRPr="001D34EE" w:rsidRDefault="001D34EE" w:rsidP="001D34EE">
      <w:pPr>
        <w:pStyle w:val="EndNoteBibliography"/>
        <w:spacing w:after="0"/>
        <w:ind w:left="720" w:hanging="720"/>
      </w:pPr>
      <w:bookmarkStart w:id="443" w:name="_ENREF_49"/>
      <w:r w:rsidRPr="001D34EE">
        <w:t>49.</w:t>
      </w:r>
      <w:r w:rsidRPr="001D34EE">
        <w:tab/>
        <w:t xml:space="preserve">Vizza CD, Jansa P, Teal S, Dombi T, Zhou D. Sildenafil dosed concomitantly with bosentan for adult pulmonary arterial hypertension in a randomized controlled trial. </w:t>
      </w:r>
      <w:r w:rsidRPr="001D34EE">
        <w:rPr>
          <w:i/>
        </w:rPr>
        <w:t>BMC Cardiovascular Disorders</w:t>
      </w:r>
      <w:r w:rsidRPr="001D34EE">
        <w:t>. 2017;17(1).</w:t>
      </w:r>
      <w:bookmarkEnd w:id="443"/>
    </w:p>
    <w:p w:rsidR="001D34EE" w:rsidRPr="001D34EE" w:rsidRDefault="001D34EE" w:rsidP="001D34EE">
      <w:pPr>
        <w:pStyle w:val="EndNoteBibliography"/>
        <w:spacing w:after="0"/>
        <w:ind w:left="720" w:hanging="720"/>
      </w:pPr>
      <w:bookmarkStart w:id="444" w:name="_ENREF_50"/>
      <w:r w:rsidRPr="001D34EE">
        <w:t>50.</w:t>
      </w:r>
      <w:r w:rsidRPr="001D34EE">
        <w:tab/>
        <w:t xml:space="preserve">Zhuang Y, Jiang B, Gao H, Zhao W. Randomized study of adding tadalafil to existing ambrisentan in pulmonary arterial hypertension. </w:t>
      </w:r>
      <w:r w:rsidRPr="001D34EE">
        <w:rPr>
          <w:i/>
        </w:rPr>
        <w:t>Hypertension Research</w:t>
      </w:r>
      <w:r w:rsidRPr="001D34EE">
        <w:t>. 2014;37(6):507-12.</w:t>
      </w:r>
      <w:bookmarkEnd w:id="444"/>
    </w:p>
    <w:p w:rsidR="001D34EE" w:rsidRPr="001D34EE" w:rsidRDefault="001D34EE" w:rsidP="001D34EE">
      <w:pPr>
        <w:pStyle w:val="EndNoteBibliography"/>
        <w:spacing w:after="0"/>
        <w:ind w:left="720" w:hanging="720"/>
      </w:pPr>
      <w:bookmarkStart w:id="445" w:name="_ENREF_51"/>
      <w:r w:rsidRPr="001D34EE">
        <w:t>51.</w:t>
      </w:r>
      <w:r w:rsidRPr="001D34EE">
        <w:tab/>
        <w:t xml:space="preserve">Sun YJ, Yang T, Zeng WJ, Gu Q, Ni XH, Zhao ZH, et al. Impact of sildenafil on survival of patients with eisenmenger syndrome. </w:t>
      </w:r>
      <w:r w:rsidRPr="001D34EE">
        <w:rPr>
          <w:i/>
        </w:rPr>
        <w:t>Journal of Clinical Pharmacology</w:t>
      </w:r>
      <w:r w:rsidRPr="001D34EE">
        <w:t>. 2013;53(6):611-8.</w:t>
      </w:r>
      <w:bookmarkEnd w:id="445"/>
    </w:p>
    <w:p w:rsidR="001D34EE" w:rsidRPr="001D34EE" w:rsidRDefault="001D34EE" w:rsidP="001D34EE">
      <w:pPr>
        <w:pStyle w:val="EndNoteBibliography"/>
        <w:spacing w:after="0"/>
        <w:ind w:left="720" w:hanging="720"/>
      </w:pPr>
      <w:bookmarkStart w:id="446" w:name="_ENREF_52"/>
      <w:r w:rsidRPr="001D34EE">
        <w:t>52.</w:t>
      </w:r>
      <w:r w:rsidRPr="001D34EE">
        <w:tab/>
        <w:t xml:space="preserve">Sastry BKS, Soma Raju B, Narasimhan C, Surya Prakash G, Krishna Reddy N, Ananad B. Sildenafil improves survival in idiopathic pulmonary arterial hypertension. </w:t>
      </w:r>
      <w:r w:rsidRPr="001D34EE">
        <w:rPr>
          <w:i/>
        </w:rPr>
        <w:t>Indian Heart Journal</w:t>
      </w:r>
      <w:r w:rsidRPr="001D34EE">
        <w:t>. 2007;59(4):336-41.</w:t>
      </w:r>
      <w:bookmarkEnd w:id="446"/>
    </w:p>
    <w:p w:rsidR="001D34EE" w:rsidRPr="001D34EE" w:rsidRDefault="001D34EE" w:rsidP="001D34EE">
      <w:pPr>
        <w:pStyle w:val="EndNoteBibliography"/>
        <w:spacing w:after="0"/>
        <w:ind w:left="720" w:hanging="720"/>
      </w:pPr>
      <w:bookmarkStart w:id="447" w:name="_ENREF_53"/>
      <w:r w:rsidRPr="001D34EE">
        <w:t>53.</w:t>
      </w:r>
      <w:r w:rsidRPr="001D34EE">
        <w:tab/>
        <w:t xml:space="preserve">Wirostko BM, Tressler C, Hwang LJ, Burgess G, Laties AM. Ocular safety of sildenafil citrate when administered chronically for pulmonary arterial hypertension: results from phase III, randomised, double masked, placebo controlled trial and open label extension. </w:t>
      </w:r>
      <w:r w:rsidRPr="001D34EE">
        <w:rPr>
          <w:i/>
        </w:rPr>
        <w:t>BMJ (Clinical research ed)</w:t>
      </w:r>
      <w:r w:rsidRPr="001D34EE">
        <w:t>. 2012;344:e554.</w:t>
      </w:r>
      <w:bookmarkEnd w:id="447"/>
    </w:p>
    <w:p w:rsidR="001D34EE" w:rsidRPr="001D34EE" w:rsidRDefault="001D34EE" w:rsidP="001D34EE">
      <w:pPr>
        <w:pStyle w:val="EndNoteBibliography"/>
        <w:spacing w:after="0"/>
        <w:ind w:left="720" w:hanging="720"/>
      </w:pPr>
      <w:bookmarkStart w:id="448" w:name="_ENREF_54"/>
      <w:r w:rsidRPr="001D34EE">
        <w:t>54.</w:t>
      </w:r>
      <w:r w:rsidRPr="001D34EE">
        <w:tab/>
        <w:t xml:space="preserve">Barst RJ, Ivy DD, Gaitan G, Szatmari A, Rudzinski A, Garcia AE, et al. A randomized, double-blind, placebo-controlled, dose-ranging study of oral sildenafil citrate in treatment-naive children with pulmonary arterial hypertension. </w:t>
      </w:r>
      <w:r w:rsidRPr="001D34EE">
        <w:rPr>
          <w:i/>
        </w:rPr>
        <w:t>Circulation</w:t>
      </w:r>
      <w:r w:rsidRPr="001D34EE">
        <w:t>. 2012;125(2):324-34.</w:t>
      </w:r>
      <w:bookmarkEnd w:id="448"/>
    </w:p>
    <w:p w:rsidR="001D34EE" w:rsidRPr="001D34EE" w:rsidRDefault="001D34EE" w:rsidP="001D34EE">
      <w:pPr>
        <w:pStyle w:val="EndNoteBibliography"/>
        <w:spacing w:after="0"/>
        <w:ind w:left="720" w:hanging="720"/>
      </w:pPr>
      <w:bookmarkStart w:id="449" w:name="_ENREF_55"/>
      <w:r w:rsidRPr="001D34EE">
        <w:t>55.</w:t>
      </w:r>
      <w:r w:rsidRPr="001D34EE">
        <w:tab/>
        <w:t xml:space="preserve">Oudiz RJ, Galiè N, Olschewski H, Torres F, Frost A, Ghofrani HA, et al. Long-Term Ambrisentan Therapy for the Treatment of Pulmonary Arterial Hypertension. </w:t>
      </w:r>
      <w:r w:rsidRPr="001D34EE">
        <w:rPr>
          <w:i/>
        </w:rPr>
        <w:t>Journal of the American College of Cardiology</w:t>
      </w:r>
      <w:r w:rsidRPr="001D34EE">
        <w:t>. 2009;54(21):1971-81.</w:t>
      </w:r>
      <w:bookmarkEnd w:id="449"/>
    </w:p>
    <w:p w:rsidR="001D34EE" w:rsidRPr="001D34EE" w:rsidRDefault="001D34EE" w:rsidP="001D34EE">
      <w:pPr>
        <w:pStyle w:val="EndNoteBibliography"/>
        <w:spacing w:after="0"/>
        <w:ind w:left="720" w:hanging="720"/>
      </w:pPr>
      <w:bookmarkStart w:id="450" w:name="_ENREF_56"/>
      <w:r w:rsidRPr="001D34EE">
        <w:t>56.</w:t>
      </w:r>
      <w:r w:rsidRPr="001D34EE">
        <w:tab/>
        <w:t xml:space="preserve">Dickinson MG, Schölvinck EH, Boonstra A, Vonk-Noordegraaf A, Snijder RJ, Berger RMF. Low Complication Rates With Totally Implantable Access Port Use in Epoprostenol Treatment of Pulmonary Hypertension. </w:t>
      </w:r>
      <w:r w:rsidRPr="001D34EE">
        <w:rPr>
          <w:i/>
        </w:rPr>
        <w:t>Journal of Heart and Lung Transplantation</w:t>
      </w:r>
      <w:r w:rsidRPr="001D34EE">
        <w:t>. 2009;28(3):273-9.</w:t>
      </w:r>
      <w:bookmarkEnd w:id="450"/>
    </w:p>
    <w:p w:rsidR="001D34EE" w:rsidRPr="001D34EE" w:rsidRDefault="001D34EE" w:rsidP="001D34EE">
      <w:pPr>
        <w:pStyle w:val="EndNoteBibliography"/>
        <w:spacing w:after="0"/>
        <w:ind w:left="720" w:hanging="720"/>
      </w:pPr>
      <w:bookmarkStart w:id="451" w:name="_ENREF_57"/>
      <w:r w:rsidRPr="001D34EE">
        <w:t>57.</w:t>
      </w:r>
      <w:r w:rsidRPr="001D34EE">
        <w:tab/>
        <w:t xml:space="preserve">Simonneau G, Galiè N, Jansa P, Meyer GMB, Al-Hiti H, Kusic-Pajic A, et al. Long-term results from the EARLY study of bosentan in WHO functional class II pulmonary arterial hypertension patients. </w:t>
      </w:r>
      <w:r w:rsidRPr="001D34EE">
        <w:rPr>
          <w:i/>
        </w:rPr>
        <w:t>International Journal of Cardiology</w:t>
      </w:r>
      <w:r w:rsidRPr="001D34EE">
        <w:t>. 2014;172(2):332-9.</w:t>
      </w:r>
      <w:bookmarkEnd w:id="451"/>
    </w:p>
    <w:p w:rsidR="001D34EE" w:rsidRPr="001D34EE" w:rsidRDefault="001D34EE" w:rsidP="001D34EE">
      <w:pPr>
        <w:pStyle w:val="EndNoteBibliography"/>
        <w:spacing w:after="0"/>
        <w:ind w:left="720" w:hanging="720"/>
      </w:pPr>
      <w:bookmarkStart w:id="452" w:name="_ENREF_58"/>
      <w:r w:rsidRPr="001D34EE">
        <w:t>58.</w:t>
      </w:r>
      <w:r w:rsidRPr="001D34EE">
        <w:tab/>
        <w:t xml:space="preserve">Hislop AA, Moledina S, Foster H, Schulze-Neick I, Haworth SG. Long-term efficacy of bosentan in treatment of pulmonary arterial hypertension in children. </w:t>
      </w:r>
      <w:r w:rsidRPr="001D34EE">
        <w:rPr>
          <w:i/>
        </w:rPr>
        <w:t>European Respiratory Journal</w:t>
      </w:r>
      <w:r w:rsidRPr="001D34EE">
        <w:t>. 2011;38(1):70-7.</w:t>
      </w:r>
      <w:bookmarkEnd w:id="452"/>
    </w:p>
    <w:p w:rsidR="001D34EE" w:rsidRPr="001D34EE" w:rsidRDefault="001D34EE" w:rsidP="001D34EE">
      <w:pPr>
        <w:pStyle w:val="EndNoteBibliography"/>
        <w:spacing w:after="0"/>
        <w:ind w:left="720" w:hanging="720"/>
      </w:pPr>
      <w:bookmarkStart w:id="453" w:name="_ENREF_59"/>
      <w:r w:rsidRPr="001D34EE">
        <w:t>59.</w:t>
      </w:r>
      <w:r w:rsidRPr="001D34EE">
        <w:tab/>
        <w:t xml:space="preserve">Kallen AJ, Lederman E, Balaji A, Trevino I, Petersen EE, Shoulson R, et al. Bloodstream infections in patients given treatment with intravenous prostanoids. </w:t>
      </w:r>
      <w:r w:rsidRPr="001D34EE">
        <w:rPr>
          <w:i/>
        </w:rPr>
        <w:t>Infection Control and Hospital Epidemiology</w:t>
      </w:r>
      <w:r w:rsidRPr="001D34EE">
        <w:t>. 2008;29(4):342-9.</w:t>
      </w:r>
      <w:bookmarkEnd w:id="453"/>
    </w:p>
    <w:p w:rsidR="001D34EE" w:rsidRPr="001D34EE" w:rsidRDefault="001D34EE" w:rsidP="001D34EE">
      <w:pPr>
        <w:pStyle w:val="EndNoteBibliography"/>
        <w:spacing w:after="0"/>
        <w:ind w:left="720" w:hanging="720"/>
      </w:pPr>
      <w:bookmarkStart w:id="454" w:name="_ENREF_60"/>
      <w:r w:rsidRPr="001D34EE">
        <w:t>60.</w:t>
      </w:r>
      <w:r w:rsidRPr="001D34EE">
        <w:tab/>
        <w:t xml:space="preserve">Keogh A, Strange G, McNeil K, Williams TJ, Gabbay E, Proudman S, et al. The bosentan patient registry: Long-term survival in pulmonary arterial hypertension. </w:t>
      </w:r>
      <w:r w:rsidRPr="001D34EE">
        <w:rPr>
          <w:i/>
        </w:rPr>
        <w:t>Internal Medicine Journal</w:t>
      </w:r>
      <w:r w:rsidRPr="001D34EE">
        <w:t>. 2011;41(3):227-34.</w:t>
      </w:r>
      <w:bookmarkEnd w:id="454"/>
    </w:p>
    <w:p w:rsidR="001D34EE" w:rsidRPr="001D34EE" w:rsidRDefault="001D34EE" w:rsidP="001D34EE">
      <w:pPr>
        <w:pStyle w:val="EndNoteBibliography"/>
        <w:spacing w:after="0"/>
        <w:ind w:left="720" w:hanging="720"/>
      </w:pPr>
      <w:bookmarkStart w:id="455" w:name="_ENREF_61"/>
      <w:r w:rsidRPr="001D34EE">
        <w:t>61.</w:t>
      </w:r>
      <w:r w:rsidRPr="001D34EE">
        <w:tab/>
        <w:t xml:space="preserve">Kitterman N, Poms A, Miller DP, Lombardi S, Farber HW, Barst RJ. Bloodstream infections in patients with pulmonary arterial hypertension treated with intravenous prostanoids: Insights from the REVEAL REGISTRY®. </w:t>
      </w:r>
      <w:r w:rsidRPr="001D34EE">
        <w:rPr>
          <w:i/>
        </w:rPr>
        <w:t>Mayo Clinic Proceedings</w:t>
      </w:r>
      <w:r w:rsidRPr="001D34EE">
        <w:t>. 2012;87(9):825-34.</w:t>
      </w:r>
      <w:bookmarkEnd w:id="455"/>
    </w:p>
    <w:p w:rsidR="001D34EE" w:rsidRPr="001D34EE" w:rsidRDefault="001D34EE" w:rsidP="001D34EE">
      <w:pPr>
        <w:pStyle w:val="EndNoteBibliography"/>
        <w:spacing w:after="0"/>
        <w:ind w:left="720" w:hanging="720"/>
      </w:pPr>
      <w:bookmarkStart w:id="456" w:name="_ENREF_62"/>
      <w:r w:rsidRPr="001D34EE">
        <w:t>62.</w:t>
      </w:r>
      <w:r w:rsidRPr="001D34EE">
        <w:tab/>
        <w:t xml:space="preserve">McLaughlin VV, Shillington A, Rich S. Survival in primary pulmonary hypertension: The impact of epoprostenol therapy. </w:t>
      </w:r>
      <w:r w:rsidRPr="001D34EE">
        <w:rPr>
          <w:i/>
        </w:rPr>
        <w:t>Circulation</w:t>
      </w:r>
      <w:r w:rsidRPr="001D34EE">
        <w:t>. 2002;106(12):1477-82.</w:t>
      </w:r>
      <w:bookmarkEnd w:id="456"/>
    </w:p>
    <w:p w:rsidR="001D34EE" w:rsidRPr="001D34EE" w:rsidRDefault="001D34EE" w:rsidP="001D34EE">
      <w:pPr>
        <w:pStyle w:val="EndNoteBibliography"/>
        <w:spacing w:after="0"/>
        <w:ind w:left="720" w:hanging="720"/>
      </w:pPr>
      <w:bookmarkStart w:id="457" w:name="_ENREF_63"/>
      <w:r w:rsidRPr="001D34EE">
        <w:t>63.</w:t>
      </w:r>
      <w:r w:rsidRPr="001D34EE">
        <w:tab/>
        <w:t xml:space="preserve">Oudiz RJ, Widlitz A, Beckmann XJ, Camanga D, Alfie J, Brundage BH, et al. Micrococcus-associated central venous catheter infection in patients with pulmonary arterial hypertension. </w:t>
      </w:r>
      <w:r w:rsidRPr="001D34EE">
        <w:rPr>
          <w:i/>
        </w:rPr>
        <w:t>Chest</w:t>
      </w:r>
      <w:r w:rsidRPr="001D34EE">
        <w:t>. 2004;126(1):90-4.</w:t>
      </w:r>
      <w:bookmarkEnd w:id="457"/>
    </w:p>
    <w:p w:rsidR="001D34EE" w:rsidRPr="001D34EE" w:rsidRDefault="001D34EE" w:rsidP="001D34EE">
      <w:pPr>
        <w:pStyle w:val="EndNoteBibliography"/>
        <w:spacing w:after="0"/>
        <w:ind w:left="720" w:hanging="720"/>
      </w:pPr>
      <w:bookmarkStart w:id="458" w:name="_ENREF_64"/>
      <w:r w:rsidRPr="001D34EE">
        <w:lastRenderedPageBreak/>
        <w:t>64.</w:t>
      </w:r>
      <w:r w:rsidRPr="001D34EE">
        <w:tab/>
        <w:t xml:space="preserve">Simonneau G, Rubin LJ, Galiè N, Barst RJ, Fleming TR, Frost A, et al. Long-term sildenafil added to intravenous epoprostenol in patients with pulmonary arterial hypertension. </w:t>
      </w:r>
      <w:r w:rsidRPr="001D34EE">
        <w:rPr>
          <w:i/>
        </w:rPr>
        <w:t>Journal of Heart and Lung Transplantation</w:t>
      </w:r>
      <w:r w:rsidRPr="001D34EE">
        <w:t>. 2014;33(7):689-97.</w:t>
      </w:r>
      <w:bookmarkEnd w:id="458"/>
    </w:p>
    <w:p w:rsidR="001D34EE" w:rsidRPr="001D34EE" w:rsidRDefault="001D34EE" w:rsidP="001D34EE">
      <w:pPr>
        <w:pStyle w:val="EndNoteBibliography"/>
        <w:spacing w:after="0"/>
        <w:ind w:left="720" w:hanging="720"/>
      </w:pPr>
      <w:bookmarkStart w:id="459" w:name="_ENREF_65"/>
      <w:r w:rsidRPr="001D34EE">
        <w:t>65.</w:t>
      </w:r>
      <w:r w:rsidRPr="001D34EE">
        <w:tab/>
        <w:t xml:space="preserve">Ghofrani HA, Grimminger F, Grünig E, Huang Y, Jansa P, Jing ZC, et al. Predictors of long-term outcomes in patients treated with riociguat for pulmonary arterial hypertension: Data from the PATENT-2 open-label, randomised, long-term extension trial. </w:t>
      </w:r>
      <w:r w:rsidRPr="001D34EE">
        <w:rPr>
          <w:i/>
        </w:rPr>
        <w:t>The Lancet Respiratory Medicine</w:t>
      </w:r>
      <w:r w:rsidRPr="001D34EE">
        <w:t>. 2016;4(5):361-71.</w:t>
      </w:r>
      <w:bookmarkEnd w:id="459"/>
    </w:p>
    <w:p w:rsidR="001D34EE" w:rsidRPr="001D34EE" w:rsidRDefault="001D34EE" w:rsidP="001D34EE">
      <w:pPr>
        <w:pStyle w:val="EndNoteBibliography"/>
        <w:spacing w:after="0"/>
        <w:ind w:left="720" w:hanging="720"/>
      </w:pPr>
      <w:bookmarkStart w:id="460" w:name="_ENREF_66"/>
      <w:r w:rsidRPr="001D34EE">
        <w:t>66.</w:t>
      </w:r>
      <w:r w:rsidRPr="001D34EE">
        <w:tab/>
        <w:t xml:space="preserve">Provencher S, Sitbon O, Humbert M, Cabrol S, Jaïs X, Simonneau G. Long-term outcome with first-line bosentan therapy in idiopathic pulmonary arterial hypertension. </w:t>
      </w:r>
      <w:r w:rsidRPr="001D34EE">
        <w:rPr>
          <w:i/>
        </w:rPr>
        <w:t>European Heart Journal</w:t>
      </w:r>
      <w:r w:rsidRPr="001D34EE">
        <w:t>. 2006;27(5):589-95.</w:t>
      </w:r>
      <w:bookmarkEnd w:id="460"/>
    </w:p>
    <w:p w:rsidR="001D34EE" w:rsidRPr="001D34EE" w:rsidRDefault="001D34EE" w:rsidP="001D34EE">
      <w:pPr>
        <w:pStyle w:val="EndNoteBibliography"/>
        <w:spacing w:after="0"/>
        <w:ind w:left="720" w:hanging="720"/>
      </w:pPr>
      <w:bookmarkStart w:id="461" w:name="_ENREF_67"/>
      <w:r w:rsidRPr="001D34EE">
        <w:t>67.</w:t>
      </w:r>
      <w:r w:rsidRPr="001D34EE">
        <w:tab/>
        <w:t xml:space="preserve">Sitbon O, Humbert M, Nunes H, Parent F, Garcia G, Hervé P, et al. Long-term intravenous epoprostenol infusion in primary pulmonary hypertension: Prognostic factors and survival. </w:t>
      </w:r>
      <w:r w:rsidRPr="001D34EE">
        <w:rPr>
          <w:i/>
        </w:rPr>
        <w:t>Journal of the American College of Cardiology</w:t>
      </w:r>
      <w:r w:rsidRPr="001D34EE">
        <w:t>. 2002;40(4):780-8.</w:t>
      </w:r>
      <w:bookmarkEnd w:id="461"/>
    </w:p>
    <w:p w:rsidR="001D34EE" w:rsidRPr="001D34EE" w:rsidRDefault="001D34EE" w:rsidP="001D34EE">
      <w:pPr>
        <w:pStyle w:val="EndNoteBibliography"/>
        <w:spacing w:after="0"/>
        <w:ind w:left="720" w:hanging="720"/>
      </w:pPr>
      <w:bookmarkStart w:id="462" w:name="_ENREF_68"/>
      <w:r w:rsidRPr="001D34EE">
        <w:t>68.</w:t>
      </w:r>
      <w:r w:rsidRPr="001D34EE">
        <w:tab/>
        <w:t xml:space="preserve">Sitbon O, Sattler C, Bertoletti L, Savale L, Cottin V, Jaïs X, et al. Initial dual oral combination therapy in pulmonary arterial hypertension. </w:t>
      </w:r>
      <w:r w:rsidRPr="001D34EE">
        <w:rPr>
          <w:i/>
        </w:rPr>
        <w:t>European Respiratory Journal</w:t>
      </w:r>
      <w:r w:rsidRPr="001D34EE">
        <w:t>. 2016;47(6):1727-36.</w:t>
      </w:r>
      <w:bookmarkEnd w:id="462"/>
    </w:p>
    <w:p w:rsidR="001D34EE" w:rsidRPr="001D34EE" w:rsidRDefault="001D34EE" w:rsidP="001D34EE">
      <w:pPr>
        <w:pStyle w:val="EndNoteBibliography"/>
        <w:spacing w:after="0"/>
        <w:ind w:left="720" w:hanging="720"/>
      </w:pPr>
      <w:bookmarkStart w:id="463" w:name="_ENREF_69"/>
      <w:r w:rsidRPr="001D34EE">
        <w:t>69.</w:t>
      </w:r>
      <w:r w:rsidRPr="001D34EE">
        <w:tab/>
        <w:t xml:space="preserve">Barst RJ, Beghetti M, Pulido T, Layton G, Konourina I, Zhang M, et al. STARTS-2: Long-term survival with oral sildenafil monotherapy in treatment-naive pediatric pulmonary arterial hypertension. </w:t>
      </w:r>
      <w:r w:rsidRPr="001D34EE">
        <w:rPr>
          <w:i/>
        </w:rPr>
        <w:t>Circulation</w:t>
      </w:r>
      <w:r w:rsidRPr="001D34EE">
        <w:t>. 2014;129(19):1914-23.</w:t>
      </w:r>
      <w:bookmarkEnd w:id="463"/>
    </w:p>
    <w:p w:rsidR="001D34EE" w:rsidRPr="001D34EE" w:rsidRDefault="001D34EE" w:rsidP="001D34EE">
      <w:pPr>
        <w:pStyle w:val="EndNoteBibliography"/>
        <w:spacing w:after="0"/>
        <w:ind w:left="720" w:hanging="720"/>
      </w:pPr>
      <w:bookmarkStart w:id="464" w:name="_ENREF_70"/>
      <w:r w:rsidRPr="001D34EE">
        <w:t>70.</w:t>
      </w:r>
      <w:r w:rsidRPr="001D34EE">
        <w:tab/>
        <w:t xml:space="preserve">Vachiéry JL, Hoeper MM, Peacock AJ, Sitbon O, Cheli M, Church C, et al. Ambrisentan use for pulmonary arterial hypertension in a post-authorization drug registry: The VOLibris Tracking Study. </w:t>
      </w:r>
      <w:r w:rsidRPr="001D34EE">
        <w:rPr>
          <w:i/>
        </w:rPr>
        <w:t>Journal of Heart and Lung Transplantation</w:t>
      </w:r>
      <w:r w:rsidRPr="001D34EE">
        <w:t>. 2017;36(4):399-406.</w:t>
      </w:r>
      <w:bookmarkEnd w:id="464"/>
    </w:p>
    <w:p w:rsidR="001D34EE" w:rsidRPr="001D34EE" w:rsidRDefault="001D34EE" w:rsidP="001D34EE">
      <w:pPr>
        <w:pStyle w:val="EndNoteBibliography"/>
        <w:spacing w:after="0"/>
        <w:ind w:left="720" w:hanging="720"/>
      </w:pPr>
      <w:bookmarkStart w:id="465" w:name="_ENREF_71"/>
      <w:r w:rsidRPr="001D34EE">
        <w:t>71.</w:t>
      </w:r>
      <w:r w:rsidRPr="001D34EE">
        <w:tab/>
        <w:t xml:space="preserve">Badesch DB, McGoon MD, Barst RJ, Tapson VF, Rubin LJ, Wigley FM, et al. Longterm survival among patients with scleroderma-associated pulmonary arterial hypertension treated with intravenous epoprostenol. </w:t>
      </w:r>
      <w:r w:rsidRPr="001D34EE">
        <w:rPr>
          <w:i/>
        </w:rPr>
        <w:t>Journal of Rheumatology</w:t>
      </w:r>
      <w:r w:rsidRPr="001D34EE">
        <w:t>. 2009;36(10):2244-9.</w:t>
      </w:r>
      <w:bookmarkEnd w:id="465"/>
    </w:p>
    <w:p w:rsidR="001D34EE" w:rsidRPr="001D34EE" w:rsidRDefault="001D34EE" w:rsidP="001D34EE">
      <w:pPr>
        <w:pStyle w:val="EndNoteBibliography"/>
        <w:spacing w:after="0"/>
        <w:ind w:left="720" w:hanging="720"/>
      </w:pPr>
      <w:bookmarkStart w:id="466" w:name="_ENREF_72"/>
      <w:r w:rsidRPr="001D34EE">
        <w:t>72.</w:t>
      </w:r>
      <w:r w:rsidRPr="001D34EE">
        <w:tab/>
        <w:t xml:space="preserve">Vis JC, Duffels MG, Mulder P, De Bruin-Bon RHACM, Bouma BJ, Berger RMF, et al. Prolonged beneficial effect of bosentan treatment and 4-year survival rates in adult patients with pulmonary arterial hypertension associated with congenital heart disease. </w:t>
      </w:r>
      <w:r w:rsidRPr="001D34EE">
        <w:rPr>
          <w:i/>
        </w:rPr>
        <w:t>International Journal of Cardiology</w:t>
      </w:r>
      <w:r w:rsidRPr="001D34EE">
        <w:t>. 2013;164(1):64-9.</w:t>
      </w:r>
      <w:bookmarkEnd w:id="466"/>
    </w:p>
    <w:p w:rsidR="001D34EE" w:rsidRPr="001D34EE" w:rsidRDefault="001D34EE" w:rsidP="001D34EE">
      <w:pPr>
        <w:pStyle w:val="EndNoteBibliography"/>
        <w:spacing w:after="0"/>
        <w:ind w:left="720" w:hanging="720"/>
      </w:pPr>
      <w:bookmarkStart w:id="467" w:name="_ENREF_73"/>
      <w:r w:rsidRPr="001D34EE">
        <w:t>73.</w:t>
      </w:r>
      <w:r w:rsidRPr="001D34EE">
        <w:tab/>
        <w:t xml:space="preserve">McLaughlin VV, Badesch DB, Delcroix M, Fleming TR, Gaine SP, Galie N, et al. End points and clinical trial design in pulmonary arterial hypertension. </w:t>
      </w:r>
      <w:r w:rsidRPr="001D34EE">
        <w:rPr>
          <w:i/>
        </w:rPr>
        <w:t>J Am Coll Cardiol</w:t>
      </w:r>
      <w:r w:rsidRPr="001D34EE">
        <w:t>. 2009;54(1 Suppl):S97-107.</w:t>
      </w:r>
      <w:bookmarkEnd w:id="467"/>
    </w:p>
    <w:p w:rsidR="001D34EE" w:rsidRPr="001D34EE" w:rsidRDefault="001D34EE" w:rsidP="001D34EE">
      <w:pPr>
        <w:pStyle w:val="EndNoteBibliography"/>
        <w:spacing w:after="0"/>
        <w:ind w:left="720" w:hanging="720"/>
      </w:pPr>
      <w:bookmarkStart w:id="468" w:name="_ENREF_74"/>
      <w:r w:rsidRPr="001D34EE">
        <w:t>74.</w:t>
      </w:r>
      <w:r w:rsidRPr="001D34EE">
        <w:tab/>
        <w:t>Committee for Medicinal Products for Human Use (CHMP). Guideline on the clinical investigations of medicinal products for the treatment of pulmonary arterial hypertension. EMEA/CHMP/EWP/356954/2008. 2009. London, UK.</w:t>
      </w:r>
      <w:bookmarkEnd w:id="468"/>
    </w:p>
    <w:p w:rsidR="001D34EE" w:rsidRPr="001D34EE" w:rsidRDefault="001D34EE" w:rsidP="001D34EE">
      <w:pPr>
        <w:pStyle w:val="EndNoteBibliography"/>
        <w:spacing w:after="0"/>
        <w:ind w:left="720" w:hanging="720"/>
      </w:pPr>
      <w:bookmarkStart w:id="469" w:name="_ENREF_75"/>
      <w:r w:rsidRPr="001D34EE">
        <w:t>75.</w:t>
      </w:r>
      <w:r w:rsidRPr="001D34EE">
        <w:tab/>
        <w:t xml:space="preserve">Ventetuolo C, Benza R, AJ P, RT Z, </w:t>
      </w:r>
      <w:r w:rsidRPr="001D34EE">
        <w:rPr>
          <w:i/>
        </w:rPr>
        <w:t>al e</w:t>
      </w:r>
      <w:r w:rsidRPr="001D34EE">
        <w:t xml:space="preserve">. Surrogate and combined end points in pulmonary arterial hypertension. </w:t>
      </w:r>
      <w:r w:rsidRPr="001D34EE">
        <w:rPr>
          <w:i/>
        </w:rPr>
        <w:t>Proceedings of the American Thoracic Society</w:t>
      </w:r>
      <w:r w:rsidRPr="001D34EE">
        <w:t>. 2008;5:617-22.</w:t>
      </w:r>
      <w:bookmarkEnd w:id="469"/>
    </w:p>
    <w:p w:rsidR="001D34EE" w:rsidRPr="001D34EE" w:rsidRDefault="001D34EE" w:rsidP="001D34EE">
      <w:pPr>
        <w:pStyle w:val="EndNoteBibliography"/>
        <w:spacing w:after="0"/>
        <w:ind w:left="720" w:hanging="720"/>
      </w:pPr>
      <w:bookmarkStart w:id="470" w:name="_ENREF_76"/>
      <w:r w:rsidRPr="001D34EE">
        <w:t>76.</w:t>
      </w:r>
      <w:r w:rsidRPr="001D34EE">
        <w:tab/>
        <w:t xml:space="preserve">American Thoracic Society. Guidelines for the six-minute walk test </w:t>
      </w:r>
      <w:r w:rsidRPr="001D34EE">
        <w:rPr>
          <w:i/>
        </w:rPr>
        <w:t xml:space="preserve">American Journal of Respiratory and Critical Care Medicine </w:t>
      </w:r>
      <w:r w:rsidRPr="001D34EE">
        <w:t>2002;166:111-7.</w:t>
      </w:r>
      <w:bookmarkEnd w:id="470"/>
    </w:p>
    <w:p w:rsidR="001D34EE" w:rsidRPr="001D34EE" w:rsidRDefault="001D34EE" w:rsidP="001D34EE">
      <w:pPr>
        <w:pStyle w:val="EndNoteBibliography"/>
        <w:spacing w:after="0"/>
        <w:ind w:left="720" w:hanging="720"/>
      </w:pPr>
      <w:bookmarkStart w:id="471" w:name="_ENREF_77"/>
      <w:r w:rsidRPr="001D34EE">
        <w:t>77.</w:t>
      </w:r>
      <w:r w:rsidRPr="001D34EE">
        <w:tab/>
        <w:t xml:space="preserve">Channick RN, Simonneau G, Sitbon O, Robbins IM, Frost A, Tapson VF, et al. Effects of the dual endothelin-receptor antagonist bosentan in patients with pulmonary hypertension: a randomised placebo-controlled study. </w:t>
      </w:r>
      <w:r w:rsidRPr="001D34EE">
        <w:rPr>
          <w:i/>
        </w:rPr>
        <w:t>Lancet</w:t>
      </w:r>
      <w:r w:rsidRPr="001D34EE">
        <w:t>. 2001;358(9288):1119-23.</w:t>
      </w:r>
      <w:bookmarkEnd w:id="471"/>
    </w:p>
    <w:p w:rsidR="001D34EE" w:rsidRPr="001D34EE" w:rsidRDefault="001D34EE" w:rsidP="001D34EE">
      <w:pPr>
        <w:pStyle w:val="EndNoteBibliography"/>
        <w:spacing w:after="0"/>
        <w:ind w:left="720" w:hanging="720"/>
      </w:pPr>
      <w:bookmarkStart w:id="472" w:name="_ENREF_78"/>
      <w:r w:rsidRPr="001D34EE">
        <w:t>78.</w:t>
      </w:r>
      <w:r w:rsidRPr="001D34EE">
        <w:tab/>
        <w:t xml:space="preserve">du Bois RM, Weycker D, Albera C, Bradford WZ, Costabel U, Kartashov A, et al. Six-minute-walk test in idiopathic pulmonary fibrosis: test validation and minimal clinically important difference. </w:t>
      </w:r>
      <w:r w:rsidRPr="001D34EE">
        <w:rPr>
          <w:i/>
        </w:rPr>
        <w:t>American journal of respiratory and critical care medicine</w:t>
      </w:r>
      <w:r w:rsidRPr="001D34EE">
        <w:t>. 2011;183(9):1231-7.</w:t>
      </w:r>
      <w:bookmarkEnd w:id="472"/>
    </w:p>
    <w:p w:rsidR="001D34EE" w:rsidRPr="001D34EE" w:rsidRDefault="001D34EE" w:rsidP="001D34EE">
      <w:pPr>
        <w:pStyle w:val="EndNoteBibliography"/>
        <w:spacing w:after="0"/>
        <w:ind w:left="720" w:hanging="720"/>
      </w:pPr>
      <w:bookmarkStart w:id="473" w:name="_ENREF_79"/>
      <w:r w:rsidRPr="001D34EE">
        <w:t>79.</w:t>
      </w:r>
      <w:r w:rsidRPr="001D34EE">
        <w:tab/>
        <w:t xml:space="preserve">Heresi GA, Dweik RA. Strengths and limitations of the six-minute-walk test: a model biomarker study in idiopathic pulmonary fibrosis. </w:t>
      </w:r>
      <w:r w:rsidRPr="001D34EE">
        <w:rPr>
          <w:i/>
        </w:rPr>
        <w:t>American journal of respiratory and critical care medicine</w:t>
      </w:r>
      <w:r w:rsidRPr="001D34EE">
        <w:t>. 2011;183(9):1122-4.</w:t>
      </w:r>
      <w:bookmarkEnd w:id="473"/>
    </w:p>
    <w:p w:rsidR="001D34EE" w:rsidRPr="001D34EE" w:rsidRDefault="001D34EE" w:rsidP="001D34EE">
      <w:pPr>
        <w:pStyle w:val="EndNoteBibliography"/>
        <w:spacing w:after="0"/>
        <w:ind w:left="720" w:hanging="720"/>
      </w:pPr>
      <w:bookmarkStart w:id="474" w:name="_ENREF_80"/>
      <w:r w:rsidRPr="001D34EE">
        <w:lastRenderedPageBreak/>
        <w:t>80.</w:t>
      </w:r>
      <w:r w:rsidRPr="001D34EE">
        <w:tab/>
        <w:t xml:space="preserve">Miyamoto S, Nagaya N, Satoh T, Kyotani S, Sakamaki F, Fujita M, et al. Clinical correlates and prognostic significance of six-minute walk test in patients with primary pulmonary hypertension. Comparison with cardiopulmonary exercise testing. </w:t>
      </w:r>
      <w:r w:rsidRPr="001D34EE">
        <w:rPr>
          <w:i/>
        </w:rPr>
        <w:t>American journal of respiratory and critical care medicine</w:t>
      </w:r>
      <w:r w:rsidRPr="001D34EE">
        <w:t>. 2000;161(2 Pt 1):487-92.</w:t>
      </w:r>
      <w:bookmarkEnd w:id="474"/>
    </w:p>
    <w:p w:rsidR="001D34EE" w:rsidRPr="001D34EE" w:rsidRDefault="001D34EE" w:rsidP="001D34EE">
      <w:pPr>
        <w:pStyle w:val="EndNoteBibliography"/>
        <w:spacing w:after="0"/>
        <w:ind w:left="720" w:hanging="720"/>
      </w:pPr>
      <w:bookmarkStart w:id="475" w:name="_ENREF_81"/>
      <w:r w:rsidRPr="001D34EE">
        <w:t>81.</w:t>
      </w:r>
      <w:r w:rsidRPr="001D34EE">
        <w:tab/>
        <w:t xml:space="preserve">Bucher HC, Guyatt GH, Griffith LE, Walter SD. The results of direct and indirect treatment comparisons in meta-analysis of randomized controlled trials. </w:t>
      </w:r>
      <w:r w:rsidRPr="001D34EE">
        <w:rPr>
          <w:i/>
        </w:rPr>
        <w:t>J Clin Epidemiol</w:t>
      </w:r>
      <w:r w:rsidRPr="001D34EE">
        <w:t>. 1997;50(6):683-91.</w:t>
      </w:r>
      <w:bookmarkEnd w:id="475"/>
    </w:p>
    <w:p w:rsidR="001D34EE" w:rsidRPr="001D34EE" w:rsidRDefault="001D34EE" w:rsidP="001D34EE">
      <w:pPr>
        <w:pStyle w:val="EndNoteBibliography"/>
        <w:spacing w:after="0"/>
        <w:ind w:left="720" w:hanging="720"/>
      </w:pPr>
      <w:bookmarkStart w:id="476" w:name="_ENREF_82"/>
      <w:r w:rsidRPr="001D34EE">
        <w:t>82.</w:t>
      </w:r>
      <w:r w:rsidRPr="001D34EE">
        <w:tab/>
        <w:t xml:space="preserve">Sinnott PL, Joyce VR, Barnett PG. Preference measurement in economic analysis. Guidebook. Menlo Park, CA, US: Health Economics Resource Center (HERC); 2007. Available from: </w:t>
      </w:r>
      <w:r w:rsidRPr="00A17B9D">
        <w:t>http://www.herc.research.va.gov/files/BOOK_419.pdf</w:t>
      </w:r>
      <w:r w:rsidRPr="001D34EE">
        <w:t>.</w:t>
      </w:r>
      <w:bookmarkEnd w:id="476"/>
    </w:p>
    <w:p w:rsidR="001D34EE" w:rsidRPr="001D34EE" w:rsidRDefault="001D34EE" w:rsidP="001D34EE">
      <w:pPr>
        <w:pStyle w:val="EndNoteBibliography"/>
        <w:spacing w:after="0"/>
        <w:ind w:left="720" w:hanging="720"/>
      </w:pPr>
      <w:bookmarkStart w:id="477" w:name="_ENREF_83"/>
      <w:r w:rsidRPr="001D34EE">
        <w:t>83.</w:t>
      </w:r>
      <w:r w:rsidRPr="001D34EE">
        <w:tab/>
        <w:t xml:space="preserve">Bonner N, Abetz L, Meunier J, Sikirica M, Mathai SC. Development and validation of the living with pulmonary hypertension questionnaire in pulmonary arterial hypertension patients. </w:t>
      </w:r>
      <w:r w:rsidRPr="001D34EE">
        <w:rPr>
          <w:i/>
        </w:rPr>
        <w:t>Health and Quality of Life Outcomes</w:t>
      </w:r>
      <w:r w:rsidRPr="001D34EE">
        <w:t>. 2013;11(1):161.</w:t>
      </w:r>
      <w:bookmarkEnd w:id="477"/>
    </w:p>
    <w:p w:rsidR="001D34EE" w:rsidRPr="001D34EE" w:rsidRDefault="001D34EE" w:rsidP="001D34EE">
      <w:pPr>
        <w:pStyle w:val="EndNoteBibliography"/>
        <w:spacing w:after="0"/>
        <w:ind w:left="720" w:hanging="720"/>
      </w:pPr>
      <w:bookmarkStart w:id="478" w:name="_ENREF_84"/>
      <w:r w:rsidRPr="001D34EE">
        <w:t>84.</w:t>
      </w:r>
      <w:r w:rsidRPr="001D34EE">
        <w:tab/>
        <w:t xml:space="preserve">Behlouli H, Feldman DE, Ducharme A, Frenette M, Giannetti N, Grondin F, et al. Identifying relative cut-off scores with neural networks for interpretation of the Minnesota Living with Heart Failure questionnaire. </w:t>
      </w:r>
      <w:r w:rsidRPr="001D34EE">
        <w:rPr>
          <w:i/>
        </w:rPr>
        <w:t>Conf Proc IEEE Eng Med Biol Soc</w:t>
      </w:r>
      <w:r w:rsidRPr="001D34EE">
        <w:t>. 2009;2009:6242-6.</w:t>
      </w:r>
      <w:bookmarkEnd w:id="478"/>
    </w:p>
    <w:p w:rsidR="001D34EE" w:rsidRPr="001D34EE" w:rsidRDefault="001D34EE" w:rsidP="001D34EE">
      <w:pPr>
        <w:pStyle w:val="EndNoteBibliography"/>
        <w:spacing w:after="0"/>
        <w:ind w:left="720" w:hanging="720"/>
      </w:pPr>
      <w:bookmarkStart w:id="479" w:name="_ENREF_85"/>
      <w:r w:rsidRPr="001D34EE">
        <w:t>85.</w:t>
      </w:r>
      <w:r w:rsidRPr="001D34EE">
        <w:tab/>
        <w:t xml:space="preserve">Nolan CM, Longworth L, Lord J, Canavan JL, Jones SE, Kon SSC, et al. The EQ-5D-5L health status questionnaire in COPD: validity, responsiveness and minimum important difference. </w:t>
      </w:r>
      <w:r w:rsidRPr="001D34EE">
        <w:rPr>
          <w:i/>
        </w:rPr>
        <w:t>Thorax</w:t>
      </w:r>
      <w:r w:rsidRPr="001D34EE">
        <w:t>. 2016.</w:t>
      </w:r>
      <w:bookmarkEnd w:id="479"/>
    </w:p>
    <w:p w:rsidR="001D34EE" w:rsidRPr="001D34EE" w:rsidRDefault="001D34EE" w:rsidP="001D34EE">
      <w:pPr>
        <w:pStyle w:val="EndNoteBibliography"/>
        <w:spacing w:after="0"/>
        <w:ind w:left="720" w:hanging="720"/>
      </w:pPr>
      <w:bookmarkStart w:id="480" w:name="_ENREF_86"/>
      <w:r w:rsidRPr="001D34EE">
        <w:t>86.</w:t>
      </w:r>
      <w:r w:rsidRPr="001D34EE">
        <w:tab/>
        <w:t xml:space="preserve">Zanini A, Aiello M, Adamo D, Casale S, Cherubino F, Della Patrona S, et al. Estimation of minimal clinically important difference in EQ-5D visual analog scale score after pulmonary rehabilitation in subjects with COPD. </w:t>
      </w:r>
      <w:r w:rsidRPr="001D34EE">
        <w:rPr>
          <w:i/>
        </w:rPr>
        <w:t>Respir Care</w:t>
      </w:r>
      <w:r w:rsidRPr="001D34EE">
        <w:t>. 2015;60(1):88-95.</w:t>
      </w:r>
      <w:bookmarkEnd w:id="480"/>
    </w:p>
    <w:p w:rsidR="001D34EE" w:rsidRPr="001D34EE" w:rsidRDefault="001D34EE" w:rsidP="001D34EE">
      <w:pPr>
        <w:pStyle w:val="EndNoteBibliography"/>
        <w:spacing w:after="0"/>
        <w:ind w:left="720" w:hanging="720"/>
      </w:pPr>
      <w:bookmarkStart w:id="481" w:name="_ENREF_87"/>
      <w:r w:rsidRPr="001D34EE">
        <w:t>87.</w:t>
      </w:r>
      <w:r w:rsidRPr="001D34EE">
        <w:tab/>
        <w:t xml:space="preserve">Karim MY, Alba P, Tungekar MF, Abbs IC, Khamashta MA, Hughes GR, et al. Hypertension as the presenting feature of the antiphospholipid syndrome. </w:t>
      </w:r>
      <w:r w:rsidRPr="001D34EE">
        <w:rPr>
          <w:i/>
        </w:rPr>
        <w:t>Lupus</w:t>
      </w:r>
      <w:r w:rsidRPr="001D34EE">
        <w:t>. 2002;11(4):253-6.</w:t>
      </w:r>
      <w:bookmarkEnd w:id="481"/>
    </w:p>
    <w:p w:rsidR="001D34EE" w:rsidRPr="001D34EE" w:rsidRDefault="001D34EE" w:rsidP="001D34EE">
      <w:pPr>
        <w:pStyle w:val="EndNoteBibliography"/>
        <w:spacing w:after="0"/>
        <w:ind w:left="720" w:hanging="720"/>
      </w:pPr>
      <w:bookmarkStart w:id="482" w:name="_ENREF_88"/>
      <w:r w:rsidRPr="001D34EE">
        <w:t>88.</w:t>
      </w:r>
      <w:r w:rsidRPr="001D34EE">
        <w:tab/>
        <w:t xml:space="preserve">Launay D, Souza R, Guillevin L, Hachulla E, Pouchot J, Simonneau G, et al. Pulmonary arterial hypertension in ANCA-associated vasculitis. </w:t>
      </w:r>
      <w:r w:rsidRPr="001D34EE">
        <w:rPr>
          <w:i/>
        </w:rPr>
        <w:t>Sarcoidosis Vasc Diffuse Lung Dis</w:t>
      </w:r>
      <w:r w:rsidRPr="001D34EE">
        <w:t>. 2006;23(3):223-8.</w:t>
      </w:r>
      <w:bookmarkEnd w:id="482"/>
    </w:p>
    <w:p w:rsidR="001D34EE" w:rsidRPr="001D34EE" w:rsidRDefault="001D34EE" w:rsidP="001D34EE">
      <w:pPr>
        <w:pStyle w:val="EndNoteBibliography"/>
        <w:spacing w:after="0"/>
        <w:ind w:left="720" w:hanging="720"/>
      </w:pPr>
      <w:bookmarkStart w:id="483" w:name="_ENREF_89"/>
      <w:r w:rsidRPr="001D34EE">
        <w:t>89.</w:t>
      </w:r>
      <w:r w:rsidRPr="001D34EE">
        <w:tab/>
        <w:t xml:space="preserve">Guillevin L. Vasculopathy and pulmonary arterial hypertension. </w:t>
      </w:r>
      <w:r w:rsidRPr="001D34EE">
        <w:rPr>
          <w:i/>
        </w:rPr>
        <w:t>Rheumatology (Oxford)</w:t>
      </w:r>
      <w:r w:rsidRPr="001D34EE">
        <w:t>. 2009;48 Suppl 3:iii54-7.</w:t>
      </w:r>
      <w:bookmarkEnd w:id="483"/>
    </w:p>
    <w:p w:rsidR="001D34EE" w:rsidRPr="001D34EE" w:rsidRDefault="001D34EE" w:rsidP="001D34EE">
      <w:pPr>
        <w:pStyle w:val="EndNoteBibliography"/>
        <w:ind w:left="720" w:hanging="720"/>
      </w:pPr>
      <w:bookmarkStart w:id="484" w:name="_ENREF_90"/>
      <w:r w:rsidRPr="001D34EE">
        <w:t>90.</w:t>
      </w:r>
      <w:r w:rsidRPr="001D34EE">
        <w:tab/>
        <w:t xml:space="preserve">Nickel NP, O'Leary JM, Brittain EL, Fessel JP, Zamanian RT, West JD, et al. Kidney dysfunction in patients with pulmonary arterial hypertension. </w:t>
      </w:r>
      <w:r w:rsidRPr="001D34EE">
        <w:rPr>
          <w:i/>
        </w:rPr>
        <w:t>Pulm Circ</w:t>
      </w:r>
      <w:r w:rsidRPr="001D34EE">
        <w:t>. 2017;7(1):38-54.</w:t>
      </w:r>
      <w:bookmarkEnd w:id="484"/>
    </w:p>
    <w:p w:rsidR="009D0670" w:rsidRDefault="009D0670" w:rsidP="00FD5A29">
      <w:pPr>
        <w:pStyle w:val="BodyText"/>
        <w:ind w:left="426" w:hanging="426"/>
      </w:pPr>
    </w:p>
    <w:p w:rsidR="00CC3BA4" w:rsidRDefault="00CC3BA4" w:rsidP="00126F99">
      <w:pPr>
        <w:pStyle w:val="BodyText"/>
        <w:sectPr w:rsidR="00CC3BA4" w:rsidSect="00170E8E">
          <w:headerReference w:type="even" r:id="rId37"/>
          <w:headerReference w:type="default" r:id="rId38"/>
          <w:footerReference w:type="default" r:id="rId39"/>
          <w:headerReference w:type="first" r:id="rId40"/>
          <w:footnotePr>
            <w:numFmt w:val="chicago"/>
          </w:footnotePr>
          <w:pgSz w:w="11906" w:h="16838"/>
          <w:pgMar w:top="1134" w:right="1134" w:bottom="1134" w:left="1134" w:header="709" w:footer="709" w:gutter="0"/>
          <w:pgNumType w:start="1"/>
          <w:cols w:space="708"/>
          <w:docGrid w:linePitch="360"/>
        </w:sectPr>
      </w:pPr>
    </w:p>
    <w:p w:rsidR="001D0FDA" w:rsidRDefault="001D0FDA" w:rsidP="001D0FDA">
      <w:pPr>
        <w:pStyle w:val="Heading2"/>
        <w:numPr>
          <w:ilvl w:val="0"/>
          <w:numId w:val="0"/>
        </w:numPr>
      </w:pPr>
      <w:bookmarkStart w:id="485" w:name="_Ref506463323"/>
      <w:bookmarkStart w:id="486" w:name="_Toc506464149"/>
      <w:bookmarkStart w:id="487" w:name="_Toc512855400"/>
      <w:bookmarkStart w:id="488" w:name="_Toc503811648"/>
      <w:r>
        <w:lastRenderedPageBreak/>
        <w:t xml:space="preserve">Appendix </w:t>
      </w:r>
      <w:r w:rsidR="00C41087">
        <w:t>4.</w:t>
      </w:r>
      <w:r w:rsidR="00AA722D">
        <w:rPr>
          <w:noProof/>
        </w:rPr>
        <w:t>A</w:t>
      </w:r>
      <w:bookmarkEnd w:id="485"/>
      <w:r>
        <w:tab/>
        <w:t>Studies included in the literature review</w:t>
      </w:r>
      <w:bookmarkEnd w:id="486"/>
      <w:bookmarkEnd w:id="487"/>
    </w:p>
    <w:p w:rsidR="001D0FDA" w:rsidRPr="007B0AA0" w:rsidRDefault="001D0FDA" w:rsidP="001D0FDA">
      <w:pPr>
        <w:pStyle w:val="Caption"/>
      </w:pPr>
      <w:bookmarkStart w:id="489" w:name="_Ref506398677"/>
      <w:bookmarkStart w:id="490" w:name="_Toc512855548"/>
      <w:bookmarkStart w:id="491" w:name="_Toc460406531"/>
      <w:r>
        <w:t>Table 4.</w:t>
      </w:r>
      <w:r w:rsidR="00AA722D">
        <w:rPr>
          <w:noProof/>
        </w:rPr>
        <w:t>144</w:t>
      </w:r>
      <w:bookmarkEnd w:id="489"/>
      <w:r>
        <w:tab/>
        <w:t xml:space="preserve">Studies included to address </w:t>
      </w:r>
      <w:r w:rsidRPr="00204000">
        <w:t>research questions</w:t>
      </w:r>
      <w:bookmarkEnd w:id="490"/>
    </w:p>
    <w:tbl>
      <w:tblPr>
        <w:tblStyle w:val="TableGrid2"/>
        <w:tblpPr w:leftFromText="180" w:rightFromText="180" w:vertAnchor="text" w:tblpY="1"/>
        <w:tblW w:w="4964" w:type="pct"/>
        <w:tblLook w:val="04A0" w:firstRow="1" w:lastRow="0" w:firstColumn="1" w:lastColumn="0" w:noHBand="0" w:noVBand="1"/>
        <w:tblCaption w:val="Studies included to address research questions"/>
      </w:tblPr>
      <w:tblGrid>
        <w:gridCol w:w="1547"/>
        <w:gridCol w:w="1388"/>
        <w:gridCol w:w="2251"/>
        <w:gridCol w:w="4779"/>
        <w:gridCol w:w="2365"/>
        <w:gridCol w:w="2248"/>
      </w:tblGrid>
      <w:tr w:rsidR="001D0FDA" w:rsidRPr="00204000" w:rsidTr="001D0FDA">
        <w:trPr>
          <w:cnfStyle w:val="100000000000" w:firstRow="1" w:lastRow="0" w:firstColumn="0" w:lastColumn="0" w:oddVBand="0" w:evenVBand="0" w:oddHBand="0" w:evenHBand="0" w:firstRowFirstColumn="0" w:firstRowLastColumn="0" w:lastRowFirstColumn="0" w:lastRowLastColumn="0"/>
        </w:trPr>
        <w:tc>
          <w:tcPr>
            <w:tcW w:w="531" w:type="pct"/>
            <w:tcBorders>
              <w:bottom w:val="single" w:sz="4" w:space="0" w:color="auto"/>
            </w:tcBorders>
          </w:tcPr>
          <w:p w:rsidR="001D0FDA" w:rsidRDefault="001D0FDA" w:rsidP="001D0FDA">
            <w:pPr>
              <w:pStyle w:val="Tabletext"/>
              <w:rPr>
                <w:b/>
                <w:color w:val="auto"/>
                <w:szCs w:val="18"/>
              </w:rPr>
            </w:pPr>
            <w:r w:rsidRPr="00204000">
              <w:rPr>
                <w:b/>
                <w:color w:val="auto"/>
                <w:szCs w:val="18"/>
              </w:rPr>
              <w:t>Study ID</w:t>
            </w:r>
          </w:p>
          <w:p w:rsidR="001D0FDA" w:rsidRPr="00204000" w:rsidRDefault="001D0FDA" w:rsidP="001D0FDA">
            <w:pPr>
              <w:pStyle w:val="Tabletext"/>
              <w:rPr>
                <w:b/>
                <w:color w:val="auto"/>
                <w:szCs w:val="18"/>
              </w:rPr>
            </w:pPr>
            <w:r>
              <w:rPr>
                <w:b/>
                <w:color w:val="auto"/>
                <w:szCs w:val="18"/>
              </w:rPr>
              <w:t>Author year</w:t>
            </w:r>
          </w:p>
          <w:p w:rsidR="001D0FDA" w:rsidRPr="00204000" w:rsidRDefault="001D0FDA" w:rsidP="001D0FDA">
            <w:pPr>
              <w:pStyle w:val="Tabletext"/>
              <w:rPr>
                <w:b/>
                <w:color w:val="auto"/>
                <w:szCs w:val="18"/>
              </w:rPr>
            </w:pPr>
            <w:r>
              <w:rPr>
                <w:b/>
                <w:color w:val="auto"/>
                <w:szCs w:val="18"/>
              </w:rPr>
              <w:t>Study period</w:t>
            </w:r>
          </w:p>
          <w:p w:rsidR="001D0FDA" w:rsidRPr="00204000" w:rsidRDefault="001D0FDA" w:rsidP="001D0FDA">
            <w:pPr>
              <w:pStyle w:val="Tabletext"/>
              <w:rPr>
                <w:rFonts w:cs="Tahoma"/>
                <w:b/>
                <w:color w:val="auto"/>
                <w:szCs w:val="18"/>
              </w:rPr>
            </w:pPr>
            <w:r>
              <w:rPr>
                <w:rFonts w:cs="Tahoma"/>
                <w:b/>
                <w:color w:val="auto"/>
                <w:szCs w:val="18"/>
              </w:rPr>
              <w:t>Location</w:t>
            </w:r>
          </w:p>
        </w:tc>
        <w:tc>
          <w:tcPr>
            <w:tcW w:w="476" w:type="pct"/>
            <w:tcBorders>
              <w:bottom w:val="single" w:sz="4" w:space="0" w:color="auto"/>
            </w:tcBorders>
          </w:tcPr>
          <w:p w:rsidR="001D0FDA" w:rsidRPr="00204000" w:rsidRDefault="001D0FDA" w:rsidP="001D0FDA">
            <w:pPr>
              <w:pStyle w:val="Tabletext"/>
              <w:rPr>
                <w:rFonts w:cs="Tahoma"/>
                <w:b/>
                <w:color w:val="auto"/>
                <w:szCs w:val="18"/>
              </w:rPr>
            </w:pPr>
            <w:r w:rsidRPr="00204000">
              <w:rPr>
                <w:rFonts w:cs="Tahoma"/>
                <w:b/>
                <w:color w:val="auto"/>
                <w:szCs w:val="18"/>
              </w:rPr>
              <w:t>Study design</w:t>
            </w:r>
          </w:p>
          <w:p w:rsidR="001D0FDA" w:rsidRPr="00204000" w:rsidRDefault="001D0FDA" w:rsidP="001D0FDA">
            <w:pPr>
              <w:pStyle w:val="Tabletext"/>
              <w:rPr>
                <w:rFonts w:cs="Tahoma"/>
                <w:b/>
                <w:color w:val="auto"/>
                <w:szCs w:val="18"/>
              </w:rPr>
            </w:pPr>
            <w:r w:rsidRPr="00204000">
              <w:rPr>
                <w:rFonts w:cs="Tahoma"/>
                <w:b/>
                <w:color w:val="auto"/>
                <w:szCs w:val="18"/>
              </w:rPr>
              <w:t>Level of evidence</w:t>
            </w:r>
          </w:p>
          <w:p w:rsidR="001D0FDA" w:rsidRPr="00204000" w:rsidRDefault="001D0FDA" w:rsidP="001D0FDA">
            <w:pPr>
              <w:pStyle w:val="Tabletext"/>
              <w:rPr>
                <w:rFonts w:cs="Tahoma"/>
                <w:b/>
                <w:color w:val="auto"/>
                <w:szCs w:val="18"/>
              </w:rPr>
            </w:pPr>
            <w:r w:rsidRPr="00204000">
              <w:rPr>
                <w:rFonts w:cs="Tahoma"/>
                <w:b/>
                <w:color w:val="auto"/>
                <w:szCs w:val="18"/>
              </w:rPr>
              <w:t>Duration of follow-up</w:t>
            </w:r>
          </w:p>
          <w:p w:rsidR="001D0FDA" w:rsidRPr="00204000" w:rsidRDefault="001D0FDA" w:rsidP="001D0FDA">
            <w:pPr>
              <w:pStyle w:val="Tabletext"/>
              <w:rPr>
                <w:rFonts w:cs="Tahoma"/>
                <w:b/>
                <w:color w:val="auto"/>
                <w:szCs w:val="18"/>
              </w:rPr>
            </w:pPr>
            <w:r w:rsidRPr="00204000">
              <w:rPr>
                <w:rFonts w:cs="Tahoma"/>
                <w:b/>
                <w:color w:val="auto"/>
                <w:szCs w:val="18"/>
              </w:rPr>
              <w:t>Risk of bias</w:t>
            </w:r>
          </w:p>
        </w:tc>
        <w:tc>
          <w:tcPr>
            <w:tcW w:w="772" w:type="pct"/>
            <w:tcBorders>
              <w:bottom w:val="single" w:sz="4" w:space="0" w:color="auto"/>
            </w:tcBorders>
          </w:tcPr>
          <w:p w:rsidR="001D0FDA" w:rsidRDefault="001D0FDA" w:rsidP="001D0FDA">
            <w:pPr>
              <w:pStyle w:val="Tabletext"/>
              <w:rPr>
                <w:b/>
                <w:szCs w:val="18"/>
              </w:rPr>
            </w:pPr>
            <w:r w:rsidRPr="00204000">
              <w:rPr>
                <w:rFonts w:cs="Tahoma"/>
                <w:b/>
                <w:color w:val="auto"/>
                <w:szCs w:val="18"/>
              </w:rPr>
              <w:t>Eligibility criteria</w:t>
            </w:r>
          </w:p>
        </w:tc>
        <w:tc>
          <w:tcPr>
            <w:tcW w:w="0" w:type="auto"/>
            <w:tcBorders>
              <w:bottom w:val="single" w:sz="4" w:space="0" w:color="auto"/>
            </w:tcBorders>
          </w:tcPr>
          <w:p w:rsidR="001D0FDA" w:rsidRDefault="001D0FDA" w:rsidP="001D0FDA">
            <w:pPr>
              <w:pStyle w:val="Tabletext"/>
              <w:rPr>
                <w:b/>
                <w:color w:val="auto"/>
                <w:szCs w:val="18"/>
              </w:rPr>
            </w:pPr>
            <w:r>
              <w:rPr>
                <w:b/>
                <w:color w:val="auto"/>
                <w:szCs w:val="18"/>
              </w:rPr>
              <w:t>N</w:t>
            </w:r>
            <w:r w:rsidRPr="00351FF5">
              <w:rPr>
                <w:b/>
                <w:color w:val="auto"/>
                <w:szCs w:val="18"/>
                <w:vertAlign w:val="superscript"/>
              </w:rPr>
              <w:t>a</w:t>
            </w:r>
          </w:p>
          <w:p w:rsidR="001D0FDA" w:rsidRPr="00204000" w:rsidRDefault="001D0FDA" w:rsidP="001D0FDA">
            <w:pPr>
              <w:pStyle w:val="Tabletext"/>
              <w:rPr>
                <w:b/>
                <w:color w:val="auto"/>
                <w:szCs w:val="18"/>
              </w:rPr>
            </w:pPr>
            <w:r w:rsidRPr="00204000">
              <w:rPr>
                <w:b/>
                <w:color w:val="auto"/>
                <w:szCs w:val="18"/>
              </w:rPr>
              <w:t>Population characteristics</w:t>
            </w:r>
          </w:p>
        </w:tc>
        <w:tc>
          <w:tcPr>
            <w:tcW w:w="811" w:type="pct"/>
            <w:tcBorders>
              <w:bottom w:val="single" w:sz="4" w:space="0" w:color="auto"/>
            </w:tcBorders>
          </w:tcPr>
          <w:p w:rsidR="001D0FDA" w:rsidRDefault="001D0FDA" w:rsidP="001D0FDA">
            <w:pPr>
              <w:pStyle w:val="Tabletext"/>
              <w:rPr>
                <w:rFonts w:cs="Tahoma"/>
                <w:b/>
                <w:color w:val="auto"/>
                <w:szCs w:val="18"/>
              </w:rPr>
            </w:pPr>
            <w:r w:rsidRPr="00204000">
              <w:rPr>
                <w:rFonts w:cs="Tahoma"/>
                <w:b/>
                <w:color w:val="auto"/>
                <w:szCs w:val="18"/>
              </w:rPr>
              <w:t>Intervention</w:t>
            </w:r>
            <w:r w:rsidRPr="00351FF5">
              <w:rPr>
                <w:rFonts w:cs="Tahoma"/>
                <w:b/>
                <w:color w:val="auto"/>
                <w:szCs w:val="18"/>
                <w:vertAlign w:val="superscript"/>
              </w:rPr>
              <w:t>b</w:t>
            </w:r>
          </w:p>
          <w:p w:rsidR="001D0FDA" w:rsidRDefault="001D0FDA" w:rsidP="001D0FDA">
            <w:pPr>
              <w:pStyle w:val="Tabletext"/>
              <w:rPr>
                <w:rFonts w:cs="Tahoma"/>
                <w:b/>
                <w:color w:val="auto"/>
                <w:szCs w:val="18"/>
              </w:rPr>
            </w:pPr>
            <w:r w:rsidRPr="00204000">
              <w:rPr>
                <w:rFonts w:cs="Tahoma"/>
                <w:b/>
                <w:color w:val="auto"/>
                <w:szCs w:val="18"/>
              </w:rPr>
              <w:t>Comparator</w:t>
            </w:r>
          </w:p>
          <w:p w:rsidR="001D0FDA" w:rsidRPr="00204000" w:rsidRDefault="001D0FDA" w:rsidP="001D0FDA">
            <w:pPr>
              <w:pStyle w:val="Tabletext"/>
              <w:rPr>
                <w:rFonts w:cs="Tahoma"/>
                <w:b/>
                <w:color w:val="auto"/>
                <w:szCs w:val="18"/>
              </w:rPr>
            </w:pPr>
            <w:r>
              <w:rPr>
                <w:rFonts w:cs="Tahoma"/>
                <w:b/>
                <w:color w:val="auto"/>
                <w:szCs w:val="18"/>
              </w:rPr>
              <w:t>Background therapy (if any)</w:t>
            </w:r>
          </w:p>
        </w:tc>
        <w:tc>
          <w:tcPr>
            <w:tcW w:w="771" w:type="pct"/>
            <w:tcBorders>
              <w:bottom w:val="single" w:sz="4" w:space="0" w:color="auto"/>
            </w:tcBorders>
          </w:tcPr>
          <w:p w:rsidR="001D0FDA" w:rsidRPr="00204000" w:rsidRDefault="001D0FDA" w:rsidP="001D0FDA">
            <w:pPr>
              <w:pStyle w:val="Tabletext"/>
              <w:rPr>
                <w:rFonts w:cs="Tahoma"/>
                <w:b/>
                <w:color w:val="auto"/>
                <w:szCs w:val="18"/>
              </w:rPr>
            </w:pPr>
            <w:r w:rsidRPr="00204000">
              <w:rPr>
                <w:rFonts w:cs="Tahoma"/>
                <w:b/>
                <w:color w:val="auto"/>
                <w:szCs w:val="18"/>
              </w:rPr>
              <w:t>Outcomes assessed</w:t>
            </w:r>
          </w:p>
        </w:tc>
      </w:tr>
      <w:tr w:rsidR="001D0FDA" w:rsidRPr="00204000" w:rsidTr="001D0FDA">
        <w:tc>
          <w:tcPr>
            <w:tcW w:w="1007" w:type="pct"/>
            <w:gridSpan w:val="2"/>
            <w:shd w:val="clear" w:color="auto" w:fill="000000" w:themeFill="text1"/>
          </w:tcPr>
          <w:p w:rsidR="001D0FDA" w:rsidRPr="00D53F84" w:rsidRDefault="001D0FDA" w:rsidP="001D0FDA">
            <w:pPr>
              <w:pStyle w:val="Tabletext"/>
              <w:ind w:right="-28"/>
              <w:rPr>
                <w:rFonts w:eastAsia="Times New Roman"/>
                <w:snapToGrid w:val="0"/>
                <w:lang w:eastAsia="en-US"/>
              </w:rPr>
            </w:pPr>
            <w:r>
              <w:rPr>
                <w:rFonts w:eastAsia="Times New Roman"/>
                <w:b/>
                <w:color w:val="FFFFFF" w:themeColor="background1"/>
                <w:lang w:eastAsia="en-US"/>
              </w:rPr>
              <w:t>Randomised controlled trials</w:t>
            </w:r>
          </w:p>
        </w:tc>
        <w:tc>
          <w:tcPr>
            <w:tcW w:w="772" w:type="pct"/>
            <w:shd w:val="clear" w:color="auto" w:fill="000000" w:themeFill="text1"/>
          </w:tcPr>
          <w:p w:rsidR="001D0FDA" w:rsidRPr="00EA1FCD" w:rsidRDefault="001D0FDA" w:rsidP="001D0FDA">
            <w:pPr>
              <w:pStyle w:val="Tabletext"/>
              <w:rPr>
                <w:rFonts w:cs="Tahoma"/>
                <w:i/>
                <w:szCs w:val="18"/>
              </w:rPr>
            </w:pPr>
          </w:p>
        </w:tc>
        <w:tc>
          <w:tcPr>
            <w:tcW w:w="0" w:type="auto"/>
            <w:shd w:val="clear" w:color="auto" w:fill="000000" w:themeFill="text1"/>
          </w:tcPr>
          <w:p w:rsidR="001D0FDA" w:rsidRDefault="001D0FDA" w:rsidP="001D0FDA">
            <w:pPr>
              <w:pStyle w:val="Tabletext"/>
              <w:rPr>
                <w:rFonts w:cs="Tahoma"/>
                <w:szCs w:val="18"/>
              </w:rPr>
            </w:pPr>
          </w:p>
        </w:tc>
        <w:tc>
          <w:tcPr>
            <w:tcW w:w="811" w:type="pct"/>
            <w:shd w:val="clear" w:color="auto" w:fill="000000" w:themeFill="text1"/>
          </w:tcPr>
          <w:p w:rsidR="001D0FDA" w:rsidRDefault="001D0FDA" w:rsidP="001D0FDA">
            <w:pPr>
              <w:pStyle w:val="Tabletext"/>
              <w:rPr>
                <w:rFonts w:cs="Tahoma"/>
                <w:i/>
                <w:szCs w:val="18"/>
              </w:rPr>
            </w:pPr>
          </w:p>
        </w:tc>
        <w:tc>
          <w:tcPr>
            <w:tcW w:w="771" w:type="pct"/>
            <w:shd w:val="clear" w:color="auto" w:fill="000000" w:themeFill="text1"/>
          </w:tcPr>
          <w:p w:rsidR="001D0FDA" w:rsidRPr="005331C3" w:rsidRDefault="001D0FDA" w:rsidP="001D0FDA">
            <w:pPr>
              <w:pStyle w:val="Tabletext"/>
              <w:rPr>
                <w:rFonts w:cs="Tahoma"/>
                <w:i/>
                <w:szCs w:val="18"/>
              </w:rPr>
            </w:pPr>
          </w:p>
        </w:tc>
      </w:tr>
      <w:tr w:rsidR="001D0FDA" w:rsidRPr="00204000" w:rsidTr="001D0FDA">
        <w:tc>
          <w:tcPr>
            <w:tcW w:w="531"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lastRenderedPageBreak/>
              <w:t>AMBITION</w:t>
            </w:r>
            <w:r w:rsidR="001D34EE" w:rsidRPr="001A1C44">
              <w:rPr>
                <w:rFonts w:eastAsia="Times New Roman"/>
                <w:noProof/>
                <w:vertAlign w:val="superscript"/>
                <w:lang w:eastAsia="en-US"/>
              </w:rPr>
              <w:t>30-32</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2010-2014</w:t>
            </w:r>
          </w:p>
          <w:p w:rsidR="001D0FDA" w:rsidRDefault="001D0FDA" w:rsidP="001D0FDA">
            <w:pPr>
              <w:pStyle w:val="Tabletext"/>
              <w:rPr>
                <w:rFonts w:cs="Tahoma"/>
                <w:szCs w:val="18"/>
              </w:rPr>
            </w:pPr>
            <w:r w:rsidRPr="00D53F84">
              <w:rPr>
                <w:rFonts w:eastAsia="Times New Roman"/>
                <w:snapToGrid w:val="0"/>
                <w:lang w:eastAsia="en-US"/>
              </w:rPr>
              <w:t>US, Canada, Europe, Australia, Japan</w:t>
            </w:r>
          </w:p>
        </w:tc>
        <w:tc>
          <w:tcPr>
            <w:tcW w:w="476" w:type="pct"/>
          </w:tcPr>
          <w:p w:rsidR="001D0FDA" w:rsidRDefault="001D0FDA" w:rsidP="001D0FDA">
            <w:pPr>
              <w:pStyle w:val="Tabletext"/>
              <w:ind w:right="-28"/>
              <w:rPr>
                <w:rFonts w:eastAsia="Times New Roman"/>
                <w:snapToGrid w:val="0"/>
                <w:lang w:eastAsia="en-US"/>
              </w:rPr>
            </w:pPr>
            <w:r w:rsidRPr="00D53F84">
              <w:rPr>
                <w:rFonts w:eastAsia="Times New Roman"/>
                <w:snapToGrid w:val="0"/>
                <w:lang w:eastAsia="en-US"/>
              </w:rPr>
              <w:t>RCT, DB</w:t>
            </w:r>
          </w:p>
          <w:p w:rsidR="001D0FDA" w:rsidRPr="00D53F84" w:rsidRDefault="001D0FDA" w:rsidP="001D0FDA">
            <w:pPr>
              <w:pStyle w:val="Tabletext"/>
              <w:ind w:right="-28"/>
              <w:rPr>
                <w:rFonts w:eastAsia="Times New Roman"/>
                <w:snapToGrid w:val="0"/>
                <w:lang w:eastAsia="en-US"/>
              </w:rPr>
            </w:pPr>
            <w:r>
              <w:rPr>
                <w:rFonts w:eastAsia="Times New Roman"/>
                <w:snapToGrid w:val="0"/>
                <w:lang w:eastAsia="en-US"/>
              </w:rPr>
              <w:t>Level II evidence</w:t>
            </w:r>
          </w:p>
          <w:p w:rsidR="001D0FDA" w:rsidRPr="00D53F84" w:rsidRDefault="001D0FDA" w:rsidP="001D0FDA">
            <w:pPr>
              <w:pStyle w:val="Tabletext"/>
              <w:ind w:right="-28"/>
              <w:rPr>
                <w:rFonts w:eastAsia="Times New Roman"/>
                <w:snapToGrid w:val="0"/>
                <w:lang w:eastAsia="en-US"/>
              </w:rPr>
            </w:pPr>
            <w:r>
              <w:rPr>
                <w:rFonts w:eastAsia="Times New Roman"/>
                <w:snapToGrid w:val="0"/>
                <w:lang w:eastAsia="en-US"/>
              </w:rPr>
              <w:t>Follow-up: 20 months</w:t>
            </w:r>
          </w:p>
          <w:p w:rsidR="001D0FDA" w:rsidRPr="00351FF5" w:rsidRDefault="001D0FDA" w:rsidP="001D0FDA">
            <w:pPr>
              <w:pStyle w:val="Tabletext"/>
              <w:rPr>
                <w:rFonts w:cs="Tahoma"/>
                <w:szCs w:val="18"/>
              </w:rPr>
            </w:pPr>
            <w:r w:rsidRPr="00351FF5">
              <w:rPr>
                <w:rFonts w:cs="Tahoma"/>
                <w:szCs w:val="18"/>
              </w:rPr>
              <w:t>Risk of bias</w:t>
            </w:r>
            <w:r>
              <w:rPr>
                <w:rFonts w:cs="Tahoma"/>
                <w:szCs w:val="18"/>
              </w:rPr>
              <w:t>:</w:t>
            </w:r>
            <w:r w:rsidRPr="00D53F84">
              <w:rPr>
                <w:rFonts w:eastAsia="Times New Roman"/>
                <w:snapToGrid w:val="0"/>
                <w:lang w:eastAsia="en-US"/>
              </w:rPr>
              <w:t xml:space="preserve"> </w:t>
            </w:r>
            <w:r>
              <w:rPr>
                <w:rFonts w:eastAsia="Times New Roman"/>
                <w:snapToGrid w:val="0"/>
                <w:lang w:eastAsia="en-US"/>
              </w:rPr>
              <w:t>l</w:t>
            </w:r>
            <w:r w:rsidRPr="00D53F84">
              <w:rPr>
                <w:rFonts w:eastAsia="Times New Roman"/>
                <w:snapToGrid w:val="0"/>
                <w:lang w:eastAsia="en-US"/>
              </w:rPr>
              <w:t>ow</w:t>
            </w:r>
          </w:p>
        </w:tc>
        <w:tc>
          <w:tcPr>
            <w:tcW w:w="772" w:type="pct"/>
          </w:tcPr>
          <w:p w:rsidR="001D0FDA" w:rsidRPr="00EA1FCD" w:rsidRDefault="001D0FDA" w:rsidP="001D0FDA">
            <w:pPr>
              <w:pStyle w:val="Tabletext"/>
              <w:rPr>
                <w:rFonts w:cs="Tahoma"/>
                <w:i/>
                <w:szCs w:val="18"/>
              </w:rPr>
            </w:pPr>
            <w:r w:rsidRPr="00EA1FCD">
              <w:rPr>
                <w:rFonts w:cs="Tahoma"/>
                <w:i/>
                <w:szCs w:val="18"/>
              </w:rPr>
              <w:t>Inclusion criteria</w:t>
            </w:r>
          </w:p>
          <w:p w:rsidR="001D0FDA" w:rsidRPr="0001197E" w:rsidRDefault="001D0FDA" w:rsidP="00480FDF">
            <w:pPr>
              <w:pStyle w:val="Tabletext"/>
              <w:numPr>
                <w:ilvl w:val="0"/>
                <w:numId w:val="54"/>
              </w:numPr>
              <w:ind w:left="239" w:hanging="144"/>
              <w:rPr>
                <w:rFonts w:cs="Tahoma"/>
                <w:szCs w:val="18"/>
              </w:rPr>
            </w:pPr>
            <w:r>
              <w:rPr>
                <w:rFonts w:cs="Tahoma"/>
                <w:szCs w:val="18"/>
              </w:rPr>
              <w:t>Age of</w:t>
            </w:r>
            <w:r w:rsidRPr="0001197E">
              <w:rPr>
                <w:rFonts w:cs="Tahoma"/>
                <w:szCs w:val="18"/>
              </w:rPr>
              <w:t xml:space="preserve"> 18-75 years, weighted ≥40kg </w:t>
            </w:r>
          </w:p>
          <w:p w:rsidR="001D0FDA" w:rsidRPr="0001197E" w:rsidRDefault="001D0FDA" w:rsidP="00480FDF">
            <w:pPr>
              <w:pStyle w:val="Tabletext"/>
              <w:numPr>
                <w:ilvl w:val="0"/>
                <w:numId w:val="54"/>
              </w:numPr>
              <w:ind w:left="239" w:hanging="144"/>
              <w:rPr>
                <w:rFonts w:cs="Tahoma"/>
                <w:szCs w:val="18"/>
              </w:rPr>
            </w:pPr>
            <w:r w:rsidRPr="0001197E">
              <w:rPr>
                <w:rFonts w:cs="Tahoma"/>
                <w:szCs w:val="18"/>
              </w:rPr>
              <w:t>Patients with WHO FC II</w:t>
            </w:r>
            <w:r>
              <w:rPr>
                <w:rFonts w:cs="Tahoma"/>
                <w:szCs w:val="18"/>
              </w:rPr>
              <w:t>-III</w:t>
            </w:r>
            <w:r w:rsidRPr="0001197E">
              <w:rPr>
                <w:rFonts w:cs="Tahoma"/>
                <w:szCs w:val="18"/>
              </w:rPr>
              <w:t xml:space="preserve"> IPAH, HPAH, PAH-CTD, PAH-CHD, PAH</w:t>
            </w:r>
            <w:r>
              <w:rPr>
                <w:rFonts w:cs="Tahoma"/>
                <w:szCs w:val="18"/>
              </w:rPr>
              <w:t>-DT</w:t>
            </w:r>
            <w:r w:rsidRPr="0001197E">
              <w:rPr>
                <w:rFonts w:cs="Tahoma"/>
                <w:szCs w:val="18"/>
              </w:rPr>
              <w:t xml:space="preserve">, PAH-HIV </w:t>
            </w:r>
          </w:p>
          <w:p w:rsidR="001D0FDA" w:rsidRPr="0001197E" w:rsidRDefault="001D0FDA" w:rsidP="00480FDF">
            <w:pPr>
              <w:pStyle w:val="Tabletext"/>
              <w:numPr>
                <w:ilvl w:val="0"/>
                <w:numId w:val="54"/>
              </w:numPr>
              <w:ind w:left="239" w:hanging="144"/>
              <w:rPr>
                <w:rFonts w:cs="Tahoma"/>
                <w:szCs w:val="18"/>
              </w:rPr>
            </w:pPr>
            <w:r w:rsidRPr="0001197E">
              <w:rPr>
                <w:rFonts w:cs="Tahoma"/>
                <w:szCs w:val="18"/>
              </w:rPr>
              <w:t>Patients who had had either not received previous treatment with an approved therapy for PAH or had received treatment &lt;14 days and</w:t>
            </w:r>
            <w:r>
              <w:rPr>
                <w:rFonts w:cs="Tahoma"/>
                <w:szCs w:val="18"/>
              </w:rPr>
              <w:t xml:space="preserve"> </w:t>
            </w:r>
            <w:r w:rsidRPr="0001197E">
              <w:rPr>
                <w:rFonts w:cs="Tahoma"/>
                <w:szCs w:val="18"/>
              </w:rPr>
              <w:t xml:space="preserve">had not received any approved therapy for </w:t>
            </w:r>
            <w:r>
              <w:rPr>
                <w:rFonts w:cs="Tahoma"/>
                <w:szCs w:val="18"/>
              </w:rPr>
              <w:t>PAH</w:t>
            </w:r>
            <w:r w:rsidRPr="0001197E">
              <w:rPr>
                <w:rFonts w:cs="Tahoma"/>
                <w:szCs w:val="18"/>
              </w:rPr>
              <w:t xml:space="preserve"> within 7 days before</w:t>
            </w:r>
            <w:r>
              <w:rPr>
                <w:rFonts w:cs="Tahoma"/>
                <w:szCs w:val="18"/>
              </w:rPr>
              <w:t xml:space="preserve"> enrolment </w:t>
            </w:r>
          </w:p>
          <w:p w:rsidR="001D0FDA" w:rsidRPr="00EA1FCD" w:rsidRDefault="001D0FDA" w:rsidP="001D0FDA">
            <w:pPr>
              <w:pStyle w:val="Tabletext"/>
              <w:rPr>
                <w:rFonts w:cs="Tahoma"/>
                <w:i/>
                <w:szCs w:val="18"/>
              </w:rPr>
            </w:pPr>
            <w:r w:rsidRPr="00EA1FCD">
              <w:rPr>
                <w:rFonts w:cs="Tahoma"/>
                <w:i/>
                <w:szCs w:val="18"/>
              </w:rPr>
              <w:t>Exclusion criteria</w:t>
            </w:r>
          </w:p>
          <w:p w:rsidR="001D0FDA" w:rsidRPr="0001197E" w:rsidRDefault="001D0FDA" w:rsidP="00480FDF">
            <w:pPr>
              <w:pStyle w:val="Tabletext"/>
              <w:numPr>
                <w:ilvl w:val="0"/>
                <w:numId w:val="54"/>
              </w:numPr>
              <w:ind w:left="239" w:hanging="144"/>
              <w:rPr>
                <w:rFonts w:cs="Tahoma"/>
                <w:szCs w:val="18"/>
              </w:rPr>
            </w:pPr>
            <w:r>
              <w:rPr>
                <w:rFonts w:cs="Tahoma"/>
                <w:szCs w:val="18"/>
              </w:rPr>
              <w:t>Patients who re</w:t>
            </w:r>
            <w:r w:rsidRPr="0001197E">
              <w:rPr>
                <w:rFonts w:cs="Tahoma"/>
                <w:szCs w:val="18"/>
              </w:rPr>
              <w:t>ceived ERA or PDE</w:t>
            </w:r>
            <w:r>
              <w:rPr>
                <w:rFonts w:cs="Tahoma"/>
                <w:szCs w:val="18"/>
              </w:rPr>
              <w:t>-</w:t>
            </w:r>
            <w:r w:rsidRPr="0001197E">
              <w:rPr>
                <w:rFonts w:cs="Tahoma"/>
                <w:szCs w:val="18"/>
              </w:rPr>
              <w:t xml:space="preserve">5i at any time </w:t>
            </w:r>
            <w:r>
              <w:rPr>
                <w:rFonts w:cs="Tahoma"/>
                <w:szCs w:val="18"/>
              </w:rPr>
              <w:t xml:space="preserve">and </w:t>
            </w:r>
            <w:r w:rsidRPr="0001197E">
              <w:rPr>
                <w:rFonts w:cs="Tahoma"/>
                <w:szCs w:val="18"/>
              </w:rPr>
              <w:t>discontinued due to tolerance issues other than those associated with liver function abnormalities</w:t>
            </w:r>
          </w:p>
          <w:p w:rsidR="001D0FDA" w:rsidRPr="00351FF5" w:rsidRDefault="001D0FDA" w:rsidP="00480FDF">
            <w:pPr>
              <w:pStyle w:val="Tabletext"/>
              <w:numPr>
                <w:ilvl w:val="0"/>
                <w:numId w:val="54"/>
              </w:numPr>
              <w:ind w:left="239" w:hanging="144"/>
              <w:rPr>
                <w:rFonts w:cs="Tahoma"/>
                <w:i/>
                <w:szCs w:val="18"/>
              </w:rPr>
            </w:pPr>
            <w:r>
              <w:rPr>
                <w:rFonts w:cs="Tahoma"/>
                <w:szCs w:val="18"/>
              </w:rPr>
              <w:t xml:space="preserve">Patients </w:t>
            </w:r>
            <w:r w:rsidRPr="0001197E">
              <w:rPr>
                <w:rFonts w:cs="Tahoma"/>
                <w:szCs w:val="18"/>
              </w:rPr>
              <w:t xml:space="preserve">who </w:t>
            </w:r>
            <w:r>
              <w:rPr>
                <w:rFonts w:cs="Tahoma"/>
                <w:szCs w:val="18"/>
              </w:rPr>
              <w:t xml:space="preserve">had </w:t>
            </w:r>
            <w:r w:rsidRPr="0001197E">
              <w:rPr>
                <w:rFonts w:cs="Tahoma"/>
                <w:szCs w:val="18"/>
              </w:rPr>
              <w:t>previously discontinued ambrisentan or tadalafil for safety or tolerability reasons</w:t>
            </w:r>
          </w:p>
        </w:tc>
        <w:tc>
          <w:tcPr>
            <w:tcW w:w="0" w:type="auto"/>
          </w:tcPr>
          <w:p w:rsidR="001D0FDA" w:rsidRDefault="001D0FDA" w:rsidP="001D0FDA">
            <w:pPr>
              <w:pStyle w:val="Tabletext"/>
              <w:rPr>
                <w:rFonts w:cs="Tahoma"/>
                <w:szCs w:val="18"/>
              </w:rPr>
            </w:pPr>
            <w:r>
              <w:rPr>
                <w:rFonts w:cs="Tahoma"/>
                <w:szCs w:val="18"/>
              </w:rPr>
              <w:t>N=500</w:t>
            </w:r>
          </w:p>
          <w:tbl>
            <w:tblPr>
              <w:tblStyle w:val="TableGrid"/>
              <w:tblW w:w="45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AMBITION"/>
            </w:tblPr>
            <w:tblGrid>
              <w:gridCol w:w="1081"/>
              <w:gridCol w:w="1237"/>
              <w:gridCol w:w="1237"/>
              <w:gridCol w:w="1003"/>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1443" w:type="dxa"/>
                  <w:shd w:val="clear" w:color="auto" w:fill="FFFFFF" w:themeFill="background1"/>
                </w:tcPr>
                <w:p w:rsidR="001D0FDA" w:rsidRPr="00351FF5" w:rsidRDefault="001D0FDA" w:rsidP="00B5196D">
                  <w:pPr>
                    <w:pStyle w:val="Tabletext"/>
                    <w:framePr w:hSpace="180" w:wrap="around" w:vAnchor="text" w:hAnchor="text" w:y="1"/>
                    <w:spacing w:before="0" w:after="0"/>
                    <w:rPr>
                      <w:rFonts w:cs="Tahoma"/>
                      <w:b/>
                      <w:szCs w:val="18"/>
                    </w:rPr>
                  </w:pPr>
                </w:p>
              </w:tc>
              <w:tc>
                <w:tcPr>
                  <w:tcW w:w="1095" w:type="dxa"/>
                  <w:shd w:val="clear" w:color="auto" w:fill="FFFFFF" w:themeFill="background1"/>
                </w:tcPr>
                <w:p w:rsidR="001D0FDA" w:rsidRPr="00411013" w:rsidRDefault="001D0FDA" w:rsidP="00B5196D">
                  <w:pPr>
                    <w:pStyle w:val="Tabletext"/>
                    <w:framePr w:hSpace="180" w:wrap="around" w:vAnchor="text" w:hAnchor="text" w:y="1"/>
                    <w:spacing w:before="0"/>
                    <w:jc w:val="center"/>
                    <w:rPr>
                      <w:rFonts w:cs="Tahoma"/>
                      <w:szCs w:val="18"/>
                    </w:rPr>
                  </w:pPr>
                  <w:r w:rsidRPr="00411013">
                    <w:rPr>
                      <w:rFonts w:cs="Tahoma"/>
                      <w:szCs w:val="18"/>
                    </w:rPr>
                    <w:t>Ambrisentan + tadalafil</w:t>
                  </w:r>
                </w:p>
                <w:p w:rsidR="001D0FDA" w:rsidRPr="00802B85" w:rsidRDefault="001D0FDA" w:rsidP="00B5196D">
                  <w:pPr>
                    <w:pStyle w:val="Tabletext"/>
                    <w:framePr w:hSpace="180" w:wrap="around" w:vAnchor="text" w:hAnchor="text" w:y="1"/>
                    <w:spacing w:before="0"/>
                    <w:jc w:val="center"/>
                    <w:rPr>
                      <w:rFonts w:cs="Tahoma"/>
                      <w:szCs w:val="18"/>
                    </w:rPr>
                  </w:pPr>
                  <w:r>
                    <w:rPr>
                      <w:rFonts w:cs="Tahoma"/>
                      <w:szCs w:val="18"/>
                    </w:rPr>
                    <w:t>(N=253)</w:t>
                  </w:r>
                </w:p>
              </w:tc>
              <w:tc>
                <w:tcPr>
                  <w:tcW w:w="1045" w:type="dxa"/>
                  <w:shd w:val="clear" w:color="auto" w:fill="FFFFFF" w:themeFill="background1"/>
                </w:tcPr>
                <w:p w:rsidR="001D0FDA" w:rsidRPr="00411013" w:rsidRDefault="001D0FDA" w:rsidP="00B5196D">
                  <w:pPr>
                    <w:pStyle w:val="Tabletext"/>
                    <w:framePr w:hSpace="180" w:wrap="around" w:vAnchor="text" w:hAnchor="text" w:y="1"/>
                    <w:spacing w:before="0"/>
                    <w:jc w:val="center"/>
                    <w:rPr>
                      <w:rFonts w:cs="Tahoma"/>
                      <w:szCs w:val="18"/>
                    </w:rPr>
                  </w:pPr>
                  <w:r w:rsidRPr="00411013">
                    <w:rPr>
                      <w:rFonts w:cs="Tahoma"/>
                      <w:szCs w:val="18"/>
                    </w:rPr>
                    <w:t>Ambrisentan</w:t>
                  </w:r>
                </w:p>
                <w:p w:rsidR="001D0FDA" w:rsidRPr="00802B85" w:rsidRDefault="001D0FDA" w:rsidP="00B5196D">
                  <w:pPr>
                    <w:pStyle w:val="Tabletext"/>
                    <w:framePr w:hSpace="180" w:wrap="around" w:vAnchor="text" w:hAnchor="text" w:y="1"/>
                    <w:spacing w:before="0" w:after="0"/>
                    <w:jc w:val="center"/>
                    <w:rPr>
                      <w:rFonts w:cs="Tahoma"/>
                      <w:szCs w:val="18"/>
                    </w:rPr>
                  </w:pPr>
                  <w:r w:rsidRPr="00411013">
                    <w:rPr>
                      <w:rFonts w:cs="Tahoma"/>
                      <w:szCs w:val="18"/>
                    </w:rPr>
                    <w:t>(N=126)</w:t>
                  </w:r>
                </w:p>
              </w:tc>
              <w:tc>
                <w:tcPr>
                  <w:tcW w:w="927" w:type="dxa"/>
                  <w:shd w:val="clear" w:color="auto" w:fill="FFFFFF" w:themeFill="background1"/>
                </w:tcPr>
                <w:p w:rsidR="001D0FDA" w:rsidRPr="00411013" w:rsidRDefault="001D0FDA" w:rsidP="00B5196D">
                  <w:pPr>
                    <w:pStyle w:val="Tabletext"/>
                    <w:framePr w:hSpace="180" w:wrap="around" w:vAnchor="text" w:hAnchor="text" w:y="1"/>
                    <w:spacing w:before="0"/>
                    <w:jc w:val="center"/>
                    <w:rPr>
                      <w:rFonts w:cs="Tahoma"/>
                      <w:szCs w:val="18"/>
                    </w:rPr>
                  </w:pPr>
                  <w:r w:rsidRPr="00411013">
                    <w:rPr>
                      <w:rFonts w:cs="Tahoma"/>
                      <w:szCs w:val="18"/>
                    </w:rPr>
                    <w:t>Tadalafil</w:t>
                  </w:r>
                </w:p>
                <w:p w:rsidR="001D0FDA" w:rsidRPr="00802B85" w:rsidRDefault="001D0FDA" w:rsidP="00B5196D">
                  <w:pPr>
                    <w:pStyle w:val="Tabletext"/>
                    <w:framePr w:hSpace="180" w:wrap="around" w:vAnchor="text" w:hAnchor="text" w:y="1"/>
                    <w:spacing w:before="0" w:after="0"/>
                    <w:jc w:val="center"/>
                    <w:rPr>
                      <w:rFonts w:cs="Tahoma"/>
                      <w:szCs w:val="18"/>
                    </w:rPr>
                  </w:pPr>
                  <w:r w:rsidRPr="00411013">
                    <w:rPr>
                      <w:rFonts w:cs="Tahoma"/>
                      <w:szCs w:val="18"/>
                    </w:rPr>
                    <w:t>(N=121)</w:t>
                  </w:r>
                </w:p>
              </w:tc>
            </w:tr>
            <w:tr w:rsidR="001D0FDA" w:rsidRPr="00351FF5" w:rsidTr="001D0FDA">
              <w:tc>
                <w:tcPr>
                  <w:tcW w:w="1443"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 xml:space="preserve">Age, mean±SD (yrs) </w:t>
                  </w:r>
                </w:p>
              </w:tc>
              <w:tc>
                <w:tcPr>
                  <w:tcW w:w="1095" w:type="dxa"/>
                  <w:vAlign w:val="center"/>
                </w:tcPr>
                <w:p w:rsidR="001D0FDA" w:rsidRPr="00411013" w:rsidRDefault="001D0FDA" w:rsidP="00B5196D">
                  <w:pPr>
                    <w:pStyle w:val="Tabletext"/>
                    <w:framePr w:hSpace="180" w:wrap="around" w:vAnchor="text" w:hAnchor="text" w:y="1"/>
                    <w:spacing w:before="0" w:after="0"/>
                    <w:jc w:val="center"/>
                    <w:rPr>
                      <w:rFonts w:cs="Tahoma"/>
                      <w:szCs w:val="18"/>
                    </w:rPr>
                  </w:pPr>
                  <w:r w:rsidRPr="00411013">
                    <w:rPr>
                      <w:rFonts w:cs="Tahoma"/>
                      <w:szCs w:val="18"/>
                    </w:rPr>
                    <w:t>55±14</w:t>
                  </w:r>
                </w:p>
              </w:tc>
              <w:tc>
                <w:tcPr>
                  <w:tcW w:w="1045" w:type="dxa"/>
                  <w:vAlign w:val="center"/>
                </w:tcPr>
                <w:p w:rsidR="001D0FDA" w:rsidRPr="00411013" w:rsidRDefault="001D0FDA" w:rsidP="00B5196D">
                  <w:pPr>
                    <w:pStyle w:val="Tabletext"/>
                    <w:framePr w:hSpace="180" w:wrap="around" w:vAnchor="text" w:hAnchor="text" w:y="1"/>
                    <w:spacing w:before="0" w:after="0"/>
                    <w:jc w:val="center"/>
                    <w:rPr>
                      <w:rFonts w:cs="Tahoma"/>
                      <w:szCs w:val="18"/>
                    </w:rPr>
                  </w:pPr>
                  <w:r w:rsidRPr="00411013">
                    <w:rPr>
                      <w:rFonts w:cs="Tahoma"/>
                      <w:szCs w:val="18"/>
                    </w:rPr>
                    <w:t>54±15</w:t>
                  </w:r>
                </w:p>
              </w:tc>
              <w:tc>
                <w:tcPr>
                  <w:tcW w:w="927" w:type="dxa"/>
                  <w:vAlign w:val="center"/>
                </w:tcPr>
                <w:p w:rsidR="001D0FDA" w:rsidRPr="00411013" w:rsidRDefault="001D0FDA" w:rsidP="00B5196D">
                  <w:pPr>
                    <w:pStyle w:val="Tabletext"/>
                    <w:framePr w:hSpace="180" w:wrap="around" w:vAnchor="text" w:hAnchor="text" w:y="1"/>
                    <w:spacing w:before="0" w:after="0"/>
                    <w:jc w:val="center"/>
                    <w:rPr>
                      <w:rFonts w:cs="Tahoma"/>
                      <w:szCs w:val="18"/>
                    </w:rPr>
                  </w:pPr>
                  <w:r w:rsidRPr="00411013">
                    <w:rPr>
                      <w:rFonts w:cs="Tahoma"/>
                      <w:szCs w:val="18"/>
                    </w:rPr>
                    <w:t>55±15</w:t>
                  </w:r>
                </w:p>
              </w:tc>
            </w:tr>
            <w:tr w:rsidR="001D0FDA" w:rsidRPr="00351FF5" w:rsidTr="001D0FDA">
              <w:tc>
                <w:tcPr>
                  <w:tcW w:w="1443"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Gender, femal</w:t>
                  </w:r>
                  <w:r>
                    <w:rPr>
                      <w:rFonts w:cs="Tahoma"/>
                      <w:szCs w:val="18"/>
                    </w:rPr>
                    <w:t>e</w:t>
                  </w:r>
                  <w:r w:rsidRPr="00351FF5">
                    <w:rPr>
                      <w:rFonts w:cs="Tahoma"/>
                      <w:szCs w:val="18"/>
                    </w:rPr>
                    <w:t>, n (%)</w:t>
                  </w:r>
                </w:p>
              </w:tc>
              <w:tc>
                <w:tcPr>
                  <w:tcW w:w="1095" w:type="dxa"/>
                  <w:tcBorders>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r>
                    <w:rPr>
                      <w:rFonts w:cs="Tahoma"/>
                      <w:szCs w:val="18"/>
                    </w:rPr>
                    <w:t>188 (74%)</w:t>
                  </w:r>
                </w:p>
              </w:tc>
              <w:tc>
                <w:tcPr>
                  <w:tcW w:w="1045" w:type="dxa"/>
                  <w:tcBorders>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r>
                    <w:rPr>
                      <w:rFonts w:cs="Tahoma"/>
                      <w:szCs w:val="18"/>
                    </w:rPr>
                    <w:t>100 (79%)</w:t>
                  </w:r>
                </w:p>
              </w:tc>
              <w:tc>
                <w:tcPr>
                  <w:tcW w:w="927" w:type="dxa"/>
                  <w:tcBorders>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r>
                    <w:rPr>
                      <w:rFonts w:cs="Tahoma"/>
                      <w:szCs w:val="18"/>
                    </w:rPr>
                    <w:t>100 (83%)</w:t>
                  </w:r>
                </w:p>
              </w:tc>
            </w:tr>
            <w:tr w:rsidR="001D0FDA" w:rsidRPr="00351FF5" w:rsidTr="001D0FDA">
              <w:tc>
                <w:tcPr>
                  <w:tcW w:w="1443"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PAH aetiology, n (%)</w:t>
                  </w:r>
                </w:p>
              </w:tc>
              <w:tc>
                <w:tcPr>
                  <w:tcW w:w="1095"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c>
                <w:tcPr>
                  <w:tcW w:w="1045"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c>
                <w:tcPr>
                  <w:tcW w:w="927"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1443"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IPAH</w:t>
                  </w:r>
                </w:p>
              </w:tc>
              <w:tc>
                <w:tcPr>
                  <w:tcW w:w="1095"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127 (50%)</w:t>
                  </w:r>
                </w:p>
              </w:tc>
              <w:tc>
                <w:tcPr>
                  <w:tcW w:w="1045"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72 (57%)</w:t>
                  </w:r>
                </w:p>
              </w:tc>
              <w:tc>
                <w:tcPr>
                  <w:tcW w:w="927"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66 (55%)</w:t>
                  </w:r>
                </w:p>
              </w:tc>
            </w:tr>
            <w:tr w:rsidR="001D0FDA" w:rsidRPr="00351FF5" w:rsidTr="001D0FDA">
              <w:tc>
                <w:tcPr>
                  <w:tcW w:w="1443"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HPAH</w:t>
                  </w:r>
                </w:p>
              </w:tc>
              <w:tc>
                <w:tcPr>
                  <w:tcW w:w="1095"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7 (3%)</w:t>
                  </w:r>
                </w:p>
              </w:tc>
              <w:tc>
                <w:tcPr>
                  <w:tcW w:w="1045"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3 (2%)</w:t>
                  </w:r>
                </w:p>
              </w:tc>
              <w:tc>
                <w:tcPr>
                  <w:tcW w:w="927"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4 (3%)</w:t>
                  </w:r>
                </w:p>
              </w:tc>
            </w:tr>
            <w:tr w:rsidR="001D0FDA" w:rsidRPr="00351FF5" w:rsidTr="001D0FDA">
              <w:tc>
                <w:tcPr>
                  <w:tcW w:w="1443"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PAH-CTD</w:t>
                  </w:r>
                </w:p>
              </w:tc>
              <w:tc>
                <w:tcPr>
                  <w:tcW w:w="1095"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103 (41%)</w:t>
                  </w:r>
                </w:p>
              </w:tc>
              <w:tc>
                <w:tcPr>
                  <w:tcW w:w="1045"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44 (35%)</w:t>
                  </w:r>
                </w:p>
              </w:tc>
              <w:tc>
                <w:tcPr>
                  <w:tcW w:w="927"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40 (33%)</w:t>
                  </w:r>
                </w:p>
              </w:tc>
            </w:tr>
            <w:tr w:rsidR="001D0FDA" w:rsidRPr="00351FF5" w:rsidTr="001D0FDA">
              <w:tc>
                <w:tcPr>
                  <w:tcW w:w="1443"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PAH-CHD</w:t>
                  </w:r>
                </w:p>
              </w:tc>
              <w:tc>
                <w:tcPr>
                  <w:tcW w:w="1095"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5 (2%)</w:t>
                  </w:r>
                </w:p>
              </w:tc>
              <w:tc>
                <w:tcPr>
                  <w:tcW w:w="1045"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1 (1%)</w:t>
                  </w:r>
                </w:p>
              </w:tc>
              <w:tc>
                <w:tcPr>
                  <w:tcW w:w="927"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3 (2%)</w:t>
                  </w:r>
                </w:p>
              </w:tc>
            </w:tr>
            <w:tr w:rsidR="001D0FDA" w:rsidRPr="00351FF5" w:rsidTr="001D0FDA">
              <w:tc>
                <w:tcPr>
                  <w:tcW w:w="1443"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PAH-DT</w:t>
                  </w:r>
                </w:p>
              </w:tc>
              <w:tc>
                <w:tcPr>
                  <w:tcW w:w="1095"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6 (2%)</w:t>
                  </w:r>
                </w:p>
              </w:tc>
              <w:tc>
                <w:tcPr>
                  <w:tcW w:w="1045"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4 (3%)</w:t>
                  </w:r>
                </w:p>
              </w:tc>
              <w:tc>
                <w:tcPr>
                  <w:tcW w:w="927"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6 (5%)</w:t>
                  </w:r>
                </w:p>
              </w:tc>
            </w:tr>
            <w:tr w:rsidR="001D0FDA" w:rsidRPr="00351FF5" w:rsidTr="001D0FDA">
              <w:tc>
                <w:tcPr>
                  <w:tcW w:w="1443" w:type="dxa"/>
                  <w:tcBorders>
                    <w:top w:val="nil"/>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PAH-HIV</w:t>
                  </w:r>
                </w:p>
              </w:tc>
              <w:tc>
                <w:tcPr>
                  <w:tcW w:w="1095" w:type="dxa"/>
                  <w:tcBorders>
                    <w:top w:val="nil"/>
                    <w:bottom w:val="single" w:sz="4" w:space="0" w:color="BFBFBF" w:themeColor="background1" w:themeShade="BF"/>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5 (2%)</w:t>
                  </w:r>
                </w:p>
              </w:tc>
              <w:tc>
                <w:tcPr>
                  <w:tcW w:w="1045" w:type="dxa"/>
                  <w:tcBorders>
                    <w:top w:val="nil"/>
                    <w:bottom w:val="single" w:sz="4" w:space="0" w:color="BFBFBF" w:themeColor="background1" w:themeShade="BF"/>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2 (2%)</w:t>
                  </w:r>
                </w:p>
              </w:tc>
              <w:tc>
                <w:tcPr>
                  <w:tcW w:w="927" w:type="dxa"/>
                  <w:tcBorders>
                    <w:top w:val="nil"/>
                    <w:bottom w:val="single" w:sz="4" w:space="0" w:color="BFBFBF" w:themeColor="background1" w:themeShade="BF"/>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2 (2%)</w:t>
                  </w:r>
                </w:p>
              </w:tc>
            </w:tr>
            <w:tr w:rsidR="001D0FDA" w:rsidRPr="00351FF5" w:rsidTr="001D0FDA">
              <w:tc>
                <w:tcPr>
                  <w:tcW w:w="1443"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WHO FC</w:t>
                  </w:r>
                  <w:r>
                    <w:rPr>
                      <w:rFonts w:cs="Tahoma"/>
                      <w:szCs w:val="18"/>
                    </w:rPr>
                    <w:t>, n (%)</w:t>
                  </w:r>
                </w:p>
              </w:tc>
              <w:tc>
                <w:tcPr>
                  <w:tcW w:w="1095"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c>
                <w:tcPr>
                  <w:tcW w:w="1045"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c>
                <w:tcPr>
                  <w:tcW w:w="927"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1443"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II</w:t>
                  </w:r>
                </w:p>
              </w:tc>
              <w:tc>
                <w:tcPr>
                  <w:tcW w:w="1095"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76 (30%)</w:t>
                  </w:r>
                </w:p>
              </w:tc>
              <w:tc>
                <w:tcPr>
                  <w:tcW w:w="1045"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38 (30%)</w:t>
                  </w:r>
                </w:p>
              </w:tc>
              <w:tc>
                <w:tcPr>
                  <w:tcW w:w="927"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41 (34%)</w:t>
                  </w:r>
                </w:p>
              </w:tc>
            </w:tr>
            <w:tr w:rsidR="001D0FDA" w:rsidRPr="00351FF5" w:rsidTr="001D0FDA">
              <w:tc>
                <w:tcPr>
                  <w:tcW w:w="1443" w:type="dxa"/>
                  <w:tcBorders>
                    <w:top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III</w:t>
                  </w:r>
                </w:p>
              </w:tc>
              <w:tc>
                <w:tcPr>
                  <w:tcW w:w="1095" w:type="dxa"/>
                  <w:tcBorders>
                    <w:top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177 (70%)</w:t>
                  </w:r>
                </w:p>
              </w:tc>
              <w:tc>
                <w:tcPr>
                  <w:tcW w:w="1045" w:type="dxa"/>
                  <w:tcBorders>
                    <w:top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88 (70%)</w:t>
                  </w:r>
                </w:p>
              </w:tc>
              <w:tc>
                <w:tcPr>
                  <w:tcW w:w="927" w:type="dxa"/>
                  <w:tcBorders>
                    <w:top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80 (66%)</w:t>
                  </w:r>
                </w:p>
              </w:tc>
            </w:tr>
            <w:tr w:rsidR="001D0FDA" w:rsidRPr="00351FF5" w:rsidTr="001D0FDA">
              <w:tc>
                <w:tcPr>
                  <w:tcW w:w="1443" w:type="dxa"/>
                </w:tcPr>
                <w:p w:rsidR="001D0FDA" w:rsidRPr="00351FF5" w:rsidRDefault="001D0FDA" w:rsidP="00B5196D">
                  <w:pPr>
                    <w:pStyle w:val="Tabletext"/>
                    <w:framePr w:hSpace="180" w:wrap="around" w:vAnchor="text" w:hAnchor="text" w:y="1"/>
                    <w:spacing w:before="0" w:after="0"/>
                    <w:rPr>
                      <w:rFonts w:cs="Tahoma"/>
                      <w:szCs w:val="18"/>
                    </w:rPr>
                  </w:pPr>
                  <w:r>
                    <w:rPr>
                      <w:rFonts w:cs="Tahoma"/>
                      <w:szCs w:val="18"/>
                    </w:rPr>
                    <w:t>No history of therapy specifically for PAH, n (%)</w:t>
                  </w:r>
                </w:p>
              </w:tc>
              <w:tc>
                <w:tcPr>
                  <w:tcW w:w="1095" w:type="dxa"/>
                  <w:vAlign w:val="center"/>
                </w:tcPr>
                <w:p w:rsidR="001D0FDA" w:rsidRPr="00411013" w:rsidRDefault="001D0FDA" w:rsidP="00B5196D">
                  <w:pPr>
                    <w:pStyle w:val="Tabletext"/>
                    <w:framePr w:hSpace="180" w:wrap="around" w:vAnchor="text" w:hAnchor="text" w:y="1"/>
                    <w:spacing w:before="0" w:after="0"/>
                    <w:jc w:val="center"/>
                    <w:rPr>
                      <w:rFonts w:cs="Tahoma"/>
                      <w:szCs w:val="18"/>
                    </w:rPr>
                  </w:pPr>
                  <w:r w:rsidRPr="00411013">
                    <w:rPr>
                      <w:rFonts w:cs="Tahoma"/>
                      <w:szCs w:val="18"/>
                    </w:rPr>
                    <w:t>242 (96%)</w:t>
                  </w:r>
                </w:p>
              </w:tc>
              <w:tc>
                <w:tcPr>
                  <w:tcW w:w="1045" w:type="dxa"/>
                  <w:vAlign w:val="center"/>
                </w:tcPr>
                <w:p w:rsidR="001D0FDA" w:rsidRPr="00411013" w:rsidRDefault="001D0FDA" w:rsidP="00B5196D">
                  <w:pPr>
                    <w:pStyle w:val="Tabletext"/>
                    <w:framePr w:hSpace="180" w:wrap="around" w:vAnchor="text" w:hAnchor="text" w:y="1"/>
                    <w:spacing w:before="0" w:after="0"/>
                    <w:jc w:val="center"/>
                    <w:rPr>
                      <w:rFonts w:cs="Tahoma"/>
                      <w:szCs w:val="18"/>
                    </w:rPr>
                  </w:pPr>
                  <w:r w:rsidRPr="00411013">
                    <w:rPr>
                      <w:rFonts w:cs="Tahoma"/>
                      <w:szCs w:val="18"/>
                    </w:rPr>
                    <w:t>120 (95%)</w:t>
                  </w:r>
                </w:p>
              </w:tc>
              <w:tc>
                <w:tcPr>
                  <w:tcW w:w="927" w:type="dxa"/>
                  <w:vAlign w:val="center"/>
                </w:tcPr>
                <w:p w:rsidR="001D0FDA" w:rsidRPr="00411013" w:rsidRDefault="001D0FDA" w:rsidP="00B5196D">
                  <w:pPr>
                    <w:pStyle w:val="Tabletext"/>
                    <w:framePr w:hSpace="180" w:wrap="around" w:vAnchor="text" w:hAnchor="text" w:y="1"/>
                    <w:spacing w:before="0" w:after="0"/>
                    <w:jc w:val="center"/>
                    <w:rPr>
                      <w:rFonts w:cs="Tahoma"/>
                      <w:szCs w:val="18"/>
                    </w:rPr>
                  </w:pPr>
                  <w:r w:rsidRPr="00411013">
                    <w:rPr>
                      <w:rFonts w:cs="Tahoma"/>
                      <w:szCs w:val="18"/>
                    </w:rPr>
                    <w:t>115 (95%)</w:t>
                  </w:r>
                </w:p>
              </w:tc>
            </w:tr>
            <w:tr w:rsidR="001D0FDA" w:rsidRPr="00351FF5" w:rsidTr="001D0FDA">
              <w:tc>
                <w:tcPr>
                  <w:tcW w:w="1443"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mPAP, mean±SD (mmHg)</w:t>
                  </w:r>
                </w:p>
              </w:tc>
              <w:tc>
                <w:tcPr>
                  <w:tcW w:w="1095" w:type="dxa"/>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48.1±12.4</w:t>
                  </w:r>
                </w:p>
              </w:tc>
              <w:tc>
                <w:tcPr>
                  <w:tcW w:w="1045" w:type="dxa"/>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50.4±12.5</w:t>
                  </w:r>
                </w:p>
              </w:tc>
              <w:tc>
                <w:tcPr>
                  <w:tcW w:w="927" w:type="dxa"/>
                </w:tcPr>
                <w:p w:rsidR="001D0FDA" w:rsidRPr="00411013" w:rsidRDefault="001D0FDA" w:rsidP="00B5196D">
                  <w:pPr>
                    <w:pStyle w:val="Tabletext"/>
                    <w:framePr w:hSpace="180" w:wrap="around" w:vAnchor="text" w:hAnchor="text" w:y="1"/>
                    <w:spacing w:before="0" w:after="0"/>
                    <w:jc w:val="center"/>
                    <w:rPr>
                      <w:rFonts w:cs="Tahoma"/>
                      <w:szCs w:val="18"/>
                    </w:rPr>
                  </w:pPr>
                  <w:r w:rsidRPr="005331C3">
                    <w:rPr>
                      <w:rFonts w:cs="Tahoma"/>
                      <w:szCs w:val="18"/>
                    </w:rPr>
                    <w:t>48.1±12.6</w:t>
                  </w:r>
                </w:p>
              </w:tc>
            </w:tr>
            <w:tr w:rsidR="001D0FDA" w:rsidRPr="00351FF5" w:rsidTr="001D0FDA">
              <w:tc>
                <w:tcPr>
                  <w:tcW w:w="1443"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PVR, mean±SD (</w:t>
                  </w:r>
                  <w:r>
                    <w:rPr>
                      <w:rFonts w:cs="Tahoma"/>
                      <w:szCs w:val="18"/>
                    </w:rPr>
                    <w:t>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095" w:type="dxa"/>
                </w:tcPr>
                <w:p w:rsidR="001D0FDA" w:rsidRPr="00411013" w:rsidRDefault="001D0FDA" w:rsidP="00B5196D">
                  <w:pPr>
                    <w:pStyle w:val="Tabletext"/>
                    <w:framePr w:hSpace="180" w:wrap="around" w:vAnchor="text" w:hAnchor="text" w:y="1"/>
                    <w:spacing w:before="0" w:after="0"/>
                    <w:jc w:val="center"/>
                    <w:rPr>
                      <w:rFonts w:cs="Tahoma"/>
                      <w:szCs w:val="18"/>
                    </w:rPr>
                  </w:pPr>
                  <w:r>
                    <w:rPr>
                      <w:rFonts w:cs="Tahoma"/>
                      <w:szCs w:val="18"/>
                    </w:rPr>
                    <w:t>824±467</w:t>
                  </w:r>
                </w:p>
              </w:tc>
              <w:tc>
                <w:tcPr>
                  <w:tcW w:w="1045" w:type="dxa"/>
                </w:tcPr>
                <w:p w:rsidR="001D0FDA" w:rsidRPr="00411013" w:rsidRDefault="001D0FDA" w:rsidP="00B5196D">
                  <w:pPr>
                    <w:pStyle w:val="Tabletext"/>
                    <w:framePr w:hSpace="180" w:wrap="around" w:vAnchor="text" w:hAnchor="text" w:y="1"/>
                    <w:spacing w:before="0" w:after="0"/>
                    <w:jc w:val="center"/>
                    <w:rPr>
                      <w:rFonts w:cs="Tahoma"/>
                      <w:szCs w:val="18"/>
                    </w:rPr>
                  </w:pPr>
                  <w:r>
                    <w:rPr>
                      <w:rFonts w:cs="Tahoma"/>
                      <w:szCs w:val="18"/>
                    </w:rPr>
                    <w:t>852</w:t>
                  </w:r>
                  <w:r w:rsidRPr="005331C3">
                    <w:rPr>
                      <w:rFonts w:cs="Tahoma"/>
                      <w:szCs w:val="18"/>
                    </w:rPr>
                    <w:t>±39</w:t>
                  </w:r>
                  <w:r>
                    <w:rPr>
                      <w:rFonts w:cs="Tahoma"/>
                      <w:szCs w:val="18"/>
                    </w:rPr>
                    <w:t>5</w:t>
                  </w:r>
                </w:p>
              </w:tc>
              <w:tc>
                <w:tcPr>
                  <w:tcW w:w="927" w:type="dxa"/>
                </w:tcPr>
                <w:p w:rsidR="001D0FDA" w:rsidRPr="00411013" w:rsidRDefault="001D0FDA" w:rsidP="00B5196D">
                  <w:pPr>
                    <w:pStyle w:val="Tabletext"/>
                    <w:framePr w:hSpace="180" w:wrap="around" w:vAnchor="text" w:hAnchor="text" w:y="1"/>
                    <w:spacing w:before="0" w:after="0"/>
                    <w:jc w:val="center"/>
                    <w:rPr>
                      <w:rFonts w:cs="Tahoma"/>
                      <w:szCs w:val="18"/>
                    </w:rPr>
                  </w:pPr>
                  <w:r>
                    <w:rPr>
                      <w:rFonts w:cs="Tahoma"/>
                      <w:szCs w:val="18"/>
                    </w:rPr>
                    <w:t>789±409</w:t>
                  </w:r>
                </w:p>
              </w:tc>
            </w:tr>
          </w:tbl>
          <w:p w:rsidR="001D0FDA" w:rsidRPr="00351FF5" w:rsidRDefault="001D0FDA" w:rsidP="001D0FDA">
            <w:pPr>
              <w:pStyle w:val="Tabletext"/>
              <w:rPr>
                <w:rFonts w:cs="Tahoma"/>
                <w:szCs w:val="18"/>
              </w:rPr>
            </w:pPr>
          </w:p>
        </w:tc>
        <w:tc>
          <w:tcPr>
            <w:tcW w:w="811" w:type="pct"/>
          </w:tcPr>
          <w:p w:rsidR="001D0FDA" w:rsidRDefault="001D0FDA" w:rsidP="001D0FDA">
            <w:pPr>
              <w:pStyle w:val="Tabletext"/>
              <w:rPr>
                <w:rFonts w:cs="Tahoma"/>
                <w:i/>
                <w:szCs w:val="18"/>
              </w:rPr>
            </w:pPr>
            <w:r>
              <w:rPr>
                <w:rFonts w:cs="Tahoma"/>
                <w:i/>
                <w:szCs w:val="18"/>
              </w:rPr>
              <w:t>Intervention</w:t>
            </w:r>
          </w:p>
          <w:p w:rsidR="001D0FDA" w:rsidRPr="005331C3" w:rsidRDefault="001D0FDA" w:rsidP="001D0FDA">
            <w:pPr>
              <w:pStyle w:val="Tabletext"/>
              <w:rPr>
                <w:rFonts w:cs="Tahoma"/>
                <w:szCs w:val="18"/>
              </w:rPr>
            </w:pPr>
            <w:r>
              <w:rPr>
                <w:rFonts w:cs="Tahoma"/>
                <w:szCs w:val="18"/>
              </w:rPr>
              <w:t xml:space="preserve">Ambrisentan + tadalafil </w:t>
            </w:r>
          </w:p>
          <w:p w:rsidR="001D0FDA" w:rsidRPr="005331C3" w:rsidRDefault="001D0FDA" w:rsidP="001D0FDA">
            <w:pPr>
              <w:pStyle w:val="Tabletext"/>
              <w:rPr>
                <w:rFonts w:cs="Tahoma"/>
                <w:szCs w:val="18"/>
              </w:rPr>
            </w:pPr>
            <w:r w:rsidRPr="005331C3">
              <w:rPr>
                <w:rFonts w:cs="Tahoma"/>
                <w:szCs w:val="18"/>
              </w:rPr>
              <w:t>Ambrisentan: initial dose of 5m</w:t>
            </w:r>
            <w:r>
              <w:rPr>
                <w:rFonts w:cs="Tahoma"/>
                <w:szCs w:val="18"/>
              </w:rPr>
              <w:t>g for 8 weeks, then up-titrated</w:t>
            </w:r>
            <w:r w:rsidRPr="005331C3">
              <w:rPr>
                <w:rFonts w:cs="Tahoma"/>
                <w:szCs w:val="18"/>
              </w:rPr>
              <w:t xml:space="preserve"> to 10mg </w:t>
            </w:r>
          </w:p>
          <w:p w:rsidR="001D0FDA" w:rsidRDefault="001D0FDA" w:rsidP="001D0FDA">
            <w:pPr>
              <w:pStyle w:val="Tabletext"/>
              <w:rPr>
                <w:rFonts w:cs="Tahoma"/>
                <w:szCs w:val="18"/>
              </w:rPr>
            </w:pPr>
            <w:r w:rsidRPr="005331C3">
              <w:rPr>
                <w:rFonts w:cs="Tahoma"/>
                <w:szCs w:val="18"/>
              </w:rPr>
              <w:t>Tadalafil: initial dose of 20m</w:t>
            </w:r>
            <w:r>
              <w:rPr>
                <w:rFonts w:cs="Tahoma"/>
                <w:szCs w:val="18"/>
              </w:rPr>
              <w:t>g for 4 weeks, then up-titrated</w:t>
            </w:r>
            <w:r w:rsidRPr="005331C3">
              <w:rPr>
                <w:rFonts w:cs="Tahoma"/>
                <w:szCs w:val="18"/>
              </w:rPr>
              <w:t xml:space="preserve"> to 40mg</w:t>
            </w:r>
          </w:p>
          <w:p w:rsidR="001D0FDA" w:rsidRDefault="001D0FDA" w:rsidP="001D0FDA">
            <w:pPr>
              <w:pStyle w:val="Tabletext"/>
              <w:rPr>
                <w:rFonts w:cs="Tahoma"/>
                <w:szCs w:val="18"/>
              </w:rPr>
            </w:pPr>
          </w:p>
          <w:p w:rsidR="001D0FDA" w:rsidRPr="005331C3" w:rsidRDefault="001D0FDA" w:rsidP="001D0FDA">
            <w:pPr>
              <w:pStyle w:val="Tabletext"/>
              <w:rPr>
                <w:rFonts w:cs="Tahoma"/>
                <w:i/>
                <w:szCs w:val="18"/>
              </w:rPr>
            </w:pPr>
            <w:r>
              <w:rPr>
                <w:rFonts w:cs="Tahoma"/>
                <w:i/>
                <w:szCs w:val="18"/>
              </w:rPr>
              <w:t>Comparator</w:t>
            </w:r>
          </w:p>
          <w:p w:rsidR="001D0FDA" w:rsidRPr="005331C3" w:rsidRDefault="001D0FDA" w:rsidP="001D0FDA">
            <w:pPr>
              <w:pStyle w:val="Tabletext"/>
              <w:rPr>
                <w:rFonts w:cs="Tahoma"/>
                <w:szCs w:val="18"/>
              </w:rPr>
            </w:pPr>
            <w:r>
              <w:rPr>
                <w:rFonts w:cs="Tahoma"/>
                <w:szCs w:val="18"/>
              </w:rPr>
              <w:t xml:space="preserve">Ambrisentan </w:t>
            </w:r>
            <w:r w:rsidRPr="005331C3">
              <w:rPr>
                <w:rFonts w:cs="Tahoma"/>
                <w:szCs w:val="18"/>
              </w:rPr>
              <w:t>+</w:t>
            </w:r>
            <w:r>
              <w:rPr>
                <w:rFonts w:cs="Tahoma"/>
                <w:szCs w:val="18"/>
              </w:rPr>
              <w:t xml:space="preserve"> </w:t>
            </w:r>
            <w:r w:rsidRPr="005331C3">
              <w:rPr>
                <w:rFonts w:cs="Tahoma"/>
                <w:szCs w:val="18"/>
              </w:rPr>
              <w:t>placebo</w:t>
            </w:r>
          </w:p>
          <w:p w:rsidR="001D0FDA" w:rsidRPr="005331C3" w:rsidRDefault="001D0FDA" w:rsidP="001D0FDA">
            <w:pPr>
              <w:pStyle w:val="Tabletext"/>
              <w:rPr>
                <w:rFonts w:cs="Tahoma"/>
                <w:szCs w:val="18"/>
              </w:rPr>
            </w:pPr>
            <w:r>
              <w:rPr>
                <w:rFonts w:cs="Tahoma"/>
                <w:szCs w:val="18"/>
              </w:rPr>
              <w:t xml:space="preserve">Tadalafil </w:t>
            </w:r>
            <w:r w:rsidRPr="005331C3">
              <w:rPr>
                <w:rFonts w:cs="Tahoma"/>
                <w:szCs w:val="18"/>
              </w:rPr>
              <w:t>+</w:t>
            </w:r>
            <w:r>
              <w:rPr>
                <w:rFonts w:cs="Tahoma"/>
                <w:szCs w:val="18"/>
              </w:rPr>
              <w:t xml:space="preserve"> </w:t>
            </w:r>
            <w:r w:rsidRPr="005331C3">
              <w:rPr>
                <w:rFonts w:cs="Tahoma"/>
                <w:szCs w:val="18"/>
              </w:rPr>
              <w:t>placebo</w:t>
            </w:r>
          </w:p>
          <w:p w:rsidR="001D0FDA" w:rsidRPr="005331C3" w:rsidRDefault="001D0FDA" w:rsidP="001D0FDA">
            <w:pPr>
              <w:pStyle w:val="Tabletext"/>
              <w:rPr>
                <w:rFonts w:cs="Tahoma"/>
                <w:szCs w:val="18"/>
              </w:rPr>
            </w:pPr>
            <w:r w:rsidRPr="005331C3">
              <w:rPr>
                <w:rFonts w:cs="Tahoma"/>
                <w:szCs w:val="18"/>
              </w:rPr>
              <w:t>Ambrisentan: initial dose of 5m</w:t>
            </w:r>
            <w:r>
              <w:rPr>
                <w:rFonts w:cs="Tahoma"/>
                <w:szCs w:val="18"/>
              </w:rPr>
              <w:t>g for 8 weeks, then up-titrated</w:t>
            </w:r>
            <w:r w:rsidRPr="005331C3">
              <w:rPr>
                <w:rFonts w:cs="Tahoma"/>
                <w:szCs w:val="18"/>
              </w:rPr>
              <w:t xml:space="preserve"> to 10mg </w:t>
            </w:r>
          </w:p>
          <w:p w:rsidR="001D0FDA" w:rsidRPr="005331C3" w:rsidRDefault="001D0FDA" w:rsidP="001D0FDA">
            <w:pPr>
              <w:pStyle w:val="Tabletext"/>
              <w:rPr>
                <w:rFonts w:cs="Tahoma"/>
                <w:szCs w:val="18"/>
              </w:rPr>
            </w:pPr>
            <w:r w:rsidRPr="005331C3">
              <w:rPr>
                <w:rFonts w:cs="Tahoma"/>
                <w:szCs w:val="18"/>
              </w:rPr>
              <w:t>Tadalafil: initi</w:t>
            </w:r>
            <w:r>
              <w:rPr>
                <w:rFonts w:cs="Tahoma"/>
                <w:szCs w:val="18"/>
              </w:rPr>
              <w:t>al dose of 20mg for 4 weeks, the</w:t>
            </w:r>
            <w:r w:rsidRPr="005331C3">
              <w:rPr>
                <w:rFonts w:cs="Tahoma"/>
                <w:szCs w:val="18"/>
              </w:rPr>
              <w:t>n up-</w:t>
            </w:r>
            <w:r>
              <w:rPr>
                <w:rFonts w:cs="Tahoma"/>
                <w:szCs w:val="18"/>
              </w:rPr>
              <w:t>titrated</w:t>
            </w:r>
            <w:r w:rsidRPr="005331C3">
              <w:rPr>
                <w:rFonts w:cs="Tahoma"/>
                <w:szCs w:val="18"/>
              </w:rPr>
              <w:t xml:space="preserve"> to 40mg</w:t>
            </w:r>
          </w:p>
        </w:tc>
        <w:tc>
          <w:tcPr>
            <w:tcW w:w="771" w:type="pct"/>
          </w:tcPr>
          <w:p w:rsidR="001D0FDA" w:rsidRPr="005331C3" w:rsidRDefault="001D0FDA" w:rsidP="001D0FDA">
            <w:pPr>
              <w:pStyle w:val="Tabletext"/>
              <w:rPr>
                <w:rFonts w:cs="Tahoma"/>
                <w:i/>
                <w:szCs w:val="18"/>
              </w:rPr>
            </w:pPr>
            <w:r w:rsidRPr="005331C3">
              <w:rPr>
                <w:rFonts w:cs="Tahoma"/>
                <w:i/>
                <w:szCs w:val="18"/>
              </w:rPr>
              <w:t>Effectiveness</w:t>
            </w:r>
          </w:p>
          <w:p w:rsidR="001D0FDA" w:rsidRPr="005331C3" w:rsidRDefault="001D0FDA" w:rsidP="001D0FDA">
            <w:pPr>
              <w:pStyle w:val="Tabletext"/>
              <w:rPr>
                <w:rFonts w:cs="Tahoma"/>
                <w:szCs w:val="18"/>
              </w:rPr>
            </w:pPr>
            <w:r w:rsidRPr="005331C3">
              <w:rPr>
                <w:rFonts w:cs="Tahoma"/>
                <w:szCs w:val="18"/>
              </w:rPr>
              <w:t>Primary</w:t>
            </w:r>
            <w:r>
              <w:rPr>
                <w:rFonts w:cs="Tahoma"/>
                <w:szCs w:val="18"/>
              </w:rPr>
              <w:t xml:space="preserve">: </w:t>
            </w:r>
          </w:p>
          <w:p w:rsidR="001D0FDA" w:rsidRPr="005331C3" w:rsidRDefault="001D0FDA" w:rsidP="00480FDF">
            <w:pPr>
              <w:pStyle w:val="Tabletext"/>
              <w:numPr>
                <w:ilvl w:val="0"/>
                <w:numId w:val="54"/>
              </w:numPr>
              <w:ind w:left="239" w:hanging="144"/>
              <w:rPr>
                <w:rFonts w:cs="Tahoma"/>
                <w:szCs w:val="18"/>
              </w:rPr>
            </w:pPr>
            <w:r w:rsidRPr="005331C3">
              <w:rPr>
                <w:rFonts w:cs="Tahoma"/>
                <w:szCs w:val="18"/>
              </w:rPr>
              <w:t xml:space="preserve">Time to clinical </w:t>
            </w:r>
            <w:r>
              <w:rPr>
                <w:rFonts w:cs="Tahoma"/>
                <w:szCs w:val="18"/>
              </w:rPr>
              <w:t>worsening</w:t>
            </w:r>
            <w:r>
              <w:rPr>
                <w:rFonts w:cs="Tahoma"/>
                <w:szCs w:val="18"/>
                <w:vertAlign w:val="superscript"/>
              </w:rPr>
              <w:t>c</w:t>
            </w:r>
            <w:r w:rsidRPr="005331C3">
              <w:rPr>
                <w:rFonts w:cs="Tahoma"/>
                <w:szCs w:val="18"/>
              </w:rPr>
              <w:t xml:space="preserve"> </w:t>
            </w:r>
          </w:p>
          <w:p w:rsidR="001D0FDA" w:rsidRPr="005331C3" w:rsidRDefault="001D0FDA" w:rsidP="001D0FDA">
            <w:pPr>
              <w:pStyle w:val="Tabletext"/>
              <w:rPr>
                <w:rFonts w:cs="Tahoma"/>
                <w:szCs w:val="18"/>
              </w:rPr>
            </w:pPr>
            <w:r w:rsidRPr="005331C3">
              <w:rPr>
                <w:rFonts w:cs="Tahoma"/>
                <w:szCs w:val="18"/>
              </w:rPr>
              <w:t>Secondary</w:t>
            </w:r>
            <w:r>
              <w:rPr>
                <w:rFonts w:cs="Tahoma"/>
                <w:szCs w:val="18"/>
              </w:rPr>
              <w:t xml:space="preserve">: </w:t>
            </w:r>
          </w:p>
          <w:p w:rsidR="001D0FDA" w:rsidRPr="005331C3" w:rsidRDefault="001D0FDA" w:rsidP="00480FDF">
            <w:pPr>
              <w:pStyle w:val="Tabletext"/>
              <w:numPr>
                <w:ilvl w:val="0"/>
                <w:numId w:val="54"/>
              </w:numPr>
              <w:ind w:left="239" w:hanging="144"/>
              <w:rPr>
                <w:rFonts w:cs="Tahoma"/>
                <w:szCs w:val="18"/>
              </w:rPr>
            </w:pPr>
            <w:r w:rsidRPr="005331C3">
              <w:rPr>
                <w:rFonts w:cs="Tahoma"/>
                <w:szCs w:val="18"/>
              </w:rPr>
              <w:t>Change in 6MWD at Week 24</w:t>
            </w:r>
            <w:r>
              <w:rPr>
                <w:rFonts w:cs="Tahoma"/>
                <w:szCs w:val="18"/>
                <w:vertAlign w:val="superscript"/>
              </w:rPr>
              <w:t>c</w:t>
            </w:r>
            <w:r w:rsidRPr="005331C3">
              <w:rPr>
                <w:rFonts w:cs="Tahoma"/>
                <w:szCs w:val="18"/>
              </w:rPr>
              <w:t xml:space="preserve"> </w:t>
            </w:r>
          </w:p>
          <w:p w:rsidR="001D0FDA" w:rsidRPr="005331C3" w:rsidRDefault="001D0FDA" w:rsidP="00480FDF">
            <w:pPr>
              <w:pStyle w:val="Tabletext"/>
              <w:numPr>
                <w:ilvl w:val="0"/>
                <w:numId w:val="54"/>
              </w:numPr>
              <w:ind w:left="239" w:hanging="144"/>
              <w:rPr>
                <w:rFonts w:cs="Tahoma"/>
                <w:szCs w:val="18"/>
              </w:rPr>
            </w:pPr>
            <w:r w:rsidRPr="005331C3">
              <w:rPr>
                <w:rFonts w:cs="Tahoma"/>
                <w:szCs w:val="18"/>
              </w:rPr>
              <w:t>Change in WHO FC at Week 24</w:t>
            </w:r>
            <w:r>
              <w:rPr>
                <w:rFonts w:cs="Tahoma"/>
                <w:szCs w:val="18"/>
                <w:vertAlign w:val="superscript"/>
              </w:rPr>
              <w:t>c</w:t>
            </w:r>
          </w:p>
          <w:p w:rsidR="001D0FDA" w:rsidRDefault="001D0FDA" w:rsidP="00480FDF">
            <w:pPr>
              <w:pStyle w:val="Tabletext"/>
              <w:numPr>
                <w:ilvl w:val="0"/>
                <w:numId w:val="54"/>
              </w:numPr>
              <w:ind w:left="239" w:hanging="144"/>
              <w:rPr>
                <w:rFonts w:cs="Tahoma"/>
                <w:szCs w:val="18"/>
              </w:rPr>
            </w:pPr>
            <w:r>
              <w:rPr>
                <w:rFonts w:cs="Tahoma"/>
                <w:szCs w:val="18"/>
              </w:rPr>
              <w:t>Hospitalisation</w:t>
            </w:r>
            <w:r>
              <w:rPr>
                <w:rFonts w:cs="Tahoma"/>
                <w:szCs w:val="18"/>
                <w:vertAlign w:val="superscript"/>
              </w:rPr>
              <w:t>c</w:t>
            </w:r>
          </w:p>
          <w:p w:rsidR="001D0FDA" w:rsidRPr="005331C3" w:rsidRDefault="001D0FDA" w:rsidP="00480FDF">
            <w:pPr>
              <w:pStyle w:val="Tabletext"/>
              <w:numPr>
                <w:ilvl w:val="0"/>
                <w:numId w:val="54"/>
              </w:numPr>
              <w:ind w:left="239" w:hanging="144"/>
              <w:rPr>
                <w:rFonts w:cs="Tahoma"/>
                <w:szCs w:val="18"/>
              </w:rPr>
            </w:pPr>
            <w:r w:rsidRPr="005331C3">
              <w:rPr>
                <w:rFonts w:cs="Tahoma"/>
                <w:szCs w:val="18"/>
              </w:rPr>
              <w:t xml:space="preserve">Change in </w:t>
            </w:r>
            <w:r>
              <w:rPr>
                <w:rFonts w:cs="Tahoma"/>
                <w:szCs w:val="18"/>
              </w:rPr>
              <w:t>BDS</w:t>
            </w:r>
            <w:r w:rsidRPr="005331C3">
              <w:rPr>
                <w:rFonts w:cs="Tahoma"/>
                <w:szCs w:val="18"/>
              </w:rPr>
              <w:t xml:space="preserve"> at Week 24</w:t>
            </w:r>
          </w:p>
          <w:p w:rsidR="001D0FDA" w:rsidRDefault="001D0FDA" w:rsidP="00480FDF">
            <w:pPr>
              <w:pStyle w:val="Tabletext"/>
              <w:numPr>
                <w:ilvl w:val="0"/>
                <w:numId w:val="54"/>
              </w:numPr>
              <w:ind w:left="239" w:hanging="144"/>
              <w:rPr>
                <w:rFonts w:cs="Tahoma"/>
                <w:szCs w:val="18"/>
              </w:rPr>
            </w:pPr>
            <w:r w:rsidRPr="00A61E10">
              <w:rPr>
                <w:rFonts w:cs="Tahoma"/>
                <w:szCs w:val="18"/>
              </w:rPr>
              <w:t>% of participants with a satisfactory clinical response within 24 weeks</w:t>
            </w:r>
          </w:p>
          <w:p w:rsidR="001D0FDA" w:rsidRDefault="001D0FDA" w:rsidP="001D0FDA">
            <w:pPr>
              <w:pStyle w:val="Tabletext"/>
              <w:rPr>
                <w:rFonts w:cs="Tahoma"/>
                <w:szCs w:val="18"/>
              </w:rPr>
            </w:pPr>
            <w:r>
              <w:rPr>
                <w:rFonts w:cs="Tahoma"/>
                <w:szCs w:val="18"/>
              </w:rPr>
              <w:t>Others:</w:t>
            </w:r>
          </w:p>
          <w:p w:rsidR="001D0FDA" w:rsidRPr="001D75C0" w:rsidRDefault="001D0FDA" w:rsidP="00480FDF">
            <w:pPr>
              <w:pStyle w:val="Tabletext"/>
              <w:numPr>
                <w:ilvl w:val="0"/>
                <w:numId w:val="54"/>
              </w:numPr>
              <w:ind w:left="239" w:hanging="144"/>
              <w:rPr>
                <w:rFonts w:cs="Tahoma"/>
                <w:szCs w:val="18"/>
              </w:rPr>
            </w:pPr>
            <w:r>
              <w:rPr>
                <w:rFonts w:cs="Tahoma"/>
                <w:szCs w:val="18"/>
              </w:rPr>
              <w:t>Mortality</w:t>
            </w:r>
            <w:r>
              <w:rPr>
                <w:rFonts w:cs="Tahoma"/>
                <w:szCs w:val="18"/>
                <w:vertAlign w:val="superscript"/>
              </w:rPr>
              <w:t>c</w:t>
            </w:r>
          </w:p>
          <w:p w:rsidR="001D0FDA" w:rsidRDefault="001D0FDA" w:rsidP="001D0FDA">
            <w:pPr>
              <w:pStyle w:val="Tabletext"/>
              <w:ind w:left="95"/>
              <w:rPr>
                <w:rFonts w:cs="Tahoma"/>
                <w:szCs w:val="18"/>
              </w:rPr>
            </w:pPr>
          </w:p>
          <w:p w:rsidR="001D0FDA" w:rsidRPr="00A61E10" w:rsidRDefault="001D0FDA" w:rsidP="001D0FDA">
            <w:pPr>
              <w:pStyle w:val="Tabletext"/>
              <w:rPr>
                <w:rFonts w:cs="Tahoma"/>
                <w:szCs w:val="18"/>
              </w:rPr>
            </w:pPr>
            <w:r w:rsidRPr="00A61E10">
              <w:rPr>
                <w:rFonts w:cs="Tahoma"/>
                <w:i/>
                <w:szCs w:val="18"/>
              </w:rPr>
              <w:t xml:space="preserve">Safety </w:t>
            </w:r>
          </w:p>
          <w:p w:rsidR="001D0FDA" w:rsidRPr="00D23B52" w:rsidRDefault="001D0FDA" w:rsidP="00480FDF">
            <w:pPr>
              <w:pStyle w:val="Tabletext"/>
              <w:numPr>
                <w:ilvl w:val="0"/>
                <w:numId w:val="54"/>
              </w:numPr>
              <w:ind w:left="239" w:hanging="144"/>
              <w:rPr>
                <w:rFonts w:cs="Tahoma"/>
                <w:szCs w:val="18"/>
              </w:rPr>
            </w:pPr>
            <w:r w:rsidRPr="005331C3">
              <w:rPr>
                <w:rFonts w:cs="Tahoma"/>
                <w:szCs w:val="18"/>
              </w:rPr>
              <w:t>Adverse event</w:t>
            </w:r>
            <w:r>
              <w:rPr>
                <w:rFonts w:cs="Tahoma"/>
                <w:szCs w:val="18"/>
                <w:vertAlign w:val="superscript"/>
              </w:rPr>
              <w:t>c</w:t>
            </w:r>
          </w:p>
        </w:tc>
      </w:tr>
      <w:tr w:rsidR="001D0FDA" w:rsidRPr="00204000" w:rsidTr="001D0FDA">
        <w:tc>
          <w:tcPr>
            <w:tcW w:w="531" w:type="pct"/>
          </w:tcPr>
          <w:p w:rsidR="001D0FDA" w:rsidRPr="00D53F84" w:rsidRDefault="001D0FDA" w:rsidP="001D0FDA">
            <w:pPr>
              <w:pStyle w:val="Tabletext"/>
              <w:ind w:right="-28"/>
              <w:rPr>
                <w:rFonts w:eastAsia="Times New Roman"/>
              </w:rPr>
            </w:pPr>
            <w:r w:rsidRPr="00D53F84">
              <w:rPr>
                <w:rFonts w:eastAsia="Times New Roman"/>
              </w:rPr>
              <w:lastRenderedPageBreak/>
              <w:t>ARIES-1</w:t>
            </w:r>
            <w:r w:rsidR="001D34EE" w:rsidRPr="001D34EE">
              <w:rPr>
                <w:rFonts w:eastAsia="Times New Roman"/>
                <w:noProof/>
                <w:vertAlign w:val="superscript"/>
              </w:rPr>
              <w:t>6, 33, 34</w:t>
            </w:r>
          </w:p>
          <w:p w:rsidR="001D0FDA" w:rsidRPr="00D53F84" w:rsidRDefault="001D0FDA" w:rsidP="001D0FDA">
            <w:pPr>
              <w:pStyle w:val="Tabletext"/>
              <w:ind w:right="-28"/>
              <w:rPr>
                <w:rFonts w:eastAsia="Times New Roman"/>
                <w:lang w:eastAsia="en-US"/>
              </w:rPr>
            </w:pPr>
            <w:r w:rsidRPr="00D53F84">
              <w:rPr>
                <w:rFonts w:eastAsia="Times New Roman"/>
                <w:lang w:eastAsia="en-US"/>
              </w:rPr>
              <w:t xml:space="preserve">2003-2006 </w:t>
            </w:r>
          </w:p>
          <w:p w:rsidR="001D0FDA" w:rsidRPr="00D53F84" w:rsidRDefault="001D0FDA" w:rsidP="001D0FDA">
            <w:pPr>
              <w:pStyle w:val="Tabletext"/>
              <w:ind w:right="-28"/>
              <w:rPr>
                <w:rFonts w:eastAsia="Times New Roman"/>
                <w:lang w:eastAsia="en-US"/>
              </w:rPr>
            </w:pPr>
            <w:r w:rsidRPr="00D53F84">
              <w:rPr>
                <w:rFonts w:eastAsia="Times New Roman"/>
                <w:lang w:eastAsia="en-US"/>
              </w:rPr>
              <w:t>US, Mexico, South America, Australia, Europe</w:t>
            </w:r>
          </w:p>
        </w:tc>
        <w:tc>
          <w:tcPr>
            <w:tcW w:w="47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w:t>
            </w:r>
          </w:p>
          <w:p w:rsidR="001D0FDA" w:rsidRPr="00351FF5" w:rsidRDefault="001D0FDA" w:rsidP="001D0FDA">
            <w:pPr>
              <w:pStyle w:val="Tabletext"/>
              <w:rPr>
                <w:rFonts w:cs="Tahoma"/>
                <w:szCs w:val="18"/>
              </w:rPr>
            </w:pPr>
            <w:r w:rsidRPr="00351FF5">
              <w:rPr>
                <w:rFonts w:cs="Tahoma"/>
                <w:szCs w:val="18"/>
              </w:rPr>
              <w:t>Level II evidence</w:t>
            </w:r>
          </w:p>
          <w:p w:rsidR="001D0FDA" w:rsidRPr="00D53F84" w:rsidRDefault="001D0FDA" w:rsidP="001D0FDA">
            <w:pPr>
              <w:pStyle w:val="Tabletext"/>
              <w:ind w:right="-28"/>
              <w:rPr>
                <w:rFonts w:eastAsia="Times New Roman"/>
                <w:lang w:eastAsia="en-US"/>
              </w:rPr>
            </w:pPr>
            <w:r>
              <w:rPr>
                <w:rFonts w:eastAsia="Times New Roman"/>
                <w:lang w:eastAsia="en-US"/>
              </w:rPr>
              <w:t xml:space="preserve">Follow-up: </w:t>
            </w:r>
            <w:r w:rsidRPr="00D53F84">
              <w:rPr>
                <w:rFonts w:eastAsia="Times New Roman"/>
                <w:lang w:eastAsia="en-US"/>
              </w:rPr>
              <w:t>12 weeks</w:t>
            </w:r>
          </w:p>
          <w:p w:rsidR="001D0FDA" w:rsidRPr="00D53F84" w:rsidRDefault="001D0FDA" w:rsidP="001D0FDA">
            <w:pPr>
              <w:pStyle w:val="Tabletext"/>
              <w:ind w:right="-28"/>
              <w:rPr>
                <w:rFonts w:eastAsia="Times New Roman"/>
                <w:snapToGrid w:val="0"/>
                <w:lang w:eastAsia="en-US"/>
              </w:rPr>
            </w:pPr>
            <w:r>
              <w:rPr>
                <w:rFonts w:eastAsia="Times New Roman"/>
                <w:lang w:eastAsia="en-US"/>
              </w:rPr>
              <w:t>Risk of bias: l</w:t>
            </w:r>
            <w:r w:rsidRPr="00D53F84">
              <w:rPr>
                <w:rFonts w:eastAsia="Times New Roman"/>
                <w:lang w:eastAsia="en-US"/>
              </w:rPr>
              <w:t>ow-to-moderate</w:t>
            </w:r>
          </w:p>
        </w:tc>
        <w:tc>
          <w:tcPr>
            <w:tcW w:w="772" w:type="pct"/>
          </w:tcPr>
          <w:p w:rsidR="001D0FDA" w:rsidRPr="00B93934" w:rsidRDefault="001D0FDA" w:rsidP="001D0FDA">
            <w:pPr>
              <w:pStyle w:val="Tabletext"/>
              <w:rPr>
                <w:rFonts w:cs="Tahoma"/>
                <w:i/>
                <w:szCs w:val="18"/>
              </w:rPr>
            </w:pPr>
            <w:r w:rsidRPr="00B93934">
              <w:rPr>
                <w:rFonts w:cs="Tahoma"/>
                <w:i/>
                <w:szCs w:val="18"/>
              </w:rPr>
              <w:t>Inclusion criteria</w:t>
            </w:r>
          </w:p>
          <w:p w:rsidR="001D0FDA" w:rsidRDefault="001D0FDA" w:rsidP="00480FDF">
            <w:pPr>
              <w:pStyle w:val="Tabletext"/>
              <w:numPr>
                <w:ilvl w:val="0"/>
                <w:numId w:val="54"/>
              </w:numPr>
              <w:ind w:left="239" w:hanging="144"/>
              <w:rPr>
                <w:rFonts w:cs="Tahoma"/>
                <w:szCs w:val="18"/>
              </w:rPr>
            </w:pPr>
            <w:r w:rsidRPr="00B93934">
              <w:rPr>
                <w:rFonts w:cs="Tahoma"/>
                <w:szCs w:val="18"/>
              </w:rPr>
              <w:t xml:space="preserve">Patients with IPAH, PAH-CTD, PAH-HIV or anorexigen-associated PAH </w:t>
            </w:r>
          </w:p>
          <w:p w:rsidR="001D0FDA" w:rsidRPr="00B93934" w:rsidRDefault="001D0FDA" w:rsidP="001D0FDA">
            <w:pPr>
              <w:pStyle w:val="Tabletext"/>
              <w:ind w:left="239"/>
              <w:rPr>
                <w:rFonts w:cs="Tahoma"/>
                <w:szCs w:val="18"/>
              </w:rPr>
            </w:pPr>
          </w:p>
          <w:p w:rsidR="001D0FDA" w:rsidRPr="00B93934" w:rsidRDefault="001D0FDA" w:rsidP="001D0FDA">
            <w:pPr>
              <w:pStyle w:val="Tabletext"/>
              <w:rPr>
                <w:rFonts w:cs="Tahoma"/>
                <w:i/>
                <w:szCs w:val="18"/>
              </w:rPr>
            </w:pPr>
            <w:r w:rsidRPr="00B93934">
              <w:rPr>
                <w:rFonts w:cs="Tahoma"/>
                <w:i/>
                <w:szCs w:val="18"/>
              </w:rPr>
              <w:t>Inclusion criteria:</w:t>
            </w:r>
          </w:p>
          <w:p w:rsidR="001D0FDA" w:rsidRPr="00B93934" w:rsidRDefault="001D0FDA" w:rsidP="00480FDF">
            <w:pPr>
              <w:pStyle w:val="Tabletext"/>
              <w:numPr>
                <w:ilvl w:val="0"/>
                <w:numId w:val="54"/>
              </w:numPr>
              <w:ind w:left="239" w:hanging="144"/>
              <w:rPr>
                <w:rFonts w:cs="Tahoma"/>
                <w:szCs w:val="18"/>
              </w:rPr>
            </w:pPr>
            <w:r w:rsidRPr="00B93934">
              <w:rPr>
                <w:rFonts w:cs="Tahoma"/>
                <w:szCs w:val="18"/>
              </w:rPr>
              <w:t>Patients with 6MWD &lt;150</w:t>
            </w:r>
            <w:r>
              <w:rPr>
                <w:rFonts w:cs="Tahoma"/>
                <w:szCs w:val="18"/>
              </w:rPr>
              <w:t>m</w:t>
            </w:r>
            <w:r w:rsidRPr="00B93934">
              <w:rPr>
                <w:rFonts w:cs="Tahoma"/>
                <w:szCs w:val="18"/>
              </w:rPr>
              <w:t xml:space="preserve"> or &gt;450</w:t>
            </w:r>
            <w:r>
              <w:rPr>
                <w:rFonts w:cs="Tahoma"/>
                <w:szCs w:val="18"/>
              </w:rPr>
              <w:t>m</w:t>
            </w:r>
          </w:p>
          <w:p w:rsidR="001D0FDA" w:rsidRPr="00EA1FCD" w:rsidRDefault="001D0FDA" w:rsidP="00480FDF">
            <w:pPr>
              <w:pStyle w:val="Tabletext"/>
              <w:numPr>
                <w:ilvl w:val="0"/>
                <w:numId w:val="54"/>
              </w:numPr>
              <w:ind w:left="239" w:hanging="144"/>
              <w:rPr>
                <w:rFonts w:cs="Tahoma"/>
                <w:i/>
                <w:szCs w:val="18"/>
              </w:rPr>
            </w:pPr>
            <w:r>
              <w:rPr>
                <w:rFonts w:cs="Tahoma"/>
                <w:szCs w:val="18"/>
              </w:rPr>
              <w:t xml:space="preserve">Patients previous treated with </w:t>
            </w:r>
            <w:r w:rsidRPr="00B93934">
              <w:rPr>
                <w:rFonts w:cs="Tahoma"/>
                <w:szCs w:val="18"/>
              </w:rPr>
              <w:t>bosentan, sitaxsentan, sildenafil, epoprostenol, iloprost, or treprostinil</w:t>
            </w:r>
          </w:p>
        </w:tc>
        <w:tc>
          <w:tcPr>
            <w:tcW w:w="0" w:type="auto"/>
          </w:tcPr>
          <w:p w:rsidR="001D0FDA" w:rsidRDefault="001D0FDA" w:rsidP="001D0FDA">
            <w:pPr>
              <w:pStyle w:val="Tabletext"/>
              <w:rPr>
                <w:rFonts w:cs="Tahoma"/>
                <w:szCs w:val="18"/>
              </w:rPr>
            </w:pPr>
            <w:r>
              <w:rPr>
                <w:rFonts w:cs="Tahoma"/>
                <w:szCs w:val="18"/>
              </w:rPr>
              <w:t>N=134</w:t>
            </w:r>
          </w:p>
          <w:tbl>
            <w:tblPr>
              <w:tblStyle w:val="TableGrid"/>
              <w:tblW w:w="43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ARIES-1"/>
            </w:tblPr>
            <w:tblGrid>
              <w:gridCol w:w="2016"/>
              <w:gridCol w:w="1237"/>
              <w:gridCol w:w="1114"/>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1D0FDA" w:rsidRPr="00351FF5" w:rsidRDefault="001D0FDA" w:rsidP="00B5196D">
                  <w:pPr>
                    <w:pStyle w:val="Tabletext"/>
                    <w:framePr w:hSpace="180" w:wrap="around" w:vAnchor="text" w:hAnchor="text" w:y="1"/>
                    <w:spacing w:before="0" w:after="0"/>
                    <w:rPr>
                      <w:rFonts w:cs="Tahoma"/>
                      <w:b/>
                      <w:szCs w:val="18"/>
                    </w:rPr>
                  </w:pPr>
                </w:p>
              </w:tc>
              <w:tc>
                <w:tcPr>
                  <w:tcW w:w="1132" w:type="dxa"/>
                  <w:shd w:val="clear" w:color="auto" w:fill="FFFFFF" w:themeFill="background1"/>
                </w:tcPr>
                <w:p w:rsidR="001D0FDA" w:rsidRPr="00411013" w:rsidRDefault="001D0FDA" w:rsidP="00B5196D">
                  <w:pPr>
                    <w:pStyle w:val="Tabletext"/>
                    <w:framePr w:hSpace="180" w:wrap="around" w:vAnchor="text" w:hAnchor="text" w:y="1"/>
                    <w:spacing w:before="0"/>
                    <w:jc w:val="center"/>
                    <w:rPr>
                      <w:rFonts w:cs="Tahoma"/>
                      <w:szCs w:val="18"/>
                    </w:rPr>
                  </w:pPr>
                  <w:r w:rsidRPr="00411013">
                    <w:rPr>
                      <w:rFonts w:cs="Tahoma"/>
                      <w:szCs w:val="18"/>
                    </w:rPr>
                    <w:t xml:space="preserve">Ambrisentan </w:t>
                  </w:r>
                  <w:r>
                    <w:rPr>
                      <w:rFonts w:cs="Tahoma"/>
                      <w:szCs w:val="18"/>
                    </w:rPr>
                    <w:t>5mg</w:t>
                  </w:r>
                </w:p>
                <w:p w:rsidR="001D0FDA" w:rsidRPr="00802B85" w:rsidRDefault="001D0FDA" w:rsidP="00B5196D">
                  <w:pPr>
                    <w:pStyle w:val="Tabletext"/>
                    <w:framePr w:hSpace="180" w:wrap="around" w:vAnchor="text" w:hAnchor="text" w:y="1"/>
                    <w:spacing w:before="0"/>
                    <w:jc w:val="center"/>
                    <w:rPr>
                      <w:rFonts w:cs="Tahoma"/>
                      <w:szCs w:val="18"/>
                    </w:rPr>
                  </w:pPr>
                  <w:r>
                    <w:rPr>
                      <w:rFonts w:cs="Tahoma"/>
                      <w:szCs w:val="18"/>
                    </w:rPr>
                    <w:t>(N=67)</w:t>
                  </w:r>
                </w:p>
              </w:tc>
              <w:tc>
                <w:tcPr>
                  <w:tcW w:w="1134"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Pr>
                      <w:rFonts w:cs="Tahoma"/>
                      <w:szCs w:val="18"/>
                    </w:rPr>
                    <w:t>Placebo</w:t>
                  </w:r>
                  <w:r>
                    <w:rPr>
                      <w:rFonts w:cs="Tahoma"/>
                      <w:szCs w:val="18"/>
                    </w:rPr>
                    <w:br/>
                    <w:t>(N=67)</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 xml:space="preserve">Age, mean±SD (yrs) </w:t>
                  </w:r>
                </w:p>
              </w:tc>
              <w:tc>
                <w:tcPr>
                  <w:tcW w:w="1132" w:type="dxa"/>
                  <w:vAlign w:val="center"/>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53±14</w:t>
                  </w:r>
                </w:p>
              </w:tc>
              <w:tc>
                <w:tcPr>
                  <w:tcW w:w="1134" w:type="dxa"/>
                  <w:vAlign w:val="center"/>
                </w:tcPr>
                <w:p w:rsidR="001D0FDA" w:rsidRPr="00411013" w:rsidRDefault="001D0FDA" w:rsidP="00B5196D">
                  <w:pPr>
                    <w:pStyle w:val="Tabletext"/>
                    <w:framePr w:hSpace="180" w:wrap="around" w:vAnchor="text" w:hAnchor="text" w:y="1"/>
                    <w:spacing w:before="0" w:after="0"/>
                    <w:jc w:val="center"/>
                    <w:rPr>
                      <w:rFonts w:cs="Tahoma"/>
                      <w:szCs w:val="18"/>
                    </w:rPr>
                  </w:pPr>
                  <w:r w:rsidRPr="00C34962">
                    <w:rPr>
                      <w:rFonts w:cs="Tahoma"/>
                      <w:szCs w:val="18"/>
                    </w:rPr>
                    <w:t>48±16</w:t>
                  </w:r>
                </w:p>
              </w:tc>
            </w:tr>
            <w:tr w:rsidR="001D0FDA" w:rsidRPr="00351FF5" w:rsidTr="001D0FDA">
              <w:tc>
                <w:tcPr>
                  <w:tcW w:w="2101"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Gender, femal</w:t>
                  </w:r>
                  <w:r>
                    <w:rPr>
                      <w:rFonts w:cs="Tahoma"/>
                      <w:szCs w:val="18"/>
                    </w:rPr>
                    <w:t>e</w:t>
                  </w:r>
                  <w:r w:rsidRPr="00351FF5">
                    <w:rPr>
                      <w:rFonts w:cs="Tahoma"/>
                      <w:szCs w:val="18"/>
                    </w:rPr>
                    <w:t>, n (%)</w:t>
                  </w:r>
                </w:p>
              </w:tc>
              <w:tc>
                <w:tcPr>
                  <w:tcW w:w="1132" w:type="dxa"/>
                  <w:tcBorders>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r>
                    <w:rPr>
                      <w:rFonts w:cs="Tahoma"/>
                      <w:szCs w:val="18"/>
                    </w:rPr>
                    <w:t>56 (84%)</w:t>
                  </w:r>
                </w:p>
              </w:tc>
              <w:tc>
                <w:tcPr>
                  <w:tcW w:w="1134" w:type="dxa"/>
                  <w:tcBorders>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r>
                    <w:rPr>
                      <w:rFonts w:cs="Tahoma"/>
                      <w:szCs w:val="18"/>
                    </w:rPr>
                    <w:t>59 (88%)</w:t>
                  </w:r>
                </w:p>
              </w:tc>
            </w:tr>
            <w:tr w:rsidR="001D0FDA" w:rsidRPr="00351FF5" w:rsidTr="001D0FDA">
              <w:tc>
                <w:tcPr>
                  <w:tcW w:w="2101"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PAH aetiology, n (%)</w:t>
                  </w:r>
                </w:p>
              </w:tc>
              <w:tc>
                <w:tcPr>
                  <w:tcW w:w="1132"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c>
                <w:tcPr>
                  <w:tcW w:w="1134"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IPAH</w:t>
                  </w:r>
                </w:p>
              </w:tc>
              <w:tc>
                <w:tcPr>
                  <w:tcW w:w="1132"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42 (63%)</w:t>
                  </w:r>
                </w:p>
              </w:tc>
              <w:tc>
                <w:tcPr>
                  <w:tcW w:w="1134"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43 (64%)</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PAH-CTD</w:t>
                  </w:r>
                </w:p>
              </w:tc>
              <w:tc>
                <w:tcPr>
                  <w:tcW w:w="1132"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 xml:space="preserve">19 (28%) </w:t>
                  </w:r>
                </w:p>
              </w:tc>
              <w:tc>
                <w:tcPr>
                  <w:tcW w:w="1134"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21 (31%)</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PAH-HIV</w:t>
                  </w:r>
                </w:p>
              </w:tc>
              <w:tc>
                <w:tcPr>
                  <w:tcW w:w="1132"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 xml:space="preserve">3 (5%) </w:t>
                  </w:r>
                </w:p>
              </w:tc>
              <w:tc>
                <w:tcPr>
                  <w:tcW w:w="1134"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2 (3%)</w:t>
                  </w:r>
                </w:p>
              </w:tc>
            </w:tr>
            <w:tr w:rsidR="001D0FDA" w:rsidRPr="00351FF5" w:rsidTr="001D0FDA">
              <w:tc>
                <w:tcPr>
                  <w:tcW w:w="2101" w:type="dxa"/>
                  <w:tcBorders>
                    <w:top w:val="nil"/>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PAH-</w:t>
                  </w:r>
                  <w:r>
                    <w:rPr>
                      <w:rFonts w:cs="Tahoma"/>
                      <w:szCs w:val="18"/>
                    </w:rPr>
                    <w:t>DT</w:t>
                  </w:r>
                </w:p>
              </w:tc>
              <w:tc>
                <w:tcPr>
                  <w:tcW w:w="1132" w:type="dxa"/>
                  <w:tcBorders>
                    <w:top w:val="nil"/>
                    <w:bottom w:val="single" w:sz="4" w:space="0" w:color="BFBFBF" w:themeColor="background1" w:themeShade="BF"/>
                  </w:tcBorders>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2 (3%)</w:t>
                  </w:r>
                </w:p>
              </w:tc>
              <w:tc>
                <w:tcPr>
                  <w:tcW w:w="1134" w:type="dxa"/>
                  <w:tcBorders>
                    <w:top w:val="nil"/>
                    <w:bottom w:val="single" w:sz="4" w:space="0" w:color="BFBFBF" w:themeColor="background1" w:themeShade="BF"/>
                  </w:tcBorders>
                </w:tcPr>
                <w:p w:rsidR="001D0FDA" w:rsidRPr="00411013" w:rsidRDefault="001D0FDA" w:rsidP="00B5196D">
                  <w:pPr>
                    <w:pStyle w:val="Tabletext"/>
                    <w:framePr w:hSpace="180" w:wrap="around" w:vAnchor="text" w:hAnchor="text" w:y="1"/>
                    <w:spacing w:before="0" w:after="0"/>
                    <w:jc w:val="center"/>
                    <w:rPr>
                      <w:rFonts w:cs="Tahoma"/>
                      <w:szCs w:val="18"/>
                    </w:rPr>
                  </w:pPr>
                  <w:r w:rsidRPr="003E6A2B">
                    <w:rPr>
                      <w:rFonts w:cs="Tahoma"/>
                      <w:szCs w:val="18"/>
                    </w:rPr>
                    <w:t>1</w:t>
                  </w:r>
                  <w:r>
                    <w:rPr>
                      <w:rFonts w:cs="Tahoma"/>
                      <w:szCs w:val="18"/>
                    </w:rPr>
                    <w:t xml:space="preserve"> </w:t>
                  </w:r>
                  <w:r w:rsidRPr="003E6A2B">
                    <w:rPr>
                      <w:rFonts w:cs="Tahoma"/>
                      <w:szCs w:val="18"/>
                    </w:rPr>
                    <w:t>(2%)</w:t>
                  </w:r>
                </w:p>
              </w:tc>
            </w:tr>
            <w:tr w:rsidR="001D0FDA" w:rsidRPr="00351FF5" w:rsidTr="001D0FDA">
              <w:tc>
                <w:tcPr>
                  <w:tcW w:w="2101"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WHO FC</w:t>
                  </w:r>
                  <w:r>
                    <w:rPr>
                      <w:rFonts w:cs="Tahoma"/>
                      <w:szCs w:val="18"/>
                    </w:rPr>
                    <w:t>, n (%)</w:t>
                  </w:r>
                </w:p>
              </w:tc>
              <w:tc>
                <w:tcPr>
                  <w:tcW w:w="1132"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c>
                <w:tcPr>
                  <w:tcW w:w="1134"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w:t>
                  </w:r>
                </w:p>
              </w:tc>
              <w:tc>
                <w:tcPr>
                  <w:tcW w:w="1132"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1 (2%)</w:t>
                  </w:r>
                </w:p>
              </w:tc>
              <w:tc>
                <w:tcPr>
                  <w:tcW w:w="1134"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2 (3%)</w:t>
                  </w:r>
                </w:p>
              </w:tc>
            </w:tr>
            <w:tr w:rsidR="001D0FDA" w:rsidRPr="00351FF5" w:rsidTr="001D0FDA">
              <w:tc>
                <w:tcPr>
                  <w:tcW w:w="2101" w:type="dxa"/>
                  <w:tcBorders>
                    <w:top w:val="nil"/>
                    <w:bottom w:val="nil"/>
                  </w:tcBorders>
                </w:tcPr>
                <w:p w:rsidR="001D0FDA" w:rsidRDefault="001D0FDA" w:rsidP="00B5196D">
                  <w:pPr>
                    <w:pStyle w:val="Tabletext"/>
                    <w:framePr w:hSpace="180" w:wrap="around" w:vAnchor="text" w:hAnchor="text" w:y="1"/>
                    <w:spacing w:before="0" w:after="0"/>
                    <w:ind w:left="196"/>
                    <w:rPr>
                      <w:rFonts w:cs="Tahoma"/>
                      <w:szCs w:val="18"/>
                    </w:rPr>
                  </w:pPr>
                  <w:r>
                    <w:rPr>
                      <w:rFonts w:cs="Tahoma"/>
                      <w:szCs w:val="18"/>
                    </w:rPr>
                    <w:t>II</w:t>
                  </w:r>
                </w:p>
              </w:tc>
              <w:tc>
                <w:tcPr>
                  <w:tcW w:w="1132"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20 (30%)</w:t>
                  </w:r>
                </w:p>
              </w:tc>
              <w:tc>
                <w:tcPr>
                  <w:tcW w:w="1134"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23 (34%</w:t>
                  </w:r>
                </w:p>
              </w:tc>
            </w:tr>
            <w:tr w:rsidR="001D0FDA" w:rsidRPr="00351FF5" w:rsidTr="001D0FDA">
              <w:tc>
                <w:tcPr>
                  <w:tcW w:w="2101" w:type="dxa"/>
                  <w:tcBorders>
                    <w:top w:val="nil"/>
                    <w:bottom w:val="nil"/>
                  </w:tcBorders>
                </w:tcPr>
                <w:p w:rsidR="001D0FDA" w:rsidRDefault="001D0FDA" w:rsidP="00B5196D">
                  <w:pPr>
                    <w:pStyle w:val="Tabletext"/>
                    <w:framePr w:hSpace="180" w:wrap="around" w:vAnchor="text" w:hAnchor="text" w:y="1"/>
                    <w:spacing w:before="0" w:after="0"/>
                    <w:ind w:left="196"/>
                    <w:rPr>
                      <w:rFonts w:cs="Tahoma"/>
                      <w:szCs w:val="18"/>
                    </w:rPr>
                  </w:pPr>
                  <w:r>
                    <w:rPr>
                      <w:rFonts w:cs="Tahoma"/>
                      <w:szCs w:val="18"/>
                    </w:rPr>
                    <w:t>III</w:t>
                  </w:r>
                </w:p>
              </w:tc>
              <w:tc>
                <w:tcPr>
                  <w:tcW w:w="1132"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C34962">
                    <w:rPr>
                      <w:rFonts w:cs="Tahoma"/>
                      <w:szCs w:val="18"/>
                    </w:rPr>
                    <w:t>40 (60%)</w:t>
                  </w:r>
                </w:p>
              </w:tc>
              <w:tc>
                <w:tcPr>
                  <w:tcW w:w="1134"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C34962">
                    <w:rPr>
                      <w:rFonts w:cs="Tahoma"/>
                      <w:szCs w:val="18"/>
                    </w:rPr>
                    <w:t>41 (61%)</w:t>
                  </w:r>
                </w:p>
              </w:tc>
            </w:tr>
            <w:tr w:rsidR="001D0FDA" w:rsidRPr="00351FF5" w:rsidTr="001D0FDA">
              <w:tc>
                <w:tcPr>
                  <w:tcW w:w="2101" w:type="dxa"/>
                  <w:tcBorders>
                    <w:top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IV</w:t>
                  </w:r>
                </w:p>
              </w:tc>
              <w:tc>
                <w:tcPr>
                  <w:tcW w:w="1132" w:type="dxa"/>
                  <w:tcBorders>
                    <w:top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C34962">
                    <w:rPr>
                      <w:rFonts w:cs="Tahoma"/>
                      <w:szCs w:val="18"/>
                    </w:rPr>
                    <w:t>6 (9%)</w:t>
                  </w:r>
                </w:p>
              </w:tc>
              <w:tc>
                <w:tcPr>
                  <w:tcW w:w="1134" w:type="dxa"/>
                  <w:tcBorders>
                    <w:top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C34962">
                    <w:rPr>
                      <w:rFonts w:cs="Tahoma"/>
                      <w:szCs w:val="18"/>
                    </w:rPr>
                    <w:t>1 (2%)</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mPAP, mean±SD (mmHg)</w:t>
                  </w:r>
                </w:p>
              </w:tc>
              <w:tc>
                <w:tcPr>
                  <w:tcW w:w="1132" w:type="dxa"/>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 xml:space="preserve">47±13 </w:t>
                  </w:r>
                </w:p>
              </w:tc>
              <w:tc>
                <w:tcPr>
                  <w:tcW w:w="1134" w:type="dxa"/>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50±15</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PVR, mean±SD (</w:t>
                  </w:r>
                  <w:r>
                    <w:rPr>
                      <w:rFonts w:cs="Tahoma"/>
                      <w:szCs w:val="18"/>
                    </w:rPr>
                    <w:t>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132" w:type="dxa"/>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 xml:space="preserve">834±424 </w:t>
                  </w:r>
                </w:p>
              </w:tc>
              <w:tc>
                <w:tcPr>
                  <w:tcW w:w="1134" w:type="dxa"/>
                </w:tcPr>
                <w:p w:rsidR="001D0FDA" w:rsidRPr="00411013" w:rsidRDefault="001D0FDA" w:rsidP="00B5196D">
                  <w:pPr>
                    <w:pStyle w:val="Tabletext"/>
                    <w:framePr w:hSpace="180" w:wrap="around" w:vAnchor="text" w:hAnchor="text" w:y="1"/>
                    <w:spacing w:before="0" w:after="0"/>
                    <w:jc w:val="center"/>
                    <w:rPr>
                      <w:rFonts w:cs="Tahoma"/>
                      <w:szCs w:val="18"/>
                    </w:rPr>
                  </w:pPr>
                  <w:r w:rsidRPr="003E6A2B">
                    <w:rPr>
                      <w:rFonts w:cs="Tahoma"/>
                      <w:szCs w:val="18"/>
                    </w:rPr>
                    <w:t>968±518</w:t>
                  </w:r>
                </w:p>
              </w:tc>
            </w:tr>
          </w:tbl>
          <w:p w:rsidR="001D0FDA" w:rsidRDefault="001D0FDA" w:rsidP="001D0FDA">
            <w:pPr>
              <w:pStyle w:val="Tabletext"/>
              <w:rPr>
                <w:rFonts w:cs="Tahoma"/>
                <w:szCs w:val="18"/>
              </w:rPr>
            </w:pPr>
            <w:r w:rsidRPr="003E6A2B">
              <w:rPr>
                <w:rFonts w:cs="Tahoma"/>
                <w:szCs w:val="18"/>
              </w:rPr>
              <w:t>Data on the patient characteristics for the WHO FC I-II subgroup and WHO FC III-IV subgroup between the two treatment groups were not available. Randomisation was not stratified according to WHO FC.</w:t>
            </w:r>
          </w:p>
        </w:tc>
        <w:tc>
          <w:tcPr>
            <w:tcW w:w="811" w:type="pct"/>
          </w:tcPr>
          <w:p w:rsidR="001D0FDA" w:rsidRDefault="001D0FDA" w:rsidP="001D0FDA">
            <w:pPr>
              <w:pStyle w:val="Tabletext"/>
              <w:rPr>
                <w:rFonts w:cs="Tahoma"/>
                <w:i/>
                <w:szCs w:val="18"/>
              </w:rPr>
            </w:pPr>
            <w:r>
              <w:rPr>
                <w:rFonts w:cs="Tahoma"/>
                <w:i/>
                <w:szCs w:val="18"/>
              </w:rPr>
              <w:t>Intervention:</w:t>
            </w:r>
          </w:p>
          <w:p w:rsidR="001D0FDA" w:rsidRPr="00D81DEE" w:rsidRDefault="001D0FDA" w:rsidP="001D0FDA">
            <w:pPr>
              <w:pStyle w:val="Tabletext"/>
              <w:rPr>
                <w:rFonts w:cs="Tahoma"/>
                <w:szCs w:val="18"/>
              </w:rPr>
            </w:pPr>
            <w:r w:rsidRPr="00D81DEE">
              <w:rPr>
                <w:rFonts w:cs="Tahoma"/>
                <w:szCs w:val="18"/>
              </w:rPr>
              <w:t>Ambrisentan</w:t>
            </w:r>
            <w:r>
              <w:rPr>
                <w:rFonts w:cs="Tahoma"/>
                <w:szCs w:val="18"/>
              </w:rPr>
              <w:t>:</w:t>
            </w:r>
            <w:r w:rsidRPr="00D81DEE">
              <w:rPr>
                <w:rFonts w:cs="Tahoma"/>
                <w:szCs w:val="18"/>
              </w:rPr>
              <w:t xml:space="preserve"> 5mg od</w:t>
            </w:r>
          </w:p>
          <w:p w:rsidR="001D0FDA" w:rsidRDefault="001D0FDA" w:rsidP="001D0FDA">
            <w:pPr>
              <w:pStyle w:val="Tabletext"/>
              <w:rPr>
                <w:rFonts w:cs="Tahoma"/>
                <w:szCs w:val="18"/>
              </w:rPr>
            </w:pPr>
          </w:p>
          <w:p w:rsidR="001D0FDA" w:rsidRPr="002B19BD" w:rsidRDefault="001D0FDA" w:rsidP="001D0FDA">
            <w:pPr>
              <w:pStyle w:val="Tabletext"/>
              <w:rPr>
                <w:rFonts w:cs="Tahoma"/>
                <w:i/>
                <w:szCs w:val="18"/>
              </w:rPr>
            </w:pPr>
            <w:r>
              <w:rPr>
                <w:rFonts w:cs="Tahoma"/>
                <w:i/>
                <w:szCs w:val="18"/>
              </w:rPr>
              <w:t>Intervention</w:t>
            </w:r>
          </w:p>
          <w:p w:rsidR="001D0FDA" w:rsidRDefault="001D0FDA" w:rsidP="001D0FDA">
            <w:pPr>
              <w:pStyle w:val="Tabletext"/>
              <w:rPr>
                <w:rFonts w:cs="Tahoma"/>
                <w:i/>
                <w:szCs w:val="18"/>
              </w:rPr>
            </w:pPr>
            <w:r w:rsidRPr="00D81DEE">
              <w:rPr>
                <w:rFonts w:cs="Tahoma"/>
                <w:szCs w:val="18"/>
              </w:rPr>
              <w:t>Placebo od</w:t>
            </w:r>
          </w:p>
        </w:tc>
        <w:tc>
          <w:tcPr>
            <w:tcW w:w="771" w:type="pct"/>
          </w:tcPr>
          <w:p w:rsidR="001D0FDA" w:rsidRPr="002B19BD" w:rsidRDefault="001D0FDA" w:rsidP="001D0FDA">
            <w:pPr>
              <w:pStyle w:val="Tabletext"/>
              <w:rPr>
                <w:rFonts w:cs="Tahoma"/>
                <w:i/>
                <w:szCs w:val="18"/>
              </w:rPr>
            </w:pPr>
            <w:r w:rsidRPr="002B19BD">
              <w:rPr>
                <w:rFonts w:cs="Tahoma"/>
                <w:i/>
                <w:szCs w:val="18"/>
              </w:rPr>
              <w:t>Effectiveness:</w:t>
            </w:r>
          </w:p>
          <w:p w:rsidR="001D0FDA" w:rsidRPr="002B19BD" w:rsidRDefault="001D0FDA" w:rsidP="001D0FDA">
            <w:pPr>
              <w:pStyle w:val="Tabletext"/>
              <w:rPr>
                <w:rFonts w:cs="Tahoma"/>
                <w:szCs w:val="18"/>
              </w:rPr>
            </w:pPr>
            <w:r w:rsidRPr="002B19BD">
              <w:rPr>
                <w:rFonts w:cs="Tahoma"/>
                <w:szCs w:val="18"/>
              </w:rPr>
              <w:t>Primary:</w:t>
            </w:r>
          </w:p>
          <w:p w:rsidR="001D0FDA" w:rsidRPr="002B19BD" w:rsidRDefault="001D0FDA" w:rsidP="00480FDF">
            <w:pPr>
              <w:pStyle w:val="Tabletext"/>
              <w:numPr>
                <w:ilvl w:val="0"/>
                <w:numId w:val="54"/>
              </w:numPr>
              <w:ind w:left="239" w:hanging="144"/>
              <w:rPr>
                <w:rFonts w:cs="Tahoma"/>
                <w:szCs w:val="18"/>
              </w:rPr>
            </w:pPr>
            <w:r w:rsidRPr="002B19BD">
              <w:rPr>
                <w:rFonts w:cs="Tahoma"/>
                <w:szCs w:val="18"/>
              </w:rPr>
              <w:t>Change in 6MWD at Week 12</w:t>
            </w:r>
            <w:r w:rsidRPr="002B19BD">
              <w:rPr>
                <w:rFonts w:cs="Tahoma"/>
                <w:szCs w:val="18"/>
                <w:vertAlign w:val="superscript"/>
              </w:rPr>
              <w:t>c</w:t>
            </w:r>
          </w:p>
          <w:p w:rsidR="001D0FDA" w:rsidRPr="002B19BD" w:rsidRDefault="001D0FDA" w:rsidP="001D0FDA">
            <w:pPr>
              <w:pStyle w:val="Tabletext"/>
              <w:rPr>
                <w:rFonts w:cs="Tahoma"/>
                <w:szCs w:val="18"/>
              </w:rPr>
            </w:pPr>
            <w:r w:rsidRPr="002B19BD">
              <w:rPr>
                <w:rFonts w:cs="Tahoma"/>
                <w:szCs w:val="18"/>
              </w:rPr>
              <w:t>Secondary:</w:t>
            </w:r>
          </w:p>
          <w:p w:rsidR="001D0FDA" w:rsidRPr="002B19BD" w:rsidRDefault="001D0FDA" w:rsidP="00480FDF">
            <w:pPr>
              <w:pStyle w:val="Tabletext"/>
              <w:numPr>
                <w:ilvl w:val="0"/>
                <w:numId w:val="54"/>
              </w:numPr>
              <w:ind w:left="239" w:hanging="144"/>
              <w:rPr>
                <w:rFonts w:cs="Tahoma"/>
                <w:szCs w:val="18"/>
              </w:rPr>
            </w:pPr>
            <w:r w:rsidRPr="002B19BD">
              <w:rPr>
                <w:rFonts w:cs="Tahoma"/>
                <w:szCs w:val="18"/>
              </w:rPr>
              <w:t>Time to clinical worsening</w:t>
            </w:r>
            <w:r w:rsidRPr="002B19BD">
              <w:rPr>
                <w:rFonts w:cs="Tahoma"/>
                <w:szCs w:val="18"/>
                <w:vertAlign w:val="superscript"/>
              </w:rPr>
              <w:t>c</w:t>
            </w:r>
          </w:p>
          <w:p w:rsidR="001D0FDA" w:rsidRPr="002B19BD" w:rsidRDefault="001D0FDA" w:rsidP="00480FDF">
            <w:pPr>
              <w:pStyle w:val="Tabletext"/>
              <w:numPr>
                <w:ilvl w:val="0"/>
                <w:numId w:val="54"/>
              </w:numPr>
              <w:ind w:left="239" w:hanging="144"/>
              <w:rPr>
                <w:rFonts w:cs="Tahoma"/>
                <w:szCs w:val="18"/>
              </w:rPr>
            </w:pPr>
            <w:r w:rsidRPr="002B19BD">
              <w:rPr>
                <w:rFonts w:cs="Tahoma"/>
                <w:szCs w:val="18"/>
              </w:rPr>
              <w:t>Change in WHO FC at Week 12</w:t>
            </w:r>
            <w:r w:rsidRPr="002B19BD">
              <w:rPr>
                <w:rFonts w:cs="Tahoma"/>
                <w:szCs w:val="18"/>
                <w:vertAlign w:val="superscript"/>
              </w:rPr>
              <w:t>c</w:t>
            </w:r>
          </w:p>
          <w:p w:rsidR="001D0FDA" w:rsidRPr="002B19BD" w:rsidRDefault="001D0FDA" w:rsidP="00480FDF">
            <w:pPr>
              <w:pStyle w:val="Tabletext"/>
              <w:numPr>
                <w:ilvl w:val="0"/>
                <w:numId w:val="54"/>
              </w:numPr>
              <w:ind w:left="239" w:hanging="144"/>
              <w:rPr>
                <w:rFonts w:cs="Tahoma"/>
                <w:szCs w:val="18"/>
              </w:rPr>
            </w:pPr>
            <w:r w:rsidRPr="002B19BD">
              <w:rPr>
                <w:rFonts w:cs="Tahoma"/>
                <w:szCs w:val="18"/>
              </w:rPr>
              <w:t>Change in SF-36 Health Survey physical functioning scales at Week 12</w:t>
            </w:r>
          </w:p>
          <w:p w:rsidR="001D0FDA" w:rsidRDefault="001D0FDA" w:rsidP="00480FDF">
            <w:pPr>
              <w:pStyle w:val="Tabletext"/>
              <w:numPr>
                <w:ilvl w:val="0"/>
                <w:numId w:val="54"/>
              </w:numPr>
              <w:ind w:left="239" w:hanging="144"/>
              <w:rPr>
                <w:rFonts w:cs="Tahoma"/>
                <w:szCs w:val="18"/>
              </w:rPr>
            </w:pPr>
            <w:r w:rsidRPr="002B19BD">
              <w:rPr>
                <w:rFonts w:cs="Tahoma"/>
                <w:szCs w:val="18"/>
              </w:rPr>
              <w:t xml:space="preserve">Change in </w:t>
            </w:r>
            <w:r>
              <w:rPr>
                <w:rFonts w:cs="Tahoma"/>
                <w:szCs w:val="18"/>
              </w:rPr>
              <w:t>BDS</w:t>
            </w:r>
            <w:r w:rsidRPr="002B19BD">
              <w:rPr>
                <w:rFonts w:cs="Tahoma"/>
                <w:szCs w:val="18"/>
              </w:rPr>
              <w:t xml:space="preserve"> at Week 12</w:t>
            </w:r>
          </w:p>
          <w:p w:rsidR="001D0FDA" w:rsidRDefault="001D0FDA" w:rsidP="001D0FDA">
            <w:pPr>
              <w:pStyle w:val="Tabletext"/>
              <w:ind w:left="95"/>
              <w:rPr>
                <w:rFonts w:cs="Tahoma"/>
                <w:szCs w:val="18"/>
              </w:rPr>
            </w:pPr>
          </w:p>
          <w:p w:rsidR="001D0FDA" w:rsidRPr="002B19BD" w:rsidRDefault="001D0FDA" w:rsidP="001D0FDA">
            <w:pPr>
              <w:pStyle w:val="Tabletext"/>
              <w:rPr>
                <w:rFonts w:cs="Tahoma"/>
                <w:szCs w:val="18"/>
              </w:rPr>
            </w:pPr>
            <w:r w:rsidRPr="002B19BD">
              <w:rPr>
                <w:rFonts w:cs="Tahoma"/>
                <w:i/>
                <w:szCs w:val="18"/>
              </w:rPr>
              <w:t>Safety</w:t>
            </w:r>
          </w:p>
          <w:p w:rsidR="001D0FDA" w:rsidRPr="002B19BD" w:rsidRDefault="001D0FDA" w:rsidP="00480FDF">
            <w:pPr>
              <w:pStyle w:val="Tabletext"/>
              <w:numPr>
                <w:ilvl w:val="0"/>
                <w:numId w:val="54"/>
              </w:numPr>
              <w:ind w:left="239" w:hanging="144"/>
              <w:rPr>
                <w:rFonts w:cs="Tahoma"/>
                <w:szCs w:val="18"/>
              </w:rPr>
            </w:pPr>
            <w:r w:rsidRPr="002B19BD">
              <w:rPr>
                <w:rFonts w:cs="Tahoma"/>
                <w:szCs w:val="18"/>
              </w:rPr>
              <w:t>Adverse events</w:t>
            </w:r>
          </w:p>
        </w:tc>
      </w:tr>
      <w:tr w:rsidR="001D0FDA" w:rsidRPr="00204000" w:rsidTr="001D0FDA">
        <w:tc>
          <w:tcPr>
            <w:tcW w:w="531" w:type="pct"/>
          </w:tcPr>
          <w:p w:rsidR="001D0FDA" w:rsidRPr="00D53F84" w:rsidRDefault="001D0FDA" w:rsidP="001D0FDA">
            <w:pPr>
              <w:pStyle w:val="Tabletext"/>
              <w:ind w:right="-28"/>
              <w:rPr>
                <w:rFonts w:eastAsia="Times New Roman"/>
              </w:rPr>
            </w:pPr>
            <w:r w:rsidRPr="00D53F84">
              <w:rPr>
                <w:rFonts w:eastAsia="Times New Roman"/>
              </w:rPr>
              <w:lastRenderedPageBreak/>
              <w:t>ARIES-2</w:t>
            </w:r>
            <w:r w:rsidR="001D34EE" w:rsidRPr="001A1C44">
              <w:rPr>
                <w:rFonts w:eastAsia="Times New Roman"/>
                <w:noProof/>
                <w:vertAlign w:val="superscript"/>
              </w:rPr>
              <w:t>33</w:t>
            </w:r>
            <w:r w:rsidR="001A1C44" w:rsidRPr="001A1C44">
              <w:rPr>
                <w:rFonts w:eastAsia="Times New Roman"/>
                <w:noProof/>
                <w:vertAlign w:val="superscript"/>
              </w:rPr>
              <w:t xml:space="preserve">, </w:t>
            </w:r>
            <w:r w:rsidR="001D34EE" w:rsidRPr="001A1C44">
              <w:rPr>
                <w:rFonts w:eastAsia="Times New Roman"/>
                <w:noProof/>
                <w:vertAlign w:val="superscript"/>
              </w:rPr>
              <w:t>34</w:t>
            </w:r>
          </w:p>
          <w:p w:rsidR="001D0FDA" w:rsidRPr="00D53F84" w:rsidRDefault="001D0FDA" w:rsidP="001D0FDA">
            <w:pPr>
              <w:pStyle w:val="Tabletext"/>
              <w:ind w:right="-28"/>
              <w:rPr>
                <w:rFonts w:eastAsia="Times New Roman"/>
              </w:rPr>
            </w:pPr>
            <w:r w:rsidRPr="00D53F84">
              <w:rPr>
                <w:rFonts w:eastAsia="Times New Roman"/>
                <w:lang w:eastAsia="en-US"/>
              </w:rPr>
              <w:t>2003-2006</w:t>
            </w:r>
          </w:p>
          <w:p w:rsidR="001D0FDA" w:rsidRPr="00D53F84" w:rsidRDefault="001D0FDA" w:rsidP="001D0FDA">
            <w:pPr>
              <w:pStyle w:val="Tabletext"/>
              <w:ind w:right="-28"/>
              <w:rPr>
                <w:rFonts w:eastAsia="Times New Roman"/>
                <w:lang w:eastAsia="en-US"/>
              </w:rPr>
            </w:pPr>
            <w:r w:rsidRPr="00D53F84">
              <w:rPr>
                <w:rFonts w:eastAsia="Times New Roman"/>
                <w:lang w:eastAsia="en-US"/>
              </w:rPr>
              <w:t>Europe, Israel, South America</w:t>
            </w:r>
          </w:p>
        </w:tc>
        <w:tc>
          <w:tcPr>
            <w:tcW w:w="47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w:t>
            </w:r>
          </w:p>
          <w:p w:rsidR="001D0FDA" w:rsidRPr="00351FF5" w:rsidRDefault="001D0FDA" w:rsidP="001D0FDA">
            <w:pPr>
              <w:pStyle w:val="Tabletext"/>
              <w:rPr>
                <w:rFonts w:cs="Tahoma"/>
                <w:szCs w:val="18"/>
              </w:rPr>
            </w:pPr>
            <w:r w:rsidRPr="00351FF5">
              <w:rPr>
                <w:rFonts w:cs="Tahoma"/>
                <w:szCs w:val="18"/>
              </w:rPr>
              <w:t>Level II evidence</w:t>
            </w:r>
          </w:p>
          <w:p w:rsidR="001D0FDA" w:rsidRPr="00D53F84" w:rsidRDefault="001D0FDA" w:rsidP="001D0FDA">
            <w:pPr>
              <w:pStyle w:val="Tabletext"/>
              <w:ind w:right="-28"/>
              <w:rPr>
                <w:rFonts w:eastAsia="Times New Roman"/>
                <w:lang w:eastAsia="en-US"/>
              </w:rPr>
            </w:pPr>
            <w:r>
              <w:rPr>
                <w:rFonts w:eastAsia="Times New Roman"/>
                <w:lang w:eastAsia="en-US"/>
              </w:rPr>
              <w:t xml:space="preserve">Follow-up: </w:t>
            </w:r>
            <w:r w:rsidRPr="00D53F84">
              <w:rPr>
                <w:rFonts w:eastAsia="Times New Roman"/>
                <w:lang w:eastAsia="en-US"/>
              </w:rPr>
              <w:t>12 weeks</w:t>
            </w:r>
          </w:p>
          <w:p w:rsidR="001D0FDA" w:rsidRPr="00D53F84" w:rsidRDefault="001D0FDA" w:rsidP="001D0FDA">
            <w:pPr>
              <w:pStyle w:val="Tabletext"/>
              <w:ind w:right="-28"/>
              <w:rPr>
                <w:rFonts w:eastAsia="Times New Roman"/>
                <w:snapToGrid w:val="0"/>
                <w:lang w:eastAsia="en-US"/>
              </w:rPr>
            </w:pPr>
            <w:r>
              <w:rPr>
                <w:rFonts w:eastAsia="Times New Roman"/>
                <w:lang w:eastAsia="en-US"/>
              </w:rPr>
              <w:t>Risk of bias: l</w:t>
            </w:r>
            <w:r w:rsidRPr="00D53F84">
              <w:rPr>
                <w:rFonts w:eastAsia="Times New Roman"/>
                <w:lang w:eastAsia="en-US"/>
              </w:rPr>
              <w:t>ow-to-moderate</w:t>
            </w:r>
          </w:p>
        </w:tc>
        <w:tc>
          <w:tcPr>
            <w:tcW w:w="772" w:type="pct"/>
          </w:tcPr>
          <w:p w:rsidR="001D0FDA" w:rsidRPr="00B93934" w:rsidRDefault="001D0FDA" w:rsidP="001D0FDA">
            <w:pPr>
              <w:pStyle w:val="Tabletext"/>
              <w:rPr>
                <w:rFonts w:cs="Tahoma"/>
                <w:i/>
                <w:szCs w:val="18"/>
              </w:rPr>
            </w:pPr>
            <w:r w:rsidRPr="00B93934">
              <w:rPr>
                <w:rFonts w:cs="Tahoma"/>
                <w:i/>
                <w:szCs w:val="18"/>
              </w:rPr>
              <w:t>Inclusion criteria</w:t>
            </w:r>
          </w:p>
          <w:p w:rsidR="001D0FDA" w:rsidRDefault="001D0FDA" w:rsidP="00480FDF">
            <w:pPr>
              <w:pStyle w:val="Tabletext"/>
              <w:numPr>
                <w:ilvl w:val="0"/>
                <w:numId w:val="54"/>
              </w:numPr>
              <w:ind w:left="239" w:hanging="144"/>
              <w:rPr>
                <w:rFonts w:cs="Tahoma"/>
                <w:szCs w:val="18"/>
              </w:rPr>
            </w:pPr>
            <w:r w:rsidRPr="00B93934">
              <w:rPr>
                <w:rFonts w:cs="Tahoma"/>
                <w:szCs w:val="18"/>
              </w:rPr>
              <w:t xml:space="preserve">Patients with IPAH, PAH-CTD, PAH-HIV or anorexigen-associated PAH </w:t>
            </w:r>
          </w:p>
          <w:p w:rsidR="001D0FDA" w:rsidRPr="00B93934" w:rsidRDefault="001D0FDA" w:rsidP="001D0FDA">
            <w:pPr>
              <w:pStyle w:val="Tabletext"/>
              <w:ind w:left="239"/>
              <w:rPr>
                <w:rFonts w:cs="Tahoma"/>
                <w:szCs w:val="18"/>
              </w:rPr>
            </w:pPr>
          </w:p>
          <w:p w:rsidR="001D0FDA" w:rsidRPr="00B93934" w:rsidRDefault="001D0FDA" w:rsidP="001D0FDA">
            <w:pPr>
              <w:pStyle w:val="Tabletext"/>
              <w:rPr>
                <w:rFonts w:cs="Tahoma"/>
                <w:i/>
                <w:szCs w:val="18"/>
              </w:rPr>
            </w:pPr>
            <w:r w:rsidRPr="00B93934">
              <w:rPr>
                <w:rFonts w:cs="Tahoma"/>
                <w:i/>
                <w:szCs w:val="18"/>
              </w:rPr>
              <w:t>Inclusion criteria:</w:t>
            </w:r>
          </w:p>
          <w:p w:rsidR="001D0FDA" w:rsidRPr="00B93934" w:rsidRDefault="001D0FDA" w:rsidP="00480FDF">
            <w:pPr>
              <w:pStyle w:val="Tabletext"/>
              <w:numPr>
                <w:ilvl w:val="0"/>
                <w:numId w:val="54"/>
              </w:numPr>
              <w:ind w:left="239" w:hanging="144"/>
              <w:rPr>
                <w:rFonts w:cs="Tahoma"/>
                <w:szCs w:val="18"/>
              </w:rPr>
            </w:pPr>
            <w:r w:rsidRPr="00B93934">
              <w:rPr>
                <w:rFonts w:cs="Tahoma"/>
                <w:szCs w:val="18"/>
              </w:rPr>
              <w:t>Patients with 6MWD &lt;150</w:t>
            </w:r>
            <w:r>
              <w:rPr>
                <w:rFonts w:cs="Tahoma"/>
                <w:szCs w:val="18"/>
              </w:rPr>
              <w:t>m</w:t>
            </w:r>
            <w:r w:rsidRPr="00B93934">
              <w:rPr>
                <w:rFonts w:cs="Tahoma"/>
                <w:szCs w:val="18"/>
              </w:rPr>
              <w:t xml:space="preserve"> or &gt;450</w:t>
            </w:r>
            <w:r>
              <w:rPr>
                <w:rFonts w:cs="Tahoma"/>
                <w:szCs w:val="18"/>
              </w:rPr>
              <w:t>m</w:t>
            </w:r>
          </w:p>
          <w:p w:rsidR="001D0FDA" w:rsidRPr="00B93934" w:rsidRDefault="001D0FDA" w:rsidP="00480FDF">
            <w:pPr>
              <w:pStyle w:val="Tabletext"/>
              <w:numPr>
                <w:ilvl w:val="0"/>
                <w:numId w:val="54"/>
              </w:numPr>
              <w:ind w:left="239" w:hanging="144"/>
              <w:rPr>
                <w:rFonts w:cs="Tahoma"/>
                <w:szCs w:val="18"/>
              </w:rPr>
            </w:pPr>
            <w:r>
              <w:rPr>
                <w:rFonts w:cs="Tahoma"/>
                <w:szCs w:val="18"/>
              </w:rPr>
              <w:t xml:space="preserve">Patients previous treated with </w:t>
            </w:r>
            <w:r w:rsidRPr="00B93934">
              <w:rPr>
                <w:rFonts w:cs="Tahoma"/>
                <w:szCs w:val="18"/>
              </w:rPr>
              <w:t>bosentan, sitaxsentan, sildenafil, epoprostenol, iloprost, or treprostinil</w:t>
            </w:r>
          </w:p>
        </w:tc>
        <w:tc>
          <w:tcPr>
            <w:tcW w:w="0" w:type="auto"/>
          </w:tcPr>
          <w:p w:rsidR="001D0FDA" w:rsidRDefault="001D0FDA" w:rsidP="001D0FDA">
            <w:pPr>
              <w:pStyle w:val="Tabletext"/>
              <w:rPr>
                <w:rFonts w:cs="Tahoma"/>
                <w:szCs w:val="18"/>
              </w:rPr>
            </w:pPr>
            <w:r>
              <w:rPr>
                <w:rFonts w:cs="Tahoma"/>
                <w:szCs w:val="18"/>
              </w:rPr>
              <w:t>N=128</w:t>
            </w:r>
          </w:p>
          <w:tbl>
            <w:tblPr>
              <w:tblStyle w:val="TableGrid"/>
              <w:tblW w:w="436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ARIES-2"/>
            </w:tblPr>
            <w:tblGrid>
              <w:gridCol w:w="2018"/>
              <w:gridCol w:w="1237"/>
              <w:gridCol w:w="1114"/>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1D0FDA" w:rsidRPr="00351FF5" w:rsidRDefault="001D0FDA" w:rsidP="00B5196D">
                  <w:pPr>
                    <w:pStyle w:val="Tabletext"/>
                    <w:framePr w:hSpace="180" w:wrap="around" w:vAnchor="text" w:hAnchor="text" w:y="1"/>
                    <w:spacing w:before="0" w:after="0"/>
                    <w:rPr>
                      <w:rFonts w:cs="Tahoma"/>
                      <w:b/>
                      <w:szCs w:val="18"/>
                    </w:rPr>
                  </w:pPr>
                </w:p>
              </w:tc>
              <w:tc>
                <w:tcPr>
                  <w:tcW w:w="1134" w:type="dxa"/>
                  <w:shd w:val="clear" w:color="auto" w:fill="FFFFFF" w:themeFill="background1"/>
                </w:tcPr>
                <w:p w:rsidR="001D0FDA" w:rsidRPr="00411013" w:rsidRDefault="001D0FDA" w:rsidP="00B5196D">
                  <w:pPr>
                    <w:pStyle w:val="Tabletext"/>
                    <w:framePr w:hSpace="180" w:wrap="around" w:vAnchor="text" w:hAnchor="text" w:y="1"/>
                    <w:spacing w:before="0"/>
                    <w:jc w:val="center"/>
                    <w:rPr>
                      <w:rFonts w:cs="Tahoma"/>
                      <w:szCs w:val="18"/>
                    </w:rPr>
                  </w:pPr>
                  <w:r w:rsidRPr="00411013">
                    <w:rPr>
                      <w:rFonts w:cs="Tahoma"/>
                      <w:szCs w:val="18"/>
                    </w:rPr>
                    <w:t xml:space="preserve">Ambrisentan </w:t>
                  </w:r>
                  <w:r>
                    <w:rPr>
                      <w:rFonts w:cs="Tahoma"/>
                      <w:szCs w:val="18"/>
                    </w:rPr>
                    <w:t>5mg</w:t>
                  </w:r>
                </w:p>
                <w:p w:rsidR="001D0FDA" w:rsidRPr="00802B85" w:rsidRDefault="001D0FDA" w:rsidP="00B5196D">
                  <w:pPr>
                    <w:pStyle w:val="Tabletext"/>
                    <w:framePr w:hSpace="180" w:wrap="around" w:vAnchor="text" w:hAnchor="text" w:y="1"/>
                    <w:spacing w:before="0"/>
                    <w:jc w:val="center"/>
                    <w:rPr>
                      <w:rFonts w:cs="Tahoma"/>
                      <w:szCs w:val="18"/>
                    </w:rPr>
                  </w:pPr>
                  <w:r>
                    <w:rPr>
                      <w:rFonts w:cs="Tahoma"/>
                      <w:szCs w:val="18"/>
                    </w:rPr>
                    <w:t>(N=63)</w:t>
                  </w:r>
                </w:p>
              </w:tc>
              <w:tc>
                <w:tcPr>
                  <w:tcW w:w="1134"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Pr>
                      <w:rFonts w:cs="Tahoma"/>
                      <w:szCs w:val="18"/>
                    </w:rPr>
                    <w:t>Placebo</w:t>
                  </w:r>
                  <w:r>
                    <w:rPr>
                      <w:rFonts w:cs="Tahoma"/>
                      <w:szCs w:val="18"/>
                    </w:rPr>
                    <w:br/>
                    <w:t>(N=65)</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 xml:space="preserve">Age, mean±SD (yrs) </w:t>
                  </w:r>
                </w:p>
              </w:tc>
              <w:tc>
                <w:tcPr>
                  <w:tcW w:w="1134" w:type="dxa"/>
                  <w:vAlign w:val="center"/>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50±16</w:t>
                  </w:r>
                </w:p>
              </w:tc>
              <w:tc>
                <w:tcPr>
                  <w:tcW w:w="1134" w:type="dxa"/>
                  <w:vAlign w:val="center"/>
                </w:tcPr>
                <w:p w:rsidR="001D0FDA" w:rsidRPr="00411013" w:rsidRDefault="001D0FDA" w:rsidP="00B5196D">
                  <w:pPr>
                    <w:pStyle w:val="Tabletext"/>
                    <w:framePr w:hSpace="180" w:wrap="around" w:vAnchor="text" w:hAnchor="text" w:y="1"/>
                    <w:spacing w:before="0" w:after="0"/>
                    <w:jc w:val="center"/>
                    <w:rPr>
                      <w:rFonts w:cs="Tahoma"/>
                      <w:szCs w:val="18"/>
                    </w:rPr>
                  </w:pPr>
                  <w:r w:rsidRPr="003E6A2B">
                    <w:rPr>
                      <w:rFonts w:cs="Tahoma"/>
                      <w:szCs w:val="18"/>
                    </w:rPr>
                    <w:t>51±14</w:t>
                  </w:r>
                </w:p>
              </w:tc>
            </w:tr>
            <w:tr w:rsidR="001D0FDA" w:rsidRPr="00351FF5" w:rsidTr="001D0FDA">
              <w:tc>
                <w:tcPr>
                  <w:tcW w:w="2101"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Gender, femal</w:t>
                  </w:r>
                  <w:r>
                    <w:rPr>
                      <w:rFonts w:cs="Tahoma"/>
                      <w:szCs w:val="18"/>
                    </w:rPr>
                    <w:t>e</w:t>
                  </w:r>
                  <w:r w:rsidRPr="00351FF5">
                    <w:rPr>
                      <w:rFonts w:cs="Tahoma"/>
                      <w:szCs w:val="18"/>
                    </w:rPr>
                    <w:t>, n (%)</w:t>
                  </w:r>
                </w:p>
              </w:tc>
              <w:tc>
                <w:tcPr>
                  <w:tcW w:w="1134" w:type="dxa"/>
                  <w:tcBorders>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r>
                    <w:rPr>
                      <w:rFonts w:cs="Tahoma"/>
                      <w:szCs w:val="18"/>
                    </w:rPr>
                    <w:t>51 (81%)</w:t>
                  </w:r>
                </w:p>
              </w:tc>
              <w:tc>
                <w:tcPr>
                  <w:tcW w:w="1134" w:type="dxa"/>
                  <w:tcBorders>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r>
                    <w:rPr>
                      <w:rFonts w:cs="Tahoma"/>
                      <w:szCs w:val="18"/>
                    </w:rPr>
                    <w:t>44 (68%)</w:t>
                  </w:r>
                </w:p>
              </w:tc>
            </w:tr>
            <w:tr w:rsidR="001D0FDA" w:rsidRPr="00351FF5" w:rsidTr="001D0FDA">
              <w:tc>
                <w:tcPr>
                  <w:tcW w:w="2101"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PAH aetiology, n (%)</w:t>
                  </w:r>
                </w:p>
              </w:tc>
              <w:tc>
                <w:tcPr>
                  <w:tcW w:w="1134"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c>
                <w:tcPr>
                  <w:tcW w:w="1134"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IPAH</w:t>
                  </w:r>
                </w:p>
              </w:tc>
              <w:tc>
                <w:tcPr>
                  <w:tcW w:w="1134"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 xml:space="preserve">41 (65%) </w:t>
                  </w:r>
                </w:p>
              </w:tc>
              <w:tc>
                <w:tcPr>
                  <w:tcW w:w="1134"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sidRPr="003E6A2B">
                    <w:rPr>
                      <w:rFonts w:cs="Tahoma"/>
                      <w:szCs w:val="18"/>
                    </w:rPr>
                    <w:t>42 (65%)</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PAH-CTD</w:t>
                  </w:r>
                </w:p>
              </w:tc>
              <w:tc>
                <w:tcPr>
                  <w:tcW w:w="1134"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sidRPr="003E6A2B">
                    <w:rPr>
                      <w:rFonts w:cs="Tahoma"/>
                      <w:szCs w:val="18"/>
                    </w:rPr>
                    <w:t>21 (33%)</w:t>
                  </w:r>
                </w:p>
              </w:tc>
              <w:tc>
                <w:tcPr>
                  <w:tcW w:w="1134"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sidRPr="003E6A2B">
                    <w:rPr>
                      <w:rFonts w:cs="Tahoma"/>
                      <w:szCs w:val="18"/>
                    </w:rPr>
                    <w:t>22 (34%)</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PAH-HIV</w:t>
                  </w:r>
                </w:p>
              </w:tc>
              <w:tc>
                <w:tcPr>
                  <w:tcW w:w="1134"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sidRPr="003E6A2B">
                    <w:rPr>
                      <w:rFonts w:cs="Tahoma"/>
                      <w:szCs w:val="18"/>
                    </w:rPr>
                    <w:t>1 (2%)</w:t>
                  </w:r>
                </w:p>
              </w:tc>
              <w:tc>
                <w:tcPr>
                  <w:tcW w:w="1134"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sidRPr="003E6A2B">
                    <w:rPr>
                      <w:rFonts w:cs="Tahoma"/>
                      <w:szCs w:val="18"/>
                    </w:rPr>
                    <w:t>1 (2%)</w:t>
                  </w:r>
                </w:p>
              </w:tc>
            </w:tr>
            <w:tr w:rsidR="001D0FDA" w:rsidRPr="00351FF5" w:rsidTr="001D0FDA">
              <w:tc>
                <w:tcPr>
                  <w:tcW w:w="2101" w:type="dxa"/>
                  <w:tcBorders>
                    <w:top w:val="nil"/>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PAH-</w:t>
                  </w:r>
                  <w:r>
                    <w:rPr>
                      <w:rFonts w:cs="Tahoma"/>
                      <w:szCs w:val="18"/>
                    </w:rPr>
                    <w:t>DT</w:t>
                  </w:r>
                </w:p>
              </w:tc>
              <w:tc>
                <w:tcPr>
                  <w:tcW w:w="1134" w:type="dxa"/>
                  <w:tcBorders>
                    <w:top w:val="nil"/>
                    <w:bottom w:val="single" w:sz="4" w:space="0" w:color="BFBFBF" w:themeColor="background1" w:themeShade="BF"/>
                  </w:tcBorders>
                </w:tcPr>
                <w:p w:rsidR="001D0FDA" w:rsidRPr="00411013" w:rsidRDefault="001D0FDA" w:rsidP="00B5196D">
                  <w:pPr>
                    <w:pStyle w:val="Tabletext"/>
                    <w:framePr w:hSpace="180" w:wrap="around" w:vAnchor="text" w:hAnchor="text" w:y="1"/>
                    <w:spacing w:before="0"/>
                    <w:jc w:val="center"/>
                    <w:rPr>
                      <w:rFonts w:cs="Tahoma"/>
                      <w:szCs w:val="18"/>
                    </w:rPr>
                  </w:pPr>
                  <w:r w:rsidRPr="003E6A2B">
                    <w:rPr>
                      <w:rFonts w:cs="Tahoma"/>
                      <w:szCs w:val="18"/>
                    </w:rPr>
                    <w:t>0 (0%)</w:t>
                  </w:r>
                </w:p>
              </w:tc>
              <w:tc>
                <w:tcPr>
                  <w:tcW w:w="1134" w:type="dxa"/>
                  <w:tcBorders>
                    <w:top w:val="nil"/>
                    <w:bottom w:val="single" w:sz="4" w:space="0" w:color="BFBFBF" w:themeColor="background1" w:themeShade="BF"/>
                  </w:tcBorders>
                </w:tcPr>
                <w:p w:rsidR="001D0FDA" w:rsidRPr="00411013" w:rsidRDefault="001D0FDA" w:rsidP="00B5196D">
                  <w:pPr>
                    <w:pStyle w:val="Tabletext"/>
                    <w:framePr w:hSpace="180" w:wrap="around" w:vAnchor="text" w:hAnchor="text" w:y="1"/>
                    <w:spacing w:before="0" w:after="0"/>
                    <w:jc w:val="center"/>
                    <w:rPr>
                      <w:rFonts w:cs="Tahoma"/>
                      <w:szCs w:val="18"/>
                    </w:rPr>
                  </w:pPr>
                  <w:r w:rsidRPr="003E6A2B">
                    <w:rPr>
                      <w:rFonts w:cs="Tahoma"/>
                      <w:szCs w:val="18"/>
                    </w:rPr>
                    <w:t>0 (0%)</w:t>
                  </w:r>
                </w:p>
              </w:tc>
            </w:tr>
            <w:tr w:rsidR="001D0FDA" w:rsidRPr="00351FF5" w:rsidTr="001D0FDA">
              <w:tc>
                <w:tcPr>
                  <w:tcW w:w="2101"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WHO FC</w:t>
                  </w:r>
                  <w:r>
                    <w:rPr>
                      <w:rFonts w:cs="Tahoma"/>
                      <w:szCs w:val="18"/>
                    </w:rPr>
                    <w:t>, n (%)</w:t>
                  </w:r>
                </w:p>
              </w:tc>
              <w:tc>
                <w:tcPr>
                  <w:tcW w:w="1134"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c>
                <w:tcPr>
                  <w:tcW w:w="1134"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w:t>
                  </w:r>
                </w:p>
              </w:tc>
              <w:tc>
                <w:tcPr>
                  <w:tcW w:w="1134"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sidRPr="003E6A2B">
                    <w:rPr>
                      <w:rFonts w:cs="Tahoma"/>
                      <w:szCs w:val="18"/>
                    </w:rPr>
                    <w:t>1 (2%)</w:t>
                  </w:r>
                </w:p>
              </w:tc>
              <w:tc>
                <w:tcPr>
                  <w:tcW w:w="1134"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sidRPr="003E6A2B">
                    <w:rPr>
                      <w:rFonts w:cs="Tahoma"/>
                      <w:szCs w:val="18"/>
                    </w:rPr>
                    <w:t>2 (3%)</w:t>
                  </w:r>
                </w:p>
              </w:tc>
            </w:tr>
            <w:tr w:rsidR="001D0FDA" w:rsidRPr="00351FF5" w:rsidTr="001D0FDA">
              <w:tc>
                <w:tcPr>
                  <w:tcW w:w="2101" w:type="dxa"/>
                  <w:tcBorders>
                    <w:top w:val="nil"/>
                    <w:bottom w:val="nil"/>
                  </w:tcBorders>
                </w:tcPr>
                <w:p w:rsidR="001D0FDA" w:rsidRDefault="001D0FDA" w:rsidP="00B5196D">
                  <w:pPr>
                    <w:pStyle w:val="Tabletext"/>
                    <w:framePr w:hSpace="180" w:wrap="around" w:vAnchor="text" w:hAnchor="text" w:y="1"/>
                    <w:spacing w:before="0" w:after="0"/>
                    <w:ind w:left="196"/>
                    <w:rPr>
                      <w:rFonts w:cs="Tahoma"/>
                      <w:szCs w:val="18"/>
                    </w:rPr>
                  </w:pPr>
                  <w:r>
                    <w:rPr>
                      <w:rFonts w:cs="Tahoma"/>
                      <w:szCs w:val="18"/>
                    </w:rPr>
                    <w:t>II</w:t>
                  </w:r>
                </w:p>
              </w:tc>
              <w:tc>
                <w:tcPr>
                  <w:tcW w:w="1134"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sidRPr="003E6A2B">
                    <w:rPr>
                      <w:rFonts w:cs="Tahoma"/>
                      <w:szCs w:val="18"/>
                    </w:rPr>
                    <w:t>28 (44%)</w:t>
                  </w:r>
                </w:p>
              </w:tc>
              <w:tc>
                <w:tcPr>
                  <w:tcW w:w="1134"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sidRPr="003E6A2B">
                    <w:rPr>
                      <w:rFonts w:cs="Tahoma"/>
                      <w:szCs w:val="18"/>
                    </w:rPr>
                    <w:t>24 (37%)</w:t>
                  </w:r>
                </w:p>
              </w:tc>
            </w:tr>
            <w:tr w:rsidR="001D0FDA" w:rsidRPr="00351FF5" w:rsidTr="001D0FDA">
              <w:tc>
                <w:tcPr>
                  <w:tcW w:w="2101" w:type="dxa"/>
                  <w:tcBorders>
                    <w:top w:val="nil"/>
                    <w:bottom w:val="nil"/>
                  </w:tcBorders>
                </w:tcPr>
                <w:p w:rsidR="001D0FDA" w:rsidRDefault="001D0FDA" w:rsidP="00B5196D">
                  <w:pPr>
                    <w:pStyle w:val="Tabletext"/>
                    <w:framePr w:hSpace="180" w:wrap="around" w:vAnchor="text" w:hAnchor="text" w:y="1"/>
                    <w:spacing w:before="0" w:after="0"/>
                    <w:ind w:left="196"/>
                    <w:rPr>
                      <w:rFonts w:cs="Tahoma"/>
                      <w:szCs w:val="18"/>
                    </w:rPr>
                  </w:pPr>
                  <w:r>
                    <w:rPr>
                      <w:rFonts w:cs="Tahoma"/>
                      <w:szCs w:val="18"/>
                    </w:rPr>
                    <w:t>III</w:t>
                  </w:r>
                </w:p>
              </w:tc>
              <w:tc>
                <w:tcPr>
                  <w:tcW w:w="1134"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3E6A2B">
                    <w:rPr>
                      <w:rFonts w:cs="Tahoma"/>
                      <w:szCs w:val="18"/>
                    </w:rPr>
                    <w:t>33 (52%)</w:t>
                  </w:r>
                </w:p>
              </w:tc>
              <w:tc>
                <w:tcPr>
                  <w:tcW w:w="1134"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3E6A2B">
                    <w:rPr>
                      <w:rFonts w:cs="Tahoma"/>
                      <w:szCs w:val="18"/>
                    </w:rPr>
                    <w:t>37 (57%)</w:t>
                  </w:r>
                </w:p>
              </w:tc>
            </w:tr>
            <w:tr w:rsidR="001D0FDA" w:rsidRPr="00351FF5" w:rsidTr="001D0FDA">
              <w:tc>
                <w:tcPr>
                  <w:tcW w:w="2101" w:type="dxa"/>
                  <w:tcBorders>
                    <w:top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IV</w:t>
                  </w:r>
                </w:p>
              </w:tc>
              <w:tc>
                <w:tcPr>
                  <w:tcW w:w="1134" w:type="dxa"/>
                  <w:tcBorders>
                    <w:top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3E6A2B">
                    <w:rPr>
                      <w:rFonts w:cs="Tahoma"/>
                      <w:szCs w:val="18"/>
                    </w:rPr>
                    <w:t>1 (2%)</w:t>
                  </w:r>
                </w:p>
              </w:tc>
              <w:tc>
                <w:tcPr>
                  <w:tcW w:w="1134" w:type="dxa"/>
                  <w:tcBorders>
                    <w:top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3E6A2B">
                    <w:rPr>
                      <w:rFonts w:cs="Tahoma"/>
                      <w:szCs w:val="18"/>
                    </w:rPr>
                    <w:t>2 (3%)</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mPAP, mean±SD (mmHg)</w:t>
                  </w:r>
                </w:p>
              </w:tc>
              <w:tc>
                <w:tcPr>
                  <w:tcW w:w="1134" w:type="dxa"/>
                </w:tcPr>
                <w:p w:rsidR="001D0FDA" w:rsidRPr="00411013" w:rsidRDefault="001D0FDA" w:rsidP="00B5196D">
                  <w:pPr>
                    <w:pStyle w:val="Tabletext"/>
                    <w:framePr w:hSpace="180" w:wrap="around" w:vAnchor="text" w:hAnchor="text" w:y="1"/>
                    <w:spacing w:before="0"/>
                    <w:jc w:val="center"/>
                    <w:rPr>
                      <w:rFonts w:cs="Tahoma"/>
                      <w:szCs w:val="18"/>
                    </w:rPr>
                  </w:pPr>
                  <w:r w:rsidRPr="003E6A2B">
                    <w:rPr>
                      <w:rFonts w:cs="Tahoma"/>
                      <w:szCs w:val="18"/>
                    </w:rPr>
                    <w:t xml:space="preserve">48±14 </w:t>
                  </w:r>
                </w:p>
              </w:tc>
              <w:tc>
                <w:tcPr>
                  <w:tcW w:w="1134" w:type="dxa"/>
                </w:tcPr>
                <w:p w:rsidR="001D0FDA" w:rsidRPr="00411013" w:rsidRDefault="001D0FDA" w:rsidP="00B5196D">
                  <w:pPr>
                    <w:pStyle w:val="Tabletext"/>
                    <w:framePr w:hSpace="180" w:wrap="around" w:vAnchor="text" w:hAnchor="text" w:y="1"/>
                    <w:spacing w:before="0"/>
                    <w:jc w:val="center"/>
                    <w:rPr>
                      <w:rFonts w:cs="Tahoma"/>
                      <w:szCs w:val="18"/>
                    </w:rPr>
                  </w:pPr>
                  <w:r w:rsidRPr="003E6A2B">
                    <w:rPr>
                      <w:rFonts w:cs="Tahoma"/>
                      <w:szCs w:val="18"/>
                    </w:rPr>
                    <w:t>51±3</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PVR, mean±SD (</w:t>
                  </w:r>
                  <w:r>
                    <w:rPr>
                      <w:rFonts w:cs="Tahoma"/>
                      <w:szCs w:val="18"/>
                    </w:rPr>
                    <w:t>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134" w:type="dxa"/>
                </w:tcPr>
                <w:p w:rsidR="001D0FDA" w:rsidRPr="00411013" w:rsidRDefault="001D0FDA" w:rsidP="00B5196D">
                  <w:pPr>
                    <w:pStyle w:val="Tabletext"/>
                    <w:framePr w:hSpace="180" w:wrap="around" w:vAnchor="text" w:hAnchor="text" w:y="1"/>
                    <w:spacing w:before="0"/>
                    <w:jc w:val="center"/>
                    <w:rPr>
                      <w:rFonts w:cs="Tahoma"/>
                      <w:szCs w:val="18"/>
                    </w:rPr>
                  </w:pPr>
                  <w:r w:rsidRPr="003E6A2B">
                    <w:rPr>
                      <w:rFonts w:cs="Tahoma"/>
                      <w:szCs w:val="18"/>
                    </w:rPr>
                    <w:t>931±672</w:t>
                  </w:r>
                </w:p>
              </w:tc>
              <w:tc>
                <w:tcPr>
                  <w:tcW w:w="1134" w:type="dxa"/>
                </w:tcPr>
                <w:p w:rsidR="001D0FDA" w:rsidRPr="00411013" w:rsidRDefault="001D0FDA" w:rsidP="00B5196D">
                  <w:pPr>
                    <w:pStyle w:val="Tabletext"/>
                    <w:framePr w:hSpace="180" w:wrap="around" w:vAnchor="text" w:hAnchor="text" w:y="1"/>
                    <w:spacing w:before="0" w:after="0"/>
                    <w:jc w:val="center"/>
                    <w:rPr>
                      <w:rFonts w:cs="Tahoma"/>
                      <w:szCs w:val="18"/>
                    </w:rPr>
                  </w:pPr>
                  <w:r w:rsidRPr="003E6A2B">
                    <w:rPr>
                      <w:rFonts w:cs="Tahoma"/>
                      <w:szCs w:val="18"/>
                    </w:rPr>
                    <w:t>971±579</w:t>
                  </w:r>
                </w:p>
              </w:tc>
            </w:tr>
          </w:tbl>
          <w:p w:rsidR="001D0FDA" w:rsidRDefault="001D0FDA" w:rsidP="001D0FDA">
            <w:pPr>
              <w:pStyle w:val="Tabletext"/>
              <w:rPr>
                <w:rFonts w:cs="Tahoma"/>
                <w:szCs w:val="18"/>
              </w:rPr>
            </w:pPr>
            <w:r w:rsidRPr="003E6A2B">
              <w:rPr>
                <w:rFonts w:cs="Tahoma"/>
                <w:szCs w:val="18"/>
              </w:rPr>
              <w:t>Data on the patient characteristics for the WHO FC I-II subgroup and WHO FC III-IV subgroup between the two treatment groups were not available. Randomisation was not stratified according to WHO FC.</w:t>
            </w:r>
          </w:p>
        </w:tc>
        <w:tc>
          <w:tcPr>
            <w:tcW w:w="811" w:type="pct"/>
          </w:tcPr>
          <w:p w:rsidR="001D0FDA" w:rsidRDefault="001D0FDA" w:rsidP="001D0FDA">
            <w:pPr>
              <w:pStyle w:val="Tabletext"/>
              <w:rPr>
                <w:rFonts w:cs="Tahoma"/>
                <w:i/>
                <w:szCs w:val="18"/>
              </w:rPr>
            </w:pPr>
            <w:r>
              <w:rPr>
                <w:rFonts w:cs="Tahoma"/>
                <w:i/>
                <w:szCs w:val="18"/>
              </w:rPr>
              <w:t>Intervention:</w:t>
            </w:r>
          </w:p>
          <w:p w:rsidR="001D0FDA" w:rsidRPr="00D81DEE" w:rsidRDefault="001D0FDA" w:rsidP="001D0FDA">
            <w:pPr>
              <w:pStyle w:val="Tabletext"/>
              <w:rPr>
                <w:rFonts w:cs="Tahoma"/>
                <w:szCs w:val="18"/>
              </w:rPr>
            </w:pPr>
            <w:r w:rsidRPr="00D81DEE">
              <w:rPr>
                <w:rFonts w:cs="Tahoma"/>
                <w:szCs w:val="18"/>
              </w:rPr>
              <w:t>Ambrisentan</w:t>
            </w:r>
            <w:r>
              <w:rPr>
                <w:rFonts w:cs="Tahoma"/>
                <w:szCs w:val="18"/>
              </w:rPr>
              <w:t>:</w:t>
            </w:r>
            <w:r w:rsidRPr="00D81DEE">
              <w:rPr>
                <w:rFonts w:cs="Tahoma"/>
                <w:szCs w:val="18"/>
              </w:rPr>
              <w:t xml:space="preserve"> 5mg od</w:t>
            </w:r>
          </w:p>
          <w:p w:rsidR="001D0FDA" w:rsidRDefault="001D0FDA" w:rsidP="001D0FDA">
            <w:pPr>
              <w:pStyle w:val="Tabletext"/>
              <w:rPr>
                <w:rFonts w:cs="Tahoma"/>
                <w:szCs w:val="18"/>
              </w:rPr>
            </w:pPr>
          </w:p>
          <w:p w:rsidR="001D0FDA" w:rsidRPr="002B19BD" w:rsidRDefault="001D0FDA" w:rsidP="001D0FDA">
            <w:pPr>
              <w:pStyle w:val="Tabletext"/>
              <w:rPr>
                <w:rFonts w:cs="Tahoma"/>
                <w:i/>
                <w:szCs w:val="18"/>
              </w:rPr>
            </w:pPr>
            <w:r>
              <w:rPr>
                <w:rFonts w:cs="Tahoma"/>
                <w:i/>
                <w:szCs w:val="18"/>
              </w:rPr>
              <w:t>Intervention</w:t>
            </w:r>
          </w:p>
          <w:p w:rsidR="001D0FDA" w:rsidRPr="00D81DEE" w:rsidRDefault="001D0FDA" w:rsidP="001D0FDA">
            <w:pPr>
              <w:pStyle w:val="Tabletext"/>
              <w:rPr>
                <w:rFonts w:cs="Tahoma"/>
                <w:szCs w:val="18"/>
              </w:rPr>
            </w:pPr>
            <w:r w:rsidRPr="00D81DEE">
              <w:rPr>
                <w:rFonts w:cs="Tahoma"/>
                <w:szCs w:val="18"/>
              </w:rPr>
              <w:t>Placebo od</w:t>
            </w:r>
          </w:p>
        </w:tc>
        <w:tc>
          <w:tcPr>
            <w:tcW w:w="771" w:type="pct"/>
          </w:tcPr>
          <w:p w:rsidR="001D0FDA" w:rsidRPr="002B19BD" w:rsidRDefault="001D0FDA" w:rsidP="001D0FDA">
            <w:pPr>
              <w:pStyle w:val="Tabletext"/>
              <w:rPr>
                <w:rFonts w:cs="Tahoma"/>
                <w:i/>
                <w:szCs w:val="18"/>
              </w:rPr>
            </w:pPr>
            <w:r w:rsidRPr="002B19BD">
              <w:rPr>
                <w:rFonts w:cs="Tahoma"/>
                <w:i/>
                <w:szCs w:val="18"/>
              </w:rPr>
              <w:t>Effectiveness:</w:t>
            </w:r>
          </w:p>
          <w:p w:rsidR="001D0FDA" w:rsidRPr="002B19BD" w:rsidRDefault="001D0FDA" w:rsidP="001D0FDA">
            <w:pPr>
              <w:pStyle w:val="Tabletext"/>
              <w:rPr>
                <w:rFonts w:cs="Tahoma"/>
                <w:szCs w:val="18"/>
              </w:rPr>
            </w:pPr>
            <w:r w:rsidRPr="002B19BD">
              <w:rPr>
                <w:rFonts w:cs="Tahoma"/>
                <w:szCs w:val="18"/>
              </w:rPr>
              <w:t>Primary:</w:t>
            </w:r>
          </w:p>
          <w:p w:rsidR="001D0FDA" w:rsidRPr="002B19BD" w:rsidRDefault="001D0FDA" w:rsidP="00480FDF">
            <w:pPr>
              <w:pStyle w:val="Tabletext"/>
              <w:numPr>
                <w:ilvl w:val="0"/>
                <w:numId w:val="54"/>
              </w:numPr>
              <w:ind w:left="239" w:hanging="144"/>
              <w:rPr>
                <w:rFonts w:cs="Tahoma"/>
                <w:szCs w:val="18"/>
              </w:rPr>
            </w:pPr>
            <w:r w:rsidRPr="002B19BD">
              <w:rPr>
                <w:rFonts w:cs="Tahoma"/>
                <w:szCs w:val="18"/>
              </w:rPr>
              <w:t>Change in 6MWD at Week 12</w:t>
            </w:r>
            <w:r w:rsidRPr="002B19BD">
              <w:rPr>
                <w:rFonts w:cs="Tahoma"/>
                <w:szCs w:val="18"/>
                <w:vertAlign w:val="superscript"/>
              </w:rPr>
              <w:t>c</w:t>
            </w:r>
          </w:p>
          <w:p w:rsidR="001D0FDA" w:rsidRPr="002B19BD" w:rsidRDefault="001D0FDA" w:rsidP="001D0FDA">
            <w:pPr>
              <w:pStyle w:val="Tabletext"/>
              <w:rPr>
                <w:rFonts w:cs="Tahoma"/>
                <w:szCs w:val="18"/>
              </w:rPr>
            </w:pPr>
            <w:r w:rsidRPr="002B19BD">
              <w:rPr>
                <w:rFonts w:cs="Tahoma"/>
                <w:szCs w:val="18"/>
              </w:rPr>
              <w:t>Secondary:</w:t>
            </w:r>
          </w:p>
          <w:p w:rsidR="001D0FDA" w:rsidRPr="002B19BD" w:rsidRDefault="001D0FDA" w:rsidP="00480FDF">
            <w:pPr>
              <w:pStyle w:val="Tabletext"/>
              <w:numPr>
                <w:ilvl w:val="0"/>
                <w:numId w:val="54"/>
              </w:numPr>
              <w:ind w:left="239" w:hanging="144"/>
              <w:rPr>
                <w:rFonts w:cs="Tahoma"/>
                <w:szCs w:val="18"/>
              </w:rPr>
            </w:pPr>
            <w:r w:rsidRPr="002B19BD">
              <w:rPr>
                <w:rFonts w:cs="Tahoma"/>
                <w:szCs w:val="18"/>
              </w:rPr>
              <w:t>Time to clinical worsening</w:t>
            </w:r>
            <w:r w:rsidRPr="002B19BD">
              <w:rPr>
                <w:rFonts w:cs="Tahoma"/>
                <w:szCs w:val="18"/>
                <w:vertAlign w:val="superscript"/>
              </w:rPr>
              <w:t>c</w:t>
            </w:r>
          </w:p>
          <w:p w:rsidR="001D0FDA" w:rsidRPr="002B19BD" w:rsidRDefault="001D0FDA" w:rsidP="00480FDF">
            <w:pPr>
              <w:pStyle w:val="Tabletext"/>
              <w:numPr>
                <w:ilvl w:val="0"/>
                <w:numId w:val="54"/>
              </w:numPr>
              <w:ind w:left="239" w:hanging="144"/>
              <w:rPr>
                <w:rFonts w:cs="Tahoma"/>
                <w:szCs w:val="18"/>
              </w:rPr>
            </w:pPr>
            <w:r w:rsidRPr="002B19BD">
              <w:rPr>
                <w:rFonts w:cs="Tahoma"/>
                <w:szCs w:val="18"/>
              </w:rPr>
              <w:t>Change in WHO FC at Week 12</w:t>
            </w:r>
            <w:r w:rsidRPr="002B19BD">
              <w:rPr>
                <w:rFonts w:cs="Tahoma"/>
                <w:szCs w:val="18"/>
                <w:vertAlign w:val="superscript"/>
              </w:rPr>
              <w:t>c</w:t>
            </w:r>
          </w:p>
          <w:p w:rsidR="001D0FDA" w:rsidRPr="002B19BD" w:rsidRDefault="001D0FDA" w:rsidP="00480FDF">
            <w:pPr>
              <w:pStyle w:val="Tabletext"/>
              <w:numPr>
                <w:ilvl w:val="0"/>
                <w:numId w:val="54"/>
              </w:numPr>
              <w:ind w:left="239" w:hanging="144"/>
              <w:rPr>
                <w:rFonts w:cs="Tahoma"/>
                <w:szCs w:val="18"/>
              </w:rPr>
            </w:pPr>
            <w:r w:rsidRPr="002B19BD">
              <w:rPr>
                <w:rFonts w:cs="Tahoma"/>
                <w:szCs w:val="18"/>
              </w:rPr>
              <w:t>Change in SF-36 Health Survey physical functioning scales at Week 12</w:t>
            </w:r>
          </w:p>
          <w:p w:rsidR="001D0FDA" w:rsidRDefault="001D0FDA" w:rsidP="00480FDF">
            <w:pPr>
              <w:pStyle w:val="Tabletext"/>
              <w:numPr>
                <w:ilvl w:val="0"/>
                <w:numId w:val="54"/>
              </w:numPr>
              <w:ind w:left="239" w:hanging="144"/>
              <w:rPr>
                <w:rFonts w:cs="Tahoma"/>
                <w:szCs w:val="18"/>
              </w:rPr>
            </w:pPr>
            <w:r w:rsidRPr="002B19BD">
              <w:rPr>
                <w:rFonts w:cs="Tahoma"/>
                <w:szCs w:val="18"/>
              </w:rPr>
              <w:t xml:space="preserve">Change in </w:t>
            </w:r>
            <w:r>
              <w:rPr>
                <w:rFonts w:cs="Tahoma"/>
                <w:szCs w:val="18"/>
              </w:rPr>
              <w:t>BDS</w:t>
            </w:r>
            <w:r w:rsidRPr="002B19BD">
              <w:rPr>
                <w:rFonts w:cs="Tahoma"/>
                <w:szCs w:val="18"/>
              </w:rPr>
              <w:t xml:space="preserve"> at Week 12</w:t>
            </w:r>
          </w:p>
          <w:p w:rsidR="001D0FDA" w:rsidRDefault="001D0FDA" w:rsidP="001D0FDA">
            <w:pPr>
              <w:pStyle w:val="Tabletext"/>
              <w:ind w:left="95"/>
              <w:rPr>
                <w:rFonts w:cs="Tahoma"/>
                <w:szCs w:val="18"/>
              </w:rPr>
            </w:pPr>
          </w:p>
          <w:p w:rsidR="001D0FDA" w:rsidRPr="002B19BD" w:rsidRDefault="001D0FDA" w:rsidP="001D0FDA">
            <w:pPr>
              <w:pStyle w:val="Tabletext"/>
              <w:rPr>
                <w:rFonts w:cs="Tahoma"/>
                <w:szCs w:val="18"/>
              </w:rPr>
            </w:pPr>
            <w:r w:rsidRPr="002B19BD">
              <w:rPr>
                <w:rFonts w:cs="Tahoma"/>
                <w:i/>
                <w:szCs w:val="18"/>
              </w:rPr>
              <w:t>Safety</w:t>
            </w:r>
          </w:p>
          <w:p w:rsidR="001D0FDA" w:rsidRPr="005331C3" w:rsidRDefault="001D0FDA" w:rsidP="00480FDF">
            <w:pPr>
              <w:pStyle w:val="Tabletext"/>
              <w:numPr>
                <w:ilvl w:val="0"/>
                <w:numId w:val="54"/>
              </w:numPr>
              <w:ind w:left="239" w:hanging="144"/>
              <w:rPr>
                <w:rFonts w:cs="Tahoma"/>
                <w:i/>
                <w:szCs w:val="18"/>
              </w:rPr>
            </w:pPr>
            <w:r w:rsidRPr="002B19BD">
              <w:rPr>
                <w:rFonts w:cs="Tahoma"/>
                <w:szCs w:val="18"/>
              </w:rPr>
              <w:t>Adverse events</w:t>
            </w:r>
          </w:p>
        </w:tc>
      </w:tr>
      <w:tr w:rsidR="001D0FDA" w:rsidRPr="00204000" w:rsidTr="001D0FDA">
        <w:tc>
          <w:tcPr>
            <w:tcW w:w="531"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lastRenderedPageBreak/>
              <w:t>BREATHE-2</w:t>
            </w:r>
            <w:r w:rsidR="001D34EE" w:rsidRPr="001A1C44">
              <w:rPr>
                <w:rFonts w:cs="Tahoma"/>
                <w:noProof/>
                <w:vertAlign w:val="superscript"/>
              </w:rPr>
              <w:t>35</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No later than 2004</w:t>
            </w:r>
            <w:r>
              <w:rPr>
                <w:rFonts w:eastAsia="Times New Roman"/>
                <w:snapToGrid w:val="0"/>
                <w:vertAlign w:val="superscript"/>
                <w:lang w:eastAsia="en-US"/>
              </w:rPr>
              <w:t>d</w:t>
            </w:r>
          </w:p>
          <w:p w:rsidR="001D0FDA" w:rsidRDefault="001D0FDA" w:rsidP="001D0FDA">
            <w:pPr>
              <w:pStyle w:val="Tabletext"/>
              <w:rPr>
                <w:rFonts w:cs="Tahoma"/>
                <w:szCs w:val="18"/>
              </w:rPr>
            </w:pPr>
            <w:r w:rsidRPr="00D53F84">
              <w:rPr>
                <w:rFonts w:eastAsia="Times New Roman"/>
                <w:snapToGrid w:val="0"/>
                <w:lang w:eastAsia="en-US"/>
              </w:rPr>
              <w:t>US, Europe</w:t>
            </w:r>
          </w:p>
        </w:tc>
        <w:tc>
          <w:tcPr>
            <w:tcW w:w="476" w:type="pct"/>
          </w:tcPr>
          <w:p w:rsidR="001D0FDA" w:rsidRDefault="001D0FDA" w:rsidP="001D0FDA">
            <w:pPr>
              <w:pStyle w:val="Tabletext"/>
              <w:ind w:right="-28"/>
              <w:rPr>
                <w:rFonts w:eastAsia="Times New Roman"/>
                <w:snapToGrid w:val="0"/>
                <w:lang w:eastAsia="en-US"/>
              </w:rPr>
            </w:pPr>
            <w:r w:rsidRPr="00D53F84">
              <w:rPr>
                <w:rFonts w:eastAsia="Times New Roman"/>
                <w:snapToGrid w:val="0"/>
                <w:lang w:eastAsia="en-US"/>
              </w:rPr>
              <w:t>RCT, DB</w:t>
            </w:r>
          </w:p>
          <w:p w:rsidR="001D0FDA" w:rsidRPr="00D53F84" w:rsidRDefault="001D0FDA" w:rsidP="001D0FDA">
            <w:pPr>
              <w:pStyle w:val="Tabletext"/>
              <w:ind w:right="-28"/>
              <w:rPr>
                <w:rFonts w:eastAsia="Times New Roman"/>
                <w:snapToGrid w:val="0"/>
                <w:lang w:eastAsia="en-US"/>
              </w:rPr>
            </w:pPr>
            <w:r>
              <w:rPr>
                <w:rFonts w:eastAsia="Times New Roman"/>
                <w:snapToGrid w:val="0"/>
                <w:lang w:eastAsia="en-US"/>
              </w:rPr>
              <w:t>Level II evidence</w:t>
            </w:r>
          </w:p>
          <w:p w:rsidR="001D0FDA" w:rsidRPr="00D53F84" w:rsidRDefault="001D0FDA" w:rsidP="001D0FDA">
            <w:pPr>
              <w:pStyle w:val="Tabletext"/>
              <w:ind w:right="-28"/>
              <w:rPr>
                <w:rFonts w:eastAsia="Times New Roman"/>
                <w:snapToGrid w:val="0"/>
                <w:lang w:eastAsia="en-US"/>
              </w:rPr>
            </w:pPr>
            <w:r>
              <w:rPr>
                <w:rFonts w:eastAsia="Times New Roman"/>
                <w:snapToGrid w:val="0"/>
                <w:lang w:eastAsia="en-US"/>
              </w:rPr>
              <w:t xml:space="preserve">Follow-up: </w:t>
            </w:r>
            <w:r w:rsidRPr="00D53F84">
              <w:rPr>
                <w:rFonts w:eastAsia="Times New Roman"/>
                <w:snapToGrid w:val="0"/>
                <w:lang w:eastAsia="en-US"/>
              </w:rPr>
              <w:t>16 weeks</w:t>
            </w:r>
          </w:p>
          <w:p w:rsidR="001D0FDA" w:rsidRPr="00351FF5" w:rsidRDefault="001D0FDA" w:rsidP="001D0FDA">
            <w:pPr>
              <w:pStyle w:val="Tabletext"/>
              <w:rPr>
                <w:rFonts w:cs="Tahoma"/>
                <w:szCs w:val="18"/>
              </w:rPr>
            </w:pPr>
            <w:r>
              <w:rPr>
                <w:rFonts w:eastAsia="Times New Roman"/>
                <w:snapToGrid w:val="0"/>
                <w:lang w:eastAsia="en-US"/>
              </w:rPr>
              <w:t>Risk of bias: l</w:t>
            </w:r>
            <w:r w:rsidRPr="00D53F84">
              <w:rPr>
                <w:rFonts w:eastAsia="Times New Roman"/>
                <w:snapToGrid w:val="0"/>
                <w:lang w:eastAsia="en-US"/>
              </w:rPr>
              <w:t>ow-to-moderate</w:t>
            </w:r>
          </w:p>
        </w:tc>
        <w:tc>
          <w:tcPr>
            <w:tcW w:w="772" w:type="pct"/>
          </w:tcPr>
          <w:p w:rsidR="001D0FDA" w:rsidRPr="0049122E" w:rsidRDefault="001D0FDA" w:rsidP="001D0FDA">
            <w:pPr>
              <w:pStyle w:val="Tabletext"/>
              <w:rPr>
                <w:rFonts w:cs="Tahoma"/>
                <w:i/>
                <w:szCs w:val="18"/>
              </w:rPr>
            </w:pPr>
            <w:r w:rsidRPr="0049122E">
              <w:rPr>
                <w:rFonts w:cs="Tahoma"/>
                <w:i/>
                <w:szCs w:val="18"/>
              </w:rPr>
              <w:t>Inclusion criteria</w:t>
            </w:r>
          </w:p>
          <w:p w:rsidR="001D0FDA" w:rsidRPr="0049122E" w:rsidRDefault="001D0FDA" w:rsidP="00480FDF">
            <w:pPr>
              <w:pStyle w:val="Tabletext"/>
              <w:numPr>
                <w:ilvl w:val="0"/>
                <w:numId w:val="54"/>
              </w:numPr>
              <w:ind w:left="239" w:hanging="144"/>
              <w:rPr>
                <w:rFonts w:cs="Tahoma"/>
                <w:szCs w:val="18"/>
              </w:rPr>
            </w:pPr>
            <w:r w:rsidRPr="0049122E">
              <w:rPr>
                <w:rFonts w:cs="Tahoma"/>
                <w:szCs w:val="18"/>
              </w:rPr>
              <w:t>Patients with WHO FC III/IV IPAH or PAH-CTD</w:t>
            </w:r>
          </w:p>
          <w:p w:rsidR="001D0FDA" w:rsidRPr="0049122E" w:rsidRDefault="001D0FDA" w:rsidP="00480FDF">
            <w:pPr>
              <w:pStyle w:val="Tabletext"/>
              <w:numPr>
                <w:ilvl w:val="0"/>
                <w:numId w:val="54"/>
              </w:numPr>
              <w:ind w:left="239" w:hanging="144"/>
              <w:rPr>
                <w:rFonts w:cs="Tahoma"/>
                <w:szCs w:val="18"/>
              </w:rPr>
            </w:pPr>
            <w:r w:rsidRPr="0049122E">
              <w:rPr>
                <w:rFonts w:cs="Tahoma"/>
                <w:szCs w:val="18"/>
              </w:rPr>
              <w:t>Scheduled for epoprostenol therapy within 2 weeks of screening.</w:t>
            </w:r>
          </w:p>
          <w:p w:rsidR="001D0FDA" w:rsidRPr="0049122E" w:rsidRDefault="001D0FDA" w:rsidP="001D0FDA">
            <w:pPr>
              <w:pStyle w:val="Tabletext"/>
              <w:rPr>
                <w:rFonts w:cs="Tahoma"/>
                <w:i/>
                <w:szCs w:val="18"/>
              </w:rPr>
            </w:pPr>
          </w:p>
          <w:p w:rsidR="001D0FDA" w:rsidRPr="0049122E" w:rsidRDefault="001D0FDA" w:rsidP="001D0FDA">
            <w:pPr>
              <w:pStyle w:val="Tabletext"/>
              <w:rPr>
                <w:rFonts w:cs="Tahoma"/>
                <w:i/>
                <w:szCs w:val="18"/>
              </w:rPr>
            </w:pPr>
            <w:r w:rsidRPr="0049122E">
              <w:rPr>
                <w:rFonts w:cs="Tahoma"/>
                <w:i/>
                <w:szCs w:val="18"/>
              </w:rPr>
              <w:t>Exclusion criteria</w:t>
            </w:r>
          </w:p>
          <w:p w:rsidR="001D0FDA" w:rsidRPr="0049122E" w:rsidRDefault="001D0FDA" w:rsidP="00480FDF">
            <w:pPr>
              <w:pStyle w:val="Tabletext"/>
              <w:numPr>
                <w:ilvl w:val="0"/>
                <w:numId w:val="54"/>
              </w:numPr>
              <w:ind w:left="239" w:hanging="144"/>
              <w:rPr>
                <w:rFonts w:cs="Tahoma"/>
                <w:szCs w:val="18"/>
              </w:rPr>
            </w:pPr>
            <w:r w:rsidRPr="0049122E">
              <w:rPr>
                <w:rFonts w:cs="Tahoma"/>
                <w:szCs w:val="18"/>
              </w:rPr>
              <w:t xml:space="preserve">Patients with moderate to severe interstitial lung disease </w:t>
            </w:r>
          </w:p>
          <w:p w:rsidR="001D0FDA" w:rsidRPr="00351FF5" w:rsidRDefault="001D0FDA" w:rsidP="00480FDF">
            <w:pPr>
              <w:pStyle w:val="Tabletext"/>
              <w:numPr>
                <w:ilvl w:val="0"/>
                <w:numId w:val="54"/>
              </w:numPr>
              <w:ind w:left="239" w:hanging="144"/>
              <w:rPr>
                <w:rFonts w:cs="Tahoma"/>
                <w:i/>
                <w:szCs w:val="18"/>
              </w:rPr>
            </w:pPr>
            <w:r w:rsidRPr="0049122E">
              <w:rPr>
                <w:rFonts w:cs="Tahoma"/>
                <w:szCs w:val="18"/>
              </w:rPr>
              <w:t>Patients had started or stopped any PAH treatment within 1 month of screening</w:t>
            </w:r>
          </w:p>
        </w:tc>
        <w:tc>
          <w:tcPr>
            <w:tcW w:w="0" w:type="auto"/>
          </w:tcPr>
          <w:p w:rsidR="001D0FDA" w:rsidRDefault="001D0FDA" w:rsidP="001D0FDA">
            <w:pPr>
              <w:pStyle w:val="Tabletext"/>
              <w:rPr>
                <w:rFonts w:cs="Tahoma"/>
                <w:szCs w:val="18"/>
              </w:rPr>
            </w:pPr>
            <w:r>
              <w:rPr>
                <w:rFonts w:cs="Tahoma"/>
                <w:szCs w:val="18"/>
              </w:rPr>
              <w:t>N=33</w:t>
            </w:r>
          </w:p>
          <w:tbl>
            <w:tblPr>
              <w:tblStyle w:val="TableGrid"/>
              <w:tblW w:w="437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BREATHE-2"/>
            </w:tblPr>
            <w:tblGrid>
              <w:gridCol w:w="1677"/>
              <w:gridCol w:w="1276"/>
              <w:gridCol w:w="1418"/>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1677" w:type="dxa"/>
                  <w:shd w:val="clear" w:color="auto" w:fill="FFFFFF" w:themeFill="background1"/>
                </w:tcPr>
                <w:p w:rsidR="001D0FDA" w:rsidRPr="00351FF5" w:rsidRDefault="001D0FDA" w:rsidP="00B5196D">
                  <w:pPr>
                    <w:pStyle w:val="Tabletext"/>
                    <w:framePr w:hSpace="180" w:wrap="around" w:vAnchor="text" w:hAnchor="text" w:y="1"/>
                    <w:spacing w:before="0" w:after="0"/>
                    <w:rPr>
                      <w:rFonts w:cs="Tahoma"/>
                      <w:b/>
                      <w:szCs w:val="18"/>
                    </w:rPr>
                  </w:pPr>
                </w:p>
              </w:tc>
              <w:tc>
                <w:tcPr>
                  <w:tcW w:w="1276" w:type="dxa"/>
                  <w:shd w:val="clear" w:color="auto" w:fill="FFFFFF" w:themeFill="background1"/>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Bosentan</w:t>
                  </w:r>
                </w:p>
                <w:p w:rsidR="001D0FDA" w:rsidRPr="00802B85" w:rsidRDefault="001D0FDA" w:rsidP="00B5196D">
                  <w:pPr>
                    <w:pStyle w:val="Tabletext"/>
                    <w:framePr w:hSpace="180" w:wrap="around" w:vAnchor="text" w:hAnchor="text" w:y="1"/>
                    <w:spacing w:before="0"/>
                    <w:jc w:val="center"/>
                    <w:rPr>
                      <w:rFonts w:cs="Tahoma"/>
                      <w:szCs w:val="18"/>
                    </w:rPr>
                  </w:pPr>
                  <w:r>
                    <w:rPr>
                      <w:rFonts w:cs="Tahoma"/>
                      <w:szCs w:val="18"/>
                    </w:rPr>
                    <w:t>(N=22)</w:t>
                  </w:r>
                </w:p>
              </w:tc>
              <w:tc>
                <w:tcPr>
                  <w:tcW w:w="1418"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Pr>
                      <w:rFonts w:cs="Tahoma"/>
                      <w:szCs w:val="18"/>
                    </w:rPr>
                    <w:t>Placebo</w:t>
                  </w:r>
                  <w:r>
                    <w:rPr>
                      <w:rFonts w:cs="Tahoma"/>
                      <w:szCs w:val="18"/>
                    </w:rPr>
                    <w:br/>
                    <w:t>(N=11)</w:t>
                  </w:r>
                </w:p>
              </w:tc>
            </w:tr>
            <w:tr w:rsidR="001D0FDA" w:rsidRPr="00351FF5" w:rsidTr="001D0FDA">
              <w:tc>
                <w:tcPr>
                  <w:tcW w:w="1677"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 xml:space="preserve">Age, mean±SD (yrs) </w:t>
                  </w:r>
                </w:p>
              </w:tc>
              <w:tc>
                <w:tcPr>
                  <w:tcW w:w="1276" w:type="dxa"/>
                  <w:vAlign w:val="center"/>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45±17</w:t>
                  </w:r>
                </w:p>
              </w:tc>
              <w:tc>
                <w:tcPr>
                  <w:tcW w:w="1418" w:type="dxa"/>
                  <w:vAlign w:val="center"/>
                </w:tcPr>
                <w:p w:rsidR="001D0FDA" w:rsidRPr="00411013" w:rsidRDefault="001D0FDA" w:rsidP="00B5196D">
                  <w:pPr>
                    <w:pStyle w:val="Tabletext"/>
                    <w:framePr w:hSpace="180" w:wrap="around" w:vAnchor="text" w:hAnchor="text" w:y="1"/>
                    <w:spacing w:before="0" w:after="0"/>
                    <w:jc w:val="center"/>
                    <w:rPr>
                      <w:rFonts w:cs="Tahoma"/>
                      <w:szCs w:val="18"/>
                    </w:rPr>
                  </w:pPr>
                  <w:r w:rsidRPr="0049122E">
                    <w:rPr>
                      <w:rFonts w:cs="Tahoma"/>
                      <w:szCs w:val="18"/>
                    </w:rPr>
                    <w:t>47±19</w:t>
                  </w:r>
                </w:p>
              </w:tc>
            </w:tr>
            <w:tr w:rsidR="001D0FDA" w:rsidRPr="00351FF5" w:rsidTr="001D0FDA">
              <w:tc>
                <w:tcPr>
                  <w:tcW w:w="1677"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Gender, femal</w:t>
                  </w:r>
                  <w:r>
                    <w:rPr>
                      <w:rFonts w:cs="Tahoma"/>
                      <w:szCs w:val="18"/>
                    </w:rPr>
                    <w:t>e</w:t>
                  </w:r>
                  <w:r w:rsidRPr="00351FF5">
                    <w:rPr>
                      <w:rFonts w:cs="Tahoma"/>
                      <w:szCs w:val="18"/>
                    </w:rPr>
                    <w:t>, n (%)</w:t>
                  </w:r>
                </w:p>
              </w:tc>
              <w:tc>
                <w:tcPr>
                  <w:tcW w:w="1276" w:type="dxa"/>
                  <w:tcBorders>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r>
                    <w:rPr>
                      <w:rFonts w:cs="Tahoma"/>
                      <w:szCs w:val="18"/>
                    </w:rPr>
                    <w:t>17 (77%)</w:t>
                  </w:r>
                </w:p>
              </w:tc>
              <w:tc>
                <w:tcPr>
                  <w:tcW w:w="1418" w:type="dxa"/>
                  <w:tcBorders>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r>
                    <w:rPr>
                      <w:rFonts w:cs="Tahoma"/>
                      <w:szCs w:val="18"/>
                    </w:rPr>
                    <w:t>6 (55%)</w:t>
                  </w:r>
                </w:p>
              </w:tc>
            </w:tr>
            <w:tr w:rsidR="001D0FDA" w:rsidRPr="00351FF5" w:rsidTr="001D0FDA">
              <w:tc>
                <w:tcPr>
                  <w:tcW w:w="1677"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PAH aetiology, n (%)</w:t>
                  </w:r>
                </w:p>
              </w:tc>
              <w:tc>
                <w:tcPr>
                  <w:tcW w:w="1276"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c>
                <w:tcPr>
                  <w:tcW w:w="1418"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1677"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IPAH</w:t>
                  </w:r>
                </w:p>
              </w:tc>
              <w:tc>
                <w:tcPr>
                  <w:tcW w:w="1276"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17 (77</w:t>
                  </w:r>
                  <w:r w:rsidRPr="0049122E">
                    <w:rPr>
                      <w:rFonts w:cs="Tahoma"/>
                      <w:szCs w:val="18"/>
                    </w:rPr>
                    <w:t>%)</w:t>
                  </w:r>
                </w:p>
              </w:tc>
              <w:tc>
                <w:tcPr>
                  <w:tcW w:w="1418"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10 (91</w:t>
                  </w:r>
                  <w:r w:rsidRPr="0049122E">
                    <w:rPr>
                      <w:rFonts w:cs="Tahoma"/>
                      <w:szCs w:val="18"/>
                    </w:rPr>
                    <w:t>%)</w:t>
                  </w:r>
                </w:p>
              </w:tc>
            </w:tr>
            <w:tr w:rsidR="001D0FDA" w:rsidRPr="00351FF5" w:rsidTr="001D0FDA">
              <w:tc>
                <w:tcPr>
                  <w:tcW w:w="1677"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PAH-CTD</w:t>
                  </w:r>
                </w:p>
              </w:tc>
              <w:tc>
                <w:tcPr>
                  <w:tcW w:w="1276"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5 (23</w:t>
                  </w:r>
                  <w:r w:rsidRPr="0049122E">
                    <w:rPr>
                      <w:rFonts w:cs="Tahoma"/>
                      <w:szCs w:val="18"/>
                    </w:rPr>
                    <w:t>%)</w:t>
                  </w:r>
                </w:p>
              </w:tc>
              <w:tc>
                <w:tcPr>
                  <w:tcW w:w="1418"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1 (9</w:t>
                  </w:r>
                  <w:r w:rsidRPr="0049122E">
                    <w:rPr>
                      <w:rFonts w:cs="Tahoma"/>
                      <w:szCs w:val="18"/>
                    </w:rPr>
                    <w:t>%)</w:t>
                  </w:r>
                </w:p>
              </w:tc>
            </w:tr>
            <w:tr w:rsidR="001D0FDA" w:rsidRPr="00351FF5" w:rsidTr="001D0FDA">
              <w:tc>
                <w:tcPr>
                  <w:tcW w:w="1677"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WHO FC</w:t>
                  </w:r>
                  <w:r>
                    <w:rPr>
                      <w:rFonts w:cs="Tahoma"/>
                      <w:szCs w:val="18"/>
                    </w:rPr>
                    <w:t>, n (%)</w:t>
                  </w:r>
                </w:p>
              </w:tc>
              <w:tc>
                <w:tcPr>
                  <w:tcW w:w="1276"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c>
                <w:tcPr>
                  <w:tcW w:w="1418"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1677" w:type="dxa"/>
                  <w:tcBorders>
                    <w:top w:val="nil"/>
                    <w:bottom w:val="nil"/>
                  </w:tcBorders>
                </w:tcPr>
                <w:p w:rsidR="001D0FDA" w:rsidRDefault="001D0FDA" w:rsidP="00B5196D">
                  <w:pPr>
                    <w:pStyle w:val="Tabletext"/>
                    <w:framePr w:hSpace="180" w:wrap="around" w:vAnchor="text" w:hAnchor="text" w:y="1"/>
                    <w:spacing w:before="0" w:after="0"/>
                    <w:ind w:left="196"/>
                    <w:rPr>
                      <w:rFonts w:cs="Tahoma"/>
                      <w:szCs w:val="18"/>
                    </w:rPr>
                  </w:pPr>
                  <w:r>
                    <w:rPr>
                      <w:rFonts w:cs="Tahoma"/>
                      <w:szCs w:val="18"/>
                    </w:rPr>
                    <w:t>III</w:t>
                  </w:r>
                </w:p>
              </w:tc>
              <w:tc>
                <w:tcPr>
                  <w:tcW w:w="1276" w:type="dxa"/>
                  <w:tcBorders>
                    <w:top w:val="nil"/>
                    <w:bottom w:val="nil"/>
                  </w:tcBorders>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17 (77%)</w:t>
                  </w:r>
                </w:p>
              </w:tc>
              <w:tc>
                <w:tcPr>
                  <w:tcW w:w="1418" w:type="dxa"/>
                  <w:tcBorders>
                    <w:top w:val="nil"/>
                    <w:bottom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49122E">
                    <w:rPr>
                      <w:rFonts w:cs="Tahoma"/>
                      <w:szCs w:val="18"/>
                    </w:rPr>
                    <w:t>8 (7</w:t>
                  </w:r>
                  <w:r>
                    <w:rPr>
                      <w:rFonts w:cs="Tahoma"/>
                      <w:szCs w:val="18"/>
                    </w:rPr>
                    <w:t>3</w:t>
                  </w:r>
                  <w:r w:rsidRPr="0049122E">
                    <w:rPr>
                      <w:rFonts w:cs="Tahoma"/>
                      <w:szCs w:val="18"/>
                    </w:rPr>
                    <w:t>%)</w:t>
                  </w:r>
                </w:p>
              </w:tc>
            </w:tr>
            <w:tr w:rsidR="001D0FDA" w:rsidRPr="00351FF5" w:rsidTr="001D0FDA">
              <w:tc>
                <w:tcPr>
                  <w:tcW w:w="1677" w:type="dxa"/>
                  <w:tcBorders>
                    <w:top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IV</w:t>
                  </w:r>
                </w:p>
              </w:tc>
              <w:tc>
                <w:tcPr>
                  <w:tcW w:w="1276" w:type="dxa"/>
                  <w:tcBorders>
                    <w:top w:val="nil"/>
                  </w:tcBorders>
                </w:tcPr>
                <w:p w:rsidR="001D0FDA" w:rsidRPr="00411013" w:rsidRDefault="001D0FDA" w:rsidP="00B5196D">
                  <w:pPr>
                    <w:pStyle w:val="Tabletext"/>
                    <w:framePr w:hSpace="180" w:wrap="around" w:vAnchor="text" w:hAnchor="text" w:y="1"/>
                    <w:spacing w:before="0" w:after="0"/>
                    <w:jc w:val="center"/>
                    <w:rPr>
                      <w:rFonts w:cs="Tahoma"/>
                      <w:szCs w:val="18"/>
                    </w:rPr>
                  </w:pPr>
                  <w:r w:rsidRPr="0049122E">
                    <w:rPr>
                      <w:rFonts w:cs="Tahoma"/>
                      <w:szCs w:val="18"/>
                    </w:rPr>
                    <w:t>5 (2</w:t>
                  </w:r>
                  <w:r>
                    <w:rPr>
                      <w:rFonts w:cs="Tahoma"/>
                      <w:szCs w:val="18"/>
                    </w:rPr>
                    <w:t>3</w:t>
                  </w:r>
                  <w:r w:rsidRPr="0049122E">
                    <w:rPr>
                      <w:rFonts w:cs="Tahoma"/>
                      <w:szCs w:val="18"/>
                    </w:rPr>
                    <w:t>%)</w:t>
                  </w:r>
                </w:p>
              </w:tc>
              <w:tc>
                <w:tcPr>
                  <w:tcW w:w="1418" w:type="dxa"/>
                  <w:tcBorders>
                    <w:top w:val="nil"/>
                  </w:tcBorders>
                </w:tcPr>
                <w:p w:rsidR="001D0FDA" w:rsidRPr="00411013" w:rsidRDefault="001D0FDA" w:rsidP="00B5196D">
                  <w:pPr>
                    <w:pStyle w:val="Tabletext"/>
                    <w:framePr w:hSpace="180" w:wrap="around" w:vAnchor="text" w:hAnchor="text" w:y="1"/>
                    <w:spacing w:before="0" w:after="0"/>
                    <w:jc w:val="center"/>
                    <w:rPr>
                      <w:rFonts w:cs="Tahoma"/>
                      <w:szCs w:val="18"/>
                    </w:rPr>
                  </w:pPr>
                  <w:r>
                    <w:rPr>
                      <w:rFonts w:cs="Tahoma"/>
                      <w:szCs w:val="18"/>
                    </w:rPr>
                    <w:t>3 (27</w:t>
                  </w:r>
                  <w:r w:rsidRPr="0049122E">
                    <w:rPr>
                      <w:rFonts w:cs="Tahoma"/>
                      <w:szCs w:val="18"/>
                    </w:rPr>
                    <w:t>%)</w:t>
                  </w:r>
                </w:p>
              </w:tc>
            </w:tr>
            <w:tr w:rsidR="001D0FDA" w:rsidRPr="00351FF5" w:rsidTr="001D0FDA">
              <w:tc>
                <w:tcPr>
                  <w:tcW w:w="1677" w:type="dxa"/>
                </w:tcPr>
                <w:p w:rsidR="001D0FDA" w:rsidRPr="00351FF5" w:rsidRDefault="001D0FDA" w:rsidP="00B5196D">
                  <w:pPr>
                    <w:pStyle w:val="Tabletext"/>
                    <w:framePr w:hSpace="180" w:wrap="around" w:vAnchor="text" w:hAnchor="text" w:y="1"/>
                    <w:spacing w:before="0" w:after="0"/>
                    <w:rPr>
                      <w:rFonts w:cs="Tahoma"/>
                      <w:szCs w:val="18"/>
                    </w:rPr>
                  </w:pPr>
                  <w:r>
                    <w:rPr>
                      <w:rFonts w:cs="Tahoma"/>
                      <w:szCs w:val="18"/>
                    </w:rPr>
                    <w:t>Time since diagnosis</w:t>
                  </w:r>
                  <w:r w:rsidRPr="00351FF5">
                    <w:rPr>
                      <w:rFonts w:cs="Tahoma"/>
                      <w:szCs w:val="18"/>
                    </w:rPr>
                    <w:t>, mean±SD</w:t>
                  </w:r>
                  <w:r>
                    <w:rPr>
                      <w:rFonts w:cs="Tahoma"/>
                      <w:szCs w:val="18"/>
                    </w:rPr>
                    <w:t xml:space="preserve"> (months)</w:t>
                  </w:r>
                </w:p>
              </w:tc>
              <w:tc>
                <w:tcPr>
                  <w:tcW w:w="1276" w:type="dxa"/>
                </w:tcPr>
                <w:p w:rsidR="001D0FDA" w:rsidRPr="00411013" w:rsidRDefault="001D0FDA" w:rsidP="00B5196D">
                  <w:pPr>
                    <w:pStyle w:val="Tabletext"/>
                    <w:framePr w:hSpace="180" w:wrap="around" w:vAnchor="text" w:hAnchor="text" w:y="1"/>
                    <w:spacing w:before="0"/>
                    <w:jc w:val="center"/>
                    <w:rPr>
                      <w:rFonts w:cs="Tahoma"/>
                      <w:szCs w:val="18"/>
                    </w:rPr>
                  </w:pPr>
                  <w:r w:rsidRPr="00B133F6">
                    <w:rPr>
                      <w:rFonts w:cs="Tahoma"/>
                      <w:szCs w:val="18"/>
                    </w:rPr>
                    <w:t>13±30</w:t>
                  </w:r>
                </w:p>
              </w:tc>
              <w:tc>
                <w:tcPr>
                  <w:tcW w:w="1418" w:type="dxa"/>
                </w:tcPr>
                <w:p w:rsidR="001D0FDA" w:rsidRPr="00411013" w:rsidRDefault="001D0FDA" w:rsidP="00B5196D">
                  <w:pPr>
                    <w:pStyle w:val="Tabletext"/>
                    <w:framePr w:hSpace="180" w:wrap="around" w:vAnchor="text" w:hAnchor="text" w:y="1"/>
                    <w:spacing w:before="0"/>
                    <w:jc w:val="center"/>
                    <w:rPr>
                      <w:rFonts w:cs="Tahoma"/>
                      <w:szCs w:val="18"/>
                    </w:rPr>
                  </w:pPr>
                  <w:r w:rsidRPr="00B133F6">
                    <w:rPr>
                      <w:rFonts w:cs="Tahoma"/>
                      <w:szCs w:val="18"/>
                    </w:rPr>
                    <w:t>15±21</w:t>
                  </w:r>
                </w:p>
              </w:tc>
            </w:tr>
          </w:tbl>
          <w:p w:rsidR="001D0FDA" w:rsidRPr="00351FF5" w:rsidRDefault="001D0FDA" w:rsidP="001D0FDA">
            <w:pPr>
              <w:pStyle w:val="Tabletext"/>
              <w:rPr>
                <w:rFonts w:cs="Tahoma"/>
                <w:szCs w:val="18"/>
              </w:rPr>
            </w:pPr>
          </w:p>
        </w:tc>
        <w:tc>
          <w:tcPr>
            <w:tcW w:w="811" w:type="pct"/>
          </w:tcPr>
          <w:p w:rsidR="001D0FDA" w:rsidRDefault="001D0FDA" w:rsidP="001D0FDA">
            <w:pPr>
              <w:pStyle w:val="Tabletext"/>
              <w:rPr>
                <w:rFonts w:cs="Tahoma"/>
                <w:i/>
                <w:szCs w:val="18"/>
              </w:rPr>
            </w:pPr>
            <w:r>
              <w:rPr>
                <w:rFonts w:cs="Tahoma"/>
                <w:i/>
                <w:szCs w:val="18"/>
              </w:rPr>
              <w:t xml:space="preserve">Intervention: </w:t>
            </w:r>
          </w:p>
          <w:p w:rsidR="001D0FDA" w:rsidRPr="001D75C0" w:rsidRDefault="001D0FDA" w:rsidP="001D0FDA">
            <w:pPr>
              <w:pStyle w:val="Tabletext"/>
              <w:rPr>
                <w:rFonts w:cs="Tahoma"/>
                <w:szCs w:val="18"/>
              </w:rPr>
            </w:pPr>
            <w:r w:rsidRPr="001D75C0">
              <w:rPr>
                <w:rFonts w:cs="Tahoma"/>
                <w:szCs w:val="18"/>
              </w:rPr>
              <w:t>Bosentan + epoprostenol</w:t>
            </w:r>
          </w:p>
          <w:p w:rsidR="001D0FDA" w:rsidRDefault="001D0FDA" w:rsidP="001D0FDA">
            <w:pPr>
              <w:pStyle w:val="Tabletext"/>
              <w:rPr>
                <w:rFonts w:cs="Tahoma"/>
                <w:szCs w:val="18"/>
              </w:rPr>
            </w:pPr>
            <w:r w:rsidRPr="001D75C0">
              <w:rPr>
                <w:rFonts w:cs="Tahoma"/>
                <w:szCs w:val="18"/>
              </w:rPr>
              <w:t>Bosentan: initial dose of 62.5</w:t>
            </w:r>
            <w:r>
              <w:rPr>
                <w:rFonts w:cs="Tahoma"/>
                <w:szCs w:val="18"/>
              </w:rPr>
              <w:t>mg</w:t>
            </w:r>
            <w:r w:rsidRPr="001D75C0">
              <w:rPr>
                <w:rFonts w:cs="Tahoma"/>
                <w:szCs w:val="18"/>
              </w:rPr>
              <w:t xml:space="preserve"> bid for 4 weeks</w:t>
            </w:r>
            <w:r>
              <w:rPr>
                <w:rFonts w:cs="Tahoma"/>
                <w:szCs w:val="18"/>
              </w:rPr>
              <w:t xml:space="preserve">, then </w:t>
            </w:r>
            <w:r w:rsidRPr="001D75C0">
              <w:rPr>
                <w:rFonts w:cs="Tahoma"/>
                <w:szCs w:val="18"/>
              </w:rPr>
              <w:t>125mg bid</w:t>
            </w:r>
          </w:p>
          <w:p w:rsidR="001D0FDA" w:rsidRDefault="001D0FDA" w:rsidP="001D0FDA">
            <w:pPr>
              <w:pStyle w:val="Tabletext"/>
              <w:rPr>
                <w:rFonts w:cs="Tahoma"/>
                <w:szCs w:val="18"/>
              </w:rPr>
            </w:pPr>
            <w:r>
              <w:rPr>
                <w:rFonts w:cs="Tahoma"/>
                <w:szCs w:val="18"/>
              </w:rPr>
              <w:t>Epoprostenol:</w:t>
            </w:r>
            <w:r w:rsidRPr="001D75C0">
              <w:rPr>
                <w:rFonts w:cs="Tahoma"/>
                <w:i/>
                <w:szCs w:val="18"/>
              </w:rPr>
              <w:t xml:space="preserve"> </w:t>
            </w:r>
            <w:r w:rsidRPr="001D75C0">
              <w:rPr>
                <w:rFonts w:cs="Tahoma"/>
                <w:szCs w:val="18"/>
              </w:rPr>
              <w:t xml:space="preserve">initial dose of 2ng/kg/min </w:t>
            </w:r>
            <w:r>
              <w:rPr>
                <w:rFonts w:cs="Tahoma"/>
                <w:szCs w:val="18"/>
              </w:rPr>
              <w:t>for 4 days, then 4ng/kg/min, the</w:t>
            </w:r>
            <w:r w:rsidRPr="001D75C0">
              <w:rPr>
                <w:rFonts w:cs="Tahoma"/>
                <w:szCs w:val="18"/>
              </w:rPr>
              <w:t>n dose increase of 2ng/kg/min at 2-week intervals to a target dose of 12-16ng/kg/min</w:t>
            </w:r>
          </w:p>
          <w:p w:rsidR="001D0FDA" w:rsidRPr="001D75C0" w:rsidRDefault="001D0FDA" w:rsidP="001D0FDA">
            <w:pPr>
              <w:pStyle w:val="Tabletext"/>
              <w:rPr>
                <w:rFonts w:cs="Tahoma"/>
                <w:szCs w:val="18"/>
              </w:rPr>
            </w:pPr>
          </w:p>
          <w:p w:rsidR="001D0FDA" w:rsidRDefault="001D0FDA" w:rsidP="001D0FDA">
            <w:pPr>
              <w:pStyle w:val="Tabletext"/>
              <w:rPr>
                <w:rFonts w:cs="Tahoma"/>
                <w:i/>
                <w:szCs w:val="18"/>
              </w:rPr>
            </w:pPr>
            <w:r>
              <w:rPr>
                <w:rFonts w:cs="Tahoma"/>
                <w:i/>
                <w:szCs w:val="18"/>
              </w:rPr>
              <w:t>Intervention:</w:t>
            </w:r>
          </w:p>
          <w:p w:rsidR="001D0FDA" w:rsidRPr="001D75C0" w:rsidRDefault="001D0FDA" w:rsidP="001D0FDA">
            <w:pPr>
              <w:pStyle w:val="Tabletext"/>
              <w:rPr>
                <w:rFonts w:cs="Tahoma"/>
                <w:szCs w:val="18"/>
              </w:rPr>
            </w:pPr>
            <w:r w:rsidRPr="001D75C0">
              <w:rPr>
                <w:rFonts w:cs="Tahoma"/>
                <w:szCs w:val="18"/>
              </w:rPr>
              <w:t>Placebo + epoprostenol</w:t>
            </w:r>
          </w:p>
          <w:p w:rsidR="001D0FDA" w:rsidRPr="001D75C0" w:rsidRDefault="001D0FDA" w:rsidP="001D0FDA">
            <w:pPr>
              <w:pStyle w:val="Tabletext"/>
              <w:rPr>
                <w:rFonts w:cs="Tahoma"/>
                <w:szCs w:val="18"/>
              </w:rPr>
            </w:pPr>
            <w:r>
              <w:rPr>
                <w:rFonts w:cs="Tahoma"/>
                <w:szCs w:val="18"/>
              </w:rPr>
              <w:t xml:space="preserve">Epoprostenol: </w:t>
            </w:r>
            <w:r w:rsidRPr="001D75C0">
              <w:rPr>
                <w:rFonts w:cs="Tahoma"/>
                <w:szCs w:val="18"/>
              </w:rPr>
              <w:t xml:space="preserve">initial dose of 2ng/kg/min </w:t>
            </w:r>
            <w:r>
              <w:rPr>
                <w:rFonts w:cs="Tahoma"/>
                <w:szCs w:val="18"/>
              </w:rPr>
              <w:t>for 4 days, then 4ng/kg/min, the</w:t>
            </w:r>
            <w:r w:rsidRPr="001D75C0">
              <w:rPr>
                <w:rFonts w:cs="Tahoma"/>
                <w:szCs w:val="18"/>
              </w:rPr>
              <w:t>n dose increase of 2ng/kg/min at 2-week intervals to a target dose of 12-16ng/kg/min</w:t>
            </w:r>
          </w:p>
        </w:tc>
        <w:tc>
          <w:tcPr>
            <w:tcW w:w="771" w:type="pct"/>
          </w:tcPr>
          <w:p w:rsidR="001D0FDA" w:rsidRPr="001D75C0" w:rsidRDefault="001D0FDA" w:rsidP="001D0FDA">
            <w:pPr>
              <w:pStyle w:val="Tabletext"/>
              <w:rPr>
                <w:rFonts w:cs="Tahoma"/>
                <w:i/>
                <w:szCs w:val="18"/>
              </w:rPr>
            </w:pPr>
            <w:r w:rsidRPr="001D75C0">
              <w:rPr>
                <w:rFonts w:cs="Tahoma"/>
                <w:i/>
                <w:szCs w:val="18"/>
              </w:rPr>
              <w:t>Effectiveness</w:t>
            </w:r>
          </w:p>
          <w:p w:rsidR="001D0FDA" w:rsidRPr="001D75C0" w:rsidRDefault="001D0FDA" w:rsidP="001D0FDA">
            <w:pPr>
              <w:pStyle w:val="Tabletext"/>
              <w:rPr>
                <w:rFonts w:cs="Tahoma"/>
                <w:szCs w:val="18"/>
              </w:rPr>
            </w:pPr>
            <w:r w:rsidRPr="001D75C0">
              <w:rPr>
                <w:rFonts w:cs="Tahoma"/>
                <w:szCs w:val="18"/>
              </w:rPr>
              <w:t>Primary:</w:t>
            </w:r>
          </w:p>
          <w:p w:rsidR="001D0FDA" w:rsidRPr="001D75C0" w:rsidRDefault="001D0FDA" w:rsidP="00480FDF">
            <w:pPr>
              <w:pStyle w:val="Tabletext"/>
              <w:numPr>
                <w:ilvl w:val="0"/>
                <w:numId w:val="54"/>
              </w:numPr>
              <w:ind w:left="239" w:hanging="144"/>
              <w:rPr>
                <w:rFonts w:cs="Tahoma"/>
                <w:szCs w:val="18"/>
              </w:rPr>
            </w:pPr>
            <w:r w:rsidRPr="001D75C0">
              <w:rPr>
                <w:rFonts w:cs="Tahoma"/>
                <w:szCs w:val="18"/>
              </w:rPr>
              <w:t>Change in TPR at Week 16</w:t>
            </w:r>
            <w:r w:rsidRPr="001D75C0">
              <w:rPr>
                <w:rFonts w:cs="Tahoma"/>
                <w:szCs w:val="18"/>
                <w:vertAlign w:val="superscript"/>
              </w:rPr>
              <w:t>c</w:t>
            </w:r>
          </w:p>
          <w:p w:rsidR="001D0FDA" w:rsidRPr="001D75C0" w:rsidRDefault="001D0FDA" w:rsidP="001D0FDA">
            <w:pPr>
              <w:pStyle w:val="Tabletext"/>
              <w:rPr>
                <w:rFonts w:cs="Tahoma"/>
                <w:szCs w:val="18"/>
              </w:rPr>
            </w:pPr>
            <w:r w:rsidRPr="001D75C0">
              <w:rPr>
                <w:rFonts w:cs="Tahoma"/>
                <w:szCs w:val="18"/>
              </w:rPr>
              <w:t>Secondary:</w:t>
            </w:r>
          </w:p>
          <w:p w:rsidR="001D0FDA" w:rsidRPr="001D75C0" w:rsidRDefault="001D0FDA" w:rsidP="00480FDF">
            <w:pPr>
              <w:pStyle w:val="Tabletext"/>
              <w:numPr>
                <w:ilvl w:val="0"/>
                <w:numId w:val="54"/>
              </w:numPr>
              <w:ind w:left="239" w:hanging="144"/>
              <w:rPr>
                <w:rFonts w:cs="Tahoma"/>
                <w:szCs w:val="18"/>
              </w:rPr>
            </w:pPr>
            <w:r w:rsidRPr="001D75C0">
              <w:rPr>
                <w:rFonts w:cs="Tahoma"/>
                <w:szCs w:val="18"/>
              </w:rPr>
              <w:t>Change in 6MWD at Week 16</w:t>
            </w:r>
            <w:r w:rsidRPr="001D75C0">
              <w:rPr>
                <w:rFonts w:cs="Tahoma"/>
                <w:szCs w:val="18"/>
                <w:vertAlign w:val="superscript"/>
              </w:rPr>
              <w:t>c</w:t>
            </w:r>
          </w:p>
          <w:p w:rsidR="001D0FDA" w:rsidRDefault="001D0FDA" w:rsidP="00480FDF">
            <w:pPr>
              <w:pStyle w:val="Tabletext"/>
              <w:numPr>
                <w:ilvl w:val="0"/>
                <w:numId w:val="54"/>
              </w:numPr>
              <w:ind w:left="239" w:hanging="144"/>
              <w:rPr>
                <w:rFonts w:cs="Tahoma"/>
                <w:szCs w:val="18"/>
              </w:rPr>
            </w:pPr>
            <w:r w:rsidRPr="001D75C0">
              <w:rPr>
                <w:rFonts w:cs="Tahoma"/>
                <w:szCs w:val="18"/>
              </w:rPr>
              <w:t>Change in WHO FC at Week 16</w:t>
            </w:r>
            <w:r w:rsidRPr="001D75C0">
              <w:rPr>
                <w:rFonts w:cs="Tahoma"/>
                <w:szCs w:val="18"/>
                <w:vertAlign w:val="superscript"/>
              </w:rPr>
              <w:t>c</w:t>
            </w:r>
          </w:p>
          <w:p w:rsidR="001D0FDA" w:rsidRPr="001D75C0" w:rsidRDefault="001D0FDA" w:rsidP="00480FDF">
            <w:pPr>
              <w:pStyle w:val="Tabletext"/>
              <w:numPr>
                <w:ilvl w:val="0"/>
                <w:numId w:val="54"/>
              </w:numPr>
              <w:ind w:left="239" w:hanging="144"/>
              <w:rPr>
                <w:rFonts w:cs="Tahoma"/>
                <w:szCs w:val="18"/>
              </w:rPr>
            </w:pPr>
            <w:r w:rsidRPr="001D75C0">
              <w:rPr>
                <w:rFonts w:cs="Tahoma"/>
                <w:szCs w:val="18"/>
              </w:rPr>
              <w:t>Change in dyspnoea fatigue rating</w:t>
            </w:r>
            <w:r w:rsidRPr="001D75C0">
              <w:rPr>
                <w:rFonts w:cs="Tahoma"/>
                <w:szCs w:val="18"/>
                <w:vertAlign w:val="superscript"/>
              </w:rPr>
              <w:t>c</w:t>
            </w:r>
          </w:p>
          <w:p w:rsidR="001D0FDA" w:rsidRPr="001D75C0" w:rsidRDefault="001D0FDA" w:rsidP="00480FDF">
            <w:pPr>
              <w:pStyle w:val="Tabletext"/>
              <w:numPr>
                <w:ilvl w:val="0"/>
                <w:numId w:val="54"/>
              </w:numPr>
              <w:ind w:left="239" w:hanging="144"/>
              <w:rPr>
                <w:rFonts w:cs="Tahoma"/>
                <w:szCs w:val="18"/>
              </w:rPr>
            </w:pPr>
            <w:r w:rsidRPr="001D75C0">
              <w:rPr>
                <w:rFonts w:cs="Tahoma"/>
                <w:szCs w:val="18"/>
              </w:rPr>
              <w:t xml:space="preserve">Change in </w:t>
            </w:r>
            <w:r>
              <w:rPr>
                <w:rFonts w:cs="Tahoma"/>
                <w:szCs w:val="18"/>
              </w:rPr>
              <w:t>CI, PVR, mPAP, CI, and m</w:t>
            </w:r>
            <w:r w:rsidRPr="001D75C0">
              <w:rPr>
                <w:rFonts w:cs="Tahoma"/>
                <w:szCs w:val="18"/>
              </w:rPr>
              <w:t>RAP</w:t>
            </w:r>
            <w:r>
              <w:rPr>
                <w:rFonts w:cs="Tahoma"/>
                <w:szCs w:val="18"/>
              </w:rPr>
              <w:t xml:space="preserve"> at Week 16</w:t>
            </w:r>
            <w:r w:rsidRPr="001D75C0">
              <w:rPr>
                <w:rFonts w:cs="Tahoma"/>
                <w:szCs w:val="18"/>
                <w:vertAlign w:val="superscript"/>
              </w:rPr>
              <w:t>c</w:t>
            </w:r>
          </w:p>
          <w:p w:rsidR="001D0FDA" w:rsidRDefault="001D0FDA" w:rsidP="001D0FDA">
            <w:pPr>
              <w:pStyle w:val="Tabletext"/>
              <w:rPr>
                <w:rFonts w:cs="Tahoma"/>
                <w:szCs w:val="18"/>
              </w:rPr>
            </w:pPr>
            <w:r>
              <w:rPr>
                <w:rFonts w:cs="Tahoma"/>
                <w:szCs w:val="18"/>
              </w:rPr>
              <w:t>Others:</w:t>
            </w:r>
          </w:p>
          <w:p w:rsidR="001D0FDA" w:rsidRPr="001D75C0" w:rsidRDefault="001D0FDA" w:rsidP="00480FDF">
            <w:pPr>
              <w:pStyle w:val="Tabletext"/>
              <w:numPr>
                <w:ilvl w:val="0"/>
                <w:numId w:val="54"/>
              </w:numPr>
              <w:ind w:left="239" w:hanging="144"/>
              <w:rPr>
                <w:rFonts w:cs="Tahoma"/>
                <w:szCs w:val="18"/>
              </w:rPr>
            </w:pPr>
            <w:r>
              <w:rPr>
                <w:rFonts w:cs="Tahoma"/>
                <w:szCs w:val="18"/>
              </w:rPr>
              <w:t>Mortality</w:t>
            </w:r>
            <w:r>
              <w:rPr>
                <w:rFonts w:cs="Tahoma"/>
                <w:szCs w:val="18"/>
                <w:vertAlign w:val="superscript"/>
              </w:rPr>
              <w:t>c</w:t>
            </w:r>
          </w:p>
          <w:p w:rsidR="001D0FDA" w:rsidRPr="006F5135" w:rsidRDefault="001D0FDA" w:rsidP="001D0FDA">
            <w:pPr>
              <w:pStyle w:val="Tabletext"/>
              <w:rPr>
                <w:rFonts w:cs="Tahoma"/>
                <w:szCs w:val="18"/>
              </w:rPr>
            </w:pPr>
          </w:p>
          <w:p w:rsidR="001D0FDA" w:rsidRPr="001D75C0" w:rsidRDefault="001D0FDA" w:rsidP="001D0FDA">
            <w:pPr>
              <w:pStyle w:val="Tabletext"/>
              <w:rPr>
                <w:rFonts w:cs="Tahoma"/>
                <w:i/>
                <w:szCs w:val="18"/>
              </w:rPr>
            </w:pPr>
            <w:r w:rsidRPr="001D75C0">
              <w:rPr>
                <w:rFonts w:cs="Tahoma"/>
                <w:i/>
                <w:szCs w:val="18"/>
              </w:rPr>
              <w:t>Safety</w:t>
            </w:r>
          </w:p>
          <w:p w:rsidR="001D0FDA" w:rsidRPr="00351FF5" w:rsidRDefault="001D0FDA" w:rsidP="00480FDF">
            <w:pPr>
              <w:pStyle w:val="Tabletext"/>
              <w:numPr>
                <w:ilvl w:val="0"/>
                <w:numId w:val="54"/>
              </w:numPr>
              <w:ind w:left="239" w:hanging="144"/>
              <w:rPr>
                <w:rFonts w:cs="Tahoma"/>
                <w:i/>
                <w:szCs w:val="18"/>
              </w:rPr>
            </w:pPr>
            <w:r w:rsidRPr="001D75C0">
              <w:rPr>
                <w:rFonts w:cs="Tahoma"/>
                <w:szCs w:val="18"/>
              </w:rPr>
              <w:t>Adverse events</w:t>
            </w:r>
            <w:r w:rsidRPr="001D75C0">
              <w:rPr>
                <w:rFonts w:cs="Tahoma"/>
                <w:szCs w:val="18"/>
                <w:vertAlign w:val="superscript"/>
              </w:rPr>
              <w:t>c</w:t>
            </w:r>
          </w:p>
        </w:tc>
      </w:tr>
      <w:tr w:rsidR="001D0FDA" w:rsidRPr="00204000" w:rsidTr="001D0FDA">
        <w:tc>
          <w:tcPr>
            <w:tcW w:w="531" w:type="pct"/>
          </w:tcPr>
          <w:p w:rsidR="001D0FDA" w:rsidRPr="00C519BC" w:rsidRDefault="001D0FDA" w:rsidP="001D0FDA">
            <w:pPr>
              <w:pStyle w:val="Tabletext"/>
              <w:ind w:right="-28"/>
              <w:rPr>
                <w:rFonts w:eastAsia="Times New Roman"/>
                <w:lang w:eastAsia="en-US"/>
              </w:rPr>
            </w:pPr>
            <w:r w:rsidRPr="00C519BC">
              <w:rPr>
                <w:rFonts w:eastAsia="Times New Roman"/>
                <w:lang w:eastAsia="en-US"/>
              </w:rPr>
              <w:lastRenderedPageBreak/>
              <w:t>COMBI</w:t>
            </w:r>
            <w:r w:rsidR="001D34EE" w:rsidRPr="001A1C44">
              <w:rPr>
                <w:rFonts w:eastAsia="Times New Roman"/>
                <w:noProof/>
                <w:vertAlign w:val="superscript"/>
                <w:lang w:eastAsia="en-US"/>
              </w:rPr>
              <w:t>36</w:t>
            </w:r>
          </w:p>
          <w:p w:rsidR="001D0FDA" w:rsidRDefault="001D0FDA" w:rsidP="001D0FDA">
            <w:pPr>
              <w:pStyle w:val="Tabletext"/>
              <w:ind w:right="-28"/>
              <w:rPr>
                <w:rFonts w:eastAsia="Times New Roman"/>
                <w:lang w:eastAsia="en-US"/>
              </w:rPr>
            </w:pPr>
            <w:r>
              <w:rPr>
                <w:rFonts w:eastAsia="Times New Roman"/>
                <w:lang w:eastAsia="en-US"/>
              </w:rPr>
              <w:t>2004</w:t>
            </w:r>
            <w:r w:rsidRPr="00C519BC">
              <w:rPr>
                <w:rFonts w:eastAsia="Times New Roman"/>
                <w:lang w:eastAsia="en-US"/>
              </w:rPr>
              <w:t xml:space="preserve"> </w:t>
            </w:r>
          </w:p>
          <w:p w:rsidR="001D0FDA" w:rsidRPr="00D53F84" w:rsidRDefault="001D0FDA" w:rsidP="001D0FDA">
            <w:pPr>
              <w:pStyle w:val="Tabletext"/>
              <w:ind w:right="-28"/>
              <w:rPr>
                <w:rFonts w:eastAsia="Times New Roman"/>
                <w:lang w:eastAsia="en-US"/>
              </w:rPr>
            </w:pPr>
            <w:r w:rsidRPr="00C519BC">
              <w:rPr>
                <w:rFonts w:eastAsia="Times New Roman"/>
                <w:lang w:eastAsia="en-US"/>
              </w:rPr>
              <w:t>Germany</w:t>
            </w:r>
          </w:p>
        </w:tc>
        <w:tc>
          <w:tcPr>
            <w:tcW w:w="476" w:type="pct"/>
          </w:tcPr>
          <w:p w:rsidR="001D0FDA" w:rsidRDefault="001D0FDA" w:rsidP="001D0FDA">
            <w:pPr>
              <w:pStyle w:val="Tabletext"/>
              <w:ind w:right="-28"/>
              <w:rPr>
                <w:rFonts w:eastAsia="Times New Roman"/>
                <w:lang w:eastAsia="en-US"/>
              </w:rPr>
            </w:pPr>
            <w:r w:rsidRPr="00C519BC">
              <w:rPr>
                <w:rFonts w:eastAsia="Times New Roman"/>
                <w:lang w:eastAsia="en-US"/>
              </w:rPr>
              <w:t>RCT, OL</w:t>
            </w:r>
          </w:p>
          <w:p w:rsidR="001D0FDA" w:rsidRPr="00C519BC" w:rsidRDefault="001D0FDA" w:rsidP="001D0FDA">
            <w:pPr>
              <w:pStyle w:val="Tabletext"/>
              <w:ind w:right="-28"/>
              <w:rPr>
                <w:rFonts w:eastAsia="Times New Roman"/>
                <w:lang w:eastAsia="en-US"/>
              </w:rPr>
            </w:pPr>
            <w:r>
              <w:rPr>
                <w:rFonts w:eastAsia="Times New Roman"/>
                <w:lang w:eastAsia="en-US"/>
              </w:rPr>
              <w:t>Level II evidence</w:t>
            </w:r>
          </w:p>
          <w:p w:rsidR="001D0FDA" w:rsidRPr="00C519BC" w:rsidRDefault="001D0FDA" w:rsidP="001D0FDA">
            <w:pPr>
              <w:pStyle w:val="Tabletext"/>
              <w:ind w:right="-28"/>
              <w:rPr>
                <w:rFonts w:eastAsia="Times New Roman"/>
                <w:lang w:eastAsia="en-US"/>
              </w:rPr>
            </w:pPr>
            <w:r>
              <w:rPr>
                <w:rFonts w:eastAsia="Times New Roman"/>
                <w:lang w:eastAsia="en-US"/>
              </w:rPr>
              <w:t xml:space="preserve">Follow-up: </w:t>
            </w:r>
            <w:r w:rsidRPr="00C519BC">
              <w:rPr>
                <w:rFonts w:eastAsia="Times New Roman"/>
                <w:lang w:eastAsia="en-US"/>
              </w:rPr>
              <w:t>12 weeks</w:t>
            </w:r>
          </w:p>
          <w:p w:rsidR="001D0FDA" w:rsidRPr="00D53F84" w:rsidRDefault="001D0FDA" w:rsidP="001D0FDA">
            <w:pPr>
              <w:pStyle w:val="Tabletext"/>
              <w:ind w:right="-28"/>
              <w:rPr>
                <w:rFonts w:eastAsia="Times New Roman"/>
                <w:snapToGrid w:val="0"/>
                <w:lang w:eastAsia="en-US"/>
              </w:rPr>
            </w:pPr>
            <w:r>
              <w:rPr>
                <w:rFonts w:eastAsia="Times New Roman"/>
                <w:lang w:eastAsia="en-US"/>
              </w:rPr>
              <w:t>Risk of bias: h</w:t>
            </w:r>
            <w:r w:rsidRPr="00C519BC">
              <w:rPr>
                <w:rFonts w:eastAsia="Times New Roman"/>
                <w:lang w:eastAsia="en-US"/>
              </w:rPr>
              <w:t>igh</w:t>
            </w:r>
          </w:p>
        </w:tc>
        <w:tc>
          <w:tcPr>
            <w:tcW w:w="772" w:type="pct"/>
          </w:tcPr>
          <w:p w:rsidR="001D0FDA" w:rsidRDefault="001D0FDA" w:rsidP="001D0FDA">
            <w:pPr>
              <w:pStyle w:val="Tabletext"/>
              <w:rPr>
                <w:rFonts w:cs="Tahoma"/>
                <w:i/>
                <w:szCs w:val="18"/>
              </w:rPr>
            </w:pPr>
            <w:r w:rsidRPr="00C519BC">
              <w:rPr>
                <w:rFonts w:cs="Tahoma"/>
                <w:i/>
                <w:szCs w:val="18"/>
              </w:rPr>
              <w:t>Inclusion criteria</w:t>
            </w:r>
          </w:p>
          <w:p w:rsidR="001D0FDA" w:rsidRDefault="001D0FDA" w:rsidP="00480FDF">
            <w:pPr>
              <w:pStyle w:val="Tabletext"/>
              <w:numPr>
                <w:ilvl w:val="0"/>
                <w:numId w:val="54"/>
              </w:numPr>
              <w:ind w:left="239" w:hanging="144"/>
              <w:rPr>
                <w:rFonts w:cs="Tahoma"/>
                <w:szCs w:val="18"/>
              </w:rPr>
            </w:pPr>
            <w:r>
              <w:rPr>
                <w:rFonts w:cs="Tahoma"/>
                <w:szCs w:val="18"/>
              </w:rPr>
              <w:t xml:space="preserve">Age of </w:t>
            </w:r>
            <w:r w:rsidRPr="00C519BC">
              <w:rPr>
                <w:rFonts w:cs="Tahoma"/>
                <w:szCs w:val="18"/>
              </w:rPr>
              <w:t>18</w:t>
            </w:r>
            <w:r>
              <w:rPr>
                <w:rFonts w:cs="Tahoma"/>
                <w:szCs w:val="18"/>
              </w:rPr>
              <w:t>-75 years</w:t>
            </w:r>
          </w:p>
          <w:p w:rsidR="001D0FDA" w:rsidRDefault="001D0FDA" w:rsidP="00480FDF">
            <w:pPr>
              <w:pStyle w:val="Tabletext"/>
              <w:numPr>
                <w:ilvl w:val="0"/>
                <w:numId w:val="54"/>
              </w:numPr>
              <w:ind w:left="239" w:hanging="144"/>
              <w:rPr>
                <w:rFonts w:cs="Tahoma"/>
                <w:szCs w:val="18"/>
              </w:rPr>
            </w:pPr>
            <w:r w:rsidRPr="00C519BC">
              <w:rPr>
                <w:rFonts w:cs="Tahoma"/>
                <w:szCs w:val="18"/>
              </w:rPr>
              <w:t xml:space="preserve">Patients with </w:t>
            </w:r>
            <w:r>
              <w:rPr>
                <w:rFonts w:cs="Tahoma"/>
                <w:szCs w:val="18"/>
              </w:rPr>
              <w:t>I</w:t>
            </w:r>
            <w:r w:rsidRPr="00C519BC">
              <w:rPr>
                <w:rFonts w:cs="Tahoma"/>
                <w:szCs w:val="18"/>
              </w:rPr>
              <w:t>PAH</w:t>
            </w:r>
          </w:p>
          <w:p w:rsidR="001D0FDA" w:rsidRDefault="001D0FDA" w:rsidP="00480FDF">
            <w:pPr>
              <w:pStyle w:val="Tabletext"/>
              <w:numPr>
                <w:ilvl w:val="0"/>
                <w:numId w:val="54"/>
              </w:numPr>
              <w:ind w:left="239" w:hanging="144"/>
              <w:rPr>
                <w:rFonts w:cs="Tahoma"/>
                <w:szCs w:val="18"/>
              </w:rPr>
            </w:pPr>
            <w:r>
              <w:rPr>
                <w:rFonts w:cs="Tahoma"/>
                <w:szCs w:val="18"/>
              </w:rPr>
              <w:t>Stable WHO FC III for &gt;3 months</w:t>
            </w:r>
          </w:p>
          <w:p w:rsidR="001D0FDA" w:rsidRDefault="001D0FDA" w:rsidP="00480FDF">
            <w:pPr>
              <w:pStyle w:val="Tabletext"/>
              <w:numPr>
                <w:ilvl w:val="0"/>
                <w:numId w:val="54"/>
              </w:numPr>
              <w:ind w:left="239" w:hanging="144"/>
              <w:rPr>
                <w:rFonts w:cs="Tahoma"/>
                <w:szCs w:val="18"/>
              </w:rPr>
            </w:pPr>
            <w:r>
              <w:rPr>
                <w:rFonts w:cs="Tahoma"/>
                <w:szCs w:val="18"/>
              </w:rPr>
              <w:t>Bosentan therapy for &gt;3 months</w:t>
            </w:r>
          </w:p>
          <w:p w:rsidR="001D0FDA" w:rsidRDefault="001D0FDA" w:rsidP="00480FDF">
            <w:pPr>
              <w:pStyle w:val="Tabletext"/>
              <w:numPr>
                <w:ilvl w:val="0"/>
                <w:numId w:val="54"/>
              </w:numPr>
              <w:ind w:left="239" w:hanging="144"/>
              <w:rPr>
                <w:rFonts w:cs="Tahoma"/>
                <w:szCs w:val="18"/>
              </w:rPr>
            </w:pPr>
            <w:r w:rsidRPr="00C519BC">
              <w:rPr>
                <w:rFonts w:cs="Tahoma"/>
                <w:szCs w:val="18"/>
              </w:rPr>
              <w:t xml:space="preserve">6MWD </w:t>
            </w:r>
            <w:r>
              <w:rPr>
                <w:rFonts w:cs="Tahoma"/>
                <w:szCs w:val="18"/>
              </w:rPr>
              <w:t>of 1</w:t>
            </w:r>
            <w:r w:rsidRPr="00C519BC">
              <w:rPr>
                <w:rFonts w:cs="Tahoma"/>
                <w:szCs w:val="18"/>
              </w:rPr>
              <w:t>50</w:t>
            </w:r>
            <w:r>
              <w:rPr>
                <w:rFonts w:cs="Tahoma"/>
                <w:szCs w:val="18"/>
              </w:rPr>
              <w:t>-425</w:t>
            </w:r>
            <w:r w:rsidRPr="00C519BC">
              <w:rPr>
                <w:rFonts w:cs="Tahoma"/>
                <w:szCs w:val="18"/>
              </w:rPr>
              <w:t>m</w:t>
            </w:r>
          </w:p>
          <w:p w:rsidR="001D0FDA" w:rsidRPr="00C519BC" w:rsidRDefault="001D0FDA" w:rsidP="001D0FDA">
            <w:pPr>
              <w:pStyle w:val="Tabletext"/>
              <w:rPr>
                <w:rFonts w:cs="Tahoma"/>
                <w:i/>
                <w:szCs w:val="18"/>
              </w:rPr>
            </w:pPr>
          </w:p>
          <w:p w:rsidR="001D0FDA" w:rsidRDefault="001D0FDA" w:rsidP="001D0FDA">
            <w:pPr>
              <w:pStyle w:val="Tabletext"/>
              <w:rPr>
                <w:rFonts w:cs="Tahoma"/>
                <w:i/>
                <w:szCs w:val="18"/>
              </w:rPr>
            </w:pPr>
            <w:r w:rsidRPr="00C519BC">
              <w:rPr>
                <w:rFonts w:cs="Tahoma"/>
                <w:i/>
                <w:szCs w:val="18"/>
              </w:rPr>
              <w:t>Exclusion criteria</w:t>
            </w:r>
          </w:p>
          <w:p w:rsidR="001D0FDA" w:rsidRPr="00C519BC" w:rsidRDefault="001D0FDA" w:rsidP="00480FDF">
            <w:pPr>
              <w:pStyle w:val="Tabletext"/>
              <w:numPr>
                <w:ilvl w:val="0"/>
                <w:numId w:val="54"/>
              </w:numPr>
              <w:ind w:left="239" w:hanging="144"/>
              <w:rPr>
                <w:rFonts w:cs="Tahoma"/>
                <w:i/>
                <w:szCs w:val="18"/>
              </w:rPr>
            </w:pPr>
            <w:r>
              <w:rPr>
                <w:rFonts w:cs="Tahoma"/>
                <w:szCs w:val="18"/>
              </w:rPr>
              <w:t xml:space="preserve">Patients with </w:t>
            </w:r>
            <w:r w:rsidRPr="00C519BC">
              <w:rPr>
                <w:rFonts w:cs="Tahoma"/>
                <w:szCs w:val="18"/>
              </w:rPr>
              <w:t xml:space="preserve">severe lung disease </w:t>
            </w:r>
          </w:p>
          <w:p w:rsidR="001D0FDA" w:rsidRPr="00C519BC" w:rsidRDefault="001D0FDA" w:rsidP="00480FDF">
            <w:pPr>
              <w:pStyle w:val="Tabletext"/>
              <w:numPr>
                <w:ilvl w:val="0"/>
                <w:numId w:val="54"/>
              </w:numPr>
              <w:ind w:left="239" w:hanging="144"/>
              <w:rPr>
                <w:rFonts w:cs="Tahoma"/>
                <w:i/>
                <w:szCs w:val="18"/>
              </w:rPr>
            </w:pPr>
            <w:r>
              <w:rPr>
                <w:rFonts w:cs="Tahoma"/>
                <w:szCs w:val="18"/>
              </w:rPr>
              <w:t>C</w:t>
            </w:r>
            <w:r w:rsidRPr="00C519BC">
              <w:rPr>
                <w:rFonts w:cs="Tahoma"/>
                <w:szCs w:val="18"/>
              </w:rPr>
              <w:t xml:space="preserve">linical instability </w:t>
            </w:r>
            <w:r>
              <w:rPr>
                <w:rFonts w:cs="Tahoma"/>
                <w:szCs w:val="18"/>
              </w:rPr>
              <w:t>(</w:t>
            </w:r>
            <w:r w:rsidRPr="00C519BC">
              <w:rPr>
                <w:rFonts w:cs="Tahoma"/>
                <w:szCs w:val="18"/>
              </w:rPr>
              <w:t xml:space="preserve">defined </w:t>
            </w:r>
            <w:r>
              <w:rPr>
                <w:rFonts w:cs="Tahoma"/>
                <w:szCs w:val="18"/>
              </w:rPr>
              <w:t>as</w:t>
            </w:r>
            <w:r w:rsidRPr="00C519BC">
              <w:rPr>
                <w:rFonts w:cs="Tahoma"/>
                <w:szCs w:val="18"/>
              </w:rPr>
              <w:t xml:space="preserve"> right-heart failure within the last 3 months</w:t>
            </w:r>
            <w:r>
              <w:rPr>
                <w:rFonts w:cs="Tahoma"/>
                <w:szCs w:val="18"/>
              </w:rPr>
              <w:t>)</w:t>
            </w:r>
          </w:p>
          <w:p w:rsidR="001D0FDA" w:rsidRPr="00C519BC" w:rsidRDefault="001D0FDA" w:rsidP="00480FDF">
            <w:pPr>
              <w:pStyle w:val="Tabletext"/>
              <w:numPr>
                <w:ilvl w:val="0"/>
                <w:numId w:val="54"/>
              </w:numPr>
              <w:ind w:left="239" w:hanging="144"/>
              <w:rPr>
                <w:rFonts w:cs="Tahoma"/>
                <w:i/>
                <w:szCs w:val="18"/>
              </w:rPr>
            </w:pPr>
            <w:r>
              <w:rPr>
                <w:rFonts w:cs="Tahoma"/>
                <w:szCs w:val="18"/>
              </w:rPr>
              <w:t>SBP</w:t>
            </w:r>
            <w:r w:rsidRPr="00C519BC">
              <w:rPr>
                <w:rFonts w:cs="Tahoma"/>
                <w:szCs w:val="18"/>
              </w:rPr>
              <w:t xml:space="preserve"> &lt;85mmHg</w:t>
            </w:r>
          </w:p>
          <w:p w:rsidR="001D0FDA" w:rsidRPr="0049122E" w:rsidRDefault="001D0FDA" w:rsidP="00480FDF">
            <w:pPr>
              <w:pStyle w:val="Tabletext"/>
              <w:numPr>
                <w:ilvl w:val="0"/>
                <w:numId w:val="54"/>
              </w:numPr>
              <w:ind w:left="239" w:hanging="144"/>
              <w:rPr>
                <w:rFonts w:cs="Tahoma"/>
                <w:i/>
                <w:szCs w:val="18"/>
              </w:rPr>
            </w:pPr>
            <w:r>
              <w:rPr>
                <w:rFonts w:cs="Tahoma"/>
                <w:szCs w:val="18"/>
              </w:rPr>
              <w:t>C</w:t>
            </w:r>
            <w:r w:rsidRPr="00C519BC">
              <w:rPr>
                <w:rFonts w:cs="Tahoma"/>
                <w:szCs w:val="18"/>
              </w:rPr>
              <w:t>oncomitant sildenafil therapy or treatment w</w:t>
            </w:r>
            <w:r>
              <w:rPr>
                <w:rFonts w:cs="Tahoma"/>
                <w:szCs w:val="18"/>
              </w:rPr>
              <w:t>ith prostanoids within 3 months</w:t>
            </w:r>
          </w:p>
        </w:tc>
        <w:tc>
          <w:tcPr>
            <w:tcW w:w="0" w:type="auto"/>
          </w:tcPr>
          <w:p w:rsidR="001D0FDA" w:rsidRPr="00351FF5" w:rsidRDefault="001D0FDA" w:rsidP="001D0FDA">
            <w:pPr>
              <w:pStyle w:val="Tabletext"/>
              <w:rPr>
                <w:rFonts w:cs="Tahoma"/>
                <w:szCs w:val="18"/>
              </w:rPr>
            </w:pPr>
            <w:r>
              <w:rPr>
                <w:rFonts w:cs="Tahoma"/>
                <w:szCs w:val="18"/>
              </w:rPr>
              <w:t>N=40</w:t>
            </w:r>
          </w:p>
          <w:tbl>
            <w:tblPr>
              <w:tblStyle w:val="TableGrid"/>
              <w:tblW w:w="436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COMBI"/>
            </w:tblPr>
            <w:tblGrid>
              <w:gridCol w:w="2101"/>
              <w:gridCol w:w="1134"/>
              <w:gridCol w:w="1134"/>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1D0FDA" w:rsidRPr="00351FF5" w:rsidRDefault="001D0FDA" w:rsidP="00B5196D">
                  <w:pPr>
                    <w:pStyle w:val="Tabletext"/>
                    <w:framePr w:hSpace="180" w:wrap="around" w:vAnchor="text" w:hAnchor="text" w:y="1"/>
                    <w:spacing w:before="0" w:after="0"/>
                    <w:rPr>
                      <w:rFonts w:cs="Tahoma"/>
                      <w:b/>
                      <w:szCs w:val="18"/>
                    </w:rPr>
                  </w:pPr>
                </w:p>
              </w:tc>
              <w:tc>
                <w:tcPr>
                  <w:tcW w:w="1134"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Pr>
                      <w:rFonts w:cs="Tahoma"/>
                      <w:szCs w:val="18"/>
                    </w:rPr>
                    <w:t>Iloprost + bosentan</w:t>
                  </w:r>
                </w:p>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(N=</w:t>
                  </w:r>
                  <w:r>
                    <w:rPr>
                      <w:rFonts w:cs="Tahoma"/>
                      <w:szCs w:val="18"/>
                    </w:rPr>
                    <w:t>19</w:t>
                  </w:r>
                  <w:r w:rsidRPr="00802B85">
                    <w:rPr>
                      <w:rFonts w:cs="Tahoma"/>
                      <w:szCs w:val="18"/>
                    </w:rPr>
                    <w:t>)</w:t>
                  </w:r>
                </w:p>
              </w:tc>
              <w:tc>
                <w:tcPr>
                  <w:tcW w:w="1134"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Pr>
                      <w:rFonts w:cs="Tahoma"/>
                      <w:szCs w:val="18"/>
                    </w:rPr>
                    <w:t>Bosentan</w:t>
                  </w:r>
                </w:p>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(N=</w:t>
                  </w:r>
                  <w:r>
                    <w:rPr>
                      <w:rFonts w:cs="Tahoma"/>
                      <w:szCs w:val="18"/>
                    </w:rPr>
                    <w:t>21</w:t>
                  </w:r>
                  <w:r w:rsidRPr="00802B85">
                    <w:rPr>
                      <w:rFonts w:cs="Tahoma"/>
                      <w:szCs w:val="18"/>
                    </w:rPr>
                    <w:t>)</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 xml:space="preserve">Age, mean±SD (yrs) </w:t>
                  </w:r>
                </w:p>
              </w:tc>
              <w:tc>
                <w:tcPr>
                  <w:tcW w:w="1134" w:type="dxa"/>
                </w:tcPr>
                <w:p w:rsidR="001D0FDA" w:rsidRPr="00351FF5" w:rsidRDefault="001D0FDA" w:rsidP="00B5196D">
                  <w:pPr>
                    <w:pStyle w:val="Tabletext"/>
                    <w:framePr w:hSpace="180" w:wrap="around" w:vAnchor="text" w:hAnchor="text" w:y="1"/>
                    <w:spacing w:before="0"/>
                    <w:jc w:val="center"/>
                    <w:rPr>
                      <w:rFonts w:cs="Tahoma"/>
                      <w:szCs w:val="18"/>
                    </w:rPr>
                  </w:pPr>
                  <w:r w:rsidRPr="0056355D">
                    <w:rPr>
                      <w:rFonts w:cs="Tahoma"/>
                      <w:szCs w:val="18"/>
                    </w:rPr>
                    <w:t xml:space="preserve">48 ± 14 </w:t>
                  </w:r>
                </w:p>
              </w:tc>
              <w:tc>
                <w:tcPr>
                  <w:tcW w:w="1134" w:type="dxa"/>
                </w:tcPr>
                <w:p w:rsidR="001D0FDA" w:rsidRPr="00351FF5" w:rsidRDefault="001D0FDA" w:rsidP="00B5196D">
                  <w:pPr>
                    <w:pStyle w:val="Tabletext"/>
                    <w:framePr w:hSpace="180" w:wrap="around" w:vAnchor="text" w:hAnchor="text" w:y="1"/>
                    <w:spacing w:before="0" w:after="0"/>
                    <w:jc w:val="center"/>
                    <w:rPr>
                      <w:rFonts w:cs="Tahoma"/>
                      <w:szCs w:val="18"/>
                    </w:rPr>
                  </w:pPr>
                  <w:r w:rsidRPr="0056355D">
                    <w:rPr>
                      <w:rFonts w:cs="Tahoma"/>
                      <w:szCs w:val="18"/>
                    </w:rPr>
                    <w:t>56 ± 13</w:t>
                  </w:r>
                </w:p>
              </w:tc>
            </w:tr>
            <w:tr w:rsidR="001D0FDA" w:rsidRPr="00351FF5" w:rsidTr="001D0FDA">
              <w:tc>
                <w:tcPr>
                  <w:tcW w:w="2101"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Gender, femal</w:t>
                  </w:r>
                  <w:r>
                    <w:rPr>
                      <w:rFonts w:cs="Tahoma"/>
                      <w:szCs w:val="18"/>
                    </w:rPr>
                    <w:t>e</w:t>
                  </w:r>
                  <w:r w:rsidRPr="00351FF5">
                    <w:rPr>
                      <w:rFonts w:cs="Tahoma"/>
                      <w:szCs w:val="18"/>
                    </w:rPr>
                    <w:t>, n (%)</w:t>
                  </w:r>
                </w:p>
              </w:tc>
              <w:tc>
                <w:tcPr>
                  <w:tcW w:w="1134"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15</w:t>
                  </w:r>
                  <w:r w:rsidRPr="00351FF5">
                    <w:rPr>
                      <w:rFonts w:cs="Tahoma"/>
                      <w:szCs w:val="18"/>
                    </w:rPr>
                    <w:t xml:space="preserve"> (7</w:t>
                  </w:r>
                  <w:r>
                    <w:rPr>
                      <w:rFonts w:cs="Tahoma"/>
                      <w:szCs w:val="18"/>
                    </w:rPr>
                    <w:t>9</w:t>
                  </w:r>
                  <w:r w:rsidRPr="00351FF5">
                    <w:rPr>
                      <w:rFonts w:cs="Tahoma"/>
                      <w:szCs w:val="18"/>
                    </w:rPr>
                    <w:t>%)</w:t>
                  </w:r>
                </w:p>
              </w:tc>
              <w:tc>
                <w:tcPr>
                  <w:tcW w:w="1134"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16</w:t>
                  </w:r>
                  <w:r w:rsidRPr="00351FF5">
                    <w:rPr>
                      <w:rFonts w:cs="Tahoma"/>
                      <w:szCs w:val="18"/>
                    </w:rPr>
                    <w:t xml:space="preserve"> (</w:t>
                  </w:r>
                  <w:r>
                    <w:rPr>
                      <w:rFonts w:cs="Tahoma"/>
                      <w:szCs w:val="18"/>
                    </w:rPr>
                    <w:t>76</w:t>
                  </w:r>
                  <w:r w:rsidRPr="00351FF5">
                    <w:rPr>
                      <w:rFonts w:cs="Tahoma"/>
                      <w:szCs w:val="18"/>
                    </w:rPr>
                    <w:t>%)</w:t>
                  </w:r>
                </w:p>
              </w:tc>
            </w:tr>
            <w:tr w:rsidR="001D0FDA" w:rsidRPr="00351FF5" w:rsidTr="001D0FDA">
              <w:tc>
                <w:tcPr>
                  <w:tcW w:w="2101"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PAH aetiology, n (%)</w:t>
                  </w:r>
                </w:p>
              </w:tc>
              <w:tc>
                <w:tcPr>
                  <w:tcW w:w="1134"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c>
                <w:tcPr>
                  <w:tcW w:w="1134"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IPAH</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19 (100%)</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21 (100%)</w:t>
                  </w:r>
                </w:p>
              </w:tc>
            </w:tr>
            <w:tr w:rsidR="001D0FDA" w:rsidRPr="00351FF5" w:rsidTr="001D0FDA">
              <w:tc>
                <w:tcPr>
                  <w:tcW w:w="2101"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WHO FC</w:t>
                  </w:r>
                  <w:r>
                    <w:rPr>
                      <w:rFonts w:cs="Tahoma"/>
                      <w:szCs w:val="18"/>
                    </w:rPr>
                    <w:t>, n (%)</w:t>
                  </w:r>
                </w:p>
              </w:tc>
              <w:tc>
                <w:tcPr>
                  <w:tcW w:w="1134"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NR</w:t>
                  </w:r>
                </w:p>
              </w:tc>
              <w:tc>
                <w:tcPr>
                  <w:tcW w:w="1134"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101" w:type="dxa"/>
                  <w:tcBorders>
                    <w:top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III</w:t>
                  </w:r>
                </w:p>
              </w:tc>
              <w:tc>
                <w:tcPr>
                  <w:tcW w:w="1134" w:type="dxa"/>
                  <w:tcBorders>
                    <w:top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19 (100%)</w:t>
                  </w:r>
                </w:p>
              </w:tc>
              <w:tc>
                <w:tcPr>
                  <w:tcW w:w="1134" w:type="dxa"/>
                  <w:tcBorders>
                    <w:top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21 (100%)</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mPAP, mean±SD (mmHg)</w:t>
                  </w:r>
                </w:p>
              </w:tc>
              <w:tc>
                <w:tcPr>
                  <w:tcW w:w="1134"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54</w:t>
                  </w:r>
                  <w:r w:rsidRPr="00351FF5">
                    <w:rPr>
                      <w:rFonts w:cs="Tahoma"/>
                      <w:szCs w:val="18"/>
                    </w:rPr>
                    <w:t>±</w:t>
                  </w:r>
                  <w:r>
                    <w:rPr>
                      <w:rFonts w:cs="Tahoma"/>
                      <w:szCs w:val="18"/>
                    </w:rPr>
                    <w:t>12</w:t>
                  </w:r>
                </w:p>
              </w:tc>
              <w:tc>
                <w:tcPr>
                  <w:tcW w:w="1134"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5</w:t>
                  </w:r>
                  <w:r>
                    <w:rPr>
                      <w:rFonts w:cs="Tahoma"/>
                      <w:szCs w:val="18"/>
                    </w:rPr>
                    <w:t>9</w:t>
                  </w:r>
                  <w:r w:rsidRPr="00351FF5">
                    <w:rPr>
                      <w:rFonts w:cs="Tahoma"/>
                      <w:szCs w:val="18"/>
                    </w:rPr>
                    <w:t>±1</w:t>
                  </w:r>
                  <w:r>
                    <w:rPr>
                      <w:rFonts w:cs="Tahoma"/>
                      <w:szCs w:val="18"/>
                    </w:rPr>
                    <w:t>9</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PVR, mean±SD (</w:t>
                  </w:r>
                  <w:r>
                    <w:rPr>
                      <w:rFonts w:cs="Tahoma"/>
                      <w:szCs w:val="18"/>
                    </w:rPr>
                    <w:t>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134"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839±531</w:t>
                  </w:r>
                </w:p>
              </w:tc>
              <w:tc>
                <w:tcPr>
                  <w:tcW w:w="1134"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805±369</w:t>
                  </w:r>
                </w:p>
              </w:tc>
            </w:tr>
          </w:tbl>
          <w:p w:rsidR="001D0FDA" w:rsidRDefault="001D0FDA" w:rsidP="001D0FDA">
            <w:pPr>
              <w:pStyle w:val="Tabletext"/>
              <w:rPr>
                <w:rFonts w:cs="Tahoma"/>
                <w:szCs w:val="18"/>
              </w:rPr>
            </w:pPr>
          </w:p>
        </w:tc>
        <w:tc>
          <w:tcPr>
            <w:tcW w:w="811" w:type="pct"/>
          </w:tcPr>
          <w:p w:rsidR="001D0FDA" w:rsidRPr="0056355D" w:rsidRDefault="001D0FDA" w:rsidP="001D0FDA">
            <w:pPr>
              <w:pStyle w:val="Tabletext"/>
              <w:rPr>
                <w:rFonts w:cs="Tahoma"/>
                <w:i/>
                <w:szCs w:val="18"/>
              </w:rPr>
            </w:pPr>
            <w:r>
              <w:rPr>
                <w:rFonts w:cs="Tahoma"/>
                <w:i/>
                <w:szCs w:val="18"/>
              </w:rPr>
              <w:t>Intervention</w:t>
            </w:r>
          </w:p>
          <w:p w:rsidR="001D0FDA" w:rsidRPr="0056355D" w:rsidRDefault="001D0FDA" w:rsidP="001D0FDA">
            <w:pPr>
              <w:pStyle w:val="Tabletext"/>
              <w:rPr>
                <w:rFonts w:cs="Tahoma"/>
                <w:szCs w:val="18"/>
              </w:rPr>
            </w:pPr>
            <w:r w:rsidRPr="0056355D">
              <w:rPr>
                <w:rFonts w:cs="Tahoma"/>
                <w:szCs w:val="18"/>
              </w:rPr>
              <w:t>Iloprost + bosentan</w:t>
            </w:r>
          </w:p>
          <w:p w:rsidR="001D0FDA" w:rsidRPr="0056355D" w:rsidRDefault="001D0FDA" w:rsidP="001D0FDA">
            <w:pPr>
              <w:pStyle w:val="Tabletext"/>
              <w:rPr>
                <w:rFonts w:cs="Tahoma"/>
                <w:szCs w:val="18"/>
              </w:rPr>
            </w:pPr>
            <w:r w:rsidRPr="0056355D">
              <w:rPr>
                <w:rFonts w:cs="Tahoma"/>
                <w:szCs w:val="18"/>
              </w:rPr>
              <w:t>Bosentan</w:t>
            </w:r>
            <w:r>
              <w:rPr>
                <w:rFonts w:cs="Tahoma"/>
                <w:szCs w:val="18"/>
              </w:rPr>
              <w:t>:</w:t>
            </w:r>
            <w:r w:rsidRPr="0056355D">
              <w:rPr>
                <w:rFonts w:cs="Tahoma"/>
                <w:szCs w:val="18"/>
              </w:rPr>
              <w:t xml:space="preserve"> </w:t>
            </w:r>
            <w:r>
              <w:rPr>
                <w:rFonts w:cs="Tahoma"/>
                <w:szCs w:val="18"/>
              </w:rPr>
              <w:t>125mg bid</w:t>
            </w:r>
          </w:p>
          <w:p w:rsidR="001D0FDA" w:rsidRDefault="001D0FDA" w:rsidP="001D0FDA">
            <w:pPr>
              <w:pStyle w:val="Tabletext"/>
              <w:rPr>
                <w:rFonts w:cs="Tahoma"/>
                <w:szCs w:val="18"/>
              </w:rPr>
            </w:pPr>
            <w:r w:rsidRPr="0056355D">
              <w:rPr>
                <w:rFonts w:cs="Tahoma"/>
                <w:szCs w:val="18"/>
              </w:rPr>
              <w:t>Iloprost</w:t>
            </w:r>
            <w:r>
              <w:rPr>
                <w:rFonts w:cs="Tahoma"/>
                <w:szCs w:val="18"/>
              </w:rPr>
              <w:t xml:space="preserve">: </w:t>
            </w:r>
            <w:r w:rsidRPr="0056355D">
              <w:rPr>
                <w:rFonts w:cs="Tahoma"/>
                <w:szCs w:val="18"/>
              </w:rPr>
              <w:t xml:space="preserve">5µg </w:t>
            </w:r>
            <w:r>
              <w:rPr>
                <w:rFonts w:cs="Tahoma"/>
                <w:szCs w:val="18"/>
              </w:rPr>
              <w:t>inhaled</w:t>
            </w:r>
            <w:r w:rsidRPr="0056355D">
              <w:rPr>
                <w:rFonts w:cs="Tahoma"/>
                <w:szCs w:val="18"/>
              </w:rPr>
              <w:t xml:space="preserve"> </w:t>
            </w:r>
            <w:r>
              <w:rPr>
                <w:rFonts w:cs="Tahoma"/>
                <w:szCs w:val="18"/>
              </w:rPr>
              <w:t>6 times daily</w:t>
            </w:r>
          </w:p>
          <w:p w:rsidR="001D0FDA" w:rsidRDefault="001D0FDA" w:rsidP="001D0FDA">
            <w:pPr>
              <w:pStyle w:val="Tabletext"/>
              <w:rPr>
                <w:rFonts w:cs="Tahoma"/>
                <w:szCs w:val="18"/>
              </w:rPr>
            </w:pPr>
          </w:p>
          <w:p w:rsidR="001D0FDA" w:rsidRPr="0056355D" w:rsidRDefault="001D0FDA" w:rsidP="001D0FDA">
            <w:pPr>
              <w:pStyle w:val="Tabletext"/>
              <w:rPr>
                <w:rFonts w:cs="Tahoma"/>
                <w:szCs w:val="18"/>
              </w:rPr>
            </w:pPr>
            <w:r>
              <w:rPr>
                <w:rFonts w:cs="Tahoma"/>
                <w:i/>
                <w:szCs w:val="18"/>
              </w:rPr>
              <w:t>Comparator</w:t>
            </w:r>
            <w:r w:rsidRPr="0056355D">
              <w:rPr>
                <w:rFonts w:cs="Tahoma"/>
                <w:szCs w:val="18"/>
              </w:rPr>
              <w:t xml:space="preserve"> </w:t>
            </w:r>
          </w:p>
          <w:p w:rsidR="001D0FDA" w:rsidRPr="0056355D" w:rsidRDefault="001D0FDA" w:rsidP="001D0FDA">
            <w:pPr>
              <w:pStyle w:val="Tabletext"/>
              <w:rPr>
                <w:rFonts w:cs="Tahoma"/>
                <w:szCs w:val="18"/>
              </w:rPr>
            </w:pPr>
            <w:r w:rsidRPr="0056355D">
              <w:rPr>
                <w:rFonts w:cs="Tahoma"/>
                <w:szCs w:val="18"/>
              </w:rPr>
              <w:t>Bosentan alone</w:t>
            </w:r>
          </w:p>
          <w:p w:rsidR="001D0FDA" w:rsidRDefault="001D0FDA" w:rsidP="001D0FDA">
            <w:pPr>
              <w:pStyle w:val="Tabletext"/>
              <w:rPr>
                <w:rFonts w:cs="Tahoma"/>
                <w:i/>
                <w:szCs w:val="18"/>
              </w:rPr>
            </w:pPr>
            <w:r w:rsidRPr="0056355D">
              <w:rPr>
                <w:rFonts w:cs="Tahoma"/>
                <w:szCs w:val="18"/>
              </w:rPr>
              <w:t>Bosentan</w:t>
            </w:r>
            <w:r>
              <w:rPr>
                <w:rFonts w:cs="Tahoma"/>
                <w:szCs w:val="18"/>
              </w:rPr>
              <w:t>: 125mg bi</w:t>
            </w:r>
            <w:r w:rsidRPr="0056355D">
              <w:rPr>
                <w:rFonts w:cs="Tahoma"/>
                <w:szCs w:val="18"/>
              </w:rPr>
              <w:t>d</w:t>
            </w:r>
          </w:p>
        </w:tc>
        <w:tc>
          <w:tcPr>
            <w:tcW w:w="771" w:type="pct"/>
          </w:tcPr>
          <w:p w:rsidR="001D0FDA" w:rsidRDefault="001D0FDA" w:rsidP="001D0FDA">
            <w:pPr>
              <w:pStyle w:val="Tabletext"/>
              <w:rPr>
                <w:rFonts w:cs="Tahoma"/>
                <w:i/>
                <w:szCs w:val="18"/>
              </w:rPr>
            </w:pPr>
            <w:r>
              <w:rPr>
                <w:rFonts w:cs="Tahoma"/>
                <w:i/>
                <w:szCs w:val="18"/>
              </w:rPr>
              <w:t>Effectiveness:</w:t>
            </w:r>
          </w:p>
          <w:p w:rsidR="001D0FDA" w:rsidRPr="00B551C2" w:rsidRDefault="001D0FDA" w:rsidP="001D0FDA">
            <w:pPr>
              <w:pStyle w:val="Tabletext"/>
              <w:rPr>
                <w:rFonts w:cs="Tahoma"/>
                <w:szCs w:val="18"/>
              </w:rPr>
            </w:pPr>
            <w:r w:rsidRPr="00B551C2">
              <w:rPr>
                <w:rFonts w:cs="Tahoma"/>
                <w:szCs w:val="18"/>
              </w:rPr>
              <w:t>Primary:</w:t>
            </w:r>
          </w:p>
          <w:p w:rsidR="001D0FDA" w:rsidRPr="00B551C2" w:rsidRDefault="001D0FDA" w:rsidP="00480FDF">
            <w:pPr>
              <w:pStyle w:val="Tabletext"/>
              <w:numPr>
                <w:ilvl w:val="0"/>
                <w:numId w:val="54"/>
              </w:numPr>
              <w:ind w:left="239" w:hanging="144"/>
              <w:rPr>
                <w:rFonts w:cs="Tahoma"/>
                <w:szCs w:val="18"/>
              </w:rPr>
            </w:pPr>
            <w:r w:rsidRPr="00B551C2">
              <w:rPr>
                <w:rFonts w:cs="Tahoma"/>
                <w:szCs w:val="18"/>
              </w:rPr>
              <w:t xml:space="preserve">Change in 6MWD </w:t>
            </w:r>
            <w:r>
              <w:rPr>
                <w:rFonts w:cs="Tahoma"/>
                <w:szCs w:val="18"/>
              </w:rPr>
              <w:t>at Week 12</w:t>
            </w:r>
            <w:r w:rsidRPr="006F5135">
              <w:rPr>
                <w:rFonts w:cs="Tahoma"/>
                <w:szCs w:val="18"/>
                <w:vertAlign w:val="superscript"/>
              </w:rPr>
              <w:t>c</w:t>
            </w:r>
          </w:p>
          <w:p w:rsidR="001D0FDA" w:rsidRPr="00B551C2" w:rsidRDefault="001D0FDA" w:rsidP="001D0FDA">
            <w:pPr>
              <w:pStyle w:val="Tabletext"/>
              <w:rPr>
                <w:rFonts w:cs="Tahoma"/>
                <w:szCs w:val="18"/>
              </w:rPr>
            </w:pPr>
            <w:r w:rsidRPr="00B551C2">
              <w:rPr>
                <w:rFonts w:cs="Tahoma"/>
                <w:szCs w:val="18"/>
              </w:rPr>
              <w:t>Secondary:</w:t>
            </w:r>
          </w:p>
          <w:p w:rsidR="001D0FDA" w:rsidRPr="00B551C2" w:rsidRDefault="001D0FDA" w:rsidP="00480FDF">
            <w:pPr>
              <w:pStyle w:val="Tabletext"/>
              <w:numPr>
                <w:ilvl w:val="0"/>
                <w:numId w:val="54"/>
              </w:numPr>
              <w:ind w:left="239" w:hanging="144"/>
              <w:rPr>
                <w:rFonts w:cs="Tahoma"/>
                <w:szCs w:val="18"/>
              </w:rPr>
            </w:pPr>
            <w:r w:rsidRPr="00B551C2">
              <w:rPr>
                <w:rFonts w:cs="Tahoma"/>
                <w:szCs w:val="18"/>
              </w:rPr>
              <w:t>Change in WHO FC</w:t>
            </w:r>
          </w:p>
          <w:p w:rsidR="001D0FDA" w:rsidRPr="00B551C2" w:rsidRDefault="001D0FDA" w:rsidP="00480FDF">
            <w:pPr>
              <w:pStyle w:val="Tabletext"/>
              <w:numPr>
                <w:ilvl w:val="0"/>
                <w:numId w:val="54"/>
              </w:numPr>
              <w:ind w:left="239" w:hanging="144"/>
              <w:rPr>
                <w:rFonts w:cs="Tahoma"/>
                <w:szCs w:val="18"/>
              </w:rPr>
            </w:pPr>
            <w:r>
              <w:rPr>
                <w:rFonts w:cs="Tahoma"/>
                <w:szCs w:val="18"/>
              </w:rPr>
              <w:t>Change in EQ-</w:t>
            </w:r>
            <w:r w:rsidR="00107963">
              <w:rPr>
                <w:rFonts w:cs="Tahoma"/>
                <w:szCs w:val="18"/>
              </w:rPr>
              <w:t>VAS</w:t>
            </w:r>
            <w:r w:rsidRPr="006F5135">
              <w:rPr>
                <w:rFonts w:cs="Tahoma"/>
                <w:szCs w:val="18"/>
                <w:vertAlign w:val="superscript"/>
              </w:rPr>
              <w:t>c</w:t>
            </w:r>
          </w:p>
          <w:p w:rsidR="001D0FDA" w:rsidRPr="006F5135" w:rsidRDefault="001D0FDA" w:rsidP="00480FDF">
            <w:pPr>
              <w:pStyle w:val="Tabletext"/>
              <w:numPr>
                <w:ilvl w:val="0"/>
                <w:numId w:val="54"/>
              </w:numPr>
              <w:ind w:left="239" w:hanging="144"/>
              <w:rPr>
                <w:rFonts w:cs="Tahoma"/>
                <w:szCs w:val="18"/>
              </w:rPr>
            </w:pPr>
            <w:r w:rsidRPr="00B551C2">
              <w:rPr>
                <w:rFonts w:cs="Tahoma"/>
                <w:szCs w:val="18"/>
              </w:rPr>
              <w:t>Clinical worsening</w:t>
            </w:r>
            <w:r w:rsidRPr="006F5135">
              <w:rPr>
                <w:rFonts w:cs="Tahoma"/>
                <w:szCs w:val="18"/>
                <w:vertAlign w:val="superscript"/>
              </w:rPr>
              <w:t>c</w:t>
            </w:r>
          </w:p>
          <w:p w:rsidR="001D0FDA" w:rsidRDefault="001D0FDA" w:rsidP="001D0FDA">
            <w:pPr>
              <w:pStyle w:val="Tabletext"/>
              <w:rPr>
                <w:rFonts w:cs="Tahoma"/>
                <w:szCs w:val="18"/>
              </w:rPr>
            </w:pPr>
            <w:r>
              <w:rPr>
                <w:rFonts w:cs="Tahoma"/>
                <w:szCs w:val="18"/>
              </w:rPr>
              <w:t>Others:</w:t>
            </w:r>
          </w:p>
          <w:p w:rsidR="001D0FDA" w:rsidRPr="00403921" w:rsidRDefault="001D0FDA" w:rsidP="00480FDF">
            <w:pPr>
              <w:pStyle w:val="Tabletext"/>
              <w:numPr>
                <w:ilvl w:val="0"/>
                <w:numId w:val="54"/>
              </w:numPr>
              <w:ind w:left="239" w:hanging="144"/>
              <w:rPr>
                <w:rFonts w:cs="Tahoma"/>
                <w:szCs w:val="18"/>
              </w:rPr>
            </w:pPr>
            <w:r>
              <w:rPr>
                <w:rFonts w:cs="Tahoma"/>
                <w:szCs w:val="18"/>
              </w:rPr>
              <w:t>Mortality</w:t>
            </w:r>
            <w:r>
              <w:rPr>
                <w:rFonts w:cs="Tahoma"/>
                <w:szCs w:val="18"/>
                <w:vertAlign w:val="superscript"/>
              </w:rPr>
              <w:t>c</w:t>
            </w:r>
          </w:p>
          <w:p w:rsidR="00A073C5" w:rsidRPr="001D75C0" w:rsidRDefault="00A073C5" w:rsidP="00480FDF">
            <w:pPr>
              <w:pStyle w:val="Tabletext"/>
              <w:numPr>
                <w:ilvl w:val="0"/>
                <w:numId w:val="54"/>
              </w:numPr>
              <w:ind w:left="239" w:hanging="144"/>
              <w:rPr>
                <w:rFonts w:cs="Tahoma"/>
                <w:szCs w:val="18"/>
              </w:rPr>
            </w:pPr>
            <w:r>
              <w:rPr>
                <w:rFonts w:cs="Tahoma"/>
                <w:szCs w:val="18"/>
              </w:rPr>
              <w:t>Hospitalisation due to PAH</w:t>
            </w:r>
          </w:p>
          <w:p w:rsidR="001D0FDA" w:rsidRDefault="001D0FDA" w:rsidP="001D0FDA">
            <w:pPr>
              <w:pStyle w:val="Tabletext"/>
              <w:rPr>
                <w:rFonts w:cs="Tahoma"/>
                <w:i/>
                <w:szCs w:val="18"/>
              </w:rPr>
            </w:pPr>
          </w:p>
          <w:p w:rsidR="001D0FDA" w:rsidRPr="001D75C0" w:rsidRDefault="001D0FDA" w:rsidP="001D0FDA">
            <w:pPr>
              <w:pStyle w:val="Tabletext"/>
              <w:rPr>
                <w:rFonts w:cs="Tahoma"/>
                <w:i/>
                <w:szCs w:val="18"/>
              </w:rPr>
            </w:pPr>
            <w:r w:rsidRPr="001D75C0">
              <w:rPr>
                <w:rFonts w:cs="Tahoma"/>
                <w:i/>
                <w:szCs w:val="18"/>
              </w:rPr>
              <w:t>Safety</w:t>
            </w:r>
          </w:p>
          <w:p w:rsidR="001D0FDA" w:rsidRPr="00B551C2" w:rsidRDefault="001D0FDA" w:rsidP="00480FDF">
            <w:pPr>
              <w:pStyle w:val="Tabletext"/>
              <w:numPr>
                <w:ilvl w:val="0"/>
                <w:numId w:val="54"/>
              </w:numPr>
              <w:ind w:left="239" w:hanging="144"/>
              <w:rPr>
                <w:rFonts w:cs="Tahoma"/>
                <w:szCs w:val="18"/>
              </w:rPr>
            </w:pPr>
            <w:r w:rsidRPr="001D75C0">
              <w:rPr>
                <w:rFonts w:cs="Tahoma"/>
                <w:szCs w:val="18"/>
              </w:rPr>
              <w:t>Adverse events</w:t>
            </w:r>
            <w:r w:rsidRPr="00B551C2">
              <w:rPr>
                <w:rFonts w:cs="Tahoma"/>
                <w:szCs w:val="18"/>
                <w:vertAlign w:val="superscript"/>
              </w:rPr>
              <w:t>c</w:t>
            </w:r>
          </w:p>
        </w:tc>
      </w:tr>
      <w:tr w:rsidR="001D0FDA" w:rsidRPr="00204000" w:rsidTr="001D0FDA">
        <w:tc>
          <w:tcPr>
            <w:tcW w:w="531" w:type="pct"/>
          </w:tcPr>
          <w:p w:rsidR="001D0FDA" w:rsidRPr="00D53F84" w:rsidRDefault="001D0FDA" w:rsidP="001D0FDA">
            <w:pPr>
              <w:pStyle w:val="Tabletext"/>
              <w:ind w:right="-28"/>
              <w:rPr>
                <w:rFonts w:eastAsia="Times New Roman"/>
              </w:rPr>
            </w:pPr>
            <w:r w:rsidRPr="00D53F84">
              <w:rPr>
                <w:rFonts w:eastAsia="Times New Roman"/>
              </w:rPr>
              <w:lastRenderedPageBreak/>
              <w:t>COMPASS-2</w:t>
            </w:r>
            <w:r w:rsidR="001D34EE" w:rsidRPr="001A1C44">
              <w:rPr>
                <w:rFonts w:eastAsia="Times New Roman"/>
                <w:noProof/>
                <w:vertAlign w:val="superscript"/>
              </w:rPr>
              <w:t>37</w:t>
            </w:r>
          </w:p>
          <w:p w:rsidR="001D0FDA" w:rsidRPr="00D53F84" w:rsidRDefault="001D0FDA" w:rsidP="001D0FDA">
            <w:pPr>
              <w:pStyle w:val="Tabletext"/>
              <w:ind w:right="-28"/>
              <w:rPr>
                <w:rFonts w:eastAsia="Times New Roman"/>
              </w:rPr>
            </w:pPr>
            <w:r w:rsidRPr="00D53F84">
              <w:rPr>
                <w:rFonts w:eastAsia="Times New Roman"/>
                <w:lang w:eastAsia="en-US"/>
              </w:rPr>
              <w:t>2006-2012</w:t>
            </w:r>
          </w:p>
          <w:p w:rsidR="001D0FDA" w:rsidRPr="00C519BC" w:rsidRDefault="001D0FDA" w:rsidP="001D0FDA">
            <w:pPr>
              <w:pStyle w:val="Tabletext"/>
              <w:ind w:right="-28"/>
              <w:rPr>
                <w:rFonts w:eastAsia="Times New Roman"/>
                <w:lang w:eastAsia="en-US"/>
              </w:rPr>
            </w:pPr>
            <w:r w:rsidRPr="00D53F84">
              <w:rPr>
                <w:rFonts w:eastAsia="Times New Roman"/>
                <w:lang w:eastAsia="en-US"/>
              </w:rPr>
              <w:t>US, Europe, Brazil, Saudi Arabia</w:t>
            </w:r>
          </w:p>
        </w:tc>
        <w:tc>
          <w:tcPr>
            <w:tcW w:w="476" w:type="pct"/>
          </w:tcPr>
          <w:p w:rsidR="001D0FDA" w:rsidRDefault="001D0FDA" w:rsidP="001D0FDA">
            <w:pPr>
              <w:pStyle w:val="Tabletext"/>
              <w:ind w:right="-28"/>
              <w:rPr>
                <w:rFonts w:eastAsia="Times New Roman"/>
                <w:lang w:eastAsia="en-US"/>
              </w:rPr>
            </w:pPr>
            <w:r w:rsidRPr="00D53F84">
              <w:rPr>
                <w:rFonts w:eastAsia="Times New Roman"/>
                <w:lang w:eastAsia="en-US"/>
              </w:rPr>
              <w:t>RCT, DB</w:t>
            </w:r>
            <w:r>
              <w:rPr>
                <w:rFonts w:eastAsia="Times New Roman"/>
                <w:lang w:eastAsia="en-US"/>
              </w:rPr>
              <w:t xml:space="preserve"> </w:t>
            </w:r>
          </w:p>
          <w:p w:rsidR="001D0FDA" w:rsidRPr="00C519BC" w:rsidRDefault="001D0FDA" w:rsidP="001D0FDA">
            <w:pPr>
              <w:pStyle w:val="Tabletext"/>
              <w:ind w:right="-28"/>
              <w:rPr>
                <w:rFonts w:eastAsia="Times New Roman"/>
                <w:lang w:eastAsia="en-US"/>
              </w:rPr>
            </w:pPr>
            <w:r>
              <w:rPr>
                <w:rFonts w:eastAsia="Times New Roman"/>
                <w:lang w:eastAsia="en-US"/>
              </w:rPr>
              <w:t>Level II evidence</w:t>
            </w:r>
          </w:p>
          <w:p w:rsidR="001D0FDA" w:rsidRPr="00D53F84" w:rsidRDefault="001D0FDA" w:rsidP="001D0FDA">
            <w:pPr>
              <w:pStyle w:val="Tabletext"/>
              <w:ind w:right="-28"/>
              <w:rPr>
                <w:rFonts w:eastAsia="Times New Roman"/>
                <w:lang w:eastAsia="en-US"/>
              </w:rPr>
            </w:pPr>
            <w:r>
              <w:rPr>
                <w:rFonts w:eastAsia="Times New Roman"/>
                <w:lang w:eastAsia="en-US"/>
              </w:rPr>
              <w:t>Follow-up: 38</w:t>
            </w:r>
            <w:r w:rsidR="00300E1B">
              <w:rPr>
                <w:rFonts w:eastAsia="Times New Roman"/>
                <w:lang w:eastAsia="en-US"/>
              </w:rPr>
              <w:t>.9</w:t>
            </w:r>
            <w:r>
              <w:rPr>
                <w:rFonts w:eastAsia="Times New Roman"/>
                <w:lang w:eastAsia="en-US"/>
              </w:rPr>
              <w:t xml:space="preserve"> months</w:t>
            </w:r>
          </w:p>
          <w:p w:rsidR="001D0FDA" w:rsidRPr="00C519BC" w:rsidRDefault="001D0FDA" w:rsidP="001D0FDA">
            <w:pPr>
              <w:pStyle w:val="Tabletext"/>
              <w:ind w:right="-28"/>
              <w:rPr>
                <w:rFonts w:eastAsia="Times New Roman"/>
                <w:lang w:eastAsia="en-US"/>
              </w:rPr>
            </w:pPr>
            <w:r>
              <w:rPr>
                <w:rFonts w:eastAsia="Times New Roman"/>
                <w:lang w:eastAsia="en-US"/>
              </w:rPr>
              <w:t>Risk of bias: l</w:t>
            </w:r>
            <w:r w:rsidRPr="00D53F84">
              <w:rPr>
                <w:rFonts w:eastAsia="Times New Roman"/>
                <w:lang w:eastAsia="en-US"/>
              </w:rPr>
              <w:t>ow-to-moderate</w:t>
            </w:r>
          </w:p>
        </w:tc>
        <w:tc>
          <w:tcPr>
            <w:tcW w:w="772" w:type="pct"/>
          </w:tcPr>
          <w:p w:rsidR="001D0FDA" w:rsidRPr="00A80005" w:rsidRDefault="001D0FDA" w:rsidP="001D0FDA">
            <w:pPr>
              <w:pStyle w:val="Tabletext"/>
              <w:rPr>
                <w:rFonts w:cs="Tahoma"/>
                <w:i/>
                <w:szCs w:val="18"/>
              </w:rPr>
            </w:pPr>
            <w:r>
              <w:rPr>
                <w:rFonts w:cs="Tahoma"/>
                <w:i/>
                <w:szCs w:val="18"/>
              </w:rPr>
              <w:t>Inclusion criteria</w:t>
            </w:r>
          </w:p>
          <w:p w:rsidR="001D0FDA" w:rsidRPr="00A80005" w:rsidRDefault="001D0FDA" w:rsidP="00480FDF">
            <w:pPr>
              <w:pStyle w:val="Tabletext"/>
              <w:numPr>
                <w:ilvl w:val="0"/>
                <w:numId w:val="54"/>
              </w:numPr>
              <w:ind w:left="239" w:hanging="144"/>
              <w:rPr>
                <w:rFonts w:cs="Tahoma"/>
                <w:szCs w:val="18"/>
              </w:rPr>
            </w:pPr>
            <w:r w:rsidRPr="00A80005">
              <w:rPr>
                <w:rFonts w:cs="Tahoma"/>
                <w:szCs w:val="18"/>
              </w:rPr>
              <w:t xml:space="preserve">Age </w:t>
            </w:r>
            <w:r>
              <w:rPr>
                <w:rFonts w:cs="Tahoma"/>
                <w:szCs w:val="18"/>
              </w:rPr>
              <w:t>of ≥</w:t>
            </w:r>
            <w:r w:rsidRPr="00A80005">
              <w:rPr>
                <w:rFonts w:cs="Tahoma"/>
                <w:szCs w:val="18"/>
              </w:rPr>
              <w:t xml:space="preserve">18 years </w:t>
            </w:r>
          </w:p>
          <w:p w:rsidR="001D0FDA" w:rsidRPr="00A80005" w:rsidRDefault="001D0FDA" w:rsidP="00480FDF">
            <w:pPr>
              <w:pStyle w:val="Tabletext"/>
              <w:numPr>
                <w:ilvl w:val="0"/>
                <w:numId w:val="54"/>
              </w:numPr>
              <w:ind w:left="239" w:hanging="144"/>
              <w:rPr>
                <w:rFonts w:cs="Tahoma"/>
                <w:szCs w:val="18"/>
              </w:rPr>
            </w:pPr>
            <w:r w:rsidRPr="00A80005">
              <w:rPr>
                <w:rFonts w:cs="Tahoma"/>
                <w:szCs w:val="18"/>
              </w:rPr>
              <w:t>Patients with symptomatic IPAH, HPAH, PAH-CTD, PAH-CHD, or PAH</w:t>
            </w:r>
            <w:r>
              <w:rPr>
                <w:rFonts w:cs="Tahoma"/>
                <w:szCs w:val="18"/>
              </w:rPr>
              <w:t>-DT</w:t>
            </w:r>
          </w:p>
          <w:p w:rsidR="001D0FDA" w:rsidRPr="00A80005" w:rsidRDefault="001D0FDA" w:rsidP="00480FDF">
            <w:pPr>
              <w:pStyle w:val="Tabletext"/>
              <w:numPr>
                <w:ilvl w:val="0"/>
                <w:numId w:val="54"/>
              </w:numPr>
              <w:ind w:left="239" w:hanging="144"/>
              <w:rPr>
                <w:rFonts w:cs="Tahoma"/>
                <w:szCs w:val="18"/>
              </w:rPr>
            </w:pPr>
            <w:r>
              <w:rPr>
                <w:rFonts w:cs="Tahoma"/>
                <w:szCs w:val="18"/>
              </w:rPr>
              <w:t>6MWD of 150-480m</w:t>
            </w:r>
          </w:p>
          <w:p w:rsidR="001D0FDA" w:rsidRPr="00A80005" w:rsidRDefault="001D0FDA" w:rsidP="00480FDF">
            <w:pPr>
              <w:pStyle w:val="Tabletext"/>
              <w:numPr>
                <w:ilvl w:val="0"/>
                <w:numId w:val="54"/>
              </w:numPr>
              <w:ind w:left="239" w:hanging="144"/>
              <w:rPr>
                <w:rFonts w:cs="Tahoma"/>
                <w:szCs w:val="18"/>
              </w:rPr>
            </w:pPr>
            <w:r w:rsidRPr="00A80005">
              <w:rPr>
                <w:rFonts w:cs="Tahoma"/>
                <w:szCs w:val="18"/>
              </w:rPr>
              <w:t>Receiving a stable dose of sildenafil ≥20mg tid for ≥3 months prior to randomisation</w:t>
            </w:r>
          </w:p>
          <w:p w:rsidR="001D0FDA" w:rsidRPr="00A80005" w:rsidRDefault="001D0FDA" w:rsidP="001D0FDA">
            <w:pPr>
              <w:pStyle w:val="Tabletext"/>
              <w:rPr>
                <w:rFonts w:cs="Tahoma"/>
                <w:i/>
                <w:szCs w:val="18"/>
              </w:rPr>
            </w:pPr>
          </w:p>
          <w:p w:rsidR="001D0FDA" w:rsidRPr="00A80005" w:rsidRDefault="001D0FDA" w:rsidP="001D0FDA">
            <w:pPr>
              <w:pStyle w:val="Tabletext"/>
              <w:rPr>
                <w:rFonts w:cs="Tahoma"/>
                <w:i/>
                <w:szCs w:val="18"/>
              </w:rPr>
            </w:pPr>
            <w:r>
              <w:rPr>
                <w:rFonts w:cs="Tahoma"/>
                <w:i/>
                <w:szCs w:val="18"/>
              </w:rPr>
              <w:t>Exclusion criteria</w:t>
            </w:r>
          </w:p>
          <w:p w:rsidR="001D0FDA" w:rsidRPr="00C519BC" w:rsidRDefault="001D0FDA" w:rsidP="00480FDF">
            <w:pPr>
              <w:pStyle w:val="Tabletext"/>
              <w:numPr>
                <w:ilvl w:val="0"/>
                <w:numId w:val="54"/>
              </w:numPr>
              <w:ind w:left="239" w:hanging="144"/>
              <w:rPr>
                <w:rFonts w:cs="Tahoma"/>
                <w:i/>
                <w:szCs w:val="18"/>
              </w:rPr>
            </w:pPr>
            <w:r w:rsidRPr="00A80005">
              <w:rPr>
                <w:rFonts w:cs="Tahoma"/>
                <w:szCs w:val="18"/>
              </w:rPr>
              <w:t xml:space="preserve">Receiving PAH </w:t>
            </w:r>
            <w:r w:rsidR="00701049">
              <w:rPr>
                <w:rFonts w:cs="Tahoma"/>
                <w:szCs w:val="18"/>
              </w:rPr>
              <w:t>medicine</w:t>
            </w:r>
            <w:r w:rsidRPr="00A80005">
              <w:rPr>
                <w:rFonts w:cs="Tahoma"/>
                <w:szCs w:val="18"/>
              </w:rPr>
              <w:t>s other than sildenafil within 3 months prior to randomisation</w:t>
            </w:r>
          </w:p>
        </w:tc>
        <w:tc>
          <w:tcPr>
            <w:tcW w:w="0" w:type="auto"/>
          </w:tcPr>
          <w:p w:rsidR="001D0FDA" w:rsidRPr="00A80005" w:rsidRDefault="001D0FDA" w:rsidP="001D0FDA">
            <w:pPr>
              <w:pStyle w:val="Tabletext"/>
              <w:rPr>
                <w:rFonts w:cs="Tahoma"/>
                <w:szCs w:val="18"/>
              </w:rPr>
            </w:pPr>
            <w:r w:rsidRPr="00A80005">
              <w:rPr>
                <w:rFonts w:cs="Tahoma"/>
                <w:szCs w:val="18"/>
              </w:rPr>
              <w:t>N=334</w:t>
            </w:r>
          </w:p>
          <w:tbl>
            <w:tblPr>
              <w:tblStyle w:val="TableGrid"/>
              <w:tblW w:w="43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COMPASS-2"/>
            </w:tblPr>
            <w:tblGrid>
              <w:gridCol w:w="2101"/>
              <w:gridCol w:w="1134"/>
              <w:gridCol w:w="1105"/>
            </w:tblGrid>
            <w:tr w:rsidR="001D0FDA" w:rsidRPr="00A80005" w:rsidTr="001D0FDA">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1D0FDA" w:rsidRPr="00A80005" w:rsidRDefault="001D0FDA" w:rsidP="00B5196D">
                  <w:pPr>
                    <w:pStyle w:val="Tabletext"/>
                    <w:framePr w:hSpace="180" w:wrap="around" w:vAnchor="text" w:hAnchor="text" w:y="1"/>
                    <w:spacing w:before="0" w:after="0"/>
                    <w:rPr>
                      <w:rFonts w:cs="Tahoma"/>
                      <w:szCs w:val="18"/>
                    </w:rPr>
                  </w:pPr>
                </w:p>
              </w:tc>
              <w:tc>
                <w:tcPr>
                  <w:tcW w:w="1134" w:type="dxa"/>
                  <w:shd w:val="clear" w:color="auto" w:fill="FFFFFF" w:themeFill="background1"/>
                </w:tcPr>
                <w:p w:rsidR="001D0FDA" w:rsidRPr="00A80005" w:rsidRDefault="001D0FDA" w:rsidP="00B5196D">
                  <w:pPr>
                    <w:pStyle w:val="Tabletext"/>
                    <w:framePr w:hSpace="180" w:wrap="around" w:vAnchor="text" w:hAnchor="text" w:y="1"/>
                    <w:spacing w:before="0" w:after="0"/>
                    <w:jc w:val="center"/>
                    <w:rPr>
                      <w:rFonts w:cs="Tahoma"/>
                      <w:szCs w:val="18"/>
                    </w:rPr>
                  </w:pPr>
                  <w:r w:rsidRPr="00A80005">
                    <w:rPr>
                      <w:rFonts w:cs="Tahoma"/>
                      <w:szCs w:val="18"/>
                    </w:rPr>
                    <w:t>Bosentan</w:t>
                  </w:r>
                  <w:r>
                    <w:rPr>
                      <w:rFonts w:cs="Tahoma"/>
                      <w:szCs w:val="18"/>
                    </w:rPr>
                    <w:t xml:space="preserve"> + sildenafil</w:t>
                  </w:r>
                </w:p>
                <w:p w:rsidR="001D0FDA" w:rsidRPr="00A80005" w:rsidRDefault="001D0FDA" w:rsidP="00B5196D">
                  <w:pPr>
                    <w:pStyle w:val="Tabletext"/>
                    <w:framePr w:hSpace="180" w:wrap="around" w:vAnchor="text" w:hAnchor="text" w:y="1"/>
                    <w:spacing w:before="0" w:after="0"/>
                    <w:jc w:val="center"/>
                    <w:rPr>
                      <w:rFonts w:cs="Tahoma"/>
                      <w:szCs w:val="18"/>
                    </w:rPr>
                  </w:pPr>
                  <w:r w:rsidRPr="00A80005">
                    <w:rPr>
                      <w:rFonts w:cs="Tahoma"/>
                      <w:szCs w:val="18"/>
                    </w:rPr>
                    <w:t>(n=159)</w:t>
                  </w:r>
                </w:p>
              </w:tc>
              <w:tc>
                <w:tcPr>
                  <w:tcW w:w="1105" w:type="dxa"/>
                  <w:shd w:val="clear" w:color="auto" w:fill="FFFFFF" w:themeFill="background1"/>
                </w:tcPr>
                <w:p w:rsidR="001D0FDA" w:rsidRPr="00A80005" w:rsidRDefault="001D0FDA" w:rsidP="00B5196D">
                  <w:pPr>
                    <w:pStyle w:val="Tabletext"/>
                    <w:framePr w:hSpace="180" w:wrap="around" w:vAnchor="text" w:hAnchor="text" w:y="1"/>
                    <w:spacing w:before="0" w:after="0"/>
                    <w:jc w:val="center"/>
                    <w:rPr>
                      <w:rFonts w:cs="Tahoma"/>
                      <w:szCs w:val="18"/>
                    </w:rPr>
                  </w:pPr>
                  <w:r w:rsidRPr="00A80005">
                    <w:rPr>
                      <w:rFonts w:cs="Tahoma"/>
                      <w:szCs w:val="18"/>
                    </w:rPr>
                    <w:t xml:space="preserve">Placebo </w:t>
                  </w:r>
                  <w:r>
                    <w:rPr>
                      <w:rFonts w:cs="Tahoma"/>
                      <w:szCs w:val="18"/>
                    </w:rPr>
                    <w:t>+ sildenafil</w:t>
                  </w:r>
                  <w:r>
                    <w:rPr>
                      <w:rFonts w:cs="Tahoma"/>
                      <w:szCs w:val="18"/>
                    </w:rPr>
                    <w:br/>
                  </w:r>
                  <w:r w:rsidRPr="00A80005">
                    <w:rPr>
                      <w:rFonts w:cs="Tahoma"/>
                      <w:szCs w:val="18"/>
                    </w:rPr>
                    <w:t>(n=175)</w:t>
                  </w:r>
                </w:p>
              </w:tc>
            </w:tr>
            <w:tr w:rsidR="001D0FDA" w:rsidRPr="00A80005" w:rsidTr="001D0FDA">
              <w:tc>
                <w:tcPr>
                  <w:tcW w:w="2101" w:type="dxa"/>
                </w:tcPr>
                <w:p w:rsidR="001D0FDA" w:rsidRPr="00A80005" w:rsidRDefault="001D0FDA" w:rsidP="00B5196D">
                  <w:pPr>
                    <w:pStyle w:val="Tabletext"/>
                    <w:framePr w:hSpace="180" w:wrap="around" w:vAnchor="text" w:hAnchor="text" w:y="1"/>
                    <w:spacing w:before="0" w:after="0"/>
                    <w:rPr>
                      <w:rFonts w:cs="Tahoma"/>
                      <w:szCs w:val="18"/>
                    </w:rPr>
                  </w:pPr>
                  <w:r>
                    <w:rPr>
                      <w:rFonts w:cs="Tahoma"/>
                      <w:szCs w:val="18"/>
                    </w:rPr>
                    <w:t>Age, mean±SD (yrs)</w:t>
                  </w:r>
                </w:p>
              </w:tc>
              <w:tc>
                <w:tcPr>
                  <w:tcW w:w="1134" w:type="dxa"/>
                  <w:vAlign w:val="center"/>
                </w:tcPr>
                <w:p w:rsidR="001D0FDA" w:rsidRPr="00A80005" w:rsidRDefault="001D0FDA" w:rsidP="00B5196D">
                  <w:pPr>
                    <w:pStyle w:val="Tabletext"/>
                    <w:framePr w:hSpace="180" w:wrap="around" w:vAnchor="text" w:hAnchor="text" w:y="1"/>
                    <w:spacing w:before="0" w:after="0"/>
                    <w:jc w:val="center"/>
                    <w:rPr>
                      <w:rFonts w:cs="Tahoma"/>
                      <w:szCs w:val="18"/>
                    </w:rPr>
                  </w:pPr>
                  <w:r w:rsidRPr="00A80005">
                    <w:rPr>
                      <w:rFonts w:cs="Tahoma"/>
                      <w:szCs w:val="18"/>
                    </w:rPr>
                    <w:t>5</w:t>
                  </w:r>
                  <w:r>
                    <w:rPr>
                      <w:rFonts w:cs="Tahoma"/>
                      <w:szCs w:val="18"/>
                    </w:rPr>
                    <w:t>3</w:t>
                  </w:r>
                  <w:r w:rsidRPr="00A80005">
                    <w:rPr>
                      <w:rFonts w:cs="Tahoma"/>
                      <w:szCs w:val="18"/>
                    </w:rPr>
                    <w:t>±15</w:t>
                  </w:r>
                </w:p>
              </w:tc>
              <w:tc>
                <w:tcPr>
                  <w:tcW w:w="1105" w:type="dxa"/>
                  <w:vAlign w:val="center"/>
                </w:tcPr>
                <w:p w:rsidR="001D0FDA" w:rsidRPr="00A80005" w:rsidRDefault="001D0FDA" w:rsidP="00B5196D">
                  <w:pPr>
                    <w:pStyle w:val="Tabletext"/>
                    <w:framePr w:hSpace="180" w:wrap="around" w:vAnchor="text" w:hAnchor="text" w:y="1"/>
                    <w:spacing w:before="0" w:after="0"/>
                    <w:jc w:val="center"/>
                    <w:rPr>
                      <w:rFonts w:cs="Tahoma"/>
                      <w:szCs w:val="18"/>
                    </w:rPr>
                  </w:pPr>
                  <w:r w:rsidRPr="00A80005">
                    <w:rPr>
                      <w:rFonts w:cs="Tahoma"/>
                      <w:szCs w:val="18"/>
                    </w:rPr>
                    <w:t>5</w:t>
                  </w:r>
                  <w:r>
                    <w:rPr>
                      <w:rFonts w:cs="Tahoma"/>
                      <w:szCs w:val="18"/>
                    </w:rPr>
                    <w:t>5</w:t>
                  </w:r>
                  <w:r w:rsidRPr="00A80005">
                    <w:rPr>
                      <w:rFonts w:cs="Tahoma"/>
                      <w:szCs w:val="18"/>
                    </w:rPr>
                    <w:t>±1</w:t>
                  </w:r>
                  <w:r>
                    <w:rPr>
                      <w:rFonts w:cs="Tahoma"/>
                      <w:szCs w:val="18"/>
                    </w:rPr>
                    <w:t>6</w:t>
                  </w:r>
                </w:p>
              </w:tc>
            </w:tr>
            <w:tr w:rsidR="001D0FDA" w:rsidRPr="00A80005" w:rsidTr="001D0FDA">
              <w:tc>
                <w:tcPr>
                  <w:tcW w:w="2101" w:type="dxa"/>
                </w:tcPr>
                <w:p w:rsidR="001D0FDA" w:rsidRDefault="001D0FDA" w:rsidP="00B5196D">
                  <w:pPr>
                    <w:pStyle w:val="Tabletext"/>
                    <w:framePr w:hSpace="180" w:wrap="around" w:vAnchor="text" w:hAnchor="text" w:y="1"/>
                    <w:spacing w:before="0" w:after="0"/>
                    <w:rPr>
                      <w:rFonts w:cs="Tahoma"/>
                      <w:szCs w:val="18"/>
                    </w:rPr>
                  </w:pPr>
                  <w:r w:rsidRPr="00351FF5">
                    <w:rPr>
                      <w:rFonts w:cs="Tahoma"/>
                      <w:szCs w:val="18"/>
                    </w:rPr>
                    <w:t>Gender, femal</w:t>
                  </w:r>
                  <w:r>
                    <w:rPr>
                      <w:rFonts w:cs="Tahoma"/>
                      <w:szCs w:val="18"/>
                    </w:rPr>
                    <w:t>e</w:t>
                  </w:r>
                  <w:r w:rsidRPr="00351FF5">
                    <w:rPr>
                      <w:rFonts w:cs="Tahoma"/>
                      <w:szCs w:val="18"/>
                    </w:rPr>
                    <w:t>, n (%)</w:t>
                  </w:r>
                </w:p>
              </w:tc>
              <w:tc>
                <w:tcPr>
                  <w:tcW w:w="1134" w:type="dxa"/>
                  <w:vAlign w:val="center"/>
                </w:tcPr>
                <w:p w:rsidR="001D0FDA" w:rsidRPr="00A80005" w:rsidRDefault="001D0FDA" w:rsidP="00B5196D">
                  <w:pPr>
                    <w:pStyle w:val="Tabletext"/>
                    <w:framePr w:hSpace="180" w:wrap="around" w:vAnchor="text" w:hAnchor="text" w:y="1"/>
                    <w:spacing w:before="0" w:after="0"/>
                    <w:jc w:val="center"/>
                    <w:rPr>
                      <w:rFonts w:cs="Tahoma"/>
                      <w:szCs w:val="18"/>
                    </w:rPr>
                  </w:pPr>
                  <w:r>
                    <w:rPr>
                      <w:rFonts w:cs="Tahoma"/>
                      <w:szCs w:val="18"/>
                    </w:rPr>
                    <w:t>125 (79%)</w:t>
                  </w:r>
                </w:p>
              </w:tc>
              <w:tc>
                <w:tcPr>
                  <w:tcW w:w="1105" w:type="dxa"/>
                  <w:vAlign w:val="center"/>
                </w:tcPr>
                <w:p w:rsidR="001D0FDA" w:rsidRPr="00A80005" w:rsidRDefault="001D0FDA" w:rsidP="00B5196D">
                  <w:pPr>
                    <w:pStyle w:val="Tabletext"/>
                    <w:framePr w:hSpace="180" w:wrap="around" w:vAnchor="text" w:hAnchor="text" w:y="1"/>
                    <w:spacing w:before="0" w:after="0"/>
                    <w:jc w:val="center"/>
                    <w:rPr>
                      <w:rFonts w:cs="Tahoma"/>
                      <w:szCs w:val="18"/>
                    </w:rPr>
                  </w:pPr>
                  <w:r>
                    <w:rPr>
                      <w:rFonts w:cs="Tahoma"/>
                      <w:szCs w:val="18"/>
                    </w:rPr>
                    <w:t>128 (73%)</w:t>
                  </w:r>
                </w:p>
              </w:tc>
            </w:tr>
            <w:tr w:rsidR="001D0FDA" w:rsidRPr="00A80005" w:rsidTr="001D0FDA">
              <w:tc>
                <w:tcPr>
                  <w:tcW w:w="2101" w:type="dxa"/>
                  <w:tcBorders>
                    <w:bottom w:val="nil"/>
                  </w:tcBorders>
                </w:tcPr>
                <w:p w:rsidR="001D0FDA" w:rsidRPr="00A80005" w:rsidRDefault="001D0FDA" w:rsidP="00B5196D">
                  <w:pPr>
                    <w:pStyle w:val="Tabletext"/>
                    <w:framePr w:hSpace="180" w:wrap="around" w:vAnchor="text" w:hAnchor="text" w:y="1"/>
                    <w:spacing w:before="0" w:after="0"/>
                    <w:rPr>
                      <w:rFonts w:cs="Tahoma"/>
                      <w:szCs w:val="18"/>
                    </w:rPr>
                  </w:pPr>
                  <w:r>
                    <w:rPr>
                      <w:rFonts w:cs="Tahoma"/>
                      <w:szCs w:val="18"/>
                    </w:rPr>
                    <w:t>PAH a</w:t>
                  </w:r>
                  <w:r w:rsidRPr="00A80005">
                    <w:rPr>
                      <w:rFonts w:cs="Tahoma"/>
                      <w:szCs w:val="18"/>
                    </w:rPr>
                    <w:t>etiology</w:t>
                  </w:r>
                  <w:r>
                    <w:rPr>
                      <w:rFonts w:cs="Tahoma"/>
                      <w:szCs w:val="18"/>
                    </w:rPr>
                    <w:t>, n (%)</w:t>
                  </w:r>
                </w:p>
              </w:tc>
              <w:tc>
                <w:tcPr>
                  <w:tcW w:w="1134" w:type="dxa"/>
                  <w:tcBorders>
                    <w:bottom w:val="nil"/>
                  </w:tcBorders>
                  <w:vAlign w:val="center"/>
                </w:tcPr>
                <w:p w:rsidR="001D0FDA" w:rsidRPr="00A80005" w:rsidRDefault="001D0FDA" w:rsidP="00B5196D">
                  <w:pPr>
                    <w:pStyle w:val="Tabletext"/>
                    <w:framePr w:hSpace="180" w:wrap="around" w:vAnchor="text" w:hAnchor="text" w:y="1"/>
                    <w:spacing w:before="0" w:after="0"/>
                    <w:jc w:val="center"/>
                    <w:rPr>
                      <w:rFonts w:cs="Tahoma"/>
                      <w:szCs w:val="18"/>
                    </w:rPr>
                  </w:pPr>
                </w:p>
              </w:tc>
              <w:tc>
                <w:tcPr>
                  <w:tcW w:w="1105" w:type="dxa"/>
                  <w:tcBorders>
                    <w:bottom w:val="nil"/>
                  </w:tcBorders>
                  <w:vAlign w:val="center"/>
                </w:tcPr>
                <w:p w:rsidR="001D0FDA" w:rsidRPr="00A80005" w:rsidRDefault="001D0FDA" w:rsidP="00B5196D">
                  <w:pPr>
                    <w:pStyle w:val="Tabletext"/>
                    <w:framePr w:hSpace="180" w:wrap="around" w:vAnchor="text" w:hAnchor="text" w:y="1"/>
                    <w:spacing w:before="0" w:after="0"/>
                    <w:jc w:val="center"/>
                    <w:rPr>
                      <w:rFonts w:cs="Tahoma"/>
                      <w:szCs w:val="18"/>
                    </w:rPr>
                  </w:pPr>
                </w:p>
              </w:tc>
            </w:tr>
            <w:tr w:rsidR="001D0FDA" w:rsidRPr="00A80005" w:rsidTr="001D0FDA">
              <w:tc>
                <w:tcPr>
                  <w:tcW w:w="2101" w:type="dxa"/>
                  <w:tcBorders>
                    <w:top w:val="nil"/>
                    <w:bottom w:val="nil"/>
                  </w:tcBorders>
                </w:tcPr>
                <w:p w:rsidR="001D0FDA" w:rsidRPr="00A80005" w:rsidRDefault="001D0FDA" w:rsidP="00B5196D">
                  <w:pPr>
                    <w:pStyle w:val="Tabletext"/>
                    <w:framePr w:hSpace="180" w:wrap="around" w:vAnchor="text" w:hAnchor="text" w:y="1"/>
                    <w:spacing w:before="0" w:after="0"/>
                    <w:ind w:left="201"/>
                    <w:rPr>
                      <w:rFonts w:cs="Tahoma"/>
                      <w:szCs w:val="18"/>
                    </w:rPr>
                  </w:pPr>
                  <w:r w:rsidRPr="00A80005">
                    <w:rPr>
                      <w:rFonts w:cs="Tahoma"/>
                      <w:szCs w:val="18"/>
                    </w:rPr>
                    <w:t xml:space="preserve">IPAH </w:t>
                  </w:r>
                </w:p>
              </w:tc>
              <w:tc>
                <w:tcPr>
                  <w:tcW w:w="1134" w:type="dxa"/>
                  <w:tcBorders>
                    <w:top w:val="nil"/>
                    <w:bottom w:val="nil"/>
                  </w:tcBorders>
                  <w:vAlign w:val="center"/>
                </w:tcPr>
                <w:p w:rsidR="001D0FDA" w:rsidRPr="00A80005" w:rsidRDefault="001D0FDA" w:rsidP="00B5196D">
                  <w:pPr>
                    <w:pStyle w:val="Tabletext"/>
                    <w:framePr w:hSpace="180" w:wrap="around" w:vAnchor="text" w:hAnchor="text" w:y="1"/>
                    <w:spacing w:before="0" w:after="0"/>
                    <w:jc w:val="center"/>
                    <w:rPr>
                      <w:rFonts w:cs="Tahoma"/>
                      <w:szCs w:val="18"/>
                    </w:rPr>
                  </w:pPr>
                  <w:r>
                    <w:rPr>
                      <w:rFonts w:cs="Tahoma"/>
                      <w:szCs w:val="18"/>
                    </w:rPr>
                    <w:t>99 (62</w:t>
                  </w:r>
                  <w:r w:rsidRPr="00A80005">
                    <w:rPr>
                      <w:rFonts w:cs="Tahoma"/>
                      <w:szCs w:val="18"/>
                    </w:rPr>
                    <w:t>%)</w:t>
                  </w:r>
                </w:p>
              </w:tc>
              <w:tc>
                <w:tcPr>
                  <w:tcW w:w="1105" w:type="dxa"/>
                  <w:tcBorders>
                    <w:top w:val="nil"/>
                    <w:bottom w:val="nil"/>
                  </w:tcBorders>
                  <w:vAlign w:val="center"/>
                </w:tcPr>
                <w:p w:rsidR="001D0FDA" w:rsidRPr="00A80005" w:rsidRDefault="001D0FDA" w:rsidP="00B5196D">
                  <w:pPr>
                    <w:pStyle w:val="Tabletext"/>
                    <w:framePr w:hSpace="180" w:wrap="around" w:vAnchor="text" w:hAnchor="text" w:y="1"/>
                    <w:spacing w:before="0" w:after="0"/>
                    <w:jc w:val="center"/>
                    <w:rPr>
                      <w:rFonts w:cs="Tahoma"/>
                      <w:szCs w:val="18"/>
                    </w:rPr>
                  </w:pPr>
                  <w:r w:rsidRPr="00A80005">
                    <w:rPr>
                      <w:rFonts w:cs="Tahoma"/>
                      <w:szCs w:val="18"/>
                    </w:rPr>
                    <w:t>114 (65%)</w:t>
                  </w:r>
                </w:p>
              </w:tc>
            </w:tr>
            <w:tr w:rsidR="001D0FDA" w:rsidRPr="00A80005" w:rsidTr="001D0FDA">
              <w:tc>
                <w:tcPr>
                  <w:tcW w:w="2101" w:type="dxa"/>
                  <w:tcBorders>
                    <w:top w:val="nil"/>
                    <w:bottom w:val="nil"/>
                  </w:tcBorders>
                </w:tcPr>
                <w:p w:rsidR="001D0FDA" w:rsidRPr="00A80005" w:rsidRDefault="001D0FDA" w:rsidP="00B5196D">
                  <w:pPr>
                    <w:pStyle w:val="Tabletext"/>
                    <w:framePr w:hSpace="180" w:wrap="around" w:vAnchor="text" w:hAnchor="text" w:y="1"/>
                    <w:spacing w:before="0" w:after="0"/>
                    <w:ind w:left="201"/>
                    <w:rPr>
                      <w:rFonts w:cs="Tahoma"/>
                      <w:szCs w:val="18"/>
                    </w:rPr>
                  </w:pPr>
                  <w:r w:rsidRPr="00A80005">
                    <w:rPr>
                      <w:rFonts w:cs="Tahoma"/>
                      <w:szCs w:val="18"/>
                    </w:rPr>
                    <w:t>PAH-CTD</w:t>
                  </w:r>
                </w:p>
              </w:tc>
              <w:tc>
                <w:tcPr>
                  <w:tcW w:w="1134" w:type="dxa"/>
                  <w:tcBorders>
                    <w:top w:val="nil"/>
                    <w:bottom w:val="nil"/>
                  </w:tcBorders>
                  <w:vAlign w:val="center"/>
                </w:tcPr>
                <w:p w:rsidR="001D0FDA" w:rsidRPr="00A80005" w:rsidRDefault="001D0FDA" w:rsidP="00B5196D">
                  <w:pPr>
                    <w:pStyle w:val="Tabletext"/>
                    <w:framePr w:hSpace="180" w:wrap="around" w:vAnchor="text" w:hAnchor="text" w:y="1"/>
                    <w:spacing w:before="0" w:after="0"/>
                    <w:jc w:val="center"/>
                    <w:rPr>
                      <w:rFonts w:cs="Tahoma"/>
                      <w:szCs w:val="18"/>
                    </w:rPr>
                  </w:pPr>
                  <w:r>
                    <w:rPr>
                      <w:rFonts w:cs="Tahoma"/>
                      <w:szCs w:val="18"/>
                    </w:rPr>
                    <w:t>43 (27</w:t>
                  </w:r>
                  <w:r w:rsidRPr="00A80005">
                    <w:rPr>
                      <w:rFonts w:cs="Tahoma"/>
                      <w:szCs w:val="18"/>
                    </w:rPr>
                    <w:t>%)</w:t>
                  </w:r>
                </w:p>
              </w:tc>
              <w:tc>
                <w:tcPr>
                  <w:tcW w:w="1105" w:type="dxa"/>
                  <w:tcBorders>
                    <w:top w:val="nil"/>
                    <w:bottom w:val="nil"/>
                  </w:tcBorders>
                  <w:vAlign w:val="center"/>
                </w:tcPr>
                <w:p w:rsidR="001D0FDA" w:rsidRPr="00A80005" w:rsidRDefault="001D0FDA" w:rsidP="00B5196D">
                  <w:pPr>
                    <w:pStyle w:val="Tabletext"/>
                    <w:framePr w:hSpace="180" w:wrap="around" w:vAnchor="text" w:hAnchor="text" w:y="1"/>
                    <w:spacing w:before="0" w:after="0"/>
                    <w:jc w:val="center"/>
                    <w:rPr>
                      <w:rFonts w:cs="Tahoma"/>
                      <w:szCs w:val="18"/>
                    </w:rPr>
                  </w:pPr>
                  <w:r w:rsidRPr="00A80005">
                    <w:rPr>
                      <w:rFonts w:cs="Tahoma"/>
                      <w:szCs w:val="18"/>
                    </w:rPr>
                    <w:t>45 (2</w:t>
                  </w:r>
                  <w:r>
                    <w:rPr>
                      <w:rFonts w:cs="Tahoma"/>
                      <w:szCs w:val="18"/>
                    </w:rPr>
                    <w:t>6</w:t>
                  </w:r>
                  <w:r w:rsidRPr="00A80005">
                    <w:rPr>
                      <w:rFonts w:cs="Tahoma"/>
                      <w:szCs w:val="18"/>
                    </w:rPr>
                    <w:t>%)</w:t>
                  </w:r>
                </w:p>
              </w:tc>
            </w:tr>
            <w:tr w:rsidR="001D0FDA" w:rsidRPr="00A80005" w:rsidTr="001D0FDA">
              <w:tc>
                <w:tcPr>
                  <w:tcW w:w="2101" w:type="dxa"/>
                  <w:tcBorders>
                    <w:top w:val="nil"/>
                    <w:bottom w:val="nil"/>
                  </w:tcBorders>
                </w:tcPr>
                <w:p w:rsidR="001D0FDA" w:rsidRPr="00A80005" w:rsidRDefault="001D0FDA" w:rsidP="00B5196D">
                  <w:pPr>
                    <w:pStyle w:val="Tabletext"/>
                    <w:framePr w:hSpace="180" w:wrap="around" w:vAnchor="text" w:hAnchor="text" w:y="1"/>
                    <w:spacing w:before="0" w:after="0"/>
                    <w:ind w:left="201"/>
                    <w:rPr>
                      <w:rFonts w:cs="Tahoma"/>
                      <w:szCs w:val="18"/>
                    </w:rPr>
                  </w:pPr>
                  <w:r w:rsidRPr="00A80005">
                    <w:rPr>
                      <w:rFonts w:cs="Tahoma"/>
                      <w:szCs w:val="18"/>
                    </w:rPr>
                    <w:t>PAH-CHD</w:t>
                  </w:r>
                </w:p>
              </w:tc>
              <w:tc>
                <w:tcPr>
                  <w:tcW w:w="1134" w:type="dxa"/>
                  <w:tcBorders>
                    <w:top w:val="nil"/>
                    <w:bottom w:val="nil"/>
                  </w:tcBorders>
                  <w:vAlign w:val="center"/>
                </w:tcPr>
                <w:p w:rsidR="001D0FDA" w:rsidRPr="00A80005" w:rsidRDefault="001D0FDA" w:rsidP="00B5196D">
                  <w:pPr>
                    <w:pStyle w:val="Tabletext"/>
                    <w:framePr w:hSpace="180" w:wrap="around" w:vAnchor="text" w:hAnchor="text" w:y="1"/>
                    <w:spacing w:before="0" w:after="0"/>
                    <w:jc w:val="center"/>
                    <w:rPr>
                      <w:rFonts w:cs="Tahoma"/>
                      <w:szCs w:val="18"/>
                    </w:rPr>
                  </w:pPr>
                  <w:r w:rsidRPr="00A80005">
                    <w:rPr>
                      <w:rFonts w:cs="Tahoma"/>
                      <w:szCs w:val="18"/>
                    </w:rPr>
                    <w:t>9 (</w:t>
                  </w:r>
                  <w:r>
                    <w:rPr>
                      <w:rFonts w:cs="Tahoma"/>
                      <w:szCs w:val="18"/>
                    </w:rPr>
                    <w:t>6</w:t>
                  </w:r>
                  <w:r w:rsidRPr="00A80005">
                    <w:rPr>
                      <w:rFonts w:cs="Tahoma"/>
                      <w:szCs w:val="18"/>
                    </w:rPr>
                    <w:t>%)</w:t>
                  </w:r>
                </w:p>
              </w:tc>
              <w:tc>
                <w:tcPr>
                  <w:tcW w:w="1105" w:type="dxa"/>
                  <w:tcBorders>
                    <w:top w:val="nil"/>
                    <w:bottom w:val="nil"/>
                  </w:tcBorders>
                  <w:vAlign w:val="center"/>
                </w:tcPr>
                <w:p w:rsidR="001D0FDA" w:rsidRPr="00A80005" w:rsidRDefault="001D0FDA" w:rsidP="00B5196D">
                  <w:pPr>
                    <w:pStyle w:val="Tabletext"/>
                    <w:framePr w:hSpace="180" w:wrap="around" w:vAnchor="text" w:hAnchor="text" w:y="1"/>
                    <w:spacing w:before="0" w:after="0"/>
                    <w:jc w:val="center"/>
                    <w:rPr>
                      <w:rFonts w:cs="Tahoma"/>
                      <w:szCs w:val="18"/>
                    </w:rPr>
                  </w:pPr>
                  <w:r w:rsidRPr="00A80005">
                    <w:rPr>
                      <w:rFonts w:cs="Tahoma"/>
                      <w:szCs w:val="18"/>
                    </w:rPr>
                    <w:t>11 (6%)</w:t>
                  </w:r>
                </w:p>
              </w:tc>
            </w:tr>
            <w:tr w:rsidR="001D0FDA" w:rsidRPr="00A80005" w:rsidTr="001D0FDA">
              <w:tc>
                <w:tcPr>
                  <w:tcW w:w="2101" w:type="dxa"/>
                  <w:tcBorders>
                    <w:top w:val="nil"/>
                    <w:bottom w:val="nil"/>
                  </w:tcBorders>
                </w:tcPr>
                <w:p w:rsidR="001D0FDA" w:rsidRPr="00A80005" w:rsidRDefault="001D0FDA" w:rsidP="00B5196D">
                  <w:pPr>
                    <w:pStyle w:val="Tabletext"/>
                    <w:framePr w:hSpace="180" w:wrap="around" w:vAnchor="text" w:hAnchor="text" w:y="1"/>
                    <w:spacing w:before="0" w:after="0"/>
                    <w:ind w:left="201"/>
                    <w:rPr>
                      <w:rFonts w:cs="Tahoma"/>
                      <w:szCs w:val="18"/>
                    </w:rPr>
                  </w:pPr>
                  <w:r w:rsidRPr="00A80005">
                    <w:rPr>
                      <w:rFonts w:cs="Tahoma"/>
                      <w:szCs w:val="18"/>
                    </w:rPr>
                    <w:t>PAH</w:t>
                  </w:r>
                  <w:r>
                    <w:rPr>
                      <w:rFonts w:cs="Tahoma"/>
                      <w:szCs w:val="18"/>
                    </w:rPr>
                    <w:t>-DT</w:t>
                  </w:r>
                </w:p>
              </w:tc>
              <w:tc>
                <w:tcPr>
                  <w:tcW w:w="1134" w:type="dxa"/>
                  <w:tcBorders>
                    <w:top w:val="nil"/>
                    <w:bottom w:val="nil"/>
                  </w:tcBorders>
                  <w:vAlign w:val="center"/>
                </w:tcPr>
                <w:p w:rsidR="001D0FDA" w:rsidRPr="00A80005" w:rsidRDefault="001D0FDA" w:rsidP="00B5196D">
                  <w:pPr>
                    <w:pStyle w:val="Tabletext"/>
                    <w:framePr w:hSpace="180" w:wrap="around" w:vAnchor="text" w:hAnchor="text" w:y="1"/>
                    <w:spacing w:before="0" w:after="0"/>
                    <w:jc w:val="center"/>
                    <w:rPr>
                      <w:rFonts w:cs="Tahoma"/>
                      <w:szCs w:val="18"/>
                    </w:rPr>
                  </w:pPr>
                  <w:r>
                    <w:rPr>
                      <w:rFonts w:cs="Tahoma"/>
                      <w:szCs w:val="18"/>
                    </w:rPr>
                    <w:t>5 (3</w:t>
                  </w:r>
                  <w:r w:rsidRPr="00A80005">
                    <w:rPr>
                      <w:rFonts w:cs="Tahoma"/>
                      <w:szCs w:val="18"/>
                    </w:rPr>
                    <w:t>%)</w:t>
                  </w:r>
                </w:p>
              </w:tc>
              <w:tc>
                <w:tcPr>
                  <w:tcW w:w="1105" w:type="dxa"/>
                  <w:tcBorders>
                    <w:top w:val="nil"/>
                    <w:bottom w:val="nil"/>
                  </w:tcBorders>
                  <w:vAlign w:val="center"/>
                </w:tcPr>
                <w:p w:rsidR="001D0FDA" w:rsidRPr="00A80005" w:rsidRDefault="001D0FDA" w:rsidP="00B5196D">
                  <w:pPr>
                    <w:pStyle w:val="Tabletext"/>
                    <w:framePr w:hSpace="180" w:wrap="around" w:vAnchor="text" w:hAnchor="text" w:y="1"/>
                    <w:spacing w:before="0" w:after="0"/>
                    <w:jc w:val="center"/>
                    <w:rPr>
                      <w:rFonts w:cs="Tahoma"/>
                      <w:szCs w:val="18"/>
                    </w:rPr>
                  </w:pPr>
                  <w:r w:rsidRPr="00A80005">
                    <w:rPr>
                      <w:rFonts w:cs="Tahoma"/>
                      <w:szCs w:val="18"/>
                    </w:rPr>
                    <w:t>3 (</w:t>
                  </w:r>
                  <w:r>
                    <w:rPr>
                      <w:rFonts w:cs="Tahoma"/>
                      <w:szCs w:val="18"/>
                    </w:rPr>
                    <w:t>2</w:t>
                  </w:r>
                  <w:r w:rsidRPr="00A80005">
                    <w:rPr>
                      <w:rFonts w:cs="Tahoma"/>
                      <w:szCs w:val="18"/>
                    </w:rPr>
                    <w:t>%)</w:t>
                  </w:r>
                </w:p>
              </w:tc>
            </w:tr>
            <w:tr w:rsidR="001D0FDA" w:rsidRPr="00A80005" w:rsidTr="001D0FDA">
              <w:tc>
                <w:tcPr>
                  <w:tcW w:w="2101" w:type="dxa"/>
                  <w:tcBorders>
                    <w:top w:val="nil"/>
                    <w:bottom w:val="single" w:sz="4" w:space="0" w:color="BFBFBF" w:themeColor="background1" w:themeShade="BF"/>
                  </w:tcBorders>
                </w:tcPr>
                <w:p w:rsidR="001D0FDA" w:rsidRPr="00A80005" w:rsidRDefault="001D0FDA" w:rsidP="00B5196D">
                  <w:pPr>
                    <w:pStyle w:val="Tabletext"/>
                    <w:framePr w:hSpace="180" w:wrap="around" w:vAnchor="text" w:hAnchor="text" w:y="1"/>
                    <w:spacing w:before="0" w:after="0"/>
                    <w:ind w:left="201"/>
                    <w:rPr>
                      <w:rFonts w:cs="Tahoma"/>
                      <w:szCs w:val="18"/>
                    </w:rPr>
                  </w:pPr>
                  <w:r w:rsidRPr="00A80005">
                    <w:rPr>
                      <w:rFonts w:cs="Tahoma"/>
                      <w:szCs w:val="18"/>
                    </w:rPr>
                    <w:t>HPAH</w:t>
                  </w:r>
                </w:p>
              </w:tc>
              <w:tc>
                <w:tcPr>
                  <w:tcW w:w="1134" w:type="dxa"/>
                  <w:tcBorders>
                    <w:top w:val="nil"/>
                    <w:bottom w:val="single" w:sz="4" w:space="0" w:color="BFBFBF" w:themeColor="background1" w:themeShade="BF"/>
                  </w:tcBorders>
                  <w:vAlign w:val="center"/>
                </w:tcPr>
                <w:p w:rsidR="001D0FDA" w:rsidRPr="00A80005" w:rsidRDefault="001D0FDA" w:rsidP="00B5196D">
                  <w:pPr>
                    <w:pStyle w:val="Tabletext"/>
                    <w:framePr w:hSpace="180" w:wrap="around" w:vAnchor="text" w:hAnchor="text" w:y="1"/>
                    <w:spacing w:before="0" w:after="0"/>
                    <w:jc w:val="center"/>
                    <w:rPr>
                      <w:rFonts w:cs="Tahoma"/>
                      <w:szCs w:val="18"/>
                    </w:rPr>
                  </w:pPr>
                  <w:r w:rsidRPr="00A80005">
                    <w:rPr>
                      <w:rFonts w:cs="Tahoma"/>
                      <w:szCs w:val="18"/>
                    </w:rPr>
                    <w:t>3 (</w:t>
                  </w:r>
                  <w:r>
                    <w:rPr>
                      <w:rFonts w:cs="Tahoma"/>
                      <w:szCs w:val="18"/>
                    </w:rPr>
                    <w:t>2</w:t>
                  </w:r>
                  <w:r w:rsidRPr="00A80005">
                    <w:rPr>
                      <w:rFonts w:cs="Tahoma"/>
                      <w:szCs w:val="18"/>
                    </w:rPr>
                    <w:t>%)</w:t>
                  </w:r>
                </w:p>
              </w:tc>
              <w:tc>
                <w:tcPr>
                  <w:tcW w:w="1105" w:type="dxa"/>
                  <w:tcBorders>
                    <w:top w:val="nil"/>
                    <w:bottom w:val="single" w:sz="4" w:space="0" w:color="BFBFBF" w:themeColor="background1" w:themeShade="BF"/>
                  </w:tcBorders>
                  <w:vAlign w:val="center"/>
                </w:tcPr>
                <w:p w:rsidR="001D0FDA" w:rsidRPr="00A80005" w:rsidRDefault="001D0FDA" w:rsidP="00B5196D">
                  <w:pPr>
                    <w:pStyle w:val="Tabletext"/>
                    <w:framePr w:hSpace="180" w:wrap="around" w:vAnchor="text" w:hAnchor="text" w:y="1"/>
                    <w:spacing w:before="0" w:after="0"/>
                    <w:jc w:val="center"/>
                    <w:rPr>
                      <w:rFonts w:cs="Tahoma"/>
                      <w:szCs w:val="18"/>
                    </w:rPr>
                  </w:pPr>
                  <w:r>
                    <w:rPr>
                      <w:rFonts w:cs="Tahoma"/>
                      <w:szCs w:val="18"/>
                    </w:rPr>
                    <w:t>2 (1</w:t>
                  </w:r>
                  <w:r w:rsidRPr="00A80005">
                    <w:rPr>
                      <w:rFonts w:cs="Tahoma"/>
                      <w:szCs w:val="18"/>
                    </w:rPr>
                    <w:t>%)</w:t>
                  </w:r>
                </w:p>
              </w:tc>
            </w:tr>
            <w:tr w:rsidR="001D0FDA" w:rsidRPr="00A80005" w:rsidTr="001D0FDA">
              <w:tc>
                <w:tcPr>
                  <w:tcW w:w="2101" w:type="dxa"/>
                  <w:tcBorders>
                    <w:bottom w:val="nil"/>
                  </w:tcBorders>
                </w:tcPr>
                <w:p w:rsidR="001D0FDA" w:rsidRPr="00A80005" w:rsidRDefault="001D0FDA" w:rsidP="00B5196D">
                  <w:pPr>
                    <w:pStyle w:val="Tabletext"/>
                    <w:framePr w:hSpace="180" w:wrap="around" w:vAnchor="text" w:hAnchor="text" w:y="1"/>
                    <w:spacing w:before="0" w:after="0"/>
                    <w:rPr>
                      <w:rFonts w:cs="Tahoma"/>
                      <w:szCs w:val="18"/>
                    </w:rPr>
                  </w:pPr>
                  <w:r w:rsidRPr="00A80005">
                    <w:rPr>
                      <w:rFonts w:cs="Tahoma"/>
                      <w:szCs w:val="18"/>
                    </w:rPr>
                    <w:t>WHO FC</w:t>
                  </w:r>
                  <w:r>
                    <w:rPr>
                      <w:rFonts w:cs="Tahoma"/>
                      <w:szCs w:val="18"/>
                    </w:rPr>
                    <w:t>, n (%)</w:t>
                  </w:r>
                </w:p>
              </w:tc>
              <w:tc>
                <w:tcPr>
                  <w:tcW w:w="1134" w:type="dxa"/>
                  <w:tcBorders>
                    <w:bottom w:val="nil"/>
                  </w:tcBorders>
                  <w:vAlign w:val="center"/>
                </w:tcPr>
                <w:p w:rsidR="001D0FDA" w:rsidRPr="00A80005" w:rsidRDefault="001D0FDA" w:rsidP="00B5196D">
                  <w:pPr>
                    <w:pStyle w:val="Tabletext"/>
                    <w:framePr w:hSpace="180" w:wrap="around" w:vAnchor="text" w:hAnchor="text" w:y="1"/>
                    <w:spacing w:before="0" w:after="0"/>
                    <w:jc w:val="center"/>
                    <w:rPr>
                      <w:rFonts w:cs="Tahoma"/>
                      <w:szCs w:val="18"/>
                    </w:rPr>
                  </w:pPr>
                </w:p>
              </w:tc>
              <w:tc>
                <w:tcPr>
                  <w:tcW w:w="1105" w:type="dxa"/>
                  <w:tcBorders>
                    <w:bottom w:val="nil"/>
                  </w:tcBorders>
                  <w:vAlign w:val="center"/>
                </w:tcPr>
                <w:p w:rsidR="001D0FDA" w:rsidRPr="00A80005" w:rsidRDefault="001D0FDA" w:rsidP="00B5196D">
                  <w:pPr>
                    <w:pStyle w:val="Tabletext"/>
                    <w:framePr w:hSpace="180" w:wrap="around" w:vAnchor="text" w:hAnchor="text" w:y="1"/>
                    <w:spacing w:before="0" w:after="0"/>
                    <w:jc w:val="center"/>
                    <w:rPr>
                      <w:rFonts w:cs="Tahoma"/>
                      <w:szCs w:val="18"/>
                    </w:rPr>
                  </w:pPr>
                </w:p>
              </w:tc>
            </w:tr>
            <w:tr w:rsidR="001D0FDA" w:rsidRPr="00A80005" w:rsidTr="001D0FDA">
              <w:tc>
                <w:tcPr>
                  <w:tcW w:w="2101" w:type="dxa"/>
                  <w:tcBorders>
                    <w:top w:val="nil"/>
                    <w:bottom w:val="nil"/>
                  </w:tcBorders>
                </w:tcPr>
                <w:p w:rsidR="001D0FDA" w:rsidRPr="00A80005" w:rsidRDefault="001D0FDA" w:rsidP="00B5196D">
                  <w:pPr>
                    <w:pStyle w:val="Tabletext"/>
                    <w:framePr w:hSpace="180" w:wrap="around" w:vAnchor="text" w:hAnchor="text" w:y="1"/>
                    <w:spacing w:before="0" w:after="0"/>
                    <w:ind w:left="201"/>
                    <w:rPr>
                      <w:rFonts w:cs="Tahoma"/>
                      <w:szCs w:val="18"/>
                    </w:rPr>
                  </w:pPr>
                  <w:r w:rsidRPr="00A80005">
                    <w:rPr>
                      <w:rFonts w:cs="Tahoma"/>
                      <w:szCs w:val="18"/>
                    </w:rPr>
                    <w:t>II</w:t>
                  </w:r>
                </w:p>
              </w:tc>
              <w:tc>
                <w:tcPr>
                  <w:tcW w:w="1134" w:type="dxa"/>
                  <w:tcBorders>
                    <w:top w:val="nil"/>
                    <w:bottom w:val="nil"/>
                  </w:tcBorders>
                  <w:vAlign w:val="center"/>
                </w:tcPr>
                <w:p w:rsidR="001D0FDA" w:rsidRPr="00A80005" w:rsidRDefault="001D0FDA" w:rsidP="00B5196D">
                  <w:pPr>
                    <w:pStyle w:val="Tabletext"/>
                    <w:framePr w:hSpace="180" w:wrap="around" w:vAnchor="text" w:hAnchor="text" w:y="1"/>
                    <w:spacing w:before="0" w:after="0"/>
                    <w:jc w:val="center"/>
                    <w:rPr>
                      <w:rFonts w:cs="Tahoma"/>
                      <w:szCs w:val="18"/>
                    </w:rPr>
                  </w:pPr>
                  <w:r w:rsidRPr="00A80005">
                    <w:rPr>
                      <w:rFonts w:cs="Tahoma"/>
                      <w:szCs w:val="18"/>
                    </w:rPr>
                    <w:t>71 (4</w:t>
                  </w:r>
                  <w:r>
                    <w:rPr>
                      <w:rFonts w:cs="Tahoma"/>
                      <w:szCs w:val="18"/>
                    </w:rPr>
                    <w:t>5</w:t>
                  </w:r>
                  <w:r w:rsidRPr="00A80005">
                    <w:rPr>
                      <w:rFonts w:cs="Tahoma"/>
                      <w:szCs w:val="18"/>
                    </w:rPr>
                    <w:t>%)</w:t>
                  </w:r>
                </w:p>
              </w:tc>
              <w:tc>
                <w:tcPr>
                  <w:tcW w:w="1105" w:type="dxa"/>
                  <w:tcBorders>
                    <w:top w:val="nil"/>
                    <w:bottom w:val="nil"/>
                  </w:tcBorders>
                  <w:vAlign w:val="center"/>
                </w:tcPr>
                <w:p w:rsidR="001D0FDA" w:rsidRPr="00A80005" w:rsidRDefault="001D0FDA" w:rsidP="00B5196D">
                  <w:pPr>
                    <w:pStyle w:val="Tabletext"/>
                    <w:framePr w:hSpace="180" w:wrap="around" w:vAnchor="text" w:hAnchor="text" w:y="1"/>
                    <w:spacing w:before="0" w:after="0"/>
                    <w:jc w:val="center"/>
                    <w:rPr>
                      <w:rFonts w:cs="Tahoma"/>
                      <w:szCs w:val="18"/>
                    </w:rPr>
                  </w:pPr>
                  <w:r w:rsidRPr="00A80005">
                    <w:rPr>
                      <w:rFonts w:cs="Tahoma"/>
                      <w:szCs w:val="18"/>
                    </w:rPr>
                    <w:t>69 (39%)</w:t>
                  </w:r>
                </w:p>
              </w:tc>
            </w:tr>
            <w:tr w:rsidR="001D0FDA" w:rsidRPr="00A80005" w:rsidTr="001D0FDA">
              <w:tc>
                <w:tcPr>
                  <w:tcW w:w="2101" w:type="dxa"/>
                  <w:tcBorders>
                    <w:top w:val="nil"/>
                    <w:bottom w:val="nil"/>
                  </w:tcBorders>
                </w:tcPr>
                <w:p w:rsidR="001D0FDA" w:rsidRPr="00A80005" w:rsidRDefault="001D0FDA" w:rsidP="00B5196D">
                  <w:pPr>
                    <w:pStyle w:val="Tabletext"/>
                    <w:framePr w:hSpace="180" w:wrap="around" w:vAnchor="text" w:hAnchor="text" w:y="1"/>
                    <w:spacing w:before="0" w:after="0"/>
                    <w:ind w:left="201"/>
                    <w:rPr>
                      <w:rFonts w:cs="Tahoma"/>
                      <w:szCs w:val="18"/>
                    </w:rPr>
                  </w:pPr>
                  <w:r w:rsidRPr="00A80005">
                    <w:rPr>
                      <w:rFonts w:cs="Tahoma"/>
                      <w:szCs w:val="18"/>
                    </w:rPr>
                    <w:t>III</w:t>
                  </w:r>
                </w:p>
              </w:tc>
              <w:tc>
                <w:tcPr>
                  <w:tcW w:w="1134" w:type="dxa"/>
                  <w:tcBorders>
                    <w:top w:val="nil"/>
                    <w:bottom w:val="nil"/>
                  </w:tcBorders>
                  <w:vAlign w:val="center"/>
                </w:tcPr>
                <w:p w:rsidR="001D0FDA" w:rsidRPr="00A80005" w:rsidRDefault="001D0FDA" w:rsidP="00B5196D">
                  <w:pPr>
                    <w:pStyle w:val="Tabletext"/>
                    <w:framePr w:hSpace="180" w:wrap="around" w:vAnchor="text" w:hAnchor="text" w:y="1"/>
                    <w:spacing w:before="0" w:after="0"/>
                    <w:jc w:val="center"/>
                    <w:rPr>
                      <w:rFonts w:cs="Tahoma"/>
                      <w:szCs w:val="18"/>
                    </w:rPr>
                  </w:pPr>
                  <w:r w:rsidRPr="00A80005">
                    <w:rPr>
                      <w:rFonts w:cs="Tahoma"/>
                      <w:szCs w:val="18"/>
                    </w:rPr>
                    <w:t>88 (55%)</w:t>
                  </w:r>
                </w:p>
              </w:tc>
              <w:tc>
                <w:tcPr>
                  <w:tcW w:w="1105" w:type="dxa"/>
                  <w:tcBorders>
                    <w:top w:val="nil"/>
                    <w:bottom w:val="nil"/>
                  </w:tcBorders>
                  <w:vAlign w:val="center"/>
                </w:tcPr>
                <w:p w:rsidR="001D0FDA" w:rsidRPr="00A80005" w:rsidRDefault="001D0FDA" w:rsidP="00B5196D">
                  <w:pPr>
                    <w:pStyle w:val="Tabletext"/>
                    <w:framePr w:hSpace="180" w:wrap="around" w:vAnchor="text" w:hAnchor="text" w:y="1"/>
                    <w:spacing w:before="0" w:after="0"/>
                    <w:jc w:val="center"/>
                    <w:rPr>
                      <w:rFonts w:cs="Tahoma"/>
                      <w:szCs w:val="18"/>
                    </w:rPr>
                  </w:pPr>
                  <w:r w:rsidRPr="00A80005">
                    <w:rPr>
                      <w:rFonts w:cs="Tahoma"/>
                      <w:szCs w:val="18"/>
                    </w:rPr>
                    <w:t>104 (59%)</w:t>
                  </w:r>
                </w:p>
              </w:tc>
            </w:tr>
            <w:tr w:rsidR="001D0FDA" w:rsidRPr="00A80005" w:rsidTr="001D0FDA">
              <w:tc>
                <w:tcPr>
                  <w:tcW w:w="2101" w:type="dxa"/>
                  <w:tcBorders>
                    <w:top w:val="nil"/>
                  </w:tcBorders>
                </w:tcPr>
                <w:p w:rsidR="001D0FDA" w:rsidRPr="00A80005" w:rsidRDefault="001D0FDA" w:rsidP="00B5196D">
                  <w:pPr>
                    <w:pStyle w:val="Tabletext"/>
                    <w:framePr w:hSpace="180" w:wrap="around" w:vAnchor="text" w:hAnchor="text" w:y="1"/>
                    <w:spacing w:before="0" w:after="0"/>
                    <w:ind w:left="201"/>
                    <w:rPr>
                      <w:rFonts w:cs="Tahoma"/>
                      <w:szCs w:val="18"/>
                    </w:rPr>
                  </w:pPr>
                  <w:r w:rsidRPr="00A80005">
                    <w:rPr>
                      <w:rFonts w:cs="Tahoma"/>
                      <w:szCs w:val="18"/>
                    </w:rPr>
                    <w:t>IV</w:t>
                  </w:r>
                </w:p>
              </w:tc>
              <w:tc>
                <w:tcPr>
                  <w:tcW w:w="1134" w:type="dxa"/>
                  <w:tcBorders>
                    <w:top w:val="nil"/>
                  </w:tcBorders>
                  <w:vAlign w:val="center"/>
                </w:tcPr>
                <w:p w:rsidR="001D0FDA" w:rsidRPr="00A80005" w:rsidRDefault="001D0FDA" w:rsidP="00B5196D">
                  <w:pPr>
                    <w:pStyle w:val="Tabletext"/>
                    <w:framePr w:hSpace="180" w:wrap="around" w:vAnchor="text" w:hAnchor="text" w:y="1"/>
                    <w:spacing w:before="0" w:after="0"/>
                    <w:jc w:val="center"/>
                    <w:rPr>
                      <w:rFonts w:cs="Tahoma"/>
                      <w:szCs w:val="18"/>
                    </w:rPr>
                  </w:pPr>
                  <w:r w:rsidRPr="00A80005">
                    <w:rPr>
                      <w:rFonts w:cs="Tahoma"/>
                      <w:szCs w:val="18"/>
                    </w:rPr>
                    <w:t>0 (0%)</w:t>
                  </w:r>
                </w:p>
              </w:tc>
              <w:tc>
                <w:tcPr>
                  <w:tcW w:w="1105" w:type="dxa"/>
                  <w:tcBorders>
                    <w:top w:val="nil"/>
                  </w:tcBorders>
                  <w:vAlign w:val="center"/>
                </w:tcPr>
                <w:p w:rsidR="001D0FDA" w:rsidRPr="00A80005" w:rsidRDefault="001D0FDA" w:rsidP="00B5196D">
                  <w:pPr>
                    <w:pStyle w:val="Tabletext"/>
                    <w:framePr w:hSpace="180" w:wrap="around" w:vAnchor="text" w:hAnchor="text" w:y="1"/>
                    <w:spacing w:before="0" w:after="0"/>
                    <w:jc w:val="center"/>
                    <w:rPr>
                      <w:rFonts w:cs="Tahoma"/>
                      <w:szCs w:val="18"/>
                    </w:rPr>
                  </w:pPr>
                  <w:r w:rsidRPr="00A80005">
                    <w:rPr>
                      <w:rFonts w:cs="Tahoma"/>
                      <w:szCs w:val="18"/>
                    </w:rPr>
                    <w:t>2 (1%)</w:t>
                  </w:r>
                </w:p>
              </w:tc>
            </w:tr>
            <w:tr w:rsidR="001D0FDA" w:rsidRPr="00A80005" w:rsidTr="001D0FDA">
              <w:tc>
                <w:tcPr>
                  <w:tcW w:w="2101" w:type="dxa"/>
                </w:tcPr>
                <w:p w:rsidR="001D0FDA" w:rsidRPr="00A80005" w:rsidRDefault="001D0FDA" w:rsidP="00B5196D">
                  <w:pPr>
                    <w:pStyle w:val="Tabletext"/>
                    <w:framePr w:hSpace="180" w:wrap="around" w:vAnchor="text" w:hAnchor="text" w:y="1"/>
                    <w:spacing w:before="0" w:after="0"/>
                    <w:rPr>
                      <w:rFonts w:cs="Tahoma"/>
                      <w:szCs w:val="18"/>
                    </w:rPr>
                  </w:pPr>
                  <w:r w:rsidRPr="00B34193">
                    <w:rPr>
                      <w:rFonts w:cs="Tahoma"/>
                      <w:szCs w:val="18"/>
                    </w:rPr>
                    <w:t>Time from diagnosis, mean±SD (mths)</w:t>
                  </w:r>
                </w:p>
              </w:tc>
              <w:tc>
                <w:tcPr>
                  <w:tcW w:w="1134" w:type="dxa"/>
                  <w:vAlign w:val="center"/>
                </w:tcPr>
                <w:p w:rsidR="001D0FDA" w:rsidRPr="00A80005" w:rsidRDefault="001D0FDA" w:rsidP="00B5196D">
                  <w:pPr>
                    <w:pStyle w:val="Tabletext"/>
                    <w:framePr w:hSpace="180" w:wrap="around" w:vAnchor="text" w:hAnchor="text" w:y="1"/>
                    <w:spacing w:before="0" w:after="0"/>
                    <w:jc w:val="center"/>
                    <w:rPr>
                      <w:rFonts w:cs="Tahoma"/>
                      <w:szCs w:val="18"/>
                    </w:rPr>
                  </w:pPr>
                  <w:r w:rsidRPr="00B34193">
                    <w:rPr>
                      <w:rFonts w:cs="Tahoma"/>
                      <w:szCs w:val="18"/>
                    </w:rPr>
                    <w:t>25±47</w:t>
                  </w:r>
                </w:p>
              </w:tc>
              <w:tc>
                <w:tcPr>
                  <w:tcW w:w="1105" w:type="dxa"/>
                  <w:vAlign w:val="center"/>
                </w:tcPr>
                <w:p w:rsidR="001D0FDA" w:rsidRPr="00A80005" w:rsidRDefault="001D0FDA" w:rsidP="00B5196D">
                  <w:pPr>
                    <w:pStyle w:val="Tabletext"/>
                    <w:framePr w:hSpace="180" w:wrap="around" w:vAnchor="text" w:hAnchor="text" w:y="1"/>
                    <w:spacing w:before="0" w:after="0"/>
                    <w:jc w:val="center"/>
                    <w:rPr>
                      <w:rFonts w:cs="Tahoma"/>
                      <w:szCs w:val="18"/>
                    </w:rPr>
                  </w:pPr>
                  <w:r w:rsidRPr="00B34193">
                    <w:rPr>
                      <w:rFonts w:cs="Tahoma"/>
                      <w:szCs w:val="18"/>
                    </w:rPr>
                    <w:t>26±51</w:t>
                  </w:r>
                </w:p>
              </w:tc>
            </w:tr>
            <w:tr w:rsidR="001D0FDA" w:rsidRPr="00A80005" w:rsidTr="001D0FDA">
              <w:tc>
                <w:tcPr>
                  <w:tcW w:w="2101" w:type="dxa"/>
                </w:tcPr>
                <w:p w:rsidR="001D0FDA" w:rsidRPr="00A80005" w:rsidRDefault="001D0FDA" w:rsidP="00B5196D">
                  <w:pPr>
                    <w:pStyle w:val="Tabletext"/>
                    <w:framePr w:hSpace="180" w:wrap="around" w:vAnchor="text" w:hAnchor="text" w:y="1"/>
                    <w:spacing w:before="0" w:after="0"/>
                    <w:rPr>
                      <w:rFonts w:cs="Tahoma"/>
                      <w:szCs w:val="18"/>
                    </w:rPr>
                  </w:pPr>
                  <w:r w:rsidRPr="00A80005">
                    <w:rPr>
                      <w:rFonts w:cs="Tahoma"/>
                      <w:szCs w:val="18"/>
                    </w:rPr>
                    <w:t>Sildenafil dose, median (interquartile range) (mg)</w:t>
                  </w:r>
                </w:p>
              </w:tc>
              <w:tc>
                <w:tcPr>
                  <w:tcW w:w="1134" w:type="dxa"/>
                  <w:vAlign w:val="center"/>
                </w:tcPr>
                <w:p w:rsidR="001D0FDA" w:rsidRPr="00A80005" w:rsidRDefault="001D0FDA" w:rsidP="00B5196D">
                  <w:pPr>
                    <w:pStyle w:val="Tabletext"/>
                    <w:framePr w:hSpace="180" w:wrap="around" w:vAnchor="text" w:hAnchor="text" w:y="1"/>
                    <w:spacing w:before="0" w:after="0"/>
                    <w:jc w:val="center"/>
                    <w:rPr>
                      <w:rFonts w:cs="Tahoma"/>
                      <w:szCs w:val="18"/>
                    </w:rPr>
                  </w:pPr>
                  <w:r w:rsidRPr="00A80005">
                    <w:rPr>
                      <w:rFonts w:cs="Tahoma"/>
                      <w:szCs w:val="18"/>
                    </w:rPr>
                    <w:t>60 (60-60)</w:t>
                  </w:r>
                </w:p>
              </w:tc>
              <w:tc>
                <w:tcPr>
                  <w:tcW w:w="1105" w:type="dxa"/>
                  <w:vAlign w:val="center"/>
                </w:tcPr>
                <w:p w:rsidR="001D0FDA" w:rsidRPr="00A80005" w:rsidRDefault="001D0FDA" w:rsidP="00B5196D">
                  <w:pPr>
                    <w:pStyle w:val="Tabletext"/>
                    <w:framePr w:hSpace="180" w:wrap="around" w:vAnchor="text" w:hAnchor="text" w:y="1"/>
                    <w:spacing w:before="0" w:after="0"/>
                    <w:jc w:val="center"/>
                    <w:rPr>
                      <w:rFonts w:cs="Tahoma"/>
                      <w:szCs w:val="18"/>
                    </w:rPr>
                  </w:pPr>
                  <w:r w:rsidRPr="00A80005">
                    <w:rPr>
                      <w:rFonts w:cs="Tahoma"/>
                      <w:szCs w:val="18"/>
                    </w:rPr>
                    <w:t>60 (60-75)</w:t>
                  </w:r>
                </w:p>
              </w:tc>
            </w:tr>
          </w:tbl>
          <w:p w:rsidR="001D0FDA" w:rsidRDefault="001D0FDA" w:rsidP="001D0FDA">
            <w:pPr>
              <w:pStyle w:val="Tabletext"/>
              <w:rPr>
                <w:rFonts w:cs="Tahoma"/>
                <w:szCs w:val="18"/>
              </w:rPr>
            </w:pPr>
          </w:p>
        </w:tc>
        <w:tc>
          <w:tcPr>
            <w:tcW w:w="811" w:type="pct"/>
          </w:tcPr>
          <w:p w:rsidR="001D0FDA" w:rsidRDefault="001D0FDA" w:rsidP="001D0FDA">
            <w:pPr>
              <w:pStyle w:val="Tabletext"/>
              <w:rPr>
                <w:rFonts w:cs="Tahoma"/>
                <w:i/>
                <w:szCs w:val="18"/>
              </w:rPr>
            </w:pPr>
            <w:r>
              <w:rPr>
                <w:rFonts w:cs="Tahoma"/>
                <w:i/>
                <w:szCs w:val="18"/>
              </w:rPr>
              <w:t>Intervention</w:t>
            </w:r>
          </w:p>
          <w:p w:rsidR="001D0FDA" w:rsidRPr="00B34193" w:rsidRDefault="001D0FDA" w:rsidP="001D0FDA">
            <w:pPr>
              <w:pStyle w:val="Tabletext"/>
              <w:rPr>
                <w:rFonts w:cs="Tahoma"/>
                <w:szCs w:val="18"/>
              </w:rPr>
            </w:pPr>
            <w:r w:rsidRPr="00B34193">
              <w:rPr>
                <w:rFonts w:cs="Tahoma"/>
                <w:szCs w:val="18"/>
              </w:rPr>
              <w:t>Bosentan</w:t>
            </w:r>
            <w:r>
              <w:rPr>
                <w:rFonts w:cs="Tahoma"/>
                <w:szCs w:val="18"/>
              </w:rPr>
              <w:t>: initial dose of</w:t>
            </w:r>
            <w:r w:rsidRPr="00B34193">
              <w:rPr>
                <w:rFonts w:cs="Tahoma"/>
                <w:szCs w:val="18"/>
              </w:rPr>
              <w:t xml:space="preserve"> 62.5 bid for 4 weeks</w:t>
            </w:r>
            <w:r>
              <w:rPr>
                <w:rFonts w:cs="Tahoma"/>
                <w:szCs w:val="18"/>
              </w:rPr>
              <w:t>, then</w:t>
            </w:r>
            <w:r w:rsidRPr="00B34193">
              <w:rPr>
                <w:rFonts w:cs="Tahoma"/>
                <w:szCs w:val="18"/>
              </w:rPr>
              <w:t xml:space="preserve"> 125mg bid</w:t>
            </w:r>
          </w:p>
          <w:p w:rsidR="001D0FDA" w:rsidRDefault="001D0FDA" w:rsidP="001D0FDA">
            <w:pPr>
              <w:pStyle w:val="Tabletext"/>
              <w:rPr>
                <w:rFonts w:cs="Tahoma"/>
                <w:i/>
                <w:szCs w:val="18"/>
              </w:rPr>
            </w:pPr>
          </w:p>
          <w:p w:rsidR="001D0FDA" w:rsidRPr="00B34193" w:rsidRDefault="001D0FDA" w:rsidP="001D0FDA">
            <w:pPr>
              <w:pStyle w:val="Tabletext"/>
              <w:rPr>
                <w:rFonts w:cs="Tahoma"/>
                <w:i/>
                <w:szCs w:val="18"/>
              </w:rPr>
            </w:pPr>
            <w:r>
              <w:rPr>
                <w:rFonts w:cs="Tahoma"/>
                <w:i/>
                <w:szCs w:val="18"/>
              </w:rPr>
              <w:t>Comparator</w:t>
            </w:r>
          </w:p>
          <w:p w:rsidR="001D0FDA" w:rsidRPr="00B34193" w:rsidRDefault="001D0FDA" w:rsidP="001D0FDA">
            <w:pPr>
              <w:pStyle w:val="Tabletext"/>
              <w:rPr>
                <w:rFonts w:cs="Tahoma"/>
                <w:szCs w:val="18"/>
              </w:rPr>
            </w:pPr>
            <w:r w:rsidRPr="00B34193">
              <w:rPr>
                <w:rFonts w:cs="Tahoma"/>
                <w:szCs w:val="18"/>
              </w:rPr>
              <w:t xml:space="preserve">Placebo </w:t>
            </w:r>
          </w:p>
          <w:p w:rsidR="001D0FDA" w:rsidRDefault="001D0FDA" w:rsidP="001D0FDA">
            <w:pPr>
              <w:pStyle w:val="Tabletext"/>
              <w:rPr>
                <w:rFonts w:cs="Tahoma"/>
                <w:i/>
                <w:szCs w:val="18"/>
              </w:rPr>
            </w:pPr>
          </w:p>
          <w:p w:rsidR="001D0FDA" w:rsidRDefault="001D0FDA" w:rsidP="001D0FDA">
            <w:pPr>
              <w:pStyle w:val="Tabletext"/>
              <w:rPr>
                <w:rFonts w:cs="Tahoma"/>
                <w:i/>
                <w:szCs w:val="18"/>
              </w:rPr>
            </w:pPr>
            <w:r w:rsidRPr="00B34193">
              <w:rPr>
                <w:rFonts w:cs="Tahoma"/>
                <w:i/>
                <w:szCs w:val="18"/>
              </w:rPr>
              <w:t>Background therapy</w:t>
            </w:r>
          </w:p>
          <w:p w:rsidR="001D0FDA" w:rsidRPr="00B34193" w:rsidRDefault="001D0FDA" w:rsidP="001D0FDA">
            <w:pPr>
              <w:pStyle w:val="Tabletext"/>
              <w:rPr>
                <w:rFonts w:cs="Tahoma"/>
                <w:szCs w:val="18"/>
              </w:rPr>
            </w:pPr>
            <w:r>
              <w:rPr>
                <w:rFonts w:cs="Tahoma"/>
                <w:szCs w:val="18"/>
              </w:rPr>
              <w:t>S</w:t>
            </w:r>
            <w:r w:rsidRPr="00B34193">
              <w:rPr>
                <w:rFonts w:cs="Tahoma"/>
                <w:szCs w:val="18"/>
              </w:rPr>
              <w:t>ildenafil (100%): ≥20mg tid</w:t>
            </w:r>
          </w:p>
        </w:tc>
        <w:tc>
          <w:tcPr>
            <w:tcW w:w="771" w:type="pct"/>
          </w:tcPr>
          <w:p w:rsidR="001D0FDA" w:rsidRPr="00942593" w:rsidRDefault="001D0FDA" w:rsidP="001D0FDA">
            <w:pPr>
              <w:pStyle w:val="Tabletext"/>
              <w:rPr>
                <w:rFonts w:cs="Tahoma"/>
                <w:i/>
                <w:szCs w:val="18"/>
              </w:rPr>
            </w:pPr>
            <w:r w:rsidRPr="00942593">
              <w:rPr>
                <w:rFonts w:cs="Tahoma"/>
                <w:i/>
                <w:szCs w:val="18"/>
              </w:rPr>
              <w:t>Effectiveness</w:t>
            </w:r>
          </w:p>
          <w:p w:rsidR="001D0FDA" w:rsidRPr="00942593" w:rsidRDefault="001D0FDA" w:rsidP="001D0FDA">
            <w:pPr>
              <w:pStyle w:val="Tabletext"/>
              <w:rPr>
                <w:rFonts w:cs="Tahoma"/>
                <w:szCs w:val="18"/>
              </w:rPr>
            </w:pPr>
            <w:r w:rsidRPr="00942593">
              <w:rPr>
                <w:rFonts w:cs="Tahoma"/>
                <w:szCs w:val="18"/>
              </w:rPr>
              <w:t>Primary:</w:t>
            </w:r>
          </w:p>
          <w:p w:rsidR="001D0FDA" w:rsidRPr="00942593" w:rsidRDefault="001D0FDA" w:rsidP="00480FDF">
            <w:pPr>
              <w:pStyle w:val="Tabletext"/>
              <w:numPr>
                <w:ilvl w:val="0"/>
                <w:numId w:val="54"/>
              </w:numPr>
              <w:ind w:left="239" w:hanging="144"/>
              <w:rPr>
                <w:rFonts w:cs="Tahoma"/>
                <w:szCs w:val="18"/>
              </w:rPr>
            </w:pPr>
            <w:r w:rsidRPr="00942593">
              <w:rPr>
                <w:rFonts w:cs="Tahoma"/>
                <w:szCs w:val="18"/>
              </w:rPr>
              <w:t xml:space="preserve">Time to first </w:t>
            </w:r>
            <w:r>
              <w:rPr>
                <w:rFonts w:cs="Tahoma"/>
                <w:szCs w:val="18"/>
              </w:rPr>
              <w:t xml:space="preserve">mortality/morbidity </w:t>
            </w:r>
            <w:r w:rsidRPr="00942593">
              <w:rPr>
                <w:rFonts w:cs="Tahoma"/>
                <w:szCs w:val="18"/>
              </w:rPr>
              <w:t>event</w:t>
            </w:r>
            <w:r w:rsidRPr="00942593">
              <w:rPr>
                <w:rFonts w:cs="Tahoma"/>
                <w:szCs w:val="18"/>
                <w:vertAlign w:val="superscript"/>
              </w:rPr>
              <w:t>c</w:t>
            </w:r>
          </w:p>
          <w:p w:rsidR="001D0FDA" w:rsidRPr="00942593" w:rsidRDefault="001D0FDA" w:rsidP="001D0FDA">
            <w:pPr>
              <w:pStyle w:val="Tabletext"/>
              <w:rPr>
                <w:rFonts w:cs="Tahoma"/>
                <w:szCs w:val="18"/>
              </w:rPr>
            </w:pPr>
            <w:r w:rsidRPr="00942593">
              <w:rPr>
                <w:rFonts w:cs="Tahoma"/>
                <w:szCs w:val="18"/>
              </w:rPr>
              <w:t>Secondary:</w:t>
            </w:r>
          </w:p>
          <w:p w:rsidR="001D0FDA" w:rsidRPr="00942593" w:rsidRDefault="001D0FDA" w:rsidP="00480FDF">
            <w:pPr>
              <w:pStyle w:val="Tabletext"/>
              <w:numPr>
                <w:ilvl w:val="0"/>
                <w:numId w:val="54"/>
              </w:numPr>
              <w:ind w:left="239" w:hanging="144"/>
              <w:rPr>
                <w:rFonts w:cs="Tahoma"/>
                <w:szCs w:val="18"/>
              </w:rPr>
            </w:pPr>
            <w:r w:rsidRPr="00942593">
              <w:rPr>
                <w:rFonts w:cs="Tahoma"/>
                <w:szCs w:val="18"/>
              </w:rPr>
              <w:t>Change in 6MWD at Week 16</w:t>
            </w:r>
            <w:r w:rsidRPr="00942593">
              <w:rPr>
                <w:rFonts w:cs="Tahoma"/>
                <w:szCs w:val="18"/>
                <w:vertAlign w:val="superscript"/>
              </w:rPr>
              <w:t>c</w:t>
            </w:r>
          </w:p>
          <w:p w:rsidR="001D0FDA" w:rsidRPr="00942593" w:rsidRDefault="001D0FDA" w:rsidP="00480FDF">
            <w:pPr>
              <w:pStyle w:val="Tabletext"/>
              <w:numPr>
                <w:ilvl w:val="0"/>
                <w:numId w:val="54"/>
              </w:numPr>
              <w:ind w:left="239" w:hanging="144"/>
              <w:rPr>
                <w:rFonts w:cs="Tahoma"/>
                <w:szCs w:val="18"/>
              </w:rPr>
            </w:pPr>
            <w:r w:rsidRPr="00942593">
              <w:rPr>
                <w:rFonts w:cs="Tahoma"/>
                <w:szCs w:val="18"/>
              </w:rPr>
              <w:t>Change in WHO FC at Week 16</w:t>
            </w:r>
            <w:r w:rsidRPr="00942593">
              <w:rPr>
                <w:rFonts w:cs="Tahoma"/>
                <w:szCs w:val="18"/>
                <w:vertAlign w:val="superscript"/>
              </w:rPr>
              <w:t>c</w:t>
            </w:r>
          </w:p>
          <w:p w:rsidR="001D0FDA" w:rsidRPr="00942593" w:rsidRDefault="001D0FDA" w:rsidP="00480FDF">
            <w:pPr>
              <w:pStyle w:val="Tabletext"/>
              <w:numPr>
                <w:ilvl w:val="0"/>
                <w:numId w:val="54"/>
              </w:numPr>
              <w:ind w:left="239" w:hanging="144"/>
              <w:rPr>
                <w:rFonts w:cs="Tahoma"/>
                <w:szCs w:val="18"/>
              </w:rPr>
            </w:pPr>
            <w:r w:rsidRPr="00942593">
              <w:rPr>
                <w:rFonts w:cs="Tahoma"/>
                <w:szCs w:val="18"/>
              </w:rPr>
              <w:t>Time to the first occurrence of death, hospitalisation for PAH or start of IV prostanoid therapy, atrial septostomy, or lung transplant</w:t>
            </w:r>
          </w:p>
          <w:p w:rsidR="001D0FDA" w:rsidRPr="00942593" w:rsidRDefault="001D0FDA" w:rsidP="00480FDF">
            <w:pPr>
              <w:pStyle w:val="Tabletext"/>
              <w:numPr>
                <w:ilvl w:val="0"/>
                <w:numId w:val="54"/>
              </w:numPr>
              <w:ind w:left="239" w:hanging="144"/>
              <w:rPr>
                <w:rFonts w:cs="Tahoma"/>
                <w:szCs w:val="18"/>
              </w:rPr>
            </w:pPr>
            <w:r w:rsidRPr="00942593">
              <w:rPr>
                <w:rFonts w:cs="Tahoma"/>
                <w:szCs w:val="18"/>
              </w:rPr>
              <w:t>All-cause morality</w:t>
            </w:r>
            <w:r w:rsidRPr="00942593">
              <w:rPr>
                <w:rFonts w:cs="Tahoma"/>
                <w:szCs w:val="18"/>
                <w:vertAlign w:val="superscript"/>
              </w:rPr>
              <w:t>c</w:t>
            </w:r>
          </w:p>
          <w:p w:rsidR="001D0FDA" w:rsidRPr="00942593" w:rsidRDefault="001D0FDA" w:rsidP="001D0FDA">
            <w:pPr>
              <w:pStyle w:val="Tabletext"/>
              <w:rPr>
                <w:rFonts w:cs="Tahoma"/>
                <w:szCs w:val="18"/>
              </w:rPr>
            </w:pPr>
          </w:p>
          <w:p w:rsidR="001D0FDA" w:rsidRPr="00942593" w:rsidRDefault="001D0FDA" w:rsidP="001D0FDA">
            <w:pPr>
              <w:pStyle w:val="Tabletext"/>
              <w:rPr>
                <w:rFonts w:cs="Tahoma"/>
                <w:szCs w:val="18"/>
              </w:rPr>
            </w:pPr>
            <w:r>
              <w:rPr>
                <w:rFonts w:cs="Tahoma"/>
                <w:i/>
                <w:szCs w:val="18"/>
              </w:rPr>
              <w:t>Safety</w:t>
            </w:r>
          </w:p>
          <w:p w:rsidR="001D0FDA" w:rsidRDefault="001D0FDA" w:rsidP="00480FDF">
            <w:pPr>
              <w:pStyle w:val="Tabletext"/>
              <w:numPr>
                <w:ilvl w:val="0"/>
                <w:numId w:val="54"/>
              </w:numPr>
              <w:ind w:left="239" w:hanging="144"/>
              <w:rPr>
                <w:rFonts w:cs="Tahoma"/>
                <w:i/>
                <w:szCs w:val="18"/>
              </w:rPr>
            </w:pPr>
            <w:r w:rsidRPr="00942593">
              <w:rPr>
                <w:rFonts w:cs="Tahoma"/>
                <w:szCs w:val="18"/>
              </w:rPr>
              <w:t>Adverse events</w:t>
            </w:r>
            <w:r w:rsidRPr="00942593">
              <w:rPr>
                <w:rFonts w:cs="Tahoma"/>
                <w:szCs w:val="18"/>
                <w:vertAlign w:val="superscript"/>
              </w:rPr>
              <w:t>c</w:t>
            </w:r>
          </w:p>
        </w:tc>
      </w:tr>
      <w:tr w:rsidR="001D0FDA" w:rsidRPr="00204000" w:rsidTr="001D0FDA">
        <w:tc>
          <w:tcPr>
            <w:tcW w:w="531" w:type="pct"/>
          </w:tcPr>
          <w:p w:rsidR="001D0FDA" w:rsidRPr="00351FF5" w:rsidRDefault="001D0FDA" w:rsidP="001D0FDA">
            <w:pPr>
              <w:pStyle w:val="Tabletext"/>
              <w:rPr>
                <w:rFonts w:cs="Tahoma"/>
                <w:szCs w:val="18"/>
              </w:rPr>
            </w:pPr>
            <w:r>
              <w:rPr>
                <w:rFonts w:cs="Tahoma"/>
                <w:szCs w:val="18"/>
              </w:rPr>
              <w:lastRenderedPageBreak/>
              <w:t>EARLY</w:t>
            </w:r>
            <w:r w:rsidR="001D34EE" w:rsidRPr="001D34EE">
              <w:rPr>
                <w:rFonts w:cs="Tahoma"/>
                <w:noProof/>
                <w:szCs w:val="18"/>
                <w:vertAlign w:val="superscript"/>
              </w:rPr>
              <w:t>9</w:t>
            </w:r>
          </w:p>
          <w:p w:rsidR="001D0FDA" w:rsidRPr="00351FF5" w:rsidRDefault="001D0FDA" w:rsidP="001D0FDA">
            <w:pPr>
              <w:pStyle w:val="Tabletext"/>
              <w:rPr>
                <w:rFonts w:cs="Tahoma"/>
                <w:szCs w:val="18"/>
              </w:rPr>
            </w:pPr>
            <w:r w:rsidRPr="00351FF5">
              <w:rPr>
                <w:rFonts w:cs="Tahoma"/>
                <w:szCs w:val="18"/>
              </w:rPr>
              <w:t>2004-2006</w:t>
            </w:r>
          </w:p>
          <w:p w:rsidR="001D0FDA" w:rsidRPr="00351FF5" w:rsidRDefault="001D0FDA" w:rsidP="001D0FDA">
            <w:pPr>
              <w:pStyle w:val="Tabletext"/>
              <w:rPr>
                <w:rFonts w:cs="Tahoma"/>
                <w:szCs w:val="18"/>
              </w:rPr>
            </w:pPr>
            <w:r w:rsidRPr="00351FF5">
              <w:rPr>
                <w:rFonts w:cs="Tahoma"/>
                <w:szCs w:val="18"/>
              </w:rPr>
              <w:t>US, Europe, Brazil</w:t>
            </w:r>
          </w:p>
        </w:tc>
        <w:tc>
          <w:tcPr>
            <w:tcW w:w="476" w:type="pct"/>
          </w:tcPr>
          <w:p w:rsidR="001D0FDA" w:rsidRPr="00351FF5" w:rsidRDefault="001D0FDA" w:rsidP="001D0FDA">
            <w:pPr>
              <w:pStyle w:val="Tabletext"/>
              <w:rPr>
                <w:rFonts w:cs="Tahoma"/>
                <w:szCs w:val="18"/>
              </w:rPr>
            </w:pPr>
            <w:r w:rsidRPr="00351FF5">
              <w:rPr>
                <w:rFonts w:cs="Tahoma"/>
                <w:szCs w:val="18"/>
              </w:rPr>
              <w:t>RCT</w:t>
            </w:r>
          </w:p>
          <w:p w:rsidR="001D0FDA" w:rsidRPr="00351FF5" w:rsidRDefault="001D0FDA" w:rsidP="001D0FDA">
            <w:pPr>
              <w:pStyle w:val="Tabletext"/>
              <w:rPr>
                <w:rFonts w:cs="Tahoma"/>
                <w:szCs w:val="18"/>
              </w:rPr>
            </w:pPr>
            <w:r w:rsidRPr="00351FF5">
              <w:rPr>
                <w:rFonts w:cs="Tahoma"/>
                <w:szCs w:val="18"/>
              </w:rPr>
              <w:t>Level II evidence</w:t>
            </w:r>
          </w:p>
          <w:p w:rsidR="001D0FDA" w:rsidRPr="00351FF5" w:rsidRDefault="001D0FDA" w:rsidP="001D0FDA">
            <w:pPr>
              <w:pStyle w:val="Tabletext"/>
              <w:rPr>
                <w:rFonts w:cs="Tahoma"/>
                <w:szCs w:val="18"/>
              </w:rPr>
            </w:pPr>
            <w:r>
              <w:rPr>
                <w:rFonts w:cs="Tahoma"/>
                <w:szCs w:val="18"/>
              </w:rPr>
              <w:t xml:space="preserve">Follow-up: </w:t>
            </w:r>
            <w:r w:rsidRPr="00351FF5">
              <w:rPr>
                <w:rFonts w:cs="Tahoma"/>
                <w:szCs w:val="18"/>
              </w:rPr>
              <w:t>6 months</w:t>
            </w:r>
          </w:p>
          <w:p w:rsidR="001D0FDA" w:rsidRPr="00351FF5" w:rsidRDefault="001D0FDA" w:rsidP="001D0FDA">
            <w:pPr>
              <w:pStyle w:val="Tabletext"/>
              <w:rPr>
                <w:rFonts w:cs="Tahoma"/>
                <w:szCs w:val="18"/>
              </w:rPr>
            </w:pPr>
            <w:r w:rsidRPr="00351FF5">
              <w:rPr>
                <w:rFonts w:cs="Tahoma"/>
                <w:szCs w:val="18"/>
              </w:rPr>
              <w:t>Risk of bias: low</w:t>
            </w:r>
          </w:p>
        </w:tc>
        <w:tc>
          <w:tcPr>
            <w:tcW w:w="772" w:type="pct"/>
          </w:tcPr>
          <w:p w:rsidR="001D0FDA" w:rsidRPr="00351FF5" w:rsidRDefault="001D0FDA" w:rsidP="001D0FDA">
            <w:pPr>
              <w:pStyle w:val="Tabletext"/>
              <w:rPr>
                <w:rFonts w:cs="Tahoma"/>
                <w:i/>
                <w:szCs w:val="18"/>
              </w:rPr>
            </w:pPr>
            <w:r w:rsidRPr="00351FF5">
              <w:rPr>
                <w:rFonts w:cs="Tahoma"/>
                <w:i/>
                <w:szCs w:val="18"/>
              </w:rPr>
              <w:t>Inclusion criteria</w:t>
            </w:r>
          </w:p>
          <w:p w:rsidR="001D0FDA" w:rsidRPr="00351FF5" w:rsidRDefault="001D0FDA" w:rsidP="00480FDF">
            <w:pPr>
              <w:pStyle w:val="Tabletext"/>
              <w:numPr>
                <w:ilvl w:val="0"/>
                <w:numId w:val="54"/>
              </w:numPr>
              <w:ind w:left="239" w:hanging="144"/>
              <w:rPr>
                <w:rFonts w:cs="Tahoma"/>
                <w:szCs w:val="18"/>
              </w:rPr>
            </w:pPr>
            <w:r w:rsidRPr="00351FF5">
              <w:rPr>
                <w:rFonts w:cs="Tahoma"/>
                <w:szCs w:val="18"/>
              </w:rPr>
              <w:t xml:space="preserve">Age </w:t>
            </w:r>
            <w:r>
              <w:rPr>
                <w:rFonts w:cs="Tahoma"/>
                <w:szCs w:val="18"/>
              </w:rPr>
              <w:t xml:space="preserve">of </w:t>
            </w:r>
            <w:r w:rsidRPr="00351FF5">
              <w:rPr>
                <w:rFonts w:cs="Tahoma"/>
                <w:szCs w:val="18"/>
              </w:rPr>
              <w:t>≥12 y</w:t>
            </w:r>
            <w:r>
              <w:rPr>
                <w:rFonts w:cs="Tahoma"/>
                <w:szCs w:val="18"/>
              </w:rPr>
              <w:t>ears</w:t>
            </w:r>
          </w:p>
          <w:p w:rsidR="001D0FDA" w:rsidRPr="0001197E" w:rsidRDefault="001D0FDA" w:rsidP="00480FDF">
            <w:pPr>
              <w:pStyle w:val="Tabletext"/>
              <w:numPr>
                <w:ilvl w:val="0"/>
                <w:numId w:val="54"/>
              </w:numPr>
              <w:ind w:left="239" w:hanging="144"/>
              <w:rPr>
                <w:rFonts w:cs="Tahoma"/>
                <w:szCs w:val="18"/>
              </w:rPr>
            </w:pPr>
            <w:r w:rsidRPr="00351FF5">
              <w:rPr>
                <w:rFonts w:cs="Tahoma"/>
                <w:szCs w:val="18"/>
              </w:rPr>
              <w:t>Patients with WHO FC II IPAH, HPAH, PAH-CTD, PAH-CHD, PAH-HIV or anorexigen-associated PAH</w:t>
            </w:r>
          </w:p>
          <w:p w:rsidR="001D0FDA" w:rsidRDefault="001D0FDA" w:rsidP="00480FDF">
            <w:pPr>
              <w:pStyle w:val="Tabletext"/>
              <w:numPr>
                <w:ilvl w:val="0"/>
                <w:numId w:val="54"/>
              </w:numPr>
              <w:ind w:left="239" w:hanging="144"/>
              <w:rPr>
                <w:rFonts w:cs="Tahoma"/>
                <w:szCs w:val="18"/>
              </w:rPr>
            </w:pPr>
            <w:r w:rsidRPr="00351FF5">
              <w:rPr>
                <w:rFonts w:cs="Tahoma"/>
                <w:szCs w:val="18"/>
              </w:rPr>
              <w:t xml:space="preserve">6MWD &lt;80% of the </w:t>
            </w:r>
            <w:r w:rsidRPr="006A20FF">
              <w:rPr>
                <w:rFonts w:cs="Tahoma"/>
                <w:szCs w:val="18"/>
              </w:rPr>
              <w:t xml:space="preserve"> normal predicted value</w:t>
            </w:r>
            <w:r w:rsidRPr="00351FF5">
              <w:rPr>
                <w:rFonts w:cs="Tahoma"/>
                <w:szCs w:val="18"/>
              </w:rPr>
              <w:t xml:space="preserve"> or &lt;500m</w:t>
            </w:r>
          </w:p>
          <w:p w:rsidR="001D0FDA" w:rsidRDefault="001D0FDA" w:rsidP="00480FDF">
            <w:pPr>
              <w:pStyle w:val="Tabletext"/>
              <w:numPr>
                <w:ilvl w:val="0"/>
                <w:numId w:val="54"/>
              </w:numPr>
              <w:ind w:left="239" w:hanging="144"/>
              <w:rPr>
                <w:rFonts w:cs="Tahoma"/>
                <w:szCs w:val="18"/>
              </w:rPr>
            </w:pPr>
            <w:r>
              <w:rPr>
                <w:rFonts w:cs="Tahoma"/>
                <w:szCs w:val="18"/>
              </w:rPr>
              <w:t>BDS</w:t>
            </w:r>
            <w:r w:rsidRPr="00351FF5">
              <w:rPr>
                <w:rFonts w:cs="Tahoma"/>
                <w:szCs w:val="18"/>
              </w:rPr>
              <w:t xml:space="preserve"> ≥2</w:t>
            </w:r>
          </w:p>
          <w:p w:rsidR="001D0FDA" w:rsidRPr="00351FF5" w:rsidRDefault="001D0FDA" w:rsidP="00480FDF">
            <w:pPr>
              <w:pStyle w:val="Tabletext"/>
              <w:numPr>
                <w:ilvl w:val="0"/>
                <w:numId w:val="54"/>
              </w:numPr>
              <w:ind w:left="239" w:hanging="144"/>
              <w:rPr>
                <w:rFonts w:cs="Tahoma"/>
                <w:szCs w:val="18"/>
              </w:rPr>
            </w:pPr>
            <w:r>
              <w:rPr>
                <w:rFonts w:cs="Tahoma"/>
                <w:szCs w:val="18"/>
              </w:rPr>
              <w:t>PVR≥320cyn/s*cm</w:t>
            </w:r>
            <w:r>
              <w:rPr>
                <w:rFonts w:cs="Tahoma"/>
                <w:szCs w:val="18"/>
                <w:vertAlign w:val="superscript"/>
              </w:rPr>
              <w:t>5</w:t>
            </w:r>
          </w:p>
          <w:p w:rsidR="001D0FDA" w:rsidRPr="00351FF5" w:rsidRDefault="001D0FDA" w:rsidP="001D0FDA">
            <w:pPr>
              <w:pStyle w:val="Tabletext"/>
              <w:rPr>
                <w:rFonts w:cs="Tahoma"/>
                <w:szCs w:val="18"/>
                <w:u w:val="single"/>
              </w:rPr>
            </w:pPr>
          </w:p>
          <w:p w:rsidR="001D0FDA" w:rsidRPr="00351FF5" w:rsidRDefault="001D0FDA" w:rsidP="001D0FDA">
            <w:pPr>
              <w:pStyle w:val="Tabletext"/>
              <w:rPr>
                <w:rFonts w:cs="Tahoma"/>
                <w:i/>
                <w:szCs w:val="18"/>
              </w:rPr>
            </w:pPr>
            <w:r w:rsidRPr="00351FF5">
              <w:rPr>
                <w:rFonts w:cs="Tahoma"/>
                <w:i/>
                <w:szCs w:val="18"/>
              </w:rPr>
              <w:t>Exclusion criteria</w:t>
            </w:r>
          </w:p>
          <w:p w:rsidR="001D0FDA" w:rsidRPr="00351FF5" w:rsidRDefault="001D0FDA" w:rsidP="00480FDF">
            <w:pPr>
              <w:pStyle w:val="Tabletext"/>
              <w:numPr>
                <w:ilvl w:val="0"/>
                <w:numId w:val="54"/>
              </w:numPr>
              <w:ind w:left="239" w:hanging="144"/>
              <w:rPr>
                <w:rFonts w:cs="Tahoma"/>
                <w:szCs w:val="18"/>
              </w:rPr>
            </w:pPr>
            <w:r>
              <w:rPr>
                <w:rFonts w:cs="Tahoma"/>
                <w:szCs w:val="18"/>
              </w:rPr>
              <w:t xml:space="preserve">Patients who had been treated </w:t>
            </w:r>
            <w:r w:rsidRPr="00351FF5">
              <w:rPr>
                <w:rFonts w:cs="Tahoma"/>
                <w:szCs w:val="18"/>
              </w:rPr>
              <w:t>for PAH within 4 weeks of randomisation</w:t>
            </w:r>
          </w:p>
        </w:tc>
        <w:tc>
          <w:tcPr>
            <w:tcW w:w="0" w:type="auto"/>
          </w:tcPr>
          <w:p w:rsidR="001D0FDA" w:rsidRPr="00351FF5" w:rsidRDefault="001D0FDA" w:rsidP="001D0FDA">
            <w:pPr>
              <w:pStyle w:val="Tabletext"/>
              <w:rPr>
                <w:rFonts w:cs="Tahoma"/>
                <w:szCs w:val="18"/>
              </w:rPr>
            </w:pPr>
            <w:r w:rsidRPr="00351FF5">
              <w:rPr>
                <w:rFonts w:cs="Tahoma"/>
                <w:szCs w:val="18"/>
              </w:rPr>
              <w:t xml:space="preserve">N=185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EARLY"/>
            </w:tblPr>
            <w:tblGrid>
              <w:gridCol w:w="2101"/>
              <w:gridCol w:w="1003"/>
              <w:gridCol w:w="1134"/>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1D0FDA" w:rsidRPr="00351FF5" w:rsidRDefault="001D0FDA" w:rsidP="00B5196D">
                  <w:pPr>
                    <w:pStyle w:val="Tabletext"/>
                    <w:framePr w:hSpace="180" w:wrap="around" w:vAnchor="text" w:hAnchor="text" w:y="1"/>
                    <w:spacing w:before="0" w:after="0"/>
                    <w:rPr>
                      <w:rFonts w:cs="Tahoma"/>
                      <w:b/>
                      <w:szCs w:val="18"/>
                    </w:rPr>
                  </w:pPr>
                </w:p>
              </w:tc>
              <w:tc>
                <w:tcPr>
                  <w:tcW w:w="1001"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Bosentan</w:t>
                  </w:r>
                </w:p>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(N=93)</w:t>
                  </w:r>
                </w:p>
              </w:tc>
              <w:tc>
                <w:tcPr>
                  <w:tcW w:w="1134"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Placebo</w:t>
                  </w:r>
                </w:p>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(N=92)</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 xml:space="preserve">Age, mean±SD (yrs) </w:t>
                  </w:r>
                </w:p>
              </w:tc>
              <w:tc>
                <w:tcPr>
                  <w:tcW w:w="1001" w:type="dxa"/>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45±17</w:t>
                  </w:r>
                </w:p>
              </w:tc>
              <w:tc>
                <w:tcPr>
                  <w:tcW w:w="1134" w:type="dxa"/>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44±17</w:t>
                  </w:r>
                </w:p>
              </w:tc>
            </w:tr>
            <w:tr w:rsidR="001D0FDA" w:rsidRPr="00351FF5" w:rsidTr="001D0FDA">
              <w:tc>
                <w:tcPr>
                  <w:tcW w:w="2101"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Gender, femal</w:t>
                  </w:r>
                  <w:r>
                    <w:rPr>
                      <w:rFonts w:cs="Tahoma"/>
                      <w:szCs w:val="18"/>
                    </w:rPr>
                    <w:t>e</w:t>
                  </w:r>
                  <w:r w:rsidRPr="00351FF5">
                    <w:rPr>
                      <w:rFonts w:cs="Tahoma"/>
                      <w:szCs w:val="18"/>
                    </w:rPr>
                    <w:t>, n (%)</w:t>
                  </w:r>
                </w:p>
              </w:tc>
              <w:tc>
                <w:tcPr>
                  <w:tcW w:w="1001"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71 (76%)</w:t>
                  </w:r>
                </w:p>
              </w:tc>
              <w:tc>
                <w:tcPr>
                  <w:tcW w:w="1134"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58 (63%)</w:t>
                  </w:r>
                </w:p>
              </w:tc>
            </w:tr>
            <w:tr w:rsidR="001D0FDA" w:rsidRPr="00351FF5" w:rsidTr="001D0FDA">
              <w:tc>
                <w:tcPr>
                  <w:tcW w:w="2101"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PAH aetiology, n (%)</w:t>
                  </w:r>
                </w:p>
              </w:tc>
              <w:tc>
                <w:tcPr>
                  <w:tcW w:w="1001"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c>
                <w:tcPr>
                  <w:tcW w:w="1134"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IPAH</w:t>
                  </w:r>
                </w:p>
              </w:tc>
              <w:tc>
                <w:tcPr>
                  <w:tcW w:w="1001"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54 (58%)</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58 (63%)</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PAH-CTD</w:t>
                  </w:r>
                </w:p>
              </w:tc>
              <w:tc>
                <w:tcPr>
                  <w:tcW w:w="1001"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18 (19%)</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15 (16%)</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PAH-CHD</w:t>
                  </w:r>
                </w:p>
              </w:tc>
              <w:tc>
                <w:tcPr>
                  <w:tcW w:w="1001"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16 (17%)</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16 (17%)</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PAH-HIV</w:t>
                  </w:r>
                </w:p>
              </w:tc>
              <w:tc>
                <w:tcPr>
                  <w:tcW w:w="1001"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5 (5%)</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2 (2%)</w:t>
                  </w:r>
                </w:p>
              </w:tc>
            </w:tr>
            <w:tr w:rsidR="001D0FDA" w:rsidRPr="00351FF5" w:rsidTr="001D0FDA">
              <w:tc>
                <w:tcPr>
                  <w:tcW w:w="2101" w:type="dxa"/>
                  <w:tcBorders>
                    <w:top w:val="nil"/>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Other</w:t>
                  </w:r>
                </w:p>
              </w:tc>
              <w:tc>
                <w:tcPr>
                  <w:tcW w:w="1001" w:type="dxa"/>
                  <w:tcBorders>
                    <w:top w:val="nil"/>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0 (0%)</w:t>
                  </w:r>
                </w:p>
              </w:tc>
              <w:tc>
                <w:tcPr>
                  <w:tcW w:w="1134" w:type="dxa"/>
                  <w:tcBorders>
                    <w:top w:val="nil"/>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1 (1%)</w:t>
                  </w:r>
                </w:p>
              </w:tc>
            </w:tr>
            <w:tr w:rsidR="001D0FDA" w:rsidRPr="00351FF5" w:rsidTr="001D0FDA">
              <w:tc>
                <w:tcPr>
                  <w:tcW w:w="2101"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WHO FC</w:t>
                  </w:r>
                  <w:r>
                    <w:rPr>
                      <w:rFonts w:cs="Tahoma"/>
                      <w:szCs w:val="18"/>
                    </w:rPr>
                    <w:t>, n (%)</w:t>
                  </w:r>
                </w:p>
              </w:tc>
              <w:tc>
                <w:tcPr>
                  <w:tcW w:w="1001"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c>
                <w:tcPr>
                  <w:tcW w:w="1134"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101" w:type="dxa"/>
                  <w:tcBorders>
                    <w:top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II</w:t>
                  </w:r>
                </w:p>
              </w:tc>
              <w:tc>
                <w:tcPr>
                  <w:tcW w:w="1001" w:type="dxa"/>
                  <w:tcBorders>
                    <w:top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93 (100%)</w:t>
                  </w:r>
                </w:p>
              </w:tc>
              <w:tc>
                <w:tcPr>
                  <w:tcW w:w="1134" w:type="dxa"/>
                  <w:tcBorders>
                    <w:top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92 (100%)</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Time from diagnosis, mean±SD (yrs)</w:t>
                  </w:r>
                </w:p>
              </w:tc>
              <w:tc>
                <w:tcPr>
                  <w:tcW w:w="1001"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2.9±5.5</w:t>
                  </w:r>
                </w:p>
              </w:tc>
              <w:tc>
                <w:tcPr>
                  <w:tcW w:w="1134"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3.7±6.5</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411013">
                    <w:rPr>
                      <w:rFonts w:cs="Tahoma"/>
                      <w:szCs w:val="18"/>
                    </w:rPr>
                    <w:t>Concomitant use of sildenafil</w:t>
                  </w:r>
                </w:p>
              </w:tc>
              <w:tc>
                <w:tcPr>
                  <w:tcW w:w="1001"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14 (15%)</w:t>
                  </w:r>
                </w:p>
              </w:tc>
              <w:tc>
                <w:tcPr>
                  <w:tcW w:w="1134"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15 (16%)</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mPAP, mean±SD (mmHg)</w:t>
                  </w:r>
                </w:p>
              </w:tc>
              <w:tc>
                <w:tcPr>
                  <w:tcW w:w="1001"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52.5±18.5</w:t>
                  </w:r>
                </w:p>
              </w:tc>
              <w:tc>
                <w:tcPr>
                  <w:tcW w:w="1134"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52.3±16.0</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PVR, mean±SD (</w:t>
                  </w:r>
                  <w:r>
                    <w:rPr>
                      <w:rFonts w:cs="Tahoma"/>
                      <w:szCs w:val="18"/>
                    </w:rPr>
                    <w:t>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001"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839±531</w:t>
                  </w:r>
                </w:p>
              </w:tc>
              <w:tc>
                <w:tcPr>
                  <w:tcW w:w="1134"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805±369</w:t>
                  </w:r>
                </w:p>
              </w:tc>
            </w:tr>
          </w:tbl>
          <w:p w:rsidR="001D0FDA" w:rsidRPr="00351FF5" w:rsidRDefault="001D0FDA" w:rsidP="001D0FDA">
            <w:pPr>
              <w:pStyle w:val="Tabletext"/>
              <w:rPr>
                <w:rFonts w:cs="Tahoma"/>
                <w:szCs w:val="18"/>
              </w:rPr>
            </w:pPr>
            <w:r w:rsidRPr="00351FF5">
              <w:rPr>
                <w:rFonts w:cs="Tahoma"/>
                <w:szCs w:val="18"/>
              </w:rPr>
              <w:t xml:space="preserve">Data on the patient characteristics for the no background therapy subgroup and with background therapy subgroup between the two treatment groups were not available. However, randomisation was stratified according to sildenafil use at enrolment. </w:t>
            </w:r>
          </w:p>
        </w:tc>
        <w:tc>
          <w:tcPr>
            <w:tcW w:w="811" w:type="pct"/>
          </w:tcPr>
          <w:p w:rsidR="001D0FDA" w:rsidRPr="00802B85" w:rsidRDefault="001D0FDA" w:rsidP="001D0FDA">
            <w:pPr>
              <w:pStyle w:val="Tabletext"/>
              <w:rPr>
                <w:rFonts w:cs="Tahoma"/>
                <w:i/>
                <w:szCs w:val="18"/>
              </w:rPr>
            </w:pPr>
            <w:r>
              <w:rPr>
                <w:rFonts w:cs="Tahoma"/>
                <w:i/>
                <w:szCs w:val="18"/>
              </w:rPr>
              <w:t>Intervention</w:t>
            </w:r>
          </w:p>
          <w:p w:rsidR="001D0FDA" w:rsidRPr="00351FF5" w:rsidRDefault="001D0FDA" w:rsidP="001D0FDA">
            <w:pPr>
              <w:pStyle w:val="Tabletext"/>
              <w:rPr>
                <w:rFonts w:cs="Tahoma"/>
                <w:szCs w:val="18"/>
              </w:rPr>
            </w:pPr>
            <w:r w:rsidRPr="00351FF5">
              <w:rPr>
                <w:rFonts w:cs="Tahoma"/>
                <w:szCs w:val="18"/>
              </w:rPr>
              <w:t>Bosentan: initial dose of 62.5mg bid, up-titrat</w:t>
            </w:r>
            <w:r>
              <w:rPr>
                <w:rFonts w:cs="Tahoma"/>
                <w:szCs w:val="18"/>
              </w:rPr>
              <w:t>ed</w:t>
            </w:r>
            <w:r w:rsidRPr="00351FF5">
              <w:rPr>
                <w:rFonts w:cs="Tahoma"/>
                <w:szCs w:val="18"/>
              </w:rPr>
              <w:t xml:space="preserve"> to 125mg bid after 4 weeks if body weight ≥40kg</w:t>
            </w:r>
          </w:p>
          <w:p w:rsidR="001D0FDA" w:rsidRPr="00351FF5" w:rsidRDefault="001D0FDA" w:rsidP="001D0FDA">
            <w:pPr>
              <w:pStyle w:val="Tabletext"/>
              <w:rPr>
                <w:rFonts w:cs="Tahoma"/>
                <w:szCs w:val="18"/>
              </w:rPr>
            </w:pPr>
          </w:p>
          <w:p w:rsidR="001D0FDA" w:rsidRDefault="001D0FDA" w:rsidP="001D0FDA">
            <w:pPr>
              <w:pStyle w:val="Tabletext"/>
              <w:rPr>
                <w:rFonts w:cs="Tahoma"/>
                <w:i/>
                <w:szCs w:val="18"/>
              </w:rPr>
            </w:pPr>
            <w:r>
              <w:rPr>
                <w:rFonts w:cs="Tahoma"/>
                <w:i/>
                <w:szCs w:val="18"/>
              </w:rPr>
              <w:t>Comparator</w:t>
            </w:r>
          </w:p>
          <w:p w:rsidR="001D0FDA" w:rsidRPr="00351FF5" w:rsidRDefault="001D0FDA" w:rsidP="001D0FDA">
            <w:pPr>
              <w:pStyle w:val="Tabletext"/>
              <w:rPr>
                <w:rFonts w:cs="Tahoma"/>
                <w:szCs w:val="18"/>
              </w:rPr>
            </w:pPr>
            <w:r w:rsidRPr="00351FF5">
              <w:rPr>
                <w:rFonts w:cs="Tahoma"/>
                <w:szCs w:val="18"/>
              </w:rPr>
              <w:t xml:space="preserve">Placebo bid </w:t>
            </w:r>
          </w:p>
          <w:p w:rsidR="001D0FDA" w:rsidRPr="00351FF5" w:rsidRDefault="001D0FDA" w:rsidP="001D0FDA">
            <w:pPr>
              <w:pStyle w:val="Tabletext"/>
              <w:rPr>
                <w:rFonts w:cs="Tahoma"/>
                <w:szCs w:val="18"/>
              </w:rPr>
            </w:pPr>
          </w:p>
          <w:p w:rsidR="001D0FDA" w:rsidRDefault="001D0FDA" w:rsidP="001D0FDA">
            <w:pPr>
              <w:pStyle w:val="Tabletext"/>
              <w:rPr>
                <w:rFonts w:cs="Tahoma"/>
                <w:szCs w:val="18"/>
              </w:rPr>
            </w:pPr>
            <w:r w:rsidRPr="00802B85">
              <w:rPr>
                <w:rFonts w:cs="Tahoma"/>
                <w:i/>
                <w:szCs w:val="18"/>
              </w:rPr>
              <w:t>Background therapy</w:t>
            </w:r>
            <w:r w:rsidRPr="00351FF5">
              <w:rPr>
                <w:rFonts w:cs="Tahoma"/>
                <w:szCs w:val="18"/>
              </w:rPr>
              <w:t xml:space="preserve"> </w:t>
            </w:r>
          </w:p>
          <w:p w:rsidR="001D0FDA" w:rsidRPr="00351FF5" w:rsidRDefault="001D0FDA" w:rsidP="001D0FDA">
            <w:pPr>
              <w:pStyle w:val="Tabletext"/>
              <w:rPr>
                <w:rFonts w:cs="Tahoma"/>
                <w:szCs w:val="18"/>
              </w:rPr>
            </w:pPr>
            <w:r>
              <w:rPr>
                <w:rFonts w:cs="Tahoma"/>
                <w:szCs w:val="18"/>
              </w:rPr>
              <w:t>S</w:t>
            </w:r>
            <w:r w:rsidRPr="00351FF5">
              <w:rPr>
                <w:rFonts w:cs="Tahoma"/>
                <w:szCs w:val="18"/>
              </w:rPr>
              <w:t>ildenafil: 15% in the bosentan arm vs 16% in the placebo arm</w:t>
            </w:r>
          </w:p>
        </w:tc>
        <w:tc>
          <w:tcPr>
            <w:tcW w:w="771" w:type="pct"/>
          </w:tcPr>
          <w:p w:rsidR="001D0FDA" w:rsidRPr="00351FF5" w:rsidRDefault="001D0FDA" w:rsidP="001D0FDA">
            <w:pPr>
              <w:pStyle w:val="Tabletext"/>
              <w:rPr>
                <w:rFonts w:cs="Tahoma"/>
                <w:i/>
                <w:szCs w:val="18"/>
              </w:rPr>
            </w:pPr>
            <w:r w:rsidRPr="00351FF5">
              <w:rPr>
                <w:rFonts w:cs="Tahoma"/>
                <w:i/>
                <w:szCs w:val="18"/>
              </w:rPr>
              <w:t>Effectiveness:</w:t>
            </w:r>
          </w:p>
          <w:p w:rsidR="001D0FDA" w:rsidRPr="00351FF5" w:rsidRDefault="001D0FDA" w:rsidP="001D0FDA">
            <w:pPr>
              <w:pStyle w:val="Tabletext"/>
              <w:rPr>
                <w:rFonts w:cs="Tahoma"/>
                <w:szCs w:val="18"/>
              </w:rPr>
            </w:pPr>
            <w:r w:rsidRPr="00351FF5">
              <w:rPr>
                <w:rFonts w:cs="Tahoma"/>
                <w:szCs w:val="18"/>
              </w:rPr>
              <w:t>Primary:</w:t>
            </w:r>
          </w:p>
          <w:p w:rsidR="001D0FDA" w:rsidRPr="00351FF5" w:rsidRDefault="001D0FDA" w:rsidP="00480FDF">
            <w:pPr>
              <w:pStyle w:val="Tabletext"/>
              <w:numPr>
                <w:ilvl w:val="0"/>
                <w:numId w:val="54"/>
              </w:numPr>
              <w:ind w:left="239" w:hanging="144"/>
              <w:rPr>
                <w:rFonts w:cs="Tahoma"/>
                <w:szCs w:val="18"/>
              </w:rPr>
            </w:pPr>
            <w:r w:rsidRPr="00351FF5">
              <w:rPr>
                <w:rFonts w:cs="Tahoma"/>
                <w:szCs w:val="18"/>
              </w:rPr>
              <w:t>PVR at Months 6</w:t>
            </w:r>
            <w:r w:rsidRPr="00351FF5">
              <w:rPr>
                <w:rFonts w:cs="Tahoma"/>
                <w:szCs w:val="18"/>
                <w:vertAlign w:val="superscript"/>
              </w:rPr>
              <w:t>c</w:t>
            </w:r>
          </w:p>
          <w:p w:rsidR="001D0FDA" w:rsidRPr="00351FF5" w:rsidRDefault="001D0FDA" w:rsidP="00480FDF">
            <w:pPr>
              <w:pStyle w:val="Tabletext"/>
              <w:numPr>
                <w:ilvl w:val="0"/>
                <w:numId w:val="54"/>
              </w:numPr>
              <w:ind w:left="239" w:hanging="144"/>
              <w:rPr>
                <w:rFonts w:cs="Tahoma"/>
                <w:szCs w:val="18"/>
              </w:rPr>
            </w:pPr>
            <w:r w:rsidRPr="00351FF5">
              <w:rPr>
                <w:rFonts w:cs="Tahoma"/>
                <w:szCs w:val="18"/>
              </w:rPr>
              <w:t>Change in 6MWD at Month 6</w:t>
            </w:r>
            <w:r w:rsidRPr="00351FF5">
              <w:rPr>
                <w:rFonts w:cs="Tahoma"/>
                <w:szCs w:val="18"/>
                <w:vertAlign w:val="superscript"/>
              </w:rPr>
              <w:t>c</w:t>
            </w:r>
            <w:r w:rsidRPr="00351FF5">
              <w:rPr>
                <w:rFonts w:cs="Tahoma"/>
                <w:szCs w:val="18"/>
              </w:rPr>
              <w:t xml:space="preserve"> </w:t>
            </w:r>
          </w:p>
          <w:p w:rsidR="001D0FDA" w:rsidRPr="00351FF5" w:rsidRDefault="001D0FDA" w:rsidP="001D0FDA">
            <w:pPr>
              <w:pStyle w:val="Tabletext"/>
              <w:rPr>
                <w:rFonts w:cs="Tahoma"/>
                <w:szCs w:val="18"/>
              </w:rPr>
            </w:pPr>
            <w:r w:rsidRPr="00351FF5">
              <w:rPr>
                <w:rFonts w:cs="Tahoma"/>
                <w:szCs w:val="18"/>
              </w:rPr>
              <w:t>Secondary:</w:t>
            </w:r>
          </w:p>
          <w:p w:rsidR="001D0FDA" w:rsidRPr="00351FF5" w:rsidRDefault="001D0FDA" w:rsidP="00480FDF">
            <w:pPr>
              <w:pStyle w:val="Tabletext"/>
              <w:numPr>
                <w:ilvl w:val="0"/>
                <w:numId w:val="54"/>
              </w:numPr>
              <w:ind w:left="239" w:hanging="144"/>
              <w:rPr>
                <w:rFonts w:cs="Tahoma"/>
                <w:szCs w:val="18"/>
              </w:rPr>
            </w:pPr>
            <w:r w:rsidRPr="00351FF5">
              <w:rPr>
                <w:rFonts w:cs="Tahoma"/>
                <w:szCs w:val="18"/>
              </w:rPr>
              <w:t>Time to clinical worsening</w:t>
            </w:r>
            <w:r w:rsidRPr="00351FF5">
              <w:rPr>
                <w:rFonts w:cs="Tahoma"/>
                <w:szCs w:val="18"/>
                <w:vertAlign w:val="superscript"/>
              </w:rPr>
              <w:t>c</w:t>
            </w:r>
          </w:p>
          <w:p w:rsidR="001D0FDA" w:rsidRDefault="001D0FDA" w:rsidP="00480FDF">
            <w:pPr>
              <w:pStyle w:val="Tabletext"/>
              <w:numPr>
                <w:ilvl w:val="0"/>
                <w:numId w:val="54"/>
              </w:numPr>
              <w:ind w:left="239" w:hanging="144"/>
              <w:rPr>
                <w:rFonts w:cs="Tahoma"/>
                <w:szCs w:val="18"/>
              </w:rPr>
            </w:pPr>
            <w:r w:rsidRPr="00351FF5">
              <w:rPr>
                <w:rFonts w:cs="Tahoma"/>
                <w:szCs w:val="18"/>
              </w:rPr>
              <w:t>Change in WHO FC at Month 6</w:t>
            </w:r>
          </w:p>
          <w:p w:rsidR="001D0FDA" w:rsidRPr="00351FF5" w:rsidRDefault="001D0FDA" w:rsidP="00480FDF">
            <w:pPr>
              <w:pStyle w:val="Tabletext"/>
              <w:numPr>
                <w:ilvl w:val="0"/>
                <w:numId w:val="54"/>
              </w:numPr>
              <w:ind w:left="239" w:hanging="144"/>
              <w:rPr>
                <w:rFonts w:cs="Tahoma"/>
                <w:szCs w:val="18"/>
              </w:rPr>
            </w:pPr>
            <w:r w:rsidRPr="00351FF5">
              <w:rPr>
                <w:rFonts w:cs="Tahoma"/>
                <w:szCs w:val="18"/>
              </w:rPr>
              <w:t xml:space="preserve">Change in </w:t>
            </w:r>
            <w:r>
              <w:rPr>
                <w:rFonts w:cs="Tahoma"/>
                <w:szCs w:val="18"/>
              </w:rPr>
              <w:t>BDS</w:t>
            </w:r>
            <w:r w:rsidRPr="00351FF5">
              <w:rPr>
                <w:rFonts w:cs="Tahoma"/>
                <w:szCs w:val="18"/>
              </w:rPr>
              <w:t xml:space="preserve"> at Month 6</w:t>
            </w:r>
          </w:p>
          <w:p w:rsidR="001D0FDA" w:rsidRPr="00351FF5" w:rsidRDefault="001D0FDA" w:rsidP="00480FDF">
            <w:pPr>
              <w:pStyle w:val="Tabletext"/>
              <w:numPr>
                <w:ilvl w:val="0"/>
                <w:numId w:val="54"/>
              </w:numPr>
              <w:ind w:left="239" w:hanging="144"/>
              <w:rPr>
                <w:rFonts w:cs="Tahoma"/>
                <w:szCs w:val="18"/>
              </w:rPr>
            </w:pPr>
            <w:r w:rsidRPr="00351FF5">
              <w:rPr>
                <w:rFonts w:cs="Tahoma"/>
                <w:szCs w:val="18"/>
              </w:rPr>
              <w:t xml:space="preserve">Change </w:t>
            </w:r>
            <w:r>
              <w:rPr>
                <w:rFonts w:cs="Tahoma"/>
                <w:szCs w:val="18"/>
              </w:rPr>
              <w:t>in m</w:t>
            </w:r>
            <w:r w:rsidRPr="00351FF5">
              <w:rPr>
                <w:rFonts w:cs="Tahoma"/>
                <w:szCs w:val="18"/>
              </w:rPr>
              <w:t xml:space="preserve">RAP, </w:t>
            </w:r>
            <w:r>
              <w:rPr>
                <w:rFonts w:cs="Tahoma"/>
                <w:szCs w:val="18"/>
              </w:rPr>
              <w:t>mPAP and CI at Month 6</w:t>
            </w:r>
          </w:p>
          <w:p w:rsidR="001D0FDA" w:rsidRDefault="001D0FDA" w:rsidP="001D0FDA">
            <w:pPr>
              <w:pStyle w:val="Tabletext"/>
              <w:rPr>
                <w:rFonts w:cs="Tahoma"/>
                <w:szCs w:val="18"/>
              </w:rPr>
            </w:pPr>
            <w:r>
              <w:rPr>
                <w:rFonts w:cs="Tahoma"/>
                <w:szCs w:val="18"/>
              </w:rPr>
              <w:t>Others:</w:t>
            </w:r>
          </w:p>
          <w:p w:rsidR="001D0FDA" w:rsidRPr="001D75C0" w:rsidRDefault="001D0FDA" w:rsidP="00480FDF">
            <w:pPr>
              <w:pStyle w:val="Tabletext"/>
              <w:numPr>
                <w:ilvl w:val="0"/>
                <w:numId w:val="54"/>
              </w:numPr>
              <w:ind w:left="239" w:hanging="144"/>
              <w:rPr>
                <w:rFonts w:cs="Tahoma"/>
                <w:szCs w:val="18"/>
              </w:rPr>
            </w:pPr>
            <w:r>
              <w:rPr>
                <w:rFonts w:cs="Tahoma"/>
                <w:szCs w:val="18"/>
              </w:rPr>
              <w:t>Mortality</w:t>
            </w:r>
            <w:r>
              <w:rPr>
                <w:rFonts w:cs="Tahoma"/>
                <w:szCs w:val="18"/>
                <w:vertAlign w:val="superscript"/>
              </w:rPr>
              <w:t>c</w:t>
            </w:r>
          </w:p>
          <w:p w:rsidR="001D0FDA" w:rsidRPr="00351FF5" w:rsidRDefault="001D0FDA" w:rsidP="001D0FDA">
            <w:pPr>
              <w:pStyle w:val="Tabletext"/>
              <w:rPr>
                <w:rFonts w:cs="Tahoma"/>
                <w:szCs w:val="18"/>
              </w:rPr>
            </w:pPr>
          </w:p>
          <w:p w:rsidR="001D0FDA" w:rsidRPr="00351FF5" w:rsidRDefault="001D0FDA" w:rsidP="001D0FDA">
            <w:pPr>
              <w:pStyle w:val="Tabletext"/>
              <w:rPr>
                <w:rFonts w:cs="Tahoma"/>
                <w:szCs w:val="18"/>
              </w:rPr>
            </w:pPr>
            <w:r w:rsidRPr="00351FF5">
              <w:rPr>
                <w:rFonts w:cs="Tahoma"/>
                <w:i/>
                <w:szCs w:val="18"/>
              </w:rPr>
              <w:t>Safety</w:t>
            </w:r>
            <w:r w:rsidRPr="00351FF5">
              <w:rPr>
                <w:rFonts w:cs="Tahoma"/>
                <w:szCs w:val="18"/>
              </w:rPr>
              <w:t xml:space="preserve">: </w:t>
            </w:r>
          </w:p>
          <w:p w:rsidR="001D0FDA" w:rsidRPr="00351FF5" w:rsidRDefault="001D0FDA" w:rsidP="00480FDF">
            <w:pPr>
              <w:pStyle w:val="Tabletext"/>
              <w:numPr>
                <w:ilvl w:val="0"/>
                <w:numId w:val="54"/>
              </w:numPr>
              <w:ind w:left="239" w:hanging="144"/>
              <w:rPr>
                <w:rFonts w:cs="Tahoma"/>
                <w:szCs w:val="18"/>
              </w:rPr>
            </w:pPr>
            <w:r>
              <w:rPr>
                <w:rFonts w:cs="Tahoma"/>
                <w:szCs w:val="18"/>
              </w:rPr>
              <w:t>A</w:t>
            </w:r>
            <w:r w:rsidRPr="00351FF5">
              <w:rPr>
                <w:rFonts w:cs="Tahoma"/>
                <w:szCs w:val="18"/>
              </w:rPr>
              <w:t>dverse events</w:t>
            </w:r>
            <w:r w:rsidRPr="00351FF5">
              <w:rPr>
                <w:rFonts w:cs="Tahoma"/>
                <w:szCs w:val="18"/>
                <w:vertAlign w:val="superscript"/>
              </w:rPr>
              <w:t>c</w:t>
            </w:r>
          </w:p>
        </w:tc>
      </w:tr>
      <w:tr w:rsidR="001D0FDA" w:rsidRPr="00204000" w:rsidTr="001D0FDA">
        <w:tc>
          <w:tcPr>
            <w:tcW w:w="531"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lastRenderedPageBreak/>
              <w:t>Han 2017</w:t>
            </w:r>
            <w:r w:rsidR="001D34EE" w:rsidRPr="001A1C44">
              <w:rPr>
                <w:rFonts w:eastAsia="Times New Roman"/>
                <w:noProof/>
                <w:vertAlign w:val="superscript"/>
                <w:lang w:eastAsia="en-US"/>
              </w:rPr>
              <w:t>38</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2012-2015</w:t>
            </w:r>
          </w:p>
          <w:p w:rsidR="001D0FDA" w:rsidRDefault="001D0FDA" w:rsidP="001D0FDA">
            <w:pPr>
              <w:pStyle w:val="Tabletext"/>
              <w:rPr>
                <w:rFonts w:cs="Tahoma"/>
                <w:szCs w:val="18"/>
              </w:rPr>
            </w:pPr>
            <w:r w:rsidRPr="00D53F84">
              <w:rPr>
                <w:rFonts w:eastAsia="Times New Roman"/>
                <w:snapToGrid w:val="0"/>
                <w:lang w:eastAsia="en-US"/>
              </w:rPr>
              <w:t>China</w:t>
            </w:r>
          </w:p>
        </w:tc>
        <w:tc>
          <w:tcPr>
            <w:tcW w:w="476" w:type="pct"/>
          </w:tcPr>
          <w:p w:rsidR="001D0FDA" w:rsidRPr="00351FF5" w:rsidRDefault="001D0FDA" w:rsidP="001D0FDA">
            <w:pPr>
              <w:pStyle w:val="Tabletext"/>
              <w:rPr>
                <w:rFonts w:cs="Tahoma"/>
                <w:szCs w:val="18"/>
              </w:rPr>
            </w:pPr>
            <w:r w:rsidRPr="00D53F84">
              <w:rPr>
                <w:rFonts w:eastAsia="Times New Roman"/>
                <w:snapToGrid w:val="0"/>
                <w:lang w:eastAsia="en-US"/>
              </w:rPr>
              <w:t>RCT, OL</w:t>
            </w:r>
            <w:r w:rsidRPr="00351FF5">
              <w:rPr>
                <w:rFonts w:cs="Tahoma"/>
                <w:szCs w:val="18"/>
              </w:rPr>
              <w:t xml:space="preserve"> </w:t>
            </w:r>
          </w:p>
          <w:p w:rsidR="001D0FDA" w:rsidRPr="00351FF5" w:rsidRDefault="001D0FDA" w:rsidP="001D0FDA">
            <w:pPr>
              <w:pStyle w:val="Tabletext"/>
              <w:rPr>
                <w:rFonts w:cs="Tahoma"/>
                <w:szCs w:val="18"/>
              </w:rPr>
            </w:pPr>
            <w:r w:rsidRPr="00351FF5">
              <w:rPr>
                <w:rFonts w:cs="Tahoma"/>
                <w:szCs w:val="18"/>
              </w:rPr>
              <w:t>Level II evidence</w:t>
            </w:r>
          </w:p>
          <w:p w:rsidR="001D0FDA" w:rsidRPr="00D53F84" w:rsidRDefault="001D0FDA" w:rsidP="001D0FDA">
            <w:pPr>
              <w:pStyle w:val="Tabletext"/>
              <w:ind w:right="-28"/>
              <w:rPr>
                <w:rFonts w:eastAsia="Times New Roman"/>
                <w:snapToGrid w:val="0"/>
                <w:lang w:eastAsia="en-US"/>
              </w:rPr>
            </w:pPr>
            <w:r>
              <w:rPr>
                <w:rFonts w:cs="Tahoma"/>
                <w:szCs w:val="18"/>
              </w:rPr>
              <w:t xml:space="preserve">Follow-up: </w:t>
            </w:r>
            <w:r w:rsidRPr="00D53F84">
              <w:rPr>
                <w:rFonts w:eastAsia="Times New Roman"/>
                <w:snapToGrid w:val="0"/>
                <w:lang w:eastAsia="en-US"/>
              </w:rPr>
              <w:t>13 weeks</w:t>
            </w:r>
          </w:p>
          <w:p w:rsidR="001D0FDA" w:rsidRPr="00351FF5" w:rsidRDefault="001D0FDA" w:rsidP="001D0FDA">
            <w:pPr>
              <w:pStyle w:val="Tabletext"/>
              <w:rPr>
                <w:rFonts w:cs="Tahoma"/>
                <w:szCs w:val="18"/>
              </w:rPr>
            </w:pPr>
            <w:r>
              <w:rPr>
                <w:rFonts w:eastAsia="Times New Roman"/>
                <w:snapToGrid w:val="0"/>
                <w:lang w:eastAsia="en-US"/>
              </w:rPr>
              <w:t>Risk of bias: h</w:t>
            </w:r>
            <w:r w:rsidRPr="00D53F84">
              <w:rPr>
                <w:rFonts w:eastAsia="Times New Roman"/>
                <w:snapToGrid w:val="0"/>
                <w:lang w:eastAsia="en-US"/>
              </w:rPr>
              <w:t>igh</w:t>
            </w:r>
          </w:p>
        </w:tc>
        <w:tc>
          <w:tcPr>
            <w:tcW w:w="772" w:type="pct"/>
          </w:tcPr>
          <w:p w:rsidR="001D0FDA" w:rsidRPr="00942593" w:rsidRDefault="001D0FDA" w:rsidP="001D0FDA">
            <w:pPr>
              <w:pStyle w:val="Tabletext"/>
              <w:rPr>
                <w:rFonts w:cs="Tahoma"/>
                <w:i/>
                <w:szCs w:val="18"/>
              </w:rPr>
            </w:pPr>
            <w:r w:rsidRPr="00942593">
              <w:rPr>
                <w:rFonts w:cs="Tahoma"/>
                <w:i/>
                <w:szCs w:val="18"/>
              </w:rPr>
              <w:t>Inclusion criteria</w:t>
            </w:r>
          </w:p>
          <w:p w:rsidR="001D0FDA" w:rsidRPr="00942593" w:rsidRDefault="001D0FDA" w:rsidP="00480FDF">
            <w:pPr>
              <w:pStyle w:val="Tabletext"/>
              <w:numPr>
                <w:ilvl w:val="0"/>
                <w:numId w:val="54"/>
              </w:numPr>
              <w:ind w:left="239" w:hanging="144"/>
              <w:rPr>
                <w:rFonts w:cs="Tahoma"/>
                <w:szCs w:val="18"/>
              </w:rPr>
            </w:pPr>
            <w:r>
              <w:rPr>
                <w:rFonts w:cs="Tahoma"/>
                <w:szCs w:val="18"/>
              </w:rPr>
              <w:t>Age of</w:t>
            </w:r>
            <w:r w:rsidRPr="00942593">
              <w:rPr>
                <w:rFonts w:cs="Tahoma"/>
                <w:szCs w:val="18"/>
              </w:rPr>
              <w:t xml:space="preserve"> 15-80 years</w:t>
            </w:r>
          </w:p>
          <w:p w:rsidR="001D0FDA" w:rsidRPr="00942593" w:rsidRDefault="001D0FDA" w:rsidP="00480FDF">
            <w:pPr>
              <w:pStyle w:val="Tabletext"/>
              <w:numPr>
                <w:ilvl w:val="0"/>
                <w:numId w:val="54"/>
              </w:numPr>
              <w:ind w:left="239" w:hanging="144"/>
              <w:rPr>
                <w:rFonts w:cs="Tahoma"/>
                <w:szCs w:val="18"/>
              </w:rPr>
            </w:pPr>
            <w:r w:rsidRPr="00942593">
              <w:rPr>
                <w:rFonts w:cs="Tahoma"/>
                <w:szCs w:val="18"/>
              </w:rPr>
              <w:t>Patients with WHO FC III-IV IPAH or CTEPH</w:t>
            </w:r>
            <w:r>
              <w:rPr>
                <w:rFonts w:cs="Tahoma"/>
                <w:szCs w:val="18"/>
                <w:vertAlign w:val="superscript"/>
              </w:rPr>
              <w:t>e</w:t>
            </w:r>
          </w:p>
          <w:p w:rsidR="001D0FDA" w:rsidRDefault="001D0FDA" w:rsidP="00480FDF">
            <w:pPr>
              <w:pStyle w:val="Tabletext"/>
              <w:numPr>
                <w:ilvl w:val="0"/>
                <w:numId w:val="54"/>
              </w:numPr>
              <w:ind w:left="239" w:hanging="144"/>
              <w:rPr>
                <w:rFonts w:cs="Tahoma"/>
                <w:szCs w:val="18"/>
              </w:rPr>
            </w:pPr>
            <w:r w:rsidRPr="00942593">
              <w:rPr>
                <w:rFonts w:cs="Tahoma"/>
                <w:szCs w:val="18"/>
              </w:rPr>
              <w:t>Patients with no previous treatment with an approved therapy for PAH before enrolment</w:t>
            </w:r>
          </w:p>
          <w:p w:rsidR="001D0FDA" w:rsidRPr="00942593" w:rsidRDefault="001D0FDA" w:rsidP="001D0FDA">
            <w:pPr>
              <w:pStyle w:val="Tabletext"/>
              <w:ind w:left="239"/>
              <w:rPr>
                <w:rFonts w:cs="Tahoma"/>
                <w:szCs w:val="18"/>
              </w:rPr>
            </w:pPr>
          </w:p>
          <w:p w:rsidR="001D0FDA" w:rsidRPr="00942593" w:rsidRDefault="001D0FDA" w:rsidP="001D0FDA">
            <w:pPr>
              <w:pStyle w:val="Tabletext"/>
              <w:rPr>
                <w:rFonts w:cs="Tahoma"/>
                <w:i/>
                <w:szCs w:val="18"/>
              </w:rPr>
            </w:pPr>
            <w:r w:rsidRPr="00942593">
              <w:rPr>
                <w:rFonts w:cs="Tahoma"/>
                <w:i/>
                <w:szCs w:val="18"/>
              </w:rPr>
              <w:t>Exclusion criteria</w:t>
            </w:r>
          </w:p>
          <w:p w:rsidR="001D0FDA" w:rsidRPr="00351FF5" w:rsidRDefault="001D0FDA" w:rsidP="00480FDF">
            <w:pPr>
              <w:pStyle w:val="Tabletext"/>
              <w:numPr>
                <w:ilvl w:val="0"/>
                <w:numId w:val="54"/>
              </w:numPr>
              <w:ind w:left="239" w:hanging="144"/>
              <w:rPr>
                <w:rFonts w:cs="Tahoma"/>
                <w:i/>
                <w:szCs w:val="18"/>
              </w:rPr>
            </w:pPr>
            <w:r w:rsidRPr="00942593">
              <w:rPr>
                <w:rFonts w:cs="Tahoma"/>
                <w:szCs w:val="18"/>
              </w:rPr>
              <w:t>Patients with acute pulmonary thrombo</w:t>
            </w:r>
            <w:r>
              <w:rPr>
                <w:rFonts w:cs="Tahoma"/>
                <w:szCs w:val="18"/>
              </w:rPr>
              <w:t>-</w:t>
            </w:r>
            <w:r w:rsidRPr="00942593">
              <w:rPr>
                <w:rFonts w:cs="Tahoma"/>
                <w:szCs w:val="18"/>
              </w:rPr>
              <w:t xml:space="preserve">embolism, left-sided heart disease, </w:t>
            </w:r>
            <w:r>
              <w:rPr>
                <w:rFonts w:cs="Tahoma"/>
                <w:szCs w:val="18"/>
              </w:rPr>
              <w:t xml:space="preserve">severe </w:t>
            </w:r>
            <w:r w:rsidRPr="00942593">
              <w:rPr>
                <w:rFonts w:cs="Tahoma"/>
                <w:szCs w:val="18"/>
              </w:rPr>
              <w:t>pulmonary disease, or portal hypertension</w:t>
            </w:r>
          </w:p>
        </w:tc>
        <w:tc>
          <w:tcPr>
            <w:tcW w:w="0" w:type="auto"/>
          </w:tcPr>
          <w:p w:rsidR="001D0FDA" w:rsidRPr="00351FF5" w:rsidRDefault="001D0FDA" w:rsidP="001D0FDA">
            <w:pPr>
              <w:pStyle w:val="Tabletext"/>
              <w:rPr>
                <w:rFonts w:cs="Tahoma"/>
                <w:szCs w:val="18"/>
              </w:rPr>
            </w:pPr>
            <w:r w:rsidRPr="00351FF5">
              <w:rPr>
                <w:rFonts w:cs="Tahoma"/>
                <w:szCs w:val="18"/>
              </w:rPr>
              <w:t>N=1</w:t>
            </w:r>
            <w:r>
              <w:rPr>
                <w:rFonts w:cs="Tahoma"/>
                <w:szCs w:val="18"/>
              </w:rPr>
              <w:t>4</w:t>
            </w:r>
            <w:r w:rsidRPr="008B3DFB">
              <w:rPr>
                <w:rFonts w:cs="Tahoma"/>
                <w:szCs w:val="18"/>
                <w:vertAlign w:val="superscript"/>
              </w:rPr>
              <w:t>e</w:t>
            </w:r>
            <w:r w:rsidRPr="00351FF5">
              <w:rPr>
                <w:rFonts w:cs="Tahoma"/>
                <w:szCs w:val="18"/>
              </w:rPr>
              <w:t xml:space="preserve"> </w:t>
            </w:r>
          </w:p>
          <w:tbl>
            <w:tblPr>
              <w:tblStyle w:val="TableGrid"/>
              <w:tblW w:w="42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Han 2017"/>
            </w:tblPr>
            <w:tblGrid>
              <w:gridCol w:w="2112"/>
              <w:gridCol w:w="1123"/>
              <w:gridCol w:w="1050"/>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2112" w:type="dxa"/>
                  <w:shd w:val="clear" w:color="auto" w:fill="FFFFFF" w:themeFill="background1"/>
                </w:tcPr>
                <w:p w:rsidR="001D0FDA" w:rsidRPr="00351FF5" w:rsidRDefault="001D0FDA" w:rsidP="00B5196D">
                  <w:pPr>
                    <w:pStyle w:val="Tabletext"/>
                    <w:framePr w:hSpace="180" w:wrap="around" w:vAnchor="text" w:hAnchor="text" w:y="1"/>
                    <w:spacing w:before="0" w:after="0"/>
                    <w:rPr>
                      <w:rFonts w:cs="Tahoma"/>
                      <w:b/>
                      <w:szCs w:val="18"/>
                    </w:rPr>
                  </w:pPr>
                </w:p>
              </w:tc>
              <w:tc>
                <w:tcPr>
                  <w:tcW w:w="1123"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Bosentan</w:t>
                  </w:r>
                  <w:r>
                    <w:rPr>
                      <w:rFonts w:cs="Tahoma"/>
                      <w:szCs w:val="18"/>
                    </w:rPr>
                    <w:t xml:space="preserve"> + iloprost</w:t>
                  </w:r>
                </w:p>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(N=</w:t>
                  </w:r>
                  <w:r>
                    <w:rPr>
                      <w:rFonts w:cs="Tahoma"/>
                      <w:szCs w:val="18"/>
                    </w:rPr>
                    <w:t>8</w:t>
                  </w:r>
                  <w:r w:rsidRPr="00802B85">
                    <w:rPr>
                      <w:rFonts w:cs="Tahoma"/>
                      <w:szCs w:val="18"/>
                    </w:rPr>
                    <w:t>)</w:t>
                  </w:r>
                </w:p>
              </w:tc>
              <w:tc>
                <w:tcPr>
                  <w:tcW w:w="1050"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Pr>
                      <w:rFonts w:cs="Tahoma"/>
                      <w:szCs w:val="18"/>
                    </w:rPr>
                    <w:t>Iloprost</w:t>
                  </w:r>
                </w:p>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(N=</w:t>
                  </w:r>
                  <w:r>
                    <w:rPr>
                      <w:rFonts w:cs="Tahoma"/>
                      <w:szCs w:val="18"/>
                    </w:rPr>
                    <w:t>6</w:t>
                  </w:r>
                  <w:r w:rsidRPr="00802B85">
                    <w:rPr>
                      <w:rFonts w:cs="Tahoma"/>
                      <w:szCs w:val="18"/>
                    </w:rPr>
                    <w:t>)</w:t>
                  </w:r>
                </w:p>
              </w:tc>
            </w:tr>
            <w:tr w:rsidR="001D0FDA" w:rsidRPr="00351FF5" w:rsidTr="001D0FDA">
              <w:tc>
                <w:tcPr>
                  <w:tcW w:w="2112"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 xml:space="preserve">Age, mean±SD (yrs) </w:t>
                  </w:r>
                </w:p>
              </w:tc>
              <w:tc>
                <w:tcPr>
                  <w:tcW w:w="1123" w:type="dxa"/>
                </w:tcPr>
                <w:p w:rsidR="001D0FDA" w:rsidRPr="00351FF5" w:rsidRDefault="001D0FDA" w:rsidP="00B5196D">
                  <w:pPr>
                    <w:pStyle w:val="Tabletext"/>
                    <w:framePr w:hSpace="180" w:wrap="around" w:vAnchor="text" w:hAnchor="text" w:y="1"/>
                    <w:spacing w:before="0"/>
                    <w:jc w:val="center"/>
                    <w:rPr>
                      <w:rFonts w:cs="Tahoma"/>
                      <w:szCs w:val="18"/>
                    </w:rPr>
                  </w:pPr>
                  <w:r>
                    <w:rPr>
                      <w:rFonts w:cs="Tahoma"/>
                      <w:szCs w:val="18"/>
                    </w:rPr>
                    <w:t>30±7</w:t>
                  </w:r>
                </w:p>
              </w:tc>
              <w:tc>
                <w:tcPr>
                  <w:tcW w:w="1050" w:type="dxa"/>
                </w:tcPr>
                <w:p w:rsidR="001D0FDA" w:rsidRPr="00351FF5" w:rsidRDefault="001D0FDA" w:rsidP="00B5196D">
                  <w:pPr>
                    <w:pStyle w:val="Tabletext"/>
                    <w:framePr w:hSpace="180" w:wrap="around" w:vAnchor="text" w:hAnchor="text" w:y="1"/>
                    <w:spacing w:before="0" w:after="0"/>
                    <w:jc w:val="center"/>
                    <w:rPr>
                      <w:rFonts w:cs="Tahoma"/>
                      <w:szCs w:val="18"/>
                    </w:rPr>
                  </w:pPr>
                  <w:r w:rsidRPr="008B3DFB">
                    <w:rPr>
                      <w:rFonts w:cs="Tahoma"/>
                      <w:szCs w:val="18"/>
                    </w:rPr>
                    <w:t>4</w:t>
                  </w:r>
                  <w:r>
                    <w:rPr>
                      <w:rFonts w:cs="Tahoma"/>
                      <w:szCs w:val="18"/>
                    </w:rPr>
                    <w:t>2</w:t>
                  </w:r>
                  <w:r w:rsidRPr="008B3DFB">
                    <w:rPr>
                      <w:rFonts w:cs="Tahoma"/>
                      <w:szCs w:val="18"/>
                    </w:rPr>
                    <w:t>±5</w:t>
                  </w:r>
                </w:p>
              </w:tc>
            </w:tr>
            <w:tr w:rsidR="001D0FDA" w:rsidRPr="00351FF5" w:rsidTr="001D0FDA">
              <w:tc>
                <w:tcPr>
                  <w:tcW w:w="2112"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Gender, femal</w:t>
                  </w:r>
                  <w:r>
                    <w:rPr>
                      <w:rFonts w:cs="Tahoma"/>
                      <w:szCs w:val="18"/>
                    </w:rPr>
                    <w:t>e</w:t>
                  </w:r>
                  <w:r w:rsidRPr="00351FF5">
                    <w:rPr>
                      <w:rFonts w:cs="Tahoma"/>
                      <w:szCs w:val="18"/>
                    </w:rPr>
                    <w:t>, n (%)</w:t>
                  </w:r>
                </w:p>
              </w:tc>
              <w:tc>
                <w:tcPr>
                  <w:tcW w:w="1123"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p>
              </w:tc>
              <w:tc>
                <w:tcPr>
                  <w:tcW w:w="1050"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112"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Pr>
                      <w:rFonts w:cs="Tahoma"/>
                      <w:szCs w:val="18"/>
                    </w:rPr>
                    <w:t>Pulmonary hypertension</w:t>
                  </w:r>
                  <w:r w:rsidRPr="00351FF5">
                    <w:rPr>
                      <w:rFonts w:cs="Tahoma"/>
                      <w:szCs w:val="18"/>
                    </w:rPr>
                    <w:t xml:space="preserve"> aetiology, n (%)</w:t>
                  </w:r>
                </w:p>
              </w:tc>
              <w:tc>
                <w:tcPr>
                  <w:tcW w:w="1123"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c>
                <w:tcPr>
                  <w:tcW w:w="1050"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112"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IPAH</w:t>
                  </w:r>
                </w:p>
              </w:tc>
              <w:tc>
                <w:tcPr>
                  <w:tcW w:w="1123" w:type="dxa"/>
                  <w:tcBorders>
                    <w:top w:val="nil"/>
                    <w:bottom w:val="nil"/>
                  </w:tcBorders>
                </w:tcPr>
                <w:p w:rsidR="001D0FDA" w:rsidRPr="00351FF5" w:rsidRDefault="001D0FDA" w:rsidP="00B5196D">
                  <w:pPr>
                    <w:pStyle w:val="Tabletext"/>
                    <w:framePr w:hSpace="180" w:wrap="around" w:vAnchor="text" w:hAnchor="text" w:y="1"/>
                    <w:spacing w:before="0"/>
                    <w:jc w:val="center"/>
                    <w:rPr>
                      <w:rFonts w:cs="Tahoma"/>
                      <w:szCs w:val="18"/>
                    </w:rPr>
                  </w:pPr>
                  <w:r>
                    <w:rPr>
                      <w:rFonts w:cs="Tahoma"/>
                      <w:szCs w:val="18"/>
                    </w:rPr>
                    <w:t>7 (88%)</w:t>
                  </w:r>
                </w:p>
              </w:tc>
              <w:tc>
                <w:tcPr>
                  <w:tcW w:w="1050"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B3DFB">
                    <w:rPr>
                      <w:rFonts w:cs="Tahoma"/>
                      <w:szCs w:val="18"/>
                    </w:rPr>
                    <w:t>6 (100%)</w:t>
                  </w:r>
                </w:p>
              </w:tc>
            </w:tr>
            <w:tr w:rsidR="001D0FDA" w:rsidRPr="00351FF5" w:rsidTr="001D0FDA">
              <w:tc>
                <w:tcPr>
                  <w:tcW w:w="2112" w:type="dxa"/>
                  <w:tcBorders>
                    <w:top w:val="nil"/>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CTEPH</w:t>
                  </w:r>
                </w:p>
              </w:tc>
              <w:tc>
                <w:tcPr>
                  <w:tcW w:w="1123" w:type="dxa"/>
                  <w:tcBorders>
                    <w:top w:val="nil"/>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B3DFB">
                    <w:rPr>
                      <w:rFonts w:cs="Tahoma"/>
                      <w:szCs w:val="18"/>
                    </w:rPr>
                    <w:t>1 (1</w:t>
                  </w:r>
                  <w:r>
                    <w:rPr>
                      <w:rFonts w:cs="Tahoma"/>
                      <w:szCs w:val="18"/>
                    </w:rPr>
                    <w:t>3</w:t>
                  </w:r>
                  <w:r w:rsidRPr="008B3DFB">
                    <w:rPr>
                      <w:rFonts w:cs="Tahoma"/>
                      <w:szCs w:val="18"/>
                    </w:rPr>
                    <w:t>%)</w:t>
                  </w:r>
                </w:p>
              </w:tc>
              <w:tc>
                <w:tcPr>
                  <w:tcW w:w="1050" w:type="dxa"/>
                  <w:tcBorders>
                    <w:top w:val="nil"/>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B3DFB">
                    <w:rPr>
                      <w:rFonts w:cs="Tahoma"/>
                      <w:szCs w:val="18"/>
                    </w:rPr>
                    <w:t>0 (0%)</w:t>
                  </w:r>
                </w:p>
              </w:tc>
            </w:tr>
            <w:tr w:rsidR="001D0FDA" w:rsidRPr="00351FF5" w:rsidTr="001D0FDA">
              <w:tc>
                <w:tcPr>
                  <w:tcW w:w="2112"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WHO FC</w:t>
                  </w:r>
                  <w:r>
                    <w:rPr>
                      <w:rFonts w:cs="Tahoma"/>
                      <w:szCs w:val="18"/>
                    </w:rPr>
                    <w:t>, n (%)</w:t>
                  </w:r>
                </w:p>
              </w:tc>
              <w:tc>
                <w:tcPr>
                  <w:tcW w:w="1123"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c>
                <w:tcPr>
                  <w:tcW w:w="1050"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112"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II</w:t>
                  </w:r>
                  <w:r>
                    <w:rPr>
                      <w:rFonts w:cs="Tahoma"/>
                      <w:szCs w:val="18"/>
                    </w:rPr>
                    <w:t>I</w:t>
                  </w:r>
                </w:p>
              </w:tc>
              <w:tc>
                <w:tcPr>
                  <w:tcW w:w="1123" w:type="dxa"/>
                  <w:tcBorders>
                    <w:top w:val="nil"/>
                    <w:bottom w:val="nil"/>
                  </w:tcBorders>
                </w:tcPr>
                <w:p w:rsidR="001D0FDA" w:rsidRPr="00351FF5" w:rsidRDefault="001D0FDA" w:rsidP="00B5196D">
                  <w:pPr>
                    <w:pStyle w:val="Tabletext"/>
                    <w:framePr w:hSpace="180" w:wrap="around" w:vAnchor="text" w:hAnchor="text" w:y="1"/>
                    <w:spacing w:before="0"/>
                    <w:jc w:val="center"/>
                    <w:rPr>
                      <w:rFonts w:cs="Tahoma"/>
                      <w:szCs w:val="18"/>
                    </w:rPr>
                  </w:pPr>
                  <w:r>
                    <w:rPr>
                      <w:rFonts w:cs="Tahoma"/>
                      <w:szCs w:val="18"/>
                    </w:rPr>
                    <w:t>5 (63%)</w:t>
                  </w:r>
                </w:p>
              </w:tc>
              <w:tc>
                <w:tcPr>
                  <w:tcW w:w="1050"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B3DFB">
                    <w:rPr>
                      <w:rFonts w:cs="Tahoma"/>
                      <w:szCs w:val="18"/>
                    </w:rPr>
                    <w:t>5 (83%)</w:t>
                  </w:r>
                </w:p>
              </w:tc>
            </w:tr>
            <w:tr w:rsidR="001D0FDA" w:rsidRPr="00351FF5" w:rsidTr="001D0FDA">
              <w:tc>
                <w:tcPr>
                  <w:tcW w:w="2112" w:type="dxa"/>
                  <w:tcBorders>
                    <w:top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IV</w:t>
                  </w:r>
                </w:p>
              </w:tc>
              <w:tc>
                <w:tcPr>
                  <w:tcW w:w="1123" w:type="dxa"/>
                  <w:tcBorders>
                    <w:top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B3DFB">
                    <w:rPr>
                      <w:rFonts w:cs="Tahoma"/>
                      <w:szCs w:val="18"/>
                    </w:rPr>
                    <w:t>3 (3</w:t>
                  </w:r>
                  <w:r>
                    <w:rPr>
                      <w:rFonts w:cs="Tahoma"/>
                      <w:szCs w:val="18"/>
                    </w:rPr>
                    <w:t>8</w:t>
                  </w:r>
                  <w:r w:rsidRPr="008B3DFB">
                    <w:rPr>
                      <w:rFonts w:cs="Tahoma"/>
                      <w:szCs w:val="18"/>
                    </w:rPr>
                    <w:t>%)</w:t>
                  </w:r>
                </w:p>
              </w:tc>
              <w:tc>
                <w:tcPr>
                  <w:tcW w:w="1050" w:type="dxa"/>
                  <w:tcBorders>
                    <w:top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 (1</w:t>
                  </w:r>
                  <w:r w:rsidRPr="008B3DFB">
                    <w:rPr>
                      <w:rFonts w:cs="Tahoma"/>
                      <w:szCs w:val="18"/>
                    </w:rPr>
                    <w:t>7%)</w:t>
                  </w:r>
                </w:p>
              </w:tc>
            </w:tr>
            <w:tr w:rsidR="001D0FDA" w:rsidRPr="00351FF5" w:rsidTr="001D0FDA">
              <w:tc>
                <w:tcPr>
                  <w:tcW w:w="2112"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mPAP, mean±SD (mmHg)</w:t>
                  </w:r>
                </w:p>
              </w:tc>
              <w:tc>
                <w:tcPr>
                  <w:tcW w:w="1123" w:type="dxa"/>
                  <w:vAlign w:val="center"/>
                </w:tcPr>
                <w:p w:rsidR="001D0FDA" w:rsidRPr="00351FF5" w:rsidRDefault="001D0FDA" w:rsidP="00B5196D">
                  <w:pPr>
                    <w:pStyle w:val="Tabletext"/>
                    <w:framePr w:hSpace="180" w:wrap="around" w:vAnchor="text" w:hAnchor="text" w:y="1"/>
                    <w:spacing w:before="0"/>
                    <w:jc w:val="center"/>
                    <w:rPr>
                      <w:rFonts w:cs="Tahoma"/>
                      <w:szCs w:val="18"/>
                    </w:rPr>
                  </w:pPr>
                  <w:r>
                    <w:rPr>
                      <w:rFonts w:cs="Tahoma"/>
                      <w:szCs w:val="18"/>
                    </w:rPr>
                    <w:t>65.5±5.5</w:t>
                  </w:r>
                </w:p>
              </w:tc>
              <w:tc>
                <w:tcPr>
                  <w:tcW w:w="1050"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sidRPr="00BE12BA">
                    <w:rPr>
                      <w:rFonts w:cs="Tahoma"/>
                      <w:szCs w:val="18"/>
                    </w:rPr>
                    <w:t>55.7±1.7</w:t>
                  </w:r>
                </w:p>
              </w:tc>
            </w:tr>
            <w:tr w:rsidR="001D0FDA" w:rsidRPr="00351FF5" w:rsidTr="001D0FDA">
              <w:tc>
                <w:tcPr>
                  <w:tcW w:w="2112"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PVR, mean±SD (</w:t>
                  </w:r>
                  <w:r>
                    <w:rPr>
                      <w:rFonts w:cs="Tahoma"/>
                      <w:szCs w:val="18"/>
                    </w:rPr>
                    <w:t>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123" w:type="dxa"/>
                  <w:vAlign w:val="center"/>
                </w:tcPr>
                <w:p w:rsidR="001D0FDA" w:rsidRPr="00351FF5" w:rsidRDefault="001D0FDA" w:rsidP="00B5196D">
                  <w:pPr>
                    <w:pStyle w:val="Tabletext"/>
                    <w:framePr w:hSpace="180" w:wrap="around" w:vAnchor="text" w:hAnchor="text" w:y="1"/>
                    <w:spacing w:before="0"/>
                    <w:jc w:val="center"/>
                    <w:rPr>
                      <w:rFonts w:cs="Tahoma"/>
                      <w:szCs w:val="18"/>
                    </w:rPr>
                  </w:pPr>
                  <w:r>
                    <w:rPr>
                      <w:rFonts w:cs="Tahoma"/>
                      <w:szCs w:val="18"/>
                    </w:rPr>
                    <w:t>1038±176</w:t>
                  </w:r>
                </w:p>
              </w:tc>
              <w:tc>
                <w:tcPr>
                  <w:tcW w:w="1050"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1157±165</w:t>
                  </w:r>
                </w:p>
              </w:tc>
            </w:tr>
          </w:tbl>
          <w:p w:rsidR="001D0FDA" w:rsidRPr="00351FF5" w:rsidRDefault="001D0FDA" w:rsidP="001D0FDA">
            <w:pPr>
              <w:pStyle w:val="Tabletext"/>
              <w:rPr>
                <w:rFonts w:cs="Tahoma"/>
                <w:szCs w:val="18"/>
              </w:rPr>
            </w:pPr>
          </w:p>
        </w:tc>
        <w:tc>
          <w:tcPr>
            <w:tcW w:w="811" w:type="pct"/>
          </w:tcPr>
          <w:p w:rsidR="001D0FDA" w:rsidRPr="00C5431E" w:rsidRDefault="001D0FDA" w:rsidP="001D0FDA">
            <w:pPr>
              <w:pStyle w:val="Tabletext"/>
              <w:rPr>
                <w:i/>
              </w:rPr>
            </w:pPr>
            <w:r w:rsidRPr="00C5431E">
              <w:rPr>
                <w:i/>
              </w:rPr>
              <w:t>Intervention</w:t>
            </w:r>
          </w:p>
          <w:p w:rsidR="001D0FDA" w:rsidRPr="00223948" w:rsidRDefault="001D0FDA" w:rsidP="001D0FDA">
            <w:pPr>
              <w:pStyle w:val="Tabletext"/>
              <w:rPr>
                <w:rFonts w:cs="Tahoma"/>
                <w:szCs w:val="18"/>
              </w:rPr>
            </w:pPr>
            <w:r w:rsidRPr="00223948">
              <w:rPr>
                <w:rFonts w:cs="Tahoma"/>
                <w:szCs w:val="18"/>
              </w:rPr>
              <w:t>Bosentan + iloprost</w:t>
            </w:r>
          </w:p>
          <w:p w:rsidR="001D0FDA" w:rsidRPr="00223948" w:rsidRDefault="001D0FDA" w:rsidP="001D0FDA">
            <w:pPr>
              <w:pStyle w:val="Tabletext"/>
              <w:rPr>
                <w:rFonts w:cs="Tahoma"/>
                <w:szCs w:val="18"/>
              </w:rPr>
            </w:pPr>
            <w:r w:rsidRPr="00223948">
              <w:rPr>
                <w:rFonts w:cs="Tahoma"/>
                <w:szCs w:val="18"/>
              </w:rPr>
              <w:t>Bosentan: initial dose of 62.5mg bid for 1 month, then 125mg bid</w:t>
            </w:r>
          </w:p>
          <w:p w:rsidR="001D0FDA" w:rsidRDefault="001D0FDA" w:rsidP="001D0FDA">
            <w:pPr>
              <w:pStyle w:val="Tabletext"/>
              <w:rPr>
                <w:rFonts w:cs="Tahoma"/>
                <w:szCs w:val="18"/>
              </w:rPr>
            </w:pPr>
            <w:r w:rsidRPr="00223948">
              <w:rPr>
                <w:rFonts w:cs="Tahoma"/>
                <w:szCs w:val="18"/>
              </w:rPr>
              <w:t>Iloprost: increasing dose to a target of 10µg 4-6 times/day</w:t>
            </w:r>
          </w:p>
          <w:p w:rsidR="001D0FDA" w:rsidRPr="00223948" w:rsidRDefault="001D0FDA" w:rsidP="001D0FDA">
            <w:pPr>
              <w:pStyle w:val="Tabletext"/>
              <w:rPr>
                <w:rFonts w:cs="Tahoma"/>
                <w:i/>
                <w:szCs w:val="18"/>
              </w:rPr>
            </w:pPr>
          </w:p>
          <w:p w:rsidR="001D0FDA" w:rsidRPr="00C5431E" w:rsidRDefault="001D0FDA" w:rsidP="001D0FDA">
            <w:pPr>
              <w:pStyle w:val="Tabletext"/>
              <w:rPr>
                <w:i/>
              </w:rPr>
            </w:pPr>
            <w:r w:rsidRPr="00C5431E">
              <w:rPr>
                <w:i/>
              </w:rPr>
              <w:t>Comparator</w:t>
            </w:r>
          </w:p>
          <w:p w:rsidR="001D0FDA" w:rsidRPr="00223948" w:rsidRDefault="001D0FDA" w:rsidP="001D0FDA">
            <w:pPr>
              <w:pStyle w:val="Tabletext"/>
              <w:rPr>
                <w:rFonts w:cs="Tahoma"/>
                <w:szCs w:val="18"/>
              </w:rPr>
            </w:pPr>
            <w:r w:rsidRPr="00223948">
              <w:rPr>
                <w:rFonts w:cs="Tahoma"/>
                <w:szCs w:val="18"/>
              </w:rPr>
              <w:t>Iloprost: increasing dose to a target of 10µg 4-6 times/day</w:t>
            </w:r>
          </w:p>
        </w:tc>
        <w:tc>
          <w:tcPr>
            <w:tcW w:w="771" w:type="pct"/>
          </w:tcPr>
          <w:p w:rsidR="001D0FDA" w:rsidRPr="00223948" w:rsidRDefault="001D0FDA" w:rsidP="001D0FDA">
            <w:pPr>
              <w:pStyle w:val="Tabletext"/>
              <w:rPr>
                <w:rFonts w:cs="Tahoma"/>
                <w:i/>
                <w:szCs w:val="18"/>
              </w:rPr>
            </w:pPr>
            <w:r>
              <w:rPr>
                <w:rFonts w:cs="Tahoma"/>
                <w:i/>
                <w:szCs w:val="18"/>
              </w:rPr>
              <w:t>Effectiveness</w:t>
            </w:r>
          </w:p>
          <w:p w:rsidR="001D0FDA" w:rsidRPr="00223948" w:rsidRDefault="001D0FDA" w:rsidP="001D0FDA">
            <w:pPr>
              <w:pStyle w:val="Tabletext"/>
              <w:rPr>
                <w:rFonts w:cs="Tahoma"/>
                <w:szCs w:val="18"/>
              </w:rPr>
            </w:pPr>
            <w:r w:rsidRPr="00223948">
              <w:rPr>
                <w:rFonts w:cs="Tahoma"/>
                <w:szCs w:val="18"/>
              </w:rPr>
              <w:t>Primary</w:t>
            </w:r>
            <w:r>
              <w:rPr>
                <w:rFonts w:cs="Tahoma"/>
                <w:szCs w:val="18"/>
              </w:rPr>
              <w:t>:</w:t>
            </w:r>
            <w:r w:rsidRPr="00223948">
              <w:rPr>
                <w:rFonts w:cs="Tahoma"/>
                <w:szCs w:val="18"/>
              </w:rPr>
              <w:t xml:space="preserve"> </w:t>
            </w:r>
          </w:p>
          <w:p w:rsidR="001D0FDA" w:rsidRPr="00223948" w:rsidRDefault="001D0FDA" w:rsidP="00480FDF">
            <w:pPr>
              <w:pStyle w:val="Tabletext"/>
              <w:numPr>
                <w:ilvl w:val="0"/>
                <w:numId w:val="54"/>
              </w:numPr>
              <w:ind w:left="239" w:hanging="144"/>
              <w:rPr>
                <w:rFonts w:cs="Tahoma"/>
                <w:szCs w:val="18"/>
              </w:rPr>
            </w:pPr>
            <w:r w:rsidRPr="00223948">
              <w:rPr>
                <w:rFonts w:cs="Tahoma"/>
                <w:szCs w:val="18"/>
              </w:rPr>
              <w:t>Change in 6MWD at Week 6 and Month 3</w:t>
            </w:r>
            <w:r w:rsidRPr="003473CF">
              <w:rPr>
                <w:rFonts w:cs="Tahoma"/>
                <w:szCs w:val="18"/>
                <w:vertAlign w:val="superscript"/>
              </w:rPr>
              <w:t>c</w:t>
            </w:r>
          </w:p>
          <w:p w:rsidR="001D0FDA" w:rsidRPr="00223948" w:rsidRDefault="001D0FDA" w:rsidP="001D0FDA">
            <w:pPr>
              <w:pStyle w:val="Tabletext"/>
              <w:rPr>
                <w:rFonts w:cs="Tahoma"/>
                <w:szCs w:val="18"/>
              </w:rPr>
            </w:pPr>
            <w:r w:rsidRPr="00223948">
              <w:rPr>
                <w:rFonts w:cs="Tahoma"/>
                <w:szCs w:val="18"/>
              </w:rPr>
              <w:t>Secondary</w:t>
            </w:r>
            <w:r>
              <w:rPr>
                <w:rFonts w:cs="Tahoma"/>
                <w:szCs w:val="18"/>
              </w:rPr>
              <w:t>:</w:t>
            </w:r>
          </w:p>
          <w:p w:rsidR="001D0FDA" w:rsidRPr="00223948" w:rsidRDefault="001D0FDA" w:rsidP="00480FDF">
            <w:pPr>
              <w:pStyle w:val="Tabletext"/>
              <w:numPr>
                <w:ilvl w:val="0"/>
                <w:numId w:val="54"/>
              </w:numPr>
              <w:ind w:left="239" w:hanging="144"/>
              <w:rPr>
                <w:rFonts w:cs="Tahoma"/>
                <w:szCs w:val="18"/>
              </w:rPr>
            </w:pPr>
            <w:r w:rsidRPr="00223948">
              <w:rPr>
                <w:rFonts w:cs="Tahoma"/>
                <w:szCs w:val="18"/>
              </w:rPr>
              <w:t>Change in WHO FC at Week 6 and Month 3</w:t>
            </w:r>
          </w:p>
          <w:p w:rsidR="001D0FDA" w:rsidRPr="00223948" w:rsidRDefault="001D0FDA" w:rsidP="00480FDF">
            <w:pPr>
              <w:pStyle w:val="Tabletext"/>
              <w:numPr>
                <w:ilvl w:val="0"/>
                <w:numId w:val="54"/>
              </w:numPr>
              <w:ind w:left="239" w:hanging="144"/>
              <w:rPr>
                <w:rFonts w:cs="Tahoma"/>
                <w:szCs w:val="18"/>
              </w:rPr>
            </w:pPr>
            <w:r w:rsidRPr="00223948">
              <w:rPr>
                <w:rFonts w:cs="Tahoma"/>
                <w:szCs w:val="18"/>
              </w:rPr>
              <w:t xml:space="preserve">Change in </w:t>
            </w:r>
            <w:r>
              <w:rPr>
                <w:rFonts w:cs="Tahoma"/>
                <w:szCs w:val="18"/>
              </w:rPr>
              <w:t>ML</w:t>
            </w:r>
            <w:r w:rsidR="001C295E">
              <w:rPr>
                <w:rFonts w:cs="Tahoma"/>
                <w:szCs w:val="18"/>
              </w:rPr>
              <w:t>HF questionnaire score</w:t>
            </w:r>
            <w:r>
              <w:rPr>
                <w:rFonts w:cs="Tahoma"/>
                <w:szCs w:val="18"/>
              </w:rPr>
              <w:t xml:space="preserve"> </w:t>
            </w:r>
            <w:r w:rsidRPr="00223948">
              <w:rPr>
                <w:rFonts w:cs="Tahoma"/>
                <w:szCs w:val="18"/>
              </w:rPr>
              <w:t>at Week 6 and Month 3</w:t>
            </w:r>
            <w:r w:rsidRPr="003473CF">
              <w:rPr>
                <w:rFonts w:cs="Tahoma"/>
                <w:szCs w:val="18"/>
                <w:vertAlign w:val="superscript"/>
              </w:rPr>
              <w:t>c</w:t>
            </w:r>
          </w:p>
          <w:p w:rsidR="001D0FDA" w:rsidRDefault="001D0FDA" w:rsidP="00480FDF">
            <w:pPr>
              <w:pStyle w:val="Tabletext"/>
              <w:numPr>
                <w:ilvl w:val="0"/>
                <w:numId w:val="54"/>
              </w:numPr>
              <w:ind w:left="239" w:hanging="144"/>
              <w:rPr>
                <w:rFonts w:cs="Tahoma"/>
                <w:szCs w:val="18"/>
              </w:rPr>
            </w:pPr>
            <w:r w:rsidRPr="00223948">
              <w:rPr>
                <w:rFonts w:cs="Tahoma"/>
                <w:szCs w:val="18"/>
              </w:rPr>
              <w:t xml:space="preserve">Change in </w:t>
            </w:r>
            <w:r>
              <w:rPr>
                <w:rFonts w:cs="Tahoma"/>
                <w:szCs w:val="18"/>
              </w:rPr>
              <w:t>CI, mPAP and PVR</w:t>
            </w:r>
            <w:r w:rsidRPr="00223948">
              <w:rPr>
                <w:rFonts w:cs="Tahoma"/>
                <w:szCs w:val="18"/>
              </w:rPr>
              <w:t xml:space="preserve"> at Month 3</w:t>
            </w:r>
            <w:r w:rsidRPr="00223948">
              <w:rPr>
                <w:rFonts w:cs="Tahoma"/>
                <w:szCs w:val="18"/>
                <w:vertAlign w:val="superscript"/>
              </w:rPr>
              <w:t>c</w:t>
            </w:r>
          </w:p>
          <w:p w:rsidR="001D0FDA" w:rsidRDefault="001D0FDA" w:rsidP="001D0FDA">
            <w:pPr>
              <w:pStyle w:val="Tabletext"/>
              <w:rPr>
                <w:rFonts w:cs="Tahoma"/>
                <w:szCs w:val="18"/>
              </w:rPr>
            </w:pPr>
          </w:p>
          <w:p w:rsidR="001D0FDA" w:rsidRPr="00351FF5" w:rsidRDefault="001D0FDA" w:rsidP="001D0FDA">
            <w:pPr>
              <w:pStyle w:val="Tabletext"/>
              <w:rPr>
                <w:rFonts w:cs="Tahoma"/>
                <w:szCs w:val="18"/>
              </w:rPr>
            </w:pPr>
            <w:r w:rsidRPr="00351FF5">
              <w:rPr>
                <w:rFonts w:cs="Tahoma"/>
                <w:i/>
                <w:szCs w:val="18"/>
              </w:rPr>
              <w:t>Safety</w:t>
            </w:r>
            <w:r w:rsidRPr="00351FF5">
              <w:rPr>
                <w:rFonts w:cs="Tahoma"/>
                <w:szCs w:val="18"/>
              </w:rPr>
              <w:t xml:space="preserve">: </w:t>
            </w:r>
          </w:p>
          <w:p w:rsidR="001D0FDA" w:rsidRPr="00223948" w:rsidRDefault="001D0FDA" w:rsidP="00480FDF">
            <w:pPr>
              <w:pStyle w:val="Tabletext"/>
              <w:numPr>
                <w:ilvl w:val="0"/>
                <w:numId w:val="54"/>
              </w:numPr>
              <w:ind w:left="239" w:hanging="144"/>
              <w:rPr>
                <w:rFonts w:cs="Tahoma"/>
                <w:szCs w:val="18"/>
              </w:rPr>
            </w:pPr>
            <w:r>
              <w:rPr>
                <w:rFonts w:cs="Tahoma"/>
                <w:szCs w:val="18"/>
              </w:rPr>
              <w:t>A</w:t>
            </w:r>
            <w:r w:rsidRPr="00351FF5">
              <w:rPr>
                <w:rFonts w:cs="Tahoma"/>
                <w:szCs w:val="18"/>
              </w:rPr>
              <w:t>dverse events</w:t>
            </w:r>
            <w:r w:rsidRPr="00223948">
              <w:rPr>
                <w:rFonts w:cs="Tahoma"/>
                <w:szCs w:val="18"/>
                <w:vertAlign w:val="superscript"/>
              </w:rPr>
              <w:t>c</w:t>
            </w:r>
          </w:p>
        </w:tc>
      </w:tr>
      <w:tr w:rsidR="001D0FDA" w:rsidRPr="00204000" w:rsidTr="001D0FDA">
        <w:tc>
          <w:tcPr>
            <w:tcW w:w="531"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Mainguy 2013</w:t>
            </w:r>
            <w:r w:rsidR="001D34EE" w:rsidRPr="001A1C44">
              <w:rPr>
                <w:rFonts w:eastAsia="Times New Roman"/>
                <w:noProof/>
                <w:vertAlign w:val="superscript"/>
                <w:lang w:eastAsia="en-US"/>
              </w:rPr>
              <w:t>39</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2009-2011</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Canada</w:t>
            </w:r>
          </w:p>
        </w:tc>
        <w:tc>
          <w:tcPr>
            <w:tcW w:w="476" w:type="pct"/>
          </w:tcPr>
          <w:p w:rsidR="001D0FDA" w:rsidRPr="00351FF5" w:rsidRDefault="001D0FDA" w:rsidP="001D0FDA">
            <w:pPr>
              <w:pStyle w:val="Tabletext"/>
              <w:rPr>
                <w:rFonts w:cs="Tahoma"/>
                <w:szCs w:val="18"/>
              </w:rPr>
            </w:pPr>
            <w:r w:rsidRPr="00D53F84">
              <w:rPr>
                <w:rFonts w:eastAsia="Times New Roman"/>
                <w:snapToGrid w:val="0"/>
                <w:lang w:eastAsia="en-US"/>
              </w:rPr>
              <w:t>RCT, DB, cross-over</w:t>
            </w:r>
            <w:r w:rsidRPr="00351FF5">
              <w:rPr>
                <w:rFonts w:cs="Tahoma"/>
                <w:szCs w:val="18"/>
              </w:rPr>
              <w:t xml:space="preserve"> </w:t>
            </w:r>
          </w:p>
          <w:p w:rsidR="001D0FDA" w:rsidRPr="00351FF5" w:rsidRDefault="001D0FDA" w:rsidP="001D0FDA">
            <w:pPr>
              <w:pStyle w:val="Tabletext"/>
              <w:rPr>
                <w:rFonts w:cs="Tahoma"/>
                <w:szCs w:val="18"/>
              </w:rPr>
            </w:pPr>
            <w:r w:rsidRPr="00351FF5">
              <w:rPr>
                <w:rFonts w:cs="Tahoma"/>
                <w:szCs w:val="18"/>
              </w:rPr>
              <w:t>Level II evidence</w:t>
            </w:r>
          </w:p>
          <w:p w:rsidR="001D0FDA" w:rsidRPr="00D53F84" w:rsidRDefault="001D0FDA" w:rsidP="001D0FDA">
            <w:pPr>
              <w:pStyle w:val="Tabletext"/>
              <w:ind w:right="-28"/>
              <w:rPr>
                <w:rFonts w:eastAsia="Times New Roman"/>
                <w:snapToGrid w:val="0"/>
                <w:lang w:eastAsia="en-US"/>
              </w:rPr>
            </w:pPr>
            <w:r>
              <w:rPr>
                <w:rFonts w:cs="Tahoma"/>
                <w:szCs w:val="18"/>
              </w:rPr>
              <w:t xml:space="preserve">Follow-up: </w:t>
            </w:r>
            <w:r w:rsidRPr="00D53F84">
              <w:rPr>
                <w:rFonts w:eastAsia="Times New Roman"/>
                <w:snapToGrid w:val="0"/>
                <w:lang w:eastAsia="en-US"/>
              </w:rPr>
              <w:t>4 weeks</w:t>
            </w:r>
          </w:p>
          <w:p w:rsidR="001D0FDA" w:rsidRPr="00D53F84" w:rsidRDefault="001D0FDA" w:rsidP="001D0FDA">
            <w:pPr>
              <w:pStyle w:val="Tabletext"/>
              <w:rPr>
                <w:rFonts w:eastAsia="Times New Roman"/>
                <w:snapToGrid w:val="0"/>
                <w:lang w:eastAsia="en-US"/>
              </w:rPr>
            </w:pPr>
            <w:r>
              <w:rPr>
                <w:rFonts w:eastAsia="Times New Roman"/>
                <w:snapToGrid w:val="0"/>
                <w:lang w:eastAsia="en-US"/>
              </w:rPr>
              <w:t>Risk of bias: l</w:t>
            </w:r>
            <w:r w:rsidRPr="00D53F84">
              <w:rPr>
                <w:rFonts w:eastAsia="Times New Roman"/>
                <w:snapToGrid w:val="0"/>
                <w:lang w:eastAsia="en-US"/>
              </w:rPr>
              <w:t>ow-to-moderate</w:t>
            </w:r>
          </w:p>
        </w:tc>
        <w:tc>
          <w:tcPr>
            <w:tcW w:w="772" w:type="pct"/>
          </w:tcPr>
          <w:p w:rsidR="001D0FDA" w:rsidRDefault="001D0FDA" w:rsidP="001D0FDA">
            <w:pPr>
              <w:pStyle w:val="Tabletext"/>
              <w:rPr>
                <w:rFonts w:cs="Tahoma"/>
                <w:i/>
                <w:szCs w:val="18"/>
              </w:rPr>
            </w:pPr>
            <w:r w:rsidRPr="006C3C96">
              <w:rPr>
                <w:rFonts w:cs="Tahoma"/>
                <w:i/>
                <w:szCs w:val="18"/>
              </w:rPr>
              <w:t>Inclusion criteria</w:t>
            </w:r>
          </w:p>
          <w:p w:rsidR="001D0FDA" w:rsidRPr="006C3C96" w:rsidRDefault="001D0FDA" w:rsidP="00480FDF">
            <w:pPr>
              <w:pStyle w:val="Tabletext"/>
              <w:numPr>
                <w:ilvl w:val="0"/>
                <w:numId w:val="54"/>
              </w:numPr>
              <w:ind w:left="239" w:hanging="144"/>
              <w:rPr>
                <w:rFonts w:cs="Tahoma"/>
                <w:szCs w:val="18"/>
              </w:rPr>
            </w:pPr>
            <w:r w:rsidRPr="006C3C96">
              <w:rPr>
                <w:rFonts w:cs="Tahoma"/>
                <w:szCs w:val="18"/>
              </w:rPr>
              <w:t xml:space="preserve">PAH patients with stable clinical condition who were on monotherapy over the last 4 months but </w:t>
            </w:r>
            <w:r>
              <w:rPr>
                <w:rFonts w:cs="Tahoma"/>
                <w:szCs w:val="18"/>
              </w:rPr>
              <w:t>naïve</w:t>
            </w:r>
            <w:r w:rsidRPr="006C3C96">
              <w:rPr>
                <w:rFonts w:cs="Tahoma"/>
                <w:szCs w:val="18"/>
              </w:rPr>
              <w:t xml:space="preserve"> to </w:t>
            </w:r>
            <w:r>
              <w:rPr>
                <w:rFonts w:cs="Tahoma"/>
                <w:szCs w:val="18"/>
              </w:rPr>
              <w:t>PDE-5i</w:t>
            </w:r>
          </w:p>
          <w:p w:rsidR="001D0FDA" w:rsidRPr="006C3C96" w:rsidRDefault="001D0FDA" w:rsidP="001D0FDA">
            <w:pPr>
              <w:pStyle w:val="Tabletext"/>
              <w:rPr>
                <w:rFonts w:cs="Tahoma"/>
                <w:i/>
                <w:szCs w:val="18"/>
              </w:rPr>
            </w:pPr>
          </w:p>
          <w:p w:rsidR="001D0FDA" w:rsidRDefault="001D0FDA" w:rsidP="001D0FDA">
            <w:pPr>
              <w:pStyle w:val="Tabletext"/>
              <w:rPr>
                <w:rFonts w:cs="Tahoma"/>
                <w:i/>
                <w:szCs w:val="18"/>
              </w:rPr>
            </w:pPr>
            <w:r w:rsidRPr="006C3C96">
              <w:rPr>
                <w:rFonts w:cs="Tahoma"/>
                <w:i/>
                <w:szCs w:val="18"/>
              </w:rPr>
              <w:t>Exclusion criteria</w:t>
            </w:r>
          </w:p>
          <w:p w:rsidR="001D0FDA" w:rsidRPr="00F5467F" w:rsidRDefault="001D0FDA" w:rsidP="00480FDF">
            <w:pPr>
              <w:pStyle w:val="Tabletext"/>
              <w:numPr>
                <w:ilvl w:val="0"/>
                <w:numId w:val="54"/>
              </w:numPr>
              <w:ind w:left="239" w:hanging="144"/>
              <w:rPr>
                <w:rFonts w:cs="Tahoma"/>
                <w:i/>
                <w:szCs w:val="18"/>
              </w:rPr>
            </w:pPr>
            <w:r w:rsidRPr="006C3C96">
              <w:rPr>
                <w:rFonts w:cs="Tahoma"/>
                <w:szCs w:val="18"/>
              </w:rPr>
              <w:t xml:space="preserve">Unstable PAH </w:t>
            </w:r>
            <w:r>
              <w:rPr>
                <w:rFonts w:cs="Tahoma"/>
                <w:szCs w:val="18"/>
              </w:rPr>
              <w:t>(</w:t>
            </w:r>
            <w:r w:rsidRPr="006C3C96">
              <w:rPr>
                <w:rFonts w:cs="Tahoma"/>
                <w:szCs w:val="18"/>
              </w:rPr>
              <w:t>defined as recent syncope</w:t>
            </w:r>
            <w:r>
              <w:rPr>
                <w:rFonts w:cs="Tahoma"/>
                <w:szCs w:val="18"/>
              </w:rPr>
              <w:t>)</w:t>
            </w:r>
            <w:r w:rsidRPr="006C3C96">
              <w:rPr>
                <w:rFonts w:cs="Tahoma"/>
                <w:szCs w:val="18"/>
              </w:rPr>
              <w:t xml:space="preserve"> or WHO FC IV</w:t>
            </w:r>
          </w:p>
          <w:p w:rsidR="001D0FDA" w:rsidRPr="00F5467F" w:rsidRDefault="001D0FDA" w:rsidP="00480FDF">
            <w:pPr>
              <w:pStyle w:val="Tabletext"/>
              <w:numPr>
                <w:ilvl w:val="0"/>
                <w:numId w:val="54"/>
              </w:numPr>
              <w:ind w:left="239" w:hanging="144"/>
              <w:rPr>
                <w:rFonts w:cs="Tahoma"/>
                <w:i/>
                <w:szCs w:val="18"/>
              </w:rPr>
            </w:pPr>
            <w:r>
              <w:rPr>
                <w:rFonts w:cs="Tahoma"/>
                <w:szCs w:val="18"/>
              </w:rPr>
              <w:t xml:space="preserve">LVEF </w:t>
            </w:r>
            <w:r w:rsidRPr="006C3C96">
              <w:rPr>
                <w:rFonts w:cs="Tahoma"/>
                <w:szCs w:val="18"/>
              </w:rPr>
              <w:t>&lt;40%</w:t>
            </w:r>
          </w:p>
          <w:p w:rsidR="001D0FDA" w:rsidRPr="00F5467F" w:rsidRDefault="001D0FDA" w:rsidP="00480FDF">
            <w:pPr>
              <w:pStyle w:val="Tabletext"/>
              <w:numPr>
                <w:ilvl w:val="0"/>
                <w:numId w:val="54"/>
              </w:numPr>
              <w:ind w:left="239" w:hanging="144"/>
              <w:rPr>
                <w:rFonts w:cs="Tahoma"/>
                <w:i/>
                <w:szCs w:val="18"/>
              </w:rPr>
            </w:pPr>
            <w:r>
              <w:rPr>
                <w:rFonts w:cs="Tahoma"/>
                <w:szCs w:val="18"/>
              </w:rPr>
              <w:t>S</w:t>
            </w:r>
            <w:r w:rsidRPr="006C3C96">
              <w:rPr>
                <w:rFonts w:cs="Tahoma"/>
                <w:szCs w:val="18"/>
              </w:rPr>
              <w:t>ignificant restrictive or obstructive  lung disease</w:t>
            </w:r>
          </w:p>
          <w:p w:rsidR="001D0FDA" w:rsidRPr="00942593" w:rsidRDefault="001D0FDA" w:rsidP="00480FDF">
            <w:pPr>
              <w:pStyle w:val="Tabletext"/>
              <w:numPr>
                <w:ilvl w:val="0"/>
                <w:numId w:val="54"/>
              </w:numPr>
              <w:ind w:left="239" w:hanging="144"/>
              <w:rPr>
                <w:rFonts w:cs="Tahoma"/>
                <w:i/>
                <w:szCs w:val="18"/>
              </w:rPr>
            </w:pPr>
            <w:r>
              <w:rPr>
                <w:rFonts w:cs="Tahoma"/>
                <w:szCs w:val="18"/>
              </w:rPr>
              <w:t>SBP &lt;100/60</w:t>
            </w:r>
            <w:r w:rsidRPr="006C3C96">
              <w:rPr>
                <w:rFonts w:cs="Tahoma"/>
                <w:szCs w:val="18"/>
              </w:rPr>
              <w:t>mmHg</w:t>
            </w:r>
          </w:p>
        </w:tc>
        <w:tc>
          <w:tcPr>
            <w:tcW w:w="0" w:type="auto"/>
          </w:tcPr>
          <w:p w:rsidR="001D0FDA" w:rsidRDefault="001D0FDA" w:rsidP="001D0FDA">
            <w:pPr>
              <w:pStyle w:val="Tabletext"/>
              <w:rPr>
                <w:rFonts w:cs="Tahoma"/>
                <w:szCs w:val="18"/>
              </w:rPr>
            </w:pPr>
            <w:r>
              <w:rPr>
                <w:rFonts w:cs="Tahoma"/>
                <w:szCs w:val="18"/>
              </w:rPr>
              <w:t xml:space="preserve">N=20 </w:t>
            </w:r>
          </w:p>
          <w:p w:rsidR="001D0FDA" w:rsidRDefault="001D0FDA" w:rsidP="001D0FDA">
            <w:pPr>
              <w:pStyle w:val="Tabletext"/>
              <w:rPr>
                <w:rFonts w:cs="Tahoma"/>
                <w:szCs w:val="18"/>
              </w:rPr>
            </w:pPr>
            <w:r>
              <w:rPr>
                <w:rFonts w:cs="Tahoma"/>
                <w:szCs w:val="18"/>
              </w:rPr>
              <w:t>Age</w:t>
            </w:r>
            <w:r w:rsidRPr="00351FF5">
              <w:rPr>
                <w:rFonts w:cs="Tahoma"/>
                <w:szCs w:val="18"/>
              </w:rPr>
              <w:t>, mean±SD (yrs)</w:t>
            </w:r>
            <w:r>
              <w:rPr>
                <w:rFonts w:cs="Tahoma"/>
                <w:szCs w:val="18"/>
              </w:rPr>
              <w:t>: 29±12</w:t>
            </w:r>
          </w:p>
          <w:p w:rsidR="001D0FDA" w:rsidRDefault="001D0FDA" w:rsidP="001D0FDA">
            <w:pPr>
              <w:pStyle w:val="Tabletext"/>
              <w:rPr>
                <w:rFonts w:cs="Tahoma"/>
                <w:szCs w:val="18"/>
              </w:rPr>
            </w:pPr>
            <w:r w:rsidRPr="00351FF5">
              <w:rPr>
                <w:rFonts w:cs="Tahoma"/>
                <w:szCs w:val="18"/>
              </w:rPr>
              <w:t>Gender, femal</w:t>
            </w:r>
            <w:r>
              <w:rPr>
                <w:rFonts w:cs="Tahoma"/>
                <w:szCs w:val="18"/>
              </w:rPr>
              <w:t>e</w:t>
            </w:r>
            <w:r w:rsidRPr="00351FF5">
              <w:rPr>
                <w:rFonts w:cs="Tahoma"/>
                <w:szCs w:val="18"/>
              </w:rPr>
              <w:t>, n (%)</w:t>
            </w:r>
            <w:r>
              <w:rPr>
                <w:rFonts w:cs="Tahoma"/>
                <w:szCs w:val="18"/>
              </w:rPr>
              <w:t>: 15 (54%)</w:t>
            </w:r>
          </w:p>
          <w:p w:rsidR="001D0FDA" w:rsidRPr="00846938" w:rsidRDefault="001D0FDA" w:rsidP="001D0FDA">
            <w:pPr>
              <w:pStyle w:val="Tabletext"/>
              <w:rPr>
                <w:rFonts w:cs="Tahoma"/>
                <w:szCs w:val="18"/>
              </w:rPr>
            </w:pPr>
            <w:r w:rsidRPr="00846938">
              <w:rPr>
                <w:rFonts w:cs="Tahoma"/>
                <w:szCs w:val="18"/>
              </w:rPr>
              <w:t>P</w:t>
            </w:r>
            <w:r>
              <w:rPr>
                <w:rFonts w:cs="Tahoma"/>
                <w:szCs w:val="18"/>
              </w:rPr>
              <w:t>A</w:t>
            </w:r>
            <w:r w:rsidRPr="00846938">
              <w:rPr>
                <w:rFonts w:cs="Tahoma"/>
                <w:szCs w:val="18"/>
              </w:rPr>
              <w:t>H aetiology, n (%)</w:t>
            </w:r>
          </w:p>
          <w:p w:rsidR="001D0FDA" w:rsidRDefault="001D0FDA" w:rsidP="001D0FDA">
            <w:pPr>
              <w:pStyle w:val="Tabletext"/>
              <w:ind w:left="263"/>
              <w:rPr>
                <w:rFonts w:cs="Tahoma"/>
                <w:szCs w:val="18"/>
              </w:rPr>
            </w:pPr>
            <w:r w:rsidRPr="00846938">
              <w:rPr>
                <w:rFonts w:cs="Tahoma"/>
                <w:szCs w:val="18"/>
              </w:rPr>
              <w:t>IPAH</w:t>
            </w:r>
            <w:r>
              <w:rPr>
                <w:rFonts w:cs="Tahoma"/>
                <w:szCs w:val="18"/>
              </w:rPr>
              <w:t>: 9 (45%)</w:t>
            </w:r>
          </w:p>
          <w:p w:rsidR="001D0FDA" w:rsidRDefault="001D0FDA" w:rsidP="001D0FDA">
            <w:pPr>
              <w:pStyle w:val="Tabletext"/>
              <w:ind w:left="263"/>
              <w:rPr>
                <w:rFonts w:cs="Tahoma"/>
                <w:szCs w:val="18"/>
              </w:rPr>
            </w:pPr>
            <w:r>
              <w:rPr>
                <w:rFonts w:cs="Tahoma"/>
                <w:szCs w:val="18"/>
              </w:rPr>
              <w:t>PAH-CTD: 8 (40%)</w:t>
            </w:r>
          </w:p>
          <w:p w:rsidR="001D0FDA" w:rsidRPr="00846938" w:rsidRDefault="001D0FDA" w:rsidP="001D0FDA">
            <w:pPr>
              <w:pStyle w:val="Tabletext"/>
              <w:ind w:left="263"/>
              <w:rPr>
                <w:rFonts w:cs="Tahoma"/>
                <w:szCs w:val="18"/>
              </w:rPr>
            </w:pPr>
            <w:r>
              <w:rPr>
                <w:rFonts w:cs="Tahoma"/>
                <w:szCs w:val="18"/>
              </w:rPr>
              <w:t>PAH-CHD: 2 (10%)</w:t>
            </w:r>
          </w:p>
          <w:p w:rsidR="001D0FDA" w:rsidRDefault="001D0FDA" w:rsidP="001D0FDA">
            <w:pPr>
              <w:pStyle w:val="Tabletext"/>
              <w:ind w:left="263"/>
              <w:rPr>
                <w:rFonts w:cs="Tahoma"/>
                <w:szCs w:val="18"/>
              </w:rPr>
            </w:pPr>
            <w:r>
              <w:rPr>
                <w:rFonts w:cs="Tahoma"/>
                <w:szCs w:val="18"/>
              </w:rPr>
              <w:t>HPAH: 1 (5%)</w:t>
            </w:r>
          </w:p>
          <w:p w:rsidR="001D0FDA" w:rsidRPr="00846938" w:rsidRDefault="001D0FDA" w:rsidP="001D0FDA">
            <w:pPr>
              <w:pStyle w:val="Tabletext"/>
              <w:rPr>
                <w:rFonts w:cs="Tahoma"/>
                <w:szCs w:val="18"/>
              </w:rPr>
            </w:pPr>
            <w:r w:rsidRPr="00846938">
              <w:rPr>
                <w:rFonts w:cs="Tahoma"/>
                <w:szCs w:val="18"/>
              </w:rPr>
              <w:t>WHO FC, n (%)</w:t>
            </w:r>
          </w:p>
          <w:p w:rsidR="001D0FDA" w:rsidRPr="00846938" w:rsidRDefault="001D0FDA" w:rsidP="001D0FDA">
            <w:pPr>
              <w:pStyle w:val="Tabletext"/>
              <w:ind w:left="263"/>
              <w:rPr>
                <w:rFonts w:cs="Tahoma"/>
                <w:szCs w:val="18"/>
              </w:rPr>
            </w:pPr>
            <w:r>
              <w:rPr>
                <w:rFonts w:cs="Tahoma"/>
                <w:szCs w:val="18"/>
              </w:rPr>
              <w:t>II: 15 (75%)</w:t>
            </w:r>
          </w:p>
          <w:p w:rsidR="001D0FDA" w:rsidRDefault="001D0FDA" w:rsidP="001D0FDA">
            <w:pPr>
              <w:pStyle w:val="Tabletext"/>
              <w:ind w:left="263"/>
              <w:rPr>
                <w:rFonts w:cs="Tahoma"/>
                <w:szCs w:val="18"/>
              </w:rPr>
            </w:pPr>
            <w:r>
              <w:rPr>
                <w:rFonts w:cs="Tahoma"/>
                <w:szCs w:val="18"/>
              </w:rPr>
              <w:t>III: 5 (25%)</w:t>
            </w:r>
          </w:p>
          <w:p w:rsidR="001D0FDA" w:rsidRDefault="001D0FDA" w:rsidP="001D0FDA">
            <w:pPr>
              <w:pStyle w:val="Tabletext"/>
              <w:rPr>
                <w:rFonts w:cs="Tahoma"/>
                <w:szCs w:val="18"/>
              </w:rPr>
            </w:pPr>
            <w:r w:rsidRPr="00846938">
              <w:rPr>
                <w:rFonts w:cs="Tahoma"/>
                <w:szCs w:val="18"/>
              </w:rPr>
              <w:t>mPAP</w:t>
            </w:r>
            <w:r w:rsidRPr="00351FF5">
              <w:rPr>
                <w:rFonts w:cs="Tahoma"/>
                <w:szCs w:val="18"/>
              </w:rPr>
              <w:t xml:space="preserve">, mean±SD </w:t>
            </w:r>
            <w:r w:rsidRPr="00846938">
              <w:rPr>
                <w:rFonts w:cs="Tahoma"/>
                <w:szCs w:val="18"/>
              </w:rPr>
              <w:t>(mmHg)</w:t>
            </w:r>
            <w:r>
              <w:rPr>
                <w:rFonts w:cs="Tahoma"/>
                <w:szCs w:val="18"/>
              </w:rPr>
              <w:t>: 44</w:t>
            </w:r>
            <w:r w:rsidRPr="00BE12BA">
              <w:rPr>
                <w:rFonts w:cs="Tahoma"/>
                <w:szCs w:val="18"/>
              </w:rPr>
              <w:t>±</w:t>
            </w:r>
            <w:r>
              <w:rPr>
                <w:rFonts w:cs="Tahoma"/>
                <w:szCs w:val="18"/>
              </w:rPr>
              <w:t>16</w:t>
            </w:r>
          </w:p>
          <w:p w:rsidR="001D0FDA" w:rsidRDefault="001D0FDA" w:rsidP="001D0FDA">
            <w:pPr>
              <w:pStyle w:val="Tabletext"/>
              <w:rPr>
                <w:rFonts w:cs="Tahoma"/>
                <w:szCs w:val="18"/>
              </w:rPr>
            </w:pPr>
            <w:r>
              <w:rPr>
                <w:rFonts w:cs="Tahoma"/>
                <w:szCs w:val="18"/>
              </w:rPr>
              <w:t>PVR index</w:t>
            </w:r>
            <w:r w:rsidRPr="00351FF5">
              <w:rPr>
                <w:rFonts w:cs="Tahoma"/>
                <w:szCs w:val="18"/>
              </w:rPr>
              <w:t>, mean±SD (</w:t>
            </w:r>
            <w:r>
              <w:rPr>
                <w:rFonts w:cs="Tahoma"/>
                <w:szCs w:val="18"/>
              </w:rPr>
              <w:t>Wood units/m</w:t>
            </w:r>
            <w:r w:rsidRPr="00BD3D61">
              <w:rPr>
                <w:rFonts w:cs="Tahoma"/>
                <w:szCs w:val="18"/>
                <w:vertAlign w:val="superscript"/>
              </w:rPr>
              <w:t>2</w:t>
            </w:r>
            <w:r w:rsidRPr="00351FF5">
              <w:rPr>
                <w:rFonts w:cs="Tahoma"/>
                <w:szCs w:val="18"/>
              </w:rPr>
              <w:t>)</w:t>
            </w:r>
            <w:r>
              <w:rPr>
                <w:rFonts w:cs="Tahoma"/>
                <w:szCs w:val="18"/>
              </w:rPr>
              <w:t>: 6.6</w:t>
            </w:r>
            <w:r w:rsidRPr="00BE12BA">
              <w:rPr>
                <w:rFonts w:cs="Tahoma"/>
                <w:szCs w:val="18"/>
              </w:rPr>
              <w:t>±</w:t>
            </w:r>
            <w:r>
              <w:rPr>
                <w:rFonts w:cs="Tahoma"/>
                <w:szCs w:val="18"/>
              </w:rPr>
              <w:t>3.1</w:t>
            </w:r>
          </w:p>
          <w:p w:rsidR="001D0FDA" w:rsidRPr="00351FF5" w:rsidRDefault="001D0FDA" w:rsidP="001D0FDA">
            <w:pPr>
              <w:pStyle w:val="Tabletext"/>
              <w:rPr>
                <w:rFonts w:cs="Tahoma"/>
                <w:szCs w:val="18"/>
              </w:rPr>
            </w:pPr>
            <w:r w:rsidRPr="00B36D2B">
              <w:rPr>
                <w:rFonts w:cs="Tahoma"/>
                <w:szCs w:val="18"/>
              </w:rPr>
              <w:t xml:space="preserve">Data on the patient characteristics for </w:t>
            </w:r>
            <w:r>
              <w:rPr>
                <w:rFonts w:cs="Tahoma"/>
                <w:szCs w:val="18"/>
              </w:rPr>
              <w:t xml:space="preserve">the two treatment arms </w:t>
            </w:r>
            <w:r w:rsidRPr="00B36D2B">
              <w:rPr>
                <w:rFonts w:cs="Tahoma"/>
                <w:szCs w:val="18"/>
              </w:rPr>
              <w:t>were not available.</w:t>
            </w:r>
          </w:p>
        </w:tc>
        <w:tc>
          <w:tcPr>
            <w:tcW w:w="811" w:type="pct"/>
          </w:tcPr>
          <w:p w:rsidR="001D0FDA" w:rsidRDefault="001D0FDA" w:rsidP="001D0FDA">
            <w:pPr>
              <w:pStyle w:val="Tabletext"/>
              <w:rPr>
                <w:i/>
              </w:rPr>
            </w:pPr>
            <w:r>
              <w:rPr>
                <w:i/>
              </w:rPr>
              <w:t>Intervention:</w:t>
            </w:r>
          </w:p>
          <w:p w:rsidR="001D0FDA" w:rsidRDefault="001D0FDA" w:rsidP="001D0FDA">
            <w:pPr>
              <w:pStyle w:val="Tabletext"/>
            </w:pPr>
            <w:r w:rsidRPr="00CA1531">
              <w:t>Sildenafil</w:t>
            </w:r>
            <w:r>
              <w:t>: 20</w:t>
            </w:r>
            <w:r w:rsidRPr="00CA1531">
              <w:t xml:space="preserve">mg </w:t>
            </w:r>
            <w:r>
              <w:t>tid</w:t>
            </w:r>
          </w:p>
          <w:p w:rsidR="001D0FDA" w:rsidRDefault="001D0FDA" w:rsidP="001D0FDA">
            <w:pPr>
              <w:pStyle w:val="Tabletext"/>
            </w:pPr>
          </w:p>
          <w:p w:rsidR="001D0FDA" w:rsidRPr="00CA1531" w:rsidRDefault="001D0FDA" w:rsidP="001D0FDA">
            <w:pPr>
              <w:pStyle w:val="Tabletext"/>
              <w:rPr>
                <w:i/>
              </w:rPr>
            </w:pPr>
            <w:r>
              <w:rPr>
                <w:i/>
              </w:rPr>
              <w:t>Comparator</w:t>
            </w:r>
          </w:p>
          <w:p w:rsidR="001D0FDA" w:rsidRPr="00CA1531" w:rsidRDefault="001D0FDA" w:rsidP="001D0FDA">
            <w:pPr>
              <w:pStyle w:val="Tabletext"/>
            </w:pPr>
            <w:r w:rsidRPr="00CA1531">
              <w:t xml:space="preserve">Placebo </w:t>
            </w:r>
          </w:p>
          <w:p w:rsidR="001D0FDA" w:rsidRDefault="001D0FDA" w:rsidP="001D0FDA">
            <w:pPr>
              <w:pStyle w:val="Tabletext"/>
            </w:pPr>
          </w:p>
          <w:p w:rsidR="001D0FDA" w:rsidRDefault="001D0FDA" w:rsidP="001D0FDA">
            <w:pPr>
              <w:pStyle w:val="Tabletext"/>
              <w:rPr>
                <w:i/>
              </w:rPr>
            </w:pPr>
            <w:r>
              <w:rPr>
                <w:i/>
              </w:rPr>
              <w:t>Background therapy</w:t>
            </w:r>
          </w:p>
          <w:p w:rsidR="001D0FDA" w:rsidRPr="00B36D2B" w:rsidRDefault="001D0FDA" w:rsidP="001D0FDA">
            <w:pPr>
              <w:pStyle w:val="Tabletext"/>
            </w:pPr>
            <w:r w:rsidRPr="00B36D2B">
              <w:t>ERA (90%)</w:t>
            </w:r>
          </w:p>
          <w:p w:rsidR="001D0FDA" w:rsidRPr="00C5431E" w:rsidRDefault="001D0FDA" w:rsidP="001D0FDA">
            <w:pPr>
              <w:pStyle w:val="Tabletext"/>
              <w:rPr>
                <w:i/>
              </w:rPr>
            </w:pPr>
            <w:r w:rsidRPr="00B36D2B">
              <w:t>EPO (10%)</w:t>
            </w:r>
          </w:p>
        </w:tc>
        <w:tc>
          <w:tcPr>
            <w:tcW w:w="771" w:type="pct"/>
          </w:tcPr>
          <w:p w:rsidR="001D0FDA" w:rsidRDefault="001D0FDA" w:rsidP="001D0FDA">
            <w:pPr>
              <w:pStyle w:val="Tabletext"/>
              <w:rPr>
                <w:rFonts w:cs="Tahoma"/>
                <w:i/>
                <w:szCs w:val="18"/>
              </w:rPr>
            </w:pPr>
            <w:r>
              <w:rPr>
                <w:rFonts w:cs="Tahoma"/>
                <w:i/>
                <w:szCs w:val="18"/>
              </w:rPr>
              <w:t>Effectiveness</w:t>
            </w:r>
          </w:p>
          <w:p w:rsidR="001D0FDA" w:rsidRDefault="001D0FDA" w:rsidP="001D0FDA">
            <w:pPr>
              <w:pStyle w:val="Tabletext"/>
              <w:rPr>
                <w:rFonts w:cs="Tahoma"/>
                <w:szCs w:val="18"/>
              </w:rPr>
            </w:pPr>
            <w:r>
              <w:rPr>
                <w:rFonts w:cs="Tahoma"/>
                <w:szCs w:val="18"/>
              </w:rPr>
              <w:t xml:space="preserve">Primary: </w:t>
            </w:r>
          </w:p>
          <w:p w:rsidR="001D0FDA" w:rsidRDefault="001D0FDA" w:rsidP="00480FDF">
            <w:pPr>
              <w:pStyle w:val="Tabletext"/>
              <w:numPr>
                <w:ilvl w:val="0"/>
                <w:numId w:val="54"/>
              </w:numPr>
              <w:ind w:left="239" w:hanging="144"/>
              <w:rPr>
                <w:rFonts w:cs="Tahoma"/>
                <w:szCs w:val="18"/>
              </w:rPr>
            </w:pPr>
            <w:r>
              <w:rPr>
                <w:rFonts w:cs="Tahoma"/>
                <w:szCs w:val="18"/>
              </w:rPr>
              <w:t>Change in 6MWD</w:t>
            </w:r>
            <w:r w:rsidRPr="00EA1FCD">
              <w:rPr>
                <w:rFonts w:cs="Tahoma"/>
                <w:szCs w:val="18"/>
                <w:vertAlign w:val="superscript"/>
              </w:rPr>
              <w:t>c</w:t>
            </w:r>
            <w:r w:rsidRPr="00994A70">
              <w:rPr>
                <w:rFonts w:cs="Tahoma"/>
                <w:szCs w:val="18"/>
              </w:rPr>
              <w:t xml:space="preserve"> </w:t>
            </w:r>
          </w:p>
          <w:p w:rsidR="001D0FDA" w:rsidRDefault="001D0FDA" w:rsidP="00480FDF">
            <w:pPr>
              <w:pStyle w:val="Tabletext"/>
              <w:numPr>
                <w:ilvl w:val="0"/>
                <w:numId w:val="54"/>
              </w:numPr>
              <w:ind w:left="239" w:hanging="144"/>
              <w:rPr>
                <w:rFonts w:cs="Tahoma"/>
                <w:szCs w:val="18"/>
              </w:rPr>
            </w:pPr>
            <w:r>
              <w:rPr>
                <w:rFonts w:cs="Tahoma"/>
                <w:szCs w:val="18"/>
              </w:rPr>
              <w:t xml:space="preserve">Change in </w:t>
            </w:r>
            <w:r w:rsidRPr="001E08EB">
              <w:rPr>
                <w:rFonts w:cs="Tahoma"/>
                <w:szCs w:val="18"/>
              </w:rPr>
              <w:t>the endurance shuttle walk test</w:t>
            </w:r>
          </w:p>
          <w:p w:rsidR="001D0FDA" w:rsidRPr="001E08EB" w:rsidRDefault="001D0FDA" w:rsidP="00480FDF">
            <w:pPr>
              <w:pStyle w:val="Tabletext"/>
              <w:numPr>
                <w:ilvl w:val="0"/>
                <w:numId w:val="54"/>
              </w:numPr>
              <w:ind w:left="239" w:hanging="144"/>
              <w:rPr>
                <w:rFonts w:cs="Tahoma"/>
                <w:szCs w:val="18"/>
              </w:rPr>
            </w:pPr>
            <w:r>
              <w:rPr>
                <w:rFonts w:cs="Tahoma"/>
                <w:szCs w:val="18"/>
              </w:rPr>
              <w:t>Change in the cycle endurance test</w:t>
            </w:r>
          </w:p>
        </w:tc>
      </w:tr>
      <w:tr w:rsidR="001D0FDA" w:rsidRPr="00204000" w:rsidTr="001D0FDA">
        <w:tc>
          <w:tcPr>
            <w:tcW w:w="531" w:type="pct"/>
          </w:tcPr>
          <w:p w:rsidR="001D0FDA" w:rsidRPr="00D53F84" w:rsidRDefault="001D0FDA" w:rsidP="001D0FDA">
            <w:pPr>
              <w:pStyle w:val="Tabletext"/>
              <w:ind w:right="-111"/>
              <w:rPr>
                <w:rFonts w:eastAsia="Times New Roman"/>
              </w:rPr>
            </w:pPr>
            <w:r w:rsidRPr="00D53F84">
              <w:rPr>
                <w:rFonts w:eastAsia="Times New Roman"/>
              </w:rPr>
              <w:lastRenderedPageBreak/>
              <w:t>Mukhopadhyay 2011</w:t>
            </w:r>
            <w:r w:rsidR="001D34EE" w:rsidRPr="001A1C44">
              <w:rPr>
                <w:rFonts w:eastAsia="Times New Roman"/>
                <w:noProof/>
                <w:vertAlign w:val="superscript"/>
              </w:rPr>
              <w:t>40</w:t>
            </w:r>
          </w:p>
          <w:p w:rsidR="001D0FDA" w:rsidRPr="00D53F84" w:rsidRDefault="001D0FDA" w:rsidP="001D0FDA">
            <w:pPr>
              <w:pStyle w:val="Tabletext"/>
              <w:ind w:right="-28"/>
              <w:rPr>
                <w:rFonts w:eastAsia="Times New Roman"/>
              </w:rPr>
            </w:pPr>
            <w:r w:rsidRPr="00D53F84">
              <w:rPr>
                <w:rFonts w:eastAsia="Times New Roman"/>
                <w:lang w:eastAsia="en-US"/>
              </w:rPr>
              <w:t>No later than 2011</w:t>
            </w:r>
            <w:r>
              <w:rPr>
                <w:rFonts w:eastAsia="Times New Roman"/>
                <w:vertAlign w:val="superscript"/>
                <w:lang w:eastAsia="en-US"/>
              </w:rPr>
              <w:t>d</w:t>
            </w:r>
          </w:p>
          <w:p w:rsidR="001D0FDA" w:rsidRDefault="001D0FDA" w:rsidP="001D0FDA">
            <w:pPr>
              <w:pStyle w:val="Tabletext"/>
              <w:rPr>
                <w:rFonts w:cs="Tahoma"/>
                <w:szCs w:val="18"/>
              </w:rPr>
            </w:pPr>
            <w:r w:rsidRPr="00D53F84">
              <w:rPr>
                <w:rFonts w:eastAsia="Times New Roman"/>
                <w:lang w:eastAsia="en-US"/>
              </w:rPr>
              <w:t>India</w:t>
            </w:r>
          </w:p>
        </w:tc>
        <w:tc>
          <w:tcPr>
            <w:tcW w:w="476" w:type="pct"/>
          </w:tcPr>
          <w:p w:rsidR="001D0FDA" w:rsidRPr="00351FF5" w:rsidRDefault="001D0FDA" w:rsidP="001D0FDA">
            <w:pPr>
              <w:pStyle w:val="Tabletext"/>
              <w:rPr>
                <w:rFonts w:cs="Tahoma"/>
                <w:szCs w:val="18"/>
              </w:rPr>
            </w:pPr>
            <w:r w:rsidRPr="00D53F84">
              <w:rPr>
                <w:rFonts w:eastAsia="Times New Roman"/>
                <w:lang w:eastAsia="en-US"/>
              </w:rPr>
              <w:t>RCT, DB, cross-over</w:t>
            </w:r>
            <w:r w:rsidRPr="00351FF5">
              <w:rPr>
                <w:rFonts w:cs="Tahoma"/>
                <w:szCs w:val="18"/>
              </w:rPr>
              <w:t xml:space="preserve"> </w:t>
            </w:r>
          </w:p>
          <w:p w:rsidR="001D0FDA" w:rsidRPr="00351FF5" w:rsidRDefault="001D0FDA" w:rsidP="001D0FDA">
            <w:pPr>
              <w:pStyle w:val="Tabletext"/>
              <w:rPr>
                <w:rFonts w:cs="Tahoma"/>
                <w:szCs w:val="18"/>
              </w:rPr>
            </w:pPr>
            <w:r w:rsidRPr="00351FF5">
              <w:rPr>
                <w:rFonts w:cs="Tahoma"/>
                <w:szCs w:val="18"/>
              </w:rPr>
              <w:t>Level II evidence</w:t>
            </w:r>
          </w:p>
          <w:p w:rsidR="001D0FDA" w:rsidRPr="00D53F84" w:rsidRDefault="001D0FDA" w:rsidP="001D0FDA">
            <w:pPr>
              <w:pStyle w:val="Tabletext"/>
              <w:ind w:right="-28"/>
              <w:rPr>
                <w:rFonts w:eastAsia="Times New Roman"/>
                <w:lang w:eastAsia="en-US"/>
              </w:rPr>
            </w:pPr>
            <w:r>
              <w:rPr>
                <w:rFonts w:cs="Tahoma"/>
                <w:szCs w:val="18"/>
              </w:rPr>
              <w:t xml:space="preserve">Follow-up: </w:t>
            </w:r>
            <w:r w:rsidRPr="00D53F84">
              <w:rPr>
                <w:rFonts w:eastAsia="Times New Roman"/>
                <w:lang w:eastAsia="en-US"/>
              </w:rPr>
              <w:t>6 weeks</w:t>
            </w:r>
          </w:p>
          <w:p w:rsidR="001D0FDA" w:rsidRPr="00D53F84" w:rsidRDefault="001D0FDA" w:rsidP="001D0FDA">
            <w:pPr>
              <w:pStyle w:val="Tabletext"/>
              <w:ind w:right="-28"/>
              <w:rPr>
                <w:rFonts w:eastAsia="Times New Roman"/>
                <w:lang w:eastAsia="en-US"/>
              </w:rPr>
            </w:pPr>
            <w:r>
              <w:rPr>
                <w:rFonts w:eastAsia="Times New Roman"/>
                <w:lang w:eastAsia="en-US"/>
              </w:rPr>
              <w:t>Risk of bias: l</w:t>
            </w:r>
            <w:r w:rsidRPr="00D53F84">
              <w:rPr>
                <w:rFonts w:eastAsia="Times New Roman"/>
                <w:lang w:eastAsia="en-US"/>
              </w:rPr>
              <w:t>ow-to-moderate</w:t>
            </w:r>
          </w:p>
        </w:tc>
        <w:tc>
          <w:tcPr>
            <w:tcW w:w="772" w:type="pct"/>
          </w:tcPr>
          <w:p w:rsidR="001D0FDA" w:rsidRDefault="001D0FDA" w:rsidP="001D0FDA">
            <w:pPr>
              <w:pStyle w:val="Tabletext"/>
              <w:rPr>
                <w:rFonts w:cs="Tahoma"/>
                <w:i/>
                <w:szCs w:val="18"/>
              </w:rPr>
            </w:pPr>
            <w:r w:rsidRPr="00026AAB">
              <w:rPr>
                <w:rFonts w:cs="Tahoma"/>
                <w:i/>
                <w:szCs w:val="18"/>
              </w:rPr>
              <w:t>Inclusion criteria</w:t>
            </w:r>
          </w:p>
          <w:p w:rsidR="001D0FDA" w:rsidRDefault="001D0FDA" w:rsidP="00480FDF">
            <w:pPr>
              <w:pStyle w:val="Tabletext"/>
              <w:numPr>
                <w:ilvl w:val="0"/>
                <w:numId w:val="54"/>
              </w:numPr>
              <w:ind w:left="239" w:hanging="144"/>
              <w:rPr>
                <w:rFonts w:cs="Tahoma"/>
                <w:szCs w:val="18"/>
              </w:rPr>
            </w:pPr>
            <w:r>
              <w:rPr>
                <w:rFonts w:cs="Tahoma"/>
                <w:szCs w:val="18"/>
              </w:rPr>
              <w:t>Age of ≥18 years</w:t>
            </w:r>
          </w:p>
          <w:p w:rsidR="001D0FDA" w:rsidRDefault="001D0FDA" w:rsidP="00480FDF">
            <w:pPr>
              <w:pStyle w:val="Tabletext"/>
              <w:numPr>
                <w:ilvl w:val="0"/>
                <w:numId w:val="54"/>
              </w:numPr>
              <w:ind w:left="239" w:hanging="144"/>
              <w:rPr>
                <w:rFonts w:cs="Tahoma"/>
                <w:szCs w:val="18"/>
              </w:rPr>
            </w:pPr>
            <w:r>
              <w:rPr>
                <w:rFonts w:cs="Tahoma"/>
                <w:szCs w:val="18"/>
              </w:rPr>
              <w:t>Patients with WHO FC II-III PAH-CHD (Eisenmenger syndrome)</w:t>
            </w:r>
          </w:p>
          <w:p w:rsidR="001D0FDA" w:rsidRDefault="001D0FDA" w:rsidP="00480FDF">
            <w:pPr>
              <w:pStyle w:val="Tabletext"/>
              <w:numPr>
                <w:ilvl w:val="0"/>
                <w:numId w:val="54"/>
              </w:numPr>
              <w:ind w:left="239" w:hanging="144"/>
              <w:rPr>
                <w:rFonts w:cs="Tahoma"/>
                <w:szCs w:val="18"/>
              </w:rPr>
            </w:pPr>
            <w:r w:rsidRPr="00026AAB">
              <w:rPr>
                <w:rFonts w:cs="Tahoma"/>
                <w:szCs w:val="18"/>
              </w:rPr>
              <w:t>Stable medical therapy and clinical condition for 3</w:t>
            </w:r>
            <w:r>
              <w:rPr>
                <w:rFonts w:cs="Tahoma"/>
                <w:szCs w:val="18"/>
              </w:rPr>
              <w:t xml:space="preserve"> </w:t>
            </w:r>
            <w:r w:rsidRPr="00026AAB">
              <w:rPr>
                <w:rFonts w:cs="Tahoma"/>
                <w:szCs w:val="18"/>
              </w:rPr>
              <w:t xml:space="preserve">months prior to screening. </w:t>
            </w:r>
          </w:p>
          <w:p w:rsidR="001D0FDA" w:rsidRPr="00026AAB" w:rsidRDefault="001D0FDA" w:rsidP="00480FDF">
            <w:pPr>
              <w:pStyle w:val="Tabletext"/>
              <w:numPr>
                <w:ilvl w:val="0"/>
                <w:numId w:val="54"/>
              </w:numPr>
              <w:ind w:left="239" w:hanging="144"/>
              <w:rPr>
                <w:rFonts w:cs="Tahoma"/>
                <w:szCs w:val="18"/>
              </w:rPr>
            </w:pPr>
            <w:r w:rsidRPr="003936E5">
              <w:rPr>
                <w:rFonts w:cs="Tahoma"/>
                <w:szCs w:val="18"/>
              </w:rPr>
              <w:t>6 MWD of 150-450m</w:t>
            </w:r>
          </w:p>
          <w:p w:rsidR="001D0FDA" w:rsidRPr="003936E5" w:rsidRDefault="001D0FDA" w:rsidP="00480FDF">
            <w:pPr>
              <w:pStyle w:val="Tabletext"/>
              <w:numPr>
                <w:ilvl w:val="0"/>
                <w:numId w:val="54"/>
              </w:numPr>
              <w:ind w:left="239" w:hanging="144"/>
              <w:rPr>
                <w:rFonts w:cs="Tahoma"/>
                <w:szCs w:val="18"/>
              </w:rPr>
            </w:pPr>
            <w:r w:rsidRPr="003936E5">
              <w:rPr>
                <w:rFonts w:cs="Tahoma"/>
                <w:szCs w:val="18"/>
              </w:rPr>
              <w:t xml:space="preserve">A systemic pulse oximetry of  70%-90% at rest in room air </w:t>
            </w:r>
          </w:p>
          <w:p w:rsidR="001D0FDA" w:rsidRDefault="001D0FDA" w:rsidP="001D0FDA">
            <w:pPr>
              <w:pStyle w:val="Tabletext"/>
              <w:rPr>
                <w:rFonts w:cs="Tahoma"/>
                <w:szCs w:val="18"/>
              </w:rPr>
            </w:pPr>
          </w:p>
          <w:p w:rsidR="001D0FDA" w:rsidRDefault="001D0FDA" w:rsidP="001D0FDA">
            <w:pPr>
              <w:pStyle w:val="Tabletext"/>
              <w:rPr>
                <w:rFonts w:cs="Tahoma"/>
                <w:i/>
                <w:szCs w:val="18"/>
              </w:rPr>
            </w:pPr>
            <w:r>
              <w:rPr>
                <w:rFonts w:cs="Tahoma"/>
                <w:i/>
                <w:szCs w:val="18"/>
              </w:rPr>
              <w:t>Exclusion criteria</w:t>
            </w:r>
          </w:p>
          <w:p w:rsidR="001D0FDA" w:rsidRPr="003936E5" w:rsidRDefault="001D0FDA" w:rsidP="00480FDF">
            <w:pPr>
              <w:pStyle w:val="Tabletext"/>
              <w:numPr>
                <w:ilvl w:val="0"/>
                <w:numId w:val="54"/>
              </w:numPr>
              <w:ind w:left="239" w:hanging="144"/>
              <w:rPr>
                <w:rFonts w:cs="Tahoma"/>
                <w:i/>
                <w:szCs w:val="18"/>
              </w:rPr>
            </w:pPr>
            <w:r w:rsidRPr="00026AAB">
              <w:rPr>
                <w:rFonts w:cs="Tahoma"/>
                <w:szCs w:val="18"/>
              </w:rPr>
              <w:t>Patients on treatment with p</w:t>
            </w:r>
            <w:r>
              <w:rPr>
                <w:rFonts w:cs="Tahoma"/>
                <w:szCs w:val="18"/>
              </w:rPr>
              <w:t>rostanoid, ERA, PDE-5i</w:t>
            </w:r>
            <w:r w:rsidRPr="00026AAB">
              <w:rPr>
                <w:rFonts w:cs="Tahoma"/>
                <w:szCs w:val="18"/>
              </w:rPr>
              <w:t>, or any</w:t>
            </w:r>
            <w:r>
              <w:rPr>
                <w:rFonts w:cs="Tahoma"/>
                <w:szCs w:val="18"/>
              </w:rPr>
              <w:t xml:space="preserve"> </w:t>
            </w:r>
            <w:r w:rsidRPr="00026AAB">
              <w:rPr>
                <w:rFonts w:cs="Tahoma"/>
                <w:szCs w:val="18"/>
              </w:rPr>
              <w:t>other vasodilator within 1 month prior to screening</w:t>
            </w:r>
          </w:p>
          <w:p w:rsidR="001D0FDA" w:rsidRDefault="001D0FDA" w:rsidP="00480FDF">
            <w:pPr>
              <w:pStyle w:val="Tabletext"/>
              <w:numPr>
                <w:ilvl w:val="0"/>
                <w:numId w:val="54"/>
              </w:numPr>
              <w:ind w:left="239" w:hanging="144"/>
              <w:rPr>
                <w:rFonts w:cs="Tahoma"/>
                <w:szCs w:val="18"/>
              </w:rPr>
            </w:pPr>
            <w:r w:rsidRPr="003936E5">
              <w:rPr>
                <w:rFonts w:cs="Tahoma"/>
                <w:szCs w:val="18"/>
              </w:rPr>
              <w:t>Congestive heart failure or with PCWP</w:t>
            </w:r>
            <w:r>
              <w:rPr>
                <w:rFonts w:cs="Tahoma"/>
                <w:szCs w:val="18"/>
              </w:rPr>
              <w:t xml:space="preserve"> &gt;15mmHg </w:t>
            </w:r>
          </w:p>
          <w:p w:rsidR="001D0FDA" w:rsidRDefault="001D0FDA" w:rsidP="00480FDF">
            <w:pPr>
              <w:pStyle w:val="Tabletext"/>
              <w:numPr>
                <w:ilvl w:val="0"/>
                <w:numId w:val="54"/>
              </w:numPr>
              <w:ind w:left="239" w:hanging="144"/>
              <w:rPr>
                <w:rFonts w:cs="Tahoma"/>
                <w:szCs w:val="18"/>
              </w:rPr>
            </w:pPr>
            <w:r>
              <w:rPr>
                <w:rFonts w:cs="Tahoma"/>
                <w:szCs w:val="18"/>
              </w:rPr>
              <w:t>Atrial fibrillation</w:t>
            </w:r>
          </w:p>
          <w:p w:rsidR="001D0FDA" w:rsidRPr="003936E5" w:rsidRDefault="001D0FDA" w:rsidP="00480FDF">
            <w:pPr>
              <w:pStyle w:val="Tabletext"/>
              <w:numPr>
                <w:ilvl w:val="0"/>
                <w:numId w:val="54"/>
              </w:numPr>
              <w:ind w:left="239" w:hanging="144"/>
              <w:rPr>
                <w:rFonts w:cs="Tahoma"/>
                <w:szCs w:val="18"/>
              </w:rPr>
            </w:pPr>
            <w:r>
              <w:rPr>
                <w:rFonts w:cs="Tahoma"/>
                <w:szCs w:val="18"/>
              </w:rPr>
              <w:t>P</w:t>
            </w:r>
            <w:r w:rsidRPr="003936E5">
              <w:rPr>
                <w:rFonts w:cs="Tahoma"/>
                <w:szCs w:val="18"/>
              </w:rPr>
              <w:t>atent ductus arteriosus</w:t>
            </w:r>
          </w:p>
          <w:p w:rsidR="001D0FDA" w:rsidRDefault="001D0FDA" w:rsidP="00480FDF">
            <w:pPr>
              <w:pStyle w:val="Tabletext"/>
              <w:numPr>
                <w:ilvl w:val="0"/>
                <w:numId w:val="54"/>
              </w:numPr>
              <w:ind w:left="239" w:hanging="144"/>
              <w:rPr>
                <w:rFonts w:cs="Tahoma"/>
                <w:szCs w:val="18"/>
              </w:rPr>
            </w:pPr>
            <w:r>
              <w:rPr>
                <w:rFonts w:cs="Tahoma"/>
                <w:szCs w:val="18"/>
              </w:rPr>
              <w:t>C</w:t>
            </w:r>
            <w:r w:rsidRPr="003936E5">
              <w:rPr>
                <w:rFonts w:cs="Tahoma"/>
                <w:szCs w:val="18"/>
              </w:rPr>
              <w:t>om</w:t>
            </w:r>
            <w:r>
              <w:rPr>
                <w:rFonts w:cs="Tahoma"/>
                <w:szCs w:val="18"/>
              </w:rPr>
              <w:t>plex congenital heart defects</w:t>
            </w:r>
          </w:p>
          <w:p w:rsidR="001D0FDA" w:rsidRDefault="001D0FDA" w:rsidP="00480FDF">
            <w:pPr>
              <w:pStyle w:val="Tabletext"/>
              <w:numPr>
                <w:ilvl w:val="0"/>
                <w:numId w:val="54"/>
              </w:numPr>
              <w:ind w:left="239" w:hanging="144"/>
              <w:rPr>
                <w:rFonts w:cs="Tahoma"/>
                <w:szCs w:val="18"/>
              </w:rPr>
            </w:pPr>
            <w:r w:rsidRPr="003936E5">
              <w:rPr>
                <w:rFonts w:cs="Tahoma"/>
                <w:szCs w:val="18"/>
              </w:rPr>
              <w:t>LVEF &lt;40%</w:t>
            </w:r>
            <w:r>
              <w:rPr>
                <w:rFonts w:cs="Tahoma"/>
                <w:szCs w:val="18"/>
              </w:rPr>
              <w:t xml:space="preserve"> </w:t>
            </w:r>
          </w:p>
          <w:p w:rsidR="001D0FDA" w:rsidRPr="003936E5" w:rsidRDefault="001D0FDA" w:rsidP="00480FDF">
            <w:pPr>
              <w:pStyle w:val="Tabletext"/>
              <w:numPr>
                <w:ilvl w:val="0"/>
                <w:numId w:val="54"/>
              </w:numPr>
              <w:ind w:left="239" w:hanging="144"/>
              <w:rPr>
                <w:rFonts w:cs="Tahoma"/>
                <w:szCs w:val="18"/>
              </w:rPr>
            </w:pPr>
            <w:r>
              <w:rPr>
                <w:rFonts w:cs="Tahoma"/>
                <w:szCs w:val="18"/>
              </w:rPr>
              <w:t>R</w:t>
            </w:r>
            <w:r w:rsidRPr="003936E5">
              <w:rPr>
                <w:rFonts w:cs="Tahoma"/>
                <w:szCs w:val="18"/>
              </w:rPr>
              <w:t xml:space="preserve">estrictive </w:t>
            </w:r>
            <w:r>
              <w:rPr>
                <w:rFonts w:cs="Tahoma"/>
                <w:szCs w:val="18"/>
              </w:rPr>
              <w:t xml:space="preserve">or obstructive </w:t>
            </w:r>
            <w:r w:rsidRPr="003936E5">
              <w:rPr>
                <w:rFonts w:cs="Tahoma"/>
                <w:szCs w:val="18"/>
              </w:rPr>
              <w:t>lung</w:t>
            </w:r>
            <w:r>
              <w:rPr>
                <w:rFonts w:cs="Tahoma"/>
                <w:szCs w:val="18"/>
              </w:rPr>
              <w:t xml:space="preserve"> </w:t>
            </w:r>
            <w:r w:rsidRPr="003936E5">
              <w:rPr>
                <w:rFonts w:cs="Tahoma"/>
                <w:szCs w:val="18"/>
              </w:rPr>
              <w:t>disease</w:t>
            </w:r>
          </w:p>
        </w:tc>
        <w:tc>
          <w:tcPr>
            <w:tcW w:w="0" w:type="auto"/>
          </w:tcPr>
          <w:p w:rsidR="001D0FDA" w:rsidRDefault="001D0FDA" w:rsidP="001D0FDA">
            <w:pPr>
              <w:pStyle w:val="Tabletext"/>
              <w:rPr>
                <w:rFonts w:cs="Tahoma"/>
                <w:szCs w:val="18"/>
              </w:rPr>
            </w:pPr>
            <w:r>
              <w:rPr>
                <w:rFonts w:cs="Tahoma"/>
                <w:szCs w:val="18"/>
              </w:rPr>
              <w:t xml:space="preserve">N=28 </w:t>
            </w:r>
          </w:p>
          <w:p w:rsidR="001D0FDA" w:rsidRDefault="001D0FDA" w:rsidP="001D0FDA">
            <w:pPr>
              <w:pStyle w:val="Tabletext"/>
              <w:rPr>
                <w:rFonts w:cs="Tahoma"/>
                <w:szCs w:val="18"/>
              </w:rPr>
            </w:pPr>
            <w:r>
              <w:rPr>
                <w:rFonts w:cs="Tahoma"/>
                <w:szCs w:val="18"/>
              </w:rPr>
              <w:t>Age</w:t>
            </w:r>
            <w:r w:rsidRPr="00351FF5">
              <w:rPr>
                <w:rFonts w:cs="Tahoma"/>
                <w:szCs w:val="18"/>
              </w:rPr>
              <w:t>, mean±SD (yrs)</w:t>
            </w:r>
            <w:r>
              <w:rPr>
                <w:rFonts w:cs="Tahoma"/>
                <w:szCs w:val="18"/>
              </w:rPr>
              <w:t>: 53±15</w:t>
            </w:r>
          </w:p>
          <w:p w:rsidR="001D0FDA" w:rsidRDefault="001D0FDA" w:rsidP="001D0FDA">
            <w:pPr>
              <w:pStyle w:val="Tabletext"/>
              <w:rPr>
                <w:rFonts w:cs="Tahoma"/>
                <w:szCs w:val="18"/>
              </w:rPr>
            </w:pPr>
            <w:r w:rsidRPr="00351FF5">
              <w:rPr>
                <w:rFonts w:cs="Tahoma"/>
                <w:szCs w:val="18"/>
              </w:rPr>
              <w:t>Gender, femal</w:t>
            </w:r>
            <w:r>
              <w:rPr>
                <w:rFonts w:cs="Tahoma"/>
                <w:szCs w:val="18"/>
              </w:rPr>
              <w:t>e</w:t>
            </w:r>
            <w:r w:rsidRPr="00351FF5">
              <w:rPr>
                <w:rFonts w:cs="Tahoma"/>
                <w:szCs w:val="18"/>
              </w:rPr>
              <w:t>, n (%)</w:t>
            </w:r>
            <w:r>
              <w:rPr>
                <w:rFonts w:cs="Tahoma"/>
                <w:szCs w:val="18"/>
              </w:rPr>
              <w:t>: 16 (80%)</w:t>
            </w:r>
          </w:p>
          <w:p w:rsidR="001D0FDA" w:rsidRPr="00846938" w:rsidRDefault="001D0FDA" w:rsidP="001D0FDA">
            <w:pPr>
              <w:pStyle w:val="Tabletext"/>
              <w:rPr>
                <w:rFonts w:cs="Tahoma"/>
                <w:szCs w:val="18"/>
              </w:rPr>
            </w:pPr>
            <w:r w:rsidRPr="00846938">
              <w:rPr>
                <w:rFonts w:cs="Tahoma"/>
                <w:szCs w:val="18"/>
              </w:rPr>
              <w:t>P</w:t>
            </w:r>
            <w:r>
              <w:rPr>
                <w:rFonts w:cs="Tahoma"/>
                <w:szCs w:val="18"/>
              </w:rPr>
              <w:t>A</w:t>
            </w:r>
            <w:r w:rsidRPr="00846938">
              <w:rPr>
                <w:rFonts w:cs="Tahoma"/>
                <w:szCs w:val="18"/>
              </w:rPr>
              <w:t>H aetiology, n (%)</w:t>
            </w:r>
          </w:p>
          <w:p w:rsidR="001D0FDA" w:rsidRDefault="001D0FDA" w:rsidP="001D0FDA">
            <w:pPr>
              <w:pStyle w:val="Tabletext"/>
              <w:ind w:left="263"/>
              <w:rPr>
                <w:rFonts w:cs="Tahoma"/>
                <w:szCs w:val="18"/>
              </w:rPr>
            </w:pPr>
            <w:r>
              <w:rPr>
                <w:rFonts w:cs="Tahoma"/>
                <w:szCs w:val="18"/>
              </w:rPr>
              <w:t>PAH-CHD: 28 (100%)</w:t>
            </w:r>
          </w:p>
          <w:p w:rsidR="001D0FDA" w:rsidRPr="00846938" w:rsidRDefault="001D0FDA" w:rsidP="001D0FDA">
            <w:pPr>
              <w:pStyle w:val="Tabletext"/>
              <w:rPr>
                <w:rFonts w:cs="Tahoma"/>
                <w:szCs w:val="18"/>
              </w:rPr>
            </w:pPr>
            <w:r w:rsidRPr="00846938">
              <w:rPr>
                <w:rFonts w:cs="Tahoma"/>
                <w:szCs w:val="18"/>
              </w:rPr>
              <w:t>WHO FC, n (%)</w:t>
            </w:r>
          </w:p>
          <w:p w:rsidR="001D0FDA" w:rsidRPr="00846938" w:rsidRDefault="001D0FDA" w:rsidP="001D0FDA">
            <w:pPr>
              <w:pStyle w:val="Tabletext"/>
              <w:ind w:left="263"/>
              <w:rPr>
                <w:rFonts w:cs="Tahoma"/>
                <w:szCs w:val="18"/>
              </w:rPr>
            </w:pPr>
            <w:r>
              <w:rPr>
                <w:rFonts w:cs="Tahoma"/>
                <w:szCs w:val="18"/>
              </w:rPr>
              <w:t>II: 22 (79%)</w:t>
            </w:r>
          </w:p>
          <w:p w:rsidR="001D0FDA" w:rsidRDefault="001D0FDA" w:rsidP="001D0FDA">
            <w:pPr>
              <w:pStyle w:val="Tabletext"/>
              <w:ind w:left="263"/>
              <w:rPr>
                <w:rFonts w:cs="Tahoma"/>
                <w:szCs w:val="18"/>
              </w:rPr>
            </w:pPr>
            <w:r>
              <w:rPr>
                <w:rFonts w:cs="Tahoma"/>
                <w:szCs w:val="18"/>
              </w:rPr>
              <w:t>III: 6 (21%)</w:t>
            </w:r>
          </w:p>
          <w:p w:rsidR="001D0FDA" w:rsidRDefault="001D0FDA" w:rsidP="001D0FDA">
            <w:pPr>
              <w:pStyle w:val="Tabletext"/>
              <w:rPr>
                <w:rFonts w:cs="Tahoma"/>
                <w:szCs w:val="18"/>
              </w:rPr>
            </w:pPr>
            <w:r w:rsidRPr="00846938">
              <w:rPr>
                <w:rFonts w:cs="Tahoma"/>
                <w:szCs w:val="18"/>
              </w:rPr>
              <w:t>mPAP</w:t>
            </w:r>
            <w:r w:rsidRPr="00351FF5">
              <w:rPr>
                <w:rFonts w:cs="Tahoma"/>
                <w:szCs w:val="18"/>
              </w:rPr>
              <w:t xml:space="preserve">, mean±SD </w:t>
            </w:r>
            <w:r w:rsidRPr="00846938">
              <w:rPr>
                <w:rFonts w:cs="Tahoma"/>
                <w:szCs w:val="18"/>
              </w:rPr>
              <w:t>(mmHg)</w:t>
            </w:r>
            <w:r>
              <w:rPr>
                <w:rFonts w:cs="Tahoma"/>
                <w:szCs w:val="18"/>
              </w:rPr>
              <w:t>: 75</w:t>
            </w:r>
            <w:r w:rsidRPr="00BE12BA">
              <w:rPr>
                <w:rFonts w:cs="Tahoma"/>
                <w:szCs w:val="18"/>
              </w:rPr>
              <w:t>±</w:t>
            </w:r>
            <w:r>
              <w:rPr>
                <w:rFonts w:cs="Tahoma"/>
                <w:szCs w:val="18"/>
              </w:rPr>
              <w:t>17</w:t>
            </w:r>
          </w:p>
          <w:p w:rsidR="001D0FDA" w:rsidRDefault="001D0FDA" w:rsidP="001D0FDA">
            <w:pPr>
              <w:pStyle w:val="Tabletext"/>
              <w:rPr>
                <w:rFonts w:cs="Tahoma"/>
                <w:szCs w:val="18"/>
              </w:rPr>
            </w:pPr>
            <w:r>
              <w:rPr>
                <w:rFonts w:cs="Tahoma"/>
                <w:szCs w:val="18"/>
              </w:rPr>
              <w:t>PVR</w:t>
            </w:r>
            <w:r w:rsidRPr="00351FF5">
              <w:rPr>
                <w:rFonts w:cs="Tahoma"/>
                <w:szCs w:val="18"/>
              </w:rPr>
              <w:t>, mean±SD (</w:t>
            </w:r>
            <w:r>
              <w:rPr>
                <w:rFonts w:cs="Tahoma"/>
                <w:szCs w:val="18"/>
              </w:rPr>
              <w:t>Wood units</w:t>
            </w:r>
            <w:r w:rsidRPr="00351FF5">
              <w:rPr>
                <w:rFonts w:cs="Tahoma"/>
                <w:szCs w:val="18"/>
              </w:rPr>
              <w:t>)</w:t>
            </w:r>
            <w:r>
              <w:rPr>
                <w:rFonts w:cs="Tahoma"/>
                <w:szCs w:val="18"/>
              </w:rPr>
              <w:t>: 33.8</w:t>
            </w:r>
            <w:r w:rsidRPr="00BE12BA">
              <w:rPr>
                <w:rFonts w:cs="Tahoma"/>
                <w:szCs w:val="18"/>
              </w:rPr>
              <w:t>±</w:t>
            </w:r>
            <w:r>
              <w:rPr>
                <w:rFonts w:cs="Tahoma"/>
                <w:szCs w:val="18"/>
              </w:rPr>
              <w:t>12.2</w:t>
            </w:r>
          </w:p>
          <w:p w:rsidR="001D0FDA" w:rsidRDefault="001D0FDA" w:rsidP="001D0FDA">
            <w:pPr>
              <w:pStyle w:val="Tabletext"/>
              <w:rPr>
                <w:szCs w:val="18"/>
              </w:rPr>
            </w:pPr>
            <w:r w:rsidRPr="00B36D2B">
              <w:rPr>
                <w:rFonts w:cs="Tahoma"/>
                <w:szCs w:val="18"/>
              </w:rPr>
              <w:t xml:space="preserve">Data on the patient characteristics for </w:t>
            </w:r>
            <w:r>
              <w:rPr>
                <w:rFonts w:cs="Tahoma"/>
                <w:szCs w:val="18"/>
              </w:rPr>
              <w:t xml:space="preserve">the two treatment arms </w:t>
            </w:r>
            <w:r w:rsidRPr="00B36D2B">
              <w:rPr>
                <w:rFonts w:cs="Tahoma"/>
                <w:szCs w:val="18"/>
              </w:rPr>
              <w:t>were not available.</w:t>
            </w:r>
          </w:p>
        </w:tc>
        <w:tc>
          <w:tcPr>
            <w:tcW w:w="811" w:type="pct"/>
          </w:tcPr>
          <w:p w:rsidR="001D0FDA" w:rsidRPr="00B14F10" w:rsidRDefault="001D0FDA" w:rsidP="001D0FDA">
            <w:pPr>
              <w:pStyle w:val="Tabletext"/>
              <w:rPr>
                <w:i/>
              </w:rPr>
            </w:pPr>
            <w:r w:rsidRPr="00B14F10">
              <w:rPr>
                <w:i/>
              </w:rPr>
              <w:t>Intervention</w:t>
            </w:r>
          </w:p>
          <w:p w:rsidR="001D0FDA" w:rsidRPr="00B14F10" w:rsidRDefault="001D0FDA" w:rsidP="001D0FDA">
            <w:pPr>
              <w:pStyle w:val="Tabletext"/>
            </w:pPr>
            <w:r>
              <w:t>Tadalafil 40</w:t>
            </w:r>
            <w:r w:rsidRPr="00B14F10">
              <w:t>mg for 6 weeks followed by crossover to placebo after a washout period of 2 weeks</w:t>
            </w:r>
          </w:p>
          <w:p w:rsidR="001D0FDA" w:rsidRDefault="001D0FDA" w:rsidP="001D0FDA">
            <w:pPr>
              <w:pStyle w:val="Tabletext"/>
              <w:rPr>
                <w:i/>
              </w:rPr>
            </w:pPr>
          </w:p>
          <w:p w:rsidR="001D0FDA" w:rsidRPr="00B14F10" w:rsidRDefault="001D0FDA" w:rsidP="001D0FDA">
            <w:pPr>
              <w:pStyle w:val="Tabletext"/>
              <w:rPr>
                <w:i/>
              </w:rPr>
            </w:pPr>
            <w:r w:rsidRPr="00B14F10">
              <w:rPr>
                <w:i/>
              </w:rPr>
              <w:t>Comparator</w:t>
            </w:r>
          </w:p>
          <w:p w:rsidR="001D0FDA" w:rsidRPr="00B14F10" w:rsidRDefault="001D0FDA" w:rsidP="001D0FDA">
            <w:pPr>
              <w:pStyle w:val="Tabletext"/>
            </w:pPr>
            <w:r>
              <w:t>P</w:t>
            </w:r>
            <w:r w:rsidRPr="00B14F10">
              <w:t xml:space="preserve">lacebo for 6 weeks followed by crossover to </w:t>
            </w:r>
            <w:r>
              <w:t>tadalafil 40</w:t>
            </w:r>
            <w:r w:rsidRPr="00B14F10">
              <w:t>mg after a washout period of 2 weeks</w:t>
            </w:r>
          </w:p>
        </w:tc>
        <w:tc>
          <w:tcPr>
            <w:tcW w:w="771" w:type="pct"/>
          </w:tcPr>
          <w:p w:rsidR="001D0FDA" w:rsidRDefault="001D0FDA" w:rsidP="001D0FDA">
            <w:pPr>
              <w:pStyle w:val="Tabletext"/>
              <w:rPr>
                <w:rFonts w:cs="Tahoma"/>
                <w:i/>
                <w:szCs w:val="18"/>
              </w:rPr>
            </w:pPr>
            <w:r>
              <w:rPr>
                <w:rFonts w:cs="Tahoma"/>
                <w:i/>
                <w:szCs w:val="18"/>
              </w:rPr>
              <w:t>Effectiveness</w:t>
            </w:r>
          </w:p>
          <w:p w:rsidR="001D0FDA" w:rsidRDefault="001D0FDA" w:rsidP="001D0FDA">
            <w:pPr>
              <w:pStyle w:val="Tabletext"/>
              <w:rPr>
                <w:rFonts w:cs="Tahoma"/>
                <w:szCs w:val="18"/>
              </w:rPr>
            </w:pPr>
            <w:r>
              <w:rPr>
                <w:rFonts w:cs="Tahoma"/>
                <w:szCs w:val="18"/>
              </w:rPr>
              <w:t xml:space="preserve">Primary: </w:t>
            </w:r>
          </w:p>
          <w:p w:rsidR="001D0FDA" w:rsidRDefault="001D0FDA" w:rsidP="00480FDF">
            <w:pPr>
              <w:pStyle w:val="Tabletext"/>
              <w:numPr>
                <w:ilvl w:val="0"/>
                <w:numId w:val="54"/>
              </w:numPr>
              <w:ind w:left="239" w:hanging="144"/>
              <w:rPr>
                <w:rFonts w:cs="Tahoma"/>
                <w:szCs w:val="18"/>
              </w:rPr>
            </w:pPr>
            <w:r>
              <w:rPr>
                <w:rFonts w:cs="Tahoma"/>
                <w:szCs w:val="18"/>
              </w:rPr>
              <w:t>Change in 6MWD 6 weeks after treatment</w:t>
            </w:r>
          </w:p>
          <w:p w:rsidR="001D0FDA" w:rsidRDefault="001D0FDA" w:rsidP="001D0FDA">
            <w:pPr>
              <w:pStyle w:val="Tabletext"/>
              <w:rPr>
                <w:rFonts w:cs="Tahoma"/>
                <w:szCs w:val="18"/>
              </w:rPr>
            </w:pPr>
            <w:r>
              <w:rPr>
                <w:rFonts w:cs="Tahoma"/>
                <w:szCs w:val="18"/>
              </w:rPr>
              <w:t>Secondary:</w:t>
            </w:r>
          </w:p>
          <w:p w:rsidR="001D0FDA" w:rsidRDefault="001D0FDA" w:rsidP="00480FDF">
            <w:pPr>
              <w:pStyle w:val="Tabletext"/>
              <w:numPr>
                <w:ilvl w:val="0"/>
                <w:numId w:val="54"/>
              </w:numPr>
              <w:ind w:left="239" w:hanging="144"/>
              <w:rPr>
                <w:rFonts w:cs="Tahoma"/>
                <w:szCs w:val="18"/>
              </w:rPr>
            </w:pPr>
            <w:r>
              <w:rPr>
                <w:rFonts w:cs="Tahoma"/>
                <w:szCs w:val="18"/>
              </w:rPr>
              <w:t>Change in WHO FC</w:t>
            </w:r>
            <w:r w:rsidRPr="00B14F10">
              <w:rPr>
                <w:rFonts w:cs="Tahoma"/>
                <w:szCs w:val="18"/>
                <w:vertAlign w:val="superscript"/>
              </w:rPr>
              <w:t>c</w:t>
            </w:r>
          </w:p>
          <w:p w:rsidR="001D0FDA" w:rsidRPr="00B14F10" w:rsidRDefault="001D0FDA" w:rsidP="00480FDF">
            <w:pPr>
              <w:pStyle w:val="Tabletext"/>
              <w:numPr>
                <w:ilvl w:val="0"/>
                <w:numId w:val="54"/>
              </w:numPr>
              <w:ind w:left="239" w:hanging="144"/>
              <w:rPr>
                <w:rFonts w:cs="Tahoma"/>
                <w:i/>
                <w:szCs w:val="18"/>
              </w:rPr>
            </w:pPr>
            <w:r>
              <w:rPr>
                <w:rFonts w:cs="Tahoma"/>
                <w:szCs w:val="18"/>
              </w:rPr>
              <w:t xml:space="preserve">Change in </w:t>
            </w:r>
            <w:r w:rsidRPr="00B14F10">
              <w:rPr>
                <w:rFonts w:cs="Tahoma"/>
                <w:szCs w:val="18"/>
              </w:rPr>
              <w:t>PVR</w:t>
            </w:r>
          </w:p>
          <w:p w:rsidR="001D0FDA" w:rsidRDefault="001D0FDA" w:rsidP="001D0FDA">
            <w:pPr>
              <w:pStyle w:val="Tabletext"/>
              <w:rPr>
                <w:rFonts w:cs="Tahoma"/>
                <w:szCs w:val="18"/>
              </w:rPr>
            </w:pPr>
          </w:p>
          <w:p w:rsidR="001D0FDA" w:rsidRPr="00351FF5" w:rsidRDefault="001D0FDA" w:rsidP="001D0FDA">
            <w:pPr>
              <w:pStyle w:val="Tabletext"/>
              <w:rPr>
                <w:rFonts w:cs="Tahoma"/>
                <w:szCs w:val="18"/>
              </w:rPr>
            </w:pPr>
            <w:r w:rsidRPr="00351FF5">
              <w:rPr>
                <w:rFonts w:cs="Tahoma"/>
                <w:i/>
                <w:szCs w:val="18"/>
              </w:rPr>
              <w:t>Safety</w:t>
            </w:r>
            <w:r w:rsidRPr="00351FF5">
              <w:rPr>
                <w:rFonts w:cs="Tahoma"/>
                <w:szCs w:val="18"/>
              </w:rPr>
              <w:t xml:space="preserve">: </w:t>
            </w:r>
          </w:p>
          <w:p w:rsidR="001D0FDA" w:rsidRDefault="001D0FDA" w:rsidP="00480FDF">
            <w:pPr>
              <w:pStyle w:val="Tabletext"/>
              <w:numPr>
                <w:ilvl w:val="0"/>
                <w:numId w:val="54"/>
              </w:numPr>
              <w:ind w:left="239" w:hanging="144"/>
              <w:rPr>
                <w:rFonts w:cs="Tahoma"/>
                <w:i/>
                <w:szCs w:val="18"/>
              </w:rPr>
            </w:pPr>
            <w:r>
              <w:rPr>
                <w:rFonts w:cs="Tahoma"/>
                <w:szCs w:val="18"/>
              </w:rPr>
              <w:t>A</w:t>
            </w:r>
            <w:r w:rsidRPr="00351FF5">
              <w:rPr>
                <w:rFonts w:cs="Tahoma"/>
                <w:szCs w:val="18"/>
              </w:rPr>
              <w:t>dverse events</w:t>
            </w:r>
            <w:r w:rsidRPr="00B14F10">
              <w:rPr>
                <w:rFonts w:cs="Tahoma"/>
                <w:szCs w:val="18"/>
                <w:vertAlign w:val="superscript"/>
              </w:rPr>
              <w:t>c</w:t>
            </w:r>
          </w:p>
        </w:tc>
      </w:tr>
      <w:tr w:rsidR="001D0FDA" w:rsidRPr="00204000" w:rsidTr="001D0FDA">
        <w:tc>
          <w:tcPr>
            <w:tcW w:w="531"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lastRenderedPageBreak/>
              <w:t>PACES-1</w:t>
            </w:r>
            <w:r w:rsidR="001D34EE" w:rsidRPr="001A1C44">
              <w:rPr>
                <w:rFonts w:eastAsia="Times New Roman"/>
                <w:noProof/>
                <w:vertAlign w:val="superscript"/>
                <w:lang w:eastAsia="en-US"/>
              </w:rPr>
              <w:t>41</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2003-2006</w:t>
            </w:r>
          </w:p>
          <w:p w:rsidR="001D0FDA" w:rsidRDefault="001D0FDA" w:rsidP="001D0FDA">
            <w:pPr>
              <w:pStyle w:val="Tabletext"/>
              <w:rPr>
                <w:rFonts w:cs="Tahoma"/>
                <w:szCs w:val="18"/>
              </w:rPr>
            </w:pPr>
            <w:r w:rsidRPr="00D53F84">
              <w:rPr>
                <w:rFonts w:eastAsia="Times New Roman"/>
                <w:snapToGrid w:val="0"/>
                <w:lang w:eastAsia="en-US"/>
              </w:rPr>
              <w:t>US, Canada, Europe, Israel</w:t>
            </w:r>
          </w:p>
        </w:tc>
        <w:tc>
          <w:tcPr>
            <w:tcW w:w="476"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RCT, DB</w:t>
            </w:r>
          </w:p>
          <w:p w:rsidR="001D0FDA" w:rsidRPr="00351FF5" w:rsidRDefault="001D0FDA" w:rsidP="001D0FDA">
            <w:pPr>
              <w:pStyle w:val="Tabletext"/>
              <w:rPr>
                <w:rFonts w:cs="Tahoma"/>
                <w:szCs w:val="18"/>
              </w:rPr>
            </w:pPr>
            <w:r w:rsidRPr="00351FF5">
              <w:rPr>
                <w:rFonts w:cs="Tahoma"/>
                <w:szCs w:val="18"/>
              </w:rPr>
              <w:t>Level II evidence</w:t>
            </w:r>
          </w:p>
          <w:p w:rsidR="001D0FDA" w:rsidRPr="00D53F84" w:rsidRDefault="001D0FDA" w:rsidP="001D0FDA">
            <w:pPr>
              <w:pStyle w:val="Tabletext"/>
              <w:ind w:right="-28"/>
              <w:rPr>
                <w:rFonts w:eastAsia="Times New Roman"/>
                <w:snapToGrid w:val="0"/>
                <w:lang w:eastAsia="en-US"/>
              </w:rPr>
            </w:pPr>
            <w:r>
              <w:rPr>
                <w:rFonts w:cs="Tahoma"/>
                <w:szCs w:val="18"/>
              </w:rPr>
              <w:t xml:space="preserve">Follow-up: </w:t>
            </w:r>
            <w:r w:rsidRPr="00D53F84">
              <w:rPr>
                <w:rFonts w:eastAsia="Times New Roman"/>
                <w:snapToGrid w:val="0"/>
                <w:lang w:eastAsia="en-US"/>
              </w:rPr>
              <w:t>16 weeks</w:t>
            </w:r>
          </w:p>
          <w:p w:rsidR="001D0FDA" w:rsidRPr="00D53F84" w:rsidRDefault="001D0FDA" w:rsidP="001D0FDA">
            <w:pPr>
              <w:pStyle w:val="Tabletext"/>
              <w:ind w:right="-28"/>
              <w:rPr>
                <w:rFonts w:eastAsia="Times New Roman"/>
                <w:lang w:eastAsia="en-US"/>
              </w:rPr>
            </w:pPr>
            <w:r>
              <w:rPr>
                <w:rFonts w:eastAsia="Times New Roman"/>
                <w:snapToGrid w:val="0"/>
                <w:lang w:eastAsia="en-US"/>
              </w:rPr>
              <w:t>Risk of bias: l</w:t>
            </w:r>
            <w:r w:rsidRPr="00D53F84">
              <w:rPr>
                <w:rFonts w:eastAsia="Times New Roman"/>
                <w:snapToGrid w:val="0"/>
                <w:lang w:eastAsia="en-US"/>
              </w:rPr>
              <w:t>ow</w:t>
            </w:r>
          </w:p>
        </w:tc>
        <w:tc>
          <w:tcPr>
            <w:tcW w:w="772" w:type="pct"/>
          </w:tcPr>
          <w:p w:rsidR="001D0FDA" w:rsidRDefault="001D0FDA" w:rsidP="001D0FDA">
            <w:pPr>
              <w:pStyle w:val="Tabletext"/>
              <w:rPr>
                <w:rFonts w:cs="Tahoma"/>
                <w:i/>
                <w:szCs w:val="18"/>
              </w:rPr>
            </w:pPr>
            <w:r w:rsidRPr="00B14F10">
              <w:rPr>
                <w:rFonts w:cs="Tahoma"/>
                <w:i/>
                <w:szCs w:val="18"/>
              </w:rPr>
              <w:t>Inclusion criteria</w:t>
            </w:r>
          </w:p>
          <w:p w:rsidR="001D0FDA" w:rsidRDefault="001D0FDA" w:rsidP="00480FDF">
            <w:pPr>
              <w:pStyle w:val="Tabletext"/>
              <w:numPr>
                <w:ilvl w:val="0"/>
                <w:numId w:val="54"/>
              </w:numPr>
              <w:ind w:left="239" w:hanging="144"/>
              <w:rPr>
                <w:rFonts w:cs="Tahoma"/>
                <w:szCs w:val="18"/>
              </w:rPr>
            </w:pPr>
            <w:r>
              <w:rPr>
                <w:rFonts w:cs="Tahoma"/>
                <w:szCs w:val="18"/>
              </w:rPr>
              <w:t>Age of ≥</w:t>
            </w:r>
            <w:r w:rsidRPr="00B14F10">
              <w:rPr>
                <w:rFonts w:cs="Tahoma"/>
                <w:szCs w:val="18"/>
              </w:rPr>
              <w:t xml:space="preserve">16 years </w:t>
            </w:r>
          </w:p>
          <w:p w:rsidR="001D0FDA" w:rsidRDefault="001D0FDA" w:rsidP="00480FDF">
            <w:pPr>
              <w:pStyle w:val="Tabletext"/>
              <w:numPr>
                <w:ilvl w:val="0"/>
                <w:numId w:val="54"/>
              </w:numPr>
              <w:ind w:left="239" w:hanging="144"/>
              <w:rPr>
                <w:rFonts w:cs="Tahoma"/>
                <w:szCs w:val="18"/>
              </w:rPr>
            </w:pPr>
            <w:r>
              <w:rPr>
                <w:rFonts w:cs="Tahoma"/>
                <w:szCs w:val="18"/>
              </w:rPr>
              <w:t>Patients with IPAH, PAH-DT</w:t>
            </w:r>
            <w:r w:rsidRPr="00B14F10">
              <w:rPr>
                <w:rFonts w:cs="Tahoma"/>
                <w:szCs w:val="18"/>
              </w:rPr>
              <w:t xml:space="preserve">, PAH-CTD or PAH-CHD </w:t>
            </w:r>
          </w:p>
          <w:p w:rsidR="001D0FDA" w:rsidRPr="00B14F10" w:rsidRDefault="001D0FDA" w:rsidP="00480FDF">
            <w:pPr>
              <w:pStyle w:val="Tabletext"/>
              <w:numPr>
                <w:ilvl w:val="0"/>
                <w:numId w:val="54"/>
              </w:numPr>
              <w:ind w:left="239" w:hanging="144"/>
              <w:rPr>
                <w:rFonts w:cs="Tahoma"/>
                <w:szCs w:val="18"/>
              </w:rPr>
            </w:pPr>
            <w:r w:rsidRPr="00B14F10">
              <w:rPr>
                <w:rFonts w:cs="Tahoma"/>
                <w:szCs w:val="18"/>
              </w:rPr>
              <w:t xml:space="preserve">Patients </w:t>
            </w:r>
            <w:r>
              <w:rPr>
                <w:rFonts w:cs="Tahoma"/>
                <w:szCs w:val="18"/>
              </w:rPr>
              <w:t>who had</w:t>
            </w:r>
            <w:r w:rsidRPr="00B14F10">
              <w:rPr>
                <w:rFonts w:cs="Tahoma"/>
                <w:szCs w:val="18"/>
              </w:rPr>
              <w:t xml:space="preserve"> received epoprostenol for </w:t>
            </w:r>
            <w:r>
              <w:rPr>
                <w:rFonts w:cs="Tahoma"/>
                <w:szCs w:val="18"/>
              </w:rPr>
              <w:t>≥</w:t>
            </w:r>
            <w:r w:rsidRPr="00B14F10">
              <w:rPr>
                <w:rFonts w:cs="Tahoma"/>
                <w:szCs w:val="18"/>
              </w:rPr>
              <w:t xml:space="preserve">3 months, received the “optimal” dose with no change for </w:t>
            </w:r>
            <w:r>
              <w:rPr>
                <w:rFonts w:cs="Tahoma"/>
                <w:szCs w:val="18"/>
              </w:rPr>
              <w:t>≥</w:t>
            </w:r>
            <w:r w:rsidRPr="00B14F10">
              <w:rPr>
                <w:rFonts w:cs="Tahoma"/>
                <w:szCs w:val="18"/>
              </w:rPr>
              <w:t>4 weeks, and been stable for right heart catheteri</w:t>
            </w:r>
            <w:r>
              <w:rPr>
                <w:rFonts w:cs="Tahoma"/>
                <w:szCs w:val="18"/>
              </w:rPr>
              <w:t>sation</w:t>
            </w:r>
          </w:p>
          <w:p w:rsidR="001D0FDA" w:rsidRDefault="001D0FDA" w:rsidP="001D0FDA">
            <w:pPr>
              <w:pStyle w:val="Tabletext"/>
              <w:rPr>
                <w:rFonts w:cs="Tahoma"/>
                <w:i/>
                <w:szCs w:val="18"/>
              </w:rPr>
            </w:pPr>
            <w:r>
              <w:rPr>
                <w:rFonts w:cs="Tahoma"/>
                <w:i/>
                <w:szCs w:val="18"/>
              </w:rPr>
              <w:t>Exclusion criteria</w:t>
            </w:r>
          </w:p>
          <w:p w:rsidR="001D0FDA" w:rsidRDefault="001D0FDA" w:rsidP="00480FDF">
            <w:pPr>
              <w:pStyle w:val="Tabletext"/>
              <w:numPr>
                <w:ilvl w:val="0"/>
                <w:numId w:val="54"/>
              </w:numPr>
              <w:ind w:left="239" w:hanging="144"/>
              <w:rPr>
                <w:rFonts w:cs="Tahoma"/>
                <w:szCs w:val="18"/>
              </w:rPr>
            </w:pPr>
            <w:r w:rsidRPr="00B14F10">
              <w:rPr>
                <w:rFonts w:cs="Tahoma"/>
                <w:szCs w:val="18"/>
              </w:rPr>
              <w:t>Patients who had a change in epoprostenol dose within 4 weeks before receiving the randomly assigned drug</w:t>
            </w:r>
          </w:p>
          <w:p w:rsidR="001D0FDA" w:rsidRDefault="001D0FDA" w:rsidP="00480FDF">
            <w:pPr>
              <w:pStyle w:val="Tabletext"/>
              <w:numPr>
                <w:ilvl w:val="0"/>
                <w:numId w:val="54"/>
              </w:numPr>
              <w:ind w:left="239" w:hanging="144"/>
              <w:rPr>
                <w:rFonts w:cs="Tahoma"/>
                <w:szCs w:val="18"/>
              </w:rPr>
            </w:pPr>
            <w:r>
              <w:rPr>
                <w:rFonts w:cs="Tahoma"/>
                <w:szCs w:val="18"/>
              </w:rPr>
              <w:t xml:space="preserve">Patients who were </w:t>
            </w:r>
            <w:r w:rsidRPr="00B14F10">
              <w:rPr>
                <w:rFonts w:cs="Tahoma"/>
                <w:szCs w:val="18"/>
              </w:rPr>
              <w:t>receiving bosentan, nitrates, or nitric oxide donor drugs</w:t>
            </w:r>
          </w:p>
          <w:p w:rsidR="002D2E0E" w:rsidRPr="002D2E0E" w:rsidRDefault="001D0FDA" w:rsidP="00B203E1">
            <w:pPr>
              <w:pStyle w:val="Tabletext"/>
              <w:numPr>
                <w:ilvl w:val="0"/>
                <w:numId w:val="54"/>
              </w:numPr>
              <w:ind w:left="239" w:hanging="144"/>
              <w:rPr>
                <w:rFonts w:cs="Tahoma"/>
                <w:i/>
                <w:szCs w:val="18"/>
              </w:rPr>
            </w:pPr>
            <w:r>
              <w:rPr>
                <w:rFonts w:cs="Tahoma"/>
                <w:szCs w:val="18"/>
              </w:rPr>
              <w:t>P</w:t>
            </w:r>
            <w:r w:rsidRPr="00B14F10">
              <w:rPr>
                <w:rFonts w:cs="Tahoma"/>
                <w:szCs w:val="18"/>
              </w:rPr>
              <w:t>atients with cardiovascular disease, retinopathy or chroni</w:t>
            </w:r>
            <w:r>
              <w:rPr>
                <w:rFonts w:cs="Tahoma"/>
                <w:szCs w:val="18"/>
              </w:rPr>
              <w:t xml:space="preserve">c </w:t>
            </w:r>
            <w:r w:rsidRPr="00B203E1">
              <w:rPr>
                <w:rFonts w:cs="Tahoma"/>
                <w:szCs w:val="18"/>
              </w:rPr>
              <w:t>obstructive pulmonary disease</w:t>
            </w:r>
          </w:p>
        </w:tc>
        <w:tc>
          <w:tcPr>
            <w:tcW w:w="0" w:type="auto"/>
          </w:tcPr>
          <w:p w:rsidR="001D0FDA" w:rsidRDefault="001D0FDA" w:rsidP="001D0FDA">
            <w:pPr>
              <w:pStyle w:val="Tabletext"/>
              <w:rPr>
                <w:rFonts w:cs="Tahoma"/>
                <w:szCs w:val="18"/>
              </w:rPr>
            </w:pPr>
            <w:r>
              <w:rPr>
                <w:rFonts w:cs="Tahoma"/>
                <w:szCs w:val="18"/>
              </w:rPr>
              <w:t>N=267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PACES-1"/>
            </w:tblPr>
            <w:tblGrid>
              <w:gridCol w:w="2101"/>
              <w:gridCol w:w="1001"/>
              <w:gridCol w:w="1134"/>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1D0FDA" w:rsidRPr="00351FF5" w:rsidRDefault="001D0FDA" w:rsidP="00B5196D">
                  <w:pPr>
                    <w:pStyle w:val="Tabletext"/>
                    <w:framePr w:hSpace="180" w:wrap="around" w:vAnchor="text" w:hAnchor="text" w:y="1"/>
                    <w:spacing w:before="0" w:after="0"/>
                    <w:rPr>
                      <w:rFonts w:cs="Tahoma"/>
                      <w:b/>
                      <w:szCs w:val="18"/>
                    </w:rPr>
                  </w:pPr>
                </w:p>
              </w:tc>
              <w:tc>
                <w:tcPr>
                  <w:tcW w:w="1001"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Pr>
                      <w:rFonts w:cs="Tahoma"/>
                      <w:szCs w:val="18"/>
                    </w:rPr>
                    <w:t>Sildenafil</w:t>
                  </w:r>
                </w:p>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(N=</w:t>
                  </w:r>
                  <w:r>
                    <w:rPr>
                      <w:rFonts w:cs="Tahoma"/>
                      <w:szCs w:val="18"/>
                    </w:rPr>
                    <w:t>134</w:t>
                  </w:r>
                  <w:r w:rsidRPr="00802B85">
                    <w:rPr>
                      <w:rFonts w:cs="Tahoma"/>
                      <w:szCs w:val="18"/>
                    </w:rPr>
                    <w:t>)</w:t>
                  </w:r>
                </w:p>
              </w:tc>
              <w:tc>
                <w:tcPr>
                  <w:tcW w:w="1134"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Placebo</w:t>
                  </w:r>
                </w:p>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(N=</w:t>
                  </w:r>
                  <w:r>
                    <w:rPr>
                      <w:rFonts w:cs="Tahoma"/>
                      <w:szCs w:val="18"/>
                    </w:rPr>
                    <w:t>133</w:t>
                  </w:r>
                  <w:r w:rsidRPr="00802B85">
                    <w:rPr>
                      <w:rFonts w:cs="Tahoma"/>
                      <w:szCs w:val="18"/>
                    </w:rPr>
                    <w:t>)</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 xml:space="preserve">Age, mean±SD (yrs) </w:t>
                  </w:r>
                </w:p>
              </w:tc>
              <w:tc>
                <w:tcPr>
                  <w:tcW w:w="1001" w:type="dxa"/>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48±13</w:t>
                  </w:r>
                </w:p>
              </w:tc>
              <w:tc>
                <w:tcPr>
                  <w:tcW w:w="1134" w:type="dxa"/>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4</w:t>
                  </w:r>
                  <w:r>
                    <w:rPr>
                      <w:rFonts w:cs="Tahoma"/>
                      <w:szCs w:val="18"/>
                    </w:rPr>
                    <w:t>8±13</w:t>
                  </w:r>
                </w:p>
              </w:tc>
            </w:tr>
            <w:tr w:rsidR="001D0FDA" w:rsidRPr="00351FF5" w:rsidTr="001D0FDA">
              <w:tc>
                <w:tcPr>
                  <w:tcW w:w="2101"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Gender, femal</w:t>
                  </w:r>
                  <w:r>
                    <w:rPr>
                      <w:rFonts w:cs="Tahoma"/>
                      <w:szCs w:val="18"/>
                    </w:rPr>
                    <w:t>e</w:t>
                  </w:r>
                  <w:r w:rsidRPr="00351FF5">
                    <w:rPr>
                      <w:rFonts w:cs="Tahoma"/>
                      <w:szCs w:val="18"/>
                    </w:rPr>
                    <w:t>, n (%)</w:t>
                  </w:r>
                </w:p>
              </w:tc>
              <w:tc>
                <w:tcPr>
                  <w:tcW w:w="1001"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110 (82%)</w:t>
                  </w:r>
                </w:p>
              </w:tc>
              <w:tc>
                <w:tcPr>
                  <w:tcW w:w="1134"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103 (77%)</w:t>
                  </w:r>
                </w:p>
              </w:tc>
            </w:tr>
            <w:tr w:rsidR="001D0FDA" w:rsidRPr="00351FF5" w:rsidTr="001D0FDA">
              <w:tc>
                <w:tcPr>
                  <w:tcW w:w="2101"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PAH aetiology, n (%)</w:t>
                  </w:r>
                </w:p>
              </w:tc>
              <w:tc>
                <w:tcPr>
                  <w:tcW w:w="1001"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c>
                <w:tcPr>
                  <w:tcW w:w="1134"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IPAH</w:t>
                  </w:r>
                </w:p>
              </w:tc>
              <w:tc>
                <w:tcPr>
                  <w:tcW w:w="1001"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107 (80%)</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105 (79%)</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PAH-CTD</w:t>
                  </w:r>
                </w:p>
              </w:tc>
              <w:tc>
                <w:tcPr>
                  <w:tcW w:w="1001"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27 (20%)</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28 (21%)</w:t>
                  </w:r>
                </w:p>
              </w:tc>
            </w:tr>
            <w:tr w:rsidR="001D0FDA" w:rsidRPr="00351FF5" w:rsidTr="001D0FDA">
              <w:tc>
                <w:tcPr>
                  <w:tcW w:w="2101"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WHO FC</w:t>
                  </w:r>
                  <w:r>
                    <w:rPr>
                      <w:rFonts w:cs="Tahoma"/>
                      <w:szCs w:val="18"/>
                    </w:rPr>
                    <w:t>, n (%)</w:t>
                  </w:r>
                </w:p>
              </w:tc>
              <w:tc>
                <w:tcPr>
                  <w:tcW w:w="1001"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c>
                <w:tcPr>
                  <w:tcW w:w="1134"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w:t>
                  </w:r>
                </w:p>
              </w:tc>
              <w:tc>
                <w:tcPr>
                  <w:tcW w:w="1001"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 (1%)</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2 (2%)</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II</w:t>
                  </w:r>
                </w:p>
              </w:tc>
              <w:tc>
                <w:tcPr>
                  <w:tcW w:w="1001"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34 (25%)</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34 (26%)</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III</w:t>
                  </w:r>
                </w:p>
              </w:tc>
              <w:tc>
                <w:tcPr>
                  <w:tcW w:w="1001"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88 (66%)</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87 (65%)</w:t>
                  </w:r>
                </w:p>
              </w:tc>
            </w:tr>
            <w:tr w:rsidR="001D0FDA" w:rsidRPr="00351FF5" w:rsidTr="001D0FDA">
              <w:tc>
                <w:tcPr>
                  <w:tcW w:w="2101" w:type="dxa"/>
                  <w:tcBorders>
                    <w:top w:val="nil"/>
                    <w:bottom w:val="nil"/>
                  </w:tcBorders>
                </w:tcPr>
                <w:p w:rsidR="001D0FDA" w:rsidRDefault="001D0FDA" w:rsidP="00B5196D">
                  <w:pPr>
                    <w:pStyle w:val="Tabletext"/>
                    <w:framePr w:hSpace="180" w:wrap="around" w:vAnchor="text" w:hAnchor="text" w:y="1"/>
                    <w:spacing w:before="0" w:after="0"/>
                    <w:ind w:left="196"/>
                    <w:rPr>
                      <w:rFonts w:cs="Tahoma"/>
                      <w:szCs w:val="18"/>
                    </w:rPr>
                  </w:pPr>
                  <w:r>
                    <w:rPr>
                      <w:rFonts w:cs="Tahoma"/>
                      <w:szCs w:val="18"/>
                    </w:rPr>
                    <w:t>IV</w:t>
                  </w:r>
                </w:p>
              </w:tc>
              <w:tc>
                <w:tcPr>
                  <w:tcW w:w="1001" w:type="dxa"/>
                  <w:tcBorders>
                    <w:top w:val="nil"/>
                    <w:bottom w:val="nil"/>
                  </w:tcBorders>
                </w:tcPr>
                <w:p w:rsidR="001D0FDA" w:rsidRDefault="001D0FDA" w:rsidP="00B5196D">
                  <w:pPr>
                    <w:pStyle w:val="Tabletext"/>
                    <w:framePr w:hSpace="180" w:wrap="around" w:vAnchor="text" w:hAnchor="text" w:y="1"/>
                    <w:spacing w:before="0" w:after="0"/>
                    <w:jc w:val="center"/>
                    <w:rPr>
                      <w:rFonts w:cs="Tahoma"/>
                      <w:szCs w:val="18"/>
                    </w:rPr>
                  </w:pPr>
                  <w:r>
                    <w:rPr>
                      <w:rFonts w:cs="Tahoma"/>
                      <w:szCs w:val="18"/>
                    </w:rPr>
                    <w:t>10 (7%)</w:t>
                  </w:r>
                </w:p>
              </w:tc>
              <w:tc>
                <w:tcPr>
                  <w:tcW w:w="1134" w:type="dxa"/>
                  <w:tcBorders>
                    <w:top w:val="nil"/>
                    <w:bottom w:val="nil"/>
                  </w:tcBorders>
                </w:tcPr>
                <w:p w:rsidR="001D0FDA" w:rsidRDefault="001D0FDA" w:rsidP="00B5196D">
                  <w:pPr>
                    <w:pStyle w:val="Tabletext"/>
                    <w:framePr w:hSpace="180" w:wrap="around" w:vAnchor="text" w:hAnchor="text" w:y="1"/>
                    <w:spacing w:before="0" w:after="0"/>
                    <w:jc w:val="center"/>
                    <w:rPr>
                      <w:rFonts w:cs="Tahoma"/>
                      <w:szCs w:val="18"/>
                    </w:rPr>
                  </w:pPr>
                  <w:r>
                    <w:rPr>
                      <w:rFonts w:cs="Tahoma"/>
                      <w:szCs w:val="18"/>
                    </w:rPr>
                    <w:t>6 (5%)</w:t>
                  </w:r>
                </w:p>
              </w:tc>
            </w:tr>
            <w:tr w:rsidR="001D0FDA" w:rsidRPr="00351FF5" w:rsidTr="001D0FDA">
              <w:tc>
                <w:tcPr>
                  <w:tcW w:w="2101" w:type="dxa"/>
                  <w:tcBorders>
                    <w:top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Missing</w:t>
                  </w:r>
                </w:p>
              </w:tc>
              <w:tc>
                <w:tcPr>
                  <w:tcW w:w="1001" w:type="dxa"/>
                  <w:tcBorders>
                    <w:top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 (1%)</w:t>
                  </w:r>
                </w:p>
              </w:tc>
              <w:tc>
                <w:tcPr>
                  <w:tcW w:w="1134" w:type="dxa"/>
                  <w:tcBorders>
                    <w:top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4 (3%)</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mPAP, mean±SD (mmHg)</w:t>
                  </w:r>
                </w:p>
              </w:tc>
              <w:tc>
                <w:tcPr>
                  <w:tcW w:w="1001"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52±11</w:t>
                  </w:r>
                </w:p>
              </w:tc>
              <w:tc>
                <w:tcPr>
                  <w:tcW w:w="1134"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51±13</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Pr>
                      <w:rFonts w:cs="Tahoma"/>
                      <w:szCs w:val="18"/>
                    </w:rPr>
                    <w:t>PVR, mean±SD (dyn*s*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001"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857±363</w:t>
                  </w:r>
                </w:p>
              </w:tc>
              <w:tc>
                <w:tcPr>
                  <w:tcW w:w="1134"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755±368</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Pr>
                      <w:rFonts w:cs="Tahoma"/>
                      <w:szCs w:val="18"/>
                    </w:rPr>
                    <w:t>Epoprostenol dose, median (range) (ng/kg/min)</w:t>
                  </w:r>
                </w:p>
              </w:tc>
              <w:tc>
                <w:tcPr>
                  <w:tcW w:w="1001" w:type="dxa"/>
                  <w:vAlign w:val="center"/>
                </w:tcPr>
                <w:p w:rsidR="001D0FDA" w:rsidRDefault="001D0FDA" w:rsidP="00B5196D">
                  <w:pPr>
                    <w:pStyle w:val="Tabletext"/>
                    <w:framePr w:hSpace="180" w:wrap="around" w:vAnchor="text" w:hAnchor="text" w:y="1"/>
                    <w:spacing w:before="0" w:after="0"/>
                    <w:jc w:val="center"/>
                    <w:rPr>
                      <w:rFonts w:cs="Tahoma"/>
                      <w:szCs w:val="18"/>
                    </w:rPr>
                  </w:pPr>
                  <w:r>
                    <w:rPr>
                      <w:rFonts w:cs="Tahoma"/>
                      <w:szCs w:val="18"/>
                    </w:rPr>
                    <w:t>28 (3-179)</w:t>
                  </w:r>
                </w:p>
              </w:tc>
              <w:tc>
                <w:tcPr>
                  <w:tcW w:w="1134" w:type="dxa"/>
                  <w:vAlign w:val="center"/>
                </w:tcPr>
                <w:p w:rsidR="001D0FDA" w:rsidRDefault="001D0FDA" w:rsidP="00B5196D">
                  <w:pPr>
                    <w:pStyle w:val="Tabletext"/>
                    <w:framePr w:hSpace="180" w:wrap="around" w:vAnchor="text" w:hAnchor="text" w:y="1"/>
                    <w:spacing w:before="0" w:after="0"/>
                    <w:jc w:val="center"/>
                    <w:rPr>
                      <w:rFonts w:cs="Tahoma"/>
                      <w:szCs w:val="18"/>
                    </w:rPr>
                  </w:pPr>
                  <w:r>
                    <w:rPr>
                      <w:rFonts w:cs="Tahoma"/>
                      <w:szCs w:val="18"/>
                    </w:rPr>
                    <w:t>29 (4-181)</w:t>
                  </w:r>
                </w:p>
              </w:tc>
            </w:tr>
          </w:tbl>
          <w:p w:rsidR="001D0FDA" w:rsidRDefault="001D0FDA" w:rsidP="001D0FDA">
            <w:pPr>
              <w:pStyle w:val="Tabletext"/>
              <w:rPr>
                <w:szCs w:val="18"/>
              </w:rPr>
            </w:pPr>
          </w:p>
        </w:tc>
        <w:tc>
          <w:tcPr>
            <w:tcW w:w="811" w:type="pct"/>
          </w:tcPr>
          <w:p w:rsidR="001D0FDA" w:rsidRDefault="001D0FDA" w:rsidP="001D0FDA">
            <w:pPr>
              <w:pStyle w:val="Tabletext"/>
              <w:rPr>
                <w:i/>
              </w:rPr>
            </w:pPr>
            <w:r>
              <w:rPr>
                <w:i/>
              </w:rPr>
              <w:t>Intervention</w:t>
            </w:r>
          </w:p>
          <w:p w:rsidR="001D0FDA" w:rsidRPr="00C80EBF" w:rsidRDefault="001D0FDA" w:rsidP="001D0FDA">
            <w:pPr>
              <w:pStyle w:val="Tabletext"/>
            </w:pPr>
            <w:r w:rsidRPr="00C80EBF">
              <w:t>Sildenafil</w:t>
            </w:r>
            <w:r>
              <w:t>: 20</w:t>
            </w:r>
            <w:r w:rsidRPr="00C80EBF">
              <w:t xml:space="preserve">mg </w:t>
            </w:r>
            <w:r>
              <w:t xml:space="preserve">tid for </w:t>
            </w:r>
            <w:r w:rsidRPr="00C80EBF">
              <w:t>4 weeks</w:t>
            </w:r>
            <w:r>
              <w:t>,</w:t>
            </w:r>
            <w:r w:rsidRPr="00C80EBF">
              <w:t xml:space="preserve"> then up-titrat</w:t>
            </w:r>
            <w:r>
              <w:t>ed</w:t>
            </w:r>
            <w:r w:rsidRPr="00C80EBF">
              <w:t xml:space="preserve"> to </w:t>
            </w:r>
            <w:r>
              <w:t>40</w:t>
            </w:r>
            <w:r w:rsidRPr="00C80EBF">
              <w:t xml:space="preserve">mg </w:t>
            </w:r>
            <w:r>
              <w:t>tid</w:t>
            </w:r>
            <w:r w:rsidRPr="00C80EBF">
              <w:t xml:space="preserve"> for a further 4 weeks</w:t>
            </w:r>
            <w:r>
              <w:t>, then</w:t>
            </w:r>
            <w:r w:rsidRPr="00C80EBF">
              <w:t xml:space="preserve"> up-titrat</w:t>
            </w:r>
            <w:r>
              <w:t>ed to 80</w:t>
            </w:r>
            <w:r w:rsidRPr="00C80EBF">
              <w:t>mg</w:t>
            </w:r>
            <w:r>
              <w:t xml:space="preserve"> tid for </w:t>
            </w:r>
            <w:r w:rsidRPr="00C80EBF">
              <w:t>the last 8 weeks.</w:t>
            </w:r>
          </w:p>
          <w:p w:rsidR="001D0FDA" w:rsidRDefault="001D0FDA" w:rsidP="001D0FDA">
            <w:pPr>
              <w:pStyle w:val="Tabletext"/>
              <w:rPr>
                <w:i/>
              </w:rPr>
            </w:pPr>
          </w:p>
          <w:p w:rsidR="001D0FDA" w:rsidRDefault="001D0FDA" w:rsidP="001D0FDA">
            <w:pPr>
              <w:pStyle w:val="Tabletext"/>
              <w:rPr>
                <w:i/>
              </w:rPr>
            </w:pPr>
            <w:r>
              <w:rPr>
                <w:i/>
              </w:rPr>
              <w:t>Comparator</w:t>
            </w:r>
          </w:p>
          <w:p w:rsidR="001D0FDA" w:rsidRDefault="001D0FDA" w:rsidP="001D0FDA">
            <w:pPr>
              <w:pStyle w:val="Tabletext"/>
            </w:pPr>
            <w:r>
              <w:t xml:space="preserve">Placebo </w:t>
            </w:r>
          </w:p>
          <w:p w:rsidR="001D0FDA" w:rsidRPr="00C80EBF" w:rsidRDefault="001D0FDA" w:rsidP="001D0FDA">
            <w:pPr>
              <w:pStyle w:val="Tabletext"/>
            </w:pPr>
          </w:p>
          <w:p w:rsidR="001D0FDA" w:rsidRDefault="001D0FDA" w:rsidP="001D0FDA">
            <w:pPr>
              <w:pStyle w:val="Tabletext"/>
              <w:rPr>
                <w:i/>
              </w:rPr>
            </w:pPr>
            <w:r>
              <w:rPr>
                <w:i/>
              </w:rPr>
              <w:t>B</w:t>
            </w:r>
            <w:r w:rsidRPr="00C80EBF">
              <w:rPr>
                <w:i/>
              </w:rPr>
              <w:t xml:space="preserve">ackground </w:t>
            </w:r>
            <w:r>
              <w:rPr>
                <w:i/>
              </w:rPr>
              <w:t>therapy</w:t>
            </w:r>
          </w:p>
          <w:p w:rsidR="001D0FDA" w:rsidRPr="00C5431E" w:rsidRDefault="001D0FDA" w:rsidP="001D0FDA">
            <w:pPr>
              <w:pStyle w:val="Tabletext"/>
              <w:rPr>
                <w:i/>
              </w:rPr>
            </w:pPr>
            <w:r w:rsidRPr="00C80EBF">
              <w:t>Epoprostenol</w:t>
            </w:r>
            <w:r>
              <w:t xml:space="preserve"> (100%): 3-181ng/</w:t>
            </w:r>
            <w:r w:rsidRPr="00C80EBF">
              <w:t>kg</w:t>
            </w:r>
            <w:r>
              <w:t>/min</w:t>
            </w:r>
          </w:p>
        </w:tc>
        <w:tc>
          <w:tcPr>
            <w:tcW w:w="771" w:type="pct"/>
          </w:tcPr>
          <w:p w:rsidR="001D0FDA" w:rsidRDefault="001D0FDA" w:rsidP="001D0FDA">
            <w:pPr>
              <w:pStyle w:val="Tabletext"/>
              <w:rPr>
                <w:rFonts w:cs="Tahoma"/>
                <w:i/>
                <w:szCs w:val="18"/>
              </w:rPr>
            </w:pPr>
            <w:r>
              <w:rPr>
                <w:rFonts w:cs="Tahoma"/>
                <w:i/>
                <w:szCs w:val="18"/>
              </w:rPr>
              <w:t>Effectiveness</w:t>
            </w:r>
          </w:p>
          <w:p w:rsidR="001D0FDA" w:rsidRDefault="001D0FDA" w:rsidP="001D0FDA">
            <w:pPr>
              <w:pStyle w:val="Tabletext"/>
              <w:rPr>
                <w:rFonts w:cs="Tahoma"/>
                <w:szCs w:val="18"/>
              </w:rPr>
            </w:pPr>
            <w:r>
              <w:rPr>
                <w:rFonts w:cs="Tahoma"/>
                <w:szCs w:val="18"/>
              </w:rPr>
              <w:t>Primary:</w:t>
            </w:r>
          </w:p>
          <w:p w:rsidR="001D0FDA" w:rsidRDefault="001D0FDA" w:rsidP="00480FDF">
            <w:pPr>
              <w:pStyle w:val="Tabletext"/>
              <w:numPr>
                <w:ilvl w:val="0"/>
                <w:numId w:val="54"/>
              </w:numPr>
              <w:ind w:left="239" w:hanging="144"/>
              <w:rPr>
                <w:rFonts w:cs="Tahoma"/>
                <w:szCs w:val="18"/>
              </w:rPr>
            </w:pPr>
            <w:r w:rsidRPr="00CE4EB9">
              <w:rPr>
                <w:rFonts w:cs="Tahoma"/>
                <w:szCs w:val="18"/>
              </w:rPr>
              <w:t>Change in 6MWD</w:t>
            </w:r>
            <w:r>
              <w:rPr>
                <w:rFonts w:cs="Tahoma"/>
                <w:szCs w:val="18"/>
              </w:rPr>
              <w:t xml:space="preserve"> at Week 16</w:t>
            </w:r>
            <w:r>
              <w:rPr>
                <w:rFonts w:cs="Tahoma"/>
                <w:szCs w:val="18"/>
                <w:vertAlign w:val="superscript"/>
              </w:rPr>
              <w:t>c</w:t>
            </w:r>
            <w:r w:rsidRPr="00CE4EB9">
              <w:rPr>
                <w:rFonts w:cs="Tahoma"/>
                <w:szCs w:val="18"/>
              </w:rPr>
              <w:t xml:space="preserve"> </w:t>
            </w:r>
          </w:p>
          <w:p w:rsidR="001D0FDA" w:rsidRPr="00CE4EB9" w:rsidRDefault="001D0FDA" w:rsidP="001D0FDA">
            <w:pPr>
              <w:pStyle w:val="Tabletext"/>
              <w:rPr>
                <w:rFonts w:cs="Tahoma"/>
                <w:szCs w:val="18"/>
              </w:rPr>
            </w:pPr>
            <w:r>
              <w:rPr>
                <w:rFonts w:cs="Tahoma"/>
                <w:szCs w:val="18"/>
              </w:rPr>
              <w:t>Secondary:</w:t>
            </w:r>
          </w:p>
          <w:p w:rsidR="001D0FDA" w:rsidRDefault="001D0FDA" w:rsidP="00480FDF">
            <w:pPr>
              <w:pStyle w:val="Tabletext"/>
              <w:numPr>
                <w:ilvl w:val="0"/>
                <w:numId w:val="54"/>
              </w:numPr>
              <w:ind w:left="239" w:hanging="144"/>
              <w:rPr>
                <w:rFonts w:cs="Tahoma"/>
                <w:szCs w:val="18"/>
              </w:rPr>
            </w:pPr>
            <w:r>
              <w:rPr>
                <w:rFonts w:cs="Tahoma"/>
                <w:szCs w:val="18"/>
              </w:rPr>
              <w:t xml:space="preserve">Change in </w:t>
            </w:r>
            <w:r w:rsidRPr="001E2F2E">
              <w:rPr>
                <w:rFonts w:cs="Tahoma"/>
                <w:szCs w:val="18"/>
              </w:rPr>
              <w:t>PVR, mPAP and mRAP</w:t>
            </w:r>
            <w:r w:rsidRPr="00EA1FCD">
              <w:rPr>
                <w:rFonts w:cs="Tahoma"/>
                <w:szCs w:val="18"/>
                <w:vertAlign w:val="superscript"/>
              </w:rPr>
              <w:t>c</w:t>
            </w:r>
          </w:p>
          <w:p w:rsidR="001D0FDA" w:rsidRPr="00CE4EB9" w:rsidRDefault="001D0FDA" w:rsidP="00480FDF">
            <w:pPr>
              <w:pStyle w:val="Tabletext"/>
              <w:numPr>
                <w:ilvl w:val="0"/>
                <w:numId w:val="54"/>
              </w:numPr>
              <w:ind w:left="239" w:hanging="144"/>
              <w:rPr>
                <w:rFonts w:cs="Tahoma"/>
                <w:szCs w:val="18"/>
              </w:rPr>
            </w:pPr>
            <w:r>
              <w:rPr>
                <w:rFonts w:cs="Tahoma"/>
                <w:szCs w:val="18"/>
              </w:rPr>
              <w:t>Time to clinical worsening</w:t>
            </w:r>
            <w:r>
              <w:rPr>
                <w:rFonts w:cs="Tahoma"/>
                <w:szCs w:val="18"/>
                <w:vertAlign w:val="superscript"/>
              </w:rPr>
              <w:t>c</w:t>
            </w:r>
          </w:p>
          <w:p w:rsidR="001D0FDA" w:rsidRPr="00CE4EB9" w:rsidRDefault="001D0FDA" w:rsidP="00480FDF">
            <w:pPr>
              <w:pStyle w:val="Tabletext"/>
              <w:numPr>
                <w:ilvl w:val="0"/>
                <w:numId w:val="54"/>
              </w:numPr>
              <w:ind w:left="239" w:hanging="144"/>
              <w:rPr>
                <w:rFonts w:cs="Tahoma"/>
                <w:szCs w:val="18"/>
              </w:rPr>
            </w:pPr>
            <w:r>
              <w:rPr>
                <w:rFonts w:cs="Tahoma"/>
                <w:szCs w:val="18"/>
              </w:rPr>
              <w:t>Change in BDS</w:t>
            </w:r>
            <w:r>
              <w:rPr>
                <w:rFonts w:cs="Tahoma"/>
                <w:szCs w:val="18"/>
                <w:vertAlign w:val="superscript"/>
              </w:rPr>
              <w:t>c</w:t>
            </w:r>
          </w:p>
          <w:p w:rsidR="001D0FDA" w:rsidRPr="001E2F2E" w:rsidRDefault="001D0FDA" w:rsidP="00480FDF">
            <w:pPr>
              <w:pStyle w:val="Tabletext"/>
              <w:numPr>
                <w:ilvl w:val="0"/>
                <w:numId w:val="54"/>
              </w:numPr>
              <w:ind w:left="239" w:hanging="144"/>
              <w:rPr>
                <w:rFonts w:cs="Tahoma"/>
                <w:i/>
                <w:szCs w:val="18"/>
              </w:rPr>
            </w:pPr>
            <w:r>
              <w:rPr>
                <w:rFonts w:cs="Tahoma"/>
                <w:szCs w:val="18"/>
              </w:rPr>
              <w:t xml:space="preserve">Change in </w:t>
            </w:r>
            <w:r w:rsidRPr="00CE4EB9">
              <w:rPr>
                <w:rFonts w:cs="Tahoma"/>
                <w:szCs w:val="18"/>
              </w:rPr>
              <w:t>SF-36</w:t>
            </w:r>
            <w:r>
              <w:rPr>
                <w:rFonts w:cs="Tahoma"/>
                <w:szCs w:val="18"/>
              </w:rPr>
              <w:t xml:space="preserve"> score</w:t>
            </w:r>
          </w:p>
          <w:p w:rsidR="001D0FDA" w:rsidRDefault="001D0FDA" w:rsidP="001D0FDA">
            <w:pPr>
              <w:pStyle w:val="Tabletext"/>
              <w:rPr>
                <w:rFonts w:cs="Tahoma"/>
                <w:szCs w:val="18"/>
              </w:rPr>
            </w:pPr>
            <w:r>
              <w:rPr>
                <w:rFonts w:cs="Tahoma"/>
                <w:szCs w:val="18"/>
              </w:rPr>
              <w:t>Other:</w:t>
            </w:r>
          </w:p>
          <w:p w:rsidR="001D0FDA" w:rsidRDefault="001D0FDA" w:rsidP="00480FDF">
            <w:pPr>
              <w:pStyle w:val="Tabletext"/>
              <w:numPr>
                <w:ilvl w:val="0"/>
                <w:numId w:val="54"/>
              </w:numPr>
              <w:ind w:left="239" w:hanging="144"/>
              <w:rPr>
                <w:rFonts w:cs="Tahoma"/>
                <w:szCs w:val="18"/>
              </w:rPr>
            </w:pPr>
            <w:r>
              <w:rPr>
                <w:rFonts w:cs="Tahoma"/>
                <w:szCs w:val="18"/>
              </w:rPr>
              <w:t>Mortality</w:t>
            </w:r>
            <w:r w:rsidRPr="00EA1FCD">
              <w:rPr>
                <w:rFonts w:cs="Tahoma"/>
                <w:szCs w:val="18"/>
                <w:vertAlign w:val="superscript"/>
              </w:rPr>
              <w:t>c</w:t>
            </w:r>
          </w:p>
          <w:p w:rsidR="001D0FDA" w:rsidRPr="00EA1FCD" w:rsidRDefault="001D0FDA" w:rsidP="00480FDF">
            <w:pPr>
              <w:pStyle w:val="Tabletext"/>
              <w:numPr>
                <w:ilvl w:val="0"/>
                <w:numId w:val="54"/>
              </w:numPr>
              <w:ind w:left="239" w:hanging="144"/>
              <w:rPr>
                <w:rFonts w:cs="Tahoma"/>
                <w:szCs w:val="18"/>
              </w:rPr>
            </w:pPr>
            <w:r>
              <w:rPr>
                <w:rFonts w:cs="Tahoma"/>
                <w:szCs w:val="18"/>
              </w:rPr>
              <w:t>Hospitalisation</w:t>
            </w:r>
            <w:r w:rsidR="00444DBE">
              <w:rPr>
                <w:rFonts w:cs="Tahoma"/>
                <w:szCs w:val="18"/>
              </w:rPr>
              <w:t xml:space="preserve"> due to PAH</w:t>
            </w:r>
            <w:r w:rsidRPr="00EA1FCD">
              <w:rPr>
                <w:rFonts w:cs="Tahoma"/>
                <w:szCs w:val="18"/>
                <w:vertAlign w:val="superscript"/>
              </w:rPr>
              <w:t>c</w:t>
            </w:r>
          </w:p>
          <w:p w:rsidR="001D0FDA" w:rsidRDefault="001D0FDA" w:rsidP="001D0FDA">
            <w:pPr>
              <w:pStyle w:val="Tabletext"/>
              <w:rPr>
                <w:rFonts w:cs="Tahoma"/>
                <w:szCs w:val="18"/>
              </w:rPr>
            </w:pPr>
          </w:p>
          <w:p w:rsidR="001D0FDA" w:rsidRPr="00351FF5" w:rsidRDefault="001D0FDA" w:rsidP="001D0FDA">
            <w:pPr>
              <w:pStyle w:val="Tabletext"/>
              <w:rPr>
                <w:rFonts w:cs="Tahoma"/>
                <w:szCs w:val="18"/>
              </w:rPr>
            </w:pPr>
            <w:r w:rsidRPr="00351FF5">
              <w:rPr>
                <w:rFonts w:cs="Tahoma"/>
                <w:i/>
                <w:szCs w:val="18"/>
              </w:rPr>
              <w:t>Safety</w:t>
            </w:r>
            <w:r w:rsidRPr="00351FF5">
              <w:rPr>
                <w:rFonts w:cs="Tahoma"/>
                <w:szCs w:val="18"/>
              </w:rPr>
              <w:t xml:space="preserve">: </w:t>
            </w:r>
          </w:p>
          <w:p w:rsidR="001D0FDA" w:rsidRDefault="001D0FDA" w:rsidP="00480FDF">
            <w:pPr>
              <w:pStyle w:val="Tabletext"/>
              <w:numPr>
                <w:ilvl w:val="0"/>
                <w:numId w:val="54"/>
              </w:numPr>
              <w:ind w:left="239" w:hanging="144"/>
              <w:rPr>
                <w:rFonts w:cs="Tahoma"/>
                <w:i/>
                <w:szCs w:val="18"/>
              </w:rPr>
            </w:pPr>
            <w:r>
              <w:rPr>
                <w:rFonts w:cs="Tahoma"/>
                <w:szCs w:val="18"/>
              </w:rPr>
              <w:t>A</w:t>
            </w:r>
            <w:r w:rsidRPr="00351FF5">
              <w:rPr>
                <w:rFonts w:cs="Tahoma"/>
                <w:szCs w:val="18"/>
              </w:rPr>
              <w:t>dverse events</w:t>
            </w:r>
            <w:r w:rsidRPr="001E2F2E">
              <w:rPr>
                <w:rFonts w:cs="Tahoma"/>
                <w:szCs w:val="18"/>
                <w:vertAlign w:val="superscript"/>
              </w:rPr>
              <w:t>c</w:t>
            </w:r>
          </w:p>
        </w:tc>
      </w:tr>
      <w:tr w:rsidR="001D0FDA" w:rsidRPr="00204000" w:rsidTr="001D0FDA">
        <w:tc>
          <w:tcPr>
            <w:tcW w:w="531" w:type="pct"/>
          </w:tcPr>
          <w:p w:rsidR="001D0FDA" w:rsidRPr="00CB1953" w:rsidRDefault="001D0FDA" w:rsidP="001D0FDA">
            <w:pPr>
              <w:pStyle w:val="Tabletext"/>
              <w:rPr>
                <w:rFonts w:cs="Tahoma"/>
                <w:szCs w:val="18"/>
              </w:rPr>
            </w:pPr>
            <w:r>
              <w:rPr>
                <w:rFonts w:cs="Tahoma"/>
                <w:szCs w:val="18"/>
              </w:rPr>
              <w:lastRenderedPageBreak/>
              <w:t>PATENT-1</w:t>
            </w:r>
            <w:r w:rsidR="001D34EE" w:rsidRPr="001D34EE">
              <w:rPr>
                <w:rFonts w:cs="Tahoma"/>
                <w:noProof/>
                <w:szCs w:val="18"/>
                <w:vertAlign w:val="superscript"/>
              </w:rPr>
              <w:t>23, 42, 43</w:t>
            </w:r>
          </w:p>
          <w:p w:rsidR="001D0FDA" w:rsidRPr="00CB1953" w:rsidRDefault="001D0FDA" w:rsidP="001D0FDA">
            <w:pPr>
              <w:pStyle w:val="Tabletext"/>
              <w:rPr>
                <w:rFonts w:cs="Tahoma"/>
                <w:szCs w:val="18"/>
              </w:rPr>
            </w:pPr>
            <w:r w:rsidRPr="00CB1953">
              <w:rPr>
                <w:rFonts w:cs="Tahoma"/>
                <w:szCs w:val="18"/>
              </w:rPr>
              <w:t>2008-2012</w:t>
            </w:r>
          </w:p>
          <w:p w:rsidR="001D0FDA" w:rsidRPr="00351FF5" w:rsidRDefault="001D0FDA" w:rsidP="001D0FDA">
            <w:pPr>
              <w:pStyle w:val="Tabletext"/>
              <w:rPr>
                <w:rFonts w:cs="Tahoma"/>
                <w:szCs w:val="18"/>
              </w:rPr>
            </w:pPr>
            <w:r w:rsidRPr="00CB1953">
              <w:rPr>
                <w:rFonts w:cs="Tahoma"/>
                <w:szCs w:val="18"/>
              </w:rPr>
              <w:t>US, Canada, Mexico, Asia, Europe, South America, Australia</w:t>
            </w:r>
          </w:p>
        </w:tc>
        <w:tc>
          <w:tcPr>
            <w:tcW w:w="47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w:t>
            </w:r>
          </w:p>
          <w:p w:rsidR="001D0FDA" w:rsidRPr="00351FF5" w:rsidRDefault="001D0FDA" w:rsidP="001D0FDA">
            <w:pPr>
              <w:pStyle w:val="Tabletext"/>
              <w:rPr>
                <w:rFonts w:cs="Tahoma"/>
                <w:szCs w:val="18"/>
              </w:rPr>
            </w:pPr>
            <w:r w:rsidRPr="00351FF5">
              <w:rPr>
                <w:rFonts w:cs="Tahoma"/>
                <w:szCs w:val="18"/>
              </w:rPr>
              <w:t>Level II evidence</w:t>
            </w:r>
          </w:p>
          <w:p w:rsidR="001D0FDA" w:rsidRPr="00D53F84" w:rsidRDefault="001D0FDA" w:rsidP="001D0FDA">
            <w:pPr>
              <w:pStyle w:val="Tabletext"/>
              <w:ind w:right="-28"/>
              <w:rPr>
                <w:rFonts w:eastAsia="Times New Roman"/>
                <w:lang w:eastAsia="en-US"/>
              </w:rPr>
            </w:pPr>
            <w:r>
              <w:rPr>
                <w:rFonts w:eastAsia="Times New Roman"/>
                <w:lang w:eastAsia="en-US"/>
              </w:rPr>
              <w:t xml:space="preserve">Follow-up: </w:t>
            </w:r>
            <w:r w:rsidRPr="00D53F84">
              <w:rPr>
                <w:rFonts w:eastAsia="Times New Roman"/>
                <w:lang w:eastAsia="en-US"/>
              </w:rPr>
              <w:t>12 weeks</w:t>
            </w:r>
          </w:p>
          <w:p w:rsidR="001D0FDA" w:rsidRPr="00351FF5" w:rsidRDefault="001D0FDA" w:rsidP="001D0FDA">
            <w:pPr>
              <w:pStyle w:val="Tabletext"/>
              <w:rPr>
                <w:rFonts w:cs="Tahoma"/>
                <w:szCs w:val="18"/>
              </w:rPr>
            </w:pPr>
            <w:r w:rsidRPr="00351FF5">
              <w:rPr>
                <w:rFonts w:cs="Tahoma"/>
                <w:szCs w:val="18"/>
              </w:rPr>
              <w:t xml:space="preserve">Risk of bias: </w:t>
            </w:r>
            <w:r>
              <w:rPr>
                <w:rFonts w:eastAsia="Times New Roman"/>
                <w:lang w:eastAsia="en-US"/>
              </w:rPr>
              <w:t>l</w:t>
            </w:r>
            <w:r w:rsidRPr="00D53F84">
              <w:rPr>
                <w:rFonts w:eastAsia="Times New Roman"/>
                <w:lang w:eastAsia="en-US"/>
              </w:rPr>
              <w:t>ow-to-moderate</w:t>
            </w:r>
          </w:p>
        </w:tc>
        <w:tc>
          <w:tcPr>
            <w:tcW w:w="772" w:type="pct"/>
          </w:tcPr>
          <w:p w:rsidR="001D0FDA" w:rsidRPr="00CB1953" w:rsidRDefault="001D0FDA" w:rsidP="001D0FDA">
            <w:pPr>
              <w:pStyle w:val="Tabletext"/>
              <w:rPr>
                <w:rFonts w:cs="Tahoma"/>
                <w:i/>
                <w:szCs w:val="18"/>
              </w:rPr>
            </w:pPr>
            <w:r>
              <w:rPr>
                <w:rFonts w:cs="Tahoma"/>
                <w:i/>
                <w:szCs w:val="18"/>
              </w:rPr>
              <w:t>Inclusion criteria</w:t>
            </w:r>
          </w:p>
          <w:p w:rsidR="001D0FDA" w:rsidRDefault="001D0FDA" w:rsidP="00480FDF">
            <w:pPr>
              <w:pStyle w:val="Tabletext"/>
              <w:numPr>
                <w:ilvl w:val="0"/>
                <w:numId w:val="54"/>
              </w:numPr>
              <w:ind w:left="239" w:hanging="144"/>
              <w:rPr>
                <w:rFonts w:cs="Tahoma"/>
                <w:szCs w:val="18"/>
              </w:rPr>
            </w:pPr>
            <w:r w:rsidRPr="00CB1953">
              <w:rPr>
                <w:rFonts w:cs="Tahoma"/>
                <w:szCs w:val="18"/>
              </w:rPr>
              <w:t>Patients with symptomatic IPAH, HPAH, PAH-CTD, PAH-CHD, PAH-PH or PAH-DT</w:t>
            </w:r>
          </w:p>
          <w:p w:rsidR="001D0FDA" w:rsidRDefault="001D0FDA" w:rsidP="00480FDF">
            <w:pPr>
              <w:pStyle w:val="Tabletext"/>
              <w:numPr>
                <w:ilvl w:val="0"/>
                <w:numId w:val="54"/>
              </w:numPr>
              <w:ind w:left="239" w:hanging="144"/>
              <w:rPr>
                <w:rFonts w:cs="Tahoma"/>
                <w:szCs w:val="18"/>
              </w:rPr>
            </w:pPr>
            <w:r>
              <w:rPr>
                <w:rFonts w:cs="Tahoma"/>
                <w:szCs w:val="18"/>
              </w:rPr>
              <w:t>m</w:t>
            </w:r>
            <w:r w:rsidRPr="0001197E">
              <w:rPr>
                <w:rFonts w:cs="Tahoma"/>
                <w:szCs w:val="18"/>
              </w:rPr>
              <w:t>PAP of ≥25 mmHg</w:t>
            </w:r>
          </w:p>
          <w:p w:rsidR="001D0FDA" w:rsidRPr="00CB1953" w:rsidRDefault="001D0FDA" w:rsidP="00480FDF">
            <w:pPr>
              <w:pStyle w:val="Tabletext"/>
              <w:numPr>
                <w:ilvl w:val="0"/>
                <w:numId w:val="54"/>
              </w:numPr>
              <w:ind w:left="239" w:hanging="144"/>
              <w:rPr>
                <w:rFonts w:cs="Tahoma"/>
                <w:szCs w:val="18"/>
              </w:rPr>
            </w:pPr>
            <w:r w:rsidRPr="00CB1953">
              <w:rPr>
                <w:rFonts w:cs="Tahoma"/>
                <w:szCs w:val="18"/>
              </w:rPr>
              <w:t>PVR &gt; 300 dyn</w:t>
            </w:r>
            <w:r w:rsidR="00747709">
              <w:rPr>
                <w:rFonts w:cs="Tahoma"/>
                <w:szCs w:val="18"/>
              </w:rPr>
              <w:t>*</w:t>
            </w:r>
            <w:r w:rsidRPr="00CB1953">
              <w:rPr>
                <w:rFonts w:cs="Tahoma"/>
                <w:szCs w:val="18"/>
              </w:rPr>
              <w:t>sec*cm</w:t>
            </w:r>
            <w:r w:rsidR="00747709" w:rsidRPr="00747709">
              <w:rPr>
                <w:rFonts w:cs="Tahoma"/>
                <w:szCs w:val="18"/>
                <w:vertAlign w:val="superscript"/>
              </w:rPr>
              <w:t>-</w:t>
            </w:r>
            <w:r w:rsidRPr="00CB1953">
              <w:rPr>
                <w:rFonts w:cs="Tahoma"/>
                <w:szCs w:val="18"/>
                <w:vertAlign w:val="superscript"/>
              </w:rPr>
              <w:t>5</w:t>
            </w:r>
          </w:p>
          <w:p w:rsidR="001D0FDA" w:rsidRPr="00CB1953" w:rsidRDefault="001D0FDA" w:rsidP="00480FDF">
            <w:pPr>
              <w:pStyle w:val="Tabletext"/>
              <w:numPr>
                <w:ilvl w:val="0"/>
                <w:numId w:val="54"/>
              </w:numPr>
              <w:ind w:left="239" w:hanging="144"/>
              <w:rPr>
                <w:rFonts w:cs="Tahoma"/>
                <w:szCs w:val="18"/>
              </w:rPr>
            </w:pPr>
            <w:r w:rsidRPr="00CB1953">
              <w:rPr>
                <w:rFonts w:cs="Tahoma"/>
                <w:szCs w:val="18"/>
              </w:rPr>
              <w:t>6MWD of 150-450</w:t>
            </w:r>
            <w:r>
              <w:rPr>
                <w:rFonts w:cs="Tahoma"/>
                <w:szCs w:val="18"/>
              </w:rPr>
              <w:t>m</w:t>
            </w:r>
          </w:p>
          <w:p w:rsidR="001D0FDA" w:rsidRPr="00CB1953" w:rsidRDefault="001D0FDA" w:rsidP="00480FDF">
            <w:pPr>
              <w:pStyle w:val="Tabletext"/>
              <w:numPr>
                <w:ilvl w:val="0"/>
                <w:numId w:val="54"/>
              </w:numPr>
              <w:ind w:left="239" w:hanging="144"/>
              <w:rPr>
                <w:rFonts w:cs="Tahoma"/>
                <w:szCs w:val="18"/>
              </w:rPr>
            </w:pPr>
            <w:r>
              <w:rPr>
                <w:rFonts w:cs="Tahoma"/>
                <w:szCs w:val="18"/>
              </w:rPr>
              <w:t>Patients who were rec</w:t>
            </w:r>
            <w:r w:rsidRPr="00CB1953">
              <w:rPr>
                <w:rFonts w:cs="Tahoma"/>
                <w:szCs w:val="18"/>
              </w:rPr>
              <w:t>eiving</w:t>
            </w:r>
            <w:r>
              <w:rPr>
                <w:rFonts w:cs="Tahoma"/>
                <w:szCs w:val="18"/>
              </w:rPr>
              <w:t xml:space="preserve"> no other treatment for PAH or</w:t>
            </w:r>
            <w:r w:rsidRPr="00CB1953">
              <w:rPr>
                <w:rFonts w:cs="Tahoma"/>
                <w:szCs w:val="18"/>
              </w:rPr>
              <w:t xml:space="preserve"> </w:t>
            </w:r>
            <w:r>
              <w:rPr>
                <w:rFonts w:cs="Tahoma"/>
                <w:szCs w:val="18"/>
              </w:rPr>
              <w:t xml:space="preserve">were </w:t>
            </w:r>
            <w:r w:rsidRPr="00CB1953">
              <w:rPr>
                <w:rFonts w:cs="Tahoma"/>
                <w:szCs w:val="18"/>
              </w:rPr>
              <w:t xml:space="preserve">receiving treatment with ERA or prostanoid (excluding </w:t>
            </w:r>
            <w:r>
              <w:rPr>
                <w:rFonts w:cs="Tahoma"/>
                <w:szCs w:val="18"/>
              </w:rPr>
              <w:t>IV</w:t>
            </w:r>
            <w:r w:rsidRPr="00CB1953">
              <w:rPr>
                <w:rFonts w:cs="Tahoma"/>
                <w:szCs w:val="18"/>
              </w:rPr>
              <w:t xml:space="preserve"> prostanoids) at doses that had been stable for </w:t>
            </w:r>
            <w:r>
              <w:rPr>
                <w:rFonts w:cs="Tahoma"/>
                <w:szCs w:val="18"/>
              </w:rPr>
              <w:t>≥3 months</w:t>
            </w:r>
            <w:r w:rsidRPr="00CB1953">
              <w:rPr>
                <w:rFonts w:cs="Tahoma"/>
                <w:szCs w:val="18"/>
              </w:rPr>
              <w:t xml:space="preserve"> </w:t>
            </w:r>
          </w:p>
          <w:p w:rsidR="001D0FDA" w:rsidRPr="00CB1953" w:rsidRDefault="001D0FDA" w:rsidP="001D0FDA">
            <w:pPr>
              <w:pStyle w:val="Tabletext"/>
              <w:rPr>
                <w:rFonts w:cs="Tahoma"/>
                <w:i/>
                <w:szCs w:val="18"/>
              </w:rPr>
            </w:pPr>
          </w:p>
          <w:p w:rsidR="001D0FDA" w:rsidRPr="00CB1953" w:rsidRDefault="001D0FDA" w:rsidP="001D0FDA">
            <w:pPr>
              <w:pStyle w:val="Tabletext"/>
              <w:rPr>
                <w:rFonts w:cs="Tahoma"/>
                <w:i/>
                <w:szCs w:val="18"/>
              </w:rPr>
            </w:pPr>
            <w:r>
              <w:rPr>
                <w:rFonts w:cs="Tahoma"/>
                <w:i/>
                <w:szCs w:val="18"/>
              </w:rPr>
              <w:t>Exclusion criteria</w:t>
            </w:r>
          </w:p>
          <w:p w:rsidR="001D0FDA" w:rsidRPr="00351FF5" w:rsidRDefault="001D0FDA" w:rsidP="00480FDF">
            <w:pPr>
              <w:pStyle w:val="Tabletext"/>
              <w:numPr>
                <w:ilvl w:val="0"/>
                <w:numId w:val="54"/>
              </w:numPr>
              <w:ind w:left="239" w:hanging="144"/>
              <w:rPr>
                <w:rFonts w:cs="Tahoma"/>
                <w:i/>
                <w:szCs w:val="18"/>
              </w:rPr>
            </w:pPr>
            <w:r w:rsidRPr="00CB1953">
              <w:rPr>
                <w:rFonts w:cs="Tahoma"/>
                <w:szCs w:val="18"/>
              </w:rPr>
              <w:t>Patients</w:t>
            </w:r>
            <w:r>
              <w:rPr>
                <w:rFonts w:cs="Tahoma"/>
                <w:szCs w:val="18"/>
              </w:rPr>
              <w:t xml:space="preserve"> who were</w:t>
            </w:r>
            <w:r w:rsidRPr="00CB1953">
              <w:rPr>
                <w:rFonts w:cs="Tahoma"/>
                <w:szCs w:val="18"/>
              </w:rPr>
              <w:t xml:space="preserve"> receiving PDE-5i</w:t>
            </w:r>
            <w:r>
              <w:rPr>
                <w:rFonts w:cs="Tahoma"/>
                <w:szCs w:val="18"/>
              </w:rPr>
              <w:t xml:space="preserve"> at enrolment </w:t>
            </w:r>
          </w:p>
        </w:tc>
        <w:tc>
          <w:tcPr>
            <w:tcW w:w="0" w:type="auto"/>
          </w:tcPr>
          <w:p w:rsidR="001D0FDA" w:rsidRDefault="001D0FDA" w:rsidP="001D0FDA">
            <w:pPr>
              <w:pStyle w:val="Tabletext"/>
              <w:rPr>
                <w:szCs w:val="18"/>
              </w:rPr>
            </w:pPr>
            <w:r>
              <w:rPr>
                <w:szCs w:val="18"/>
              </w:rPr>
              <w:t>N=380</w:t>
            </w:r>
          </w:p>
          <w:p w:rsidR="001D0FDA" w:rsidRDefault="001D0FDA" w:rsidP="001D0FDA">
            <w:pPr>
              <w:pStyle w:val="Tabletext"/>
              <w:rPr>
                <w:i/>
                <w:szCs w:val="18"/>
              </w:rPr>
            </w:pPr>
            <w:r w:rsidRPr="00802B85">
              <w:rPr>
                <w:i/>
                <w:szCs w:val="18"/>
              </w:rPr>
              <w:t>Treatment-naïve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PATENT-1"/>
            </w:tblPr>
            <w:tblGrid>
              <w:gridCol w:w="2101"/>
              <w:gridCol w:w="1142"/>
              <w:gridCol w:w="1134"/>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1D0FDA" w:rsidRPr="00351FF5" w:rsidRDefault="001D0FDA" w:rsidP="00B5196D">
                  <w:pPr>
                    <w:pStyle w:val="Tabletext"/>
                    <w:framePr w:hSpace="180" w:wrap="around" w:vAnchor="text" w:hAnchor="text" w:y="1"/>
                    <w:spacing w:before="0" w:after="0"/>
                    <w:rPr>
                      <w:rFonts w:cs="Tahoma"/>
                      <w:b/>
                      <w:szCs w:val="18"/>
                    </w:rPr>
                  </w:pPr>
                </w:p>
              </w:tc>
              <w:tc>
                <w:tcPr>
                  <w:tcW w:w="1142"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Riociguat 2.5mg</w:t>
                  </w:r>
                </w:p>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(N=123)</w:t>
                  </w:r>
                </w:p>
              </w:tc>
              <w:tc>
                <w:tcPr>
                  <w:tcW w:w="1134"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Placebo</w:t>
                  </w:r>
                </w:p>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(N=66)</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 xml:space="preserve">Age, mean±SD (yrs) </w:t>
                  </w:r>
                </w:p>
              </w:tc>
              <w:tc>
                <w:tcPr>
                  <w:tcW w:w="1142" w:type="dxa"/>
                </w:tcPr>
                <w:p w:rsidR="001D0FDA" w:rsidRPr="00351FF5" w:rsidRDefault="001D0FDA" w:rsidP="00B5196D">
                  <w:pPr>
                    <w:pStyle w:val="Tabletext"/>
                    <w:framePr w:hSpace="180" w:wrap="around" w:vAnchor="text" w:hAnchor="text" w:y="1"/>
                    <w:spacing w:before="0" w:after="0"/>
                    <w:jc w:val="center"/>
                    <w:rPr>
                      <w:rFonts w:cs="Tahoma"/>
                      <w:szCs w:val="18"/>
                    </w:rPr>
                  </w:pPr>
                  <w:r>
                    <w:rPr>
                      <w:szCs w:val="18"/>
                    </w:rPr>
                    <w:t>48±</w:t>
                  </w:r>
                  <w:r w:rsidRPr="00802B85">
                    <w:rPr>
                      <w:szCs w:val="18"/>
                    </w:rPr>
                    <w:t>17</w:t>
                  </w:r>
                </w:p>
              </w:tc>
              <w:tc>
                <w:tcPr>
                  <w:tcW w:w="1134" w:type="dxa"/>
                </w:tcPr>
                <w:p w:rsidR="001D0FDA" w:rsidRPr="00351FF5" w:rsidRDefault="001D0FDA" w:rsidP="00B5196D">
                  <w:pPr>
                    <w:pStyle w:val="Tabletext"/>
                    <w:framePr w:hSpace="180" w:wrap="around" w:vAnchor="text" w:hAnchor="text" w:y="1"/>
                    <w:spacing w:before="0" w:after="0"/>
                    <w:jc w:val="center"/>
                    <w:rPr>
                      <w:rFonts w:cs="Tahoma"/>
                      <w:szCs w:val="18"/>
                    </w:rPr>
                  </w:pPr>
                  <w:r>
                    <w:rPr>
                      <w:szCs w:val="18"/>
                    </w:rPr>
                    <w:t>48±</w:t>
                  </w:r>
                  <w:r w:rsidRPr="00802B85">
                    <w:rPr>
                      <w:szCs w:val="18"/>
                    </w:rPr>
                    <w:t>18</w:t>
                  </w:r>
                </w:p>
              </w:tc>
            </w:tr>
            <w:tr w:rsidR="001D0FDA" w:rsidRPr="00351FF5" w:rsidTr="001D0FDA">
              <w:tc>
                <w:tcPr>
                  <w:tcW w:w="2101"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Gender, femal</w:t>
                  </w:r>
                  <w:r>
                    <w:rPr>
                      <w:rFonts w:cs="Tahoma"/>
                      <w:szCs w:val="18"/>
                    </w:rPr>
                    <w:t>e</w:t>
                  </w:r>
                  <w:r w:rsidRPr="00351FF5">
                    <w:rPr>
                      <w:rFonts w:cs="Tahoma"/>
                      <w:szCs w:val="18"/>
                    </w:rPr>
                    <w:t>, n (%)</w:t>
                  </w:r>
                </w:p>
              </w:tc>
              <w:tc>
                <w:tcPr>
                  <w:tcW w:w="1142"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94 (76%)</w:t>
                  </w:r>
                </w:p>
              </w:tc>
              <w:tc>
                <w:tcPr>
                  <w:tcW w:w="1134"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rFonts w:cs="Tahoma"/>
                      <w:szCs w:val="18"/>
                    </w:rPr>
                    <w:t>52 (79%)</w:t>
                  </w:r>
                </w:p>
              </w:tc>
            </w:tr>
            <w:tr w:rsidR="001D0FDA" w:rsidRPr="00351FF5" w:rsidTr="001D0FDA">
              <w:tc>
                <w:tcPr>
                  <w:tcW w:w="2101"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WHO FC</w:t>
                  </w:r>
                  <w:r>
                    <w:rPr>
                      <w:rFonts w:cs="Tahoma"/>
                      <w:szCs w:val="18"/>
                    </w:rPr>
                    <w:t>, n (%)</w:t>
                  </w:r>
                </w:p>
              </w:tc>
              <w:tc>
                <w:tcPr>
                  <w:tcW w:w="1142"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c>
                <w:tcPr>
                  <w:tcW w:w="1134"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w:t>
                  </w:r>
                </w:p>
              </w:tc>
              <w:tc>
                <w:tcPr>
                  <w:tcW w:w="1142"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3 (2%)</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4 (6%)</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II</w:t>
                  </w:r>
                </w:p>
              </w:tc>
              <w:tc>
                <w:tcPr>
                  <w:tcW w:w="1142"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65 (53%)</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35 (53%)</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III</w:t>
                  </w:r>
                </w:p>
              </w:tc>
              <w:tc>
                <w:tcPr>
                  <w:tcW w:w="1142"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55 (45%)</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25 (38%)</w:t>
                  </w:r>
                </w:p>
              </w:tc>
            </w:tr>
            <w:tr w:rsidR="001D0FDA" w:rsidRPr="00351FF5" w:rsidTr="001D0FDA">
              <w:tc>
                <w:tcPr>
                  <w:tcW w:w="2101" w:type="dxa"/>
                  <w:tcBorders>
                    <w:top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IV</w:t>
                  </w:r>
                </w:p>
              </w:tc>
              <w:tc>
                <w:tcPr>
                  <w:tcW w:w="1142" w:type="dxa"/>
                  <w:tcBorders>
                    <w:top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0 (0%)</w:t>
                  </w:r>
                </w:p>
              </w:tc>
              <w:tc>
                <w:tcPr>
                  <w:tcW w:w="1134" w:type="dxa"/>
                  <w:tcBorders>
                    <w:top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2 (3%)</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mPAP, mean±SD (mmHg)</w:t>
                  </w:r>
                </w:p>
              </w:tc>
              <w:tc>
                <w:tcPr>
                  <w:tcW w:w="1142"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49.3±15</w:t>
                  </w:r>
                </w:p>
              </w:tc>
              <w:tc>
                <w:tcPr>
                  <w:tcW w:w="1134"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48.9±16</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PVR, mean±SD (</w:t>
                  </w:r>
                  <w:r>
                    <w:rPr>
                      <w:rFonts w:cs="Tahoma"/>
                      <w:szCs w:val="18"/>
                    </w:rPr>
                    <w:t>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142" w:type="dxa"/>
                  <w:vAlign w:val="center"/>
                </w:tcPr>
                <w:p w:rsidR="001D0FDA" w:rsidRPr="00351FF5" w:rsidRDefault="001D0FDA" w:rsidP="00B5196D">
                  <w:pPr>
                    <w:pStyle w:val="Tabletext"/>
                    <w:framePr w:hSpace="180" w:wrap="around" w:vAnchor="text" w:hAnchor="text" w:y="1"/>
                    <w:spacing w:before="0"/>
                    <w:jc w:val="center"/>
                    <w:rPr>
                      <w:rFonts w:cs="Tahoma"/>
                      <w:szCs w:val="18"/>
                    </w:rPr>
                  </w:pPr>
                  <w:r>
                    <w:rPr>
                      <w:rFonts w:cs="Tahoma"/>
                      <w:szCs w:val="18"/>
                    </w:rPr>
                    <w:t>888±505</w:t>
                  </w:r>
                </w:p>
              </w:tc>
              <w:tc>
                <w:tcPr>
                  <w:tcW w:w="1134"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rFonts w:cs="Tahoma"/>
                      <w:szCs w:val="18"/>
                    </w:rPr>
                    <w:t>855±477</w:t>
                  </w:r>
                </w:p>
              </w:tc>
            </w:tr>
          </w:tbl>
          <w:p w:rsidR="001D0FDA" w:rsidRPr="00C5431E" w:rsidRDefault="001D0FDA" w:rsidP="001D0FDA">
            <w:pPr>
              <w:pStyle w:val="Tabletext"/>
              <w:rPr>
                <w:rFonts w:cs="Tahoma"/>
                <w:szCs w:val="18"/>
              </w:rPr>
            </w:pPr>
            <w:r w:rsidRPr="00351FF5">
              <w:rPr>
                <w:rFonts w:cs="Tahoma"/>
                <w:szCs w:val="18"/>
              </w:rPr>
              <w:t xml:space="preserve">Data on the patient characteristics for the </w:t>
            </w:r>
            <w:r>
              <w:rPr>
                <w:rFonts w:cs="Tahoma"/>
                <w:szCs w:val="18"/>
              </w:rPr>
              <w:t>WHO FC I-II, treatment-naïve subgroup and WHO FC III-IV, treatment-naïve subgroup</w:t>
            </w:r>
            <w:r w:rsidRPr="00351FF5">
              <w:rPr>
                <w:rFonts w:cs="Tahoma"/>
                <w:szCs w:val="18"/>
              </w:rPr>
              <w:t xml:space="preserve"> between the two treatment groups were not available. </w:t>
            </w:r>
            <w:r>
              <w:rPr>
                <w:rFonts w:cs="Tahoma"/>
                <w:szCs w:val="18"/>
              </w:rPr>
              <w:t>R</w:t>
            </w:r>
            <w:r w:rsidRPr="00351FF5">
              <w:rPr>
                <w:rFonts w:cs="Tahoma"/>
                <w:szCs w:val="18"/>
              </w:rPr>
              <w:t>andomisation was</w:t>
            </w:r>
            <w:r>
              <w:rPr>
                <w:rFonts w:cs="Tahoma"/>
                <w:szCs w:val="18"/>
              </w:rPr>
              <w:t xml:space="preserve"> not</w:t>
            </w:r>
            <w:r w:rsidRPr="00351FF5">
              <w:rPr>
                <w:rFonts w:cs="Tahoma"/>
                <w:szCs w:val="18"/>
              </w:rPr>
              <w:t xml:space="preserve"> stratified according to </w:t>
            </w:r>
            <w:r>
              <w:rPr>
                <w:rFonts w:cs="Tahoma"/>
                <w:szCs w:val="18"/>
              </w:rPr>
              <w:t>WHO FC</w:t>
            </w:r>
            <w:r w:rsidRPr="00351FF5">
              <w:rPr>
                <w:rFonts w:cs="Tahoma"/>
                <w:szCs w:val="18"/>
              </w:rPr>
              <w:t>.</w:t>
            </w:r>
          </w:p>
          <w:p w:rsidR="001D0FDA" w:rsidRPr="00802B85" w:rsidRDefault="001D0FDA" w:rsidP="001D0FDA">
            <w:pPr>
              <w:pStyle w:val="Tabletext"/>
              <w:rPr>
                <w:szCs w:val="18"/>
              </w:rPr>
            </w:pPr>
          </w:p>
          <w:p w:rsidR="001D0FDA" w:rsidRPr="00C5431E" w:rsidRDefault="001D0FDA" w:rsidP="001D0FDA">
            <w:pPr>
              <w:pStyle w:val="Tabletext"/>
              <w:rPr>
                <w:i/>
                <w:szCs w:val="18"/>
              </w:rPr>
            </w:pPr>
            <w:r w:rsidRPr="00C5431E">
              <w:rPr>
                <w:i/>
                <w:szCs w:val="18"/>
              </w:rPr>
              <w:t>Pre-treated with ERA</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PATENT-1"/>
            </w:tblPr>
            <w:tblGrid>
              <w:gridCol w:w="2101"/>
              <w:gridCol w:w="1142"/>
              <w:gridCol w:w="1134"/>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1D0FDA" w:rsidRPr="00351FF5" w:rsidRDefault="001D0FDA" w:rsidP="00B5196D">
                  <w:pPr>
                    <w:pStyle w:val="Tabletext"/>
                    <w:framePr w:hSpace="180" w:wrap="around" w:vAnchor="text" w:hAnchor="text" w:y="1"/>
                    <w:spacing w:before="0" w:after="0"/>
                    <w:rPr>
                      <w:rFonts w:cs="Tahoma"/>
                      <w:b/>
                      <w:szCs w:val="18"/>
                    </w:rPr>
                  </w:pPr>
                </w:p>
              </w:tc>
              <w:tc>
                <w:tcPr>
                  <w:tcW w:w="1142"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Riociguat 2.5mg</w:t>
                  </w:r>
                </w:p>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(N=1</w:t>
                  </w:r>
                  <w:r>
                    <w:rPr>
                      <w:rFonts w:cs="Tahoma"/>
                      <w:szCs w:val="18"/>
                    </w:rPr>
                    <w:t>13</w:t>
                  </w:r>
                  <w:r w:rsidRPr="00802B85">
                    <w:rPr>
                      <w:rFonts w:cs="Tahoma"/>
                      <w:szCs w:val="18"/>
                    </w:rPr>
                    <w:t>)</w:t>
                  </w:r>
                </w:p>
              </w:tc>
              <w:tc>
                <w:tcPr>
                  <w:tcW w:w="1134"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Placebo</w:t>
                  </w:r>
                </w:p>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(N=</w:t>
                  </w:r>
                  <w:r>
                    <w:rPr>
                      <w:rFonts w:cs="Tahoma"/>
                      <w:szCs w:val="18"/>
                    </w:rPr>
                    <w:t>54</w:t>
                  </w:r>
                  <w:r w:rsidRPr="00802B85">
                    <w:rPr>
                      <w:rFonts w:cs="Tahoma"/>
                      <w:szCs w:val="18"/>
                    </w:rPr>
                    <w:t>)</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 xml:space="preserve">Age, mean±SD (yrs) </w:t>
                  </w:r>
                </w:p>
              </w:tc>
              <w:tc>
                <w:tcPr>
                  <w:tcW w:w="1142" w:type="dxa"/>
                </w:tcPr>
                <w:p w:rsidR="001D0FDA" w:rsidRPr="00351FF5" w:rsidRDefault="001D0FDA" w:rsidP="00B5196D">
                  <w:pPr>
                    <w:pStyle w:val="Tabletext"/>
                    <w:framePr w:hSpace="180" w:wrap="around" w:vAnchor="text" w:hAnchor="text" w:y="1"/>
                    <w:spacing w:before="0" w:after="0"/>
                    <w:jc w:val="center"/>
                    <w:rPr>
                      <w:rFonts w:cs="Tahoma"/>
                      <w:szCs w:val="18"/>
                    </w:rPr>
                  </w:pPr>
                  <w:r>
                    <w:rPr>
                      <w:szCs w:val="18"/>
                    </w:rPr>
                    <w:t>55±</w:t>
                  </w:r>
                  <w:r w:rsidRPr="00802B85">
                    <w:rPr>
                      <w:szCs w:val="18"/>
                    </w:rPr>
                    <w:t>15</w:t>
                  </w:r>
                </w:p>
              </w:tc>
              <w:tc>
                <w:tcPr>
                  <w:tcW w:w="1134" w:type="dxa"/>
                </w:tcPr>
                <w:p w:rsidR="001D0FDA" w:rsidRPr="00351FF5" w:rsidRDefault="001D0FDA" w:rsidP="00B5196D">
                  <w:pPr>
                    <w:pStyle w:val="Tabletext"/>
                    <w:framePr w:hSpace="180" w:wrap="around" w:vAnchor="text" w:hAnchor="text" w:y="1"/>
                    <w:spacing w:before="0" w:after="0"/>
                    <w:jc w:val="center"/>
                    <w:rPr>
                      <w:rFonts w:cs="Tahoma"/>
                      <w:szCs w:val="18"/>
                    </w:rPr>
                  </w:pPr>
                  <w:r>
                    <w:rPr>
                      <w:szCs w:val="18"/>
                    </w:rPr>
                    <w:t>53±</w:t>
                  </w:r>
                  <w:r w:rsidRPr="00802B85">
                    <w:rPr>
                      <w:szCs w:val="18"/>
                    </w:rPr>
                    <w:t>15</w:t>
                  </w:r>
                </w:p>
              </w:tc>
            </w:tr>
            <w:tr w:rsidR="001D0FDA" w:rsidRPr="00351FF5" w:rsidTr="001D0FDA">
              <w:tc>
                <w:tcPr>
                  <w:tcW w:w="2101"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Gender, femal</w:t>
                  </w:r>
                  <w:r>
                    <w:rPr>
                      <w:rFonts w:cs="Tahoma"/>
                      <w:szCs w:val="18"/>
                    </w:rPr>
                    <w:t>e</w:t>
                  </w:r>
                  <w:r w:rsidRPr="00351FF5">
                    <w:rPr>
                      <w:rFonts w:cs="Tahoma"/>
                      <w:szCs w:val="18"/>
                    </w:rPr>
                    <w:t>, n (%)</w:t>
                  </w:r>
                </w:p>
              </w:tc>
              <w:tc>
                <w:tcPr>
                  <w:tcW w:w="1142"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96 (85%)</w:t>
                  </w:r>
                </w:p>
              </w:tc>
              <w:tc>
                <w:tcPr>
                  <w:tcW w:w="1134"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42 (78%)</w:t>
                  </w:r>
                </w:p>
              </w:tc>
            </w:tr>
            <w:tr w:rsidR="001D0FDA" w:rsidRPr="00351FF5" w:rsidTr="001D0FDA">
              <w:tc>
                <w:tcPr>
                  <w:tcW w:w="2101"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WHO FC</w:t>
                  </w:r>
                  <w:r>
                    <w:rPr>
                      <w:rFonts w:cs="Tahoma"/>
                      <w:szCs w:val="18"/>
                    </w:rPr>
                    <w:t>, n (%)</w:t>
                  </w:r>
                </w:p>
              </w:tc>
              <w:tc>
                <w:tcPr>
                  <w:tcW w:w="1142"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c>
                <w:tcPr>
                  <w:tcW w:w="1134"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rPr>
                      <w:rFonts w:cs="Tahoma"/>
                      <w:szCs w:val="18"/>
                    </w:rPr>
                  </w:pPr>
                  <w:r>
                    <w:rPr>
                      <w:rFonts w:cs="Tahoma"/>
                      <w:szCs w:val="18"/>
                    </w:rPr>
                    <w:t>I</w:t>
                  </w:r>
                </w:p>
              </w:tc>
              <w:tc>
                <w:tcPr>
                  <w:tcW w:w="1142"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1 (1%)</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0 (0%)</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rPr>
                      <w:rFonts w:cs="Tahoma"/>
                      <w:szCs w:val="18"/>
                    </w:rPr>
                  </w:pPr>
                  <w:r>
                    <w:rPr>
                      <w:rFonts w:cs="Tahoma"/>
                      <w:szCs w:val="18"/>
                    </w:rPr>
                    <w:t>II</w:t>
                  </w:r>
                </w:p>
              </w:tc>
              <w:tc>
                <w:tcPr>
                  <w:tcW w:w="1142"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37 (33%)</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23 (43%)</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rPr>
                      <w:rFonts w:cs="Tahoma"/>
                      <w:szCs w:val="18"/>
                    </w:rPr>
                  </w:pPr>
                  <w:r>
                    <w:rPr>
                      <w:rFonts w:cs="Tahoma"/>
                      <w:szCs w:val="18"/>
                    </w:rPr>
                    <w:t>III</w:t>
                  </w:r>
                </w:p>
              </w:tc>
              <w:tc>
                <w:tcPr>
                  <w:tcW w:w="1142"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74 (65%)</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29 (55%)</w:t>
                  </w:r>
                </w:p>
              </w:tc>
            </w:tr>
            <w:tr w:rsidR="001D0FDA" w:rsidRPr="00351FF5" w:rsidTr="001D0FDA">
              <w:tc>
                <w:tcPr>
                  <w:tcW w:w="2101" w:type="dxa"/>
                  <w:tcBorders>
                    <w:top w:val="nil"/>
                  </w:tcBorders>
                </w:tcPr>
                <w:p w:rsidR="001D0FDA" w:rsidRPr="00351FF5" w:rsidRDefault="001D0FDA" w:rsidP="00B5196D">
                  <w:pPr>
                    <w:pStyle w:val="Tabletext"/>
                    <w:framePr w:hSpace="180" w:wrap="around" w:vAnchor="text" w:hAnchor="text" w:y="1"/>
                    <w:spacing w:before="0" w:after="0"/>
                    <w:rPr>
                      <w:rFonts w:cs="Tahoma"/>
                      <w:szCs w:val="18"/>
                    </w:rPr>
                  </w:pPr>
                  <w:r>
                    <w:rPr>
                      <w:rFonts w:cs="Tahoma"/>
                      <w:szCs w:val="18"/>
                    </w:rPr>
                    <w:t>IV</w:t>
                  </w:r>
                </w:p>
              </w:tc>
              <w:tc>
                <w:tcPr>
                  <w:tcW w:w="1142" w:type="dxa"/>
                  <w:tcBorders>
                    <w:top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1 (1%)</w:t>
                  </w:r>
                </w:p>
              </w:tc>
              <w:tc>
                <w:tcPr>
                  <w:tcW w:w="1134" w:type="dxa"/>
                  <w:tcBorders>
                    <w:top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1 (2%)</w:t>
                  </w:r>
                </w:p>
              </w:tc>
            </w:tr>
          </w:tbl>
          <w:p w:rsidR="001D0FDA" w:rsidRPr="00802B85" w:rsidRDefault="001D0FDA" w:rsidP="001D0FDA">
            <w:pPr>
              <w:pStyle w:val="Tabletext"/>
              <w:rPr>
                <w:szCs w:val="18"/>
              </w:rPr>
            </w:pPr>
          </w:p>
          <w:p w:rsidR="001D0FDA" w:rsidRDefault="001D0FDA" w:rsidP="001D0FDA">
            <w:pPr>
              <w:pStyle w:val="Tabletext"/>
              <w:rPr>
                <w:i/>
                <w:szCs w:val="18"/>
              </w:rPr>
            </w:pPr>
            <w:r w:rsidRPr="00C5431E">
              <w:rPr>
                <w:i/>
                <w:szCs w:val="18"/>
              </w:rPr>
              <w:t>Pre-treated with prostanoid</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PATENT-1"/>
            </w:tblPr>
            <w:tblGrid>
              <w:gridCol w:w="2101"/>
              <w:gridCol w:w="1142"/>
              <w:gridCol w:w="1134"/>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1D0FDA" w:rsidRPr="00351FF5" w:rsidRDefault="001D0FDA" w:rsidP="00B5196D">
                  <w:pPr>
                    <w:pStyle w:val="Tabletext"/>
                    <w:framePr w:hSpace="180" w:wrap="around" w:vAnchor="text" w:hAnchor="text" w:y="1"/>
                    <w:spacing w:before="0" w:after="0"/>
                    <w:rPr>
                      <w:rFonts w:cs="Tahoma"/>
                      <w:b/>
                      <w:szCs w:val="18"/>
                    </w:rPr>
                  </w:pPr>
                </w:p>
              </w:tc>
              <w:tc>
                <w:tcPr>
                  <w:tcW w:w="1142"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Riociguat 2.5mg</w:t>
                  </w:r>
                </w:p>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(N=</w:t>
                  </w:r>
                  <w:r>
                    <w:rPr>
                      <w:rFonts w:cs="Tahoma"/>
                      <w:szCs w:val="18"/>
                    </w:rPr>
                    <w:t>20</w:t>
                  </w:r>
                  <w:r w:rsidRPr="00802B85">
                    <w:rPr>
                      <w:rFonts w:cs="Tahoma"/>
                      <w:szCs w:val="18"/>
                    </w:rPr>
                    <w:t>)</w:t>
                  </w:r>
                </w:p>
              </w:tc>
              <w:tc>
                <w:tcPr>
                  <w:tcW w:w="1134"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Placebo</w:t>
                  </w:r>
                </w:p>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(N=</w:t>
                  </w:r>
                  <w:r>
                    <w:rPr>
                      <w:rFonts w:cs="Tahoma"/>
                      <w:szCs w:val="18"/>
                    </w:rPr>
                    <w:t>7</w:t>
                  </w:r>
                  <w:r w:rsidRPr="00802B85">
                    <w:rPr>
                      <w:rFonts w:cs="Tahoma"/>
                      <w:szCs w:val="18"/>
                    </w:rPr>
                    <w:t>)</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 xml:space="preserve">Age, mean±SD (yrs) </w:t>
                  </w:r>
                </w:p>
              </w:tc>
              <w:tc>
                <w:tcPr>
                  <w:tcW w:w="1142" w:type="dxa"/>
                </w:tcPr>
                <w:p w:rsidR="001D0FDA" w:rsidRPr="00351FF5" w:rsidRDefault="001D0FDA" w:rsidP="00B5196D">
                  <w:pPr>
                    <w:pStyle w:val="Tabletext"/>
                    <w:framePr w:hSpace="180" w:wrap="around" w:vAnchor="text" w:hAnchor="text" w:y="1"/>
                    <w:spacing w:before="0"/>
                    <w:jc w:val="center"/>
                    <w:rPr>
                      <w:rFonts w:cs="Tahoma"/>
                      <w:szCs w:val="18"/>
                    </w:rPr>
                  </w:pPr>
                  <w:r>
                    <w:rPr>
                      <w:rFonts w:cs="Tahoma"/>
                      <w:szCs w:val="18"/>
                    </w:rPr>
                    <w:t>50</w:t>
                  </w:r>
                  <w:r w:rsidRPr="00C5431E">
                    <w:rPr>
                      <w:rFonts w:cs="Tahoma"/>
                      <w:szCs w:val="18"/>
                    </w:rPr>
                    <w:t>±17</w:t>
                  </w:r>
                </w:p>
              </w:tc>
              <w:tc>
                <w:tcPr>
                  <w:tcW w:w="1134" w:type="dxa"/>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52±</w:t>
                  </w:r>
                  <w:r w:rsidRPr="00C5431E">
                    <w:rPr>
                      <w:rFonts w:cs="Tahoma"/>
                      <w:szCs w:val="18"/>
                    </w:rPr>
                    <w:t>17</w:t>
                  </w:r>
                </w:p>
              </w:tc>
            </w:tr>
            <w:tr w:rsidR="001D0FDA" w:rsidRPr="00351FF5" w:rsidTr="001D0FDA">
              <w:tc>
                <w:tcPr>
                  <w:tcW w:w="2101"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Gender, femal</w:t>
                  </w:r>
                  <w:r>
                    <w:rPr>
                      <w:rFonts w:cs="Tahoma"/>
                      <w:szCs w:val="18"/>
                    </w:rPr>
                    <w:t>e</w:t>
                  </w:r>
                  <w:r w:rsidRPr="00351FF5">
                    <w:rPr>
                      <w:rFonts w:cs="Tahoma"/>
                      <w:szCs w:val="18"/>
                    </w:rPr>
                    <w:t>, n (%)</w:t>
                  </w:r>
                </w:p>
              </w:tc>
              <w:tc>
                <w:tcPr>
                  <w:tcW w:w="1142"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sidRPr="00C5431E">
                    <w:rPr>
                      <w:rFonts w:cs="Tahoma"/>
                      <w:szCs w:val="18"/>
                    </w:rPr>
                    <w:t>15 (75%)</w:t>
                  </w:r>
                </w:p>
              </w:tc>
              <w:tc>
                <w:tcPr>
                  <w:tcW w:w="1134"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sidRPr="00C5431E">
                    <w:rPr>
                      <w:rFonts w:cs="Tahoma"/>
                      <w:szCs w:val="18"/>
                    </w:rPr>
                    <w:t>4 (57%)</w:t>
                  </w:r>
                </w:p>
              </w:tc>
            </w:tr>
            <w:tr w:rsidR="001D0FDA" w:rsidRPr="00351FF5" w:rsidTr="001D0FDA">
              <w:tc>
                <w:tcPr>
                  <w:tcW w:w="2101"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WHO FC</w:t>
                  </w:r>
                  <w:r>
                    <w:rPr>
                      <w:rFonts w:cs="Tahoma"/>
                      <w:szCs w:val="18"/>
                    </w:rPr>
                    <w:t>, n (%)</w:t>
                  </w:r>
                </w:p>
              </w:tc>
              <w:tc>
                <w:tcPr>
                  <w:tcW w:w="1142"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c>
                <w:tcPr>
                  <w:tcW w:w="1134"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w:t>
                  </w:r>
                </w:p>
              </w:tc>
              <w:tc>
                <w:tcPr>
                  <w:tcW w:w="1142"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2 (10%)</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0 (0%)</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II</w:t>
                  </w:r>
                </w:p>
              </w:tc>
              <w:tc>
                <w:tcPr>
                  <w:tcW w:w="1142"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6 (30%)</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2 (29%)</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III</w:t>
                  </w:r>
                </w:p>
              </w:tc>
              <w:tc>
                <w:tcPr>
                  <w:tcW w:w="1142"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12 (60%)</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5 (71%)</w:t>
                  </w:r>
                </w:p>
              </w:tc>
            </w:tr>
            <w:tr w:rsidR="001D0FDA" w:rsidRPr="00351FF5" w:rsidTr="001D0FDA">
              <w:tc>
                <w:tcPr>
                  <w:tcW w:w="2101" w:type="dxa"/>
                  <w:tcBorders>
                    <w:top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IV</w:t>
                  </w:r>
                </w:p>
              </w:tc>
              <w:tc>
                <w:tcPr>
                  <w:tcW w:w="1142" w:type="dxa"/>
                  <w:tcBorders>
                    <w:top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0 (0%)</w:t>
                  </w:r>
                </w:p>
              </w:tc>
              <w:tc>
                <w:tcPr>
                  <w:tcW w:w="1134" w:type="dxa"/>
                  <w:tcBorders>
                    <w:top w:val="nil"/>
                  </w:tcBorders>
                </w:tcPr>
                <w:p w:rsidR="001D0FDA" w:rsidRPr="00351FF5" w:rsidRDefault="001D0FDA" w:rsidP="00B5196D">
                  <w:pPr>
                    <w:pStyle w:val="Tabletext"/>
                    <w:framePr w:hSpace="180" w:wrap="around" w:vAnchor="text" w:hAnchor="text" w:y="1"/>
                    <w:spacing w:before="0" w:after="0"/>
                    <w:jc w:val="center"/>
                    <w:rPr>
                      <w:rFonts w:cs="Tahoma"/>
                      <w:szCs w:val="18"/>
                    </w:rPr>
                  </w:pPr>
                  <w:r w:rsidRPr="00802B85">
                    <w:rPr>
                      <w:szCs w:val="18"/>
                    </w:rPr>
                    <w:t>0 (0%)</w:t>
                  </w:r>
                </w:p>
              </w:tc>
            </w:tr>
          </w:tbl>
          <w:p w:rsidR="001D0FDA" w:rsidRPr="00802B85" w:rsidRDefault="001D0FDA" w:rsidP="001D0FDA">
            <w:pPr>
              <w:pStyle w:val="Tabletext"/>
              <w:rPr>
                <w:szCs w:val="18"/>
              </w:rPr>
            </w:pPr>
          </w:p>
        </w:tc>
        <w:tc>
          <w:tcPr>
            <w:tcW w:w="811" w:type="pct"/>
          </w:tcPr>
          <w:p w:rsidR="001D0FDA" w:rsidRPr="00C5431E" w:rsidRDefault="001D0FDA" w:rsidP="001D0FDA">
            <w:pPr>
              <w:pStyle w:val="Tabletext"/>
              <w:rPr>
                <w:i/>
              </w:rPr>
            </w:pPr>
            <w:r w:rsidRPr="00C5431E">
              <w:rPr>
                <w:i/>
              </w:rPr>
              <w:t>Intervention</w:t>
            </w:r>
          </w:p>
          <w:p w:rsidR="001D0FDA" w:rsidRDefault="001D0FDA" w:rsidP="001D0FDA">
            <w:pPr>
              <w:pStyle w:val="Tabletext"/>
            </w:pPr>
            <w:r>
              <w:t>Riociguat: dose ad</w:t>
            </w:r>
            <w:r w:rsidRPr="00E621C7">
              <w:t>justed up to 2.5 mg</w:t>
            </w:r>
            <w:r>
              <w:t xml:space="preserve"> tid </w:t>
            </w:r>
          </w:p>
          <w:p w:rsidR="001D0FDA" w:rsidRDefault="001D0FDA" w:rsidP="001D0FDA">
            <w:pPr>
              <w:pStyle w:val="Tabletext"/>
            </w:pPr>
          </w:p>
          <w:p w:rsidR="001D0FDA" w:rsidRPr="00C5431E" w:rsidRDefault="001D0FDA" w:rsidP="001D0FDA">
            <w:pPr>
              <w:pStyle w:val="Tabletext"/>
              <w:rPr>
                <w:i/>
              </w:rPr>
            </w:pPr>
            <w:r w:rsidRPr="00C5431E">
              <w:rPr>
                <w:i/>
              </w:rPr>
              <w:t>Comparator</w:t>
            </w:r>
          </w:p>
          <w:p w:rsidR="001D0FDA" w:rsidRDefault="001D0FDA" w:rsidP="001D0FDA">
            <w:pPr>
              <w:pStyle w:val="Tabletext"/>
            </w:pPr>
            <w:r w:rsidRPr="00322E07">
              <w:t>Placebo</w:t>
            </w:r>
            <w:r>
              <w:t xml:space="preserve"> </w:t>
            </w:r>
          </w:p>
          <w:p w:rsidR="001D0FDA" w:rsidRDefault="001D0FDA" w:rsidP="001D0FDA">
            <w:pPr>
              <w:pStyle w:val="Tabletext"/>
            </w:pPr>
          </w:p>
          <w:p w:rsidR="001D0FDA" w:rsidRDefault="001D0FDA" w:rsidP="001D0FDA">
            <w:pPr>
              <w:pStyle w:val="Tabletext"/>
              <w:rPr>
                <w:i/>
              </w:rPr>
            </w:pPr>
            <w:r>
              <w:rPr>
                <w:i/>
              </w:rPr>
              <w:t xml:space="preserve">Background therapy: </w:t>
            </w:r>
          </w:p>
          <w:p w:rsidR="001D0FDA" w:rsidRDefault="001D0FDA" w:rsidP="001D0FDA">
            <w:pPr>
              <w:pStyle w:val="Tabletext"/>
              <w:rPr>
                <w:szCs w:val="18"/>
              </w:rPr>
            </w:pPr>
            <w:r>
              <w:rPr>
                <w:szCs w:val="18"/>
              </w:rPr>
              <w:t>ERA</w:t>
            </w:r>
            <w:r w:rsidRPr="00994A70">
              <w:rPr>
                <w:szCs w:val="18"/>
              </w:rPr>
              <w:t xml:space="preserve">: </w:t>
            </w:r>
            <w:r>
              <w:rPr>
                <w:szCs w:val="18"/>
              </w:rPr>
              <w:t>44% in the riociguat arm vs 43</w:t>
            </w:r>
            <w:r w:rsidRPr="00994A70">
              <w:rPr>
                <w:szCs w:val="18"/>
              </w:rPr>
              <w:t>% in the placebo arm</w:t>
            </w:r>
            <w:r>
              <w:rPr>
                <w:szCs w:val="18"/>
              </w:rPr>
              <w:t xml:space="preserve"> </w:t>
            </w:r>
          </w:p>
          <w:p w:rsidR="001D0FDA" w:rsidRPr="00994A70" w:rsidRDefault="001D0FDA" w:rsidP="001D0FDA">
            <w:pPr>
              <w:pStyle w:val="Tabletext"/>
              <w:rPr>
                <w:szCs w:val="18"/>
              </w:rPr>
            </w:pPr>
            <w:r>
              <w:rPr>
                <w:szCs w:val="18"/>
              </w:rPr>
              <w:t>Prostanoid (8% in the riociguat arm vs 6</w:t>
            </w:r>
            <w:r w:rsidRPr="00994A70">
              <w:rPr>
                <w:szCs w:val="18"/>
              </w:rPr>
              <w:t>% in the placebo arm</w:t>
            </w:r>
            <w:r>
              <w:rPr>
                <w:szCs w:val="18"/>
              </w:rPr>
              <w:t>)</w:t>
            </w:r>
          </w:p>
        </w:tc>
        <w:tc>
          <w:tcPr>
            <w:tcW w:w="771" w:type="pct"/>
          </w:tcPr>
          <w:p w:rsidR="001D0FDA" w:rsidRDefault="001D0FDA" w:rsidP="001D0FDA">
            <w:pPr>
              <w:pStyle w:val="Tabletext"/>
              <w:rPr>
                <w:rFonts w:cs="Tahoma"/>
                <w:i/>
                <w:szCs w:val="18"/>
              </w:rPr>
            </w:pPr>
            <w:r>
              <w:rPr>
                <w:rFonts w:cs="Tahoma"/>
                <w:i/>
                <w:szCs w:val="18"/>
              </w:rPr>
              <w:t>Effectiveness</w:t>
            </w:r>
          </w:p>
          <w:p w:rsidR="001D0FDA" w:rsidRDefault="001D0FDA" w:rsidP="001D0FDA">
            <w:pPr>
              <w:pStyle w:val="Tabletext"/>
              <w:rPr>
                <w:rFonts w:cs="Tahoma"/>
                <w:szCs w:val="18"/>
              </w:rPr>
            </w:pPr>
            <w:r>
              <w:rPr>
                <w:rFonts w:cs="Tahoma"/>
                <w:szCs w:val="18"/>
              </w:rPr>
              <w:t xml:space="preserve">Primary: </w:t>
            </w:r>
          </w:p>
          <w:p w:rsidR="001D0FDA" w:rsidRPr="00994A70" w:rsidRDefault="001D0FDA" w:rsidP="00480FDF">
            <w:pPr>
              <w:pStyle w:val="Tabletext"/>
              <w:numPr>
                <w:ilvl w:val="0"/>
                <w:numId w:val="54"/>
              </w:numPr>
              <w:ind w:left="239" w:hanging="144"/>
              <w:rPr>
                <w:rFonts w:cs="Tahoma"/>
                <w:szCs w:val="18"/>
              </w:rPr>
            </w:pPr>
            <w:r w:rsidRPr="00994A70">
              <w:rPr>
                <w:rFonts w:cs="Tahoma"/>
                <w:szCs w:val="18"/>
              </w:rPr>
              <w:t>Change in 6MWD at Week 16</w:t>
            </w:r>
            <w:r w:rsidRPr="00EA1FCD">
              <w:rPr>
                <w:rFonts w:cs="Tahoma"/>
                <w:szCs w:val="18"/>
                <w:vertAlign w:val="superscript"/>
              </w:rPr>
              <w:t>c</w:t>
            </w:r>
            <w:r w:rsidRPr="00994A70">
              <w:rPr>
                <w:rFonts w:cs="Tahoma"/>
                <w:szCs w:val="18"/>
              </w:rPr>
              <w:t xml:space="preserve"> </w:t>
            </w:r>
          </w:p>
          <w:p w:rsidR="001D0FDA" w:rsidRPr="00994A70" w:rsidRDefault="001D0FDA" w:rsidP="001D0FDA">
            <w:pPr>
              <w:pStyle w:val="Tabletext"/>
              <w:rPr>
                <w:rFonts w:cs="Tahoma"/>
                <w:szCs w:val="18"/>
              </w:rPr>
            </w:pPr>
            <w:r>
              <w:rPr>
                <w:rFonts w:cs="Tahoma"/>
                <w:szCs w:val="18"/>
              </w:rPr>
              <w:t>Secondary:</w:t>
            </w:r>
          </w:p>
          <w:p w:rsidR="001D0FDA" w:rsidRDefault="001D0FDA" w:rsidP="00480FDF">
            <w:pPr>
              <w:pStyle w:val="Tabletext"/>
              <w:numPr>
                <w:ilvl w:val="0"/>
                <w:numId w:val="54"/>
              </w:numPr>
              <w:ind w:left="239" w:hanging="144"/>
              <w:rPr>
                <w:rFonts w:cs="Tahoma"/>
                <w:szCs w:val="18"/>
              </w:rPr>
            </w:pPr>
            <w:r>
              <w:rPr>
                <w:rFonts w:cs="Tahoma"/>
                <w:szCs w:val="18"/>
              </w:rPr>
              <w:t xml:space="preserve">Change in </w:t>
            </w:r>
            <w:r w:rsidRPr="00994A70">
              <w:rPr>
                <w:rFonts w:cs="Tahoma"/>
                <w:szCs w:val="18"/>
              </w:rPr>
              <w:t>WHO FC at Week 16</w:t>
            </w:r>
            <w:r w:rsidRPr="00EA1FCD">
              <w:rPr>
                <w:rFonts w:cs="Tahoma"/>
                <w:szCs w:val="18"/>
                <w:vertAlign w:val="superscript"/>
              </w:rPr>
              <w:t>c</w:t>
            </w:r>
          </w:p>
          <w:p w:rsidR="001D0FDA" w:rsidRDefault="001D0FDA" w:rsidP="00480FDF">
            <w:pPr>
              <w:pStyle w:val="Tabletext"/>
              <w:numPr>
                <w:ilvl w:val="0"/>
                <w:numId w:val="54"/>
              </w:numPr>
              <w:ind w:left="239" w:hanging="144"/>
              <w:rPr>
                <w:rFonts w:cs="Tahoma"/>
                <w:szCs w:val="18"/>
              </w:rPr>
            </w:pPr>
            <w:r w:rsidRPr="00994A70">
              <w:rPr>
                <w:rFonts w:cs="Tahoma"/>
                <w:szCs w:val="18"/>
              </w:rPr>
              <w:t>Time to clinical worsening</w:t>
            </w:r>
            <w:r w:rsidRPr="00EA1FCD">
              <w:rPr>
                <w:rFonts w:cs="Tahoma"/>
                <w:szCs w:val="18"/>
                <w:vertAlign w:val="superscript"/>
              </w:rPr>
              <w:t>c</w:t>
            </w:r>
          </w:p>
          <w:p w:rsidR="001D0FDA" w:rsidRDefault="001D0FDA" w:rsidP="00480FDF">
            <w:pPr>
              <w:pStyle w:val="Tabletext"/>
              <w:numPr>
                <w:ilvl w:val="0"/>
                <w:numId w:val="54"/>
              </w:numPr>
              <w:ind w:left="239" w:hanging="144"/>
              <w:rPr>
                <w:rFonts w:cs="Tahoma"/>
                <w:szCs w:val="18"/>
              </w:rPr>
            </w:pPr>
            <w:r>
              <w:rPr>
                <w:rFonts w:cs="Tahoma"/>
                <w:szCs w:val="18"/>
              </w:rPr>
              <w:t xml:space="preserve">Change in </w:t>
            </w:r>
            <w:r w:rsidRPr="00EA1FCD">
              <w:rPr>
                <w:rFonts w:cs="Tahoma"/>
                <w:szCs w:val="18"/>
              </w:rPr>
              <w:t xml:space="preserve">EQ-5D </w:t>
            </w:r>
            <w:r>
              <w:rPr>
                <w:rFonts w:cs="Tahoma"/>
                <w:szCs w:val="18"/>
              </w:rPr>
              <w:t>score</w:t>
            </w:r>
            <w:r w:rsidRPr="00EA1FCD">
              <w:rPr>
                <w:rFonts w:cs="Tahoma"/>
                <w:szCs w:val="18"/>
                <w:vertAlign w:val="superscript"/>
              </w:rPr>
              <w:t>c</w:t>
            </w:r>
            <w:r w:rsidRPr="00EA1FCD">
              <w:rPr>
                <w:rFonts w:cs="Tahoma"/>
                <w:szCs w:val="18"/>
              </w:rPr>
              <w:t xml:space="preserve"> </w:t>
            </w:r>
          </w:p>
          <w:p w:rsidR="001D0FDA" w:rsidRPr="00C9445D" w:rsidRDefault="001D0FDA" w:rsidP="00480FDF">
            <w:pPr>
              <w:pStyle w:val="Tabletext"/>
              <w:numPr>
                <w:ilvl w:val="0"/>
                <w:numId w:val="54"/>
              </w:numPr>
              <w:ind w:left="239" w:hanging="144"/>
              <w:rPr>
                <w:rFonts w:cs="Tahoma"/>
                <w:szCs w:val="18"/>
              </w:rPr>
            </w:pPr>
            <w:r w:rsidRPr="00C9445D">
              <w:rPr>
                <w:rFonts w:cs="Tahoma"/>
                <w:szCs w:val="18"/>
              </w:rPr>
              <w:t xml:space="preserve">Change in </w:t>
            </w:r>
            <w:r w:rsidR="001C295E">
              <w:rPr>
                <w:rFonts w:cs="Tahoma"/>
                <w:szCs w:val="18"/>
              </w:rPr>
              <w:t>LPH</w:t>
            </w:r>
            <w:r w:rsidRPr="00C9445D">
              <w:rPr>
                <w:rFonts w:cs="Tahoma"/>
                <w:szCs w:val="18"/>
              </w:rPr>
              <w:t xml:space="preserve"> questionnaire score</w:t>
            </w:r>
            <w:r w:rsidRPr="00C9445D">
              <w:rPr>
                <w:rFonts w:cs="Tahoma"/>
                <w:szCs w:val="18"/>
                <w:vertAlign w:val="superscript"/>
              </w:rPr>
              <w:t>c</w:t>
            </w:r>
          </w:p>
          <w:p w:rsidR="001D0FDA" w:rsidRPr="00A80005" w:rsidRDefault="001D0FDA" w:rsidP="00480FDF">
            <w:pPr>
              <w:pStyle w:val="Tabletext"/>
              <w:numPr>
                <w:ilvl w:val="0"/>
                <w:numId w:val="54"/>
              </w:numPr>
              <w:ind w:left="239" w:hanging="144"/>
              <w:rPr>
                <w:rFonts w:cs="Tahoma"/>
                <w:szCs w:val="18"/>
              </w:rPr>
            </w:pPr>
            <w:r>
              <w:rPr>
                <w:rFonts w:cs="Tahoma"/>
                <w:szCs w:val="18"/>
              </w:rPr>
              <w:t>Change in PVR</w:t>
            </w:r>
            <w:r w:rsidRPr="00EA1FCD">
              <w:rPr>
                <w:rFonts w:cs="Tahoma"/>
                <w:szCs w:val="18"/>
                <w:vertAlign w:val="superscript"/>
              </w:rPr>
              <w:t>c</w:t>
            </w:r>
          </w:p>
          <w:p w:rsidR="001D0FDA" w:rsidRDefault="001D0FDA" w:rsidP="001D0FDA">
            <w:pPr>
              <w:pStyle w:val="Tabletext"/>
              <w:rPr>
                <w:rFonts w:cs="Tahoma"/>
                <w:szCs w:val="18"/>
              </w:rPr>
            </w:pPr>
            <w:r>
              <w:rPr>
                <w:rFonts w:cs="Tahoma"/>
                <w:szCs w:val="18"/>
              </w:rPr>
              <w:t>Others</w:t>
            </w:r>
          </w:p>
          <w:p w:rsidR="001D0FDA" w:rsidRDefault="001D0FDA" w:rsidP="00480FDF">
            <w:pPr>
              <w:pStyle w:val="Tabletext"/>
              <w:numPr>
                <w:ilvl w:val="0"/>
                <w:numId w:val="54"/>
              </w:numPr>
              <w:ind w:left="239" w:hanging="144"/>
              <w:rPr>
                <w:rFonts w:cs="Tahoma"/>
                <w:szCs w:val="18"/>
              </w:rPr>
            </w:pPr>
            <w:r>
              <w:rPr>
                <w:rFonts w:cs="Tahoma"/>
                <w:szCs w:val="18"/>
              </w:rPr>
              <w:t>Mortality</w:t>
            </w:r>
            <w:r w:rsidRPr="00EA1FCD">
              <w:rPr>
                <w:rFonts w:cs="Tahoma"/>
                <w:szCs w:val="18"/>
                <w:vertAlign w:val="superscript"/>
              </w:rPr>
              <w:t>c</w:t>
            </w:r>
          </w:p>
          <w:p w:rsidR="001D0FDA" w:rsidRPr="00EA1FCD" w:rsidRDefault="001D0FDA" w:rsidP="00480FDF">
            <w:pPr>
              <w:pStyle w:val="Tabletext"/>
              <w:numPr>
                <w:ilvl w:val="0"/>
                <w:numId w:val="54"/>
              </w:numPr>
              <w:ind w:left="239" w:hanging="144"/>
              <w:rPr>
                <w:rFonts w:cs="Tahoma"/>
                <w:szCs w:val="18"/>
              </w:rPr>
            </w:pPr>
            <w:r>
              <w:rPr>
                <w:rFonts w:cs="Tahoma"/>
                <w:szCs w:val="18"/>
              </w:rPr>
              <w:t>Hospitalisation</w:t>
            </w:r>
            <w:r w:rsidR="00444DBE">
              <w:rPr>
                <w:rFonts w:cs="Tahoma"/>
                <w:szCs w:val="18"/>
              </w:rPr>
              <w:t xml:space="preserve"> due to PAH</w:t>
            </w:r>
            <w:r w:rsidRPr="00EA1FCD">
              <w:rPr>
                <w:rFonts w:cs="Tahoma"/>
                <w:szCs w:val="18"/>
                <w:vertAlign w:val="superscript"/>
              </w:rPr>
              <w:t>c</w:t>
            </w:r>
          </w:p>
          <w:p w:rsidR="001D0FDA" w:rsidRPr="00A80005" w:rsidRDefault="001D0FDA" w:rsidP="001D0FDA">
            <w:pPr>
              <w:pStyle w:val="Tabletext"/>
              <w:rPr>
                <w:rFonts w:cs="Tahoma"/>
                <w:szCs w:val="18"/>
              </w:rPr>
            </w:pPr>
          </w:p>
          <w:p w:rsidR="001D0FDA" w:rsidRDefault="001D0FDA" w:rsidP="001D0FDA">
            <w:pPr>
              <w:pStyle w:val="Tabletext"/>
              <w:rPr>
                <w:rFonts w:cs="Tahoma"/>
                <w:i/>
                <w:szCs w:val="18"/>
              </w:rPr>
            </w:pPr>
            <w:r w:rsidRPr="00802B85">
              <w:rPr>
                <w:rFonts w:cs="Tahoma"/>
                <w:i/>
                <w:szCs w:val="18"/>
              </w:rPr>
              <w:t>S</w:t>
            </w:r>
            <w:r>
              <w:rPr>
                <w:rFonts w:cs="Tahoma"/>
                <w:i/>
                <w:szCs w:val="18"/>
              </w:rPr>
              <w:t>afety</w:t>
            </w:r>
          </w:p>
          <w:p w:rsidR="001D0FDA" w:rsidRPr="00351FF5" w:rsidRDefault="001D0FDA" w:rsidP="00480FDF">
            <w:pPr>
              <w:pStyle w:val="Tabletext"/>
              <w:numPr>
                <w:ilvl w:val="0"/>
                <w:numId w:val="54"/>
              </w:numPr>
              <w:ind w:left="239" w:hanging="144"/>
              <w:rPr>
                <w:rFonts w:cs="Tahoma"/>
                <w:i/>
                <w:szCs w:val="18"/>
              </w:rPr>
            </w:pPr>
            <w:r>
              <w:rPr>
                <w:rFonts w:cs="Tahoma"/>
                <w:szCs w:val="18"/>
              </w:rPr>
              <w:t>A</w:t>
            </w:r>
            <w:r w:rsidRPr="00351FF5">
              <w:rPr>
                <w:rFonts w:cs="Tahoma"/>
                <w:szCs w:val="18"/>
              </w:rPr>
              <w:t>dverse events</w:t>
            </w:r>
            <w:r w:rsidRPr="00351FF5">
              <w:rPr>
                <w:rFonts w:cs="Tahoma"/>
                <w:szCs w:val="18"/>
                <w:vertAlign w:val="superscript"/>
              </w:rPr>
              <w:t>c</w:t>
            </w:r>
          </w:p>
        </w:tc>
      </w:tr>
      <w:tr w:rsidR="001D0FDA" w:rsidRPr="00204000" w:rsidTr="001D0FDA">
        <w:tc>
          <w:tcPr>
            <w:tcW w:w="531"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lastRenderedPageBreak/>
              <w:t>PATENT-PLUS</w:t>
            </w:r>
            <w:r w:rsidR="001D34EE" w:rsidRPr="001A1C44">
              <w:rPr>
                <w:rFonts w:eastAsia="Times New Roman"/>
                <w:noProof/>
                <w:vertAlign w:val="superscript"/>
                <w:lang w:eastAsia="en-US"/>
              </w:rPr>
              <w:t>44</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2010-2013</w:t>
            </w:r>
          </w:p>
          <w:p w:rsidR="001D0FDA" w:rsidRDefault="001D0FDA" w:rsidP="001D0FDA">
            <w:pPr>
              <w:pStyle w:val="Tabletext"/>
              <w:rPr>
                <w:rFonts w:cs="Tahoma"/>
                <w:szCs w:val="18"/>
              </w:rPr>
            </w:pPr>
            <w:r w:rsidRPr="00D53F84">
              <w:rPr>
                <w:rFonts w:eastAsia="Times New Roman"/>
                <w:snapToGrid w:val="0"/>
                <w:lang w:eastAsia="en-US"/>
              </w:rPr>
              <w:t>Europe</w:t>
            </w:r>
          </w:p>
        </w:tc>
        <w:tc>
          <w:tcPr>
            <w:tcW w:w="476" w:type="pct"/>
          </w:tcPr>
          <w:p w:rsidR="001D0FDA" w:rsidRDefault="001D0FDA" w:rsidP="001D0FDA">
            <w:pPr>
              <w:pStyle w:val="Tabletext"/>
              <w:ind w:right="-28"/>
              <w:rPr>
                <w:rFonts w:eastAsia="Times New Roman"/>
                <w:snapToGrid w:val="0"/>
                <w:lang w:eastAsia="en-US"/>
              </w:rPr>
            </w:pPr>
            <w:r w:rsidRPr="00D53F84">
              <w:rPr>
                <w:rFonts w:eastAsia="Times New Roman"/>
                <w:snapToGrid w:val="0"/>
                <w:lang w:eastAsia="en-US"/>
              </w:rPr>
              <w:t>RCT, DB</w:t>
            </w:r>
          </w:p>
          <w:p w:rsidR="001D0FDA" w:rsidRDefault="001D0FDA" w:rsidP="001D0FDA">
            <w:pPr>
              <w:pStyle w:val="Tabletext"/>
              <w:ind w:right="-28"/>
              <w:rPr>
                <w:rFonts w:eastAsia="Times New Roman"/>
                <w:snapToGrid w:val="0"/>
                <w:lang w:eastAsia="en-US"/>
              </w:rPr>
            </w:pPr>
            <w:r>
              <w:rPr>
                <w:rFonts w:eastAsia="Times New Roman"/>
                <w:snapToGrid w:val="0"/>
                <w:lang w:eastAsia="en-US"/>
              </w:rPr>
              <w:t>Level II evidence</w:t>
            </w:r>
          </w:p>
          <w:p w:rsidR="001D0FDA" w:rsidRPr="00D53F84" w:rsidRDefault="001D0FDA" w:rsidP="001D0FDA">
            <w:pPr>
              <w:pStyle w:val="Tabletext"/>
              <w:ind w:right="-28"/>
              <w:rPr>
                <w:rFonts w:eastAsia="Times New Roman"/>
                <w:snapToGrid w:val="0"/>
                <w:lang w:eastAsia="en-US"/>
              </w:rPr>
            </w:pPr>
            <w:r>
              <w:rPr>
                <w:rFonts w:eastAsia="Times New Roman"/>
                <w:snapToGrid w:val="0"/>
                <w:lang w:eastAsia="en-US"/>
              </w:rPr>
              <w:t xml:space="preserve">Follow-up: </w:t>
            </w:r>
            <w:r w:rsidRPr="00D53F84">
              <w:rPr>
                <w:rFonts w:eastAsia="Times New Roman"/>
                <w:snapToGrid w:val="0"/>
                <w:lang w:eastAsia="en-US"/>
              </w:rPr>
              <w:t>12 weeks</w:t>
            </w:r>
          </w:p>
          <w:p w:rsidR="001D0FDA" w:rsidRPr="00D53F84" w:rsidRDefault="001D0FDA" w:rsidP="001D0FDA">
            <w:pPr>
              <w:pStyle w:val="Tabletext"/>
              <w:ind w:right="-28"/>
              <w:rPr>
                <w:rFonts w:eastAsia="Times New Roman"/>
                <w:lang w:eastAsia="en-US"/>
              </w:rPr>
            </w:pPr>
            <w:r>
              <w:rPr>
                <w:rFonts w:eastAsia="Times New Roman"/>
                <w:snapToGrid w:val="0"/>
                <w:lang w:eastAsia="en-US"/>
              </w:rPr>
              <w:t>Risk of bias: l</w:t>
            </w:r>
            <w:r w:rsidRPr="00D53F84">
              <w:rPr>
                <w:rFonts w:eastAsia="Times New Roman"/>
                <w:snapToGrid w:val="0"/>
                <w:lang w:eastAsia="en-US"/>
              </w:rPr>
              <w:t>ow</w:t>
            </w:r>
          </w:p>
        </w:tc>
        <w:tc>
          <w:tcPr>
            <w:tcW w:w="772" w:type="pct"/>
          </w:tcPr>
          <w:p w:rsidR="001D0FDA" w:rsidRDefault="001D0FDA" w:rsidP="001D0FDA">
            <w:pPr>
              <w:pStyle w:val="Tabletext"/>
              <w:rPr>
                <w:rFonts w:cs="Tahoma"/>
                <w:i/>
                <w:szCs w:val="18"/>
              </w:rPr>
            </w:pPr>
            <w:r w:rsidRPr="003775EB">
              <w:rPr>
                <w:rFonts w:cs="Tahoma"/>
                <w:i/>
                <w:szCs w:val="18"/>
              </w:rPr>
              <w:t>Inclusion criteria</w:t>
            </w:r>
          </w:p>
          <w:p w:rsidR="001D0FDA" w:rsidRDefault="001D0FDA" w:rsidP="00480FDF">
            <w:pPr>
              <w:pStyle w:val="Tabletext"/>
              <w:numPr>
                <w:ilvl w:val="0"/>
                <w:numId w:val="54"/>
              </w:numPr>
              <w:ind w:left="239" w:hanging="144"/>
              <w:rPr>
                <w:rFonts w:cs="Tahoma"/>
                <w:szCs w:val="18"/>
              </w:rPr>
            </w:pPr>
            <w:r>
              <w:rPr>
                <w:rFonts w:cs="Tahoma"/>
                <w:szCs w:val="18"/>
              </w:rPr>
              <w:t>A</w:t>
            </w:r>
            <w:r w:rsidRPr="003775EB">
              <w:rPr>
                <w:rFonts w:cs="Tahoma"/>
                <w:szCs w:val="18"/>
              </w:rPr>
              <w:t xml:space="preserve">ge </w:t>
            </w:r>
            <w:r>
              <w:rPr>
                <w:rFonts w:cs="Tahoma"/>
                <w:szCs w:val="18"/>
              </w:rPr>
              <w:t>of 18-75 years</w:t>
            </w:r>
          </w:p>
          <w:p w:rsidR="001D0FDA" w:rsidRPr="003775EB" w:rsidRDefault="001D0FDA" w:rsidP="00480FDF">
            <w:pPr>
              <w:pStyle w:val="Tabletext"/>
              <w:numPr>
                <w:ilvl w:val="0"/>
                <w:numId w:val="54"/>
              </w:numPr>
              <w:ind w:left="239" w:hanging="144"/>
              <w:rPr>
                <w:rFonts w:cs="Tahoma"/>
                <w:szCs w:val="18"/>
              </w:rPr>
            </w:pPr>
            <w:r w:rsidRPr="003775EB">
              <w:rPr>
                <w:rFonts w:cs="Tahoma"/>
                <w:szCs w:val="18"/>
              </w:rPr>
              <w:t>Patients with symptomatic PAH receiving stable ≥3 months) sildenafil therapy (approved dose: 20mg tid</w:t>
            </w:r>
          </w:p>
          <w:p w:rsidR="001D0FDA" w:rsidRDefault="001D0FDA" w:rsidP="00480FDF">
            <w:pPr>
              <w:pStyle w:val="Tabletext"/>
              <w:numPr>
                <w:ilvl w:val="0"/>
                <w:numId w:val="54"/>
              </w:numPr>
              <w:ind w:left="239" w:hanging="144"/>
              <w:rPr>
                <w:rFonts w:cs="Tahoma"/>
                <w:szCs w:val="18"/>
              </w:rPr>
            </w:pPr>
            <w:r>
              <w:rPr>
                <w:rFonts w:cs="Tahoma"/>
                <w:szCs w:val="18"/>
              </w:rPr>
              <w:t>6MWD &gt;150</w:t>
            </w:r>
            <w:r w:rsidRPr="003775EB">
              <w:rPr>
                <w:rFonts w:cs="Tahoma"/>
                <w:szCs w:val="18"/>
              </w:rPr>
              <w:t>m</w:t>
            </w:r>
          </w:p>
          <w:p w:rsidR="001D0FDA" w:rsidRDefault="001D0FDA" w:rsidP="00480FDF">
            <w:pPr>
              <w:pStyle w:val="Tabletext"/>
              <w:numPr>
                <w:ilvl w:val="0"/>
                <w:numId w:val="54"/>
              </w:numPr>
              <w:ind w:left="239" w:hanging="144"/>
              <w:rPr>
                <w:rFonts w:cs="Tahoma"/>
                <w:szCs w:val="18"/>
              </w:rPr>
            </w:pPr>
            <w:r w:rsidRPr="00134485">
              <w:rPr>
                <w:rFonts w:cs="Tahoma"/>
                <w:szCs w:val="18"/>
              </w:rPr>
              <w:t>PVR &gt;300 dyn*s*cm</w:t>
            </w:r>
            <w:r w:rsidRPr="00134485">
              <w:rPr>
                <w:rFonts w:cs="Tahoma"/>
                <w:szCs w:val="18"/>
                <w:vertAlign w:val="superscript"/>
              </w:rPr>
              <w:t>-5</w:t>
            </w:r>
            <w:r w:rsidRPr="00134485">
              <w:rPr>
                <w:rFonts w:cs="Tahoma"/>
                <w:szCs w:val="18"/>
              </w:rPr>
              <w:t xml:space="preserve">, mPAP≥25mgHg, SBP ≥95 mmHg and heart rate ≤105 beats/min in the first 2 </w:t>
            </w:r>
            <w:r>
              <w:rPr>
                <w:rFonts w:cs="Tahoma"/>
                <w:szCs w:val="18"/>
              </w:rPr>
              <w:t>hours after taking sildenafil</w:t>
            </w:r>
          </w:p>
          <w:p w:rsidR="001D0FDA" w:rsidRPr="00134485" w:rsidRDefault="001D0FDA" w:rsidP="001D0FDA">
            <w:pPr>
              <w:pStyle w:val="Tabletext"/>
              <w:ind w:left="95"/>
              <w:rPr>
                <w:rFonts w:cs="Tahoma"/>
                <w:szCs w:val="18"/>
              </w:rPr>
            </w:pPr>
          </w:p>
          <w:p w:rsidR="001D0FDA" w:rsidRDefault="001D0FDA" w:rsidP="001D0FDA">
            <w:pPr>
              <w:pStyle w:val="Tabletext"/>
              <w:rPr>
                <w:rFonts w:cs="Tahoma"/>
                <w:i/>
                <w:szCs w:val="18"/>
              </w:rPr>
            </w:pPr>
            <w:r w:rsidRPr="003775EB">
              <w:rPr>
                <w:rFonts w:cs="Tahoma"/>
                <w:i/>
                <w:szCs w:val="18"/>
              </w:rPr>
              <w:t>Exclusion criteria</w:t>
            </w:r>
          </w:p>
          <w:p w:rsidR="001D0FDA" w:rsidRDefault="001D0FDA" w:rsidP="00480FDF">
            <w:pPr>
              <w:pStyle w:val="Tabletext"/>
              <w:numPr>
                <w:ilvl w:val="0"/>
                <w:numId w:val="54"/>
              </w:numPr>
              <w:ind w:left="239" w:hanging="144"/>
              <w:rPr>
                <w:rFonts w:cs="Tahoma"/>
                <w:i/>
                <w:szCs w:val="18"/>
              </w:rPr>
            </w:pPr>
            <w:r w:rsidRPr="003775EB">
              <w:rPr>
                <w:rFonts w:cs="Tahoma"/>
                <w:szCs w:val="18"/>
              </w:rPr>
              <w:t>Patients receiving treat</w:t>
            </w:r>
            <w:r>
              <w:rPr>
                <w:rFonts w:cs="Tahoma"/>
                <w:szCs w:val="18"/>
              </w:rPr>
              <w:t>ment with other PDE-5is</w:t>
            </w:r>
            <w:r w:rsidRPr="003775EB">
              <w:rPr>
                <w:rFonts w:cs="Tahoma"/>
                <w:szCs w:val="18"/>
              </w:rPr>
              <w:t xml:space="preserve">, unspecific PDE inhibitors, ERAs, prostanoids or </w:t>
            </w:r>
            <w:r>
              <w:rPr>
                <w:rFonts w:cs="Tahoma"/>
                <w:szCs w:val="18"/>
              </w:rPr>
              <w:t>nitric oxide</w:t>
            </w:r>
            <w:r w:rsidRPr="003775EB">
              <w:rPr>
                <w:rFonts w:cs="Tahoma"/>
                <w:szCs w:val="18"/>
              </w:rPr>
              <w:t xml:space="preserve"> donors</w:t>
            </w:r>
          </w:p>
        </w:tc>
        <w:tc>
          <w:tcPr>
            <w:tcW w:w="0" w:type="auto"/>
          </w:tcPr>
          <w:p w:rsidR="001D0FDA" w:rsidRDefault="001D0FDA" w:rsidP="001D0FDA">
            <w:pPr>
              <w:pStyle w:val="Tabletext"/>
              <w:rPr>
                <w:rFonts w:cs="Tahoma"/>
                <w:szCs w:val="18"/>
              </w:rPr>
            </w:pPr>
            <w:r>
              <w:rPr>
                <w:rFonts w:cs="Tahoma"/>
                <w:szCs w:val="18"/>
              </w:rPr>
              <w:t>N=18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PATENT-PLUS"/>
            </w:tblPr>
            <w:tblGrid>
              <w:gridCol w:w="2101"/>
              <w:gridCol w:w="1001"/>
              <w:gridCol w:w="1134"/>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1D0FDA" w:rsidRPr="00351FF5" w:rsidRDefault="001D0FDA" w:rsidP="00B5196D">
                  <w:pPr>
                    <w:pStyle w:val="Tabletext"/>
                    <w:framePr w:hSpace="180" w:wrap="around" w:vAnchor="text" w:hAnchor="text" w:y="1"/>
                    <w:spacing w:before="0" w:after="0"/>
                    <w:rPr>
                      <w:rFonts w:cs="Tahoma"/>
                      <w:b/>
                      <w:szCs w:val="18"/>
                    </w:rPr>
                  </w:pPr>
                </w:p>
              </w:tc>
              <w:tc>
                <w:tcPr>
                  <w:tcW w:w="1001"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Pr>
                      <w:rFonts w:cs="Tahoma"/>
                      <w:szCs w:val="18"/>
                    </w:rPr>
                    <w:t>Riociguat</w:t>
                  </w:r>
                </w:p>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(N=</w:t>
                  </w:r>
                  <w:r>
                    <w:rPr>
                      <w:rFonts w:cs="Tahoma"/>
                      <w:szCs w:val="18"/>
                    </w:rPr>
                    <w:t>12</w:t>
                  </w:r>
                  <w:r w:rsidRPr="00802B85">
                    <w:rPr>
                      <w:rFonts w:cs="Tahoma"/>
                      <w:szCs w:val="18"/>
                    </w:rPr>
                    <w:t>)</w:t>
                  </w:r>
                </w:p>
              </w:tc>
              <w:tc>
                <w:tcPr>
                  <w:tcW w:w="1134"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Placebo</w:t>
                  </w:r>
                </w:p>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(N=</w:t>
                  </w:r>
                  <w:r>
                    <w:rPr>
                      <w:rFonts w:cs="Tahoma"/>
                      <w:szCs w:val="18"/>
                    </w:rPr>
                    <w:t>6</w:t>
                  </w:r>
                  <w:r w:rsidRPr="00802B85">
                    <w:rPr>
                      <w:rFonts w:cs="Tahoma"/>
                      <w:szCs w:val="18"/>
                    </w:rPr>
                    <w:t>)</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 xml:space="preserve">Age, mean±SD (yrs) </w:t>
                  </w:r>
                </w:p>
              </w:tc>
              <w:tc>
                <w:tcPr>
                  <w:tcW w:w="1001" w:type="dxa"/>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58±11</w:t>
                  </w:r>
                </w:p>
              </w:tc>
              <w:tc>
                <w:tcPr>
                  <w:tcW w:w="1134" w:type="dxa"/>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61±10</w:t>
                  </w:r>
                </w:p>
              </w:tc>
            </w:tr>
            <w:tr w:rsidR="001D0FDA" w:rsidRPr="00351FF5" w:rsidTr="001D0FDA">
              <w:tc>
                <w:tcPr>
                  <w:tcW w:w="2101"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Gender, femal</w:t>
                  </w:r>
                  <w:r>
                    <w:rPr>
                      <w:rFonts w:cs="Tahoma"/>
                      <w:szCs w:val="18"/>
                    </w:rPr>
                    <w:t>e</w:t>
                  </w:r>
                  <w:r w:rsidRPr="00351FF5">
                    <w:rPr>
                      <w:rFonts w:cs="Tahoma"/>
                      <w:szCs w:val="18"/>
                    </w:rPr>
                    <w:t>, n (%)</w:t>
                  </w:r>
                </w:p>
              </w:tc>
              <w:tc>
                <w:tcPr>
                  <w:tcW w:w="1001"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8 (67%)</w:t>
                  </w:r>
                </w:p>
              </w:tc>
              <w:tc>
                <w:tcPr>
                  <w:tcW w:w="1134"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4 (67%)</w:t>
                  </w:r>
                </w:p>
              </w:tc>
            </w:tr>
            <w:tr w:rsidR="001D0FDA" w:rsidRPr="00351FF5" w:rsidTr="001D0FDA">
              <w:tc>
                <w:tcPr>
                  <w:tcW w:w="2101"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PAH aetiology, n (%)</w:t>
                  </w:r>
                </w:p>
              </w:tc>
              <w:tc>
                <w:tcPr>
                  <w:tcW w:w="1001"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c>
                <w:tcPr>
                  <w:tcW w:w="1134"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IPAH</w:t>
                  </w:r>
                </w:p>
              </w:tc>
              <w:tc>
                <w:tcPr>
                  <w:tcW w:w="1001"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5 (42%)</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4 (67%)</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PAH-CTD</w:t>
                  </w:r>
                </w:p>
              </w:tc>
              <w:tc>
                <w:tcPr>
                  <w:tcW w:w="1001"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5 (42%)</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 (17%)</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PAH-CHD</w:t>
                  </w:r>
                </w:p>
              </w:tc>
              <w:tc>
                <w:tcPr>
                  <w:tcW w:w="1001" w:type="dxa"/>
                  <w:tcBorders>
                    <w:top w:val="nil"/>
                    <w:bottom w:val="nil"/>
                  </w:tcBorders>
                </w:tcPr>
                <w:p w:rsidR="001D0FDA" w:rsidRDefault="001D0FDA" w:rsidP="00B5196D">
                  <w:pPr>
                    <w:pStyle w:val="Tabletext"/>
                    <w:framePr w:hSpace="180" w:wrap="around" w:vAnchor="text" w:hAnchor="text" w:y="1"/>
                    <w:spacing w:before="0" w:after="0"/>
                    <w:jc w:val="center"/>
                    <w:rPr>
                      <w:rFonts w:cs="Tahoma"/>
                      <w:szCs w:val="18"/>
                    </w:rPr>
                  </w:pPr>
                  <w:r>
                    <w:rPr>
                      <w:rFonts w:cs="Tahoma"/>
                      <w:szCs w:val="18"/>
                    </w:rPr>
                    <w:t>1 (8%)</w:t>
                  </w:r>
                </w:p>
              </w:tc>
              <w:tc>
                <w:tcPr>
                  <w:tcW w:w="1134" w:type="dxa"/>
                  <w:tcBorders>
                    <w:top w:val="nil"/>
                    <w:bottom w:val="nil"/>
                  </w:tcBorders>
                </w:tcPr>
                <w:p w:rsidR="001D0FDA" w:rsidRDefault="001D0FDA" w:rsidP="00B5196D">
                  <w:pPr>
                    <w:pStyle w:val="Tabletext"/>
                    <w:framePr w:hSpace="180" w:wrap="around" w:vAnchor="text" w:hAnchor="text" w:y="1"/>
                    <w:spacing w:before="0" w:after="0"/>
                    <w:jc w:val="center"/>
                    <w:rPr>
                      <w:rFonts w:cs="Tahoma"/>
                      <w:szCs w:val="18"/>
                    </w:rPr>
                  </w:pPr>
                  <w:r>
                    <w:rPr>
                      <w:rFonts w:cs="Tahoma"/>
                      <w:szCs w:val="18"/>
                    </w:rPr>
                    <w:t>0 (0%)</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PAH-PH</w:t>
                  </w:r>
                </w:p>
              </w:tc>
              <w:tc>
                <w:tcPr>
                  <w:tcW w:w="1001" w:type="dxa"/>
                  <w:tcBorders>
                    <w:top w:val="nil"/>
                    <w:bottom w:val="nil"/>
                  </w:tcBorders>
                </w:tcPr>
                <w:p w:rsidR="001D0FDA" w:rsidRDefault="001D0FDA" w:rsidP="00B5196D">
                  <w:pPr>
                    <w:pStyle w:val="Tabletext"/>
                    <w:framePr w:hSpace="180" w:wrap="around" w:vAnchor="text" w:hAnchor="text" w:y="1"/>
                    <w:spacing w:before="0" w:after="0"/>
                    <w:jc w:val="center"/>
                    <w:rPr>
                      <w:rFonts w:cs="Tahoma"/>
                      <w:szCs w:val="18"/>
                    </w:rPr>
                  </w:pPr>
                  <w:r>
                    <w:rPr>
                      <w:rFonts w:cs="Tahoma"/>
                      <w:szCs w:val="18"/>
                    </w:rPr>
                    <w:t>1 (8%)</w:t>
                  </w:r>
                </w:p>
              </w:tc>
              <w:tc>
                <w:tcPr>
                  <w:tcW w:w="1134" w:type="dxa"/>
                  <w:tcBorders>
                    <w:top w:val="nil"/>
                    <w:bottom w:val="nil"/>
                  </w:tcBorders>
                </w:tcPr>
                <w:p w:rsidR="001D0FDA" w:rsidRDefault="001D0FDA" w:rsidP="00B5196D">
                  <w:pPr>
                    <w:pStyle w:val="Tabletext"/>
                    <w:framePr w:hSpace="180" w:wrap="around" w:vAnchor="text" w:hAnchor="text" w:y="1"/>
                    <w:spacing w:before="0" w:after="0"/>
                    <w:jc w:val="center"/>
                    <w:rPr>
                      <w:rFonts w:cs="Tahoma"/>
                      <w:szCs w:val="18"/>
                    </w:rPr>
                  </w:pPr>
                  <w:r>
                    <w:rPr>
                      <w:rFonts w:cs="Tahoma"/>
                      <w:szCs w:val="18"/>
                    </w:rPr>
                    <w:t>1 (17%)</w:t>
                  </w:r>
                </w:p>
              </w:tc>
            </w:tr>
            <w:tr w:rsidR="001D0FDA" w:rsidRPr="00351FF5" w:rsidTr="001D0FDA">
              <w:tc>
                <w:tcPr>
                  <w:tcW w:w="2101"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WHO FC</w:t>
                  </w:r>
                  <w:r>
                    <w:rPr>
                      <w:rFonts w:cs="Tahoma"/>
                      <w:szCs w:val="18"/>
                    </w:rPr>
                    <w:t>, n (%)</w:t>
                  </w:r>
                </w:p>
              </w:tc>
              <w:tc>
                <w:tcPr>
                  <w:tcW w:w="1001"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c>
                <w:tcPr>
                  <w:tcW w:w="1134"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w:t>
                  </w:r>
                </w:p>
              </w:tc>
              <w:tc>
                <w:tcPr>
                  <w:tcW w:w="1001"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 (8%)</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0 (0%)</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II</w:t>
                  </w:r>
                </w:p>
              </w:tc>
              <w:tc>
                <w:tcPr>
                  <w:tcW w:w="1001"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6 (50%)</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4 (67%)</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III</w:t>
                  </w:r>
                </w:p>
              </w:tc>
              <w:tc>
                <w:tcPr>
                  <w:tcW w:w="1001"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4 (33%)</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2 (33%)</w:t>
                  </w:r>
                </w:p>
              </w:tc>
            </w:tr>
            <w:tr w:rsidR="001D0FDA" w:rsidRPr="00351FF5" w:rsidTr="001D0FDA">
              <w:tc>
                <w:tcPr>
                  <w:tcW w:w="2101" w:type="dxa"/>
                  <w:tcBorders>
                    <w:top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IV</w:t>
                  </w:r>
                </w:p>
              </w:tc>
              <w:tc>
                <w:tcPr>
                  <w:tcW w:w="1001" w:type="dxa"/>
                  <w:tcBorders>
                    <w:top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 (8%)</w:t>
                  </w:r>
                </w:p>
              </w:tc>
              <w:tc>
                <w:tcPr>
                  <w:tcW w:w="1134" w:type="dxa"/>
                  <w:tcBorders>
                    <w:top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0 (0%)</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Pr>
                      <w:rFonts w:cs="Tahoma"/>
                      <w:szCs w:val="18"/>
                    </w:rPr>
                    <w:t>PVR, mean±SD (dyn*s*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001"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573±241</w:t>
                  </w:r>
                </w:p>
              </w:tc>
              <w:tc>
                <w:tcPr>
                  <w:tcW w:w="1134"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683±195</w:t>
                  </w:r>
                </w:p>
              </w:tc>
            </w:tr>
          </w:tbl>
          <w:p w:rsidR="001D0FDA" w:rsidRDefault="001D0FDA" w:rsidP="001D0FDA">
            <w:pPr>
              <w:pStyle w:val="Tabletext"/>
              <w:rPr>
                <w:szCs w:val="18"/>
              </w:rPr>
            </w:pPr>
          </w:p>
        </w:tc>
        <w:tc>
          <w:tcPr>
            <w:tcW w:w="811" w:type="pct"/>
          </w:tcPr>
          <w:p w:rsidR="001D0FDA" w:rsidRPr="00134485" w:rsidRDefault="001D0FDA" w:rsidP="001D0FDA">
            <w:pPr>
              <w:pStyle w:val="Tabletext"/>
              <w:rPr>
                <w:i/>
              </w:rPr>
            </w:pPr>
            <w:r w:rsidRPr="00134485">
              <w:rPr>
                <w:i/>
              </w:rPr>
              <w:t>Intervention</w:t>
            </w:r>
          </w:p>
          <w:p w:rsidR="001D0FDA" w:rsidRDefault="001D0FDA" w:rsidP="001D0FDA">
            <w:pPr>
              <w:pStyle w:val="Tabletext"/>
            </w:pPr>
            <w:r>
              <w:t>R</w:t>
            </w:r>
            <w:r w:rsidRPr="00134485">
              <w:t>iociguat</w:t>
            </w:r>
            <w:r>
              <w:t>: up to 2.5</w:t>
            </w:r>
            <w:r w:rsidRPr="00134485">
              <w:t xml:space="preserve">mg </w:t>
            </w:r>
            <w:r>
              <w:t>tid</w:t>
            </w:r>
          </w:p>
          <w:p w:rsidR="001D0FDA" w:rsidRPr="00134485" w:rsidRDefault="001D0FDA" w:rsidP="001D0FDA">
            <w:pPr>
              <w:pStyle w:val="Tabletext"/>
            </w:pPr>
          </w:p>
          <w:p w:rsidR="001D0FDA" w:rsidRPr="00134485" w:rsidRDefault="001D0FDA" w:rsidP="001D0FDA">
            <w:pPr>
              <w:pStyle w:val="Tabletext"/>
              <w:rPr>
                <w:i/>
              </w:rPr>
            </w:pPr>
            <w:r w:rsidRPr="00134485">
              <w:rPr>
                <w:i/>
              </w:rPr>
              <w:t>Comparator</w:t>
            </w:r>
          </w:p>
          <w:p w:rsidR="001D0FDA" w:rsidRPr="00134485" w:rsidRDefault="001D0FDA" w:rsidP="001D0FDA">
            <w:pPr>
              <w:pStyle w:val="Tabletext"/>
            </w:pPr>
            <w:r w:rsidRPr="00134485">
              <w:t xml:space="preserve">Placebo </w:t>
            </w:r>
          </w:p>
          <w:p w:rsidR="001D0FDA" w:rsidRDefault="001D0FDA" w:rsidP="001D0FDA">
            <w:pPr>
              <w:pStyle w:val="Tabletext"/>
            </w:pPr>
          </w:p>
          <w:p w:rsidR="001D0FDA" w:rsidRDefault="001D0FDA" w:rsidP="001D0FDA">
            <w:pPr>
              <w:pStyle w:val="Tabletext"/>
              <w:rPr>
                <w:i/>
              </w:rPr>
            </w:pPr>
            <w:r>
              <w:rPr>
                <w:i/>
              </w:rPr>
              <w:t>Background therapy</w:t>
            </w:r>
          </w:p>
          <w:p w:rsidR="001D0FDA" w:rsidRPr="00C5431E" w:rsidRDefault="001D0FDA" w:rsidP="001D0FDA">
            <w:pPr>
              <w:pStyle w:val="Tabletext"/>
              <w:rPr>
                <w:i/>
              </w:rPr>
            </w:pPr>
            <w:r>
              <w:t>Sildenafil (100%): 20mg tid</w:t>
            </w:r>
          </w:p>
        </w:tc>
        <w:tc>
          <w:tcPr>
            <w:tcW w:w="771" w:type="pct"/>
          </w:tcPr>
          <w:p w:rsidR="001D0FDA" w:rsidRDefault="001D0FDA" w:rsidP="001D0FDA">
            <w:pPr>
              <w:pStyle w:val="Tabletext"/>
              <w:rPr>
                <w:rFonts w:cs="Tahoma"/>
                <w:i/>
                <w:szCs w:val="18"/>
              </w:rPr>
            </w:pPr>
            <w:r>
              <w:rPr>
                <w:rFonts w:cs="Tahoma"/>
                <w:i/>
                <w:szCs w:val="18"/>
              </w:rPr>
              <w:t>Effectiveness</w:t>
            </w:r>
          </w:p>
          <w:p w:rsidR="001D0FDA" w:rsidRDefault="001D0FDA" w:rsidP="001D0FDA">
            <w:pPr>
              <w:pStyle w:val="Tabletext"/>
              <w:rPr>
                <w:rFonts w:cs="Tahoma"/>
                <w:szCs w:val="18"/>
              </w:rPr>
            </w:pPr>
            <w:r w:rsidRPr="00FC35EB">
              <w:rPr>
                <w:rFonts w:cs="Tahoma"/>
                <w:szCs w:val="18"/>
              </w:rPr>
              <w:t xml:space="preserve">Primary </w:t>
            </w:r>
          </w:p>
          <w:p w:rsidR="001D0FDA" w:rsidRPr="00FC35EB" w:rsidRDefault="001D0FDA" w:rsidP="00480FDF">
            <w:pPr>
              <w:pStyle w:val="Tabletext"/>
              <w:numPr>
                <w:ilvl w:val="0"/>
                <w:numId w:val="54"/>
              </w:numPr>
              <w:ind w:left="239" w:hanging="144"/>
              <w:rPr>
                <w:rFonts w:cs="Tahoma"/>
                <w:szCs w:val="18"/>
              </w:rPr>
            </w:pPr>
            <w:r w:rsidRPr="00FC35EB">
              <w:rPr>
                <w:rFonts w:cs="Tahoma"/>
                <w:szCs w:val="18"/>
              </w:rPr>
              <w:t xml:space="preserve">Maximum change in supine SBP from baseline within 4 </w:t>
            </w:r>
            <w:r>
              <w:rPr>
                <w:rFonts w:cs="Tahoma"/>
                <w:szCs w:val="18"/>
              </w:rPr>
              <w:t>hours</w:t>
            </w:r>
            <w:r w:rsidRPr="00FC35EB">
              <w:rPr>
                <w:rFonts w:cs="Tahoma"/>
                <w:szCs w:val="18"/>
              </w:rPr>
              <w:t xml:space="preserve"> of dosing</w:t>
            </w:r>
          </w:p>
          <w:p w:rsidR="001D0FDA" w:rsidRPr="00FC35EB" w:rsidRDefault="001D0FDA" w:rsidP="001D0FDA">
            <w:pPr>
              <w:pStyle w:val="Tabletext"/>
              <w:rPr>
                <w:rFonts w:cs="Tahoma"/>
                <w:szCs w:val="18"/>
              </w:rPr>
            </w:pPr>
            <w:r w:rsidRPr="00FC35EB">
              <w:rPr>
                <w:rFonts w:cs="Tahoma"/>
                <w:szCs w:val="18"/>
              </w:rPr>
              <w:t>Secondary:</w:t>
            </w:r>
          </w:p>
          <w:p w:rsidR="001D0FDA" w:rsidRDefault="001D0FDA" w:rsidP="00480FDF">
            <w:pPr>
              <w:pStyle w:val="Tabletext"/>
              <w:numPr>
                <w:ilvl w:val="0"/>
                <w:numId w:val="54"/>
              </w:numPr>
              <w:ind w:left="239" w:hanging="144"/>
              <w:rPr>
                <w:rFonts w:cs="Tahoma"/>
                <w:szCs w:val="18"/>
              </w:rPr>
            </w:pPr>
            <w:r>
              <w:rPr>
                <w:rFonts w:cs="Tahoma"/>
                <w:szCs w:val="18"/>
              </w:rPr>
              <w:t>M</w:t>
            </w:r>
            <w:r w:rsidRPr="00FC35EB">
              <w:rPr>
                <w:rFonts w:cs="Tahoma"/>
                <w:szCs w:val="18"/>
              </w:rPr>
              <w:t xml:space="preserve">aximum change in standing SBP, supine and standing DBP, and supine and standing </w:t>
            </w:r>
            <w:r>
              <w:rPr>
                <w:rFonts w:cs="Tahoma"/>
                <w:szCs w:val="18"/>
              </w:rPr>
              <w:t>heart rate</w:t>
            </w:r>
            <w:r w:rsidRPr="00FC35EB">
              <w:rPr>
                <w:rFonts w:cs="Tahoma"/>
                <w:szCs w:val="18"/>
              </w:rPr>
              <w:t xml:space="preserve"> from baseline within 4 h</w:t>
            </w:r>
            <w:r>
              <w:rPr>
                <w:rFonts w:cs="Tahoma"/>
                <w:szCs w:val="18"/>
              </w:rPr>
              <w:t>ours</w:t>
            </w:r>
            <w:r w:rsidRPr="00FC35EB">
              <w:rPr>
                <w:rFonts w:cs="Tahoma"/>
                <w:szCs w:val="18"/>
              </w:rPr>
              <w:t xml:space="preserve"> of study medication</w:t>
            </w:r>
          </w:p>
          <w:p w:rsidR="001D0FDA" w:rsidRPr="00FC35EB" w:rsidRDefault="001D0FDA" w:rsidP="00480FDF">
            <w:pPr>
              <w:pStyle w:val="Tabletext"/>
              <w:numPr>
                <w:ilvl w:val="0"/>
                <w:numId w:val="54"/>
              </w:numPr>
              <w:ind w:left="239" w:hanging="144"/>
              <w:rPr>
                <w:rFonts w:cs="Tahoma"/>
                <w:szCs w:val="18"/>
              </w:rPr>
            </w:pPr>
            <w:r w:rsidRPr="00FC35EB">
              <w:rPr>
                <w:rFonts w:cs="Tahoma"/>
                <w:szCs w:val="18"/>
              </w:rPr>
              <w:t>Area under effect curve for change from baseline in standing and supine SBP, DBP and heart rate within 4 h</w:t>
            </w:r>
            <w:r>
              <w:rPr>
                <w:rFonts w:cs="Tahoma"/>
                <w:szCs w:val="18"/>
              </w:rPr>
              <w:t>ours</w:t>
            </w:r>
            <w:r w:rsidRPr="00FC35EB">
              <w:rPr>
                <w:rFonts w:cs="Tahoma"/>
                <w:szCs w:val="18"/>
              </w:rPr>
              <w:t xml:space="preserve"> of study</w:t>
            </w:r>
          </w:p>
          <w:p w:rsidR="001D0FDA" w:rsidRDefault="001D0FDA" w:rsidP="00480FDF">
            <w:pPr>
              <w:pStyle w:val="Tabletext"/>
              <w:numPr>
                <w:ilvl w:val="0"/>
                <w:numId w:val="54"/>
              </w:numPr>
              <w:ind w:left="239" w:hanging="144"/>
              <w:rPr>
                <w:rFonts w:cs="Tahoma"/>
                <w:szCs w:val="18"/>
              </w:rPr>
            </w:pPr>
            <w:r>
              <w:rPr>
                <w:rFonts w:cs="Tahoma"/>
                <w:szCs w:val="18"/>
              </w:rPr>
              <w:t>C</w:t>
            </w:r>
            <w:r w:rsidRPr="00FC35EB">
              <w:rPr>
                <w:rFonts w:cs="Tahoma"/>
                <w:szCs w:val="18"/>
              </w:rPr>
              <w:t>hanges in 6MWD</w:t>
            </w:r>
            <w:r>
              <w:rPr>
                <w:rFonts w:cs="Tahoma"/>
                <w:szCs w:val="18"/>
              </w:rPr>
              <w:t xml:space="preserve"> at Week 12</w:t>
            </w:r>
            <w:r>
              <w:rPr>
                <w:rFonts w:cs="Tahoma"/>
                <w:szCs w:val="18"/>
                <w:vertAlign w:val="superscript"/>
              </w:rPr>
              <w:t>c</w:t>
            </w:r>
          </w:p>
          <w:p w:rsidR="001D0FDA" w:rsidRDefault="001D0FDA" w:rsidP="00480FDF">
            <w:pPr>
              <w:pStyle w:val="Tabletext"/>
              <w:numPr>
                <w:ilvl w:val="0"/>
                <w:numId w:val="54"/>
              </w:numPr>
              <w:ind w:left="239" w:hanging="144"/>
              <w:rPr>
                <w:rFonts w:cs="Tahoma"/>
                <w:szCs w:val="18"/>
              </w:rPr>
            </w:pPr>
            <w:r>
              <w:rPr>
                <w:rFonts w:cs="Tahoma"/>
                <w:szCs w:val="18"/>
              </w:rPr>
              <w:t>Change in WHO FC at Week 12</w:t>
            </w:r>
            <w:r>
              <w:rPr>
                <w:rFonts w:cs="Tahoma"/>
                <w:szCs w:val="18"/>
                <w:vertAlign w:val="superscript"/>
              </w:rPr>
              <w:t>c</w:t>
            </w:r>
          </w:p>
          <w:p w:rsidR="001D0FDA" w:rsidRDefault="001D0FDA" w:rsidP="00480FDF">
            <w:pPr>
              <w:pStyle w:val="Tabletext"/>
              <w:numPr>
                <w:ilvl w:val="0"/>
                <w:numId w:val="54"/>
              </w:numPr>
              <w:ind w:left="239" w:hanging="144"/>
              <w:rPr>
                <w:rFonts w:cs="Tahoma"/>
                <w:szCs w:val="18"/>
              </w:rPr>
            </w:pPr>
            <w:r>
              <w:rPr>
                <w:rFonts w:cs="Tahoma"/>
                <w:szCs w:val="18"/>
              </w:rPr>
              <w:t>Time to clinical worsening</w:t>
            </w:r>
            <w:r>
              <w:rPr>
                <w:rFonts w:cs="Tahoma"/>
                <w:szCs w:val="18"/>
                <w:vertAlign w:val="superscript"/>
              </w:rPr>
              <w:t>c</w:t>
            </w:r>
          </w:p>
          <w:p w:rsidR="001D0FDA" w:rsidRDefault="001D0FDA" w:rsidP="00480FDF">
            <w:pPr>
              <w:pStyle w:val="Tabletext"/>
              <w:numPr>
                <w:ilvl w:val="0"/>
                <w:numId w:val="54"/>
              </w:numPr>
              <w:ind w:left="239" w:hanging="144"/>
              <w:rPr>
                <w:rFonts w:cs="Tahoma"/>
                <w:szCs w:val="18"/>
              </w:rPr>
            </w:pPr>
          </w:p>
          <w:p w:rsidR="001D0FDA" w:rsidRDefault="001D0FDA" w:rsidP="00480FDF">
            <w:pPr>
              <w:pStyle w:val="Tabletext"/>
              <w:numPr>
                <w:ilvl w:val="0"/>
                <w:numId w:val="54"/>
              </w:numPr>
              <w:ind w:left="239" w:hanging="144"/>
              <w:rPr>
                <w:rFonts w:cs="Tahoma"/>
                <w:szCs w:val="18"/>
              </w:rPr>
            </w:pPr>
            <w:r>
              <w:rPr>
                <w:rFonts w:cs="Tahoma"/>
                <w:szCs w:val="18"/>
              </w:rPr>
              <w:t>Change in PVR, mPAP and CI at Week 12</w:t>
            </w:r>
          </w:p>
          <w:p w:rsidR="00A073C5" w:rsidRDefault="00A073C5" w:rsidP="00A073C5">
            <w:pPr>
              <w:pStyle w:val="Tabletext"/>
              <w:rPr>
                <w:rFonts w:cs="Tahoma"/>
                <w:szCs w:val="18"/>
              </w:rPr>
            </w:pPr>
            <w:r>
              <w:rPr>
                <w:rFonts w:cs="Tahoma"/>
                <w:szCs w:val="18"/>
              </w:rPr>
              <w:t>Others:</w:t>
            </w:r>
          </w:p>
          <w:p w:rsidR="00A073C5" w:rsidRPr="00ED4111" w:rsidRDefault="00A073C5" w:rsidP="00480FDF">
            <w:pPr>
              <w:pStyle w:val="Tabletext"/>
              <w:numPr>
                <w:ilvl w:val="0"/>
                <w:numId w:val="54"/>
              </w:numPr>
              <w:ind w:left="239" w:hanging="144"/>
              <w:rPr>
                <w:rFonts w:cs="Tahoma"/>
                <w:szCs w:val="18"/>
              </w:rPr>
            </w:pPr>
            <w:r>
              <w:rPr>
                <w:rFonts w:cs="Tahoma"/>
                <w:szCs w:val="18"/>
              </w:rPr>
              <w:t>Mortality</w:t>
            </w:r>
            <w:r>
              <w:rPr>
                <w:rFonts w:cs="Tahoma"/>
                <w:szCs w:val="18"/>
                <w:vertAlign w:val="superscript"/>
              </w:rPr>
              <w:t>c</w:t>
            </w:r>
          </w:p>
          <w:p w:rsidR="00A073C5" w:rsidRPr="001D75C0" w:rsidRDefault="00A073C5" w:rsidP="00480FDF">
            <w:pPr>
              <w:pStyle w:val="Tabletext"/>
              <w:numPr>
                <w:ilvl w:val="0"/>
                <w:numId w:val="54"/>
              </w:numPr>
              <w:ind w:left="239" w:hanging="144"/>
              <w:rPr>
                <w:rFonts w:cs="Tahoma"/>
                <w:szCs w:val="18"/>
              </w:rPr>
            </w:pPr>
            <w:r>
              <w:rPr>
                <w:rFonts w:cs="Tahoma"/>
                <w:szCs w:val="18"/>
              </w:rPr>
              <w:t>Hospitalisation due to PAH</w:t>
            </w:r>
          </w:p>
          <w:p w:rsidR="001D0FDA" w:rsidRPr="00FC35EB" w:rsidRDefault="001D0FDA" w:rsidP="001D0FDA">
            <w:pPr>
              <w:pStyle w:val="Tabletext"/>
              <w:ind w:left="239"/>
              <w:rPr>
                <w:rFonts w:cs="Tahoma"/>
                <w:szCs w:val="18"/>
              </w:rPr>
            </w:pPr>
          </w:p>
          <w:p w:rsidR="001D0FDA" w:rsidRPr="00FC35EB" w:rsidRDefault="001D0FDA" w:rsidP="001D0FDA">
            <w:pPr>
              <w:pStyle w:val="Tabletext"/>
              <w:rPr>
                <w:rFonts w:cs="Tahoma"/>
                <w:i/>
                <w:szCs w:val="18"/>
              </w:rPr>
            </w:pPr>
            <w:r>
              <w:rPr>
                <w:rFonts w:cs="Tahoma"/>
                <w:i/>
                <w:szCs w:val="18"/>
              </w:rPr>
              <w:t>Safety</w:t>
            </w:r>
          </w:p>
          <w:p w:rsidR="001D0FDA" w:rsidRDefault="001D0FDA" w:rsidP="00480FDF">
            <w:pPr>
              <w:pStyle w:val="Tabletext"/>
              <w:numPr>
                <w:ilvl w:val="0"/>
                <w:numId w:val="54"/>
              </w:numPr>
              <w:ind w:left="239" w:hanging="144"/>
              <w:rPr>
                <w:rFonts w:cs="Tahoma"/>
                <w:i/>
                <w:szCs w:val="18"/>
              </w:rPr>
            </w:pPr>
            <w:r>
              <w:rPr>
                <w:rFonts w:cs="Tahoma"/>
                <w:szCs w:val="18"/>
              </w:rPr>
              <w:t>Adverse events</w:t>
            </w:r>
            <w:r>
              <w:rPr>
                <w:rFonts w:cs="Tahoma"/>
                <w:szCs w:val="18"/>
                <w:vertAlign w:val="superscript"/>
              </w:rPr>
              <w:t>c</w:t>
            </w:r>
          </w:p>
        </w:tc>
      </w:tr>
      <w:tr w:rsidR="001D0FDA" w:rsidRPr="00204000" w:rsidTr="001D0FDA">
        <w:tc>
          <w:tcPr>
            <w:tcW w:w="531" w:type="pct"/>
          </w:tcPr>
          <w:p w:rsidR="001D0FDA" w:rsidRPr="00D53F84" w:rsidRDefault="001D0FDA" w:rsidP="001D0FDA">
            <w:pPr>
              <w:pStyle w:val="Tabletext"/>
              <w:ind w:right="-28"/>
              <w:rPr>
                <w:rFonts w:eastAsia="Times New Roman"/>
              </w:rPr>
            </w:pPr>
            <w:r w:rsidRPr="00D53F84">
              <w:rPr>
                <w:rFonts w:eastAsia="Times New Roman"/>
              </w:rPr>
              <w:lastRenderedPageBreak/>
              <w:t>PHIRST</w:t>
            </w:r>
            <w:r w:rsidR="001D34EE" w:rsidRPr="001D34EE">
              <w:rPr>
                <w:rFonts w:eastAsia="Times New Roman"/>
                <w:noProof/>
                <w:vertAlign w:val="superscript"/>
              </w:rPr>
              <w:t>12, 13, 45</w:t>
            </w:r>
          </w:p>
          <w:p w:rsidR="001D0FDA" w:rsidRPr="00D53F84" w:rsidRDefault="001D0FDA" w:rsidP="001D0FDA">
            <w:pPr>
              <w:pStyle w:val="Tabletext"/>
              <w:ind w:right="-28"/>
              <w:rPr>
                <w:rFonts w:eastAsia="Times New Roman"/>
              </w:rPr>
            </w:pPr>
            <w:r w:rsidRPr="00D53F84">
              <w:rPr>
                <w:rFonts w:eastAsia="Times New Roman"/>
                <w:lang w:eastAsia="en-US"/>
              </w:rPr>
              <w:t>2005-2007</w:t>
            </w:r>
          </w:p>
          <w:p w:rsidR="001D0FDA" w:rsidRDefault="001D0FDA" w:rsidP="001D0FDA">
            <w:pPr>
              <w:pStyle w:val="Tabletext"/>
              <w:rPr>
                <w:rFonts w:cs="Tahoma"/>
                <w:szCs w:val="18"/>
              </w:rPr>
            </w:pPr>
            <w:r w:rsidRPr="00D53F84">
              <w:rPr>
                <w:rFonts w:eastAsia="Times New Roman"/>
                <w:lang w:eastAsia="en-US"/>
              </w:rPr>
              <w:t>US, Canada, Europe, Japan</w:t>
            </w:r>
          </w:p>
        </w:tc>
        <w:tc>
          <w:tcPr>
            <w:tcW w:w="47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w:t>
            </w:r>
          </w:p>
          <w:p w:rsidR="001D0FDA" w:rsidRDefault="001D0FDA" w:rsidP="001D0FDA">
            <w:pPr>
              <w:pStyle w:val="Tabletext"/>
              <w:ind w:right="-28"/>
              <w:rPr>
                <w:rFonts w:eastAsia="Times New Roman"/>
                <w:snapToGrid w:val="0"/>
                <w:lang w:eastAsia="en-US"/>
              </w:rPr>
            </w:pPr>
            <w:r>
              <w:rPr>
                <w:rFonts w:eastAsia="Times New Roman"/>
                <w:snapToGrid w:val="0"/>
                <w:lang w:eastAsia="en-US"/>
              </w:rPr>
              <w:t>Level II evidence</w:t>
            </w:r>
          </w:p>
          <w:p w:rsidR="001D0FDA" w:rsidRPr="00D53F84" w:rsidRDefault="001D0FDA" w:rsidP="001D0FDA">
            <w:pPr>
              <w:pStyle w:val="Tabletext"/>
              <w:ind w:right="-28"/>
              <w:rPr>
                <w:rFonts w:eastAsia="Times New Roman"/>
                <w:lang w:eastAsia="en-US"/>
              </w:rPr>
            </w:pPr>
            <w:r>
              <w:rPr>
                <w:rFonts w:eastAsia="Times New Roman"/>
                <w:snapToGrid w:val="0"/>
                <w:lang w:eastAsia="en-US"/>
              </w:rPr>
              <w:t xml:space="preserve">Follow-up: </w:t>
            </w:r>
            <w:r w:rsidRPr="00D53F84">
              <w:rPr>
                <w:rFonts w:eastAsia="Times New Roman"/>
                <w:lang w:eastAsia="en-US"/>
              </w:rPr>
              <w:t>16 weeks</w:t>
            </w:r>
          </w:p>
          <w:p w:rsidR="001D0FDA" w:rsidRPr="00D53F84" w:rsidRDefault="001D0FDA" w:rsidP="001D0FDA">
            <w:pPr>
              <w:pStyle w:val="Tabletext"/>
              <w:ind w:right="-28"/>
              <w:rPr>
                <w:rFonts w:eastAsia="Times New Roman"/>
                <w:lang w:eastAsia="en-US"/>
              </w:rPr>
            </w:pPr>
            <w:r>
              <w:rPr>
                <w:rFonts w:eastAsia="Times New Roman"/>
                <w:snapToGrid w:val="0"/>
                <w:lang w:eastAsia="en-US"/>
              </w:rPr>
              <w:t>Risk of bias: l</w:t>
            </w:r>
            <w:r w:rsidRPr="00D53F84">
              <w:rPr>
                <w:rFonts w:eastAsia="Times New Roman"/>
                <w:lang w:eastAsia="en-US"/>
              </w:rPr>
              <w:t>ow-to-moderate</w:t>
            </w:r>
          </w:p>
        </w:tc>
        <w:tc>
          <w:tcPr>
            <w:tcW w:w="772" w:type="pct"/>
          </w:tcPr>
          <w:p w:rsidR="001D0FDA" w:rsidRDefault="001D0FDA" w:rsidP="001D0FDA">
            <w:pPr>
              <w:pStyle w:val="Tabletext"/>
              <w:rPr>
                <w:rFonts w:cs="Tahoma"/>
                <w:i/>
                <w:szCs w:val="18"/>
              </w:rPr>
            </w:pPr>
            <w:r w:rsidRPr="00340795">
              <w:rPr>
                <w:rFonts w:cs="Tahoma"/>
                <w:i/>
                <w:szCs w:val="18"/>
              </w:rPr>
              <w:t>Inclusion criteria</w:t>
            </w:r>
          </w:p>
          <w:p w:rsidR="001D0FDA" w:rsidRDefault="001D0FDA" w:rsidP="00480FDF">
            <w:pPr>
              <w:pStyle w:val="Tabletext"/>
              <w:numPr>
                <w:ilvl w:val="0"/>
                <w:numId w:val="54"/>
              </w:numPr>
              <w:ind w:left="239" w:hanging="144"/>
              <w:rPr>
                <w:rFonts w:cs="Tahoma"/>
                <w:szCs w:val="18"/>
              </w:rPr>
            </w:pPr>
            <w:r>
              <w:rPr>
                <w:rFonts w:cs="Tahoma"/>
                <w:szCs w:val="18"/>
              </w:rPr>
              <w:t>Age of ≥</w:t>
            </w:r>
            <w:r w:rsidRPr="00340795">
              <w:rPr>
                <w:rFonts w:cs="Tahoma"/>
                <w:szCs w:val="18"/>
              </w:rPr>
              <w:t xml:space="preserve">12 years </w:t>
            </w:r>
          </w:p>
          <w:p w:rsidR="001D0FDA" w:rsidRPr="00340795" w:rsidRDefault="001D0FDA" w:rsidP="00480FDF">
            <w:pPr>
              <w:pStyle w:val="Tabletext"/>
              <w:numPr>
                <w:ilvl w:val="0"/>
                <w:numId w:val="54"/>
              </w:numPr>
              <w:ind w:left="239" w:hanging="144"/>
              <w:rPr>
                <w:rFonts w:cs="Tahoma"/>
                <w:szCs w:val="18"/>
              </w:rPr>
            </w:pPr>
            <w:r>
              <w:rPr>
                <w:rFonts w:cs="Tahoma"/>
                <w:szCs w:val="18"/>
              </w:rPr>
              <w:t>Patients with symptomatic I</w:t>
            </w:r>
            <w:r w:rsidRPr="00340795">
              <w:rPr>
                <w:rFonts w:cs="Tahoma"/>
                <w:szCs w:val="18"/>
              </w:rPr>
              <w:t xml:space="preserve">PAH, </w:t>
            </w:r>
            <w:r>
              <w:rPr>
                <w:rFonts w:cs="Tahoma"/>
                <w:szCs w:val="18"/>
              </w:rPr>
              <w:t>HPAH, PAD-DT</w:t>
            </w:r>
            <w:r w:rsidRPr="00340795">
              <w:rPr>
                <w:rFonts w:cs="Tahoma"/>
                <w:szCs w:val="18"/>
              </w:rPr>
              <w:t>, PAH-CTD</w:t>
            </w:r>
            <w:r>
              <w:rPr>
                <w:rFonts w:cs="Tahoma"/>
                <w:szCs w:val="18"/>
              </w:rPr>
              <w:t>,</w:t>
            </w:r>
            <w:r w:rsidRPr="00340795">
              <w:rPr>
                <w:rFonts w:cs="Tahoma"/>
                <w:szCs w:val="18"/>
              </w:rPr>
              <w:t xml:space="preserve"> PAH-CHD or PAH-HIV</w:t>
            </w:r>
          </w:p>
          <w:p w:rsidR="001D0FDA" w:rsidRDefault="001D0FDA" w:rsidP="001D0FDA">
            <w:pPr>
              <w:pStyle w:val="Tabletext"/>
              <w:rPr>
                <w:rFonts w:cs="Tahoma"/>
                <w:i/>
                <w:szCs w:val="18"/>
              </w:rPr>
            </w:pPr>
          </w:p>
          <w:p w:rsidR="001D0FDA" w:rsidRDefault="001D0FDA" w:rsidP="001D0FDA">
            <w:pPr>
              <w:pStyle w:val="Tabletext"/>
              <w:rPr>
                <w:rFonts w:cs="Tahoma"/>
                <w:i/>
                <w:szCs w:val="18"/>
              </w:rPr>
            </w:pPr>
            <w:r>
              <w:rPr>
                <w:rFonts w:cs="Tahoma"/>
                <w:i/>
                <w:szCs w:val="18"/>
              </w:rPr>
              <w:t>Exclusion criteria</w:t>
            </w:r>
          </w:p>
          <w:p w:rsidR="001D0FDA" w:rsidRDefault="001D0FDA" w:rsidP="00480FDF">
            <w:pPr>
              <w:pStyle w:val="Tabletext"/>
              <w:numPr>
                <w:ilvl w:val="0"/>
                <w:numId w:val="54"/>
              </w:numPr>
              <w:ind w:left="239" w:hanging="144"/>
              <w:rPr>
                <w:rFonts w:cs="Tahoma"/>
                <w:szCs w:val="18"/>
              </w:rPr>
            </w:pPr>
            <w:r w:rsidRPr="00340795">
              <w:rPr>
                <w:rFonts w:cs="Tahoma"/>
                <w:szCs w:val="18"/>
              </w:rPr>
              <w:t xml:space="preserve">6MWD </w:t>
            </w:r>
            <w:r>
              <w:rPr>
                <w:rFonts w:cs="Tahoma"/>
                <w:szCs w:val="18"/>
              </w:rPr>
              <w:t>&lt;150m or &gt;450</w:t>
            </w:r>
            <w:r w:rsidRPr="00340795">
              <w:rPr>
                <w:rFonts w:cs="Tahoma"/>
                <w:szCs w:val="18"/>
              </w:rPr>
              <w:t>m</w:t>
            </w:r>
          </w:p>
          <w:p w:rsidR="001D0FDA" w:rsidRPr="00340795" w:rsidRDefault="001D0FDA" w:rsidP="00480FDF">
            <w:pPr>
              <w:pStyle w:val="Tabletext"/>
              <w:numPr>
                <w:ilvl w:val="0"/>
                <w:numId w:val="54"/>
              </w:numPr>
              <w:ind w:left="239" w:hanging="144"/>
              <w:rPr>
                <w:rFonts w:cs="Tahoma"/>
                <w:szCs w:val="18"/>
              </w:rPr>
            </w:pPr>
            <w:r>
              <w:rPr>
                <w:rFonts w:cs="Tahoma"/>
                <w:szCs w:val="18"/>
              </w:rPr>
              <w:t>T</w:t>
            </w:r>
            <w:r w:rsidRPr="00340795">
              <w:rPr>
                <w:rFonts w:cs="Tahoma"/>
                <w:szCs w:val="18"/>
              </w:rPr>
              <w:t xml:space="preserve">reatment with </w:t>
            </w:r>
            <w:r>
              <w:rPr>
                <w:rFonts w:cs="Tahoma"/>
                <w:szCs w:val="18"/>
              </w:rPr>
              <w:t>IV</w:t>
            </w:r>
            <w:r w:rsidRPr="00340795">
              <w:rPr>
                <w:rFonts w:cs="Tahoma"/>
                <w:szCs w:val="18"/>
              </w:rPr>
              <w:t xml:space="preserve"> epoprostenol, </w:t>
            </w:r>
            <w:r>
              <w:rPr>
                <w:rFonts w:cs="Tahoma"/>
                <w:szCs w:val="18"/>
              </w:rPr>
              <w:t>IV</w:t>
            </w:r>
            <w:r w:rsidRPr="00340795">
              <w:rPr>
                <w:rFonts w:cs="Tahoma"/>
                <w:szCs w:val="18"/>
              </w:rPr>
              <w:t xml:space="preserve"> or inhaled iloprost, or subcutaneous treprostinil</w:t>
            </w:r>
          </w:p>
        </w:tc>
        <w:tc>
          <w:tcPr>
            <w:tcW w:w="0" w:type="auto"/>
          </w:tcPr>
          <w:p w:rsidR="001D0FDA" w:rsidRDefault="001D0FDA" w:rsidP="001D0FDA">
            <w:pPr>
              <w:pStyle w:val="Tabletext"/>
              <w:rPr>
                <w:rFonts w:cs="Tahoma"/>
                <w:szCs w:val="18"/>
              </w:rPr>
            </w:pPr>
            <w:r>
              <w:rPr>
                <w:rFonts w:cs="Tahoma"/>
                <w:szCs w:val="18"/>
              </w:rPr>
              <w:t>N=161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PHIRST"/>
            </w:tblPr>
            <w:tblGrid>
              <w:gridCol w:w="2101"/>
              <w:gridCol w:w="1001"/>
              <w:gridCol w:w="1134"/>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1D0FDA" w:rsidRPr="00351FF5" w:rsidRDefault="001D0FDA" w:rsidP="00B5196D">
                  <w:pPr>
                    <w:pStyle w:val="Tabletext"/>
                    <w:framePr w:hSpace="180" w:wrap="around" w:vAnchor="text" w:hAnchor="text" w:y="1"/>
                    <w:spacing w:before="0" w:after="0"/>
                    <w:rPr>
                      <w:rFonts w:cs="Tahoma"/>
                      <w:b/>
                      <w:szCs w:val="18"/>
                    </w:rPr>
                  </w:pPr>
                </w:p>
              </w:tc>
              <w:tc>
                <w:tcPr>
                  <w:tcW w:w="1001"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Pr>
                      <w:rFonts w:cs="Tahoma"/>
                      <w:szCs w:val="18"/>
                    </w:rPr>
                    <w:t>Tadalafil 40mg</w:t>
                  </w:r>
                </w:p>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(N=</w:t>
                  </w:r>
                  <w:r>
                    <w:rPr>
                      <w:rFonts w:cs="Tahoma"/>
                      <w:szCs w:val="18"/>
                    </w:rPr>
                    <w:t>79</w:t>
                  </w:r>
                  <w:r w:rsidRPr="00802B85">
                    <w:rPr>
                      <w:rFonts w:cs="Tahoma"/>
                      <w:szCs w:val="18"/>
                    </w:rPr>
                    <w:t>)</w:t>
                  </w:r>
                </w:p>
              </w:tc>
              <w:tc>
                <w:tcPr>
                  <w:tcW w:w="1134"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Placebo</w:t>
                  </w:r>
                </w:p>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(N=</w:t>
                  </w:r>
                  <w:r>
                    <w:rPr>
                      <w:rFonts w:cs="Tahoma"/>
                      <w:szCs w:val="18"/>
                    </w:rPr>
                    <w:t>82</w:t>
                  </w:r>
                  <w:r w:rsidRPr="00802B85">
                    <w:rPr>
                      <w:rFonts w:cs="Tahoma"/>
                      <w:szCs w:val="18"/>
                    </w:rPr>
                    <w:t>)</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 xml:space="preserve">Age, mean±SD (yrs) </w:t>
                  </w:r>
                </w:p>
              </w:tc>
              <w:tc>
                <w:tcPr>
                  <w:tcW w:w="1001" w:type="dxa"/>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53±15</w:t>
                  </w:r>
                </w:p>
              </w:tc>
              <w:tc>
                <w:tcPr>
                  <w:tcW w:w="1134" w:type="dxa"/>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55±15</w:t>
                  </w:r>
                </w:p>
              </w:tc>
            </w:tr>
            <w:tr w:rsidR="001D0FDA" w:rsidRPr="00351FF5" w:rsidTr="001D0FDA">
              <w:tc>
                <w:tcPr>
                  <w:tcW w:w="2101"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Gender, femal</w:t>
                  </w:r>
                  <w:r>
                    <w:rPr>
                      <w:rFonts w:cs="Tahoma"/>
                      <w:szCs w:val="18"/>
                    </w:rPr>
                    <w:t>e</w:t>
                  </w:r>
                  <w:r w:rsidRPr="00351FF5">
                    <w:rPr>
                      <w:rFonts w:cs="Tahoma"/>
                      <w:szCs w:val="18"/>
                    </w:rPr>
                    <w:t>, n (%)</w:t>
                  </w:r>
                </w:p>
              </w:tc>
              <w:tc>
                <w:tcPr>
                  <w:tcW w:w="1001"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59 (75%)</w:t>
                  </w:r>
                </w:p>
              </w:tc>
              <w:tc>
                <w:tcPr>
                  <w:tcW w:w="1134"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65 (79%)</w:t>
                  </w:r>
                </w:p>
              </w:tc>
            </w:tr>
            <w:tr w:rsidR="001D0FDA" w:rsidRPr="00351FF5" w:rsidTr="001D0FDA">
              <w:trPr>
                <w:trHeight w:val="58"/>
              </w:trPr>
              <w:tc>
                <w:tcPr>
                  <w:tcW w:w="2101"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PAH aetiology, n (%)</w:t>
                  </w:r>
                </w:p>
              </w:tc>
              <w:tc>
                <w:tcPr>
                  <w:tcW w:w="1001"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c>
                <w:tcPr>
                  <w:tcW w:w="1134"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IPAH</w:t>
                  </w:r>
                  <w:r>
                    <w:rPr>
                      <w:rFonts w:cs="Tahoma"/>
                      <w:szCs w:val="18"/>
                    </w:rPr>
                    <w:t>/HPAH</w:t>
                  </w:r>
                </w:p>
              </w:tc>
              <w:tc>
                <w:tcPr>
                  <w:tcW w:w="1001"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46 (58%)</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54 (66%)</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PAH-CTD</w:t>
                  </w:r>
                </w:p>
              </w:tc>
              <w:tc>
                <w:tcPr>
                  <w:tcW w:w="1001"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19 (24%)</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16 (20%)</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PAH-CHD</w:t>
                  </w:r>
                </w:p>
              </w:tc>
              <w:tc>
                <w:tcPr>
                  <w:tcW w:w="1001" w:type="dxa"/>
                  <w:tcBorders>
                    <w:top w:val="nil"/>
                    <w:bottom w:val="nil"/>
                  </w:tcBorders>
                </w:tcPr>
                <w:p w:rsidR="001D0FDA" w:rsidRDefault="001D0FDA" w:rsidP="00B5196D">
                  <w:pPr>
                    <w:pStyle w:val="Tabletext"/>
                    <w:framePr w:hSpace="180" w:wrap="around" w:vAnchor="text" w:hAnchor="text" w:y="1"/>
                    <w:spacing w:before="0" w:after="0"/>
                    <w:jc w:val="center"/>
                    <w:rPr>
                      <w:rFonts w:cs="Tahoma"/>
                      <w:szCs w:val="18"/>
                    </w:rPr>
                  </w:pPr>
                  <w:r>
                    <w:rPr>
                      <w:rFonts w:cs="Tahoma"/>
                      <w:szCs w:val="18"/>
                    </w:rPr>
                    <w:t>10 (13%)</w:t>
                  </w:r>
                </w:p>
              </w:tc>
              <w:tc>
                <w:tcPr>
                  <w:tcW w:w="1134" w:type="dxa"/>
                  <w:tcBorders>
                    <w:top w:val="nil"/>
                    <w:bottom w:val="nil"/>
                  </w:tcBorders>
                </w:tcPr>
                <w:p w:rsidR="001D0FDA" w:rsidRDefault="001D0FDA" w:rsidP="00B5196D">
                  <w:pPr>
                    <w:pStyle w:val="Tabletext"/>
                    <w:framePr w:hSpace="180" w:wrap="around" w:vAnchor="text" w:hAnchor="text" w:y="1"/>
                    <w:spacing w:before="0" w:after="0"/>
                    <w:jc w:val="center"/>
                    <w:rPr>
                      <w:rFonts w:cs="Tahoma"/>
                      <w:szCs w:val="18"/>
                    </w:rPr>
                  </w:pPr>
                  <w:r>
                    <w:rPr>
                      <w:rFonts w:cs="Tahoma"/>
                      <w:szCs w:val="18"/>
                    </w:rPr>
                    <w:t>10 (12%)</w:t>
                  </w:r>
                </w:p>
              </w:tc>
            </w:tr>
            <w:tr w:rsidR="001D0FDA" w:rsidRPr="00351FF5" w:rsidTr="001D0FDA">
              <w:tc>
                <w:tcPr>
                  <w:tcW w:w="2101" w:type="dxa"/>
                  <w:tcBorders>
                    <w:top w:val="nil"/>
                    <w:bottom w:val="nil"/>
                  </w:tcBorders>
                </w:tcPr>
                <w:p w:rsidR="001D0FDA" w:rsidRDefault="001D0FDA" w:rsidP="00B5196D">
                  <w:pPr>
                    <w:pStyle w:val="Tabletext"/>
                    <w:framePr w:hSpace="180" w:wrap="around" w:vAnchor="text" w:hAnchor="text" w:y="1"/>
                    <w:spacing w:before="0" w:after="0"/>
                    <w:ind w:left="196"/>
                    <w:rPr>
                      <w:rFonts w:cs="Tahoma"/>
                      <w:szCs w:val="18"/>
                    </w:rPr>
                  </w:pPr>
                  <w:r>
                    <w:rPr>
                      <w:rFonts w:cs="Tahoma"/>
                      <w:szCs w:val="18"/>
                    </w:rPr>
                    <w:t>PAH-DT</w:t>
                  </w:r>
                </w:p>
              </w:tc>
              <w:tc>
                <w:tcPr>
                  <w:tcW w:w="1001" w:type="dxa"/>
                  <w:tcBorders>
                    <w:top w:val="nil"/>
                    <w:bottom w:val="nil"/>
                  </w:tcBorders>
                </w:tcPr>
                <w:p w:rsidR="001D0FDA" w:rsidRDefault="001D0FDA" w:rsidP="00B5196D">
                  <w:pPr>
                    <w:pStyle w:val="Tabletext"/>
                    <w:framePr w:hSpace="180" w:wrap="around" w:vAnchor="text" w:hAnchor="text" w:y="1"/>
                    <w:spacing w:before="0" w:after="0"/>
                    <w:jc w:val="center"/>
                    <w:rPr>
                      <w:rFonts w:cs="Tahoma"/>
                      <w:szCs w:val="18"/>
                    </w:rPr>
                  </w:pPr>
                  <w:r>
                    <w:rPr>
                      <w:rFonts w:cs="Tahoma"/>
                      <w:szCs w:val="18"/>
                    </w:rPr>
                    <w:t>4 (5%)</w:t>
                  </w:r>
                </w:p>
              </w:tc>
              <w:tc>
                <w:tcPr>
                  <w:tcW w:w="1134" w:type="dxa"/>
                  <w:tcBorders>
                    <w:top w:val="nil"/>
                    <w:bottom w:val="nil"/>
                  </w:tcBorders>
                </w:tcPr>
                <w:p w:rsidR="001D0FDA" w:rsidRDefault="001D0FDA" w:rsidP="00B5196D">
                  <w:pPr>
                    <w:pStyle w:val="Tabletext"/>
                    <w:framePr w:hSpace="180" w:wrap="around" w:vAnchor="text" w:hAnchor="text" w:y="1"/>
                    <w:spacing w:before="0" w:after="0"/>
                    <w:jc w:val="center"/>
                    <w:rPr>
                      <w:rFonts w:cs="Tahoma"/>
                      <w:szCs w:val="18"/>
                    </w:rPr>
                  </w:pPr>
                  <w:r>
                    <w:rPr>
                      <w:rFonts w:cs="Tahoma"/>
                      <w:szCs w:val="18"/>
                    </w:rPr>
                    <w:t>2 (2%)</w:t>
                  </w:r>
                </w:p>
              </w:tc>
            </w:tr>
            <w:tr w:rsidR="001D0FDA" w:rsidRPr="00351FF5" w:rsidTr="001D0FDA">
              <w:tc>
                <w:tcPr>
                  <w:tcW w:w="2101"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WHO FC</w:t>
                  </w:r>
                  <w:r>
                    <w:rPr>
                      <w:rFonts w:cs="Tahoma"/>
                      <w:szCs w:val="18"/>
                    </w:rPr>
                    <w:t>, n (%)</w:t>
                  </w:r>
                </w:p>
              </w:tc>
              <w:tc>
                <w:tcPr>
                  <w:tcW w:w="1001"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c>
                <w:tcPr>
                  <w:tcW w:w="1134"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w:t>
                  </w:r>
                </w:p>
              </w:tc>
              <w:tc>
                <w:tcPr>
                  <w:tcW w:w="1001"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2 (3%)</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 (1%)</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II</w:t>
                  </w:r>
                </w:p>
              </w:tc>
              <w:tc>
                <w:tcPr>
                  <w:tcW w:w="1001"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26 (33%)</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23 (28%)</w:t>
                  </w:r>
                </w:p>
              </w:tc>
            </w:tr>
            <w:tr w:rsidR="001D0FDA" w:rsidRPr="00351FF5" w:rsidTr="001D0FDA">
              <w:tc>
                <w:tcPr>
                  <w:tcW w:w="2101"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III</w:t>
                  </w:r>
                </w:p>
              </w:tc>
              <w:tc>
                <w:tcPr>
                  <w:tcW w:w="1001"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51 (65%)</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56 (68%)</w:t>
                  </w:r>
                </w:p>
              </w:tc>
            </w:tr>
            <w:tr w:rsidR="001D0FDA" w:rsidRPr="00351FF5" w:rsidTr="001D0FDA">
              <w:tc>
                <w:tcPr>
                  <w:tcW w:w="2101" w:type="dxa"/>
                  <w:tcBorders>
                    <w:top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IV</w:t>
                  </w:r>
                </w:p>
              </w:tc>
              <w:tc>
                <w:tcPr>
                  <w:tcW w:w="1001" w:type="dxa"/>
                  <w:tcBorders>
                    <w:top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0 (%)</w:t>
                  </w:r>
                </w:p>
              </w:tc>
              <w:tc>
                <w:tcPr>
                  <w:tcW w:w="1134" w:type="dxa"/>
                  <w:tcBorders>
                    <w:top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2 (2%)</w:t>
                  </w:r>
                </w:p>
              </w:tc>
            </w:tr>
            <w:tr w:rsidR="001D0FDA" w:rsidRPr="00351FF5" w:rsidTr="001D0FDA">
              <w:tc>
                <w:tcPr>
                  <w:tcW w:w="2101" w:type="dxa"/>
                </w:tcPr>
                <w:p w:rsidR="001D0FDA" w:rsidRDefault="001D0FDA" w:rsidP="00B5196D">
                  <w:pPr>
                    <w:pStyle w:val="Tabletext"/>
                    <w:framePr w:hSpace="180" w:wrap="around" w:vAnchor="text" w:hAnchor="text" w:y="1"/>
                    <w:spacing w:before="0" w:after="0"/>
                    <w:rPr>
                      <w:rFonts w:cs="Tahoma"/>
                      <w:szCs w:val="18"/>
                    </w:rPr>
                  </w:pPr>
                  <w:r>
                    <w:rPr>
                      <w:rFonts w:cs="Tahoma"/>
                      <w:szCs w:val="18"/>
                    </w:rPr>
                    <w:t>Concomitant use of bosentan</w:t>
                  </w:r>
                </w:p>
              </w:tc>
              <w:tc>
                <w:tcPr>
                  <w:tcW w:w="1001" w:type="dxa"/>
                  <w:vAlign w:val="center"/>
                </w:tcPr>
                <w:p w:rsidR="001D0FDA" w:rsidRDefault="001D0FDA" w:rsidP="00B5196D">
                  <w:pPr>
                    <w:pStyle w:val="Tabletext"/>
                    <w:framePr w:hSpace="180" w:wrap="around" w:vAnchor="text" w:hAnchor="text" w:y="1"/>
                    <w:spacing w:before="0" w:after="0"/>
                    <w:jc w:val="center"/>
                    <w:rPr>
                      <w:rFonts w:cs="Tahoma"/>
                      <w:szCs w:val="18"/>
                    </w:rPr>
                  </w:pPr>
                  <w:r>
                    <w:rPr>
                      <w:rFonts w:cs="Tahoma"/>
                      <w:szCs w:val="18"/>
                    </w:rPr>
                    <w:t>42 (53%)</w:t>
                  </w:r>
                </w:p>
              </w:tc>
              <w:tc>
                <w:tcPr>
                  <w:tcW w:w="1134" w:type="dxa"/>
                  <w:vAlign w:val="center"/>
                </w:tcPr>
                <w:p w:rsidR="001D0FDA" w:rsidRDefault="001D0FDA" w:rsidP="00B5196D">
                  <w:pPr>
                    <w:pStyle w:val="Tabletext"/>
                    <w:framePr w:hSpace="180" w:wrap="around" w:vAnchor="text" w:hAnchor="text" w:y="1"/>
                    <w:spacing w:before="0" w:after="0"/>
                    <w:jc w:val="center"/>
                    <w:rPr>
                      <w:rFonts w:cs="Tahoma"/>
                      <w:szCs w:val="18"/>
                    </w:rPr>
                  </w:pPr>
                  <w:r>
                    <w:rPr>
                      <w:rFonts w:cs="Tahoma"/>
                      <w:szCs w:val="18"/>
                    </w:rPr>
                    <w:t>45 (55%)</w:t>
                  </w:r>
                </w:p>
              </w:tc>
            </w:tr>
            <w:tr w:rsidR="001D0FDA" w:rsidRPr="00351FF5" w:rsidTr="001D0FDA">
              <w:tc>
                <w:tcPr>
                  <w:tcW w:w="2101" w:type="dxa"/>
                </w:tcPr>
                <w:p w:rsidR="001D0FDA" w:rsidRDefault="001D0FDA" w:rsidP="00B5196D">
                  <w:pPr>
                    <w:pStyle w:val="Tabletext"/>
                    <w:framePr w:hSpace="180" w:wrap="around" w:vAnchor="text" w:hAnchor="text" w:y="1"/>
                    <w:spacing w:before="0" w:after="0"/>
                    <w:rPr>
                      <w:rFonts w:cs="Tahoma"/>
                      <w:szCs w:val="18"/>
                    </w:rPr>
                  </w:pPr>
                  <w:r>
                    <w:rPr>
                      <w:rFonts w:cs="Tahoma"/>
                      <w:szCs w:val="18"/>
                    </w:rPr>
                    <w:t>mPAP</w:t>
                  </w:r>
                  <w:r w:rsidRPr="00351FF5">
                    <w:rPr>
                      <w:rFonts w:cs="Tahoma"/>
                      <w:szCs w:val="18"/>
                    </w:rPr>
                    <w:t>, mean±SD (mmHg)</w:t>
                  </w:r>
                </w:p>
              </w:tc>
              <w:tc>
                <w:tcPr>
                  <w:tcW w:w="1001" w:type="dxa"/>
                  <w:vAlign w:val="center"/>
                </w:tcPr>
                <w:p w:rsidR="001D0FDA" w:rsidRDefault="001D0FDA" w:rsidP="00B5196D">
                  <w:pPr>
                    <w:pStyle w:val="Tabletext"/>
                    <w:framePr w:hSpace="180" w:wrap="around" w:vAnchor="text" w:hAnchor="text" w:y="1"/>
                    <w:spacing w:before="0" w:after="0"/>
                    <w:jc w:val="center"/>
                    <w:rPr>
                      <w:rFonts w:cs="Tahoma"/>
                      <w:szCs w:val="18"/>
                    </w:rPr>
                  </w:pPr>
                  <w:r>
                    <w:rPr>
                      <w:rFonts w:cs="Tahoma"/>
                      <w:szCs w:val="18"/>
                    </w:rPr>
                    <w:t>54±8</w:t>
                  </w:r>
                </w:p>
              </w:tc>
              <w:tc>
                <w:tcPr>
                  <w:tcW w:w="1134" w:type="dxa"/>
                  <w:vAlign w:val="center"/>
                </w:tcPr>
                <w:p w:rsidR="001D0FDA" w:rsidRDefault="001D0FDA" w:rsidP="00B5196D">
                  <w:pPr>
                    <w:pStyle w:val="Tabletext"/>
                    <w:framePr w:hSpace="180" w:wrap="around" w:vAnchor="text" w:hAnchor="text" w:y="1"/>
                    <w:spacing w:before="0" w:after="0"/>
                    <w:jc w:val="center"/>
                    <w:rPr>
                      <w:rFonts w:cs="Tahoma"/>
                      <w:szCs w:val="18"/>
                    </w:rPr>
                  </w:pPr>
                  <w:r>
                    <w:rPr>
                      <w:rFonts w:cs="Tahoma"/>
                      <w:szCs w:val="18"/>
                    </w:rPr>
                    <w:t>49±12</w:t>
                  </w:r>
                </w:p>
              </w:tc>
            </w:tr>
            <w:tr w:rsidR="001D0FDA" w:rsidRPr="00351FF5" w:rsidTr="001D0FDA">
              <w:tc>
                <w:tcPr>
                  <w:tcW w:w="2101" w:type="dxa"/>
                </w:tcPr>
                <w:p w:rsidR="001D0FDA" w:rsidRPr="00351FF5" w:rsidRDefault="001D0FDA" w:rsidP="00B5196D">
                  <w:pPr>
                    <w:pStyle w:val="Tabletext"/>
                    <w:framePr w:hSpace="180" w:wrap="around" w:vAnchor="text" w:hAnchor="text" w:y="1"/>
                    <w:spacing w:before="0" w:after="0"/>
                    <w:rPr>
                      <w:rFonts w:cs="Tahoma"/>
                      <w:szCs w:val="18"/>
                    </w:rPr>
                  </w:pPr>
                  <w:r>
                    <w:rPr>
                      <w:rFonts w:cs="Tahoma"/>
                      <w:szCs w:val="18"/>
                    </w:rPr>
                    <w:t>PVR, mean±SD (dyn*s*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001"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901±488</w:t>
                  </w:r>
                </w:p>
              </w:tc>
              <w:tc>
                <w:tcPr>
                  <w:tcW w:w="1134" w:type="dxa"/>
                  <w:vAlign w:val="center"/>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827±399</w:t>
                  </w:r>
                </w:p>
              </w:tc>
            </w:tr>
          </w:tbl>
          <w:p w:rsidR="001D0FDA" w:rsidRDefault="001D0FDA" w:rsidP="001D0FDA">
            <w:pPr>
              <w:pStyle w:val="Tabletext"/>
              <w:rPr>
                <w:szCs w:val="18"/>
              </w:rPr>
            </w:pPr>
            <w:r w:rsidRPr="008C5BB8">
              <w:rPr>
                <w:szCs w:val="18"/>
              </w:rPr>
              <w:t xml:space="preserve">Data on the patient characteristics for the WHO FC I-II, </w:t>
            </w:r>
            <w:r>
              <w:rPr>
                <w:szCs w:val="18"/>
              </w:rPr>
              <w:t xml:space="preserve">no background therapy subgroup, the </w:t>
            </w:r>
            <w:r w:rsidRPr="008C5BB8">
              <w:rPr>
                <w:szCs w:val="18"/>
              </w:rPr>
              <w:t xml:space="preserve">WHO FC III-IV, </w:t>
            </w:r>
            <w:r>
              <w:rPr>
                <w:szCs w:val="18"/>
              </w:rPr>
              <w:t xml:space="preserve">no background therapy subgroup, and the with background therapy </w:t>
            </w:r>
            <w:r w:rsidRPr="008C5BB8">
              <w:rPr>
                <w:szCs w:val="18"/>
              </w:rPr>
              <w:t>were not available. Randomisation was stratified according to</w:t>
            </w:r>
            <w:r>
              <w:rPr>
                <w:szCs w:val="18"/>
              </w:rPr>
              <w:t xml:space="preserve"> background therapy; but WHO FC was not a stratification factor. </w:t>
            </w:r>
          </w:p>
        </w:tc>
        <w:tc>
          <w:tcPr>
            <w:tcW w:w="811" w:type="pct"/>
          </w:tcPr>
          <w:p w:rsidR="001D0FDA" w:rsidRPr="008C5BB8" w:rsidRDefault="001D0FDA" w:rsidP="001D0FDA">
            <w:pPr>
              <w:pStyle w:val="Tabletext"/>
              <w:rPr>
                <w:i/>
              </w:rPr>
            </w:pPr>
            <w:r w:rsidRPr="008C5BB8">
              <w:rPr>
                <w:i/>
              </w:rPr>
              <w:t>Intervention</w:t>
            </w:r>
          </w:p>
          <w:p w:rsidR="001D0FDA" w:rsidRPr="008C5BB8" w:rsidRDefault="001D0FDA" w:rsidP="001D0FDA">
            <w:pPr>
              <w:pStyle w:val="Tabletext"/>
            </w:pPr>
            <w:r>
              <w:t>T</w:t>
            </w:r>
            <w:r w:rsidRPr="008C5BB8">
              <w:t>adalafil</w:t>
            </w:r>
            <w:r>
              <w:t>: 40mg od</w:t>
            </w:r>
          </w:p>
          <w:p w:rsidR="001D0FDA" w:rsidRPr="008C5BB8" w:rsidRDefault="001D0FDA" w:rsidP="001D0FDA">
            <w:pPr>
              <w:pStyle w:val="Tabletext"/>
              <w:rPr>
                <w:i/>
              </w:rPr>
            </w:pPr>
          </w:p>
          <w:p w:rsidR="001D0FDA" w:rsidRPr="008C5BB8" w:rsidRDefault="001D0FDA" w:rsidP="001D0FDA">
            <w:pPr>
              <w:pStyle w:val="Tabletext"/>
              <w:rPr>
                <w:i/>
              </w:rPr>
            </w:pPr>
            <w:r w:rsidRPr="008C5BB8">
              <w:rPr>
                <w:i/>
              </w:rPr>
              <w:t>Comparator</w:t>
            </w:r>
          </w:p>
          <w:p w:rsidR="001D0FDA" w:rsidRPr="008C5BB8" w:rsidRDefault="001D0FDA" w:rsidP="001D0FDA">
            <w:pPr>
              <w:pStyle w:val="Tabletext"/>
            </w:pPr>
            <w:r w:rsidRPr="008C5BB8">
              <w:t>Placebo</w:t>
            </w:r>
          </w:p>
          <w:p w:rsidR="001D0FDA" w:rsidRDefault="001D0FDA" w:rsidP="001D0FDA">
            <w:pPr>
              <w:pStyle w:val="Tabletext"/>
            </w:pPr>
          </w:p>
          <w:p w:rsidR="001D0FDA" w:rsidRPr="00846CEB" w:rsidRDefault="001D0FDA" w:rsidP="001D0FDA">
            <w:pPr>
              <w:pStyle w:val="Tabletext"/>
              <w:rPr>
                <w:i/>
              </w:rPr>
            </w:pPr>
            <w:r>
              <w:rPr>
                <w:i/>
              </w:rPr>
              <w:t>Background therapy</w:t>
            </w:r>
          </w:p>
          <w:p w:rsidR="001D0FDA" w:rsidRPr="00C5431E" w:rsidRDefault="001D0FDA" w:rsidP="001D0FDA">
            <w:pPr>
              <w:pStyle w:val="Tabletext"/>
              <w:rPr>
                <w:i/>
              </w:rPr>
            </w:pPr>
            <w:r>
              <w:t>Bosentan (53% in the tadalafil arm vs 55% in the placebo arm): maximal dose of 125</w:t>
            </w:r>
            <w:r w:rsidRPr="008C5BB8">
              <w:t xml:space="preserve">mg </w:t>
            </w:r>
            <w:r>
              <w:t xml:space="preserve">bid </w:t>
            </w:r>
          </w:p>
        </w:tc>
        <w:tc>
          <w:tcPr>
            <w:tcW w:w="771" w:type="pct"/>
          </w:tcPr>
          <w:p w:rsidR="001D0FDA" w:rsidRDefault="001D0FDA" w:rsidP="001D0FDA">
            <w:pPr>
              <w:pStyle w:val="Tabletext"/>
              <w:rPr>
                <w:rFonts w:cs="Tahoma"/>
                <w:i/>
                <w:szCs w:val="18"/>
              </w:rPr>
            </w:pPr>
            <w:r>
              <w:rPr>
                <w:rFonts w:cs="Tahoma"/>
                <w:i/>
                <w:szCs w:val="18"/>
              </w:rPr>
              <w:t>Effectiveness</w:t>
            </w:r>
          </w:p>
          <w:p w:rsidR="001D0FDA" w:rsidRDefault="001D0FDA" w:rsidP="001D0FDA">
            <w:pPr>
              <w:pStyle w:val="Tabletext"/>
              <w:rPr>
                <w:rFonts w:cs="Tahoma"/>
                <w:szCs w:val="18"/>
              </w:rPr>
            </w:pPr>
            <w:r>
              <w:rPr>
                <w:rFonts w:cs="Tahoma"/>
                <w:szCs w:val="18"/>
              </w:rPr>
              <w:t>Primary:</w:t>
            </w:r>
          </w:p>
          <w:p w:rsidR="001D0FDA" w:rsidRDefault="001D0FDA" w:rsidP="00480FDF">
            <w:pPr>
              <w:pStyle w:val="Tabletext"/>
              <w:numPr>
                <w:ilvl w:val="0"/>
                <w:numId w:val="54"/>
              </w:numPr>
              <w:ind w:left="239" w:hanging="144"/>
              <w:rPr>
                <w:rFonts w:cs="Tahoma"/>
                <w:szCs w:val="18"/>
              </w:rPr>
            </w:pPr>
            <w:r w:rsidRPr="00846CEB">
              <w:rPr>
                <w:rFonts w:cs="Tahoma"/>
                <w:szCs w:val="18"/>
              </w:rPr>
              <w:t>Change in 6MWD at Week 16</w:t>
            </w:r>
            <w:r w:rsidRPr="00A605AF">
              <w:rPr>
                <w:rFonts w:cs="Tahoma"/>
                <w:szCs w:val="18"/>
                <w:vertAlign w:val="superscript"/>
              </w:rPr>
              <w:t>c</w:t>
            </w:r>
          </w:p>
          <w:p w:rsidR="001D0FDA" w:rsidRDefault="001D0FDA" w:rsidP="001D0FDA">
            <w:pPr>
              <w:pStyle w:val="Tabletext"/>
              <w:rPr>
                <w:rFonts w:cs="Tahoma"/>
                <w:szCs w:val="18"/>
              </w:rPr>
            </w:pPr>
            <w:r>
              <w:rPr>
                <w:rFonts w:cs="Tahoma"/>
                <w:szCs w:val="18"/>
              </w:rPr>
              <w:t>Secondary:</w:t>
            </w:r>
          </w:p>
          <w:p w:rsidR="001D0FDA" w:rsidRPr="00846CEB" w:rsidRDefault="001D0FDA" w:rsidP="00480FDF">
            <w:pPr>
              <w:pStyle w:val="Tabletext"/>
              <w:numPr>
                <w:ilvl w:val="0"/>
                <w:numId w:val="54"/>
              </w:numPr>
              <w:ind w:left="239" w:hanging="144"/>
              <w:rPr>
                <w:rFonts w:cs="Tahoma"/>
                <w:szCs w:val="18"/>
              </w:rPr>
            </w:pPr>
            <w:r>
              <w:rPr>
                <w:rFonts w:cs="Tahoma"/>
                <w:szCs w:val="18"/>
              </w:rPr>
              <w:t xml:space="preserve">Change in </w:t>
            </w:r>
            <w:r w:rsidRPr="00846CEB">
              <w:rPr>
                <w:rFonts w:cs="Tahoma"/>
                <w:szCs w:val="18"/>
              </w:rPr>
              <w:t>WHO FC</w:t>
            </w:r>
            <w:r w:rsidRPr="00D6650F">
              <w:rPr>
                <w:rFonts w:cs="Tahoma"/>
                <w:szCs w:val="18"/>
                <w:vertAlign w:val="superscript"/>
              </w:rPr>
              <w:t>c</w:t>
            </w:r>
          </w:p>
          <w:p w:rsidR="001D0FDA" w:rsidRPr="00846CEB" w:rsidRDefault="001D0FDA" w:rsidP="00480FDF">
            <w:pPr>
              <w:pStyle w:val="Tabletext"/>
              <w:numPr>
                <w:ilvl w:val="0"/>
                <w:numId w:val="54"/>
              </w:numPr>
              <w:ind w:left="239" w:hanging="144"/>
              <w:rPr>
                <w:rFonts w:cs="Tahoma"/>
                <w:szCs w:val="18"/>
              </w:rPr>
            </w:pPr>
            <w:r w:rsidRPr="00846CEB">
              <w:rPr>
                <w:rFonts w:cs="Tahoma"/>
                <w:szCs w:val="18"/>
              </w:rPr>
              <w:t>Time to clinical worsening</w:t>
            </w:r>
            <w:r w:rsidRPr="00D6650F">
              <w:rPr>
                <w:rFonts w:cs="Tahoma"/>
                <w:szCs w:val="18"/>
                <w:vertAlign w:val="superscript"/>
              </w:rPr>
              <w:t>c</w:t>
            </w:r>
          </w:p>
          <w:p w:rsidR="001D0FDA" w:rsidRDefault="001D0FDA" w:rsidP="00480FDF">
            <w:pPr>
              <w:pStyle w:val="Tabletext"/>
              <w:numPr>
                <w:ilvl w:val="0"/>
                <w:numId w:val="54"/>
              </w:numPr>
              <w:ind w:left="239" w:hanging="144"/>
              <w:rPr>
                <w:rFonts w:cs="Tahoma"/>
                <w:szCs w:val="18"/>
              </w:rPr>
            </w:pPr>
            <w:r>
              <w:rPr>
                <w:rFonts w:cs="Tahoma"/>
                <w:szCs w:val="18"/>
              </w:rPr>
              <w:t>Change in BDS</w:t>
            </w:r>
          </w:p>
          <w:p w:rsidR="001D0FDA" w:rsidRDefault="001D0FDA" w:rsidP="00480FDF">
            <w:pPr>
              <w:pStyle w:val="Tabletext"/>
              <w:numPr>
                <w:ilvl w:val="0"/>
                <w:numId w:val="54"/>
              </w:numPr>
              <w:ind w:left="239" w:hanging="144"/>
              <w:rPr>
                <w:rFonts w:cs="Tahoma"/>
                <w:szCs w:val="18"/>
              </w:rPr>
            </w:pPr>
            <w:r>
              <w:rPr>
                <w:rFonts w:cs="Tahoma"/>
                <w:szCs w:val="18"/>
              </w:rPr>
              <w:t>Change in SF-36 score</w:t>
            </w:r>
          </w:p>
          <w:p w:rsidR="001D0FDA" w:rsidRDefault="001D0FDA" w:rsidP="00480FDF">
            <w:pPr>
              <w:pStyle w:val="Tabletext"/>
              <w:numPr>
                <w:ilvl w:val="0"/>
                <w:numId w:val="54"/>
              </w:numPr>
              <w:ind w:left="239" w:hanging="144"/>
              <w:rPr>
                <w:rFonts w:cs="Tahoma"/>
                <w:szCs w:val="18"/>
              </w:rPr>
            </w:pPr>
            <w:r>
              <w:rPr>
                <w:rFonts w:cs="Tahoma"/>
                <w:szCs w:val="18"/>
              </w:rPr>
              <w:t>Change in EQ-5D score</w:t>
            </w:r>
          </w:p>
          <w:p w:rsidR="001D0FDA" w:rsidRDefault="001D0FDA" w:rsidP="00480FDF">
            <w:pPr>
              <w:pStyle w:val="Tabletext"/>
              <w:numPr>
                <w:ilvl w:val="0"/>
                <w:numId w:val="54"/>
              </w:numPr>
              <w:ind w:left="239" w:hanging="144"/>
              <w:rPr>
                <w:rFonts w:cs="Tahoma"/>
                <w:szCs w:val="18"/>
              </w:rPr>
            </w:pPr>
            <w:r>
              <w:rPr>
                <w:rFonts w:cs="Tahoma"/>
                <w:szCs w:val="18"/>
              </w:rPr>
              <w:t>Change in PVR, mPAP and CI</w:t>
            </w:r>
          </w:p>
          <w:p w:rsidR="001D0FDA" w:rsidRPr="00846CEB" w:rsidRDefault="001D0FDA" w:rsidP="001D0FDA">
            <w:pPr>
              <w:pStyle w:val="Tabletext"/>
              <w:ind w:left="95"/>
              <w:rPr>
                <w:rFonts w:cs="Tahoma"/>
                <w:szCs w:val="18"/>
              </w:rPr>
            </w:pPr>
          </w:p>
          <w:p w:rsidR="001D0FDA" w:rsidRDefault="001D0FDA" w:rsidP="001D0FDA">
            <w:pPr>
              <w:pStyle w:val="Tabletext"/>
              <w:rPr>
                <w:rFonts w:cs="Tahoma"/>
                <w:i/>
                <w:szCs w:val="18"/>
              </w:rPr>
            </w:pPr>
            <w:r w:rsidRPr="00802B85">
              <w:rPr>
                <w:rFonts w:cs="Tahoma"/>
                <w:i/>
                <w:szCs w:val="18"/>
              </w:rPr>
              <w:t>S</w:t>
            </w:r>
            <w:r>
              <w:rPr>
                <w:rFonts w:cs="Tahoma"/>
                <w:i/>
                <w:szCs w:val="18"/>
              </w:rPr>
              <w:t>afety</w:t>
            </w:r>
          </w:p>
          <w:p w:rsidR="001D0FDA" w:rsidRDefault="001D0FDA" w:rsidP="00480FDF">
            <w:pPr>
              <w:pStyle w:val="Tabletext"/>
              <w:numPr>
                <w:ilvl w:val="0"/>
                <w:numId w:val="54"/>
              </w:numPr>
              <w:ind w:left="239" w:hanging="144"/>
              <w:rPr>
                <w:rFonts w:cs="Tahoma"/>
                <w:i/>
                <w:szCs w:val="18"/>
              </w:rPr>
            </w:pPr>
            <w:r>
              <w:rPr>
                <w:rFonts w:cs="Tahoma"/>
                <w:szCs w:val="18"/>
              </w:rPr>
              <w:t>A</w:t>
            </w:r>
            <w:r w:rsidRPr="00351FF5">
              <w:rPr>
                <w:rFonts w:cs="Tahoma"/>
                <w:szCs w:val="18"/>
              </w:rPr>
              <w:t>dverse events</w:t>
            </w:r>
            <w:r w:rsidRPr="00D6650F">
              <w:rPr>
                <w:rFonts w:cs="Tahoma"/>
                <w:szCs w:val="18"/>
                <w:vertAlign w:val="superscript"/>
              </w:rPr>
              <w:t>c</w:t>
            </w:r>
          </w:p>
        </w:tc>
      </w:tr>
      <w:tr w:rsidR="001D0FDA" w:rsidRPr="00204000" w:rsidTr="001D0FDA">
        <w:tc>
          <w:tcPr>
            <w:tcW w:w="531" w:type="pct"/>
          </w:tcPr>
          <w:p w:rsidR="001D0FDA" w:rsidRPr="00D53F84" w:rsidRDefault="001D0FDA" w:rsidP="001D0FDA">
            <w:pPr>
              <w:pStyle w:val="Tabletext"/>
              <w:ind w:right="-28"/>
              <w:rPr>
                <w:rFonts w:eastAsia="Times New Roman"/>
              </w:rPr>
            </w:pPr>
            <w:r w:rsidRPr="00D53F84">
              <w:rPr>
                <w:rFonts w:eastAsia="Times New Roman"/>
              </w:rPr>
              <w:lastRenderedPageBreak/>
              <w:t>SERAPHIN</w:t>
            </w:r>
            <w:r w:rsidR="001D34EE" w:rsidRPr="001D34EE">
              <w:rPr>
                <w:rFonts w:eastAsia="Times New Roman"/>
                <w:noProof/>
                <w:vertAlign w:val="superscript"/>
              </w:rPr>
              <w:t>7, 46, 47</w:t>
            </w:r>
          </w:p>
          <w:p w:rsidR="001D0FDA" w:rsidRPr="00D53F84" w:rsidRDefault="001D0FDA" w:rsidP="001D0FDA">
            <w:pPr>
              <w:pStyle w:val="Tabletext"/>
              <w:ind w:right="-28"/>
              <w:rPr>
                <w:rFonts w:eastAsia="Times New Roman"/>
              </w:rPr>
            </w:pPr>
            <w:r w:rsidRPr="00D53F84">
              <w:rPr>
                <w:rFonts w:eastAsia="Times New Roman"/>
                <w:lang w:eastAsia="en-US"/>
              </w:rPr>
              <w:t>2008-2012</w:t>
            </w:r>
          </w:p>
          <w:p w:rsidR="001D0FDA" w:rsidRDefault="001D0FDA" w:rsidP="001D0FDA">
            <w:pPr>
              <w:pStyle w:val="Tabletext"/>
              <w:rPr>
                <w:rFonts w:cs="Tahoma"/>
                <w:szCs w:val="18"/>
              </w:rPr>
            </w:pPr>
            <w:r w:rsidRPr="00D53F84">
              <w:rPr>
                <w:rFonts w:eastAsia="Times New Roman"/>
                <w:lang w:eastAsia="en-US"/>
              </w:rPr>
              <w:t>US, Canada, Europe, Asia, South America, Australia</w:t>
            </w:r>
          </w:p>
        </w:tc>
        <w:tc>
          <w:tcPr>
            <w:tcW w:w="47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w:t>
            </w:r>
          </w:p>
          <w:p w:rsidR="001D0FDA" w:rsidRDefault="001D0FDA" w:rsidP="001D0FDA">
            <w:pPr>
              <w:pStyle w:val="Tabletext"/>
              <w:ind w:right="-28"/>
              <w:rPr>
                <w:rFonts w:eastAsia="Times New Roman"/>
                <w:snapToGrid w:val="0"/>
                <w:lang w:eastAsia="en-US"/>
              </w:rPr>
            </w:pPr>
            <w:r>
              <w:rPr>
                <w:rFonts w:eastAsia="Times New Roman"/>
                <w:snapToGrid w:val="0"/>
                <w:lang w:eastAsia="en-US"/>
              </w:rPr>
              <w:t>Level II evidence</w:t>
            </w:r>
          </w:p>
          <w:p w:rsidR="001D0FDA" w:rsidRPr="00D53F84" w:rsidRDefault="001D0FDA" w:rsidP="001D0FDA">
            <w:pPr>
              <w:pStyle w:val="Tabletext"/>
              <w:ind w:right="-28"/>
              <w:rPr>
                <w:rFonts w:eastAsia="Times New Roman"/>
                <w:lang w:eastAsia="en-US"/>
              </w:rPr>
            </w:pPr>
            <w:r>
              <w:rPr>
                <w:rFonts w:eastAsia="Times New Roman"/>
                <w:snapToGrid w:val="0"/>
                <w:lang w:eastAsia="en-US"/>
              </w:rPr>
              <w:t xml:space="preserve">Follow-up: </w:t>
            </w:r>
            <w:r>
              <w:rPr>
                <w:rFonts w:eastAsia="Times New Roman"/>
                <w:lang w:eastAsia="en-US"/>
              </w:rPr>
              <w:t>129 weeks</w:t>
            </w:r>
          </w:p>
          <w:p w:rsidR="001D0FDA" w:rsidRPr="00D53F84" w:rsidRDefault="001D0FDA" w:rsidP="001D0FDA">
            <w:pPr>
              <w:pStyle w:val="Tabletext"/>
              <w:ind w:right="-28"/>
              <w:rPr>
                <w:rFonts w:eastAsia="Times New Roman"/>
                <w:lang w:eastAsia="en-US"/>
              </w:rPr>
            </w:pPr>
            <w:r>
              <w:rPr>
                <w:rFonts w:eastAsia="Times New Roman"/>
                <w:snapToGrid w:val="0"/>
                <w:lang w:eastAsia="en-US"/>
              </w:rPr>
              <w:t>Risk of bias: l</w:t>
            </w:r>
            <w:r w:rsidRPr="00D53F84">
              <w:rPr>
                <w:rFonts w:eastAsia="Times New Roman"/>
                <w:lang w:eastAsia="en-US"/>
              </w:rPr>
              <w:t>ow-to-moderate</w:t>
            </w:r>
          </w:p>
        </w:tc>
        <w:tc>
          <w:tcPr>
            <w:tcW w:w="772" w:type="pct"/>
          </w:tcPr>
          <w:p w:rsidR="001D0FDA" w:rsidRPr="0083095A" w:rsidRDefault="001D0FDA" w:rsidP="001D0FDA">
            <w:pPr>
              <w:pStyle w:val="Tabletext"/>
              <w:rPr>
                <w:rFonts w:cs="Tahoma"/>
                <w:i/>
                <w:szCs w:val="18"/>
              </w:rPr>
            </w:pPr>
            <w:r>
              <w:rPr>
                <w:rFonts w:cs="Tahoma"/>
                <w:i/>
                <w:szCs w:val="18"/>
              </w:rPr>
              <w:t>Inclusion</w:t>
            </w:r>
          </w:p>
          <w:p w:rsidR="001D0FDA" w:rsidRPr="0083095A" w:rsidRDefault="001D0FDA" w:rsidP="00480FDF">
            <w:pPr>
              <w:pStyle w:val="Tabletext"/>
              <w:numPr>
                <w:ilvl w:val="0"/>
                <w:numId w:val="54"/>
              </w:numPr>
              <w:ind w:left="239" w:hanging="144"/>
              <w:rPr>
                <w:rFonts w:cs="Tahoma"/>
                <w:szCs w:val="18"/>
              </w:rPr>
            </w:pPr>
            <w:r w:rsidRPr="0083095A">
              <w:rPr>
                <w:rFonts w:cs="Tahoma"/>
                <w:szCs w:val="18"/>
              </w:rPr>
              <w:t xml:space="preserve">Age </w:t>
            </w:r>
            <w:r>
              <w:rPr>
                <w:rFonts w:cs="Tahoma"/>
                <w:szCs w:val="18"/>
              </w:rPr>
              <w:t>of ≥1</w:t>
            </w:r>
            <w:r w:rsidRPr="0083095A">
              <w:rPr>
                <w:rFonts w:cs="Tahoma"/>
                <w:szCs w:val="18"/>
              </w:rPr>
              <w:t xml:space="preserve">2 years </w:t>
            </w:r>
          </w:p>
          <w:p w:rsidR="001D0FDA" w:rsidRPr="0083095A" w:rsidRDefault="001D0FDA" w:rsidP="00480FDF">
            <w:pPr>
              <w:pStyle w:val="Tabletext"/>
              <w:numPr>
                <w:ilvl w:val="0"/>
                <w:numId w:val="54"/>
              </w:numPr>
              <w:ind w:left="239" w:hanging="144"/>
              <w:rPr>
                <w:rFonts w:cs="Tahoma"/>
                <w:szCs w:val="18"/>
              </w:rPr>
            </w:pPr>
            <w:r w:rsidRPr="0083095A">
              <w:rPr>
                <w:rFonts w:cs="Tahoma"/>
                <w:szCs w:val="18"/>
              </w:rPr>
              <w:t>Patients with WHO FC II</w:t>
            </w:r>
            <w:r>
              <w:rPr>
                <w:rFonts w:cs="Tahoma"/>
                <w:szCs w:val="18"/>
              </w:rPr>
              <w:t>-IV</w:t>
            </w:r>
            <w:r w:rsidRPr="0083095A">
              <w:rPr>
                <w:rFonts w:cs="Tahoma"/>
                <w:szCs w:val="18"/>
              </w:rPr>
              <w:t xml:space="preserve"> IPAH, HPAH, PAH-CTD, PAH-CHD, PAH-HIV, or </w:t>
            </w:r>
            <w:r>
              <w:rPr>
                <w:rFonts w:cs="Tahoma"/>
                <w:szCs w:val="18"/>
              </w:rPr>
              <w:t>PAH-DT</w:t>
            </w:r>
          </w:p>
          <w:p w:rsidR="001D0FDA" w:rsidRPr="0083095A" w:rsidRDefault="001D0FDA" w:rsidP="00480FDF">
            <w:pPr>
              <w:pStyle w:val="Tabletext"/>
              <w:numPr>
                <w:ilvl w:val="0"/>
                <w:numId w:val="54"/>
              </w:numPr>
              <w:ind w:left="239" w:hanging="144"/>
              <w:rPr>
                <w:rFonts w:cs="Tahoma"/>
                <w:szCs w:val="18"/>
              </w:rPr>
            </w:pPr>
            <w:r>
              <w:rPr>
                <w:rFonts w:cs="Tahoma"/>
                <w:szCs w:val="18"/>
              </w:rPr>
              <w:t>6MWD ≥50m</w:t>
            </w:r>
          </w:p>
          <w:p w:rsidR="001D0FDA" w:rsidRPr="0083095A" w:rsidRDefault="001D0FDA" w:rsidP="00480FDF">
            <w:pPr>
              <w:pStyle w:val="Tabletext"/>
              <w:numPr>
                <w:ilvl w:val="0"/>
                <w:numId w:val="54"/>
              </w:numPr>
              <w:ind w:left="239" w:hanging="144"/>
              <w:rPr>
                <w:rFonts w:cs="Tahoma"/>
                <w:szCs w:val="18"/>
              </w:rPr>
            </w:pPr>
            <w:r w:rsidRPr="0083095A">
              <w:rPr>
                <w:rFonts w:cs="Tahoma"/>
                <w:szCs w:val="18"/>
              </w:rPr>
              <w:t>Allow for concomitant treatment with oral PDE-5</w:t>
            </w:r>
            <w:r>
              <w:rPr>
                <w:rFonts w:cs="Tahoma"/>
                <w:szCs w:val="18"/>
              </w:rPr>
              <w:t>i</w:t>
            </w:r>
            <w:r w:rsidRPr="0083095A">
              <w:rPr>
                <w:rFonts w:cs="Tahoma"/>
                <w:szCs w:val="18"/>
              </w:rPr>
              <w:t xml:space="preserve">, oral or </w:t>
            </w:r>
            <w:r>
              <w:rPr>
                <w:rFonts w:cs="Tahoma"/>
                <w:szCs w:val="18"/>
              </w:rPr>
              <w:t>prostanoid</w:t>
            </w:r>
            <w:r w:rsidRPr="0083095A">
              <w:rPr>
                <w:rFonts w:cs="Tahoma"/>
                <w:szCs w:val="18"/>
              </w:rPr>
              <w:t xml:space="preserve">, provided that the patient had been receiving a stable dose for </w:t>
            </w:r>
            <w:r>
              <w:rPr>
                <w:rFonts w:cs="Tahoma"/>
                <w:szCs w:val="18"/>
              </w:rPr>
              <w:t>≥</w:t>
            </w:r>
            <w:r w:rsidRPr="0083095A">
              <w:rPr>
                <w:rFonts w:cs="Tahoma"/>
                <w:szCs w:val="18"/>
              </w:rPr>
              <w:t>3 months before randomisation</w:t>
            </w:r>
          </w:p>
          <w:p w:rsidR="001D0FDA" w:rsidRPr="0083095A" w:rsidRDefault="001D0FDA" w:rsidP="001D0FDA">
            <w:pPr>
              <w:pStyle w:val="Tabletext"/>
              <w:rPr>
                <w:rFonts w:cs="Tahoma"/>
                <w:i/>
                <w:szCs w:val="18"/>
              </w:rPr>
            </w:pPr>
          </w:p>
          <w:p w:rsidR="001D0FDA" w:rsidRPr="0083095A" w:rsidRDefault="001D0FDA" w:rsidP="001D0FDA">
            <w:pPr>
              <w:pStyle w:val="Tabletext"/>
              <w:rPr>
                <w:rFonts w:cs="Tahoma"/>
                <w:i/>
                <w:szCs w:val="18"/>
              </w:rPr>
            </w:pPr>
            <w:r>
              <w:rPr>
                <w:rFonts w:cs="Tahoma"/>
                <w:i/>
                <w:szCs w:val="18"/>
              </w:rPr>
              <w:t>Exclusion criteria</w:t>
            </w:r>
          </w:p>
          <w:p w:rsidR="001D0FDA" w:rsidRDefault="001D0FDA" w:rsidP="00480FDF">
            <w:pPr>
              <w:pStyle w:val="Tabletext"/>
              <w:numPr>
                <w:ilvl w:val="0"/>
                <w:numId w:val="54"/>
              </w:numPr>
              <w:ind w:left="239" w:hanging="144"/>
              <w:rPr>
                <w:rFonts w:cs="Tahoma"/>
                <w:i/>
                <w:szCs w:val="18"/>
              </w:rPr>
            </w:pPr>
            <w:r w:rsidRPr="0083095A">
              <w:rPr>
                <w:rFonts w:cs="Tahoma"/>
                <w:szCs w:val="18"/>
              </w:rPr>
              <w:t xml:space="preserve">Patients receiving </w:t>
            </w:r>
            <w:r>
              <w:rPr>
                <w:rFonts w:cs="Tahoma"/>
                <w:szCs w:val="18"/>
              </w:rPr>
              <w:t>IV or subcutaneous prostanoid</w:t>
            </w:r>
          </w:p>
        </w:tc>
        <w:tc>
          <w:tcPr>
            <w:tcW w:w="0" w:type="auto"/>
          </w:tcPr>
          <w:p w:rsidR="001D0FDA" w:rsidRDefault="001D0FDA" w:rsidP="001D0FDA">
            <w:pPr>
              <w:pStyle w:val="Tabletext"/>
            </w:pPr>
            <w:r>
              <w:t>N=492</w:t>
            </w:r>
          </w:p>
          <w:tbl>
            <w:tblPr>
              <w:tblStyle w:val="TableGrid"/>
              <w:tblW w:w="4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Caption w:val="Patient baseline characteristics in Trial SERAPHIN"/>
            </w:tblPr>
            <w:tblGrid>
              <w:gridCol w:w="2095"/>
              <w:gridCol w:w="1093"/>
              <w:gridCol w:w="1100"/>
            </w:tblGrid>
            <w:tr w:rsidR="001D0FDA" w:rsidTr="001D0FDA">
              <w:trPr>
                <w:cnfStyle w:val="100000000000" w:firstRow="1" w:lastRow="0" w:firstColumn="0" w:lastColumn="0" w:oddVBand="0" w:evenVBand="0" w:oddHBand="0" w:evenHBand="0" w:firstRowFirstColumn="0" w:firstRowLastColumn="0" w:lastRowFirstColumn="0" w:lastRowLastColumn="0"/>
              </w:trPr>
              <w:tc>
                <w:tcPr>
                  <w:tcW w:w="2161" w:type="dxa"/>
                  <w:shd w:val="clear" w:color="auto" w:fill="FFFFFF" w:themeFill="background1"/>
                </w:tcPr>
                <w:p w:rsidR="001D0FDA" w:rsidRPr="003C0DFB" w:rsidRDefault="001D0FDA" w:rsidP="00B5196D">
                  <w:pPr>
                    <w:pStyle w:val="Tabletext"/>
                    <w:framePr w:hSpace="180" w:wrap="around" w:vAnchor="text" w:hAnchor="text" w:y="1"/>
                  </w:pPr>
                </w:p>
              </w:tc>
              <w:tc>
                <w:tcPr>
                  <w:tcW w:w="1019" w:type="dxa"/>
                  <w:shd w:val="clear" w:color="auto" w:fill="FFFFFF" w:themeFill="background1"/>
                </w:tcPr>
                <w:p w:rsidR="001D0FDA" w:rsidRDefault="001D0FDA" w:rsidP="00B5196D">
                  <w:pPr>
                    <w:pStyle w:val="Tabletext"/>
                    <w:framePr w:hSpace="180" w:wrap="around" w:vAnchor="text" w:hAnchor="text" w:y="1"/>
                    <w:jc w:val="center"/>
                    <w:rPr>
                      <w:u w:val="single"/>
                    </w:rPr>
                  </w:pPr>
                  <w:r>
                    <w:t>Macitentan 10mg (n=242)</w:t>
                  </w:r>
                </w:p>
              </w:tc>
              <w:tc>
                <w:tcPr>
                  <w:tcW w:w="1108" w:type="dxa"/>
                  <w:shd w:val="clear" w:color="auto" w:fill="FFFFFF" w:themeFill="background1"/>
                </w:tcPr>
                <w:p w:rsidR="001D0FDA" w:rsidRDefault="001D0FDA" w:rsidP="00B5196D">
                  <w:pPr>
                    <w:pStyle w:val="Tabletext"/>
                    <w:framePr w:hSpace="180" w:wrap="around" w:vAnchor="text" w:hAnchor="text" w:y="1"/>
                    <w:jc w:val="center"/>
                  </w:pPr>
                  <w:r>
                    <w:t>Placebo (n=250)</w:t>
                  </w:r>
                </w:p>
              </w:tc>
            </w:tr>
            <w:tr w:rsidR="001D0FDA" w:rsidRPr="001B3364" w:rsidTr="001D0FDA">
              <w:tc>
                <w:tcPr>
                  <w:tcW w:w="2161" w:type="dxa"/>
                  <w:shd w:val="clear" w:color="auto" w:fill="FFFFFF" w:themeFill="background1"/>
                </w:tcPr>
                <w:p w:rsidR="001D0FDA" w:rsidRDefault="001D0FDA" w:rsidP="00B5196D">
                  <w:pPr>
                    <w:pStyle w:val="Tabletext"/>
                    <w:framePr w:hSpace="180" w:wrap="around" w:vAnchor="text" w:hAnchor="text" w:y="1"/>
                  </w:pPr>
                  <w:r w:rsidRPr="00351FF5">
                    <w:rPr>
                      <w:rFonts w:cs="Tahoma"/>
                      <w:szCs w:val="18"/>
                    </w:rPr>
                    <w:t>Age, mean±SD (yrs)</w:t>
                  </w:r>
                </w:p>
              </w:tc>
              <w:tc>
                <w:tcPr>
                  <w:tcW w:w="1019" w:type="dxa"/>
                  <w:shd w:val="clear" w:color="auto" w:fill="FFFFFF" w:themeFill="background1"/>
                </w:tcPr>
                <w:p w:rsidR="001D0FDA" w:rsidRPr="00C5782C" w:rsidRDefault="001D0FDA" w:rsidP="00B5196D">
                  <w:pPr>
                    <w:pStyle w:val="Tabletext"/>
                    <w:framePr w:hSpace="180" w:wrap="around" w:vAnchor="text" w:hAnchor="text" w:y="1"/>
                    <w:jc w:val="center"/>
                  </w:pPr>
                  <w:r>
                    <w:t>46±15</w:t>
                  </w:r>
                </w:p>
              </w:tc>
              <w:tc>
                <w:tcPr>
                  <w:tcW w:w="1108" w:type="dxa"/>
                  <w:shd w:val="clear" w:color="auto" w:fill="FFFFFF" w:themeFill="background1"/>
                </w:tcPr>
                <w:p w:rsidR="001D0FDA" w:rsidRPr="00C5782C" w:rsidRDefault="001D0FDA" w:rsidP="00B5196D">
                  <w:pPr>
                    <w:pStyle w:val="Tabletext"/>
                    <w:framePr w:hSpace="180" w:wrap="around" w:vAnchor="text" w:hAnchor="text" w:y="1"/>
                    <w:jc w:val="center"/>
                  </w:pPr>
                  <w:r>
                    <w:t>47±17</w:t>
                  </w:r>
                </w:p>
              </w:tc>
            </w:tr>
            <w:tr w:rsidR="001D0FDA" w:rsidRPr="001B3364" w:rsidTr="001D0FDA">
              <w:tc>
                <w:tcPr>
                  <w:tcW w:w="2161"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rPr>
                      <w:rFonts w:cs="Tahoma"/>
                      <w:szCs w:val="18"/>
                    </w:rPr>
                  </w:pPr>
                  <w:r w:rsidRPr="00351FF5">
                    <w:rPr>
                      <w:rFonts w:cs="Tahoma"/>
                      <w:szCs w:val="18"/>
                    </w:rPr>
                    <w:t>Gender, femal</w:t>
                  </w:r>
                  <w:r>
                    <w:rPr>
                      <w:rFonts w:cs="Tahoma"/>
                      <w:szCs w:val="18"/>
                    </w:rPr>
                    <w:t>e</w:t>
                  </w:r>
                  <w:r w:rsidRPr="00351FF5">
                    <w:rPr>
                      <w:rFonts w:cs="Tahoma"/>
                      <w:szCs w:val="18"/>
                    </w:rPr>
                    <w:t>, n (%)</w:t>
                  </w:r>
                </w:p>
              </w:tc>
              <w:tc>
                <w:tcPr>
                  <w:tcW w:w="1019" w:type="dxa"/>
                  <w:tcBorders>
                    <w:bottom w:val="single" w:sz="4" w:space="0" w:color="BFBFBF" w:themeColor="background1" w:themeShade="BF"/>
                  </w:tcBorders>
                </w:tcPr>
                <w:p w:rsidR="001D0FDA" w:rsidRPr="00C5782C" w:rsidRDefault="001D0FDA" w:rsidP="00B5196D">
                  <w:pPr>
                    <w:pStyle w:val="Tabletext"/>
                    <w:framePr w:hSpace="180" w:wrap="around" w:vAnchor="text" w:hAnchor="text" w:y="1"/>
                    <w:jc w:val="center"/>
                  </w:pPr>
                  <w:r>
                    <w:rPr>
                      <w:rFonts w:cs="Tahoma"/>
                      <w:szCs w:val="18"/>
                    </w:rPr>
                    <w:t>194 (80%)</w:t>
                  </w:r>
                </w:p>
              </w:tc>
              <w:tc>
                <w:tcPr>
                  <w:tcW w:w="1108" w:type="dxa"/>
                  <w:tcBorders>
                    <w:bottom w:val="single" w:sz="4" w:space="0" w:color="BFBFBF" w:themeColor="background1" w:themeShade="BF"/>
                  </w:tcBorders>
                </w:tcPr>
                <w:p w:rsidR="001D0FDA" w:rsidRPr="00C5782C" w:rsidRDefault="001D0FDA" w:rsidP="00B5196D">
                  <w:pPr>
                    <w:pStyle w:val="Tabletext"/>
                    <w:framePr w:hSpace="180" w:wrap="around" w:vAnchor="text" w:hAnchor="text" w:y="1"/>
                    <w:jc w:val="center"/>
                  </w:pPr>
                  <w:r>
                    <w:t>184 (74%)</w:t>
                  </w:r>
                </w:p>
              </w:tc>
            </w:tr>
            <w:tr w:rsidR="001D0FDA" w:rsidRPr="001B3364" w:rsidTr="001D0FDA">
              <w:tc>
                <w:tcPr>
                  <w:tcW w:w="2161" w:type="dxa"/>
                  <w:tcBorders>
                    <w:bottom w:val="nil"/>
                  </w:tcBorders>
                  <w:shd w:val="clear" w:color="auto" w:fill="FFFFFF" w:themeFill="background1"/>
                </w:tcPr>
                <w:p w:rsidR="001D0FDA" w:rsidRPr="00C5782C" w:rsidRDefault="001D0FDA" w:rsidP="00B5196D">
                  <w:pPr>
                    <w:pStyle w:val="Tabletext"/>
                    <w:framePr w:hSpace="180" w:wrap="around" w:vAnchor="text" w:hAnchor="text" w:y="1"/>
                  </w:pPr>
                  <w:r>
                    <w:t>Aetiology</w:t>
                  </w:r>
                </w:p>
              </w:tc>
              <w:tc>
                <w:tcPr>
                  <w:tcW w:w="1019"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c>
                <w:tcPr>
                  <w:tcW w:w="1108"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r>
            <w:tr w:rsidR="001D0FDA" w:rsidRPr="001B3364" w:rsidTr="001D0FDA">
              <w:tc>
                <w:tcPr>
                  <w:tcW w:w="2161"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ind w:left="262"/>
                  </w:pPr>
                  <w:r w:rsidRPr="00C5782C">
                    <w:t xml:space="preserve">IPAH </w:t>
                  </w:r>
                </w:p>
              </w:tc>
              <w:tc>
                <w:tcPr>
                  <w:tcW w:w="1019"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134 (56%)</w:t>
                  </w:r>
                </w:p>
              </w:tc>
              <w:tc>
                <w:tcPr>
                  <w:tcW w:w="1108"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126 (51%)</w:t>
                  </w:r>
                </w:p>
              </w:tc>
            </w:tr>
            <w:tr w:rsidR="001D0FDA" w:rsidRPr="001B3364" w:rsidTr="001D0FDA">
              <w:tc>
                <w:tcPr>
                  <w:tcW w:w="2161"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ind w:left="262"/>
                  </w:pPr>
                  <w:r w:rsidRPr="00C5782C">
                    <w:t>PAH-CTD</w:t>
                  </w:r>
                </w:p>
              </w:tc>
              <w:tc>
                <w:tcPr>
                  <w:tcW w:w="1019"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73 (30%)</w:t>
                  </w:r>
                </w:p>
              </w:tc>
              <w:tc>
                <w:tcPr>
                  <w:tcW w:w="1108"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81 (33%)</w:t>
                  </w:r>
                </w:p>
              </w:tc>
            </w:tr>
            <w:tr w:rsidR="001D0FDA" w:rsidRPr="001B3364" w:rsidTr="001D0FDA">
              <w:tc>
                <w:tcPr>
                  <w:tcW w:w="2161"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ind w:left="262"/>
                  </w:pPr>
                  <w:r w:rsidRPr="00C5782C">
                    <w:t>PAH-CHD</w:t>
                  </w:r>
                </w:p>
              </w:tc>
              <w:tc>
                <w:tcPr>
                  <w:tcW w:w="1019"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21 (9%)</w:t>
                  </w:r>
                </w:p>
              </w:tc>
              <w:tc>
                <w:tcPr>
                  <w:tcW w:w="1108"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26 (10%)</w:t>
                  </w:r>
                </w:p>
              </w:tc>
            </w:tr>
            <w:tr w:rsidR="001D0FDA" w:rsidRPr="001B3364" w:rsidTr="001D0FDA">
              <w:tc>
                <w:tcPr>
                  <w:tcW w:w="2161" w:type="dxa"/>
                  <w:tcBorders>
                    <w:top w:val="nil"/>
                    <w:bottom w:val="nil"/>
                  </w:tcBorders>
                  <w:shd w:val="clear" w:color="auto" w:fill="FFFFFF" w:themeFill="background1"/>
                </w:tcPr>
                <w:p w:rsidR="001D0FDA" w:rsidRDefault="001D0FDA" w:rsidP="00B5196D">
                  <w:pPr>
                    <w:pStyle w:val="Tabletext"/>
                    <w:framePr w:hSpace="180" w:wrap="around" w:vAnchor="text" w:hAnchor="text" w:y="1"/>
                    <w:ind w:left="262"/>
                  </w:pPr>
                  <w:r w:rsidRPr="00C5782C">
                    <w:t>PAH</w:t>
                  </w:r>
                  <w:r>
                    <w:t>-DT</w:t>
                  </w:r>
                </w:p>
              </w:tc>
              <w:tc>
                <w:tcPr>
                  <w:tcW w:w="1019"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5 (2%)</w:t>
                  </w:r>
                </w:p>
              </w:tc>
              <w:tc>
                <w:tcPr>
                  <w:tcW w:w="1108"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8 (3%)</w:t>
                  </w:r>
                </w:p>
              </w:tc>
            </w:tr>
            <w:tr w:rsidR="001D0FDA" w:rsidRPr="001B3364" w:rsidTr="001D0FDA">
              <w:tc>
                <w:tcPr>
                  <w:tcW w:w="2161" w:type="dxa"/>
                  <w:tcBorders>
                    <w:top w:val="nil"/>
                    <w:bottom w:val="nil"/>
                  </w:tcBorders>
                  <w:shd w:val="clear" w:color="auto" w:fill="FFFFFF" w:themeFill="background1"/>
                </w:tcPr>
                <w:p w:rsidR="001D0FDA" w:rsidRDefault="001D0FDA" w:rsidP="00B5196D">
                  <w:pPr>
                    <w:pStyle w:val="Tabletext"/>
                    <w:framePr w:hSpace="180" w:wrap="around" w:vAnchor="text" w:hAnchor="text" w:y="1"/>
                    <w:ind w:left="262"/>
                  </w:pPr>
                  <w:r>
                    <w:t>HPAH</w:t>
                  </w:r>
                </w:p>
              </w:tc>
              <w:tc>
                <w:tcPr>
                  <w:tcW w:w="1019"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2 (1%)</w:t>
                  </w:r>
                </w:p>
              </w:tc>
              <w:tc>
                <w:tcPr>
                  <w:tcW w:w="1108"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3 (1%)</w:t>
                  </w:r>
                </w:p>
              </w:tc>
            </w:tr>
            <w:tr w:rsidR="001D0FDA" w:rsidRPr="001B3364" w:rsidTr="001D0FDA">
              <w:tc>
                <w:tcPr>
                  <w:tcW w:w="2161" w:type="dxa"/>
                  <w:tcBorders>
                    <w:top w:val="nil"/>
                    <w:bottom w:val="single" w:sz="4" w:space="0" w:color="BFBFBF" w:themeColor="background1" w:themeShade="BF"/>
                  </w:tcBorders>
                  <w:shd w:val="clear" w:color="auto" w:fill="FFFFFF" w:themeFill="background1"/>
                </w:tcPr>
                <w:p w:rsidR="001D0FDA" w:rsidRPr="00C5782C" w:rsidRDefault="001D0FDA" w:rsidP="00B5196D">
                  <w:pPr>
                    <w:pStyle w:val="Tabletext"/>
                    <w:framePr w:hSpace="180" w:wrap="around" w:vAnchor="text" w:hAnchor="text" w:y="1"/>
                    <w:ind w:left="262"/>
                  </w:pPr>
                  <w:r w:rsidRPr="00C5782C">
                    <w:t>PAH-HIV</w:t>
                  </w:r>
                </w:p>
              </w:tc>
              <w:tc>
                <w:tcPr>
                  <w:tcW w:w="1019" w:type="dxa"/>
                  <w:tcBorders>
                    <w:top w:val="nil"/>
                    <w:bottom w:val="single" w:sz="4" w:space="0" w:color="BFBFBF" w:themeColor="background1" w:themeShade="BF"/>
                  </w:tcBorders>
                  <w:shd w:val="clear" w:color="auto" w:fill="FFFFFF" w:themeFill="background1"/>
                </w:tcPr>
                <w:p w:rsidR="001D0FDA" w:rsidRPr="00C5782C" w:rsidRDefault="001D0FDA" w:rsidP="00B5196D">
                  <w:pPr>
                    <w:pStyle w:val="Tabletext"/>
                    <w:framePr w:hSpace="180" w:wrap="around" w:vAnchor="text" w:hAnchor="text" w:y="1"/>
                    <w:jc w:val="center"/>
                  </w:pPr>
                  <w:r>
                    <w:t>6 (2%)</w:t>
                  </w:r>
                </w:p>
              </w:tc>
              <w:tc>
                <w:tcPr>
                  <w:tcW w:w="1108" w:type="dxa"/>
                  <w:tcBorders>
                    <w:top w:val="nil"/>
                    <w:bottom w:val="single" w:sz="4" w:space="0" w:color="BFBFBF" w:themeColor="background1" w:themeShade="BF"/>
                  </w:tcBorders>
                  <w:shd w:val="clear" w:color="auto" w:fill="FFFFFF" w:themeFill="background1"/>
                </w:tcPr>
                <w:p w:rsidR="001D0FDA" w:rsidRPr="00C5782C" w:rsidRDefault="001D0FDA" w:rsidP="00B5196D">
                  <w:pPr>
                    <w:pStyle w:val="Tabletext"/>
                    <w:framePr w:hSpace="180" w:wrap="around" w:vAnchor="text" w:hAnchor="text" w:y="1"/>
                    <w:jc w:val="center"/>
                  </w:pPr>
                  <w:r>
                    <w:t>3 (1%)</w:t>
                  </w:r>
                </w:p>
              </w:tc>
            </w:tr>
            <w:tr w:rsidR="001D0FDA" w:rsidRPr="001B3364" w:rsidTr="001D0FDA">
              <w:tc>
                <w:tcPr>
                  <w:tcW w:w="2161" w:type="dxa"/>
                  <w:tcBorders>
                    <w:bottom w:val="nil"/>
                  </w:tcBorders>
                  <w:shd w:val="clear" w:color="auto" w:fill="FFFFFF" w:themeFill="background1"/>
                </w:tcPr>
                <w:p w:rsidR="001D0FDA" w:rsidRPr="00C5782C" w:rsidRDefault="001D0FDA" w:rsidP="00B5196D">
                  <w:pPr>
                    <w:pStyle w:val="Tabletext"/>
                    <w:framePr w:hSpace="180" w:wrap="around" w:vAnchor="text" w:hAnchor="text" w:y="1"/>
                  </w:pPr>
                  <w:r>
                    <w:t>WHO FC</w:t>
                  </w:r>
                </w:p>
              </w:tc>
              <w:tc>
                <w:tcPr>
                  <w:tcW w:w="1019"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c>
                <w:tcPr>
                  <w:tcW w:w="1108"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r>
            <w:tr w:rsidR="001D0FDA" w:rsidRPr="001B3364" w:rsidTr="001D0FDA">
              <w:tc>
                <w:tcPr>
                  <w:tcW w:w="2161"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ind w:left="262"/>
                  </w:pPr>
                  <w:r>
                    <w:t>I</w:t>
                  </w:r>
                </w:p>
              </w:tc>
              <w:tc>
                <w:tcPr>
                  <w:tcW w:w="1019"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1 (0.4%)</w:t>
                  </w:r>
                </w:p>
              </w:tc>
              <w:tc>
                <w:tcPr>
                  <w:tcW w:w="1108"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0 (0%)</w:t>
                  </w:r>
                </w:p>
              </w:tc>
            </w:tr>
            <w:tr w:rsidR="001D0FDA" w:rsidRPr="001B3364" w:rsidTr="001D0FDA">
              <w:tc>
                <w:tcPr>
                  <w:tcW w:w="2161" w:type="dxa"/>
                  <w:tcBorders>
                    <w:top w:val="nil"/>
                    <w:bottom w:val="nil"/>
                  </w:tcBorders>
                  <w:shd w:val="clear" w:color="auto" w:fill="FFFFFF" w:themeFill="background1"/>
                </w:tcPr>
                <w:p w:rsidR="001D0FDA" w:rsidRDefault="001D0FDA" w:rsidP="00B5196D">
                  <w:pPr>
                    <w:pStyle w:val="Tabletext"/>
                    <w:framePr w:hSpace="180" w:wrap="around" w:vAnchor="text" w:hAnchor="text" w:y="1"/>
                    <w:ind w:left="262"/>
                  </w:pPr>
                  <w:r>
                    <w:t>II</w:t>
                  </w:r>
                </w:p>
              </w:tc>
              <w:tc>
                <w:tcPr>
                  <w:tcW w:w="1019"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120 (50%)</w:t>
                  </w:r>
                </w:p>
              </w:tc>
              <w:tc>
                <w:tcPr>
                  <w:tcW w:w="1108"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129 (52%)</w:t>
                  </w:r>
                </w:p>
              </w:tc>
            </w:tr>
            <w:tr w:rsidR="001D0FDA" w:rsidRPr="001B3364" w:rsidTr="001D0FDA">
              <w:tc>
                <w:tcPr>
                  <w:tcW w:w="2161" w:type="dxa"/>
                  <w:tcBorders>
                    <w:top w:val="nil"/>
                    <w:bottom w:val="nil"/>
                  </w:tcBorders>
                  <w:shd w:val="clear" w:color="auto" w:fill="FFFFFF" w:themeFill="background1"/>
                </w:tcPr>
                <w:p w:rsidR="001D0FDA" w:rsidRDefault="001D0FDA" w:rsidP="00B5196D">
                  <w:pPr>
                    <w:pStyle w:val="Tabletext"/>
                    <w:framePr w:hSpace="180" w:wrap="around" w:vAnchor="text" w:hAnchor="text" w:y="1"/>
                    <w:ind w:left="262"/>
                  </w:pPr>
                  <w:r>
                    <w:t>III</w:t>
                  </w:r>
                </w:p>
              </w:tc>
              <w:tc>
                <w:tcPr>
                  <w:tcW w:w="1019"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116 (48%)</w:t>
                  </w:r>
                </w:p>
              </w:tc>
              <w:tc>
                <w:tcPr>
                  <w:tcW w:w="1108"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116 (47%)</w:t>
                  </w:r>
                </w:p>
              </w:tc>
            </w:tr>
            <w:tr w:rsidR="001D0FDA" w:rsidRPr="001B3364" w:rsidTr="001D0FDA">
              <w:tc>
                <w:tcPr>
                  <w:tcW w:w="2161" w:type="dxa"/>
                  <w:tcBorders>
                    <w:top w:val="nil"/>
                  </w:tcBorders>
                  <w:shd w:val="clear" w:color="auto" w:fill="FFFFFF" w:themeFill="background1"/>
                </w:tcPr>
                <w:p w:rsidR="001D0FDA" w:rsidRDefault="001D0FDA" w:rsidP="00B5196D">
                  <w:pPr>
                    <w:pStyle w:val="Tabletext"/>
                    <w:framePr w:hSpace="180" w:wrap="around" w:vAnchor="text" w:hAnchor="text" w:y="1"/>
                    <w:ind w:left="262"/>
                  </w:pPr>
                  <w:r>
                    <w:t>IV</w:t>
                  </w:r>
                </w:p>
              </w:tc>
              <w:tc>
                <w:tcPr>
                  <w:tcW w:w="1019" w:type="dxa"/>
                  <w:tcBorders>
                    <w:top w:val="nil"/>
                  </w:tcBorders>
                  <w:shd w:val="clear" w:color="auto" w:fill="FFFFFF" w:themeFill="background1"/>
                </w:tcPr>
                <w:p w:rsidR="001D0FDA" w:rsidRPr="00C5782C" w:rsidRDefault="001D0FDA" w:rsidP="00B5196D">
                  <w:pPr>
                    <w:pStyle w:val="Tabletext"/>
                    <w:framePr w:hSpace="180" w:wrap="around" w:vAnchor="text" w:hAnchor="text" w:y="1"/>
                    <w:jc w:val="center"/>
                  </w:pPr>
                  <w:r>
                    <w:t>5 (2%)</w:t>
                  </w:r>
                </w:p>
              </w:tc>
              <w:tc>
                <w:tcPr>
                  <w:tcW w:w="1108" w:type="dxa"/>
                  <w:tcBorders>
                    <w:top w:val="nil"/>
                  </w:tcBorders>
                  <w:shd w:val="clear" w:color="auto" w:fill="FFFFFF" w:themeFill="background1"/>
                </w:tcPr>
                <w:p w:rsidR="001D0FDA" w:rsidRPr="00C5782C" w:rsidRDefault="001D0FDA" w:rsidP="00B5196D">
                  <w:pPr>
                    <w:pStyle w:val="Tabletext"/>
                    <w:framePr w:hSpace="180" w:wrap="around" w:vAnchor="text" w:hAnchor="text" w:y="1"/>
                    <w:jc w:val="center"/>
                  </w:pPr>
                  <w:r>
                    <w:t>4 (2%)</w:t>
                  </w:r>
                </w:p>
              </w:tc>
            </w:tr>
            <w:tr w:rsidR="001D0FDA" w:rsidRPr="001B3364" w:rsidTr="001D0FDA">
              <w:tc>
                <w:tcPr>
                  <w:tcW w:w="2161" w:type="dxa"/>
                  <w:tcBorders>
                    <w:bottom w:val="single" w:sz="4" w:space="0" w:color="BFBFBF" w:themeColor="background1" w:themeShade="BF"/>
                  </w:tcBorders>
                  <w:shd w:val="clear" w:color="auto" w:fill="FFFFFF" w:themeFill="background1"/>
                </w:tcPr>
                <w:p w:rsidR="001D0FDA" w:rsidRDefault="001D0FDA" w:rsidP="00B5196D">
                  <w:pPr>
                    <w:pStyle w:val="Tabletext"/>
                    <w:framePr w:hSpace="180" w:wrap="around" w:vAnchor="text" w:hAnchor="text" w:y="1"/>
                  </w:pPr>
                  <w:r>
                    <w:t>Time from diagnosis</w:t>
                  </w:r>
                  <w:r w:rsidRPr="00351FF5">
                    <w:rPr>
                      <w:rFonts w:cs="Tahoma"/>
                      <w:szCs w:val="18"/>
                    </w:rPr>
                    <w:t>, mean±SD</w:t>
                  </w:r>
                  <w:r>
                    <w:t xml:space="preserve"> (yrs)</w:t>
                  </w:r>
                </w:p>
              </w:tc>
              <w:tc>
                <w:tcPr>
                  <w:tcW w:w="1019" w:type="dxa"/>
                  <w:tcBorders>
                    <w:bottom w:val="single" w:sz="4" w:space="0" w:color="BFBFBF" w:themeColor="background1" w:themeShade="BF"/>
                  </w:tcBorders>
                  <w:shd w:val="clear" w:color="auto" w:fill="FFFFFF" w:themeFill="background1"/>
                  <w:vAlign w:val="center"/>
                </w:tcPr>
                <w:p w:rsidR="001D0FDA" w:rsidRDefault="001D0FDA" w:rsidP="00B5196D">
                  <w:pPr>
                    <w:pStyle w:val="Tabletext"/>
                    <w:framePr w:hSpace="180" w:wrap="around" w:vAnchor="text" w:hAnchor="text" w:y="1"/>
                    <w:jc w:val="center"/>
                  </w:pPr>
                  <w:r w:rsidRPr="007B14FA">
                    <w:t>2.6±3.6</w:t>
                  </w:r>
                </w:p>
              </w:tc>
              <w:tc>
                <w:tcPr>
                  <w:tcW w:w="1108" w:type="dxa"/>
                  <w:tcBorders>
                    <w:bottom w:val="single" w:sz="4" w:space="0" w:color="BFBFBF" w:themeColor="background1" w:themeShade="BF"/>
                  </w:tcBorders>
                  <w:shd w:val="clear" w:color="auto" w:fill="FFFFFF" w:themeFill="background1"/>
                  <w:vAlign w:val="center"/>
                </w:tcPr>
                <w:p w:rsidR="001D0FDA" w:rsidRDefault="001D0FDA" w:rsidP="00B5196D">
                  <w:pPr>
                    <w:pStyle w:val="Tabletext"/>
                    <w:framePr w:hSpace="180" w:wrap="around" w:vAnchor="text" w:hAnchor="text" w:y="1"/>
                    <w:jc w:val="center"/>
                  </w:pPr>
                  <w:r w:rsidRPr="007B14FA">
                    <w:t>2.6±3.7</w:t>
                  </w:r>
                </w:p>
              </w:tc>
            </w:tr>
            <w:tr w:rsidR="001D0FDA" w:rsidRPr="001B3364" w:rsidTr="001D0FDA">
              <w:tc>
                <w:tcPr>
                  <w:tcW w:w="2161" w:type="dxa"/>
                  <w:tcBorders>
                    <w:bottom w:val="nil"/>
                  </w:tcBorders>
                  <w:shd w:val="clear" w:color="auto" w:fill="FFFFFF" w:themeFill="background1"/>
                </w:tcPr>
                <w:p w:rsidR="001D0FDA" w:rsidRDefault="001D0FDA" w:rsidP="00B5196D">
                  <w:pPr>
                    <w:pStyle w:val="Tabletext"/>
                    <w:framePr w:hSpace="180" w:wrap="around" w:vAnchor="text" w:hAnchor="text" w:y="1"/>
                  </w:pPr>
                  <w:r>
                    <w:t>With background therapy, n (%)</w:t>
                  </w:r>
                </w:p>
              </w:tc>
              <w:tc>
                <w:tcPr>
                  <w:tcW w:w="1019" w:type="dxa"/>
                  <w:tcBorders>
                    <w:bottom w:val="nil"/>
                  </w:tcBorders>
                  <w:shd w:val="clear" w:color="auto" w:fill="FFFFFF" w:themeFill="background1"/>
                  <w:vAlign w:val="center"/>
                </w:tcPr>
                <w:p w:rsidR="001D0FDA" w:rsidRPr="007B14FA" w:rsidRDefault="001D0FDA" w:rsidP="00B5196D">
                  <w:pPr>
                    <w:pStyle w:val="Tabletext"/>
                    <w:framePr w:hSpace="180" w:wrap="around" w:vAnchor="text" w:hAnchor="text" w:y="1"/>
                    <w:jc w:val="center"/>
                  </w:pPr>
                  <w:r>
                    <w:t>154 (64%)</w:t>
                  </w:r>
                </w:p>
              </w:tc>
              <w:tc>
                <w:tcPr>
                  <w:tcW w:w="1108" w:type="dxa"/>
                  <w:tcBorders>
                    <w:bottom w:val="nil"/>
                  </w:tcBorders>
                  <w:shd w:val="clear" w:color="auto" w:fill="FFFFFF" w:themeFill="background1"/>
                  <w:vAlign w:val="center"/>
                </w:tcPr>
                <w:p w:rsidR="001D0FDA" w:rsidRPr="007B14FA" w:rsidRDefault="001D0FDA" w:rsidP="00B5196D">
                  <w:pPr>
                    <w:pStyle w:val="Tabletext"/>
                    <w:framePr w:hSpace="180" w:wrap="around" w:vAnchor="text" w:hAnchor="text" w:y="1"/>
                    <w:jc w:val="center"/>
                  </w:pPr>
                  <w:r>
                    <w:t>150 (62%)</w:t>
                  </w:r>
                </w:p>
              </w:tc>
            </w:tr>
            <w:tr w:rsidR="001D0FDA" w:rsidRPr="001B3364" w:rsidTr="001D0FDA">
              <w:tc>
                <w:tcPr>
                  <w:tcW w:w="2161" w:type="dxa"/>
                  <w:tcBorders>
                    <w:top w:val="nil"/>
                    <w:bottom w:val="nil"/>
                  </w:tcBorders>
                  <w:shd w:val="clear" w:color="auto" w:fill="FFFFFF" w:themeFill="background1"/>
                </w:tcPr>
                <w:p w:rsidR="001D0FDA" w:rsidRDefault="001D0FDA" w:rsidP="00B5196D">
                  <w:pPr>
                    <w:pStyle w:val="Tabletext"/>
                    <w:framePr w:hSpace="180" w:wrap="around" w:vAnchor="text" w:hAnchor="text" w:y="1"/>
                    <w:ind w:left="262"/>
                  </w:pPr>
                  <w:r>
                    <w:t>PDE-5i</w:t>
                  </w:r>
                </w:p>
              </w:tc>
              <w:tc>
                <w:tcPr>
                  <w:tcW w:w="1019" w:type="dxa"/>
                  <w:tcBorders>
                    <w:top w:val="nil"/>
                    <w:bottom w:val="nil"/>
                  </w:tcBorders>
                  <w:shd w:val="clear" w:color="auto" w:fill="FFFFFF" w:themeFill="background1"/>
                  <w:vAlign w:val="center"/>
                </w:tcPr>
                <w:p w:rsidR="001D0FDA" w:rsidRPr="007B14FA" w:rsidRDefault="001D0FDA" w:rsidP="00B5196D">
                  <w:pPr>
                    <w:pStyle w:val="Tabletext"/>
                    <w:framePr w:hSpace="180" w:wrap="around" w:vAnchor="text" w:hAnchor="text" w:y="1"/>
                    <w:jc w:val="center"/>
                  </w:pPr>
                  <w:r>
                    <w:t>150 (62%)</w:t>
                  </w:r>
                </w:p>
              </w:tc>
              <w:tc>
                <w:tcPr>
                  <w:tcW w:w="1108" w:type="dxa"/>
                  <w:tcBorders>
                    <w:top w:val="nil"/>
                    <w:bottom w:val="nil"/>
                  </w:tcBorders>
                  <w:shd w:val="clear" w:color="auto" w:fill="FFFFFF" w:themeFill="background1"/>
                  <w:vAlign w:val="center"/>
                </w:tcPr>
                <w:p w:rsidR="001D0FDA" w:rsidRPr="007B14FA" w:rsidRDefault="001D0FDA" w:rsidP="00B5196D">
                  <w:pPr>
                    <w:pStyle w:val="Tabletext"/>
                    <w:framePr w:hSpace="180" w:wrap="around" w:vAnchor="text" w:hAnchor="text" w:y="1"/>
                    <w:jc w:val="center"/>
                  </w:pPr>
                  <w:r>
                    <w:t>150 (60%)</w:t>
                  </w:r>
                </w:p>
              </w:tc>
            </w:tr>
            <w:tr w:rsidR="001D0FDA" w:rsidRPr="001B3364" w:rsidTr="001D0FDA">
              <w:tc>
                <w:tcPr>
                  <w:tcW w:w="2161" w:type="dxa"/>
                  <w:tcBorders>
                    <w:top w:val="nil"/>
                  </w:tcBorders>
                  <w:shd w:val="clear" w:color="auto" w:fill="FFFFFF" w:themeFill="background1"/>
                </w:tcPr>
                <w:p w:rsidR="001D0FDA" w:rsidRDefault="001D0FDA" w:rsidP="00B5196D">
                  <w:pPr>
                    <w:pStyle w:val="Tabletext"/>
                    <w:framePr w:hSpace="180" w:wrap="around" w:vAnchor="text" w:hAnchor="text" w:y="1"/>
                    <w:ind w:left="262"/>
                  </w:pPr>
                  <w:r>
                    <w:t>Prostanoid</w:t>
                  </w:r>
                </w:p>
              </w:tc>
              <w:tc>
                <w:tcPr>
                  <w:tcW w:w="1019" w:type="dxa"/>
                  <w:tcBorders>
                    <w:top w:val="nil"/>
                  </w:tcBorders>
                  <w:shd w:val="clear" w:color="auto" w:fill="FFFFFF" w:themeFill="background1"/>
                  <w:vAlign w:val="center"/>
                </w:tcPr>
                <w:p w:rsidR="001D0FDA" w:rsidRPr="007B14FA" w:rsidRDefault="001D0FDA" w:rsidP="00B5196D">
                  <w:pPr>
                    <w:pStyle w:val="Tabletext"/>
                    <w:framePr w:hSpace="180" w:wrap="around" w:vAnchor="text" w:hAnchor="text" w:y="1"/>
                    <w:jc w:val="center"/>
                  </w:pPr>
                  <w:r>
                    <w:t>15 (6%)</w:t>
                  </w:r>
                </w:p>
              </w:tc>
              <w:tc>
                <w:tcPr>
                  <w:tcW w:w="1108" w:type="dxa"/>
                  <w:tcBorders>
                    <w:top w:val="nil"/>
                  </w:tcBorders>
                  <w:shd w:val="clear" w:color="auto" w:fill="FFFFFF" w:themeFill="background1"/>
                  <w:vAlign w:val="center"/>
                </w:tcPr>
                <w:p w:rsidR="001D0FDA" w:rsidRPr="007B14FA" w:rsidRDefault="001D0FDA" w:rsidP="00B5196D">
                  <w:pPr>
                    <w:pStyle w:val="Tabletext"/>
                    <w:framePr w:hSpace="180" w:wrap="around" w:vAnchor="text" w:hAnchor="text" w:y="1"/>
                    <w:jc w:val="center"/>
                  </w:pPr>
                  <w:r>
                    <w:t>7 (3%)</w:t>
                  </w:r>
                </w:p>
              </w:tc>
            </w:tr>
            <w:tr w:rsidR="001D0FDA" w:rsidRPr="001B3364" w:rsidTr="001D0FDA">
              <w:tc>
                <w:tcPr>
                  <w:tcW w:w="2161" w:type="dxa"/>
                </w:tcPr>
                <w:p w:rsidR="001D0FDA" w:rsidRDefault="001D0FDA" w:rsidP="00B5196D">
                  <w:pPr>
                    <w:pStyle w:val="Tabletext"/>
                    <w:framePr w:hSpace="180" w:wrap="around" w:vAnchor="text" w:hAnchor="text" w:y="1"/>
                  </w:pPr>
                  <w:r>
                    <w:rPr>
                      <w:rFonts w:cs="Tahoma"/>
                      <w:szCs w:val="18"/>
                    </w:rPr>
                    <w:t>mPAP</w:t>
                  </w:r>
                  <w:r w:rsidRPr="00351FF5">
                    <w:rPr>
                      <w:rFonts w:cs="Tahoma"/>
                      <w:szCs w:val="18"/>
                    </w:rPr>
                    <w:t>, mean±SD (mmHg)</w:t>
                  </w:r>
                </w:p>
              </w:tc>
              <w:tc>
                <w:tcPr>
                  <w:tcW w:w="1019" w:type="dxa"/>
                  <w:shd w:val="clear" w:color="auto" w:fill="FFFFFF" w:themeFill="background1"/>
                  <w:vAlign w:val="center"/>
                </w:tcPr>
                <w:p w:rsidR="001D0FDA" w:rsidRPr="00C5782C" w:rsidRDefault="001D0FDA" w:rsidP="00B5196D">
                  <w:pPr>
                    <w:pStyle w:val="Tabletext"/>
                    <w:framePr w:hSpace="180" w:wrap="around" w:vAnchor="text" w:hAnchor="text" w:y="1"/>
                    <w:jc w:val="center"/>
                  </w:pPr>
                  <w:r>
                    <w:t>53.5±17.6</w:t>
                  </w:r>
                </w:p>
              </w:tc>
              <w:tc>
                <w:tcPr>
                  <w:tcW w:w="1108" w:type="dxa"/>
                  <w:shd w:val="clear" w:color="auto" w:fill="FFFFFF" w:themeFill="background1"/>
                  <w:vAlign w:val="center"/>
                </w:tcPr>
                <w:p w:rsidR="001D0FDA" w:rsidRPr="00C5782C" w:rsidRDefault="001D0FDA" w:rsidP="00B5196D">
                  <w:pPr>
                    <w:pStyle w:val="Tabletext"/>
                    <w:framePr w:hSpace="180" w:wrap="around" w:vAnchor="text" w:hAnchor="text" w:y="1"/>
                    <w:jc w:val="center"/>
                  </w:pPr>
                  <w:r>
                    <w:t>53.1±18.1</w:t>
                  </w:r>
                </w:p>
              </w:tc>
            </w:tr>
            <w:tr w:rsidR="001D0FDA" w:rsidRPr="001B3364" w:rsidTr="001D0FDA">
              <w:tc>
                <w:tcPr>
                  <w:tcW w:w="2161" w:type="dxa"/>
                </w:tcPr>
                <w:p w:rsidR="001D0FDA" w:rsidRDefault="001D0FDA" w:rsidP="00B5196D">
                  <w:pPr>
                    <w:pStyle w:val="Tabletext"/>
                    <w:framePr w:hSpace="180" w:wrap="around" w:vAnchor="text" w:hAnchor="text" w:y="1"/>
                  </w:pPr>
                  <w:r>
                    <w:rPr>
                      <w:rFonts w:cs="Tahoma"/>
                      <w:szCs w:val="18"/>
                    </w:rPr>
                    <w:t>PVR, mean±SD (dyn*s*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019" w:type="dxa"/>
                  <w:shd w:val="clear" w:color="auto" w:fill="FFFFFF" w:themeFill="background1"/>
                  <w:vAlign w:val="center"/>
                </w:tcPr>
                <w:p w:rsidR="001D0FDA" w:rsidRDefault="001D0FDA" w:rsidP="00B5196D">
                  <w:pPr>
                    <w:pStyle w:val="Tabletext"/>
                    <w:framePr w:hSpace="180" w:wrap="around" w:vAnchor="text" w:hAnchor="text" w:y="1"/>
                    <w:jc w:val="center"/>
                  </w:pPr>
                  <w:r>
                    <w:t>1040±673</w:t>
                  </w:r>
                </w:p>
              </w:tc>
              <w:tc>
                <w:tcPr>
                  <w:tcW w:w="1108" w:type="dxa"/>
                  <w:shd w:val="clear" w:color="auto" w:fill="FFFFFF" w:themeFill="background1"/>
                  <w:vAlign w:val="center"/>
                </w:tcPr>
                <w:p w:rsidR="001D0FDA" w:rsidRDefault="001D0FDA" w:rsidP="00B5196D">
                  <w:pPr>
                    <w:pStyle w:val="Tabletext"/>
                    <w:framePr w:hSpace="180" w:wrap="around" w:vAnchor="text" w:hAnchor="text" w:y="1"/>
                    <w:jc w:val="center"/>
                  </w:pPr>
                  <w:r>
                    <w:t>996±784</w:t>
                  </w:r>
                </w:p>
              </w:tc>
            </w:tr>
          </w:tbl>
          <w:p w:rsidR="001D0FDA" w:rsidRDefault="001D0FDA" w:rsidP="001D0FDA">
            <w:pPr>
              <w:pStyle w:val="Tabletext"/>
              <w:rPr>
                <w:szCs w:val="18"/>
              </w:rPr>
            </w:pPr>
            <w:r w:rsidRPr="00A93CCE">
              <w:rPr>
                <w:szCs w:val="18"/>
              </w:rPr>
              <w:t xml:space="preserve">Data on the patient characteristics for the WHO FC I-II, no background therapy subgroup, the WHO FC III-IV, no background therapy subgroup, and the with background therapy were not available. Randomisation was </w:t>
            </w:r>
            <w:r>
              <w:rPr>
                <w:szCs w:val="18"/>
              </w:rPr>
              <w:t xml:space="preserve">not </w:t>
            </w:r>
            <w:r w:rsidRPr="00A93CCE">
              <w:rPr>
                <w:szCs w:val="18"/>
              </w:rPr>
              <w:t>stratified according to background therapy</w:t>
            </w:r>
            <w:r>
              <w:rPr>
                <w:szCs w:val="18"/>
              </w:rPr>
              <w:t xml:space="preserve"> or </w:t>
            </w:r>
            <w:r w:rsidRPr="00A93CCE">
              <w:rPr>
                <w:szCs w:val="18"/>
              </w:rPr>
              <w:t>WHO FC.</w:t>
            </w:r>
          </w:p>
        </w:tc>
        <w:tc>
          <w:tcPr>
            <w:tcW w:w="811" w:type="pct"/>
          </w:tcPr>
          <w:p w:rsidR="001D0FDA" w:rsidRDefault="001D0FDA" w:rsidP="001D0FDA">
            <w:pPr>
              <w:pStyle w:val="Tabletext"/>
              <w:rPr>
                <w:i/>
              </w:rPr>
            </w:pPr>
            <w:r>
              <w:rPr>
                <w:i/>
              </w:rPr>
              <w:t>Intervention</w:t>
            </w:r>
          </w:p>
          <w:p w:rsidR="001D0FDA" w:rsidRDefault="001D0FDA" w:rsidP="001D0FDA">
            <w:pPr>
              <w:pStyle w:val="Tabletext"/>
            </w:pPr>
            <w:r w:rsidRPr="0068285E">
              <w:t xml:space="preserve">Macitentan </w:t>
            </w:r>
            <w:r>
              <w:t>10</w:t>
            </w:r>
            <w:r w:rsidRPr="0068285E">
              <w:t xml:space="preserve">mg od </w:t>
            </w:r>
          </w:p>
          <w:p w:rsidR="001D0FDA" w:rsidRDefault="001D0FDA" w:rsidP="001D0FDA">
            <w:pPr>
              <w:pStyle w:val="Tabletext"/>
            </w:pPr>
          </w:p>
          <w:p w:rsidR="001D0FDA" w:rsidRDefault="001D0FDA" w:rsidP="001D0FDA">
            <w:pPr>
              <w:pStyle w:val="Tabletext"/>
              <w:rPr>
                <w:i/>
              </w:rPr>
            </w:pPr>
            <w:r>
              <w:rPr>
                <w:i/>
              </w:rPr>
              <w:t>Comparator</w:t>
            </w:r>
          </w:p>
          <w:p w:rsidR="001D0FDA" w:rsidRPr="0068285E" w:rsidRDefault="001D0FDA" w:rsidP="001D0FDA">
            <w:pPr>
              <w:pStyle w:val="Tabletext"/>
            </w:pPr>
            <w:r>
              <w:t>P</w:t>
            </w:r>
            <w:r w:rsidRPr="0068285E">
              <w:t xml:space="preserve">lacebo </w:t>
            </w:r>
          </w:p>
          <w:p w:rsidR="001D0FDA" w:rsidRPr="0068285E" w:rsidRDefault="001D0FDA" w:rsidP="001D0FDA">
            <w:pPr>
              <w:pStyle w:val="Tabletext"/>
              <w:rPr>
                <w:i/>
              </w:rPr>
            </w:pPr>
          </w:p>
          <w:p w:rsidR="001D0FDA" w:rsidRDefault="001D0FDA" w:rsidP="001D0FDA">
            <w:pPr>
              <w:pStyle w:val="Tabletext"/>
              <w:rPr>
                <w:i/>
              </w:rPr>
            </w:pPr>
            <w:r w:rsidRPr="0068285E">
              <w:rPr>
                <w:i/>
              </w:rPr>
              <w:t xml:space="preserve">Background therapy </w:t>
            </w:r>
          </w:p>
          <w:p w:rsidR="001D0FDA" w:rsidRDefault="001D0FDA" w:rsidP="001D0FDA">
            <w:pPr>
              <w:pStyle w:val="Tabletext"/>
            </w:pPr>
            <w:r w:rsidRPr="00CB0659">
              <w:t>PDE-5i</w:t>
            </w:r>
            <w:r>
              <w:t xml:space="preserve"> (62% in the macitentan arm vs 60% in the placebo arm)</w:t>
            </w:r>
          </w:p>
          <w:p w:rsidR="001D0FDA" w:rsidRPr="00C5431E" w:rsidRDefault="001D0FDA" w:rsidP="001D0FDA">
            <w:pPr>
              <w:pStyle w:val="Tabletext"/>
              <w:rPr>
                <w:i/>
              </w:rPr>
            </w:pPr>
            <w:r>
              <w:t>Prostanoid (6% in the macitentan arm vs 3% in the placebo arm)</w:t>
            </w:r>
          </w:p>
        </w:tc>
        <w:tc>
          <w:tcPr>
            <w:tcW w:w="771" w:type="pct"/>
          </w:tcPr>
          <w:p w:rsidR="001D0FDA" w:rsidRPr="00723AC5" w:rsidRDefault="001D0FDA" w:rsidP="001D0FDA">
            <w:pPr>
              <w:pStyle w:val="Tabletext"/>
              <w:rPr>
                <w:rFonts w:cs="Tahoma"/>
                <w:i/>
                <w:szCs w:val="18"/>
              </w:rPr>
            </w:pPr>
            <w:r w:rsidRPr="00723AC5">
              <w:rPr>
                <w:rFonts w:cs="Tahoma"/>
                <w:i/>
                <w:szCs w:val="18"/>
              </w:rPr>
              <w:t>Effectiveness:</w:t>
            </w:r>
          </w:p>
          <w:p w:rsidR="001D0FDA" w:rsidRPr="00723AC5" w:rsidRDefault="001D0FDA" w:rsidP="001D0FDA">
            <w:pPr>
              <w:pStyle w:val="Tabletext"/>
              <w:rPr>
                <w:rFonts w:cs="Tahoma"/>
                <w:szCs w:val="18"/>
              </w:rPr>
            </w:pPr>
            <w:r w:rsidRPr="00723AC5">
              <w:rPr>
                <w:rFonts w:cs="Tahoma"/>
                <w:szCs w:val="18"/>
              </w:rPr>
              <w:t>Primary:</w:t>
            </w:r>
          </w:p>
          <w:p w:rsidR="001D0FDA" w:rsidRPr="00723AC5" w:rsidRDefault="001D0FDA" w:rsidP="00480FDF">
            <w:pPr>
              <w:pStyle w:val="Tabletext"/>
              <w:numPr>
                <w:ilvl w:val="0"/>
                <w:numId w:val="54"/>
              </w:numPr>
              <w:ind w:left="239" w:hanging="144"/>
              <w:rPr>
                <w:rFonts w:cs="Tahoma"/>
                <w:szCs w:val="18"/>
              </w:rPr>
            </w:pPr>
            <w:r w:rsidRPr="00723AC5">
              <w:rPr>
                <w:rFonts w:cs="Tahoma"/>
                <w:szCs w:val="18"/>
              </w:rPr>
              <w:t xml:space="preserve">Time to first </w:t>
            </w:r>
            <w:r>
              <w:rPr>
                <w:rFonts w:cs="Tahoma"/>
                <w:szCs w:val="18"/>
              </w:rPr>
              <w:t xml:space="preserve">PAH-related </w:t>
            </w:r>
            <w:r w:rsidRPr="00723AC5">
              <w:rPr>
                <w:rFonts w:cs="Tahoma"/>
                <w:szCs w:val="18"/>
              </w:rPr>
              <w:t>event up to the EOT</w:t>
            </w:r>
            <w:r>
              <w:rPr>
                <w:rFonts w:cs="Tahoma"/>
                <w:szCs w:val="18"/>
                <w:vertAlign w:val="superscript"/>
              </w:rPr>
              <w:t>c</w:t>
            </w:r>
          </w:p>
          <w:p w:rsidR="001D0FDA" w:rsidRPr="00723AC5" w:rsidRDefault="001D0FDA" w:rsidP="001D0FDA">
            <w:pPr>
              <w:pStyle w:val="Tabletext"/>
              <w:rPr>
                <w:rFonts w:cs="Tahoma"/>
                <w:szCs w:val="18"/>
              </w:rPr>
            </w:pPr>
            <w:r w:rsidRPr="00723AC5">
              <w:rPr>
                <w:rFonts w:cs="Tahoma"/>
                <w:szCs w:val="18"/>
              </w:rPr>
              <w:t>Secondary:</w:t>
            </w:r>
          </w:p>
          <w:p w:rsidR="001D0FDA" w:rsidRPr="00723AC5" w:rsidRDefault="001D0FDA" w:rsidP="00480FDF">
            <w:pPr>
              <w:pStyle w:val="Tabletext"/>
              <w:numPr>
                <w:ilvl w:val="0"/>
                <w:numId w:val="54"/>
              </w:numPr>
              <w:ind w:left="239" w:hanging="144"/>
              <w:rPr>
                <w:rFonts w:cs="Tahoma"/>
                <w:szCs w:val="18"/>
              </w:rPr>
            </w:pPr>
            <w:r w:rsidRPr="00723AC5">
              <w:rPr>
                <w:rFonts w:cs="Tahoma"/>
                <w:szCs w:val="18"/>
              </w:rPr>
              <w:t>Change in 6MWD at Month 6</w:t>
            </w:r>
            <w:r>
              <w:rPr>
                <w:rFonts w:cs="Tahoma"/>
                <w:szCs w:val="18"/>
                <w:vertAlign w:val="superscript"/>
              </w:rPr>
              <w:t>c</w:t>
            </w:r>
          </w:p>
          <w:p w:rsidR="001D0FDA" w:rsidRPr="00723AC5" w:rsidRDefault="001D0FDA" w:rsidP="00480FDF">
            <w:pPr>
              <w:pStyle w:val="Tabletext"/>
              <w:numPr>
                <w:ilvl w:val="0"/>
                <w:numId w:val="54"/>
              </w:numPr>
              <w:ind w:left="239" w:hanging="144"/>
              <w:rPr>
                <w:rFonts w:cs="Tahoma"/>
                <w:szCs w:val="18"/>
              </w:rPr>
            </w:pPr>
            <w:r>
              <w:rPr>
                <w:rFonts w:cs="Tahoma"/>
                <w:szCs w:val="18"/>
              </w:rPr>
              <w:t xml:space="preserve">Change in </w:t>
            </w:r>
            <w:r w:rsidRPr="00723AC5">
              <w:rPr>
                <w:rFonts w:cs="Tahoma"/>
                <w:szCs w:val="18"/>
              </w:rPr>
              <w:t>WHO FC at Month 6</w:t>
            </w:r>
          </w:p>
          <w:p w:rsidR="001D0FDA" w:rsidRPr="00723AC5" w:rsidRDefault="001D0FDA" w:rsidP="00480FDF">
            <w:pPr>
              <w:pStyle w:val="Tabletext"/>
              <w:numPr>
                <w:ilvl w:val="0"/>
                <w:numId w:val="54"/>
              </w:numPr>
              <w:ind w:left="239" w:hanging="144"/>
              <w:rPr>
                <w:rFonts w:cs="Tahoma"/>
                <w:szCs w:val="18"/>
              </w:rPr>
            </w:pPr>
            <w:r>
              <w:rPr>
                <w:rFonts w:cs="Tahoma"/>
                <w:szCs w:val="18"/>
              </w:rPr>
              <w:t xml:space="preserve">PAH-related death or hospitalisation </w:t>
            </w:r>
            <w:r w:rsidRPr="00723AC5">
              <w:rPr>
                <w:rFonts w:cs="Tahoma"/>
                <w:szCs w:val="18"/>
              </w:rPr>
              <w:t>up to the EOT</w:t>
            </w:r>
          </w:p>
          <w:p w:rsidR="001D0FDA" w:rsidRPr="00723AC5" w:rsidRDefault="001D0FDA" w:rsidP="00480FDF">
            <w:pPr>
              <w:pStyle w:val="Tabletext"/>
              <w:numPr>
                <w:ilvl w:val="0"/>
                <w:numId w:val="54"/>
              </w:numPr>
              <w:ind w:left="239" w:hanging="144"/>
              <w:rPr>
                <w:rFonts w:cs="Tahoma"/>
                <w:szCs w:val="18"/>
              </w:rPr>
            </w:pPr>
            <w:r>
              <w:rPr>
                <w:rFonts w:cs="Tahoma"/>
                <w:szCs w:val="18"/>
              </w:rPr>
              <w:t xml:space="preserve">All-cause mortality </w:t>
            </w:r>
            <w:r w:rsidRPr="00723AC5">
              <w:rPr>
                <w:rFonts w:cs="Tahoma"/>
                <w:szCs w:val="18"/>
              </w:rPr>
              <w:t>up to the EOT and up to the EOS</w:t>
            </w:r>
            <w:r>
              <w:rPr>
                <w:rFonts w:cs="Tahoma"/>
                <w:szCs w:val="18"/>
                <w:vertAlign w:val="superscript"/>
              </w:rPr>
              <w:t>c</w:t>
            </w:r>
          </w:p>
          <w:p w:rsidR="001D0FDA" w:rsidRPr="00723AC5" w:rsidRDefault="001D0FDA" w:rsidP="00480FDF">
            <w:pPr>
              <w:pStyle w:val="Tabletext"/>
              <w:numPr>
                <w:ilvl w:val="0"/>
                <w:numId w:val="54"/>
              </w:numPr>
              <w:ind w:left="239" w:hanging="144"/>
              <w:rPr>
                <w:rFonts w:cs="Tahoma"/>
                <w:szCs w:val="18"/>
              </w:rPr>
            </w:pPr>
            <w:r w:rsidRPr="00723AC5">
              <w:rPr>
                <w:rFonts w:cs="Tahoma"/>
                <w:szCs w:val="18"/>
              </w:rPr>
              <w:t>Change in SF-36 score</w:t>
            </w:r>
            <w:r>
              <w:rPr>
                <w:rFonts w:cs="Tahoma"/>
                <w:szCs w:val="18"/>
                <w:vertAlign w:val="superscript"/>
              </w:rPr>
              <w:t>c</w:t>
            </w:r>
            <w:r w:rsidRPr="00723AC5">
              <w:rPr>
                <w:rFonts w:cs="Tahoma"/>
                <w:szCs w:val="18"/>
              </w:rPr>
              <w:t xml:space="preserve"> </w:t>
            </w:r>
          </w:p>
          <w:p w:rsidR="001D0FDA" w:rsidRPr="00723AC5" w:rsidRDefault="001D0FDA" w:rsidP="00480FDF">
            <w:pPr>
              <w:pStyle w:val="Tabletext"/>
              <w:numPr>
                <w:ilvl w:val="0"/>
                <w:numId w:val="54"/>
              </w:numPr>
              <w:ind w:left="239" w:hanging="144"/>
              <w:rPr>
                <w:rFonts w:cs="Tahoma"/>
                <w:szCs w:val="18"/>
              </w:rPr>
            </w:pPr>
            <w:r w:rsidRPr="00723AC5">
              <w:rPr>
                <w:rFonts w:cs="Tahoma"/>
                <w:szCs w:val="18"/>
              </w:rPr>
              <w:t>Time to all-cause hospitalisation</w:t>
            </w:r>
            <w:r>
              <w:rPr>
                <w:rFonts w:cs="Tahoma"/>
                <w:szCs w:val="18"/>
                <w:vertAlign w:val="superscript"/>
              </w:rPr>
              <w:t>c</w:t>
            </w:r>
          </w:p>
          <w:p w:rsidR="001D0FDA" w:rsidRPr="00723AC5" w:rsidRDefault="001D0FDA" w:rsidP="00480FDF">
            <w:pPr>
              <w:pStyle w:val="Tabletext"/>
              <w:numPr>
                <w:ilvl w:val="0"/>
                <w:numId w:val="54"/>
              </w:numPr>
              <w:ind w:left="239" w:hanging="144"/>
              <w:rPr>
                <w:rFonts w:cs="Tahoma"/>
                <w:szCs w:val="18"/>
              </w:rPr>
            </w:pPr>
            <w:r w:rsidRPr="00723AC5">
              <w:rPr>
                <w:rFonts w:cs="Tahoma"/>
                <w:szCs w:val="18"/>
              </w:rPr>
              <w:t>Time to PAH-related hospitalisation</w:t>
            </w:r>
          </w:p>
          <w:p w:rsidR="001D0FDA" w:rsidRDefault="001D0FDA" w:rsidP="001D0FDA">
            <w:pPr>
              <w:pStyle w:val="Tabletext"/>
              <w:rPr>
                <w:rFonts w:cs="Tahoma"/>
                <w:i/>
                <w:szCs w:val="18"/>
              </w:rPr>
            </w:pPr>
          </w:p>
          <w:p w:rsidR="001D0FDA" w:rsidRPr="00723AC5" w:rsidRDefault="001D0FDA" w:rsidP="001D0FDA">
            <w:pPr>
              <w:pStyle w:val="Tabletext"/>
              <w:rPr>
                <w:rFonts w:cs="Tahoma"/>
                <w:i/>
                <w:szCs w:val="18"/>
              </w:rPr>
            </w:pPr>
            <w:r>
              <w:rPr>
                <w:rFonts w:cs="Tahoma"/>
                <w:i/>
                <w:szCs w:val="18"/>
              </w:rPr>
              <w:t>Safety</w:t>
            </w:r>
          </w:p>
          <w:p w:rsidR="001D0FDA" w:rsidRDefault="001D0FDA" w:rsidP="00480FDF">
            <w:pPr>
              <w:pStyle w:val="Tabletext"/>
              <w:numPr>
                <w:ilvl w:val="0"/>
                <w:numId w:val="54"/>
              </w:numPr>
              <w:ind w:left="239" w:hanging="144"/>
              <w:rPr>
                <w:rFonts w:cs="Tahoma"/>
                <w:i/>
                <w:szCs w:val="18"/>
              </w:rPr>
            </w:pPr>
            <w:r w:rsidRPr="00723AC5">
              <w:rPr>
                <w:rFonts w:cs="Tahoma"/>
                <w:szCs w:val="18"/>
              </w:rPr>
              <w:t>Adverse events</w:t>
            </w:r>
            <w:r>
              <w:rPr>
                <w:rFonts w:cs="Tahoma"/>
                <w:szCs w:val="18"/>
                <w:vertAlign w:val="superscript"/>
              </w:rPr>
              <w:t>c</w:t>
            </w:r>
          </w:p>
        </w:tc>
      </w:tr>
      <w:tr w:rsidR="001D0FDA" w:rsidRPr="00204000" w:rsidTr="001D0FDA">
        <w:tc>
          <w:tcPr>
            <w:tcW w:w="531"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lastRenderedPageBreak/>
              <w:t>STEP</w:t>
            </w:r>
            <w:r w:rsidR="001D34EE" w:rsidRPr="001A1C44">
              <w:rPr>
                <w:rFonts w:eastAsia="Times New Roman"/>
                <w:noProof/>
                <w:vertAlign w:val="superscript"/>
                <w:lang w:eastAsia="en-US"/>
              </w:rPr>
              <w:t>48</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2004</w:t>
            </w:r>
          </w:p>
          <w:p w:rsidR="001D0FDA" w:rsidRDefault="001D0FDA" w:rsidP="001D0FDA">
            <w:pPr>
              <w:pStyle w:val="Tabletext"/>
              <w:rPr>
                <w:rFonts w:cs="Tahoma"/>
                <w:szCs w:val="18"/>
              </w:rPr>
            </w:pPr>
            <w:r w:rsidRPr="00D53F84">
              <w:rPr>
                <w:rFonts w:eastAsia="Times New Roman"/>
                <w:snapToGrid w:val="0"/>
                <w:lang w:eastAsia="en-US"/>
              </w:rPr>
              <w:t>USA</w:t>
            </w:r>
          </w:p>
        </w:tc>
        <w:tc>
          <w:tcPr>
            <w:tcW w:w="476"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RCT, DB</w:t>
            </w:r>
          </w:p>
          <w:p w:rsidR="001D0FDA" w:rsidRDefault="001D0FDA" w:rsidP="001D0FDA">
            <w:pPr>
              <w:pStyle w:val="Tabletext"/>
              <w:ind w:right="-28"/>
              <w:rPr>
                <w:rFonts w:eastAsia="Times New Roman"/>
                <w:snapToGrid w:val="0"/>
                <w:lang w:eastAsia="en-US"/>
              </w:rPr>
            </w:pPr>
            <w:r>
              <w:rPr>
                <w:rFonts w:eastAsia="Times New Roman"/>
                <w:snapToGrid w:val="0"/>
                <w:lang w:eastAsia="en-US"/>
              </w:rPr>
              <w:t>Level II evidence</w:t>
            </w:r>
          </w:p>
          <w:p w:rsidR="001D0FDA" w:rsidRPr="00D53F84" w:rsidRDefault="001D0FDA" w:rsidP="001D0FDA">
            <w:pPr>
              <w:pStyle w:val="Tabletext"/>
              <w:ind w:right="-28"/>
              <w:rPr>
                <w:rFonts w:eastAsia="Times New Roman"/>
                <w:snapToGrid w:val="0"/>
                <w:lang w:eastAsia="en-US"/>
              </w:rPr>
            </w:pPr>
            <w:r>
              <w:rPr>
                <w:rFonts w:eastAsia="Times New Roman"/>
                <w:snapToGrid w:val="0"/>
                <w:lang w:eastAsia="en-US"/>
              </w:rPr>
              <w:t xml:space="preserve">Follow-up: </w:t>
            </w:r>
            <w:r w:rsidRPr="00D53F84">
              <w:rPr>
                <w:rFonts w:eastAsia="Times New Roman"/>
                <w:snapToGrid w:val="0"/>
                <w:lang w:eastAsia="en-US"/>
              </w:rPr>
              <w:t>12 weeks</w:t>
            </w:r>
          </w:p>
          <w:p w:rsidR="001D0FDA" w:rsidRPr="00D53F84" w:rsidRDefault="001D0FDA" w:rsidP="001D0FDA">
            <w:pPr>
              <w:pStyle w:val="Tabletext"/>
              <w:ind w:right="-28"/>
              <w:rPr>
                <w:rFonts w:eastAsia="Times New Roman"/>
                <w:lang w:eastAsia="en-US"/>
              </w:rPr>
            </w:pPr>
            <w:r>
              <w:rPr>
                <w:rFonts w:eastAsia="Times New Roman"/>
                <w:snapToGrid w:val="0"/>
                <w:lang w:eastAsia="en-US"/>
              </w:rPr>
              <w:t>Risk of bias: l</w:t>
            </w:r>
            <w:r w:rsidRPr="00D53F84">
              <w:rPr>
                <w:rFonts w:eastAsia="Times New Roman"/>
                <w:snapToGrid w:val="0"/>
                <w:lang w:eastAsia="en-US"/>
              </w:rPr>
              <w:t>ow</w:t>
            </w:r>
          </w:p>
        </w:tc>
        <w:tc>
          <w:tcPr>
            <w:tcW w:w="772" w:type="pct"/>
          </w:tcPr>
          <w:p w:rsidR="001D0FDA" w:rsidRDefault="001D0FDA" w:rsidP="001D0FDA">
            <w:pPr>
              <w:pStyle w:val="Tabletext"/>
              <w:rPr>
                <w:rFonts w:cs="Tahoma"/>
                <w:i/>
                <w:szCs w:val="18"/>
              </w:rPr>
            </w:pPr>
            <w:r w:rsidRPr="0083095A">
              <w:rPr>
                <w:rFonts w:cs="Tahoma"/>
                <w:i/>
                <w:szCs w:val="18"/>
              </w:rPr>
              <w:t>Inclusion criteria</w:t>
            </w:r>
          </w:p>
          <w:p w:rsidR="001D0FDA" w:rsidRDefault="001D0FDA" w:rsidP="00480FDF">
            <w:pPr>
              <w:pStyle w:val="Tabletext"/>
              <w:numPr>
                <w:ilvl w:val="0"/>
                <w:numId w:val="54"/>
              </w:numPr>
              <w:ind w:left="239" w:hanging="144"/>
              <w:rPr>
                <w:rFonts w:cs="Tahoma"/>
                <w:szCs w:val="18"/>
              </w:rPr>
            </w:pPr>
            <w:r>
              <w:rPr>
                <w:rFonts w:cs="Tahoma"/>
                <w:szCs w:val="18"/>
              </w:rPr>
              <w:t>Age of</w:t>
            </w:r>
            <w:r w:rsidRPr="0083095A">
              <w:rPr>
                <w:rFonts w:cs="Tahoma"/>
                <w:szCs w:val="18"/>
              </w:rPr>
              <w:t xml:space="preserve"> 10</w:t>
            </w:r>
            <w:r>
              <w:rPr>
                <w:rFonts w:cs="Tahoma"/>
                <w:szCs w:val="18"/>
              </w:rPr>
              <w:t>-</w:t>
            </w:r>
            <w:r w:rsidRPr="0083095A">
              <w:rPr>
                <w:rFonts w:cs="Tahoma"/>
                <w:szCs w:val="18"/>
              </w:rPr>
              <w:t xml:space="preserve">80 years </w:t>
            </w:r>
          </w:p>
          <w:p w:rsidR="001D0FDA" w:rsidRDefault="001D0FDA" w:rsidP="00480FDF">
            <w:pPr>
              <w:pStyle w:val="Tabletext"/>
              <w:numPr>
                <w:ilvl w:val="0"/>
                <w:numId w:val="54"/>
              </w:numPr>
              <w:ind w:left="239" w:hanging="144"/>
              <w:rPr>
                <w:rFonts w:cs="Tahoma"/>
                <w:szCs w:val="18"/>
              </w:rPr>
            </w:pPr>
            <w:r>
              <w:rPr>
                <w:rFonts w:cs="Tahoma"/>
                <w:szCs w:val="18"/>
              </w:rPr>
              <w:t xml:space="preserve">Patients </w:t>
            </w:r>
            <w:r w:rsidRPr="0083095A">
              <w:rPr>
                <w:rFonts w:cs="Tahoma"/>
                <w:szCs w:val="18"/>
              </w:rPr>
              <w:t xml:space="preserve">with symptomatic PAH receiving bosentan for </w:t>
            </w:r>
            <w:r>
              <w:rPr>
                <w:rFonts w:cs="Tahoma"/>
                <w:szCs w:val="18"/>
              </w:rPr>
              <w:t>≥4 months</w:t>
            </w:r>
          </w:p>
          <w:p w:rsidR="001D0FDA" w:rsidRDefault="001D0FDA" w:rsidP="00480FDF">
            <w:pPr>
              <w:pStyle w:val="Tabletext"/>
              <w:numPr>
                <w:ilvl w:val="0"/>
                <w:numId w:val="54"/>
              </w:numPr>
              <w:ind w:left="239" w:hanging="144"/>
              <w:rPr>
                <w:rFonts w:cs="Tahoma"/>
                <w:szCs w:val="18"/>
              </w:rPr>
            </w:pPr>
            <w:r w:rsidRPr="0083095A">
              <w:rPr>
                <w:rFonts w:cs="Tahoma"/>
                <w:szCs w:val="18"/>
              </w:rPr>
              <w:t xml:space="preserve">6MWD </w:t>
            </w:r>
            <w:r>
              <w:rPr>
                <w:rFonts w:cs="Tahoma"/>
                <w:szCs w:val="18"/>
              </w:rPr>
              <w:t>100-425m</w:t>
            </w:r>
          </w:p>
          <w:p w:rsidR="001D0FDA" w:rsidRPr="0083095A" w:rsidRDefault="001D0FDA" w:rsidP="001D0FDA">
            <w:pPr>
              <w:pStyle w:val="Tabletext"/>
              <w:rPr>
                <w:rFonts w:cs="Tahoma"/>
                <w:szCs w:val="18"/>
              </w:rPr>
            </w:pPr>
          </w:p>
          <w:p w:rsidR="001D0FDA" w:rsidRDefault="001D0FDA" w:rsidP="001D0FDA">
            <w:pPr>
              <w:pStyle w:val="Tabletext"/>
              <w:rPr>
                <w:rFonts w:cs="Tahoma"/>
                <w:i/>
                <w:szCs w:val="18"/>
              </w:rPr>
            </w:pPr>
            <w:r>
              <w:rPr>
                <w:rFonts w:cs="Tahoma"/>
                <w:i/>
                <w:szCs w:val="18"/>
              </w:rPr>
              <w:t>Exclusion criteria</w:t>
            </w:r>
          </w:p>
          <w:p w:rsidR="001D0FDA" w:rsidRPr="0083095A" w:rsidRDefault="001D0FDA" w:rsidP="00480FDF">
            <w:pPr>
              <w:pStyle w:val="Tabletext"/>
              <w:numPr>
                <w:ilvl w:val="0"/>
                <w:numId w:val="54"/>
              </w:numPr>
              <w:ind w:left="239" w:hanging="144"/>
              <w:rPr>
                <w:rFonts w:cs="Tahoma"/>
                <w:i/>
                <w:szCs w:val="18"/>
              </w:rPr>
            </w:pPr>
            <w:r w:rsidRPr="0083095A">
              <w:rPr>
                <w:rFonts w:cs="Tahoma"/>
                <w:szCs w:val="18"/>
              </w:rPr>
              <w:t>Patients with thromboembolic disease, untreated obstructive sleep apnoea, portal hypertension, left-sided or unrepaired CHD, or subst</w:t>
            </w:r>
            <w:r>
              <w:rPr>
                <w:rFonts w:cs="Tahoma"/>
                <w:szCs w:val="18"/>
              </w:rPr>
              <w:t>antial obstructive</w:t>
            </w:r>
            <w:r w:rsidRPr="0083095A">
              <w:rPr>
                <w:rFonts w:cs="Tahoma"/>
                <w:szCs w:val="18"/>
              </w:rPr>
              <w:t xml:space="preserve"> or restrictive</w:t>
            </w:r>
            <w:r>
              <w:rPr>
                <w:rFonts w:cs="Tahoma"/>
                <w:szCs w:val="18"/>
              </w:rPr>
              <w:t xml:space="preserve"> lung disease</w:t>
            </w:r>
            <w:r w:rsidRPr="0083095A">
              <w:rPr>
                <w:rFonts w:cs="Tahoma"/>
                <w:szCs w:val="18"/>
              </w:rPr>
              <w:t xml:space="preserve"> </w:t>
            </w:r>
          </w:p>
          <w:p w:rsidR="001D0FDA" w:rsidRDefault="001D0FDA" w:rsidP="00480FDF">
            <w:pPr>
              <w:pStyle w:val="Tabletext"/>
              <w:numPr>
                <w:ilvl w:val="0"/>
                <w:numId w:val="54"/>
              </w:numPr>
              <w:ind w:left="239" w:hanging="144"/>
              <w:rPr>
                <w:rFonts w:cs="Tahoma"/>
                <w:i/>
                <w:szCs w:val="18"/>
              </w:rPr>
            </w:pPr>
            <w:r w:rsidRPr="0083095A">
              <w:rPr>
                <w:rFonts w:cs="Tahoma"/>
                <w:szCs w:val="18"/>
              </w:rPr>
              <w:t xml:space="preserve">Patients </w:t>
            </w:r>
            <w:r>
              <w:rPr>
                <w:rFonts w:cs="Tahoma"/>
                <w:szCs w:val="18"/>
              </w:rPr>
              <w:t xml:space="preserve">who were </w:t>
            </w:r>
            <w:r w:rsidRPr="0083095A">
              <w:rPr>
                <w:rFonts w:cs="Tahoma"/>
                <w:szCs w:val="18"/>
              </w:rPr>
              <w:t xml:space="preserve">taking </w:t>
            </w:r>
            <w:r>
              <w:rPr>
                <w:rFonts w:cs="Tahoma"/>
                <w:szCs w:val="18"/>
              </w:rPr>
              <w:t>PDE-5i or other prostanoid</w:t>
            </w:r>
          </w:p>
        </w:tc>
        <w:tc>
          <w:tcPr>
            <w:tcW w:w="0" w:type="auto"/>
          </w:tcPr>
          <w:p w:rsidR="001D0FDA" w:rsidRDefault="001D0FDA" w:rsidP="001D0FDA">
            <w:pPr>
              <w:pStyle w:val="Tabletext"/>
            </w:pPr>
            <w:r>
              <w:t>N=67</w:t>
            </w:r>
          </w:p>
          <w:tbl>
            <w:tblPr>
              <w:tblStyle w:val="TableGrid"/>
              <w:tblW w:w="4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Caption w:val="Patient baseline characteristics in Trial STEP"/>
            </w:tblPr>
            <w:tblGrid>
              <w:gridCol w:w="2161"/>
              <w:gridCol w:w="1019"/>
              <w:gridCol w:w="1108"/>
            </w:tblGrid>
            <w:tr w:rsidR="001D0FDA" w:rsidTr="001D0FDA">
              <w:trPr>
                <w:cnfStyle w:val="100000000000" w:firstRow="1" w:lastRow="0" w:firstColumn="0" w:lastColumn="0" w:oddVBand="0" w:evenVBand="0" w:oddHBand="0" w:evenHBand="0" w:firstRowFirstColumn="0" w:firstRowLastColumn="0" w:lastRowFirstColumn="0" w:lastRowLastColumn="0"/>
              </w:trPr>
              <w:tc>
                <w:tcPr>
                  <w:tcW w:w="2161" w:type="dxa"/>
                  <w:shd w:val="clear" w:color="auto" w:fill="FFFFFF" w:themeFill="background1"/>
                </w:tcPr>
                <w:p w:rsidR="001D0FDA" w:rsidRPr="003C0DFB" w:rsidRDefault="001D0FDA" w:rsidP="00B5196D">
                  <w:pPr>
                    <w:pStyle w:val="Tabletext"/>
                    <w:framePr w:hSpace="180" w:wrap="around" w:vAnchor="text" w:hAnchor="text" w:y="1"/>
                  </w:pPr>
                </w:p>
              </w:tc>
              <w:tc>
                <w:tcPr>
                  <w:tcW w:w="1019" w:type="dxa"/>
                  <w:shd w:val="clear" w:color="auto" w:fill="FFFFFF" w:themeFill="background1"/>
                </w:tcPr>
                <w:p w:rsidR="001D0FDA" w:rsidRDefault="001D0FDA" w:rsidP="00B5196D">
                  <w:pPr>
                    <w:pStyle w:val="Tabletext"/>
                    <w:framePr w:hSpace="180" w:wrap="around" w:vAnchor="text" w:hAnchor="text" w:y="1"/>
                    <w:jc w:val="center"/>
                    <w:rPr>
                      <w:u w:val="single"/>
                    </w:rPr>
                  </w:pPr>
                  <w:r>
                    <w:t>Iloprost (n=34)</w:t>
                  </w:r>
                </w:p>
              </w:tc>
              <w:tc>
                <w:tcPr>
                  <w:tcW w:w="1108" w:type="dxa"/>
                  <w:shd w:val="clear" w:color="auto" w:fill="FFFFFF" w:themeFill="background1"/>
                </w:tcPr>
                <w:p w:rsidR="001D0FDA" w:rsidRDefault="001D0FDA" w:rsidP="00B5196D">
                  <w:pPr>
                    <w:pStyle w:val="Tabletext"/>
                    <w:framePr w:hSpace="180" w:wrap="around" w:vAnchor="text" w:hAnchor="text" w:y="1"/>
                    <w:jc w:val="center"/>
                  </w:pPr>
                  <w:r>
                    <w:t>Placebo (n=33)</w:t>
                  </w:r>
                </w:p>
              </w:tc>
            </w:tr>
            <w:tr w:rsidR="001D0FDA" w:rsidRPr="001B3364" w:rsidTr="001D0FDA">
              <w:tc>
                <w:tcPr>
                  <w:tcW w:w="2161" w:type="dxa"/>
                  <w:shd w:val="clear" w:color="auto" w:fill="FFFFFF" w:themeFill="background1"/>
                </w:tcPr>
                <w:p w:rsidR="001D0FDA" w:rsidRDefault="001D0FDA" w:rsidP="00B5196D">
                  <w:pPr>
                    <w:pStyle w:val="Tabletext"/>
                    <w:framePr w:hSpace="180" w:wrap="around" w:vAnchor="text" w:hAnchor="text" w:y="1"/>
                  </w:pPr>
                  <w:r w:rsidRPr="00351FF5">
                    <w:rPr>
                      <w:rFonts w:cs="Tahoma"/>
                      <w:szCs w:val="18"/>
                    </w:rPr>
                    <w:t>Age, mean±SD (yrs)</w:t>
                  </w:r>
                </w:p>
              </w:tc>
              <w:tc>
                <w:tcPr>
                  <w:tcW w:w="1019" w:type="dxa"/>
                  <w:shd w:val="clear" w:color="auto" w:fill="FFFFFF" w:themeFill="background1"/>
                </w:tcPr>
                <w:p w:rsidR="001D0FDA" w:rsidRPr="00C5782C" w:rsidRDefault="001D0FDA" w:rsidP="00B5196D">
                  <w:pPr>
                    <w:pStyle w:val="Tabletext"/>
                    <w:framePr w:hSpace="180" w:wrap="around" w:vAnchor="text" w:hAnchor="text" w:y="1"/>
                    <w:jc w:val="center"/>
                  </w:pPr>
                  <w:r>
                    <w:t>51</w:t>
                  </w:r>
                  <w:r w:rsidRPr="007B14FA">
                    <w:t>±</w:t>
                  </w:r>
                  <w:r>
                    <w:t>14</w:t>
                  </w:r>
                </w:p>
              </w:tc>
              <w:tc>
                <w:tcPr>
                  <w:tcW w:w="1108" w:type="dxa"/>
                  <w:shd w:val="clear" w:color="auto" w:fill="FFFFFF" w:themeFill="background1"/>
                </w:tcPr>
                <w:p w:rsidR="001D0FDA" w:rsidRPr="00C5782C" w:rsidRDefault="001D0FDA" w:rsidP="00B5196D">
                  <w:pPr>
                    <w:pStyle w:val="Tabletext"/>
                    <w:framePr w:hSpace="180" w:wrap="around" w:vAnchor="text" w:hAnchor="text" w:y="1"/>
                    <w:jc w:val="center"/>
                  </w:pPr>
                  <w:r>
                    <w:t>49</w:t>
                  </w:r>
                  <w:r w:rsidRPr="007B14FA">
                    <w:t>±</w:t>
                  </w:r>
                  <w:r>
                    <w:t>15</w:t>
                  </w:r>
                </w:p>
              </w:tc>
            </w:tr>
            <w:tr w:rsidR="001D0FDA" w:rsidRPr="001B3364" w:rsidTr="001D0FDA">
              <w:tc>
                <w:tcPr>
                  <w:tcW w:w="2161"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rPr>
                      <w:rFonts w:cs="Tahoma"/>
                      <w:szCs w:val="18"/>
                    </w:rPr>
                  </w:pPr>
                  <w:r w:rsidRPr="00351FF5">
                    <w:rPr>
                      <w:rFonts w:cs="Tahoma"/>
                      <w:szCs w:val="18"/>
                    </w:rPr>
                    <w:t>Gender, femal</w:t>
                  </w:r>
                  <w:r>
                    <w:rPr>
                      <w:rFonts w:cs="Tahoma"/>
                      <w:szCs w:val="18"/>
                    </w:rPr>
                    <w:t>e</w:t>
                  </w:r>
                  <w:r w:rsidRPr="00351FF5">
                    <w:rPr>
                      <w:rFonts w:cs="Tahoma"/>
                      <w:szCs w:val="18"/>
                    </w:rPr>
                    <w:t>, n (%)</w:t>
                  </w:r>
                </w:p>
              </w:tc>
              <w:tc>
                <w:tcPr>
                  <w:tcW w:w="1019" w:type="dxa"/>
                  <w:tcBorders>
                    <w:bottom w:val="single" w:sz="4" w:space="0" w:color="BFBFBF" w:themeColor="background1" w:themeShade="BF"/>
                  </w:tcBorders>
                </w:tcPr>
                <w:p w:rsidR="001D0FDA" w:rsidRPr="00C5782C" w:rsidRDefault="001D0FDA" w:rsidP="00B5196D">
                  <w:pPr>
                    <w:pStyle w:val="Tabletext"/>
                    <w:framePr w:hSpace="180" w:wrap="around" w:vAnchor="text" w:hAnchor="text" w:y="1"/>
                    <w:jc w:val="center"/>
                  </w:pPr>
                  <w:r>
                    <w:t>27 (79%)</w:t>
                  </w:r>
                </w:p>
              </w:tc>
              <w:tc>
                <w:tcPr>
                  <w:tcW w:w="1108" w:type="dxa"/>
                  <w:tcBorders>
                    <w:bottom w:val="single" w:sz="4" w:space="0" w:color="BFBFBF" w:themeColor="background1" w:themeShade="BF"/>
                  </w:tcBorders>
                </w:tcPr>
                <w:p w:rsidR="001D0FDA" w:rsidRPr="00C5782C" w:rsidRDefault="001D0FDA" w:rsidP="00B5196D">
                  <w:pPr>
                    <w:pStyle w:val="Tabletext"/>
                    <w:framePr w:hSpace="180" w:wrap="around" w:vAnchor="text" w:hAnchor="text" w:y="1"/>
                    <w:jc w:val="center"/>
                  </w:pPr>
                  <w:r>
                    <w:t>26 (79%)</w:t>
                  </w:r>
                </w:p>
              </w:tc>
            </w:tr>
            <w:tr w:rsidR="001D0FDA" w:rsidRPr="001B3364" w:rsidTr="001D0FDA">
              <w:tc>
                <w:tcPr>
                  <w:tcW w:w="2161" w:type="dxa"/>
                  <w:tcBorders>
                    <w:bottom w:val="nil"/>
                  </w:tcBorders>
                  <w:shd w:val="clear" w:color="auto" w:fill="FFFFFF" w:themeFill="background1"/>
                </w:tcPr>
                <w:p w:rsidR="001D0FDA" w:rsidRPr="00C5782C" w:rsidRDefault="001D0FDA" w:rsidP="00B5196D">
                  <w:pPr>
                    <w:pStyle w:val="Tabletext"/>
                    <w:framePr w:hSpace="180" w:wrap="around" w:vAnchor="text" w:hAnchor="text" w:y="1"/>
                  </w:pPr>
                  <w:r>
                    <w:t>Aetiology</w:t>
                  </w:r>
                </w:p>
              </w:tc>
              <w:tc>
                <w:tcPr>
                  <w:tcW w:w="1019"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c>
                <w:tcPr>
                  <w:tcW w:w="1108"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r>
            <w:tr w:rsidR="001D0FDA" w:rsidRPr="001B3364" w:rsidTr="001D0FDA">
              <w:tc>
                <w:tcPr>
                  <w:tcW w:w="2161"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ind w:left="262"/>
                  </w:pPr>
                  <w:r w:rsidRPr="00C5782C">
                    <w:t xml:space="preserve">IPAH </w:t>
                  </w:r>
                </w:p>
              </w:tc>
              <w:tc>
                <w:tcPr>
                  <w:tcW w:w="1019"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16 (50%)</w:t>
                  </w:r>
                </w:p>
              </w:tc>
              <w:tc>
                <w:tcPr>
                  <w:tcW w:w="1108"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20 (61%)</w:t>
                  </w:r>
                </w:p>
              </w:tc>
            </w:tr>
            <w:tr w:rsidR="001D0FDA" w:rsidRPr="001B3364" w:rsidTr="001D0FDA">
              <w:tc>
                <w:tcPr>
                  <w:tcW w:w="2161"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ind w:left="262"/>
                  </w:pPr>
                  <w:r>
                    <w:t>Associated PAH</w:t>
                  </w:r>
                </w:p>
              </w:tc>
              <w:tc>
                <w:tcPr>
                  <w:tcW w:w="1019"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17 (50%)</w:t>
                  </w:r>
                </w:p>
              </w:tc>
              <w:tc>
                <w:tcPr>
                  <w:tcW w:w="1108"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13 (39%)</w:t>
                  </w:r>
                </w:p>
              </w:tc>
            </w:tr>
            <w:tr w:rsidR="001D0FDA" w:rsidRPr="001B3364" w:rsidTr="001D0FDA">
              <w:tc>
                <w:tcPr>
                  <w:tcW w:w="2161" w:type="dxa"/>
                  <w:tcBorders>
                    <w:bottom w:val="nil"/>
                  </w:tcBorders>
                  <w:shd w:val="clear" w:color="auto" w:fill="FFFFFF" w:themeFill="background1"/>
                </w:tcPr>
                <w:p w:rsidR="001D0FDA" w:rsidRPr="00C5782C" w:rsidRDefault="001D0FDA" w:rsidP="00B5196D">
                  <w:pPr>
                    <w:pStyle w:val="Tabletext"/>
                    <w:framePr w:hSpace="180" w:wrap="around" w:vAnchor="text" w:hAnchor="text" w:y="1"/>
                  </w:pPr>
                  <w:r>
                    <w:t>WHO FC</w:t>
                  </w:r>
                </w:p>
              </w:tc>
              <w:tc>
                <w:tcPr>
                  <w:tcW w:w="1019"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c>
                <w:tcPr>
                  <w:tcW w:w="1108"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r>
            <w:tr w:rsidR="001D0FDA" w:rsidRPr="001B3364" w:rsidTr="001D0FDA">
              <w:tc>
                <w:tcPr>
                  <w:tcW w:w="2161" w:type="dxa"/>
                  <w:tcBorders>
                    <w:top w:val="nil"/>
                    <w:bottom w:val="nil"/>
                  </w:tcBorders>
                  <w:shd w:val="clear" w:color="auto" w:fill="FFFFFF" w:themeFill="background1"/>
                </w:tcPr>
                <w:p w:rsidR="001D0FDA" w:rsidRDefault="001D0FDA" w:rsidP="00B5196D">
                  <w:pPr>
                    <w:pStyle w:val="Tabletext"/>
                    <w:framePr w:hSpace="180" w:wrap="around" w:vAnchor="text" w:hAnchor="text" w:y="1"/>
                    <w:ind w:left="262"/>
                  </w:pPr>
                  <w:r>
                    <w:t>II</w:t>
                  </w:r>
                </w:p>
              </w:tc>
              <w:tc>
                <w:tcPr>
                  <w:tcW w:w="1019"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0 (0%)</w:t>
                  </w:r>
                </w:p>
              </w:tc>
              <w:tc>
                <w:tcPr>
                  <w:tcW w:w="1108"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1 (3%)</w:t>
                  </w:r>
                </w:p>
              </w:tc>
            </w:tr>
            <w:tr w:rsidR="001D0FDA" w:rsidRPr="001B3364" w:rsidTr="001D0FDA">
              <w:tc>
                <w:tcPr>
                  <w:tcW w:w="2161" w:type="dxa"/>
                  <w:tcBorders>
                    <w:top w:val="nil"/>
                    <w:bottom w:val="nil"/>
                  </w:tcBorders>
                  <w:shd w:val="clear" w:color="auto" w:fill="FFFFFF" w:themeFill="background1"/>
                </w:tcPr>
                <w:p w:rsidR="001D0FDA" w:rsidRDefault="001D0FDA" w:rsidP="00B5196D">
                  <w:pPr>
                    <w:pStyle w:val="Tabletext"/>
                    <w:framePr w:hSpace="180" w:wrap="around" w:vAnchor="text" w:hAnchor="text" w:y="1"/>
                    <w:ind w:left="262"/>
                  </w:pPr>
                  <w:r>
                    <w:t>III</w:t>
                  </w:r>
                </w:p>
              </w:tc>
              <w:tc>
                <w:tcPr>
                  <w:tcW w:w="1019"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35 (97%)</w:t>
                  </w:r>
                </w:p>
              </w:tc>
              <w:tc>
                <w:tcPr>
                  <w:tcW w:w="1108"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30 (91%)</w:t>
                  </w:r>
                </w:p>
              </w:tc>
            </w:tr>
            <w:tr w:rsidR="001D0FDA" w:rsidRPr="001B3364" w:rsidTr="001D0FDA">
              <w:tc>
                <w:tcPr>
                  <w:tcW w:w="2161" w:type="dxa"/>
                  <w:tcBorders>
                    <w:top w:val="nil"/>
                  </w:tcBorders>
                  <w:shd w:val="clear" w:color="auto" w:fill="FFFFFF" w:themeFill="background1"/>
                </w:tcPr>
                <w:p w:rsidR="001D0FDA" w:rsidRDefault="001D0FDA" w:rsidP="00B5196D">
                  <w:pPr>
                    <w:pStyle w:val="Tabletext"/>
                    <w:framePr w:hSpace="180" w:wrap="around" w:vAnchor="text" w:hAnchor="text" w:y="1"/>
                    <w:ind w:left="262"/>
                  </w:pPr>
                  <w:r>
                    <w:t>IV</w:t>
                  </w:r>
                </w:p>
              </w:tc>
              <w:tc>
                <w:tcPr>
                  <w:tcW w:w="1019" w:type="dxa"/>
                  <w:tcBorders>
                    <w:top w:val="nil"/>
                  </w:tcBorders>
                  <w:shd w:val="clear" w:color="auto" w:fill="FFFFFF" w:themeFill="background1"/>
                </w:tcPr>
                <w:p w:rsidR="001D0FDA" w:rsidRPr="00C5782C" w:rsidRDefault="001D0FDA" w:rsidP="00B5196D">
                  <w:pPr>
                    <w:pStyle w:val="Tabletext"/>
                    <w:framePr w:hSpace="180" w:wrap="around" w:vAnchor="text" w:hAnchor="text" w:y="1"/>
                    <w:jc w:val="center"/>
                  </w:pPr>
                  <w:r>
                    <w:t>1 (3%)</w:t>
                  </w:r>
                </w:p>
              </w:tc>
              <w:tc>
                <w:tcPr>
                  <w:tcW w:w="1108" w:type="dxa"/>
                  <w:tcBorders>
                    <w:top w:val="nil"/>
                  </w:tcBorders>
                  <w:shd w:val="clear" w:color="auto" w:fill="FFFFFF" w:themeFill="background1"/>
                </w:tcPr>
                <w:p w:rsidR="001D0FDA" w:rsidRPr="00C5782C" w:rsidRDefault="001D0FDA" w:rsidP="00B5196D">
                  <w:pPr>
                    <w:pStyle w:val="Tabletext"/>
                    <w:framePr w:hSpace="180" w:wrap="around" w:vAnchor="text" w:hAnchor="text" w:y="1"/>
                    <w:jc w:val="center"/>
                  </w:pPr>
                  <w:r>
                    <w:t>2 (6%)</w:t>
                  </w:r>
                </w:p>
              </w:tc>
            </w:tr>
            <w:tr w:rsidR="001D0FDA" w:rsidRPr="001B3364" w:rsidTr="001D0FDA">
              <w:tc>
                <w:tcPr>
                  <w:tcW w:w="2161" w:type="dxa"/>
                </w:tcPr>
                <w:p w:rsidR="001D0FDA" w:rsidRDefault="001D0FDA" w:rsidP="00B5196D">
                  <w:pPr>
                    <w:pStyle w:val="Tabletext"/>
                    <w:framePr w:hSpace="180" w:wrap="around" w:vAnchor="text" w:hAnchor="text" w:y="1"/>
                  </w:pPr>
                  <w:r>
                    <w:rPr>
                      <w:rFonts w:cs="Tahoma"/>
                      <w:szCs w:val="18"/>
                    </w:rPr>
                    <w:t>mPAP</w:t>
                  </w:r>
                  <w:r w:rsidRPr="00351FF5">
                    <w:rPr>
                      <w:rFonts w:cs="Tahoma"/>
                      <w:szCs w:val="18"/>
                    </w:rPr>
                    <w:t>, mean±SD (mmHg)</w:t>
                  </w:r>
                </w:p>
              </w:tc>
              <w:tc>
                <w:tcPr>
                  <w:tcW w:w="1019" w:type="dxa"/>
                  <w:shd w:val="clear" w:color="auto" w:fill="FFFFFF" w:themeFill="background1"/>
                  <w:vAlign w:val="center"/>
                </w:tcPr>
                <w:p w:rsidR="001D0FDA" w:rsidRPr="00C5782C" w:rsidRDefault="001D0FDA" w:rsidP="00B5196D">
                  <w:pPr>
                    <w:pStyle w:val="Tabletext"/>
                    <w:framePr w:hSpace="180" w:wrap="around" w:vAnchor="text" w:hAnchor="text" w:y="1"/>
                    <w:jc w:val="center"/>
                  </w:pPr>
                  <w:r>
                    <w:t>51</w:t>
                  </w:r>
                  <w:r w:rsidRPr="007B14FA">
                    <w:t>±</w:t>
                  </w:r>
                  <w:r>
                    <w:t>11</w:t>
                  </w:r>
                </w:p>
              </w:tc>
              <w:tc>
                <w:tcPr>
                  <w:tcW w:w="1108" w:type="dxa"/>
                  <w:shd w:val="clear" w:color="auto" w:fill="FFFFFF" w:themeFill="background1"/>
                  <w:vAlign w:val="center"/>
                </w:tcPr>
                <w:p w:rsidR="001D0FDA" w:rsidRPr="00C5782C" w:rsidRDefault="001D0FDA" w:rsidP="00B5196D">
                  <w:pPr>
                    <w:pStyle w:val="Tabletext"/>
                    <w:framePr w:hSpace="180" w:wrap="around" w:vAnchor="text" w:hAnchor="text" w:y="1"/>
                    <w:jc w:val="center"/>
                  </w:pPr>
                  <w:r>
                    <w:t>52</w:t>
                  </w:r>
                  <w:r w:rsidRPr="007B14FA">
                    <w:t>±</w:t>
                  </w:r>
                  <w:r>
                    <w:t>13</w:t>
                  </w:r>
                </w:p>
              </w:tc>
            </w:tr>
            <w:tr w:rsidR="001D0FDA" w:rsidRPr="001B3364" w:rsidTr="001D0FDA">
              <w:tc>
                <w:tcPr>
                  <w:tcW w:w="2161" w:type="dxa"/>
                </w:tcPr>
                <w:p w:rsidR="001D0FDA" w:rsidRDefault="001D0FDA" w:rsidP="00B5196D">
                  <w:pPr>
                    <w:pStyle w:val="Tabletext"/>
                    <w:framePr w:hSpace="180" w:wrap="around" w:vAnchor="text" w:hAnchor="text" w:y="1"/>
                  </w:pPr>
                  <w:r>
                    <w:rPr>
                      <w:rFonts w:cs="Tahoma"/>
                      <w:szCs w:val="18"/>
                    </w:rPr>
                    <w:t>PVR, mean±SD (dyn*s*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019" w:type="dxa"/>
                  <w:shd w:val="clear" w:color="auto" w:fill="FFFFFF" w:themeFill="background1"/>
                  <w:vAlign w:val="center"/>
                </w:tcPr>
                <w:p w:rsidR="001D0FDA" w:rsidRDefault="001D0FDA" w:rsidP="00B5196D">
                  <w:pPr>
                    <w:pStyle w:val="Tabletext"/>
                    <w:framePr w:hSpace="180" w:wrap="around" w:vAnchor="text" w:hAnchor="text" w:y="1"/>
                    <w:jc w:val="center"/>
                  </w:pPr>
                  <w:r>
                    <w:t>815</w:t>
                  </w:r>
                  <w:r w:rsidRPr="007B14FA">
                    <w:t>±</w:t>
                  </w:r>
                  <w:r>
                    <w:t>381</w:t>
                  </w:r>
                </w:p>
              </w:tc>
              <w:tc>
                <w:tcPr>
                  <w:tcW w:w="1108" w:type="dxa"/>
                  <w:shd w:val="clear" w:color="auto" w:fill="FFFFFF" w:themeFill="background1"/>
                  <w:vAlign w:val="center"/>
                </w:tcPr>
                <w:p w:rsidR="001D0FDA" w:rsidRDefault="001D0FDA" w:rsidP="00B5196D">
                  <w:pPr>
                    <w:pStyle w:val="Tabletext"/>
                    <w:framePr w:hSpace="180" w:wrap="around" w:vAnchor="text" w:hAnchor="text" w:y="1"/>
                    <w:jc w:val="center"/>
                  </w:pPr>
                  <w:r>
                    <w:t>783</w:t>
                  </w:r>
                  <w:r w:rsidRPr="007B14FA">
                    <w:t>±</w:t>
                  </w:r>
                  <w:r>
                    <w:t>378</w:t>
                  </w:r>
                </w:p>
              </w:tc>
            </w:tr>
          </w:tbl>
          <w:p w:rsidR="001D0FDA" w:rsidRDefault="001D0FDA" w:rsidP="001D0FDA">
            <w:pPr>
              <w:pStyle w:val="Tabletext"/>
              <w:rPr>
                <w:szCs w:val="18"/>
              </w:rPr>
            </w:pPr>
          </w:p>
        </w:tc>
        <w:tc>
          <w:tcPr>
            <w:tcW w:w="811" w:type="pct"/>
          </w:tcPr>
          <w:p w:rsidR="001D0FDA" w:rsidRDefault="001D0FDA" w:rsidP="001D0FDA">
            <w:pPr>
              <w:pStyle w:val="Tabletext"/>
              <w:rPr>
                <w:i/>
              </w:rPr>
            </w:pPr>
            <w:r>
              <w:rPr>
                <w:i/>
              </w:rPr>
              <w:t>Intervention</w:t>
            </w:r>
          </w:p>
          <w:p w:rsidR="001D0FDA" w:rsidRPr="00B50475" w:rsidRDefault="001D0FDA" w:rsidP="001D0FDA">
            <w:pPr>
              <w:pStyle w:val="Tabletext"/>
            </w:pPr>
            <w:r w:rsidRPr="00B50475">
              <w:t xml:space="preserve">Iloprost: 5 µg inhaled 6-9 times daily </w:t>
            </w:r>
          </w:p>
          <w:p w:rsidR="001D0FDA" w:rsidRDefault="001D0FDA" w:rsidP="001D0FDA">
            <w:pPr>
              <w:pStyle w:val="Tabletext"/>
              <w:rPr>
                <w:i/>
              </w:rPr>
            </w:pPr>
          </w:p>
          <w:p w:rsidR="001D0FDA" w:rsidRDefault="001D0FDA" w:rsidP="001D0FDA">
            <w:pPr>
              <w:pStyle w:val="Tabletext"/>
              <w:rPr>
                <w:i/>
              </w:rPr>
            </w:pPr>
            <w:r>
              <w:rPr>
                <w:i/>
              </w:rPr>
              <w:t>Comparator</w:t>
            </w:r>
          </w:p>
          <w:p w:rsidR="001D0FDA" w:rsidRPr="00B50475" w:rsidRDefault="001D0FDA" w:rsidP="001D0FDA">
            <w:pPr>
              <w:pStyle w:val="Tabletext"/>
            </w:pPr>
            <w:r w:rsidRPr="00B50475">
              <w:t xml:space="preserve">Placebo </w:t>
            </w:r>
          </w:p>
          <w:p w:rsidR="001D0FDA" w:rsidRDefault="001D0FDA" w:rsidP="001D0FDA">
            <w:pPr>
              <w:pStyle w:val="Tabletext"/>
              <w:rPr>
                <w:i/>
              </w:rPr>
            </w:pPr>
          </w:p>
          <w:p w:rsidR="001D0FDA" w:rsidRDefault="001D0FDA" w:rsidP="001D0FDA">
            <w:pPr>
              <w:pStyle w:val="Tabletext"/>
              <w:rPr>
                <w:i/>
              </w:rPr>
            </w:pPr>
            <w:r>
              <w:rPr>
                <w:i/>
              </w:rPr>
              <w:t>Background therapy</w:t>
            </w:r>
          </w:p>
          <w:p w:rsidR="001D0FDA" w:rsidRPr="00B50475" w:rsidRDefault="001D0FDA" w:rsidP="001D0FDA">
            <w:pPr>
              <w:pStyle w:val="Tabletext"/>
            </w:pPr>
            <w:r>
              <w:t>B</w:t>
            </w:r>
            <w:r w:rsidRPr="00B50475">
              <w:t>osentan</w:t>
            </w:r>
            <w:r>
              <w:t xml:space="preserve"> (100%): 125mg bid</w:t>
            </w:r>
          </w:p>
        </w:tc>
        <w:tc>
          <w:tcPr>
            <w:tcW w:w="771" w:type="pct"/>
          </w:tcPr>
          <w:p w:rsidR="001D0FDA" w:rsidRPr="00723AC5" w:rsidRDefault="001D0FDA" w:rsidP="001D0FDA">
            <w:pPr>
              <w:pStyle w:val="Tabletext"/>
              <w:rPr>
                <w:rFonts w:cs="Tahoma"/>
                <w:i/>
                <w:szCs w:val="18"/>
              </w:rPr>
            </w:pPr>
            <w:r w:rsidRPr="00723AC5">
              <w:rPr>
                <w:rFonts w:cs="Tahoma"/>
                <w:i/>
                <w:szCs w:val="18"/>
              </w:rPr>
              <w:t>Effectiveness:</w:t>
            </w:r>
          </w:p>
          <w:p w:rsidR="001D0FDA" w:rsidRPr="00B50475" w:rsidRDefault="001D0FDA" w:rsidP="00480FDF">
            <w:pPr>
              <w:pStyle w:val="Tabletext"/>
              <w:numPr>
                <w:ilvl w:val="0"/>
                <w:numId w:val="54"/>
              </w:numPr>
              <w:ind w:left="239" w:hanging="144"/>
              <w:rPr>
                <w:rFonts w:cs="Tahoma"/>
                <w:szCs w:val="18"/>
              </w:rPr>
            </w:pPr>
            <w:r w:rsidRPr="00B50475">
              <w:rPr>
                <w:rFonts w:cs="Tahoma"/>
                <w:szCs w:val="18"/>
              </w:rPr>
              <w:t>Change in 6MWD</w:t>
            </w:r>
            <w:r w:rsidRPr="00B50475">
              <w:rPr>
                <w:rFonts w:cs="Tahoma"/>
                <w:szCs w:val="18"/>
                <w:vertAlign w:val="superscript"/>
              </w:rPr>
              <w:t>c</w:t>
            </w:r>
          </w:p>
          <w:p w:rsidR="001D0FDA" w:rsidRPr="00B50475" w:rsidRDefault="001D0FDA" w:rsidP="00480FDF">
            <w:pPr>
              <w:pStyle w:val="Tabletext"/>
              <w:numPr>
                <w:ilvl w:val="0"/>
                <w:numId w:val="54"/>
              </w:numPr>
              <w:ind w:left="239" w:hanging="144"/>
              <w:rPr>
                <w:rFonts w:cs="Tahoma"/>
                <w:szCs w:val="18"/>
              </w:rPr>
            </w:pPr>
            <w:r w:rsidRPr="00B50475">
              <w:rPr>
                <w:rFonts w:cs="Tahoma"/>
                <w:szCs w:val="18"/>
              </w:rPr>
              <w:t xml:space="preserve">Change in </w:t>
            </w:r>
            <w:r>
              <w:rPr>
                <w:rFonts w:cs="Tahoma"/>
                <w:szCs w:val="18"/>
              </w:rPr>
              <w:t>wHO</w:t>
            </w:r>
            <w:r w:rsidRPr="00B50475">
              <w:rPr>
                <w:rFonts w:cs="Tahoma"/>
                <w:szCs w:val="18"/>
              </w:rPr>
              <w:t xml:space="preserve"> FC</w:t>
            </w:r>
            <w:r w:rsidRPr="00B50475">
              <w:rPr>
                <w:rFonts w:cs="Tahoma"/>
                <w:szCs w:val="18"/>
                <w:vertAlign w:val="superscript"/>
              </w:rPr>
              <w:t>c</w:t>
            </w:r>
          </w:p>
          <w:p w:rsidR="00A073C5" w:rsidRPr="00A073C5" w:rsidRDefault="001D0FDA" w:rsidP="00480FDF">
            <w:pPr>
              <w:pStyle w:val="Tabletext"/>
              <w:numPr>
                <w:ilvl w:val="0"/>
                <w:numId w:val="54"/>
              </w:numPr>
              <w:ind w:left="239" w:hanging="144"/>
              <w:rPr>
                <w:rFonts w:cs="Tahoma"/>
                <w:szCs w:val="18"/>
              </w:rPr>
            </w:pPr>
            <w:r w:rsidRPr="00B50475">
              <w:rPr>
                <w:rFonts w:cs="Tahoma"/>
                <w:szCs w:val="18"/>
              </w:rPr>
              <w:t>Time to clinical worsening</w:t>
            </w:r>
            <w:r w:rsidRPr="00B50475">
              <w:rPr>
                <w:rFonts w:cs="Tahoma"/>
                <w:szCs w:val="18"/>
                <w:vertAlign w:val="superscript"/>
              </w:rPr>
              <w:t>c</w:t>
            </w:r>
          </w:p>
          <w:p w:rsidR="001D0FDA" w:rsidRDefault="001D0FDA" w:rsidP="00480FDF">
            <w:pPr>
              <w:pStyle w:val="Tabletext"/>
              <w:numPr>
                <w:ilvl w:val="0"/>
                <w:numId w:val="54"/>
              </w:numPr>
              <w:ind w:left="239" w:hanging="144"/>
              <w:rPr>
                <w:rFonts w:cs="Tahoma"/>
                <w:szCs w:val="18"/>
              </w:rPr>
            </w:pPr>
            <w:r>
              <w:rPr>
                <w:rFonts w:cs="Tahoma"/>
                <w:szCs w:val="18"/>
              </w:rPr>
              <w:t>Change in BDS</w:t>
            </w:r>
            <w:r w:rsidRPr="00B50475">
              <w:rPr>
                <w:rFonts w:cs="Tahoma"/>
                <w:szCs w:val="18"/>
                <w:vertAlign w:val="superscript"/>
              </w:rPr>
              <w:t>c</w:t>
            </w:r>
          </w:p>
          <w:p w:rsidR="001D0FDA" w:rsidRPr="00B50475" w:rsidRDefault="001D0FDA" w:rsidP="00480FDF">
            <w:pPr>
              <w:pStyle w:val="Tabletext"/>
              <w:numPr>
                <w:ilvl w:val="0"/>
                <w:numId w:val="54"/>
              </w:numPr>
              <w:ind w:left="239" w:hanging="144"/>
              <w:rPr>
                <w:rFonts w:cs="Tahoma"/>
                <w:szCs w:val="18"/>
              </w:rPr>
            </w:pPr>
            <w:r>
              <w:rPr>
                <w:rFonts w:cs="Tahoma"/>
                <w:szCs w:val="18"/>
              </w:rPr>
              <w:t>Change in mPAP and PVR</w:t>
            </w:r>
            <w:r w:rsidRPr="00B50475">
              <w:rPr>
                <w:rFonts w:cs="Tahoma"/>
                <w:szCs w:val="18"/>
                <w:vertAlign w:val="superscript"/>
              </w:rPr>
              <w:t>c</w:t>
            </w:r>
          </w:p>
          <w:p w:rsidR="00444DBE" w:rsidRDefault="00444DBE" w:rsidP="00444DBE">
            <w:pPr>
              <w:pStyle w:val="Tabletext"/>
              <w:rPr>
                <w:rFonts w:cs="Tahoma"/>
                <w:szCs w:val="18"/>
              </w:rPr>
            </w:pPr>
            <w:r>
              <w:rPr>
                <w:rFonts w:cs="Tahoma"/>
                <w:szCs w:val="18"/>
              </w:rPr>
              <w:t>Others:</w:t>
            </w:r>
          </w:p>
          <w:p w:rsidR="00444DBE" w:rsidRPr="00ED4111" w:rsidRDefault="00444DBE" w:rsidP="00480FDF">
            <w:pPr>
              <w:pStyle w:val="Tabletext"/>
              <w:numPr>
                <w:ilvl w:val="0"/>
                <w:numId w:val="54"/>
              </w:numPr>
              <w:ind w:left="239" w:hanging="144"/>
              <w:rPr>
                <w:rFonts w:cs="Tahoma"/>
                <w:szCs w:val="18"/>
              </w:rPr>
            </w:pPr>
            <w:r>
              <w:rPr>
                <w:rFonts w:cs="Tahoma"/>
                <w:szCs w:val="18"/>
              </w:rPr>
              <w:t>Mortality</w:t>
            </w:r>
            <w:r>
              <w:rPr>
                <w:rFonts w:cs="Tahoma"/>
                <w:szCs w:val="18"/>
                <w:vertAlign w:val="superscript"/>
              </w:rPr>
              <w:t>c</w:t>
            </w:r>
          </w:p>
          <w:p w:rsidR="00444DBE" w:rsidRPr="001D75C0" w:rsidRDefault="00444DBE" w:rsidP="00480FDF">
            <w:pPr>
              <w:pStyle w:val="Tabletext"/>
              <w:numPr>
                <w:ilvl w:val="0"/>
                <w:numId w:val="54"/>
              </w:numPr>
              <w:ind w:left="239" w:hanging="144"/>
              <w:rPr>
                <w:rFonts w:cs="Tahoma"/>
                <w:szCs w:val="18"/>
              </w:rPr>
            </w:pPr>
            <w:r>
              <w:rPr>
                <w:rFonts w:cs="Tahoma"/>
                <w:szCs w:val="18"/>
              </w:rPr>
              <w:t>Hospitalisation due to PAH</w:t>
            </w:r>
          </w:p>
          <w:p w:rsidR="001D0FDA" w:rsidRDefault="001D0FDA" w:rsidP="001D0FDA">
            <w:pPr>
              <w:pStyle w:val="Tabletext"/>
              <w:rPr>
                <w:rFonts w:cs="Tahoma"/>
                <w:i/>
                <w:szCs w:val="18"/>
              </w:rPr>
            </w:pPr>
          </w:p>
          <w:p w:rsidR="001D0FDA" w:rsidRPr="00723AC5" w:rsidRDefault="001D0FDA" w:rsidP="001D0FDA">
            <w:pPr>
              <w:pStyle w:val="Tabletext"/>
              <w:rPr>
                <w:rFonts w:cs="Tahoma"/>
                <w:i/>
                <w:szCs w:val="18"/>
              </w:rPr>
            </w:pPr>
            <w:r>
              <w:rPr>
                <w:rFonts w:cs="Tahoma"/>
                <w:i/>
                <w:szCs w:val="18"/>
              </w:rPr>
              <w:t>Safety</w:t>
            </w:r>
          </w:p>
          <w:p w:rsidR="001D0FDA" w:rsidRDefault="001D0FDA" w:rsidP="00480FDF">
            <w:pPr>
              <w:pStyle w:val="Tabletext"/>
              <w:numPr>
                <w:ilvl w:val="0"/>
                <w:numId w:val="54"/>
              </w:numPr>
              <w:ind w:left="239" w:hanging="144"/>
              <w:rPr>
                <w:rFonts w:cs="Tahoma"/>
                <w:i/>
                <w:szCs w:val="18"/>
              </w:rPr>
            </w:pPr>
            <w:r w:rsidRPr="00723AC5">
              <w:rPr>
                <w:rFonts w:cs="Tahoma"/>
                <w:szCs w:val="18"/>
              </w:rPr>
              <w:t>Adverse events</w:t>
            </w:r>
            <w:r w:rsidRPr="00B50475">
              <w:rPr>
                <w:rFonts w:cs="Tahoma"/>
                <w:szCs w:val="18"/>
                <w:vertAlign w:val="superscript"/>
              </w:rPr>
              <w:t>c</w:t>
            </w:r>
          </w:p>
        </w:tc>
      </w:tr>
      <w:tr w:rsidR="001D0FDA" w:rsidRPr="00204000" w:rsidTr="001D0FDA">
        <w:tc>
          <w:tcPr>
            <w:tcW w:w="531" w:type="pct"/>
          </w:tcPr>
          <w:p w:rsidR="001D0FDA" w:rsidRPr="00D53F84" w:rsidRDefault="001D0FDA" w:rsidP="001D0FDA">
            <w:pPr>
              <w:pStyle w:val="Tabletext"/>
              <w:ind w:right="-28"/>
              <w:rPr>
                <w:rFonts w:eastAsia="Times New Roman"/>
              </w:rPr>
            </w:pPr>
            <w:r w:rsidRPr="00D53F84">
              <w:rPr>
                <w:rFonts w:eastAsia="Times New Roman"/>
              </w:rPr>
              <w:lastRenderedPageBreak/>
              <w:t>SUPER-1</w:t>
            </w:r>
            <w:r w:rsidR="001D34EE" w:rsidRPr="001D34EE">
              <w:rPr>
                <w:rFonts w:eastAsia="Times New Roman"/>
                <w:noProof/>
                <w:vertAlign w:val="superscript"/>
              </w:rPr>
              <w:t>11, 53</w:t>
            </w:r>
          </w:p>
          <w:p w:rsidR="001D0FDA" w:rsidRPr="00D53F84" w:rsidRDefault="001D0FDA" w:rsidP="001D0FDA">
            <w:pPr>
              <w:pStyle w:val="Tabletext"/>
              <w:ind w:right="-28"/>
              <w:rPr>
                <w:rFonts w:eastAsia="Times New Roman"/>
              </w:rPr>
            </w:pPr>
            <w:r w:rsidRPr="00D53F84">
              <w:rPr>
                <w:rFonts w:eastAsia="Times New Roman"/>
                <w:lang w:eastAsia="en-US"/>
              </w:rPr>
              <w:t>2002-2003</w:t>
            </w:r>
          </w:p>
          <w:p w:rsidR="001D0FDA" w:rsidRPr="00D53F84" w:rsidRDefault="001D0FDA" w:rsidP="001D0FDA">
            <w:pPr>
              <w:pStyle w:val="Tabletext"/>
              <w:ind w:right="-28"/>
              <w:rPr>
                <w:rFonts w:eastAsia="Times New Roman"/>
                <w:lang w:eastAsia="en-US"/>
              </w:rPr>
            </w:pPr>
            <w:r w:rsidRPr="00D53F84">
              <w:rPr>
                <w:rFonts w:eastAsia="Times New Roman"/>
                <w:lang w:eastAsia="en-US"/>
              </w:rPr>
              <w:t>US, Mexico, South America, Europe, Asia, South Africa, Australia</w:t>
            </w:r>
          </w:p>
        </w:tc>
        <w:tc>
          <w:tcPr>
            <w:tcW w:w="47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w:t>
            </w:r>
          </w:p>
          <w:p w:rsidR="001D0FDA" w:rsidRDefault="001D0FDA" w:rsidP="001D0FDA">
            <w:pPr>
              <w:pStyle w:val="Tabletext"/>
              <w:ind w:right="-28"/>
              <w:rPr>
                <w:rFonts w:eastAsia="Times New Roman"/>
                <w:snapToGrid w:val="0"/>
                <w:lang w:eastAsia="en-US"/>
              </w:rPr>
            </w:pPr>
            <w:r>
              <w:rPr>
                <w:rFonts w:eastAsia="Times New Roman"/>
                <w:snapToGrid w:val="0"/>
                <w:lang w:eastAsia="en-US"/>
              </w:rPr>
              <w:t>Level II evidence</w:t>
            </w:r>
          </w:p>
          <w:p w:rsidR="001D0FDA" w:rsidRPr="00D53F84" w:rsidRDefault="001D0FDA" w:rsidP="001D0FDA">
            <w:pPr>
              <w:pStyle w:val="Tabletext"/>
              <w:ind w:right="-28"/>
              <w:rPr>
                <w:rFonts w:eastAsia="Times New Roman"/>
                <w:lang w:eastAsia="en-US"/>
              </w:rPr>
            </w:pPr>
            <w:r>
              <w:rPr>
                <w:rFonts w:eastAsia="Times New Roman"/>
                <w:snapToGrid w:val="0"/>
                <w:lang w:eastAsia="en-US"/>
              </w:rPr>
              <w:t xml:space="preserve">Follow-up: </w:t>
            </w:r>
            <w:r w:rsidRPr="00D53F84">
              <w:rPr>
                <w:rFonts w:eastAsia="Times New Roman"/>
                <w:lang w:eastAsia="en-US"/>
              </w:rPr>
              <w:t>12 weeks</w:t>
            </w:r>
          </w:p>
          <w:p w:rsidR="001D0FDA" w:rsidRPr="00D53F84" w:rsidRDefault="001D0FDA" w:rsidP="001D0FDA">
            <w:pPr>
              <w:pStyle w:val="Tabletext"/>
              <w:ind w:right="-28"/>
              <w:rPr>
                <w:rFonts w:eastAsia="Times New Roman"/>
                <w:snapToGrid w:val="0"/>
                <w:lang w:eastAsia="en-US"/>
              </w:rPr>
            </w:pPr>
            <w:r>
              <w:rPr>
                <w:rFonts w:eastAsia="Times New Roman"/>
                <w:snapToGrid w:val="0"/>
                <w:lang w:eastAsia="en-US"/>
              </w:rPr>
              <w:t>Risk of bias: l</w:t>
            </w:r>
            <w:r w:rsidRPr="00D53F84">
              <w:rPr>
                <w:rFonts w:eastAsia="Times New Roman"/>
                <w:lang w:eastAsia="en-US"/>
              </w:rPr>
              <w:t>ow-to-moderate</w:t>
            </w:r>
          </w:p>
        </w:tc>
        <w:tc>
          <w:tcPr>
            <w:tcW w:w="772" w:type="pct"/>
          </w:tcPr>
          <w:p w:rsidR="001D0FDA" w:rsidRPr="006C3B46" w:rsidRDefault="001D0FDA" w:rsidP="001D0FDA">
            <w:pPr>
              <w:pStyle w:val="Tabletext"/>
              <w:rPr>
                <w:rFonts w:cs="Tahoma"/>
                <w:i/>
                <w:szCs w:val="18"/>
              </w:rPr>
            </w:pPr>
            <w:r w:rsidRPr="006C3B46">
              <w:rPr>
                <w:rFonts w:cs="Tahoma"/>
                <w:i/>
                <w:szCs w:val="18"/>
              </w:rPr>
              <w:t>Inclusion criteria</w:t>
            </w:r>
          </w:p>
          <w:p w:rsidR="001D0FDA" w:rsidRPr="006C3B46" w:rsidRDefault="001D0FDA" w:rsidP="00480FDF">
            <w:pPr>
              <w:pStyle w:val="Tabletext"/>
              <w:numPr>
                <w:ilvl w:val="0"/>
                <w:numId w:val="54"/>
              </w:numPr>
              <w:ind w:left="239" w:hanging="144"/>
              <w:rPr>
                <w:rFonts w:cs="Tahoma"/>
                <w:szCs w:val="18"/>
              </w:rPr>
            </w:pPr>
            <w:r w:rsidRPr="006C3B46">
              <w:rPr>
                <w:rFonts w:cs="Tahoma"/>
                <w:szCs w:val="18"/>
              </w:rPr>
              <w:t>Patients with IPAH, PAH-CTD</w:t>
            </w:r>
            <w:r>
              <w:rPr>
                <w:rFonts w:cs="Tahoma"/>
                <w:szCs w:val="18"/>
              </w:rPr>
              <w:t xml:space="preserve"> or</w:t>
            </w:r>
            <w:r w:rsidRPr="006C3B46">
              <w:rPr>
                <w:rFonts w:cs="Tahoma"/>
                <w:szCs w:val="18"/>
              </w:rPr>
              <w:t xml:space="preserve"> PAH-CHD </w:t>
            </w:r>
          </w:p>
          <w:p w:rsidR="001D0FDA" w:rsidRPr="006C3B46" w:rsidRDefault="001D0FDA" w:rsidP="001D0FDA">
            <w:pPr>
              <w:pStyle w:val="Tabletext"/>
              <w:rPr>
                <w:rFonts w:cs="Tahoma"/>
                <w:i/>
                <w:szCs w:val="18"/>
              </w:rPr>
            </w:pPr>
          </w:p>
          <w:p w:rsidR="001D0FDA" w:rsidRPr="006C3B46" w:rsidRDefault="001D0FDA" w:rsidP="001D0FDA">
            <w:pPr>
              <w:pStyle w:val="Tabletext"/>
              <w:rPr>
                <w:rFonts w:cs="Tahoma"/>
                <w:i/>
                <w:szCs w:val="18"/>
              </w:rPr>
            </w:pPr>
            <w:r w:rsidRPr="006C3B46">
              <w:rPr>
                <w:rFonts w:cs="Tahoma"/>
                <w:i/>
                <w:szCs w:val="18"/>
              </w:rPr>
              <w:t>Exclusion criteria</w:t>
            </w:r>
          </w:p>
          <w:p w:rsidR="001D0FDA" w:rsidRPr="006C3B46" w:rsidRDefault="001D0FDA" w:rsidP="00480FDF">
            <w:pPr>
              <w:pStyle w:val="Tabletext"/>
              <w:numPr>
                <w:ilvl w:val="0"/>
                <w:numId w:val="54"/>
              </w:numPr>
              <w:ind w:left="239" w:hanging="144"/>
              <w:rPr>
                <w:rFonts w:cs="Tahoma"/>
                <w:szCs w:val="18"/>
              </w:rPr>
            </w:pPr>
            <w:r w:rsidRPr="006C3B46">
              <w:rPr>
                <w:rFonts w:cs="Tahoma"/>
                <w:szCs w:val="18"/>
              </w:rPr>
              <w:t xml:space="preserve">Patients treated with IV epoprostenol, oral bosentan, IV or inhaled iloprost, or </w:t>
            </w:r>
            <w:r>
              <w:rPr>
                <w:rFonts w:cs="Tahoma"/>
                <w:szCs w:val="18"/>
              </w:rPr>
              <w:t>subcutaneous</w:t>
            </w:r>
            <w:r w:rsidRPr="006C3B46">
              <w:rPr>
                <w:rFonts w:cs="Tahoma"/>
                <w:szCs w:val="18"/>
              </w:rPr>
              <w:t xml:space="preserve"> treprostinil</w:t>
            </w:r>
          </w:p>
          <w:p w:rsidR="001D0FDA" w:rsidRPr="0083095A" w:rsidRDefault="001D0FDA" w:rsidP="00480FDF">
            <w:pPr>
              <w:pStyle w:val="Tabletext"/>
              <w:numPr>
                <w:ilvl w:val="0"/>
                <w:numId w:val="54"/>
              </w:numPr>
              <w:ind w:left="239" w:hanging="144"/>
              <w:rPr>
                <w:rFonts w:cs="Tahoma"/>
                <w:i/>
                <w:szCs w:val="18"/>
              </w:rPr>
            </w:pPr>
            <w:r w:rsidRPr="006C3B46">
              <w:rPr>
                <w:rFonts w:cs="Tahoma"/>
                <w:szCs w:val="18"/>
              </w:rPr>
              <w:t xml:space="preserve">6MWD </w:t>
            </w:r>
            <w:r>
              <w:rPr>
                <w:rFonts w:cs="Tahoma"/>
                <w:szCs w:val="18"/>
              </w:rPr>
              <w:t>&lt; 100m</w:t>
            </w:r>
            <w:r w:rsidRPr="006C3B46">
              <w:rPr>
                <w:rFonts w:cs="Tahoma"/>
                <w:szCs w:val="18"/>
              </w:rPr>
              <w:t xml:space="preserve"> or &gt; 450</w:t>
            </w:r>
            <w:r>
              <w:rPr>
                <w:rFonts w:cs="Tahoma"/>
                <w:szCs w:val="18"/>
              </w:rPr>
              <w:t>m</w:t>
            </w:r>
          </w:p>
        </w:tc>
        <w:tc>
          <w:tcPr>
            <w:tcW w:w="0" w:type="auto"/>
          </w:tcPr>
          <w:p w:rsidR="001D0FDA" w:rsidRDefault="001D0FDA" w:rsidP="001D0FDA">
            <w:pPr>
              <w:pStyle w:val="Tabletext"/>
            </w:pPr>
            <w:r>
              <w:t>N=139</w:t>
            </w:r>
          </w:p>
          <w:tbl>
            <w:tblPr>
              <w:tblStyle w:val="TableGrid"/>
              <w:tblW w:w="4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Caption w:val="Patient baseline characteristics in Trial SUPER-1"/>
            </w:tblPr>
            <w:tblGrid>
              <w:gridCol w:w="2161"/>
              <w:gridCol w:w="1019"/>
              <w:gridCol w:w="1108"/>
            </w:tblGrid>
            <w:tr w:rsidR="001D0FDA" w:rsidTr="001D0FDA">
              <w:trPr>
                <w:cnfStyle w:val="100000000000" w:firstRow="1" w:lastRow="0" w:firstColumn="0" w:lastColumn="0" w:oddVBand="0" w:evenVBand="0" w:oddHBand="0" w:evenHBand="0" w:firstRowFirstColumn="0" w:firstRowLastColumn="0" w:lastRowFirstColumn="0" w:lastRowLastColumn="0"/>
              </w:trPr>
              <w:tc>
                <w:tcPr>
                  <w:tcW w:w="2161" w:type="dxa"/>
                  <w:shd w:val="clear" w:color="auto" w:fill="FFFFFF" w:themeFill="background1"/>
                </w:tcPr>
                <w:p w:rsidR="001D0FDA" w:rsidRPr="003C0DFB" w:rsidRDefault="001D0FDA" w:rsidP="00B5196D">
                  <w:pPr>
                    <w:pStyle w:val="Tabletext"/>
                    <w:framePr w:hSpace="180" w:wrap="around" w:vAnchor="text" w:hAnchor="text" w:y="1"/>
                  </w:pPr>
                </w:p>
              </w:tc>
              <w:tc>
                <w:tcPr>
                  <w:tcW w:w="1019" w:type="dxa"/>
                  <w:shd w:val="clear" w:color="auto" w:fill="FFFFFF" w:themeFill="background1"/>
                </w:tcPr>
                <w:p w:rsidR="001D0FDA" w:rsidRDefault="001D0FDA" w:rsidP="00B5196D">
                  <w:pPr>
                    <w:pStyle w:val="Tabletext"/>
                    <w:framePr w:hSpace="180" w:wrap="around" w:vAnchor="text" w:hAnchor="text" w:y="1"/>
                    <w:jc w:val="center"/>
                  </w:pPr>
                  <w:r w:rsidRPr="00C11B64">
                    <w:t xml:space="preserve">Sildenafil 20mg </w:t>
                  </w:r>
                </w:p>
                <w:p w:rsidR="001D0FDA" w:rsidRDefault="001D0FDA" w:rsidP="00B5196D">
                  <w:pPr>
                    <w:pStyle w:val="Tabletext"/>
                    <w:framePr w:hSpace="180" w:wrap="around" w:vAnchor="text" w:hAnchor="text" w:y="1"/>
                    <w:jc w:val="center"/>
                    <w:rPr>
                      <w:u w:val="single"/>
                    </w:rPr>
                  </w:pPr>
                  <w:r>
                    <w:t>(N=69)</w:t>
                  </w:r>
                </w:p>
              </w:tc>
              <w:tc>
                <w:tcPr>
                  <w:tcW w:w="1108" w:type="dxa"/>
                  <w:shd w:val="clear" w:color="auto" w:fill="FFFFFF" w:themeFill="background1"/>
                </w:tcPr>
                <w:p w:rsidR="001D0FDA" w:rsidRDefault="001D0FDA" w:rsidP="00B5196D">
                  <w:pPr>
                    <w:pStyle w:val="Tabletext"/>
                    <w:framePr w:hSpace="180" w:wrap="around" w:vAnchor="text" w:hAnchor="text" w:y="1"/>
                    <w:jc w:val="center"/>
                  </w:pPr>
                  <w:r>
                    <w:t>Placebo</w:t>
                  </w:r>
                </w:p>
                <w:p w:rsidR="001D0FDA" w:rsidRDefault="001D0FDA" w:rsidP="00B5196D">
                  <w:pPr>
                    <w:pStyle w:val="Tabletext"/>
                    <w:framePr w:hSpace="180" w:wrap="around" w:vAnchor="text" w:hAnchor="text" w:y="1"/>
                    <w:jc w:val="center"/>
                  </w:pPr>
                  <w:r>
                    <w:t>(N=70)</w:t>
                  </w:r>
                  <w:r w:rsidRPr="00C11B64">
                    <w:t xml:space="preserve"> </w:t>
                  </w:r>
                </w:p>
              </w:tc>
            </w:tr>
            <w:tr w:rsidR="001D0FDA" w:rsidRPr="001B3364" w:rsidTr="001D0FDA">
              <w:tc>
                <w:tcPr>
                  <w:tcW w:w="2161" w:type="dxa"/>
                  <w:shd w:val="clear" w:color="auto" w:fill="FFFFFF" w:themeFill="background1"/>
                </w:tcPr>
                <w:p w:rsidR="001D0FDA" w:rsidRDefault="001D0FDA" w:rsidP="00B5196D">
                  <w:pPr>
                    <w:pStyle w:val="Tabletext"/>
                    <w:framePr w:hSpace="180" w:wrap="around" w:vAnchor="text" w:hAnchor="text" w:y="1"/>
                  </w:pPr>
                  <w:r w:rsidRPr="00351FF5">
                    <w:rPr>
                      <w:rFonts w:cs="Tahoma"/>
                      <w:szCs w:val="18"/>
                    </w:rPr>
                    <w:t>Age, mean±SD (yrs)</w:t>
                  </w:r>
                </w:p>
              </w:tc>
              <w:tc>
                <w:tcPr>
                  <w:tcW w:w="1019" w:type="dxa"/>
                  <w:shd w:val="clear" w:color="auto" w:fill="FFFFFF" w:themeFill="background1"/>
                </w:tcPr>
                <w:p w:rsidR="001D0FDA" w:rsidRPr="00C5782C" w:rsidRDefault="001D0FDA" w:rsidP="00B5196D">
                  <w:pPr>
                    <w:pStyle w:val="Tabletext"/>
                    <w:framePr w:hSpace="180" w:wrap="around" w:vAnchor="text" w:hAnchor="text" w:y="1"/>
                    <w:jc w:val="center"/>
                  </w:pPr>
                  <w:r>
                    <w:t xml:space="preserve">47±14 </w:t>
                  </w:r>
                </w:p>
              </w:tc>
              <w:tc>
                <w:tcPr>
                  <w:tcW w:w="1108" w:type="dxa"/>
                  <w:shd w:val="clear" w:color="auto" w:fill="FFFFFF" w:themeFill="background1"/>
                </w:tcPr>
                <w:p w:rsidR="001D0FDA" w:rsidRPr="00C5782C" w:rsidRDefault="001D0FDA" w:rsidP="00B5196D">
                  <w:pPr>
                    <w:pStyle w:val="Tabletext"/>
                    <w:framePr w:hSpace="180" w:wrap="around" w:vAnchor="text" w:hAnchor="text" w:y="1"/>
                    <w:jc w:val="center"/>
                  </w:pPr>
                  <w:r>
                    <w:t>49±17</w:t>
                  </w:r>
                </w:p>
              </w:tc>
            </w:tr>
            <w:tr w:rsidR="001D0FDA" w:rsidRPr="001B3364" w:rsidTr="001D0FDA">
              <w:tc>
                <w:tcPr>
                  <w:tcW w:w="2161"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rPr>
                      <w:rFonts w:cs="Tahoma"/>
                      <w:szCs w:val="18"/>
                    </w:rPr>
                  </w:pPr>
                  <w:r w:rsidRPr="00351FF5">
                    <w:rPr>
                      <w:rFonts w:cs="Tahoma"/>
                      <w:szCs w:val="18"/>
                    </w:rPr>
                    <w:t>Gender, femal</w:t>
                  </w:r>
                  <w:r>
                    <w:rPr>
                      <w:rFonts w:cs="Tahoma"/>
                      <w:szCs w:val="18"/>
                    </w:rPr>
                    <w:t>e</w:t>
                  </w:r>
                  <w:r w:rsidRPr="00351FF5">
                    <w:rPr>
                      <w:rFonts w:cs="Tahoma"/>
                      <w:szCs w:val="18"/>
                    </w:rPr>
                    <w:t>, n (%)</w:t>
                  </w:r>
                </w:p>
              </w:tc>
              <w:tc>
                <w:tcPr>
                  <w:tcW w:w="1019" w:type="dxa"/>
                  <w:tcBorders>
                    <w:bottom w:val="single" w:sz="4" w:space="0" w:color="BFBFBF" w:themeColor="background1" w:themeShade="BF"/>
                  </w:tcBorders>
                </w:tcPr>
                <w:p w:rsidR="001D0FDA" w:rsidRPr="00C5782C" w:rsidRDefault="001D0FDA" w:rsidP="00B5196D">
                  <w:pPr>
                    <w:pStyle w:val="Tabletext"/>
                    <w:framePr w:hSpace="180" w:wrap="around" w:vAnchor="text" w:hAnchor="text" w:y="1"/>
                    <w:jc w:val="center"/>
                  </w:pPr>
                  <w:r>
                    <w:t>49 (71%)</w:t>
                  </w:r>
                </w:p>
              </w:tc>
              <w:tc>
                <w:tcPr>
                  <w:tcW w:w="1108" w:type="dxa"/>
                  <w:tcBorders>
                    <w:bottom w:val="single" w:sz="4" w:space="0" w:color="BFBFBF" w:themeColor="background1" w:themeShade="BF"/>
                  </w:tcBorders>
                </w:tcPr>
                <w:p w:rsidR="001D0FDA" w:rsidRPr="00C5782C" w:rsidRDefault="001D0FDA" w:rsidP="00B5196D">
                  <w:pPr>
                    <w:pStyle w:val="Tabletext"/>
                    <w:framePr w:hSpace="180" w:wrap="around" w:vAnchor="text" w:hAnchor="text" w:y="1"/>
                    <w:jc w:val="center"/>
                  </w:pPr>
                  <w:r>
                    <w:t>57 (81%)</w:t>
                  </w:r>
                </w:p>
              </w:tc>
            </w:tr>
            <w:tr w:rsidR="001D0FDA" w:rsidRPr="001B3364" w:rsidTr="001D0FDA">
              <w:tc>
                <w:tcPr>
                  <w:tcW w:w="2161" w:type="dxa"/>
                  <w:tcBorders>
                    <w:bottom w:val="nil"/>
                  </w:tcBorders>
                  <w:shd w:val="clear" w:color="auto" w:fill="FFFFFF" w:themeFill="background1"/>
                </w:tcPr>
                <w:p w:rsidR="001D0FDA" w:rsidRPr="00C5782C" w:rsidRDefault="001D0FDA" w:rsidP="00B5196D">
                  <w:pPr>
                    <w:pStyle w:val="Tabletext"/>
                    <w:framePr w:hSpace="180" w:wrap="around" w:vAnchor="text" w:hAnchor="text" w:y="1"/>
                  </w:pPr>
                  <w:r>
                    <w:t>Aetiology</w:t>
                  </w:r>
                </w:p>
              </w:tc>
              <w:tc>
                <w:tcPr>
                  <w:tcW w:w="1019"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c>
                <w:tcPr>
                  <w:tcW w:w="1108"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r>
            <w:tr w:rsidR="001D0FDA" w:rsidRPr="001B3364" w:rsidTr="001D0FDA">
              <w:tc>
                <w:tcPr>
                  <w:tcW w:w="2161"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ind w:left="262"/>
                  </w:pPr>
                  <w:r w:rsidRPr="00C5782C">
                    <w:t xml:space="preserve">IPAH </w:t>
                  </w:r>
                </w:p>
              </w:tc>
              <w:tc>
                <w:tcPr>
                  <w:tcW w:w="1019"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44 (64%)</w:t>
                  </w:r>
                </w:p>
              </w:tc>
              <w:tc>
                <w:tcPr>
                  <w:tcW w:w="1108"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42 (60%)</w:t>
                  </w:r>
                </w:p>
              </w:tc>
            </w:tr>
            <w:tr w:rsidR="001D0FDA" w:rsidRPr="001B3364" w:rsidTr="001D0FDA">
              <w:tc>
                <w:tcPr>
                  <w:tcW w:w="2161"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ind w:left="262"/>
                  </w:pPr>
                  <w:r w:rsidRPr="00C5782C">
                    <w:t>PAH-CTD</w:t>
                  </w:r>
                </w:p>
              </w:tc>
              <w:tc>
                <w:tcPr>
                  <w:tcW w:w="1019"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20 (29%)</w:t>
                  </w:r>
                </w:p>
              </w:tc>
              <w:tc>
                <w:tcPr>
                  <w:tcW w:w="1108"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22 (31%)</w:t>
                  </w:r>
                </w:p>
              </w:tc>
            </w:tr>
            <w:tr w:rsidR="001D0FDA" w:rsidRPr="001B3364" w:rsidTr="001D0FDA">
              <w:tc>
                <w:tcPr>
                  <w:tcW w:w="2161"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ind w:left="262"/>
                  </w:pPr>
                  <w:r w:rsidRPr="00C5782C">
                    <w:t>PAH-CHD</w:t>
                  </w:r>
                </w:p>
              </w:tc>
              <w:tc>
                <w:tcPr>
                  <w:tcW w:w="1019"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4 (6%)</w:t>
                  </w:r>
                </w:p>
              </w:tc>
              <w:tc>
                <w:tcPr>
                  <w:tcW w:w="1108"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6 (9%)</w:t>
                  </w:r>
                </w:p>
              </w:tc>
            </w:tr>
            <w:tr w:rsidR="001D0FDA" w:rsidRPr="001B3364" w:rsidTr="001D0FDA">
              <w:tc>
                <w:tcPr>
                  <w:tcW w:w="2161" w:type="dxa"/>
                  <w:tcBorders>
                    <w:bottom w:val="nil"/>
                  </w:tcBorders>
                  <w:shd w:val="clear" w:color="auto" w:fill="FFFFFF" w:themeFill="background1"/>
                </w:tcPr>
                <w:p w:rsidR="001D0FDA" w:rsidRPr="00C5782C" w:rsidRDefault="001D0FDA" w:rsidP="00B5196D">
                  <w:pPr>
                    <w:pStyle w:val="Tabletext"/>
                    <w:framePr w:hSpace="180" w:wrap="around" w:vAnchor="text" w:hAnchor="text" w:y="1"/>
                  </w:pPr>
                  <w:r>
                    <w:t>WHO FC</w:t>
                  </w:r>
                </w:p>
              </w:tc>
              <w:tc>
                <w:tcPr>
                  <w:tcW w:w="1019"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c>
                <w:tcPr>
                  <w:tcW w:w="1108"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r>
            <w:tr w:rsidR="001D0FDA" w:rsidRPr="001B3364" w:rsidTr="001D0FDA">
              <w:tc>
                <w:tcPr>
                  <w:tcW w:w="2161"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ind w:left="262"/>
                  </w:pPr>
                  <w:r>
                    <w:t>I</w:t>
                  </w:r>
                </w:p>
              </w:tc>
              <w:tc>
                <w:tcPr>
                  <w:tcW w:w="1019"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0 (0%)</w:t>
                  </w:r>
                </w:p>
              </w:tc>
              <w:tc>
                <w:tcPr>
                  <w:tcW w:w="1108"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1 (1%)</w:t>
                  </w:r>
                </w:p>
              </w:tc>
            </w:tr>
            <w:tr w:rsidR="001D0FDA" w:rsidRPr="001B3364" w:rsidTr="001D0FDA">
              <w:tc>
                <w:tcPr>
                  <w:tcW w:w="2161" w:type="dxa"/>
                  <w:tcBorders>
                    <w:top w:val="nil"/>
                    <w:bottom w:val="nil"/>
                  </w:tcBorders>
                  <w:shd w:val="clear" w:color="auto" w:fill="FFFFFF" w:themeFill="background1"/>
                </w:tcPr>
                <w:p w:rsidR="001D0FDA" w:rsidRDefault="001D0FDA" w:rsidP="00B5196D">
                  <w:pPr>
                    <w:pStyle w:val="Tabletext"/>
                    <w:framePr w:hSpace="180" w:wrap="around" w:vAnchor="text" w:hAnchor="text" w:y="1"/>
                    <w:ind w:left="262"/>
                  </w:pPr>
                  <w:r>
                    <w:t>II</w:t>
                  </w:r>
                </w:p>
              </w:tc>
              <w:tc>
                <w:tcPr>
                  <w:tcW w:w="1019"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24 (35%)</w:t>
                  </w:r>
                </w:p>
              </w:tc>
              <w:tc>
                <w:tcPr>
                  <w:tcW w:w="1108"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32 (46%)</w:t>
                  </w:r>
                </w:p>
              </w:tc>
            </w:tr>
            <w:tr w:rsidR="001D0FDA" w:rsidRPr="001B3364" w:rsidTr="001D0FDA">
              <w:tc>
                <w:tcPr>
                  <w:tcW w:w="2161" w:type="dxa"/>
                  <w:tcBorders>
                    <w:top w:val="nil"/>
                    <w:bottom w:val="nil"/>
                  </w:tcBorders>
                  <w:shd w:val="clear" w:color="auto" w:fill="FFFFFF" w:themeFill="background1"/>
                </w:tcPr>
                <w:p w:rsidR="001D0FDA" w:rsidRDefault="001D0FDA" w:rsidP="00B5196D">
                  <w:pPr>
                    <w:pStyle w:val="Tabletext"/>
                    <w:framePr w:hSpace="180" w:wrap="around" w:vAnchor="text" w:hAnchor="text" w:y="1"/>
                    <w:ind w:left="262"/>
                  </w:pPr>
                  <w:r>
                    <w:t>III</w:t>
                  </w:r>
                </w:p>
              </w:tc>
              <w:tc>
                <w:tcPr>
                  <w:tcW w:w="1019"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40 (58%)</w:t>
                  </w:r>
                </w:p>
              </w:tc>
              <w:tc>
                <w:tcPr>
                  <w:tcW w:w="1108"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34 (49%)</w:t>
                  </w:r>
                </w:p>
              </w:tc>
            </w:tr>
            <w:tr w:rsidR="001D0FDA" w:rsidRPr="001B3364" w:rsidTr="001D0FDA">
              <w:tc>
                <w:tcPr>
                  <w:tcW w:w="2161" w:type="dxa"/>
                  <w:tcBorders>
                    <w:top w:val="nil"/>
                  </w:tcBorders>
                  <w:shd w:val="clear" w:color="auto" w:fill="FFFFFF" w:themeFill="background1"/>
                </w:tcPr>
                <w:p w:rsidR="001D0FDA" w:rsidRDefault="001D0FDA" w:rsidP="00B5196D">
                  <w:pPr>
                    <w:pStyle w:val="Tabletext"/>
                    <w:framePr w:hSpace="180" w:wrap="around" w:vAnchor="text" w:hAnchor="text" w:y="1"/>
                    <w:ind w:left="262"/>
                  </w:pPr>
                  <w:r>
                    <w:t>IV</w:t>
                  </w:r>
                </w:p>
              </w:tc>
              <w:tc>
                <w:tcPr>
                  <w:tcW w:w="1019" w:type="dxa"/>
                  <w:tcBorders>
                    <w:top w:val="nil"/>
                  </w:tcBorders>
                  <w:shd w:val="clear" w:color="auto" w:fill="FFFFFF" w:themeFill="background1"/>
                </w:tcPr>
                <w:p w:rsidR="001D0FDA" w:rsidRPr="00C5782C" w:rsidRDefault="001D0FDA" w:rsidP="00B5196D">
                  <w:pPr>
                    <w:pStyle w:val="Tabletext"/>
                    <w:framePr w:hSpace="180" w:wrap="around" w:vAnchor="text" w:hAnchor="text" w:y="1"/>
                    <w:jc w:val="center"/>
                  </w:pPr>
                  <w:r>
                    <w:t>5 (7%)</w:t>
                  </w:r>
                </w:p>
              </w:tc>
              <w:tc>
                <w:tcPr>
                  <w:tcW w:w="1108" w:type="dxa"/>
                  <w:tcBorders>
                    <w:top w:val="nil"/>
                  </w:tcBorders>
                  <w:shd w:val="clear" w:color="auto" w:fill="FFFFFF" w:themeFill="background1"/>
                </w:tcPr>
                <w:p w:rsidR="001D0FDA" w:rsidRPr="00C5782C" w:rsidRDefault="001D0FDA" w:rsidP="00B5196D">
                  <w:pPr>
                    <w:pStyle w:val="Tabletext"/>
                    <w:framePr w:hSpace="180" w:wrap="around" w:vAnchor="text" w:hAnchor="text" w:y="1"/>
                    <w:jc w:val="center"/>
                  </w:pPr>
                  <w:r>
                    <w:t>3 (4%)</w:t>
                  </w:r>
                </w:p>
              </w:tc>
            </w:tr>
            <w:tr w:rsidR="001D0FDA" w:rsidRPr="001B3364" w:rsidTr="001D0FDA">
              <w:tc>
                <w:tcPr>
                  <w:tcW w:w="2161" w:type="dxa"/>
                </w:tcPr>
                <w:p w:rsidR="001D0FDA" w:rsidRDefault="001D0FDA" w:rsidP="00B5196D">
                  <w:pPr>
                    <w:pStyle w:val="Tabletext"/>
                    <w:framePr w:hSpace="180" w:wrap="around" w:vAnchor="text" w:hAnchor="text" w:y="1"/>
                  </w:pPr>
                  <w:r>
                    <w:rPr>
                      <w:rFonts w:cs="Tahoma"/>
                      <w:szCs w:val="18"/>
                    </w:rPr>
                    <w:t>mPAP</w:t>
                  </w:r>
                  <w:r w:rsidRPr="00351FF5">
                    <w:rPr>
                      <w:rFonts w:cs="Tahoma"/>
                      <w:szCs w:val="18"/>
                    </w:rPr>
                    <w:t>, mean±SD (mmHg)</w:t>
                  </w:r>
                </w:p>
              </w:tc>
              <w:tc>
                <w:tcPr>
                  <w:tcW w:w="1019" w:type="dxa"/>
                  <w:shd w:val="clear" w:color="auto" w:fill="FFFFFF" w:themeFill="background1"/>
                  <w:vAlign w:val="center"/>
                </w:tcPr>
                <w:p w:rsidR="001D0FDA" w:rsidRPr="00C5782C" w:rsidRDefault="001D0FDA" w:rsidP="00B5196D">
                  <w:pPr>
                    <w:pStyle w:val="Tabletext"/>
                    <w:framePr w:hSpace="180" w:wrap="around" w:vAnchor="text" w:hAnchor="text" w:y="1"/>
                    <w:jc w:val="center"/>
                  </w:pPr>
                  <w:r>
                    <w:t>54±13</w:t>
                  </w:r>
                </w:p>
              </w:tc>
              <w:tc>
                <w:tcPr>
                  <w:tcW w:w="1108" w:type="dxa"/>
                  <w:shd w:val="clear" w:color="auto" w:fill="FFFFFF" w:themeFill="background1"/>
                  <w:vAlign w:val="center"/>
                </w:tcPr>
                <w:p w:rsidR="001D0FDA" w:rsidRPr="00C5782C" w:rsidRDefault="001D0FDA" w:rsidP="00B5196D">
                  <w:pPr>
                    <w:pStyle w:val="Tabletext"/>
                    <w:framePr w:hSpace="180" w:wrap="around" w:vAnchor="text" w:hAnchor="text" w:y="1"/>
                    <w:jc w:val="center"/>
                  </w:pPr>
                  <w:r>
                    <w:t>56±16</w:t>
                  </w:r>
                </w:p>
              </w:tc>
            </w:tr>
            <w:tr w:rsidR="001D0FDA" w:rsidRPr="001B3364" w:rsidTr="001D0FDA">
              <w:tc>
                <w:tcPr>
                  <w:tcW w:w="2161" w:type="dxa"/>
                </w:tcPr>
                <w:p w:rsidR="001D0FDA" w:rsidRDefault="001D0FDA" w:rsidP="00B5196D">
                  <w:pPr>
                    <w:pStyle w:val="Tabletext"/>
                    <w:framePr w:hSpace="180" w:wrap="around" w:vAnchor="text" w:hAnchor="text" w:y="1"/>
                  </w:pPr>
                  <w:r>
                    <w:rPr>
                      <w:rFonts w:cs="Tahoma"/>
                      <w:szCs w:val="18"/>
                    </w:rPr>
                    <w:t>PVR, mean±SD (dyn*s*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019" w:type="dxa"/>
                  <w:shd w:val="clear" w:color="auto" w:fill="FFFFFF" w:themeFill="background1"/>
                  <w:vAlign w:val="center"/>
                </w:tcPr>
                <w:p w:rsidR="001D0FDA" w:rsidRDefault="001D0FDA" w:rsidP="00B5196D">
                  <w:pPr>
                    <w:pStyle w:val="Tabletext"/>
                    <w:framePr w:hSpace="180" w:wrap="around" w:vAnchor="text" w:hAnchor="text" w:y="1"/>
                    <w:jc w:val="center"/>
                  </w:pPr>
                  <w:r>
                    <w:t>987±464</w:t>
                  </w:r>
                </w:p>
              </w:tc>
              <w:tc>
                <w:tcPr>
                  <w:tcW w:w="1108" w:type="dxa"/>
                  <w:shd w:val="clear" w:color="auto" w:fill="FFFFFF" w:themeFill="background1"/>
                  <w:vAlign w:val="center"/>
                </w:tcPr>
                <w:p w:rsidR="001D0FDA" w:rsidRDefault="001D0FDA" w:rsidP="00B5196D">
                  <w:pPr>
                    <w:pStyle w:val="Tabletext"/>
                    <w:framePr w:hSpace="180" w:wrap="around" w:vAnchor="text" w:hAnchor="text" w:y="1"/>
                    <w:jc w:val="center"/>
                  </w:pPr>
                  <w:r>
                    <w:t>1051±512</w:t>
                  </w:r>
                </w:p>
              </w:tc>
            </w:tr>
          </w:tbl>
          <w:p w:rsidR="001D0FDA" w:rsidRDefault="001D0FDA" w:rsidP="001D0FDA">
            <w:pPr>
              <w:pStyle w:val="Tabletext"/>
            </w:pPr>
            <w:r w:rsidRPr="00A93CCE">
              <w:rPr>
                <w:szCs w:val="18"/>
              </w:rPr>
              <w:t>Data on the patient characteristics for the WHO FC I-II subgroup</w:t>
            </w:r>
            <w:r>
              <w:rPr>
                <w:szCs w:val="18"/>
              </w:rPr>
              <w:t xml:space="preserve"> and </w:t>
            </w:r>
            <w:r w:rsidRPr="00A93CCE">
              <w:rPr>
                <w:szCs w:val="18"/>
              </w:rPr>
              <w:t xml:space="preserve">the WHO FC III-IV subgroup were not available. Randomisation was </w:t>
            </w:r>
            <w:r>
              <w:rPr>
                <w:szCs w:val="18"/>
              </w:rPr>
              <w:t xml:space="preserve">not </w:t>
            </w:r>
            <w:r w:rsidRPr="00A93CCE">
              <w:rPr>
                <w:szCs w:val="18"/>
              </w:rPr>
              <w:t>stratified according to WHO FC.</w:t>
            </w:r>
          </w:p>
        </w:tc>
        <w:tc>
          <w:tcPr>
            <w:tcW w:w="811" w:type="pct"/>
          </w:tcPr>
          <w:p w:rsidR="001D0FDA" w:rsidRDefault="001D0FDA" w:rsidP="001D0FDA">
            <w:pPr>
              <w:pStyle w:val="Tabletext"/>
              <w:rPr>
                <w:i/>
              </w:rPr>
            </w:pPr>
            <w:r>
              <w:rPr>
                <w:i/>
              </w:rPr>
              <w:t>Intervention</w:t>
            </w:r>
          </w:p>
          <w:p w:rsidR="001D0FDA" w:rsidRDefault="001D0FDA" w:rsidP="001D0FDA">
            <w:pPr>
              <w:pStyle w:val="Tabletext"/>
            </w:pPr>
            <w:r>
              <w:t>Sildenafil: 20mg tid</w:t>
            </w:r>
          </w:p>
          <w:p w:rsidR="001D0FDA" w:rsidRDefault="001D0FDA" w:rsidP="001D0FDA">
            <w:pPr>
              <w:pStyle w:val="Tabletext"/>
            </w:pPr>
          </w:p>
          <w:p w:rsidR="001D0FDA" w:rsidRDefault="001D0FDA" w:rsidP="001D0FDA">
            <w:pPr>
              <w:pStyle w:val="Tabletext"/>
              <w:rPr>
                <w:i/>
              </w:rPr>
            </w:pPr>
            <w:r>
              <w:rPr>
                <w:i/>
              </w:rPr>
              <w:t>Comparator</w:t>
            </w:r>
          </w:p>
          <w:p w:rsidR="001D0FDA" w:rsidRPr="00EF6EEC" w:rsidRDefault="001D0FDA" w:rsidP="001D0FDA">
            <w:pPr>
              <w:pStyle w:val="Tabletext"/>
            </w:pPr>
            <w:r>
              <w:t>Placebo</w:t>
            </w:r>
          </w:p>
        </w:tc>
        <w:tc>
          <w:tcPr>
            <w:tcW w:w="771" w:type="pct"/>
          </w:tcPr>
          <w:p w:rsidR="001D0FDA" w:rsidRPr="00EF6EEC" w:rsidRDefault="001D0FDA" w:rsidP="001D0FDA">
            <w:pPr>
              <w:pStyle w:val="Tabletext"/>
              <w:rPr>
                <w:rFonts w:cs="Tahoma"/>
                <w:i/>
                <w:szCs w:val="18"/>
              </w:rPr>
            </w:pPr>
            <w:r w:rsidRPr="00EF6EEC">
              <w:rPr>
                <w:rFonts w:cs="Tahoma"/>
                <w:i/>
                <w:szCs w:val="18"/>
              </w:rPr>
              <w:t>Effectiveness</w:t>
            </w:r>
          </w:p>
          <w:p w:rsidR="001D0FDA" w:rsidRPr="00EF6EEC" w:rsidRDefault="001D0FDA" w:rsidP="001D0FDA">
            <w:pPr>
              <w:pStyle w:val="Tabletext"/>
              <w:rPr>
                <w:rFonts w:cs="Tahoma"/>
                <w:szCs w:val="18"/>
              </w:rPr>
            </w:pPr>
            <w:r w:rsidRPr="00EF6EEC">
              <w:rPr>
                <w:rFonts w:cs="Tahoma"/>
                <w:szCs w:val="18"/>
              </w:rPr>
              <w:t>Primary:</w:t>
            </w:r>
          </w:p>
          <w:p w:rsidR="001D0FDA" w:rsidRPr="00EF6EEC" w:rsidRDefault="001D0FDA" w:rsidP="00480FDF">
            <w:pPr>
              <w:pStyle w:val="Tabletext"/>
              <w:numPr>
                <w:ilvl w:val="0"/>
                <w:numId w:val="54"/>
              </w:numPr>
              <w:ind w:left="239" w:hanging="144"/>
              <w:rPr>
                <w:rFonts w:cs="Tahoma"/>
                <w:szCs w:val="18"/>
              </w:rPr>
            </w:pPr>
            <w:r w:rsidRPr="00EF6EEC">
              <w:rPr>
                <w:rFonts w:cs="Tahoma"/>
                <w:szCs w:val="18"/>
              </w:rPr>
              <w:t>Change in 6MWD at Week 12</w:t>
            </w:r>
            <w:r w:rsidRPr="000E10B2">
              <w:rPr>
                <w:rFonts w:cs="Tahoma"/>
                <w:szCs w:val="18"/>
                <w:vertAlign w:val="superscript"/>
              </w:rPr>
              <w:t>c</w:t>
            </w:r>
            <w:r w:rsidRPr="00EF6EEC">
              <w:rPr>
                <w:rFonts w:cs="Tahoma"/>
                <w:szCs w:val="18"/>
              </w:rPr>
              <w:t xml:space="preserve">  </w:t>
            </w:r>
          </w:p>
          <w:p w:rsidR="001D0FDA" w:rsidRPr="00EF6EEC" w:rsidRDefault="001D0FDA" w:rsidP="001D0FDA">
            <w:pPr>
              <w:pStyle w:val="Tabletext"/>
              <w:rPr>
                <w:rFonts w:cs="Tahoma"/>
                <w:szCs w:val="18"/>
              </w:rPr>
            </w:pPr>
            <w:r w:rsidRPr="00EF6EEC">
              <w:rPr>
                <w:rFonts w:cs="Tahoma"/>
                <w:szCs w:val="18"/>
              </w:rPr>
              <w:t>Secondary:</w:t>
            </w:r>
          </w:p>
          <w:p w:rsidR="001D0FDA" w:rsidRPr="00EF6EEC" w:rsidRDefault="001D0FDA" w:rsidP="00480FDF">
            <w:pPr>
              <w:pStyle w:val="Tabletext"/>
              <w:numPr>
                <w:ilvl w:val="0"/>
                <w:numId w:val="54"/>
              </w:numPr>
              <w:ind w:left="239" w:hanging="144"/>
              <w:rPr>
                <w:rFonts w:cs="Tahoma"/>
                <w:szCs w:val="18"/>
              </w:rPr>
            </w:pPr>
            <w:r w:rsidRPr="00EF6EEC">
              <w:rPr>
                <w:rFonts w:cs="Tahoma"/>
                <w:szCs w:val="18"/>
              </w:rPr>
              <w:t xml:space="preserve">Time to clinical worsening </w:t>
            </w:r>
          </w:p>
          <w:p w:rsidR="001D0FDA" w:rsidRPr="00EF6EEC" w:rsidRDefault="001D0FDA" w:rsidP="00480FDF">
            <w:pPr>
              <w:pStyle w:val="Tabletext"/>
              <w:numPr>
                <w:ilvl w:val="0"/>
                <w:numId w:val="54"/>
              </w:numPr>
              <w:ind w:left="239" w:hanging="144"/>
              <w:rPr>
                <w:rFonts w:cs="Tahoma"/>
                <w:szCs w:val="18"/>
              </w:rPr>
            </w:pPr>
            <w:r w:rsidRPr="00EF6EEC">
              <w:rPr>
                <w:rFonts w:cs="Tahoma"/>
                <w:szCs w:val="18"/>
              </w:rPr>
              <w:t xml:space="preserve">Change in WHO </w:t>
            </w:r>
            <w:r>
              <w:rPr>
                <w:rFonts w:cs="Tahoma"/>
                <w:szCs w:val="18"/>
              </w:rPr>
              <w:t>FC</w:t>
            </w:r>
          </w:p>
          <w:p w:rsidR="001D0FDA" w:rsidRPr="00EF6EEC" w:rsidRDefault="001D0FDA" w:rsidP="00480FDF">
            <w:pPr>
              <w:pStyle w:val="Tabletext"/>
              <w:numPr>
                <w:ilvl w:val="0"/>
                <w:numId w:val="54"/>
              </w:numPr>
              <w:ind w:left="239" w:hanging="144"/>
              <w:rPr>
                <w:rFonts w:cs="Tahoma"/>
                <w:szCs w:val="18"/>
              </w:rPr>
            </w:pPr>
            <w:r w:rsidRPr="00EF6EEC">
              <w:rPr>
                <w:rFonts w:cs="Tahoma"/>
                <w:szCs w:val="18"/>
              </w:rPr>
              <w:t xml:space="preserve">Change in </w:t>
            </w:r>
            <w:r>
              <w:rPr>
                <w:rFonts w:cs="Tahoma"/>
                <w:szCs w:val="18"/>
              </w:rPr>
              <w:t>BDS</w:t>
            </w:r>
            <w:r w:rsidRPr="00EF6EEC">
              <w:rPr>
                <w:rFonts w:cs="Tahoma"/>
                <w:szCs w:val="18"/>
              </w:rPr>
              <w:t xml:space="preserve"> </w:t>
            </w:r>
          </w:p>
          <w:p w:rsidR="001D0FDA" w:rsidRDefault="001D0FDA" w:rsidP="00480FDF">
            <w:pPr>
              <w:pStyle w:val="Tabletext"/>
              <w:numPr>
                <w:ilvl w:val="0"/>
                <w:numId w:val="54"/>
              </w:numPr>
              <w:ind w:left="239" w:hanging="144"/>
              <w:rPr>
                <w:rFonts w:cs="Tahoma"/>
                <w:szCs w:val="18"/>
              </w:rPr>
            </w:pPr>
            <w:r w:rsidRPr="00EF6EEC">
              <w:rPr>
                <w:rFonts w:cs="Tahoma"/>
                <w:szCs w:val="18"/>
              </w:rPr>
              <w:t>Change in mPAP</w:t>
            </w:r>
            <w:r>
              <w:rPr>
                <w:rFonts w:cs="Tahoma"/>
                <w:szCs w:val="18"/>
              </w:rPr>
              <w:t>, PVR and CI</w:t>
            </w:r>
          </w:p>
          <w:p w:rsidR="001D0FDA" w:rsidRPr="00EF6EEC" w:rsidRDefault="001D0FDA" w:rsidP="001D0FDA">
            <w:pPr>
              <w:pStyle w:val="Tabletext"/>
              <w:ind w:left="239"/>
              <w:rPr>
                <w:rFonts w:cs="Tahoma"/>
                <w:szCs w:val="18"/>
              </w:rPr>
            </w:pPr>
          </w:p>
          <w:p w:rsidR="001D0FDA" w:rsidRPr="00EF6EEC" w:rsidRDefault="001D0FDA" w:rsidP="001D0FDA">
            <w:pPr>
              <w:pStyle w:val="Tabletext"/>
              <w:rPr>
                <w:rFonts w:cs="Tahoma"/>
                <w:i/>
                <w:szCs w:val="18"/>
              </w:rPr>
            </w:pPr>
            <w:r w:rsidRPr="00EF6EEC">
              <w:rPr>
                <w:rFonts w:cs="Tahoma"/>
                <w:i/>
                <w:szCs w:val="18"/>
              </w:rPr>
              <w:t>Safety</w:t>
            </w:r>
          </w:p>
          <w:p w:rsidR="001D0FDA" w:rsidRPr="000E10B2" w:rsidRDefault="001D0FDA" w:rsidP="00480FDF">
            <w:pPr>
              <w:pStyle w:val="Tabletext"/>
              <w:numPr>
                <w:ilvl w:val="0"/>
                <w:numId w:val="54"/>
              </w:numPr>
              <w:ind w:left="239" w:hanging="144"/>
              <w:rPr>
                <w:rFonts w:cs="Tahoma"/>
                <w:szCs w:val="18"/>
              </w:rPr>
            </w:pPr>
            <w:r w:rsidRPr="00EF6EEC">
              <w:rPr>
                <w:rFonts w:cs="Tahoma"/>
                <w:szCs w:val="18"/>
              </w:rPr>
              <w:t>Adverse events</w:t>
            </w:r>
            <w:r>
              <w:rPr>
                <w:rFonts w:cs="Tahoma"/>
                <w:szCs w:val="18"/>
                <w:vertAlign w:val="superscript"/>
              </w:rPr>
              <w:t>c</w:t>
            </w:r>
          </w:p>
        </w:tc>
      </w:tr>
      <w:tr w:rsidR="001D0FDA" w:rsidRPr="00204000" w:rsidTr="001D0FDA">
        <w:tc>
          <w:tcPr>
            <w:tcW w:w="531"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lang w:eastAsia="en-US"/>
              </w:rPr>
            </w:pPr>
            <w:r w:rsidRPr="00D53F84">
              <w:rPr>
                <w:rFonts w:eastAsia="Times New Roman"/>
                <w:lang w:eastAsia="en-US"/>
              </w:rPr>
              <w:lastRenderedPageBreak/>
              <w:t>Vizza 2017</w:t>
            </w:r>
            <w:r w:rsidR="001D34EE" w:rsidRPr="001A1C44">
              <w:rPr>
                <w:rFonts w:eastAsia="Times New Roman"/>
                <w:noProof/>
                <w:vertAlign w:val="superscript"/>
                <w:lang w:eastAsia="en-US"/>
              </w:rPr>
              <w:t>49</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2006-2012</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US, Europe, Australia, Israel, China</w:t>
            </w:r>
          </w:p>
        </w:tc>
        <w:tc>
          <w:tcPr>
            <w:tcW w:w="476"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RCT, DB</w:t>
            </w:r>
          </w:p>
          <w:p w:rsidR="001D0FDA" w:rsidRDefault="001D0FDA" w:rsidP="001D0FDA">
            <w:pPr>
              <w:pStyle w:val="Tabletext"/>
              <w:ind w:right="-28"/>
              <w:rPr>
                <w:rFonts w:eastAsia="Times New Roman"/>
                <w:snapToGrid w:val="0"/>
                <w:lang w:eastAsia="en-US"/>
              </w:rPr>
            </w:pPr>
            <w:r>
              <w:rPr>
                <w:rFonts w:eastAsia="Times New Roman"/>
                <w:snapToGrid w:val="0"/>
                <w:lang w:eastAsia="en-US"/>
              </w:rPr>
              <w:t>Level II evidence</w:t>
            </w:r>
          </w:p>
          <w:p w:rsidR="001D0FDA" w:rsidRPr="00D53F84" w:rsidRDefault="001D0FDA" w:rsidP="001D0FDA">
            <w:pPr>
              <w:pStyle w:val="Tabletext"/>
              <w:ind w:right="-28"/>
              <w:rPr>
                <w:rFonts w:eastAsia="Times New Roman"/>
                <w:snapToGrid w:val="0"/>
                <w:lang w:eastAsia="en-US"/>
              </w:rPr>
            </w:pPr>
            <w:r>
              <w:rPr>
                <w:rFonts w:eastAsia="Times New Roman"/>
                <w:snapToGrid w:val="0"/>
                <w:lang w:eastAsia="en-US"/>
              </w:rPr>
              <w:t xml:space="preserve">Follow-up: </w:t>
            </w:r>
            <w:r w:rsidRPr="00D53F84">
              <w:rPr>
                <w:rFonts w:eastAsia="Times New Roman"/>
                <w:snapToGrid w:val="0"/>
                <w:lang w:eastAsia="en-US"/>
              </w:rPr>
              <w:t>12 weeks</w:t>
            </w:r>
          </w:p>
          <w:p w:rsidR="001D0FDA" w:rsidRPr="00D53F84" w:rsidRDefault="001D0FDA" w:rsidP="001D0FDA">
            <w:pPr>
              <w:pStyle w:val="Tabletext"/>
              <w:ind w:right="-28"/>
              <w:rPr>
                <w:rFonts w:eastAsia="Times New Roman"/>
                <w:snapToGrid w:val="0"/>
                <w:lang w:eastAsia="en-US"/>
              </w:rPr>
            </w:pPr>
            <w:r>
              <w:rPr>
                <w:rFonts w:eastAsia="Times New Roman"/>
                <w:snapToGrid w:val="0"/>
                <w:lang w:eastAsia="en-US"/>
              </w:rPr>
              <w:t>Risk of bias: l</w:t>
            </w:r>
            <w:r w:rsidRPr="00D53F84">
              <w:rPr>
                <w:rFonts w:eastAsia="Times New Roman"/>
                <w:snapToGrid w:val="0"/>
                <w:lang w:eastAsia="en-US"/>
              </w:rPr>
              <w:t>ow-to-moderate</w:t>
            </w:r>
          </w:p>
        </w:tc>
        <w:tc>
          <w:tcPr>
            <w:tcW w:w="772" w:type="pct"/>
          </w:tcPr>
          <w:p w:rsidR="001D0FDA" w:rsidRDefault="001D0FDA" w:rsidP="001D0FDA">
            <w:pPr>
              <w:pStyle w:val="Tabletext"/>
              <w:rPr>
                <w:rFonts w:cs="Tahoma"/>
                <w:i/>
                <w:szCs w:val="18"/>
              </w:rPr>
            </w:pPr>
            <w:r>
              <w:rPr>
                <w:rFonts w:cs="Tahoma"/>
                <w:i/>
                <w:szCs w:val="18"/>
              </w:rPr>
              <w:t>Inclusion criteria</w:t>
            </w:r>
          </w:p>
          <w:p w:rsidR="001D0FDA" w:rsidRDefault="001D0FDA" w:rsidP="00480FDF">
            <w:pPr>
              <w:pStyle w:val="Tabletext"/>
              <w:numPr>
                <w:ilvl w:val="0"/>
                <w:numId w:val="54"/>
              </w:numPr>
              <w:ind w:left="239" w:hanging="144"/>
              <w:rPr>
                <w:rFonts w:cs="Tahoma"/>
                <w:szCs w:val="18"/>
              </w:rPr>
            </w:pPr>
            <w:r>
              <w:rPr>
                <w:rFonts w:cs="Tahoma"/>
                <w:szCs w:val="18"/>
              </w:rPr>
              <w:t xml:space="preserve">Age of </w:t>
            </w:r>
            <w:r w:rsidRPr="000C685C">
              <w:rPr>
                <w:rFonts w:cs="Tahoma"/>
                <w:szCs w:val="18"/>
              </w:rPr>
              <w:t>≥18 years</w:t>
            </w:r>
          </w:p>
          <w:p w:rsidR="001D0FDA" w:rsidRDefault="001D0FDA" w:rsidP="00480FDF">
            <w:pPr>
              <w:pStyle w:val="Tabletext"/>
              <w:numPr>
                <w:ilvl w:val="0"/>
                <w:numId w:val="54"/>
              </w:numPr>
              <w:ind w:left="239" w:hanging="144"/>
              <w:rPr>
                <w:rFonts w:cs="Tahoma"/>
                <w:szCs w:val="18"/>
              </w:rPr>
            </w:pPr>
            <w:r>
              <w:rPr>
                <w:rFonts w:cs="Tahoma"/>
                <w:szCs w:val="18"/>
              </w:rPr>
              <w:t>Patients with</w:t>
            </w:r>
            <w:r w:rsidRPr="000C685C">
              <w:rPr>
                <w:rFonts w:cs="Tahoma"/>
                <w:szCs w:val="18"/>
              </w:rPr>
              <w:t xml:space="preserve"> </w:t>
            </w:r>
            <w:r>
              <w:rPr>
                <w:rFonts w:cs="Tahoma"/>
                <w:szCs w:val="18"/>
              </w:rPr>
              <w:t>I</w:t>
            </w:r>
            <w:r w:rsidRPr="000C685C">
              <w:rPr>
                <w:rFonts w:cs="Tahoma"/>
                <w:szCs w:val="18"/>
              </w:rPr>
              <w:t>PAH</w:t>
            </w:r>
            <w:r>
              <w:rPr>
                <w:rFonts w:cs="Tahoma"/>
                <w:szCs w:val="18"/>
              </w:rPr>
              <w:t>, HPAH, PAH-CTD or PAH-CHD</w:t>
            </w:r>
            <w:r w:rsidRPr="000C685C">
              <w:rPr>
                <w:rFonts w:cs="Tahoma"/>
                <w:szCs w:val="18"/>
              </w:rPr>
              <w:t xml:space="preserve"> </w:t>
            </w:r>
          </w:p>
          <w:p w:rsidR="001D0FDA" w:rsidRDefault="001D0FDA" w:rsidP="00480FDF">
            <w:pPr>
              <w:pStyle w:val="Tabletext"/>
              <w:numPr>
                <w:ilvl w:val="0"/>
                <w:numId w:val="54"/>
              </w:numPr>
              <w:ind w:left="239" w:hanging="144"/>
              <w:rPr>
                <w:rFonts w:cs="Tahoma"/>
                <w:szCs w:val="18"/>
              </w:rPr>
            </w:pPr>
            <w:r>
              <w:rPr>
                <w:rFonts w:cs="Tahoma"/>
                <w:szCs w:val="18"/>
              </w:rPr>
              <w:t xml:space="preserve">Patients who were </w:t>
            </w:r>
            <w:r w:rsidRPr="000C685C">
              <w:rPr>
                <w:rFonts w:cs="Tahoma"/>
                <w:szCs w:val="18"/>
              </w:rPr>
              <w:t xml:space="preserve">receiving treatment with </w:t>
            </w:r>
            <w:r>
              <w:rPr>
                <w:rFonts w:cs="Tahoma"/>
                <w:szCs w:val="18"/>
              </w:rPr>
              <w:t xml:space="preserve">bosentan </w:t>
            </w:r>
            <w:r w:rsidRPr="000C685C">
              <w:rPr>
                <w:rFonts w:cs="Tahoma"/>
                <w:szCs w:val="18"/>
              </w:rPr>
              <w:t>at a stable dose for ≥3 months</w:t>
            </w:r>
          </w:p>
          <w:p w:rsidR="001D0FDA" w:rsidRPr="000C685C" w:rsidRDefault="001D0FDA" w:rsidP="00480FDF">
            <w:pPr>
              <w:pStyle w:val="Tabletext"/>
              <w:numPr>
                <w:ilvl w:val="0"/>
                <w:numId w:val="54"/>
              </w:numPr>
              <w:ind w:left="239" w:hanging="144"/>
              <w:rPr>
                <w:rFonts w:cs="Tahoma"/>
                <w:szCs w:val="18"/>
              </w:rPr>
            </w:pPr>
            <w:r w:rsidRPr="000C685C">
              <w:rPr>
                <w:rFonts w:cs="Tahoma"/>
                <w:szCs w:val="18"/>
              </w:rPr>
              <w:t xml:space="preserve"> 6MWD 100</w:t>
            </w:r>
            <w:r>
              <w:rPr>
                <w:rFonts w:cs="Tahoma"/>
                <w:szCs w:val="18"/>
              </w:rPr>
              <w:t>-450m</w:t>
            </w:r>
          </w:p>
          <w:p w:rsidR="001D0FDA" w:rsidRPr="000C685C" w:rsidRDefault="001D0FDA" w:rsidP="001D0FDA">
            <w:pPr>
              <w:pStyle w:val="Tabletext"/>
              <w:rPr>
                <w:rFonts w:cs="Tahoma"/>
                <w:i/>
                <w:szCs w:val="18"/>
              </w:rPr>
            </w:pPr>
          </w:p>
          <w:p w:rsidR="001D0FDA" w:rsidRDefault="001D0FDA" w:rsidP="001D0FDA">
            <w:pPr>
              <w:pStyle w:val="Tabletext"/>
              <w:rPr>
                <w:rFonts w:cs="Tahoma"/>
                <w:i/>
                <w:szCs w:val="18"/>
              </w:rPr>
            </w:pPr>
            <w:r>
              <w:rPr>
                <w:rFonts w:cs="Tahoma"/>
                <w:i/>
                <w:szCs w:val="18"/>
              </w:rPr>
              <w:t>Exclusion criteria</w:t>
            </w:r>
          </w:p>
          <w:p w:rsidR="001D0FDA" w:rsidRPr="008D5CCF" w:rsidRDefault="001D0FDA" w:rsidP="00480FDF">
            <w:pPr>
              <w:pStyle w:val="Tabletext"/>
              <w:numPr>
                <w:ilvl w:val="0"/>
                <w:numId w:val="54"/>
              </w:numPr>
              <w:ind w:left="239" w:hanging="144"/>
              <w:rPr>
                <w:rFonts w:cs="Tahoma"/>
                <w:i/>
                <w:szCs w:val="18"/>
              </w:rPr>
            </w:pPr>
            <w:r>
              <w:rPr>
                <w:rFonts w:cs="Tahoma"/>
                <w:szCs w:val="18"/>
              </w:rPr>
              <w:t>C</w:t>
            </w:r>
            <w:r w:rsidRPr="000C685C">
              <w:rPr>
                <w:rFonts w:cs="Tahoma"/>
                <w:szCs w:val="18"/>
              </w:rPr>
              <w:t xml:space="preserve">hange of dose/class of standard background PAH therapy within 30 days </w:t>
            </w:r>
          </w:p>
          <w:p w:rsidR="001D0FDA" w:rsidRPr="008D5CCF" w:rsidRDefault="001D0FDA" w:rsidP="00480FDF">
            <w:pPr>
              <w:pStyle w:val="Tabletext"/>
              <w:numPr>
                <w:ilvl w:val="0"/>
                <w:numId w:val="54"/>
              </w:numPr>
              <w:ind w:left="239" w:hanging="144"/>
              <w:rPr>
                <w:rFonts w:cs="Tahoma"/>
                <w:i/>
                <w:szCs w:val="18"/>
              </w:rPr>
            </w:pPr>
            <w:r>
              <w:rPr>
                <w:rFonts w:cs="Tahoma"/>
                <w:szCs w:val="18"/>
              </w:rPr>
              <w:t xml:space="preserve">Current use of </w:t>
            </w:r>
            <w:r w:rsidRPr="000C685C">
              <w:rPr>
                <w:rFonts w:cs="Tahoma"/>
                <w:szCs w:val="18"/>
              </w:rPr>
              <w:t>c</w:t>
            </w:r>
            <w:r>
              <w:rPr>
                <w:rFonts w:cs="Tahoma"/>
                <w:szCs w:val="18"/>
              </w:rPr>
              <w:t>hronic PAH-specific therapy (eg</w:t>
            </w:r>
            <w:r w:rsidRPr="000C685C">
              <w:rPr>
                <w:rFonts w:cs="Tahoma"/>
                <w:szCs w:val="18"/>
              </w:rPr>
              <w:t xml:space="preserve"> prostacyclin, PDE5</w:t>
            </w:r>
            <w:r>
              <w:rPr>
                <w:rFonts w:cs="Tahoma"/>
                <w:szCs w:val="18"/>
              </w:rPr>
              <w:t>i, E</w:t>
            </w:r>
            <w:r w:rsidRPr="000C685C">
              <w:rPr>
                <w:rFonts w:cs="Tahoma"/>
                <w:szCs w:val="18"/>
              </w:rPr>
              <w:t>RA</w:t>
            </w:r>
            <w:r>
              <w:rPr>
                <w:rFonts w:cs="Tahoma"/>
                <w:szCs w:val="18"/>
              </w:rPr>
              <w:t xml:space="preserve"> other than bosentan)</w:t>
            </w:r>
          </w:p>
          <w:p w:rsidR="001D0FDA" w:rsidRPr="00883FC6" w:rsidRDefault="001D0FDA" w:rsidP="00480FDF">
            <w:pPr>
              <w:pStyle w:val="Tabletext"/>
              <w:numPr>
                <w:ilvl w:val="0"/>
                <w:numId w:val="54"/>
              </w:numPr>
              <w:ind w:left="239" w:hanging="144"/>
              <w:rPr>
                <w:rFonts w:cs="Tahoma"/>
                <w:i/>
                <w:szCs w:val="18"/>
              </w:rPr>
            </w:pPr>
            <w:r w:rsidRPr="000C685C">
              <w:rPr>
                <w:rFonts w:cs="Tahoma"/>
                <w:szCs w:val="18"/>
              </w:rPr>
              <w:t>Acutely decompensated heart failure within 30 days</w:t>
            </w:r>
          </w:p>
          <w:p w:rsidR="001D0FDA" w:rsidRPr="00883FC6" w:rsidRDefault="001D0FDA" w:rsidP="00480FDF">
            <w:pPr>
              <w:pStyle w:val="Tabletext"/>
              <w:numPr>
                <w:ilvl w:val="0"/>
                <w:numId w:val="54"/>
              </w:numPr>
              <w:ind w:left="239" w:hanging="144"/>
              <w:rPr>
                <w:rFonts w:cs="Tahoma"/>
                <w:i/>
                <w:szCs w:val="18"/>
              </w:rPr>
            </w:pPr>
            <w:r>
              <w:rPr>
                <w:rFonts w:cs="Tahoma"/>
                <w:szCs w:val="18"/>
              </w:rPr>
              <w:t>LVEF</w:t>
            </w:r>
            <w:r w:rsidRPr="000C685C">
              <w:rPr>
                <w:rFonts w:cs="Tahoma"/>
                <w:szCs w:val="18"/>
              </w:rPr>
              <w:t xml:space="preserve"> &lt;45%</w:t>
            </w:r>
          </w:p>
          <w:p w:rsidR="001D0FDA" w:rsidRPr="008D5CCF" w:rsidRDefault="001D0FDA" w:rsidP="00480FDF">
            <w:pPr>
              <w:pStyle w:val="Tabletext"/>
              <w:numPr>
                <w:ilvl w:val="0"/>
                <w:numId w:val="54"/>
              </w:numPr>
              <w:ind w:left="239" w:hanging="144"/>
              <w:rPr>
                <w:rFonts w:cs="Tahoma"/>
                <w:i/>
                <w:szCs w:val="18"/>
              </w:rPr>
            </w:pPr>
            <w:r>
              <w:rPr>
                <w:rFonts w:cs="Tahoma"/>
                <w:szCs w:val="18"/>
              </w:rPr>
              <w:t>H</w:t>
            </w:r>
            <w:r w:rsidRPr="000C685C">
              <w:rPr>
                <w:rFonts w:cs="Tahoma"/>
                <w:szCs w:val="18"/>
              </w:rPr>
              <w:t>istory of chronic</w:t>
            </w:r>
            <w:r>
              <w:rPr>
                <w:rFonts w:cs="Tahoma"/>
                <w:szCs w:val="18"/>
              </w:rPr>
              <w:t xml:space="preserve"> </w:t>
            </w:r>
            <w:r w:rsidRPr="000C685C">
              <w:rPr>
                <w:rFonts w:cs="Tahoma"/>
                <w:szCs w:val="18"/>
              </w:rPr>
              <w:t>restrictive lung disease</w:t>
            </w:r>
          </w:p>
        </w:tc>
        <w:tc>
          <w:tcPr>
            <w:tcW w:w="0" w:type="auto"/>
          </w:tcPr>
          <w:p w:rsidR="001D0FDA" w:rsidRDefault="001D0FDA" w:rsidP="001D0FDA">
            <w:pPr>
              <w:pStyle w:val="Tabletext"/>
            </w:pPr>
            <w:r>
              <w:t>N=103</w:t>
            </w:r>
          </w:p>
          <w:tbl>
            <w:tblPr>
              <w:tblStyle w:val="TableGrid"/>
              <w:tblW w:w="4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Caption w:val="Patient baseline characteristics in Trial Vizza 2017"/>
            </w:tblPr>
            <w:tblGrid>
              <w:gridCol w:w="2161"/>
              <w:gridCol w:w="1019"/>
              <w:gridCol w:w="1108"/>
            </w:tblGrid>
            <w:tr w:rsidR="001D0FDA" w:rsidTr="001D0FDA">
              <w:trPr>
                <w:cnfStyle w:val="100000000000" w:firstRow="1" w:lastRow="0" w:firstColumn="0" w:lastColumn="0" w:oddVBand="0" w:evenVBand="0" w:oddHBand="0" w:evenHBand="0" w:firstRowFirstColumn="0" w:firstRowLastColumn="0" w:lastRowFirstColumn="0" w:lastRowLastColumn="0"/>
              </w:trPr>
              <w:tc>
                <w:tcPr>
                  <w:tcW w:w="2161" w:type="dxa"/>
                  <w:shd w:val="clear" w:color="auto" w:fill="FFFFFF" w:themeFill="background1"/>
                </w:tcPr>
                <w:p w:rsidR="001D0FDA" w:rsidRPr="003C0DFB" w:rsidRDefault="001D0FDA" w:rsidP="00B5196D">
                  <w:pPr>
                    <w:pStyle w:val="Tabletext"/>
                    <w:framePr w:hSpace="180" w:wrap="around" w:vAnchor="text" w:hAnchor="text" w:y="1"/>
                  </w:pPr>
                </w:p>
              </w:tc>
              <w:tc>
                <w:tcPr>
                  <w:tcW w:w="1019" w:type="dxa"/>
                  <w:shd w:val="clear" w:color="auto" w:fill="FFFFFF" w:themeFill="background1"/>
                </w:tcPr>
                <w:p w:rsidR="001D0FDA" w:rsidRDefault="001D0FDA" w:rsidP="00B5196D">
                  <w:pPr>
                    <w:pStyle w:val="Tabletext"/>
                    <w:framePr w:hSpace="180" w:wrap="around" w:vAnchor="text" w:hAnchor="text" w:y="1"/>
                    <w:jc w:val="center"/>
                  </w:pPr>
                  <w:r w:rsidRPr="00C11B64">
                    <w:t xml:space="preserve">Sildenafil </w:t>
                  </w:r>
                </w:p>
                <w:p w:rsidR="001D0FDA" w:rsidRDefault="001D0FDA" w:rsidP="00B5196D">
                  <w:pPr>
                    <w:pStyle w:val="Tabletext"/>
                    <w:framePr w:hSpace="180" w:wrap="around" w:vAnchor="text" w:hAnchor="text" w:y="1"/>
                    <w:jc w:val="center"/>
                    <w:rPr>
                      <w:u w:val="single"/>
                    </w:rPr>
                  </w:pPr>
                  <w:r>
                    <w:t>(N=50)</w:t>
                  </w:r>
                </w:p>
              </w:tc>
              <w:tc>
                <w:tcPr>
                  <w:tcW w:w="1108" w:type="dxa"/>
                  <w:shd w:val="clear" w:color="auto" w:fill="FFFFFF" w:themeFill="background1"/>
                </w:tcPr>
                <w:p w:rsidR="001D0FDA" w:rsidRDefault="001D0FDA" w:rsidP="00B5196D">
                  <w:pPr>
                    <w:pStyle w:val="Tabletext"/>
                    <w:framePr w:hSpace="180" w:wrap="around" w:vAnchor="text" w:hAnchor="text" w:y="1"/>
                    <w:jc w:val="center"/>
                  </w:pPr>
                  <w:r>
                    <w:t>Placebo</w:t>
                  </w:r>
                </w:p>
                <w:p w:rsidR="001D0FDA" w:rsidRDefault="001D0FDA" w:rsidP="00B5196D">
                  <w:pPr>
                    <w:pStyle w:val="Tabletext"/>
                    <w:framePr w:hSpace="180" w:wrap="around" w:vAnchor="text" w:hAnchor="text" w:y="1"/>
                    <w:jc w:val="center"/>
                  </w:pPr>
                  <w:r>
                    <w:t>(N=53)</w:t>
                  </w:r>
                  <w:r w:rsidRPr="00C11B64">
                    <w:t xml:space="preserve"> </w:t>
                  </w:r>
                </w:p>
              </w:tc>
            </w:tr>
            <w:tr w:rsidR="001D0FDA" w:rsidRPr="001B3364" w:rsidTr="001D0FDA">
              <w:tc>
                <w:tcPr>
                  <w:tcW w:w="2161" w:type="dxa"/>
                  <w:shd w:val="clear" w:color="auto" w:fill="FFFFFF" w:themeFill="background1"/>
                </w:tcPr>
                <w:p w:rsidR="001D0FDA" w:rsidRDefault="001D0FDA" w:rsidP="00B5196D">
                  <w:pPr>
                    <w:pStyle w:val="Tabletext"/>
                    <w:framePr w:hSpace="180" w:wrap="around" w:vAnchor="text" w:hAnchor="text" w:y="1"/>
                  </w:pPr>
                  <w:r w:rsidRPr="00351FF5">
                    <w:rPr>
                      <w:rFonts w:cs="Tahoma"/>
                      <w:szCs w:val="18"/>
                    </w:rPr>
                    <w:t>Age, mean±SD (yrs)</w:t>
                  </w:r>
                </w:p>
              </w:tc>
              <w:tc>
                <w:tcPr>
                  <w:tcW w:w="1019" w:type="dxa"/>
                  <w:shd w:val="clear" w:color="auto" w:fill="FFFFFF" w:themeFill="background1"/>
                </w:tcPr>
                <w:p w:rsidR="001D0FDA" w:rsidRPr="00C5782C" w:rsidRDefault="001D0FDA" w:rsidP="00B5196D">
                  <w:pPr>
                    <w:pStyle w:val="Tabletext"/>
                    <w:framePr w:hSpace="180" w:wrap="around" w:vAnchor="text" w:hAnchor="text" w:y="1"/>
                    <w:jc w:val="center"/>
                  </w:pPr>
                  <w:r>
                    <w:t>55±15</w:t>
                  </w:r>
                </w:p>
              </w:tc>
              <w:tc>
                <w:tcPr>
                  <w:tcW w:w="1108" w:type="dxa"/>
                  <w:shd w:val="clear" w:color="auto" w:fill="FFFFFF" w:themeFill="background1"/>
                </w:tcPr>
                <w:p w:rsidR="001D0FDA" w:rsidRPr="00C5782C" w:rsidRDefault="001D0FDA" w:rsidP="00B5196D">
                  <w:pPr>
                    <w:pStyle w:val="Tabletext"/>
                    <w:framePr w:hSpace="180" w:wrap="around" w:vAnchor="text" w:hAnchor="text" w:y="1"/>
                    <w:jc w:val="center"/>
                  </w:pPr>
                  <w:r>
                    <w:t>57±14</w:t>
                  </w:r>
                </w:p>
              </w:tc>
            </w:tr>
            <w:tr w:rsidR="001D0FDA" w:rsidRPr="001B3364" w:rsidTr="001D0FDA">
              <w:tc>
                <w:tcPr>
                  <w:tcW w:w="2161"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rPr>
                      <w:rFonts w:cs="Tahoma"/>
                      <w:szCs w:val="18"/>
                    </w:rPr>
                  </w:pPr>
                  <w:r w:rsidRPr="00351FF5">
                    <w:rPr>
                      <w:rFonts w:cs="Tahoma"/>
                      <w:szCs w:val="18"/>
                    </w:rPr>
                    <w:t>Gender, femal</w:t>
                  </w:r>
                  <w:r>
                    <w:rPr>
                      <w:rFonts w:cs="Tahoma"/>
                      <w:szCs w:val="18"/>
                    </w:rPr>
                    <w:t>e</w:t>
                  </w:r>
                  <w:r w:rsidRPr="00351FF5">
                    <w:rPr>
                      <w:rFonts w:cs="Tahoma"/>
                      <w:szCs w:val="18"/>
                    </w:rPr>
                    <w:t>, n (%)</w:t>
                  </w:r>
                </w:p>
              </w:tc>
              <w:tc>
                <w:tcPr>
                  <w:tcW w:w="1019" w:type="dxa"/>
                  <w:tcBorders>
                    <w:bottom w:val="single" w:sz="4" w:space="0" w:color="BFBFBF" w:themeColor="background1" w:themeShade="BF"/>
                  </w:tcBorders>
                </w:tcPr>
                <w:p w:rsidR="001D0FDA" w:rsidRPr="00C5782C" w:rsidRDefault="001D0FDA" w:rsidP="00B5196D">
                  <w:pPr>
                    <w:pStyle w:val="Tabletext"/>
                    <w:framePr w:hSpace="180" w:wrap="around" w:vAnchor="text" w:hAnchor="text" w:y="1"/>
                    <w:jc w:val="center"/>
                  </w:pPr>
                  <w:r>
                    <w:t>37 (74%)</w:t>
                  </w:r>
                </w:p>
              </w:tc>
              <w:tc>
                <w:tcPr>
                  <w:tcW w:w="1108" w:type="dxa"/>
                  <w:tcBorders>
                    <w:bottom w:val="single" w:sz="4" w:space="0" w:color="BFBFBF" w:themeColor="background1" w:themeShade="BF"/>
                  </w:tcBorders>
                </w:tcPr>
                <w:p w:rsidR="001D0FDA" w:rsidRPr="00C5782C" w:rsidRDefault="001D0FDA" w:rsidP="00B5196D">
                  <w:pPr>
                    <w:pStyle w:val="Tabletext"/>
                    <w:framePr w:hSpace="180" w:wrap="around" w:vAnchor="text" w:hAnchor="text" w:y="1"/>
                    <w:jc w:val="center"/>
                  </w:pPr>
                  <w:r>
                    <w:t>41 (77%)</w:t>
                  </w:r>
                </w:p>
              </w:tc>
            </w:tr>
            <w:tr w:rsidR="001D0FDA" w:rsidRPr="001B3364" w:rsidTr="001D0FDA">
              <w:tc>
                <w:tcPr>
                  <w:tcW w:w="2161" w:type="dxa"/>
                  <w:tcBorders>
                    <w:bottom w:val="nil"/>
                  </w:tcBorders>
                  <w:shd w:val="clear" w:color="auto" w:fill="FFFFFF" w:themeFill="background1"/>
                </w:tcPr>
                <w:p w:rsidR="001D0FDA" w:rsidRPr="00C5782C" w:rsidRDefault="001D0FDA" w:rsidP="00B5196D">
                  <w:pPr>
                    <w:pStyle w:val="Tabletext"/>
                    <w:framePr w:hSpace="180" w:wrap="around" w:vAnchor="text" w:hAnchor="text" w:y="1"/>
                  </w:pPr>
                  <w:r>
                    <w:t>Aetiology</w:t>
                  </w:r>
                </w:p>
              </w:tc>
              <w:tc>
                <w:tcPr>
                  <w:tcW w:w="1019"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c>
                <w:tcPr>
                  <w:tcW w:w="1108"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r>
            <w:tr w:rsidR="001D0FDA" w:rsidRPr="001B3364" w:rsidTr="001D0FDA">
              <w:tc>
                <w:tcPr>
                  <w:tcW w:w="2161"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ind w:left="262"/>
                  </w:pPr>
                  <w:r w:rsidRPr="00C5782C">
                    <w:t>IPAH</w:t>
                  </w:r>
                  <w:r>
                    <w:t>/HPAH</w:t>
                  </w:r>
                  <w:r w:rsidRPr="00C5782C">
                    <w:t xml:space="preserve"> </w:t>
                  </w:r>
                </w:p>
              </w:tc>
              <w:tc>
                <w:tcPr>
                  <w:tcW w:w="1019"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35 (70%)</w:t>
                  </w:r>
                </w:p>
              </w:tc>
              <w:tc>
                <w:tcPr>
                  <w:tcW w:w="1108"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32 (60%)</w:t>
                  </w:r>
                </w:p>
              </w:tc>
            </w:tr>
            <w:tr w:rsidR="001D0FDA" w:rsidRPr="001B3364" w:rsidTr="001D0FDA">
              <w:tc>
                <w:tcPr>
                  <w:tcW w:w="2161"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ind w:left="262"/>
                  </w:pPr>
                  <w:r w:rsidRPr="00C5782C">
                    <w:t>PAH-CTD</w:t>
                  </w:r>
                </w:p>
              </w:tc>
              <w:tc>
                <w:tcPr>
                  <w:tcW w:w="1019"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15 (30%)</w:t>
                  </w:r>
                </w:p>
              </w:tc>
              <w:tc>
                <w:tcPr>
                  <w:tcW w:w="1108"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21 (40%)</w:t>
                  </w:r>
                </w:p>
              </w:tc>
            </w:tr>
            <w:tr w:rsidR="001D0FDA" w:rsidRPr="001B3364" w:rsidTr="001D0FDA">
              <w:tc>
                <w:tcPr>
                  <w:tcW w:w="2161" w:type="dxa"/>
                  <w:tcBorders>
                    <w:bottom w:val="nil"/>
                  </w:tcBorders>
                  <w:shd w:val="clear" w:color="auto" w:fill="FFFFFF" w:themeFill="background1"/>
                </w:tcPr>
                <w:p w:rsidR="001D0FDA" w:rsidRPr="00C5782C" w:rsidRDefault="001D0FDA" w:rsidP="00B5196D">
                  <w:pPr>
                    <w:pStyle w:val="Tabletext"/>
                    <w:framePr w:hSpace="180" w:wrap="around" w:vAnchor="text" w:hAnchor="text" w:y="1"/>
                  </w:pPr>
                  <w:r>
                    <w:t>WHO FC</w:t>
                  </w:r>
                </w:p>
              </w:tc>
              <w:tc>
                <w:tcPr>
                  <w:tcW w:w="1019"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c>
                <w:tcPr>
                  <w:tcW w:w="1108"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r>
            <w:tr w:rsidR="001D0FDA" w:rsidRPr="001B3364" w:rsidTr="001D0FDA">
              <w:tc>
                <w:tcPr>
                  <w:tcW w:w="2161" w:type="dxa"/>
                  <w:tcBorders>
                    <w:top w:val="nil"/>
                    <w:bottom w:val="nil"/>
                  </w:tcBorders>
                  <w:shd w:val="clear" w:color="auto" w:fill="FFFFFF" w:themeFill="background1"/>
                </w:tcPr>
                <w:p w:rsidR="001D0FDA" w:rsidRDefault="001D0FDA" w:rsidP="00B5196D">
                  <w:pPr>
                    <w:pStyle w:val="Tabletext"/>
                    <w:framePr w:hSpace="180" w:wrap="around" w:vAnchor="text" w:hAnchor="text" w:y="1"/>
                    <w:ind w:left="262"/>
                  </w:pPr>
                  <w:r>
                    <w:t>II</w:t>
                  </w:r>
                </w:p>
              </w:tc>
              <w:tc>
                <w:tcPr>
                  <w:tcW w:w="1019"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20 (40%)</w:t>
                  </w:r>
                </w:p>
              </w:tc>
              <w:tc>
                <w:tcPr>
                  <w:tcW w:w="1108"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15 (28%)</w:t>
                  </w:r>
                </w:p>
              </w:tc>
            </w:tr>
            <w:tr w:rsidR="001D0FDA" w:rsidRPr="001B3364" w:rsidTr="001D0FDA">
              <w:tc>
                <w:tcPr>
                  <w:tcW w:w="2161" w:type="dxa"/>
                  <w:tcBorders>
                    <w:top w:val="nil"/>
                    <w:bottom w:val="nil"/>
                  </w:tcBorders>
                  <w:shd w:val="clear" w:color="auto" w:fill="FFFFFF" w:themeFill="background1"/>
                </w:tcPr>
                <w:p w:rsidR="001D0FDA" w:rsidRDefault="001D0FDA" w:rsidP="00B5196D">
                  <w:pPr>
                    <w:pStyle w:val="Tabletext"/>
                    <w:framePr w:hSpace="180" w:wrap="around" w:vAnchor="text" w:hAnchor="text" w:y="1"/>
                    <w:ind w:left="262"/>
                  </w:pPr>
                  <w:r>
                    <w:t>III</w:t>
                  </w:r>
                </w:p>
              </w:tc>
              <w:tc>
                <w:tcPr>
                  <w:tcW w:w="1019"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29 (58%)</w:t>
                  </w:r>
                </w:p>
              </w:tc>
              <w:tc>
                <w:tcPr>
                  <w:tcW w:w="1108"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38 (72%)</w:t>
                  </w:r>
                </w:p>
              </w:tc>
            </w:tr>
            <w:tr w:rsidR="001D0FDA" w:rsidRPr="001B3364" w:rsidTr="001D0FDA">
              <w:tc>
                <w:tcPr>
                  <w:tcW w:w="2161" w:type="dxa"/>
                  <w:tcBorders>
                    <w:top w:val="nil"/>
                  </w:tcBorders>
                  <w:shd w:val="clear" w:color="auto" w:fill="FFFFFF" w:themeFill="background1"/>
                </w:tcPr>
                <w:p w:rsidR="001D0FDA" w:rsidRDefault="001D0FDA" w:rsidP="00B5196D">
                  <w:pPr>
                    <w:pStyle w:val="Tabletext"/>
                    <w:framePr w:hSpace="180" w:wrap="around" w:vAnchor="text" w:hAnchor="text" w:y="1"/>
                    <w:ind w:left="262"/>
                  </w:pPr>
                  <w:r>
                    <w:t>IV</w:t>
                  </w:r>
                </w:p>
              </w:tc>
              <w:tc>
                <w:tcPr>
                  <w:tcW w:w="1019" w:type="dxa"/>
                  <w:tcBorders>
                    <w:top w:val="nil"/>
                  </w:tcBorders>
                  <w:shd w:val="clear" w:color="auto" w:fill="FFFFFF" w:themeFill="background1"/>
                </w:tcPr>
                <w:p w:rsidR="001D0FDA" w:rsidRPr="00C5782C" w:rsidRDefault="001D0FDA" w:rsidP="00B5196D">
                  <w:pPr>
                    <w:pStyle w:val="Tabletext"/>
                    <w:framePr w:hSpace="180" w:wrap="around" w:vAnchor="text" w:hAnchor="text" w:y="1"/>
                    <w:jc w:val="center"/>
                  </w:pPr>
                  <w:r>
                    <w:t>1 (2%)</w:t>
                  </w:r>
                </w:p>
              </w:tc>
              <w:tc>
                <w:tcPr>
                  <w:tcW w:w="1108" w:type="dxa"/>
                  <w:tcBorders>
                    <w:top w:val="nil"/>
                  </w:tcBorders>
                  <w:shd w:val="clear" w:color="auto" w:fill="FFFFFF" w:themeFill="background1"/>
                </w:tcPr>
                <w:p w:rsidR="001D0FDA" w:rsidRPr="00C5782C" w:rsidRDefault="001D0FDA" w:rsidP="00B5196D">
                  <w:pPr>
                    <w:pStyle w:val="Tabletext"/>
                    <w:framePr w:hSpace="180" w:wrap="around" w:vAnchor="text" w:hAnchor="text" w:y="1"/>
                    <w:jc w:val="center"/>
                  </w:pPr>
                  <w:r>
                    <w:t>0 (0%)</w:t>
                  </w:r>
                </w:p>
              </w:tc>
            </w:tr>
            <w:tr w:rsidR="001D0FDA" w:rsidRPr="001B3364" w:rsidTr="001D0FDA">
              <w:tc>
                <w:tcPr>
                  <w:tcW w:w="2161" w:type="dxa"/>
                </w:tcPr>
                <w:p w:rsidR="001D0FDA" w:rsidRDefault="001D0FDA" w:rsidP="00B5196D">
                  <w:pPr>
                    <w:pStyle w:val="Tabletext"/>
                    <w:framePr w:hSpace="180" w:wrap="around" w:vAnchor="text" w:hAnchor="text" w:y="1"/>
                  </w:pPr>
                  <w:r>
                    <w:rPr>
                      <w:rFonts w:cs="Tahoma"/>
                      <w:szCs w:val="18"/>
                    </w:rPr>
                    <w:t>mPAP</w:t>
                  </w:r>
                  <w:r w:rsidRPr="00351FF5">
                    <w:rPr>
                      <w:rFonts w:cs="Tahoma"/>
                      <w:szCs w:val="18"/>
                    </w:rPr>
                    <w:t>, mean±SD (mmHg)</w:t>
                  </w:r>
                </w:p>
              </w:tc>
              <w:tc>
                <w:tcPr>
                  <w:tcW w:w="1019" w:type="dxa"/>
                  <w:shd w:val="clear" w:color="auto" w:fill="FFFFFF" w:themeFill="background1"/>
                  <w:vAlign w:val="center"/>
                </w:tcPr>
                <w:p w:rsidR="001D0FDA" w:rsidRPr="00C5782C" w:rsidRDefault="001D0FDA" w:rsidP="00B5196D">
                  <w:pPr>
                    <w:pStyle w:val="Tabletext"/>
                    <w:framePr w:hSpace="180" w:wrap="around" w:vAnchor="text" w:hAnchor="text" w:y="1"/>
                    <w:jc w:val="center"/>
                  </w:pPr>
                  <w:r>
                    <w:t>47±13</w:t>
                  </w:r>
                </w:p>
              </w:tc>
              <w:tc>
                <w:tcPr>
                  <w:tcW w:w="1108" w:type="dxa"/>
                  <w:shd w:val="clear" w:color="auto" w:fill="FFFFFF" w:themeFill="background1"/>
                  <w:vAlign w:val="center"/>
                </w:tcPr>
                <w:p w:rsidR="001D0FDA" w:rsidRPr="00C5782C" w:rsidRDefault="001D0FDA" w:rsidP="00B5196D">
                  <w:pPr>
                    <w:pStyle w:val="Tabletext"/>
                    <w:framePr w:hSpace="180" w:wrap="around" w:vAnchor="text" w:hAnchor="text" w:y="1"/>
                    <w:jc w:val="center"/>
                  </w:pPr>
                  <w:r>
                    <w:t>50±13</w:t>
                  </w:r>
                </w:p>
              </w:tc>
            </w:tr>
          </w:tbl>
          <w:p w:rsidR="001D0FDA" w:rsidRDefault="001D0FDA" w:rsidP="001D0FDA">
            <w:pPr>
              <w:pStyle w:val="Tabletext"/>
            </w:pPr>
          </w:p>
        </w:tc>
        <w:tc>
          <w:tcPr>
            <w:tcW w:w="811" w:type="pct"/>
          </w:tcPr>
          <w:p w:rsidR="001D0FDA" w:rsidRDefault="001D0FDA" w:rsidP="001D0FDA">
            <w:pPr>
              <w:pStyle w:val="Tabletext"/>
              <w:rPr>
                <w:i/>
              </w:rPr>
            </w:pPr>
            <w:r>
              <w:rPr>
                <w:i/>
              </w:rPr>
              <w:t>Intervention</w:t>
            </w:r>
          </w:p>
          <w:p w:rsidR="001D0FDA" w:rsidRDefault="001D0FDA" w:rsidP="001D0FDA">
            <w:pPr>
              <w:pStyle w:val="Tabletext"/>
            </w:pPr>
            <w:r>
              <w:t>Sildenafil: 20mg tid</w:t>
            </w:r>
          </w:p>
          <w:p w:rsidR="001D0FDA" w:rsidRDefault="001D0FDA" w:rsidP="001D0FDA">
            <w:pPr>
              <w:pStyle w:val="Tabletext"/>
            </w:pPr>
          </w:p>
          <w:p w:rsidR="001D0FDA" w:rsidRDefault="001D0FDA" w:rsidP="001D0FDA">
            <w:pPr>
              <w:pStyle w:val="Tabletext"/>
              <w:rPr>
                <w:i/>
              </w:rPr>
            </w:pPr>
            <w:r>
              <w:rPr>
                <w:i/>
              </w:rPr>
              <w:t>Comparator</w:t>
            </w:r>
          </w:p>
          <w:p w:rsidR="001D0FDA" w:rsidRDefault="001D0FDA" w:rsidP="001D0FDA">
            <w:pPr>
              <w:pStyle w:val="Tabletext"/>
            </w:pPr>
            <w:r>
              <w:t>Placebo</w:t>
            </w:r>
          </w:p>
          <w:p w:rsidR="001D0FDA" w:rsidRDefault="001D0FDA" w:rsidP="001D0FDA">
            <w:pPr>
              <w:pStyle w:val="Tabletext"/>
            </w:pPr>
          </w:p>
          <w:p w:rsidR="001D0FDA" w:rsidRDefault="001D0FDA" w:rsidP="001D0FDA">
            <w:pPr>
              <w:pStyle w:val="Tabletext"/>
              <w:rPr>
                <w:i/>
              </w:rPr>
            </w:pPr>
            <w:r>
              <w:rPr>
                <w:i/>
              </w:rPr>
              <w:t>Background therapy</w:t>
            </w:r>
          </w:p>
          <w:p w:rsidR="001D0FDA" w:rsidRPr="00E005E2" w:rsidRDefault="001D0FDA" w:rsidP="001D0FDA">
            <w:pPr>
              <w:pStyle w:val="Tabletext"/>
            </w:pPr>
            <w:r>
              <w:t>Bosentan (100%): 62.5-125mg bid</w:t>
            </w:r>
          </w:p>
        </w:tc>
        <w:tc>
          <w:tcPr>
            <w:tcW w:w="771" w:type="pct"/>
          </w:tcPr>
          <w:p w:rsidR="001D0FDA" w:rsidRPr="00EF6EEC" w:rsidRDefault="001D0FDA" w:rsidP="001D0FDA">
            <w:pPr>
              <w:pStyle w:val="Tabletext"/>
              <w:rPr>
                <w:rFonts w:cs="Tahoma"/>
                <w:i/>
                <w:szCs w:val="18"/>
              </w:rPr>
            </w:pPr>
            <w:r w:rsidRPr="00EF6EEC">
              <w:rPr>
                <w:rFonts w:cs="Tahoma"/>
                <w:i/>
                <w:szCs w:val="18"/>
              </w:rPr>
              <w:t>Effectiveness</w:t>
            </w:r>
          </w:p>
          <w:p w:rsidR="001D0FDA" w:rsidRPr="00EF6EEC" w:rsidRDefault="001D0FDA" w:rsidP="001D0FDA">
            <w:pPr>
              <w:pStyle w:val="Tabletext"/>
              <w:rPr>
                <w:rFonts w:cs="Tahoma"/>
                <w:szCs w:val="18"/>
              </w:rPr>
            </w:pPr>
            <w:r w:rsidRPr="00EF6EEC">
              <w:rPr>
                <w:rFonts w:cs="Tahoma"/>
                <w:szCs w:val="18"/>
              </w:rPr>
              <w:t>Primary:</w:t>
            </w:r>
          </w:p>
          <w:p w:rsidR="001D0FDA" w:rsidRDefault="001D0FDA" w:rsidP="00480FDF">
            <w:pPr>
              <w:pStyle w:val="Tabletext"/>
              <w:numPr>
                <w:ilvl w:val="0"/>
                <w:numId w:val="54"/>
              </w:numPr>
              <w:ind w:left="239" w:hanging="144"/>
              <w:rPr>
                <w:rFonts w:cs="Tahoma"/>
                <w:szCs w:val="18"/>
              </w:rPr>
            </w:pPr>
            <w:r w:rsidRPr="00E005E2">
              <w:rPr>
                <w:rFonts w:cs="Tahoma"/>
                <w:szCs w:val="18"/>
              </w:rPr>
              <w:t>Change in 6MWD</w:t>
            </w:r>
            <w:r>
              <w:rPr>
                <w:rFonts w:cs="Tahoma"/>
                <w:szCs w:val="18"/>
              </w:rPr>
              <w:t xml:space="preserve"> at Week 12</w:t>
            </w:r>
            <w:r>
              <w:rPr>
                <w:rFonts w:cs="Tahoma"/>
                <w:szCs w:val="18"/>
                <w:vertAlign w:val="superscript"/>
              </w:rPr>
              <w:t>c</w:t>
            </w:r>
          </w:p>
          <w:p w:rsidR="001D0FDA" w:rsidRPr="00E005E2" w:rsidRDefault="001D0FDA" w:rsidP="001D0FDA">
            <w:pPr>
              <w:pStyle w:val="Tabletext"/>
              <w:rPr>
                <w:rFonts w:cs="Tahoma"/>
                <w:szCs w:val="18"/>
              </w:rPr>
            </w:pPr>
            <w:r>
              <w:rPr>
                <w:rFonts w:cs="Tahoma"/>
                <w:szCs w:val="18"/>
              </w:rPr>
              <w:t>Secondary:</w:t>
            </w:r>
          </w:p>
          <w:p w:rsidR="001D0FDA" w:rsidRPr="00E005E2" w:rsidRDefault="001D0FDA" w:rsidP="00480FDF">
            <w:pPr>
              <w:pStyle w:val="Tabletext"/>
              <w:numPr>
                <w:ilvl w:val="0"/>
                <w:numId w:val="54"/>
              </w:numPr>
              <w:ind w:left="239" w:hanging="144"/>
              <w:rPr>
                <w:rFonts w:cs="Tahoma"/>
                <w:szCs w:val="18"/>
              </w:rPr>
            </w:pPr>
            <w:r w:rsidRPr="00E005E2">
              <w:rPr>
                <w:rFonts w:cs="Tahoma"/>
                <w:szCs w:val="18"/>
              </w:rPr>
              <w:t>Change in WHO FC</w:t>
            </w:r>
            <w:r>
              <w:rPr>
                <w:rFonts w:cs="Tahoma"/>
                <w:szCs w:val="18"/>
                <w:vertAlign w:val="superscript"/>
              </w:rPr>
              <w:t>c</w:t>
            </w:r>
          </w:p>
          <w:p w:rsidR="001D0FDA" w:rsidRDefault="001D0FDA" w:rsidP="00480FDF">
            <w:pPr>
              <w:pStyle w:val="Tabletext"/>
              <w:numPr>
                <w:ilvl w:val="0"/>
                <w:numId w:val="54"/>
              </w:numPr>
              <w:ind w:left="239" w:hanging="144"/>
              <w:rPr>
                <w:rFonts w:cs="Tahoma"/>
                <w:szCs w:val="18"/>
              </w:rPr>
            </w:pPr>
            <w:r w:rsidRPr="00E005E2">
              <w:rPr>
                <w:rFonts w:cs="Tahoma"/>
                <w:szCs w:val="18"/>
              </w:rPr>
              <w:t>Time to clinical worsening</w:t>
            </w:r>
            <w:r>
              <w:rPr>
                <w:rFonts w:cs="Tahoma"/>
                <w:szCs w:val="18"/>
                <w:vertAlign w:val="superscript"/>
              </w:rPr>
              <w:t>c</w:t>
            </w:r>
          </w:p>
          <w:p w:rsidR="001D0FDA" w:rsidRDefault="001D0FDA" w:rsidP="001D0FDA">
            <w:pPr>
              <w:pStyle w:val="Tabletext"/>
              <w:rPr>
                <w:rFonts w:cs="Tahoma"/>
                <w:szCs w:val="18"/>
              </w:rPr>
            </w:pPr>
            <w:r>
              <w:rPr>
                <w:rFonts w:cs="Tahoma"/>
                <w:szCs w:val="18"/>
              </w:rPr>
              <w:t>Others:</w:t>
            </w:r>
          </w:p>
          <w:p w:rsidR="001D0FDA" w:rsidRDefault="001D0FDA" w:rsidP="00480FDF">
            <w:pPr>
              <w:pStyle w:val="Tabletext"/>
              <w:numPr>
                <w:ilvl w:val="0"/>
                <w:numId w:val="54"/>
              </w:numPr>
              <w:ind w:left="239" w:hanging="144"/>
              <w:rPr>
                <w:rFonts w:cs="Tahoma"/>
                <w:szCs w:val="18"/>
              </w:rPr>
            </w:pPr>
            <w:r>
              <w:rPr>
                <w:rFonts w:cs="Tahoma"/>
                <w:szCs w:val="18"/>
              </w:rPr>
              <w:t>Mortality</w:t>
            </w:r>
            <w:r>
              <w:rPr>
                <w:rFonts w:cs="Tahoma"/>
                <w:szCs w:val="18"/>
                <w:vertAlign w:val="superscript"/>
              </w:rPr>
              <w:t>c</w:t>
            </w:r>
            <w:r w:rsidRPr="00EF6EEC">
              <w:rPr>
                <w:rFonts w:cs="Tahoma"/>
                <w:szCs w:val="18"/>
              </w:rPr>
              <w:t xml:space="preserve"> </w:t>
            </w:r>
          </w:p>
          <w:p w:rsidR="001D0FDA" w:rsidRDefault="001D0FDA" w:rsidP="00480FDF">
            <w:pPr>
              <w:pStyle w:val="Tabletext"/>
              <w:numPr>
                <w:ilvl w:val="0"/>
                <w:numId w:val="54"/>
              </w:numPr>
              <w:ind w:left="239" w:hanging="144"/>
              <w:rPr>
                <w:rFonts w:cs="Tahoma"/>
                <w:szCs w:val="18"/>
              </w:rPr>
            </w:pPr>
            <w:r>
              <w:rPr>
                <w:rFonts w:cs="Tahoma"/>
                <w:szCs w:val="18"/>
              </w:rPr>
              <w:t>Hospitalisation</w:t>
            </w:r>
            <w:r w:rsidR="00444DBE">
              <w:rPr>
                <w:rFonts w:cs="Tahoma"/>
                <w:szCs w:val="18"/>
              </w:rPr>
              <w:t xml:space="preserve"> due to PAH</w:t>
            </w:r>
            <w:r>
              <w:rPr>
                <w:rFonts w:cs="Tahoma"/>
                <w:szCs w:val="18"/>
                <w:vertAlign w:val="superscript"/>
              </w:rPr>
              <w:t>c</w:t>
            </w:r>
          </w:p>
          <w:p w:rsidR="001D0FDA" w:rsidRPr="00EF6EEC" w:rsidRDefault="001D0FDA" w:rsidP="001D0FDA">
            <w:pPr>
              <w:pStyle w:val="Tabletext"/>
              <w:ind w:left="239" w:firstLine="720"/>
              <w:rPr>
                <w:rFonts w:cs="Tahoma"/>
                <w:szCs w:val="18"/>
              </w:rPr>
            </w:pPr>
          </w:p>
          <w:p w:rsidR="001D0FDA" w:rsidRPr="00EF6EEC" w:rsidRDefault="001D0FDA" w:rsidP="001D0FDA">
            <w:pPr>
              <w:pStyle w:val="Tabletext"/>
              <w:rPr>
                <w:rFonts w:cs="Tahoma"/>
                <w:i/>
                <w:szCs w:val="18"/>
              </w:rPr>
            </w:pPr>
            <w:r w:rsidRPr="00EF6EEC">
              <w:rPr>
                <w:rFonts w:cs="Tahoma"/>
                <w:i/>
                <w:szCs w:val="18"/>
              </w:rPr>
              <w:t>Safety</w:t>
            </w:r>
          </w:p>
          <w:p w:rsidR="001D0FDA" w:rsidRPr="00723AC5" w:rsidRDefault="001D0FDA" w:rsidP="00480FDF">
            <w:pPr>
              <w:pStyle w:val="Tabletext"/>
              <w:numPr>
                <w:ilvl w:val="0"/>
                <w:numId w:val="54"/>
              </w:numPr>
              <w:ind w:left="239" w:hanging="144"/>
              <w:rPr>
                <w:rFonts w:cs="Tahoma"/>
                <w:i/>
                <w:szCs w:val="18"/>
              </w:rPr>
            </w:pPr>
            <w:r w:rsidRPr="00EF6EEC">
              <w:rPr>
                <w:rFonts w:cs="Tahoma"/>
                <w:szCs w:val="18"/>
              </w:rPr>
              <w:t>Adverse events</w:t>
            </w:r>
            <w:r>
              <w:rPr>
                <w:rFonts w:cs="Tahoma"/>
                <w:szCs w:val="18"/>
                <w:vertAlign w:val="superscript"/>
              </w:rPr>
              <w:t>c</w:t>
            </w:r>
          </w:p>
        </w:tc>
      </w:tr>
      <w:tr w:rsidR="001D0FDA" w:rsidRPr="00204000" w:rsidTr="001D0FDA">
        <w:tc>
          <w:tcPr>
            <w:tcW w:w="531"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lang w:eastAsia="en-US"/>
              </w:rPr>
            </w:pPr>
            <w:r w:rsidRPr="00D53F84">
              <w:rPr>
                <w:rFonts w:eastAsia="Times New Roman"/>
                <w:lang w:eastAsia="en-US"/>
              </w:rPr>
              <w:lastRenderedPageBreak/>
              <w:t>Zhuang 2014</w:t>
            </w:r>
            <w:r w:rsidR="001D34EE" w:rsidRPr="001A1C44">
              <w:rPr>
                <w:rFonts w:eastAsia="Times New Roman"/>
                <w:noProof/>
                <w:vertAlign w:val="superscript"/>
                <w:lang w:eastAsia="en-US"/>
              </w:rPr>
              <w:t>50</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2011-2013</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China</w:t>
            </w:r>
          </w:p>
        </w:tc>
        <w:tc>
          <w:tcPr>
            <w:tcW w:w="476"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 xml:space="preserve">RCT, DB </w:t>
            </w:r>
          </w:p>
          <w:p w:rsidR="001D0FDA" w:rsidRDefault="001D0FDA" w:rsidP="001D0FDA">
            <w:pPr>
              <w:pStyle w:val="Tabletext"/>
              <w:ind w:right="-28"/>
              <w:rPr>
                <w:rFonts w:eastAsia="Times New Roman"/>
                <w:snapToGrid w:val="0"/>
                <w:lang w:eastAsia="en-US"/>
              </w:rPr>
            </w:pPr>
            <w:r>
              <w:rPr>
                <w:rFonts w:eastAsia="Times New Roman"/>
                <w:snapToGrid w:val="0"/>
                <w:lang w:eastAsia="en-US"/>
              </w:rPr>
              <w:t>Level II evidence</w:t>
            </w:r>
          </w:p>
          <w:p w:rsidR="001D0FDA" w:rsidRPr="00D53F84" w:rsidRDefault="001D0FDA" w:rsidP="001D0FDA">
            <w:pPr>
              <w:pStyle w:val="Tabletext"/>
              <w:ind w:right="-28"/>
              <w:rPr>
                <w:rFonts w:eastAsia="Times New Roman"/>
                <w:snapToGrid w:val="0"/>
                <w:lang w:eastAsia="en-US"/>
              </w:rPr>
            </w:pPr>
            <w:r>
              <w:rPr>
                <w:rFonts w:eastAsia="Times New Roman"/>
                <w:snapToGrid w:val="0"/>
                <w:lang w:eastAsia="en-US"/>
              </w:rPr>
              <w:t xml:space="preserve">Follow-up: </w:t>
            </w:r>
            <w:r w:rsidRPr="00D53F84">
              <w:rPr>
                <w:rFonts w:eastAsia="Times New Roman"/>
                <w:snapToGrid w:val="0"/>
                <w:lang w:eastAsia="en-US"/>
              </w:rPr>
              <w:t>16 weeks</w:t>
            </w:r>
          </w:p>
          <w:p w:rsidR="001D0FDA" w:rsidRPr="00D53F84" w:rsidRDefault="001D0FDA" w:rsidP="001D0FDA">
            <w:pPr>
              <w:pStyle w:val="Tabletext"/>
              <w:ind w:right="-28"/>
              <w:rPr>
                <w:rFonts w:eastAsia="Times New Roman"/>
                <w:snapToGrid w:val="0"/>
                <w:lang w:eastAsia="en-US"/>
              </w:rPr>
            </w:pPr>
            <w:r>
              <w:rPr>
                <w:rFonts w:eastAsia="Times New Roman"/>
                <w:snapToGrid w:val="0"/>
                <w:lang w:eastAsia="en-US"/>
              </w:rPr>
              <w:t>Risk of bias: l</w:t>
            </w:r>
            <w:r w:rsidRPr="00D53F84">
              <w:rPr>
                <w:rFonts w:eastAsia="Times New Roman"/>
                <w:snapToGrid w:val="0"/>
                <w:lang w:eastAsia="en-US"/>
              </w:rPr>
              <w:t>ow-to-moderate</w:t>
            </w:r>
          </w:p>
        </w:tc>
        <w:tc>
          <w:tcPr>
            <w:tcW w:w="772" w:type="pct"/>
          </w:tcPr>
          <w:p w:rsidR="001D0FDA" w:rsidRDefault="001D0FDA" w:rsidP="001D0FDA">
            <w:pPr>
              <w:pStyle w:val="Tabletext"/>
              <w:rPr>
                <w:rFonts w:cs="Tahoma"/>
                <w:i/>
                <w:szCs w:val="18"/>
              </w:rPr>
            </w:pPr>
            <w:r w:rsidRPr="00087357">
              <w:rPr>
                <w:rFonts w:cs="Tahoma"/>
                <w:i/>
                <w:szCs w:val="18"/>
              </w:rPr>
              <w:t>Inclusion criteria</w:t>
            </w:r>
          </w:p>
          <w:p w:rsidR="001D0FDA" w:rsidRDefault="001D0FDA" w:rsidP="00480FDF">
            <w:pPr>
              <w:pStyle w:val="Tabletext"/>
              <w:numPr>
                <w:ilvl w:val="0"/>
                <w:numId w:val="54"/>
              </w:numPr>
              <w:ind w:left="239" w:hanging="144"/>
              <w:rPr>
                <w:rFonts w:cs="Tahoma"/>
                <w:szCs w:val="18"/>
              </w:rPr>
            </w:pPr>
            <w:r>
              <w:rPr>
                <w:rFonts w:cs="Tahoma"/>
                <w:szCs w:val="18"/>
              </w:rPr>
              <w:t xml:space="preserve">Age of </w:t>
            </w:r>
            <w:r w:rsidRPr="00087357">
              <w:rPr>
                <w:rFonts w:cs="Tahoma"/>
                <w:szCs w:val="18"/>
              </w:rPr>
              <w:t>18</w:t>
            </w:r>
            <w:r>
              <w:rPr>
                <w:rFonts w:cs="Tahoma"/>
                <w:szCs w:val="18"/>
              </w:rPr>
              <w:t>-</w:t>
            </w:r>
            <w:r w:rsidRPr="00087357">
              <w:rPr>
                <w:rFonts w:cs="Tahoma"/>
                <w:szCs w:val="18"/>
              </w:rPr>
              <w:t xml:space="preserve">70 years </w:t>
            </w:r>
          </w:p>
          <w:p w:rsidR="001D0FDA" w:rsidRDefault="001D0FDA" w:rsidP="00480FDF">
            <w:pPr>
              <w:pStyle w:val="Tabletext"/>
              <w:numPr>
                <w:ilvl w:val="0"/>
                <w:numId w:val="54"/>
              </w:numPr>
              <w:ind w:left="239" w:hanging="144"/>
              <w:rPr>
                <w:rFonts w:cs="Tahoma"/>
                <w:szCs w:val="18"/>
              </w:rPr>
            </w:pPr>
            <w:r>
              <w:rPr>
                <w:rFonts w:cs="Tahoma"/>
                <w:szCs w:val="18"/>
              </w:rPr>
              <w:t xml:space="preserve">Patients </w:t>
            </w:r>
            <w:r w:rsidRPr="00087357">
              <w:rPr>
                <w:rFonts w:cs="Tahoma"/>
                <w:szCs w:val="18"/>
              </w:rPr>
              <w:t xml:space="preserve">with symptomatic </w:t>
            </w:r>
            <w:r>
              <w:rPr>
                <w:rFonts w:cs="Tahoma"/>
                <w:szCs w:val="18"/>
              </w:rPr>
              <w:t>I</w:t>
            </w:r>
            <w:r w:rsidRPr="00087357">
              <w:rPr>
                <w:rFonts w:cs="Tahoma"/>
                <w:szCs w:val="18"/>
              </w:rPr>
              <w:t>PAH</w:t>
            </w:r>
            <w:r>
              <w:rPr>
                <w:rFonts w:cs="Tahoma"/>
                <w:szCs w:val="18"/>
              </w:rPr>
              <w:t>, HPAH, PAH-CTD, PAH-CHD (repaired) or PAH-DT</w:t>
            </w:r>
          </w:p>
          <w:p w:rsidR="001D0FDA" w:rsidRDefault="001D0FDA" w:rsidP="00480FDF">
            <w:pPr>
              <w:pStyle w:val="Tabletext"/>
              <w:numPr>
                <w:ilvl w:val="0"/>
                <w:numId w:val="54"/>
              </w:numPr>
              <w:ind w:left="239" w:hanging="144"/>
              <w:rPr>
                <w:rFonts w:cs="Tahoma"/>
                <w:szCs w:val="18"/>
              </w:rPr>
            </w:pPr>
            <w:r>
              <w:rPr>
                <w:rFonts w:cs="Tahoma"/>
                <w:szCs w:val="18"/>
              </w:rPr>
              <w:t>Patients with a stable WHO FC for ≥1 month</w:t>
            </w:r>
          </w:p>
          <w:p w:rsidR="001D0FDA" w:rsidRDefault="001D0FDA" w:rsidP="00480FDF">
            <w:pPr>
              <w:pStyle w:val="Tabletext"/>
              <w:numPr>
                <w:ilvl w:val="0"/>
                <w:numId w:val="54"/>
              </w:numPr>
              <w:ind w:left="239" w:hanging="144"/>
              <w:rPr>
                <w:rFonts w:cs="Tahoma"/>
                <w:szCs w:val="18"/>
              </w:rPr>
            </w:pPr>
            <w:r>
              <w:rPr>
                <w:rFonts w:cs="Tahoma"/>
                <w:szCs w:val="18"/>
              </w:rPr>
              <w:t xml:space="preserve">Patients who had </w:t>
            </w:r>
            <w:r w:rsidRPr="00087357">
              <w:rPr>
                <w:rFonts w:cs="Tahoma"/>
                <w:szCs w:val="18"/>
              </w:rPr>
              <w:t>receiv</w:t>
            </w:r>
            <w:r>
              <w:rPr>
                <w:rFonts w:cs="Tahoma"/>
                <w:szCs w:val="18"/>
              </w:rPr>
              <w:t>ed</w:t>
            </w:r>
            <w:r w:rsidRPr="00087357">
              <w:rPr>
                <w:rFonts w:cs="Tahoma"/>
                <w:szCs w:val="18"/>
              </w:rPr>
              <w:t xml:space="preserve"> ambrisentan for </w:t>
            </w:r>
            <w:r>
              <w:rPr>
                <w:rFonts w:cs="Tahoma"/>
                <w:szCs w:val="18"/>
              </w:rPr>
              <w:t>≥</w:t>
            </w:r>
            <w:r w:rsidRPr="00087357">
              <w:rPr>
                <w:rFonts w:cs="Tahoma"/>
                <w:szCs w:val="18"/>
              </w:rPr>
              <w:t xml:space="preserve">4 months </w:t>
            </w:r>
          </w:p>
          <w:p w:rsidR="001D0FDA" w:rsidRPr="00087357" w:rsidRDefault="001D0FDA" w:rsidP="00480FDF">
            <w:pPr>
              <w:pStyle w:val="Tabletext"/>
              <w:numPr>
                <w:ilvl w:val="0"/>
                <w:numId w:val="54"/>
              </w:numPr>
              <w:ind w:left="239" w:hanging="144"/>
              <w:rPr>
                <w:rFonts w:cs="Tahoma"/>
                <w:szCs w:val="18"/>
              </w:rPr>
            </w:pPr>
            <w:r w:rsidRPr="00087357">
              <w:rPr>
                <w:rFonts w:cs="Tahoma"/>
                <w:szCs w:val="18"/>
              </w:rPr>
              <w:t>6MWD 150</w:t>
            </w:r>
            <w:r>
              <w:rPr>
                <w:rFonts w:cs="Tahoma"/>
                <w:szCs w:val="18"/>
              </w:rPr>
              <w:t>-</w:t>
            </w:r>
            <w:r w:rsidRPr="00087357">
              <w:rPr>
                <w:rFonts w:cs="Tahoma"/>
                <w:szCs w:val="18"/>
              </w:rPr>
              <w:t>400m</w:t>
            </w:r>
          </w:p>
          <w:p w:rsidR="001D0FDA" w:rsidRPr="00087357" w:rsidRDefault="001D0FDA" w:rsidP="001D0FDA">
            <w:pPr>
              <w:pStyle w:val="Tabletext"/>
              <w:rPr>
                <w:rFonts w:cs="Tahoma"/>
                <w:i/>
                <w:szCs w:val="18"/>
              </w:rPr>
            </w:pPr>
          </w:p>
          <w:p w:rsidR="001D0FDA" w:rsidRDefault="001D0FDA" w:rsidP="001D0FDA">
            <w:pPr>
              <w:pStyle w:val="Tabletext"/>
              <w:rPr>
                <w:rFonts w:cs="Tahoma"/>
                <w:i/>
                <w:szCs w:val="18"/>
              </w:rPr>
            </w:pPr>
            <w:r w:rsidRPr="00087357">
              <w:rPr>
                <w:rFonts w:cs="Tahoma"/>
                <w:i/>
                <w:szCs w:val="18"/>
              </w:rPr>
              <w:t>Exclusion criteria</w:t>
            </w:r>
          </w:p>
          <w:p w:rsidR="005E60A7" w:rsidRPr="005E60A7" w:rsidRDefault="001D0FDA" w:rsidP="005E60A7">
            <w:pPr>
              <w:pStyle w:val="Tabletext"/>
              <w:numPr>
                <w:ilvl w:val="0"/>
                <w:numId w:val="54"/>
              </w:numPr>
              <w:ind w:left="239" w:hanging="144"/>
              <w:rPr>
                <w:rFonts w:cs="Tahoma"/>
                <w:i/>
                <w:szCs w:val="18"/>
              </w:rPr>
            </w:pPr>
            <w:r w:rsidRPr="00087357">
              <w:rPr>
                <w:rFonts w:cs="Tahoma"/>
                <w:szCs w:val="18"/>
              </w:rPr>
              <w:t>Patients with portal hypertension, left-sided or unrepaired CHD, or substantial obstructive or restrictive lung disease</w:t>
            </w:r>
          </w:p>
        </w:tc>
        <w:tc>
          <w:tcPr>
            <w:tcW w:w="0" w:type="auto"/>
          </w:tcPr>
          <w:p w:rsidR="001D0FDA" w:rsidRDefault="001D0FDA" w:rsidP="001D0FDA">
            <w:pPr>
              <w:pStyle w:val="Tabletext"/>
            </w:pPr>
            <w:r>
              <w:t>N=124</w:t>
            </w:r>
          </w:p>
          <w:tbl>
            <w:tblPr>
              <w:tblStyle w:val="TableGrid"/>
              <w:tblW w:w="4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Caption w:val="Patient baseline characteristics in Trial Zhuang 2014"/>
            </w:tblPr>
            <w:tblGrid>
              <w:gridCol w:w="2161"/>
              <w:gridCol w:w="1019"/>
              <w:gridCol w:w="1108"/>
            </w:tblGrid>
            <w:tr w:rsidR="001D0FDA" w:rsidTr="001D0FDA">
              <w:trPr>
                <w:cnfStyle w:val="100000000000" w:firstRow="1" w:lastRow="0" w:firstColumn="0" w:lastColumn="0" w:oddVBand="0" w:evenVBand="0" w:oddHBand="0" w:evenHBand="0" w:firstRowFirstColumn="0" w:firstRowLastColumn="0" w:lastRowFirstColumn="0" w:lastRowLastColumn="0"/>
              </w:trPr>
              <w:tc>
                <w:tcPr>
                  <w:tcW w:w="2161" w:type="dxa"/>
                  <w:shd w:val="clear" w:color="auto" w:fill="FFFFFF" w:themeFill="background1"/>
                </w:tcPr>
                <w:p w:rsidR="001D0FDA" w:rsidRPr="003C0DFB" w:rsidRDefault="001D0FDA" w:rsidP="00B5196D">
                  <w:pPr>
                    <w:pStyle w:val="Tabletext"/>
                    <w:framePr w:hSpace="180" w:wrap="around" w:vAnchor="text" w:hAnchor="text" w:y="1"/>
                  </w:pPr>
                </w:p>
              </w:tc>
              <w:tc>
                <w:tcPr>
                  <w:tcW w:w="1019" w:type="dxa"/>
                  <w:shd w:val="clear" w:color="auto" w:fill="FFFFFF" w:themeFill="background1"/>
                </w:tcPr>
                <w:p w:rsidR="001D0FDA" w:rsidRDefault="001D0FDA" w:rsidP="00B5196D">
                  <w:pPr>
                    <w:pStyle w:val="Tabletext"/>
                    <w:framePr w:hSpace="180" w:wrap="around" w:vAnchor="text" w:hAnchor="text" w:y="1"/>
                    <w:jc w:val="center"/>
                  </w:pPr>
                  <w:r>
                    <w:t>Tadalafil</w:t>
                  </w:r>
                  <w:r w:rsidRPr="00C11B64">
                    <w:t xml:space="preserve"> </w:t>
                  </w:r>
                </w:p>
                <w:p w:rsidR="001D0FDA" w:rsidRDefault="001D0FDA" w:rsidP="00B5196D">
                  <w:pPr>
                    <w:pStyle w:val="Tabletext"/>
                    <w:framePr w:hSpace="180" w:wrap="around" w:vAnchor="text" w:hAnchor="text" w:y="1"/>
                    <w:jc w:val="center"/>
                    <w:rPr>
                      <w:u w:val="single"/>
                    </w:rPr>
                  </w:pPr>
                  <w:r>
                    <w:t>(N=60)</w:t>
                  </w:r>
                </w:p>
              </w:tc>
              <w:tc>
                <w:tcPr>
                  <w:tcW w:w="1108" w:type="dxa"/>
                  <w:shd w:val="clear" w:color="auto" w:fill="FFFFFF" w:themeFill="background1"/>
                </w:tcPr>
                <w:p w:rsidR="001D0FDA" w:rsidRDefault="001D0FDA" w:rsidP="00B5196D">
                  <w:pPr>
                    <w:pStyle w:val="Tabletext"/>
                    <w:framePr w:hSpace="180" w:wrap="around" w:vAnchor="text" w:hAnchor="text" w:y="1"/>
                    <w:jc w:val="center"/>
                  </w:pPr>
                  <w:r>
                    <w:t>Placebo</w:t>
                  </w:r>
                </w:p>
                <w:p w:rsidR="001D0FDA" w:rsidRDefault="001D0FDA" w:rsidP="00B5196D">
                  <w:pPr>
                    <w:pStyle w:val="Tabletext"/>
                    <w:framePr w:hSpace="180" w:wrap="around" w:vAnchor="text" w:hAnchor="text" w:y="1"/>
                    <w:jc w:val="center"/>
                  </w:pPr>
                  <w:r>
                    <w:t>(N=64)</w:t>
                  </w:r>
                  <w:r w:rsidRPr="00C11B64">
                    <w:t xml:space="preserve"> </w:t>
                  </w:r>
                </w:p>
              </w:tc>
            </w:tr>
            <w:tr w:rsidR="001D0FDA" w:rsidRPr="001B3364" w:rsidTr="001D0FDA">
              <w:tc>
                <w:tcPr>
                  <w:tcW w:w="2161" w:type="dxa"/>
                  <w:shd w:val="clear" w:color="auto" w:fill="FFFFFF" w:themeFill="background1"/>
                </w:tcPr>
                <w:p w:rsidR="001D0FDA" w:rsidRDefault="001D0FDA" w:rsidP="00B5196D">
                  <w:pPr>
                    <w:pStyle w:val="Tabletext"/>
                    <w:framePr w:hSpace="180" w:wrap="around" w:vAnchor="text" w:hAnchor="text" w:y="1"/>
                  </w:pPr>
                  <w:r w:rsidRPr="00351FF5">
                    <w:rPr>
                      <w:rFonts w:cs="Tahoma"/>
                      <w:szCs w:val="18"/>
                    </w:rPr>
                    <w:t>Age, mean±SD (yrs)</w:t>
                  </w:r>
                </w:p>
              </w:tc>
              <w:tc>
                <w:tcPr>
                  <w:tcW w:w="1019" w:type="dxa"/>
                  <w:shd w:val="clear" w:color="auto" w:fill="FFFFFF" w:themeFill="background1"/>
                </w:tcPr>
                <w:p w:rsidR="001D0FDA" w:rsidRPr="00C5782C" w:rsidRDefault="001D0FDA" w:rsidP="00B5196D">
                  <w:pPr>
                    <w:pStyle w:val="Tabletext"/>
                    <w:framePr w:hSpace="180" w:wrap="around" w:vAnchor="text" w:hAnchor="text" w:y="1"/>
                    <w:jc w:val="center"/>
                  </w:pPr>
                  <w:r>
                    <w:t>52±12</w:t>
                  </w:r>
                </w:p>
              </w:tc>
              <w:tc>
                <w:tcPr>
                  <w:tcW w:w="1108" w:type="dxa"/>
                  <w:shd w:val="clear" w:color="auto" w:fill="FFFFFF" w:themeFill="background1"/>
                </w:tcPr>
                <w:p w:rsidR="001D0FDA" w:rsidRPr="00C5782C" w:rsidRDefault="001D0FDA" w:rsidP="00B5196D">
                  <w:pPr>
                    <w:pStyle w:val="Tabletext"/>
                    <w:framePr w:hSpace="180" w:wrap="around" w:vAnchor="text" w:hAnchor="text" w:y="1"/>
                    <w:jc w:val="center"/>
                  </w:pPr>
                  <w:r>
                    <w:t>51±14</w:t>
                  </w:r>
                </w:p>
              </w:tc>
            </w:tr>
            <w:tr w:rsidR="001D0FDA" w:rsidRPr="001B3364" w:rsidTr="001D0FDA">
              <w:tc>
                <w:tcPr>
                  <w:tcW w:w="2161"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rPr>
                      <w:rFonts w:cs="Tahoma"/>
                      <w:szCs w:val="18"/>
                    </w:rPr>
                  </w:pPr>
                  <w:r w:rsidRPr="00351FF5">
                    <w:rPr>
                      <w:rFonts w:cs="Tahoma"/>
                      <w:szCs w:val="18"/>
                    </w:rPr>
                    <w:t>Gender, femal</w:t>
                  </w:r>
                  <w:r>
                    <w:rPr>
                      <w:rFonts w:cs="Tahoma"/>
                      <w:szCs w:val="18"/>
                    </w:rPr>
                    <w:t>e</w:t>
                  </w:r>
                  <w:r w:rsidRPr="00351FF5">
                    <w:rPr>
                      <w:rFonts w:cs="Tahoma"/>
                      <w:szCs w:val="18"/>
                    </w:rPr>
                    <w:t>, n (%)</w:t>
                  </w:r>
                </w:p>
              </w:tc>
              <w:tc>
                <w:tcPr>
                  <w:tcW w:w="1019" w:type="dxa"/>
                  <w:tcBorders>
                    <w:bottom w:val="single" w:sz="4" w:space="0" w:color="BFBFBF" w:themeColor="background1" w:themeShade="BF"/>
                  </w:tcBorders>
                </w:tcPr>
                <w:p w:rsidR="001D0FDA" w:rsidRPr="00C5782C" w:rsidRDefault="001D0FDA" w:rsidP="00B5196D">
                  <w:pPr>
                    <w:pStyle w:val="Tabletext"/>
                    <w:framePr w:hSpace="180" w:wrap="around" w:vAnchor="text" w:hAnchor="text" w:y="1"/>
                    <w:jc w:val="center"/>
                  </w:pPr>
                  <w:r>
                    <w:t>46 (77%)</w:t>
                  </w:r>
                </w:p>
              </w:tc>
              <w:tc>
                <w:tcPr>
                  <w:tcW w:w="1108" w:type="dxa"/>
                  <w:tcBorders>
                    <w:bottom w:val="single" w:sz="4" w:space="0" w:color="BFBFBF" w:themeColor="background1" w:themeShade="BF"/>
                  </w:tcBorders>
                </w:tcPr>
                <w:p w:rsidR="001D0FDA" w:rsidRPr="00C5782C" w:rsidRDefault="001D0FDA" w:rsidP="00B5196D">
                  <w:pPr>
                    <w:pStyle w:val="Tabletext"/>
                    <w:framePr w:hSpace="180" w:wrap="around" w:vAnchor="text" w:hAnchor="text" w:y="1"/>
                    <w:jc w:val="center"/>
                  </w:pPr>
                  <w:r>
                    <w:t>52 (81%)</w:t>
                  </w:r>
                </w:p>
              </w:tc>
            </w:tr>
            <w:tr w:rsidR="001D0FDA" w:rsidRPr="001B3364" w:rsidTr="001D0FDA">
              <w:tc>
                <w:tcPr>
                  <w:tcW w:w="2161" w:type="dxa"/>
                  <w:tcBorders>
                    <w:bottom w:val="nil"/>
                  </w:tcBorders>
                  <w:shd w:val="clear" w:color="auto" w:fill="FFFFFF" w:themeFill="background1"/>
                </w:tcPr>
                <w:p w:rsidR="001D0FDA" w:rsidRPr="00C5782C" w:rsidRDefault="001D0FDA" w:rsidP="00B5196D">
                  <w:pPr>
                    <w:pStyle w:val="Tabletext"/>
                    <w:framePr w:hSpace="180" w:wrap="around" w:vAnchor="text" w:hAnchor="text" w:y="1"/>
                  </w:pPr>
                  <w:r>
                    <w:t>Aetiology</w:t>
                  </w:r>
                </w:p>
              </w:tc>
              <w:tc>
                <w:tcPr>
                  <w:tcW w:w="1019"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c>
                <w:tcPr>
                  <w:tcW w:w="1108"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r>
            <w:tr w:rsidR="001D0FDA" w:rsidRPr="001B3364" w:rsidTr="001D0FDA">
              <w:tc>
                <w:tcPr>
                  <w:tcW w:w="2161"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ind w:left="262"/>
                  </w:pPr>
                  <w:r w:rsidRPr="00C5782C">
                    <w:t>IPAH</w:t>
                  </w:r>
                  <w:r>
                    <w:t>/HPAH</w:t>
                  </w:r>
                  <w:r w:rsidRPr="00C5782C">
                    <w:t xml:space="preserve"> </w:t>
                  </w:r>
                </w:p>
              </w:tc>
              <w:tc>
                <w:tcPr>
                  <w:tcW w:w="1019"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41 (68%)</w:t>
                  </w:r>
                </w:p>
              </w:tc>
              <w:tc>
                <w:tcPr>
                  <w:tcW w:w="1108"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37 (58%)</w:t>
                  </w:r>
                </w:p>
              </w:tc>
            </w:tr>
            <w:tr w:rsidR="001D0FDA" w:rsidRPr="001B3364" w:rsidTr="001D0FDA">
              <w:tc>
                <w:tcPr>
                  <w:tcW w:w="2161"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ind w:left="262"/>
                  </w:pPr>
                  <w:r w:rsidRPr="00C5782C">
                    <w:t>PAH-CTD</w:t>
                  </w:r>
                </w:p>
              </w:tc>
              <w:tc>
                <w:tcPr>
                  <w:tcW w:w="1019"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13 (22%)</w:t>
                  </w:r>
                </w:p>
              </w:tc>
              <w:tc>
                <w:tcPr>
                  <w:tcW w:w="1108"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15 (23%)</w:t>
                  </w:r>
                </w:p>
              </w:tc>
            </w:tr>
            <w:tr w:rsidR="001D0FDA" w:rsidRPr="001B3364" w:rsidTr="001D0FDA">
              <w:tc>
                <w:tcPr>
                  <w:tcW w:w="2161"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ind w:left="262"/>
                  </w:pPr>
                  <w:r w:rsidRPr="00C5782C">
                    <w:t>PAH-CHD</w:t>
                  </w:r>
                </w:p>
              </w:tc>
              <w:tc>
                <w:tcPr>
                  <w:tcW w:w="1019"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2 (3%)</w:t>
                  </w:r>
                </w:p>
              </w:tc>
              <w:tc>
                <w:tcPr>
                  <w:tcW w:w="1108"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5 (8%)</w:t>
                  </w:r>
                </w:p>
              </w:tc>
            </w:tr>
            <w:tr w:rsidR="001D0FDA" w:rsidRPr="001B3364" w:rsidTr="001D0FDA">
              <w:tc>
                <w:tcPr>
                  <w:tcW w:w="2161"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ind w:left="262"/>
                  </w:pPr>
                  <w:r>
                    <w:t>PAH-DT</w:t>
                  </w:r>
                </w:p>
              </w:tc>
              <w:tc>
                <w:tcPr>
                  <w:tcW w:w="1019"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4 (7%)</w:t>
                  </w:r>
                </w:p>
              </w:tc>
              <w:tc>
                <w:tcPr>
                  <w:tcW w:w="1108" w:type="dxa"/>
                  <w:tcBorders>
                    <w:top w:val="nil"/>
                    <w:bottom w:val="nil"/>
                  </w:tcBorders>
                  <w:shd w:val="clear" w:color="auto" w:fill="FFFFFF" w:themeFill="background1"/>
                </w:tcPr>
                <w:p w:rsidR="001D0FDA" w:rsidRDefault="001D0FDA" w:rsidP="00B5196D">
                  <w:pPr>
                    <w:pStyle w:val="Tabletext"/>
                    <w:framePr w:hSpace="180" w:wrap="around" w:vAnchor="text" w:hAnchor="text" w:y="1"/>
                    <w:jc w:val="center"/>
                  </w:pPr>
                  <w:r>
                    <w:t>7 (11%)</w:t>
                  </w:r>
                </w:p>
              </w:tc>
            </w:tr>
            <w:tr w:rsidR="001D0FDA" w:rsidRPr="001B3364" w:rsidTr="001D0FDA">
              <w:tc>
                <w:tcPr>
                  <w:tcW w:w="2161" w:type="dxa"/>
                  <w:tcBorders>
                    <w:bottom w:val="nil"/>
                  </w:tcBorders>
                  <w:shd w:val="clear" w:color="auto" w:fill="FFFFFF" w:themeFill="background1"/>
                </w:tcPr>
                <w:p w:rsidR="001D0FDA" w:rsidRPr="00C5782C" w:rsidRDefault="001D0FDA" w:rsidP="00B5196D">
                  <w:pPr>
                    <w:pStyle w:val="Tabletext"/>
                    <w:framePr w:hSpace="180" w:wrap="around" w:vAnchor="text" w:hAnchor="text" w:y="1"/>
                  </w:pPr>
                  <w:r>
                    <w:t>WHO FC</w:t>
                  </w:r>
                </w:p>
              </w:tc>
              <w:tc>
                <w:tcPr>
                  <w:tcW w:w="1019"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c>
                <w:tcPr>
                  <w:tcW w:w="1108"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r>
            <w:tr w:rsidR="001D0FDA" w:rsidRPr="001B3364" w:rsidTr="001D0FDA">
              <w:tc>
                <w:tcPr>
                  <w:tcW w:w="2161" w:type="dxa"/>
                  <w:tcBorders>
                    <w:top w:val="nil"/>
                    <w:bottom w:val="nil"/>
                  </w:tcBorders>
                  <w:shd w:val="clear" w:color="auto" w:fill="FFFFFF" w:themeFill="background1"/>
                </w:tcPr>
                <w:p w:rsidR="001D0FDA" w:rsidRDefault="001D0FDA" w:rsidP="00B5196D">
                  <w:pPr>
                    <w:pStyle w:val="Tabletext"/>
                    <w:framePr w:hSpace="180" w:wrap="around" w:vAnchor="text" w:hAnchor="text" w:y="1"/>
                    <w:ind w:left="262"/>
                  </w:pPr>
                  <w:r>
                    <w:t>II</w:t>
                  </w:r>
                </w:p>
              </w:tc>
              <w:tc>
                <w:tcPr>
                  <w:tcW w:w="1019"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36 (60%)</w:t>
                  </w:r>
                </w:p>
              </w:tc>
              <w:tc>
                <w:tcPr>
                  <w:tcW w:w="1108"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35 (5</w:t>
                  </w:r>
                  <w:r w:rsidR="001F432E">
                    <w:t>5</w:t>
                  </w:r>
                  <w:r>
                    <w:t>%)</w:t>
                  </w:r>
                </w:p>
              </w:tc>
            </w:tr>
            <w:tr w:rsidR="001D0FDA" w:rsidRPr="001B3364" w:rsidTr="001D0FDA">
              <w:tc>
                <w:tcPr>
                  <w:tcW w:w="2161" w:type="dxa"/>
                  <w:tcBorders>
                    <w:top w:val="nil"/>
                    <w:bottom w:val="nil"/>
                  </w:tcBorders>
                  <w:shd w:val="clear" w:color="auto" w:fill="FFFFFF" w:themeFill="background1"/>
                </w:tcPr>
                <w:p w:rsidR="001D0FDA" w:rsidRDefault="001D0FDA" w:rsidP="00B5196D">
                  <w:pPr>
                    <w:pStyle w:val="Tabletext"/>
                    <w:framePr w:hSpace="180" w:wrap="around" w:vAnchor="text" w:hAnchor="text" w:y="1"/>
                    <w:ind w:left="262"/>
                  </w:pPr>
                  <w:r>
                    <w:t>III</w:t>
                  </w:r>
                </w:p>
              </w:tc>
              <w:tc>
                <w:tcPr>
                  <w:tcW w:w="1019"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21 (35%)</w:t>
                  </w:r>
                </w:p>
              </w:tc>
              <w:tc>
                <w:tcPr>
                  <w:tcW w:w="1108"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jc w:val="center"/>
                  </w:pPr>
                  <w:r>
                    <w:t>27 (42%)</w:t>
                  </w:r>
                </w:p>
              </w:tc>
            </w:tr>
            <w:tr w:rsidR="001D0FDA" w:rsidRPr="001B3364" w:rsidTr="001D0FDA">
              <w:tc>
                <w:tcPr>
                  <w:tcW w:w="2161" w:type="dxa"/>
                  <w:tcBorders>
                    <w:top w:val="nil"/>
                  </w:tcBorders>
                  <w:shd w:val="clear" w:color="auto" w:fill="FFFFFF" w:themeFill="background1"/>
                </w:tcPr>
                <w:p w:rsidR="001D0FDA" w:rsidRDefault="001D0FDA" w:rsidP="00B5196D">
                  <w:pPr>
                    <w:pStyle w:val="Tabletext"/>
                    <w:framePr w:hSpace="180" w:wrap="around" w:vAnchor="text" w:hAnchor="text" w:y="1"/>
                    <w:ind w:left="262"/>
                  </w:pPr>
                  <w:r>
                    <w:t>IV</w:t>
                  </w:r>
                </w:p>
              </w:tc>
              <w:tc>
                <w:tcPr>
                  <w:tcW w:w="1019" w:type="dxa"/>
                  <w:tcBorders>
                    <w:top w:val="nil"/>
                  </w:tcBorders>
                  <w:shd w:val="clear" w:color="auto" w:fill="FFFFFF" w:themeFill="background1"/>
                </w:tcPr>
                <w:p w:rsidR="001D0FDA" w:rsidRPr="00C5782C" w:rsidRDefault="001D0FDA" w:rsidP="00B5196D">
                  <w:pPr>
                    <w:pStyle w:val="Tabletext"/>
                    <w:framePr w:hSpace="180" w:wrap="around" w:vAnchor="text" w:hAnchor="text" w:y="1"/>
                    <w:jc w:val="center"/>
                  </w:pPr>
                  <w:r>
                    <w:t>3 (5%)</w:t>
                  </w:r>
                </w:p>
              </w:tc>
              <w:tc>
                <w:tcPr>
                  <w:tcW w:w="1108" w:type="dxa"/>
                  <w:tcBorders>
                    <w:top w:val="nil"/>
                  </w:tcBorders>
                  <w:shd w:val="clear" w:color="auto" w:fill="FFFFFF" w:themeFill="background1"/>
                </w:tcPr>
                <w:p w:rsidR="001D0FDA" w:rsidRPr="00C5782C" w:rsidRDefault="001D0FDA" w:rsidP="00B5196D">
                  <w:pPr>
                    <w:pStyle w:val="Tabletext"/>
                    <w:framePr w:hSpace="180" w:wrap="around" w:vAnchor="text" w:hAnchor="text" w:y="1"/>
                    <w:jc w:val="center"/>
                  </w:pPr>
                  <w:r>
                    <w:t>2 (3%)</w:t>
                  </w:r>
                </w:p>
              </w:tc>
            </w:tr>
            <w:tr w:rsidR="001D0FDA" w:rsidRPr="001B3364" w:rsidTr="001D0FDA">
              <w:tc>
                <w:tcPr>
                  <w:tcW w:w="2161" w:type="dxa"/>
                </w:tcPr>
                <w:p w:rsidR="001D0FDA" w:rsidRDefault="001D0FDA" w:rsidP="00B5196D">
                  <w:pPr>
                    <w:pStyle w:val="Tabletext"/>
                    <w:framePr w:hSpace="180" w:wrap="around" w:vAnchor="text" w:hAnchor="text" w:y="1"/>
                  </w:pPr>
                  <w:r>
                    <w:rPr>
                      <w:rFonts w:cs="Tahoma"/>
                      <w:szCs w:val="18"/>
                    </w:rPr>
                    <w:t>mPAP</w:t>
                  </w:r>
                  <w:r w:rsidRPr="00351FF5">
                    <w:rPr>
                      <w:rFonts w:cs="Tahoma"/>
                      <w:szCs w:val="18"/>
                    </w:rPr>
                    <w:t>, mean±SD (mmHg)</w:t>
                  </w:r>
                </w:p>
              </w:tc>
              <w:tc>
                <w:tcPr>
                  <w:tcW w:w="1019" w:type="dxa"/>
                  <w:shd w:val="clear" w:color="auto" w:fill="FFFFFF" w:themeFill="background1"/>
                  <w:vAlign w:val="center"/>
                </w:tcPr>
                <w:p w:rsidR="001D0FDA" w:rsidRPr="00C5782C" w:rsidRDefault="001D0FDA" w:rsidP="00B5196D">
                  <w:pPr>
                    <w:pStyle w:val="Tabletext"/>
                    <w:framePr w:hSpace="180" w:wrap="around" w:vAnchor="text" w:hAnchor="text" w:y="1"/>
                    <w:jc w:val="center"/>
                  </w:pPr>
                  <w:r>
                    <w:t>50±12</w:t>
                  </w:r>
                </w:p>
              </w:tc>
              <w:tc>
                <w:tcPr>
                  <w:tcW w:w="1108" w:type="dxa"/>
                  <w:shd w:val="clear" w:color="auto" w:fill="FFFFFF" w:themeFill="background1"/>
                  <w:vAlign w:val="center"/>
                </w:tcPr>
                <w:p w:rsidR="001D0FDA" w:rsidRPr="00C5782C" w:rsidRDefault="001D0FDA" w:rsidP="00B5196D">
                  <w:pPr>
                    <w:pStyle w:val="Tabletext"/>
                    <w:framePr w:hSpace="180" w:wrap="around" w:vAnchor="text" w:hAnchor="text" w:y="1"/>
                    <w:jc w:val="center"/>
                  </w:pPr>
                  <w:r>
                    <w:t>53±9</w:t>
                  </w:r>
                </w:p>
              </w:tc>
            </w:tr>
            <w:tr w:rsidR="001D0FDA" w:rsidRPr="001B3364" w:rsidTr="001D0FDA">
              <w:tc>
                <w:tcPr>
                  <w:tcW w:w="2161" w:type="dxa"/>
                </w:tcPr>
                <w:p w:rsidR="001D0FDA" w:rsidRDefault="001D0FDA" w:rsidP="00B5196D">
                  <w:pPr>
                    <w:pStyle w:val="Tabletext"/>
                    <w:framePr w:hSpace="180" w:wrap="around" w:vAnchor="text" w:hAnchor="text" w:y="1"/>
                  </w:pPr>
                  <w:r>
                    <w:rPr>
                      <w:rFonts w:cs="Tahoma"/>
                      <w:szCs w:val="18"/>
                    </w:rPr>
                    <w:t>PVR, mean±SD (dyn*s*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019" w:type="dxa"/>
                  <w:shd w:val="clear" w:color="auto" w:fill="FFFFFF" w:themeFill="background1"/>
                  <w:vAlign w:val="center"/>
                </w:tcPr>
                <w:p w:rsidR="001D0FDA" w:rsidRDefault="001D0FDA" w:rsidP="00B5196D">
                  <w:pPr>
                    <w:pStyle w:val="Tabletext"/>
                    <w:framePr w:hSpace="180" w:wrap="around" w:vAnchor="text" w:hAnchor="text" w:y="1"/>
                    <w:jc w:val="center"/>
                  </w:pPr>
                  <w:r>
                    <w:t>837±389</w:t>
                  </w:r>
                </w:p>
              </w:tc>
              <w:tc>
                <w:tcPr>
                  <w:tcW w:w="1108" w:type="dxa"/>
                  <w:shd w:val="clear" w:color="auto" w:fill="FFFFFF" w:themeFill="background1"/>
                  <w:vAlign w:val="center"/>
                </w:tcPr>
                <w:p w:rsidR="001D0FDA" w:rsidRDefault="001D0FDA" w:rsidP="00B5196D">
                  <w:pPr>
                    <w:pStyle w:val="Tabletext"/>
                    <w:framePr w:hSpace="180" w:wrap="around" w:vAnchor="text" w:hAnchor="text" w:y="1"/>
                    <w:jc w:val="center"/>
                  </w:pPr>
                  <w:r>
                    <w:t>843±423</w:t>
                  </w:r>
                </w:p>
              </w:tc>
            </w:tr>
          </w:tbl>
          <w:p w:rsidR="001D0FDA" w:rsidRDefault="001D0FDA" w:rsidP="001D0FDA">
            <w:pPr>
              <w:pStyle w:val="Tabletext"/>
            </w:pPr>
          </w:p>
        </w:tc>
        <w:tc>
          <w:tcPr>
            <w:tcW w:w="811" w:type="pct"/>
          </w:tcPr>
          <w:p w:rsidR="001D0FDA" w:rsidRDefault="001D0FDA" w:rsidP="001D0FDA">
            <w:pPr>
              <w:pStyle w:val="Tabletext"/>
              <w:rPr>
                <w:i/>
              </w:rPr>
            </w:pPr>
            <w:r>
              <w:rPr>
                <w:i/>
              </w:rPr>
              <w:t>Intervention</w:t>
            </w:r>
          </w:p>
          <w:p w:rsidR="001D0FDA" w:rsidRDefault="001D0FDA" w:rsidP="001D0FDA">
            <w:pPr>
              <w:pStyle w:val="Tabletext"/>
            </w:pPr>
            <w:r>
              <w:t>Tadalafil 40mg od</w:t>
            </w:r>
          </w:p>
          <w:p w:rsidR="001D0FDA" w:rsidRDefault="001D0FDA" w:rsidP="001D0FDA">
            <w:pPr>
              <w:pStyle w:val="Tabletext"/>
            </w:pPr>
          </w:p>
          <w:p w:rsidR="001D0FDA" w:rsidRDefault="001D0FDA" w:rsidP="001D0FDA">
            <w:pPr>
              <w:pStyle w:val="Tabletext"/>
              <w:rPr>
                <w:i/>
              </w:rPr>
            </w:pPr>
            <w:r>
              <w:rPr>
                <w:i/>
              </w:rPr>
              <w:t xml:space="preserve">Comparator </w:t>
            </w:r>
          </w:p>
          <w:p w:rsidR="001D0FDA" w:rsidRDefault="001D0FDA" w:rsidP="001D0FDA">
            <w:pPr>
              <w:pStyle w:val="Tabletext"/>
            </w:pPr>
            <w:r>
              <w:t>Placebo</w:t>
            </w:r>
          </w:p>
          <w:p w:rsidR="001D0FDA" w:rsidRDefault="001D0FDA" w:rsidP="001D0FDA">
            <w:pPr>
              <w:pStyle w:val="Tabletext"/>
            </w:pPr>
          </w:p>
          <w:p w:rsidR="001D0FDA" w:rsidRDefault="001D0FDA" w:rsidP="001D0FDA">
            <w:pPr>
              <w:pStyle w:val="Tabletext"/>
              <w:rPr>
                <w:i/>
              </w:rPr>
            </w:pPr>
            <w:r>
              <w:rPr>
                <w:i/>
              </w:rPr>
              <w:t>Background therapy</w:t>
            </w:r>
          </w:p>
          <w:p w:rsidR="001D0FDA" w:rsidRPr="0043129C" w:rsidRDefault="001D0FDA" w:rsidP="001D0FDA">
            <w:pPr>
              <w:pStyle w:val="Tabletext"/>
            </w:pPr>
            <w:r>
              <w:t>Ambrisentan (100%): 10mg od</w:t>
            </w:r>
          </w:p>
        </w:tc>
        <w:tc>
          <w:tcPr>
            <w:tcW w:w="771" w:type="pct"/>
          </w:tcPr>
          <w:p w:rsidR="001D0FDA" w:rsidRPr="00EF6EEC" w:rsidRDefault="001D0FDA" w:rsidP="001D0FDA">
            <w:pPr>
              <w:pStyle w:val="Tabletext"/>
              <w:rPr>
                <w:rFonts w:cs="Tahoma"/>
                <w:i/>
                <w:szCs w:val="18"/>
              </w:rPr>
            </w:pPr>
            <w:r w:rsidRPr="00EF6EEC">
              <w:rPr>
                <w:rFonts w:cs="Tahoma"/>
                <w:i/>
                <w:szCs w:val="18"/>
              </w:rPr>
              <w:t>Effectiveness</w:t>
            </w:r>
          </w:p>
          <w:p w:rsidR="001D0FDA" w:rsidRPr="0043129C" w:rsidRDefault="001D0FDA" w:rsidP="00480FDF">
            <w:pPr>
              <w:pStyle w:val="Tabletext"/>
              <w:numPr>
                <w:ilvl w:val="0"/>
                <w:numId w:val="54"/>
              </w:numPr>
              <w:ind w:left="239" w:hanging="144"/>
              <w:rPr>
                <w:rFonts w:cs="Tahoma"/>
                <w:szCs w:val="18"/>
              </w:rPr>
            </w:pPr>
            <w:r w:rsidRPr="0043129C">
              <w:rPr>
                <w:rFonts w:cs="Tahoma"/>
                <w:szCs w:val="18"/>
              </w:rPr>
              <w:t>Change in 6MWD</w:t>
            </w:r>
            <w:r w:rsidRPr="0043129C">
              <w:rPr>
                <w:rFonts w:cs="Tahoma"/>
                <w:szCs w:val="18"/>
                <w:vertAlign w:val="superscript"/>
              </w:rPr>
              <w:t>c</w:t>
            </w:r>
          </w:p>
          <w:p w:rsidR="001D0FDA" w:rsidRPr="0043129C" w:rsidRDefault="001D0FDA" w:rsidP="00480FDF">
            <w:pPr>
              <w:pStyle w:val="Tabletext"/>
              <w:numPr>
                <w:ilvl w:val="0"/>
                <w:numId w:val="54"/>
              </w:numPr>
              <w:ind w:left="239" w:hanging="144"/>
              <w:rPr>
                <w:rFonts w:cs="Tahoma"/>
                <w:szCs w:val="18"/>
              </w:rPr>
            </w:pPr>
            <w:r w:rsidRPr="0043129C">
              <w:rPr>
                <w:rFonts w:cs="Tahoma"/>
                <w:szCs w:val="18"/>
              </w:rPr>
              <w:t>Change in WHO FC</w:t>
            </w:r>
            <w:r w:rsidRPr="0043129C">
              <w:rPr>
                <w:rFonts w:cs="Tahoma"/>
                <w:szCs w:val="18"/>
                <w:vertAlign w:val="superscript"/>
              </w:rPr>
              <w:t>c</w:t>
            </w:r>
          </w:p>
          <w:p w:rsidR="001D0FDA" w:rsidRPr="0043129C" w:rsidRDefault="001D0FDA" w:rsidP="00480FDF">
            <w:pPr>
              <w:pStyle w:val="Tabletext"/>
              <w:numPr>
                <w:ilvl w:val="0"/>
                <w:numId w:val="54"/>
              </w:numPr>
              <w:ind w:left="239" w:hanging="144"/>
              <w:rPr>
                <w:rFonts w:cs="Tahoma"/>
                <w:i/>
                <w:szCs w:val="18"/>
              </w:rPr>
            </w:pPr>
            <w:r w:rsidRPr="0043129C">
              <w:rPr>
                <w:rFonts w:cs="Tahoma"/>
                <w:szCs w:val="18"/>
              </w:rPr>
              <w:t>Clinical worsening</w:t>
            </w:r>
            <w:r w:rsidRPr="0043129C">
              <w:rPr>
                <w:rFonts w:cs="Tahoma"/>
                <w:szCs w:val="18"/>
                <w:vertAlign w:val="superscript"/>
              </w:rPr>
              <w:t>c</w:t>
            </w:r>
          </w:p>
          <w:p w:rsidR="001D0FDA" w:rsidRPr="0043129C" w:rsidRDefault="001D0FDA" w:rsidP="00480FDF">
            <w:pPr>
              <w:pStyle w:val="Tabletext"/>
              <w:numPr>
                <w:ilvl w:val="0"/>
                <w:numId w:val="54"/>
              </w:numPr>
              <w:ind w:left="239" w:hanging="144"/>
              <w:rPr>
                <w:rFonts w:cs="Tahoma"/>
                <w:i/>
                <w:szCs w:val="18"/>
              </w:rPr>
            </w:pPr>
            <w:r>
              <w:rPr>
                <w:rFonts w:cs="Tahoma"/>
                <w:szCs w:val="18"/>
              </w:rPr>
              <w:t>Change in mPAP and PVR</w:t>
            </w:r>
            <w:r w:rsidRPr="0043129C">
              <w:rPr>
                <w:rFonts w:cs="Tahoma"/>
                <w:szCs w:val="18"/>
                <w:vertAlign w:val="superscript"/>
              </w:rPr>
              <w:t>c</w:t>
            </w:r>
          </w:p>
          <w:p w:rsidR="001D0FDA" w:rsidRPr="0043129C" w:rsidRDefault="001D0FDA" w:rsidP="00480FDF">
            <w:pPr>
              <w:pStyle w:val="Tabletext"/>
              <w:numPr>
                <w:ilvl w:val="0"/>
                <w:numId w:val="54"/>
              </w:numPr>
              <w:ind w:left="239" w:hanging="144"/>
              <w:rPr>
                <w:rFonts w:cs="Tahoma"/>
                <w:i/>
                <w:szCs w:val="18"/>
              </w:rPr>
            </w:pPr>
            <w:r>
              <w:rPr>
                <w:rFonts w:cs="Tahoma"/>
                <w:szCs w:val="18"/>
              </w:rPr>
              <w:t>Mortality</w:t>
            </w:r>
            <w:r w:rsidRPr="0043129C">
              <w:rPr>
                <w:rFonts w:cs="Tahoma"/>
                <w:szCs w:val="18"/>
                <w:vertAlign w:val="superscript"/>
              </w:rPr>
              <w:t>c</w:t>
            </w:r>
          </w:p>
          <w:p w:rsidR="001D0FDA" w:rsidRPr="0043129C" w:rsidRDefault="001D0FDA" w:rsidP="00480FDF">
            <w:pPr>
              <w:pStyle w:val="Tabletext"/>
              <w:numPr>
                <w:ilvl w:val="0"/>
                <w:numId w:val="54"/>
              </w:numPr>
              <w:ind w:left="239" w:hanging="144"/>
              <w:rPr>
                <w:rFonts w:cs="Tahoma"/>
                <w:i/>
                <w:szCs w:val="18"/>
              </w:rPr>
            </w:pPr>
            <w:r>
              <w:rPr>
                <w:rFonts w:cs="Tahoma"/>
                <w:szCs w:val="18"/>
              </w:rPr>
              <w:t>Hospitalisation</w:t>
            </w:r>
            <w:r w:rsidR="00395E32">
              <w:rPr>
                <w:rFonts w:cs="Tahoma"/>
                <w:szCs w:val="18"/>
              </w:rPr>
              <w:t xml:space="preserve"> due to PAH</w:t>
            </w:r>
            <w:r w:rsidRPr="0043129C">
              <w:rPr>
                <w:rFonts w:cs="Tahoma"/>
                <w:szCs w:val="18"/>
                <w:vertAlign w:val="superscript"/>
              </w:rPr>
              <w:t>c</w:t>
            </w:r>
          </w:p>
          <w:p w:rsidR="001D0FDA" w:rsidRPr="00EF6EEC" w:rsidRDefault="001D0FDA" w:rsidP="001D0FDA">
            <w:pPr>
              <w:pStyle w:val="Tabletext"/>
              <w:ind w:left="239" w:firstLine="720"/>
              <w:rPr>
                <w:rFonts w:cs="Tahoma"/>
                <w:szCs w:val="18"/>
              </w:rPr>
            </w:pPr>
          </w:p>
          <w:p w:rsidR="001D0FDA" w:rsidRPr="00EF6EEC" w:rsidRDefault="001D0FDA" w:rsidP="001D0FDA">
            <w:pPr>
              <w:pStyle w:val="Tabletext"/>
              <w:rPr>
                <w:rFonts w:cs="Tahoma"/>
                <w:i/>
                <w:szCs w:val="18"/>
              </w:rPr>
            </w:pPr>
            <w:r>
              <w:rPr>
                <w:rFonts w:cs="Tahoma"/>
                <w:i/>
                <w:szCs w:val="18"/>
              </w:rPr>
              <w:t>Safety</w:t>
            </w:r>
          </w:p>
          <w:p w:rsidR="001D0FDA" w:rsidRPr="0043129C" w:rsidRDefault="001D0FDA" w:rsidP="00480FDF">
            <w:pPr>
              <w:pStyle w:val="Tabletext"/>
              <w:numPr>
                <w:ilvl w:val="0"/>
                <w:numId w:val="54"/>
              </w:numPr>
              <w:ind w:left="239" w:hanging="144"/>
              <w:rPr>
                <w:rFonts w:cs="Tahoma"/>
                <w:szCs w:val="18"/>
              </w:rPr>
            </w:pPr>
            <w:r w:rsidRPr="00EF6EEC">
              <w:rPr>
                <w:rFonts w:cs="Tahoma"/>
                <w:szCs w:val="18"/>
              </w:rPr>
              <w:t>Adverse events</w:t>
            </w:r>
            <w:r w:rsidRPr="0043129C">
              <w:rPr>
                <w:rFonts w:cs="Tahoma"/>
                <w:szCs w:val="18"/>
                <w:vertAlign w:val="superscript"/>
              </w:rPr>
              <w:t>c</w:t>
            </w:r>
          </w:p>
        </w:tc>
      </w:tr>
    </w:tbl>
    <w:p w:rsidR="00DB1395" w:rsidRDefault="00DB1395">
      <w:r>
        <w:br w:type="page"/>
      </w:r>
    </w:p>
    <w:tbl>
      <w:tblPr>
        <w:tblStyle w:val="TableGrid2"/>
        <w:tblpPr w:leftFromText="180" w:rightFromText="180" w:vertAnchor="text" w:tblpY="1"/>
        <w:tblW w:w="4964" w:type="pct"/>
        <w:tblLook w:val="04A0" w:firstRow="1" w:lastRow="0" w:firstColumn="1" w:lastColumn="0" w:noHBand="0" w:noVBand="1"/>
        <w:tblCaption w:val="Studies included to address research questions"/>
      </w:tblPr>
      <w:tblGrid>
        <w:gridCol w:w="1547"/>
        <w:gridCol w:w="1388"/>
        <w:gridCol w:w="2251"/>
        <w:gridCol w:w="4779"/>
        <w:gridCol w:w="2365"/>
        <w:gridCol w:w="2248"/>
      </w:tblGrid>
      <w:tr w:rsidR="001D0FDA" w:rsidRPr="005331C3" w:rsidTr="001D0FDA">
        <w:trPr>
          <w:cnfStyle w:val="100000000000" w:firstRow="1" w:lastRow="0" w:firstColumn="0" w:lastColumn="0" w:oddVBand="0" w:evenVBand="0" w:oddHBand="0" w:evenHBand="0" w:firstRowFirstColumn="0" w:firstRowLastColumn="0" w:lastRowFirstColumn="0" w:lastRowLastColumn="0"/>
        </w:trPr>
        <w:tc>
          <w:tcPr>
            <w:tcW w:w="1007" w:type="pct"/>
            <w:gridSpan w:val="2"/>
            <w:shd w:val="clear" w:color="auto" w:fill="000000" w:themeFill="text1"/>
          </w:tcPr>
          <w:p w:rsidR="001D0FDA" w:rsidRPr="00D53F84" w:rsidRDefault="001D0FDA" w:rsidP="001D0FDA">
            <w:pPr>
              <w:pStyle w:val="Tabletext"/>
              <w:ind w:right="-28"/>
              <w:rPr>
                <w:rFonts w:eastAsia="Times New Roman"/>
                <w:snapToGrid w:val="0"/>
                <w:lang w:eastAsia="en-US"/>
              </w:rPr>
            </w:pPr>
            <w:r>
              <w:rPr>
                <w:rFonts w:eastAsia="Times New Roman"/>
                <w:b/>
                <w:color w:val="FFFFFF" w:themeColor="background1"/>
                <w:lang w:eastAsia="en-US"/>
              </w:rPr>
              <w:lastRenderedPageBreak/>
              <w:t>Observational studies</w:t>
            </w:r>
          </w:p>
        </w:tc>
        <w:tc>
          <w:tcPr>
            <w:tcW w:w="772" w:type="pct"/>
            <w:shd w:val="clear" w:color="auto" w:fill="000000" w:themeFill="text1"/>
          </w:tcPr>
          <w:p w:rsidR="001D0FDA" w:rsidRPr="00EA1FCD" w:rsidRDefault="001D0FDA" w:rsidP="001D0FDA">
            <w:pPr>
              <w:pStyle w:val="Tabletext"/>
              <w:rPr>
                <w:rFonts w:cs="Tahoma"/>
                <w:i/>
                <w:szCs w:val="18"/>
              </w:rPr>
            </w:pPr>
          </w:p>
        </w:tc>
        <w:tc>
          <w:tcPr>
            <w:tcW w:w="0" w:type="auto"/>
            <w:shd w:val="clear" w:color="auto" w:fill="000000" w:themeFill="text1"/>
          </w:tcPr>
          <w:p w:rsidR="001D0FDA" w:rsidRDefault="001D0FDA" w:rsidP="001D0FDA">
            <w:pPr>
              <w:pStyle w:val="Tabletext"/>
              <w:rPr>
                <w:rFonts w:cs="Tahoma"/>
                <w:szCs w:val="18"/>
              </w:rPr>
            </w:pPr>
          </w:p>
        </w:tc>
        <w:tc>
          <w:tcPr>
            <w:tcW w:w="811" w:type="pct"/>
            <w:shd w:val="clear" w:color="auto" w:fill="000000" w:themeFill="text1"/>
          </w:tcPr>
          <w:p w:rsidR="001D0FDA" w:rsidRDefault="001D0FDA" w:rsidP="001D0FDA">
            <w:pPr>
              <w:pStyle w:val="Tabletext"/>
              <w:rPr>
                <w:rFonts w:cs="Tahoma"/>
                <w:i/>
                <w:szCs w:val="18"/>
              </w:rPr>
            </w:pPr>
          </w:p>
        </w:tc>
        <w:tc>
          <w:tcPr>
            <w:tcW w:w="771" w:type="pct"/>
            <w:shd w:val="clear" w:color="auto" w:fill="000000" w:themeFill="text1"/>
          </w:tcPr>
          <w:p w:rsidR="001D0FDA" w:rsidRPr="005331C3" w:rsidRDefault="001D0FDA" w:rsidP="001D0FDA">
            <w:pPr>
              <w:pStyle w:val="Tabletext"/>
              <w:rPr>
                <w:rFonts w:cs="Tahoma"/>
                <w:i/>
                <w:szCs w:val="18"/>
              </w:rPr>
            </w:pPr>
          </w:p>
        </w:tc>
      </w:tr>
      <w:tr w:rsidR="001D0FDA" w:rsidRPr="00204000" w:rsidTr="001D0FDA">
        <w:tc>
          <w:tcPr>
            <w:tcW w:w="531"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lang w:eastAsia="en-US"/>
              </w:rPr>
            </w:pPr>
            <w:r w:rsidRPr="00D53F84">
              <w:rPr>
                <w:rFonts w:eastAsia="Times New Roman"/>
                <w:lang w:eastAsia="en-US"/>
              </w:rPr>
              <w:t>Sun 2013</w:t>
            </w:r>
            <w:r w:rsidR="001D34EE" w:rsidRPr="001A1C44">
              <w:rPr>
                <w:rFonts w:eastAsia="Times New Roman"/>
                <w:noProof/>
                <w:vertAlign w:val="superscript"/>
                <w:lang w:eastAsia="en-US"/>
              </w:rPr>
              <w:t>51</w:t>
            </w:r>
          </w:p>
          <w:p w:rsidR="001D0FDA" w:rsidRPr="00D53F84" w:rsidRDefault="001D0FDA" w:rsidP="001D0FDA">
            <w:pPr>
              <w:pStyle w:val="Tabletext"/>
              <w:ind w:right="-28"/>
              <w:rPr>
                <w:rFonts w:eastAsia="Times New Roman"/>
                <w:lang w:eastAsia="en-US"/>
              </w:rPr>
            </w:pPr>
            <w:r w:rsidRPr="00D53F84">
              <w:rPr>
                <w:rFonts w:eastAsia="Times New Roman"/>
                <w:lang w:eastAsia="en-US"/>
              </w:rPr>
              <w:t>2005-2011</w:t>
            </w:r>
          </w:p>
          <w:p w:rsidR="001D0FDA" w:rsidRPr="00D53F84" w:rsidRDefault="001D0FDA" w:rsidP="001D0FDA">
            <w:pPr>
              <w:pStyle w:val="Tabletext"/>
              <w:ind w:right="-28"/>
              <w:rPr>
                <w:rFonts w:eastAsia="Times New Roman"/>
                <w:lang w:eastAsia="en-US"/>
              </w:rPr>
            </w:pPr>
            <w:r w:rsidRPr="00D53F84">
              <w:rPr>
                <w:rFonts w:eastAsia="Times New Roman"/>
                <w:lang w:eastAsia="en-US"/>
              </w:rPr>
              <w:t>China</w:t>
            </w:r>
          </w:p>
        </w:tc>
        <w:tc>
          <w:tcPr>
            <w:tcW w:w="476" w:type="pct"/>
            <w:tcBorders>
              <w:top w:val="single" w:sz="4" w:space="0" w:color="auto"/>
              <w:left w:val="single" w:sz="4" w:space="0" w:color="auto"/>
              <w:bottom w:val="single" w:sz="4" w:space="0" w:color="auto"/>
              <w:right w:val="single" w:sz="4" w:space="0" w:color="auto"/>
            </w:tcBorders>
          </w:tcPr>
          <w:p w:rsidR="001D0FDA" w:rsidRDefault="001D0FDA" w:rsidP="001D0FDA">
            <w:pPr>
              <w:pStyle w:val="Tabletext"/>
              <w:ind w:right="-28"/>
              <w:rPr>
                <w:rFonts w:eastAsia="Times New Roman"/>
                <w:snapToGrid w:val="0"/>
                <w:lang w:eastAsia="en-US"/>
              </w:rPr>
            </w:pPr>
            <w:r w:rsidRPr="00D53F84">
              <w:rPr>
                <w:rFonts w:eastAsia="Times New Roman"/>
                <w:snapToGrid w:val="0"/>
                <w:lang w:eastAsia="en-US"/>
              </w:rPr>
              <w:t>Retrospective and prospective cohort</w:t>
            </w:r>
          </w:p>
          <w:p w:rsidR="001D0FDA" w:rsidRPr="00D53F84" w:rsidRDefault="001D0FDA" w:rsidP="001D0FDA">
            <w:pPr>
              <w:pStyle w:val="Tabletext"/>
              <w:ind w:right="-28"/>
              <w:rPr>
                <w:rFonts w:eastAsia="Times New Roman"/>
                <w:snapToGrid w:val="0"/>
                <w:lang w:eastAsia="en-US"/>
              </w:rPr>
            </w:pPr>
            <w:r>
              <w:rPr>
                <w:rFonts w:eastAsia="Times New Roman"/>
                <w:snapToGrid w:val="0"/>
                <w:lang w:eastAsia="en-US"/>
              </w:rPr>
              <w:t>Level III-2 evidence</w:t>
            </w:r>
          </w:p>
          <w:p w:rsidR="001D0FDA" w:rsidRPr="00D53F84" w:rsidRDefault="001D0FDA" w:rsidP="001D0FDA">
            <w:pPr>
              <w:pStyle w:val="Tabletext"/>
              <w:ind w:right="-28"/>
              <w:rPr>
                <w:rFonts w:eastAsia="Times New Roman"/>
                <w:snapToGrid w:val="0"/>
                <w:lang w:eastAsia="en-US"/>
              </w:rPr>
            </w:pPr>
            <w:r>
              <w:rPr>
                <w:rFonts w:eastAsia="Times New Roman"/>
                <w:snapToGrid w:val="0"/>
                <w:lang w:eastAsia="en-US"/>
              </w:rPr>
              <w:t>Follow-up: 35.8 months</w:t>
            </w:r>
          </w:p>
          <w:p w:rsidR="001D0FDA" w:rsidRPr="00D53F84" w:rsidRDefault="001D0FDA" w:rsidP="001D0FDA">
            <w:pPr>
              <w:pStyle w:val="Tabletext"/>
              <w:ind w:right="-28"/>
              <w:rPr>
                <w:rFonts w:eastAsia="Times New Roman"/>
                <w:snapToGrid w:val="0"/>
                <w:lang w:eastAsia="en-US"/>
              </w:rPr>
            </w:pPr>
            <w:r>
              <w:rPr>
                <w:rFonts w:eastAsia="Times New Roman"/>
                <w:snapToGrid w:val="0"/>
                <w:lang w:eastAsia="en-US"/>
              </w:rPr>
              <w:t>Risk of bias: m</w:t>
            </w:r>
            <w:r w:rsidRPr="00D53F84">
              <w:rPr>
                <w:rFonts w:eastAsia="Times New Roman"/>
                <w:snapToGrid w:val="0"/>
                <w:lang w:eastAsia="en-US"/>
              </w:rPr>
              <w:t xml:space="preserve">oderate </w:t>
            </w:r>
          </w:p>
        </w:tc>
        <w:tc>
          <w:tcPr>
            <w:tcW w:w="772" w:type="pct"/>
          </w:tcPr>
          <w:p w:rsidR="001D0FDA" w:rsidRPr="0039124B" w:rsidRDefault="001D0FDA" w:rsidP="001D0FDA">
            <w:pPr>
              <w:pStyle w:val="Tabletext"/>
              <w:rPr>
                <w:rFonts w:cs="Tahoma"/>
                <w:i/>
                <w:szCs w:val="18"/>
              </w:rPr>
            </w:pPr>
            <w:r w:rsidRPr="0039124B">
              <w:rPr>
                <w:rFonts w:cs="Tahoma"/>
                <w:i/>
                <w:szCs w:val="18"/>
              </w:rPr>
              <w:t>Inclusion criteria</w:t>
            </w:r>
          </w:p>
          <w:p w:rsidR="001D0FDA" w:rsidRPr="0039124B" w:rsidRDefault="001D0FDA" w:rsidP="00480FDF">
            <w:pPr>
              <w:pStyle w:val="Tabletext"/>
              <w:numPr>
                <w:ilvl w:val="0"/>
                <w:numId w:val="54"/>
              </w:numPr>
              <w:ind w:left="239" w:hanging="144"/>
              <w:rPr>
                <w:rFonts w:cs="Tahoma"/>
                <w:szCs w:val="18"/>
              </w:rPr>
            </w:pPr>
            <w:r w:rsidRPr="0039124B">
              <w:rPr>
                <w:rFonts w:cs="Tahoma"/>
                <w:szCs w:val="18"/>
              </w:rPr>
              <w:t>Patients with PAH-CHD</w:t>
            </w:r>
            <w:r>
              <w:rPr>
                <w:rFonts w:cs="Tahoma"/>
                <w:szCs w:val="18"/>
              </w:rPr>
              <w:t xml:space="preserve"> (Eisenmenger syndrome)</w:t>
            </w:r>
          </w:p>
          <w:p w:rsidR="001D0FDA" w:rsidRDefault="001D0FDA" w:rsidP="00480FDF">
            <w:pPr>
              <w:pStyle w:val="Tabletext"/>
              <w:numPr>
                <w:ilvl w:val="0"/>
                <w:numId w:val="54"/>
              </w:numPr>
              <w:ind w:left="239" w:hanging="144"/>
              <w:rPr>
                <w:rFonts w:cs="Tahoma"/>
                <w:szCs w:val="18"/>
              </w:rPr>
            </w:pPr>
            <w:r w:rsidRPr="0039124B">
              <w:rPr>
                <w:rFonts w:cs="Tahoma"/>
                <w:szCs w:val="18"/>
              </w:rPr>
              <w:t>Not amenable to receive corrective cardiac s</w:t>
            </w:r>
            <w:r>
              <w:rPr>
                <w:rFonts w:cs="Tahoma"/>
                <w:szCs w:val="18"/>
              </w:rPr>
              <w:t>urgery for the irreversible PAH</w:t>
            </w:r>
          </w:p>
          <w:p w:rsidR="001D0FDA" w:rsidRPr="0039124B" w:rsidRDefault="001D0FDA" w:rsidP="00480FDF">
            <w:pPr>
              <w:pStyle w:val="Tabletext"/>
              <w:numPr>
                <w:ilvl w:val="0"/>
                <w:numId w:val="54"/>
              </w:numPr>
              <w:ind w:left="239" w:hanging="144"/>
              <w:rPr>
                <w:rFonts w:cs="Tahoma"/>
                <w:szCs w:val="18"/>
              </w:rPr>
            </w:pPr>
          </w:p>
          <w:p w:rsidR="001D0FDA" w:rsidRPr="0039124B" w:rsidRDefault="001D0FDA" w:rsidP="001D0FDA">
            <w:pPr>
              <w:pStyle w:val="Tabletext"/>
              <w:rPr>
                <w:rFonts w:cs="Tahoma"/>
                <w:i/>
                <w:szCs w:val="18"/>
              </w:rPr>
            </w:pPr>
            <w:r w:rsidRPr="0039124B">
              <w:rPr>
                <w:rFonts w:cs="Tahoma"/>
                <w:i/>
                <w:szCs w:val="18"/>
              </w:rPr>
              <w:t>Exclusion criteria</w:t>
            </w:r>
          </w:p>
          <w:p w:rsidR="001D0FDA" w:rsidRPr="00087357" w:rsidRDefault="001D0FDA" w:rsidP="00480FDF">
            <w:pPr>
              <w:pStyle w:val="Tabletext"/>
              <w:numPr>
                <w:ilvl w:val="0"/>
                <w:numId w:val="54"/>
              </w:numPr>
              <w:ind w:left="239" w:hanging="144"/>
              <w:rPr>
                <w:rFonts w:cs="Tahoma"/>
                <w:i/>
                <w:szCs w:val="18"/>
              </w:rPr>
            </w:pPr>
            <w:r w:rsidRPr="0039124B">
              <w:rPr>
                <w:rFonts w:cs="Tahoma"/>
                <w:szCs w:val="18"/>
              </w:rPr>
              <w:t xml:space="preserve">Patients with small septal defects </w:t>
            </w:r>
            <w:r>
              <w:rPr>
                <w:rFonts w:cs="Tahoma"/>
                <w:szCs w:val="18"/>
              </w:rPr>
              <w:t>(atrial septal defect &lt;2</w:t>
            </w:r>
            <w:r w:rsidRPr="0039124B">
              <w:rPr>
                <w:rFonts w:cs="Tahoma"/>
                <w:szCs w:val="18"/>
              </w:rPr>
              <w:t>cm effective diamete</w:t>
            </w:r>
            <w:r>
              <w:rPr>
                <w:rFonts w:cs="Tahoma"/>
                <w:szCs w:val="18"/>
              </w:rPr>
              <w:t>r, ventricular septal defect &lt;1</w:t>
            </w:r>
            <w:r w:rsidRPr="0039124B">
              <w:rPr>
                <w:rFonts w:cs="Tahoma"/>
                <w:szCs w:val="18"/>
              </w:rPr>
              <w:t>cm effective diameter and/or aortopulmonary comm</w:t>
            </w:r>
            <w:r>
              <w:rPr>
                <w:rFonts w:cs="Tahoma"/>
                <w:szCs w:val="18"/>
              </w:rPr>
              <w:t>unication &lt;0.4</w:t>
            </w:r>
            <w:r w:rsidRPr="0039124B">
              <w:rPr>
                <w:rFonts w:cs="Tahoma"/>
                <w:szCs w:val="18"/>
              </w:rPr>
              <w:t>cm)</w:t>
            </w:r>
          </w:p>
        </w:tc>
        <w:tc>
          <w:tcPr>
            <w:tcW w:w="0" w:type="auto"/>
          </w:tcPr>
          <w:p w:rsidR="001D0FDA" w:rsidRDefault="001D0FDA" w:rsidP="001D0FDA">
            <w:pPr>
              <w:pStyle w:val="Tabletext"/>
            </w:pPr>
            <w:r>
              <w:t>N=121</w:t>
            </w:r>
          </w:p>
          <w:tbl>
            <w:tblPr>
              <w:tblStyle w:val="TableGrid"/>
              <w:tblW w:w="4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Caption w:val="Patient baseline characteristics in Study Sun 2013"/>
            </w:tblPr>
            <w:tblGrid>
              <w:gridCol w:w="1892"/>
              <w:gridCol w:w="1114"/>
              <w:gridCol w:w="1282"/>
            </w:tblGrid>
            <w:tr w:rsidR="001D0FDA" w:rsidTr="001D0FDA">
              <w:trPr>
                <w:cnfStyle w:val="100000000000" w:firstRow="1" w:lastRow="0" w:firstColumn="0" w:lastColumn="0" w:oddVBand="0" w:evenVBand="0" w:oddHBand="0" w:evenHBand="0" w:firstRowFirstColumn="0" w:firstRowLastColumn="0" w:lastRowFirstColumn="0" w:lastRowLastColumn="0"/>
              </w:trPr>
              <w:tc>
                <w:tcPr>
                  <w:tcW w:w="2161" w:type="dxa"/>
                  <w:shd w:val="clear" w:color="auto" w:fill="FFFFFF" w:themeFill="background1"/>
                </w:tcPr>
                <w:p w:rsidR="001D0FDA" w:rsidRPr="003C0DFB" w:rsidRDefault="001D0FDA" w:rsidP="00B5196D">
                  <w:pPr>
                    <w:pStyle w:val="Tabletext"/>
                    <w:framePr w:hSpace="180" w:wrap="around" w:vAnchor="text" w:hAnchor="text" w:y="1"/>
                  </w:pPr>
                </w:p>
              </w:tc>
              <w:tc>
                <w:tcPr>
                  <w:tcW w:w="1019" w:type="dxa"/>
                  <w:shd w:val="clear" w:color="auto" w:fill="FFFFFF" w:themeFill="background1"/>
                </w:tcPr>
                <w:p w:rsidR="001D0FDA" w:rsidRPr="0039124B" w:rsidRDefault="001D0FDA" w:rsidP="00B5196D">
                  <w:pPr>
                    <w:pStyle w:val="Tabletext"/>
                    <w:framePr w:hSpace="180" w:wrap="around" w:vAnchor="text" w:hAnchor="text" w:y="1"/>
                    <w:jc w:val="center"/>
                  </w:pPr>
                  <w:r w:rsidRPr="0039124B">
                    <w:t>Sildenafil (N=68)</w:t>
                  </w:r>
                </w:p>
              </w:tc>
              <w:tc>
                <w:tcPr>
                  <w:tcW w:w="1108" w:type="dxa"/>
                  <w:shd w:val="clear" w:color="auto" w:fill="FFFFFF" w:themeFill="background1"/>
                </w:tcPr>
                <w:p w:rsidR="001D0FDA" w:rsidRDefault="001D0FDA" w:rsidP="00B5196D">
                  <w:pPr>
                    <w:pStyle w:val="Tabletext"/>
                    <w:framePr w:hSpace="180" w:wrap="around" w:vAnchor="text" w:hAnchor="text" w:y="1"/>
                    <w:jc w:val="center"/>
                  </w:pPr>
                  <w:r>
                    <w:t>Conventional therapy</w:t>
                  </w:r>
                  <w:r>
                    <w:br/>
                  </w:r>
                  <w:r w:rsidRPr="0039124B">
                    <w:t>(N=53)</w:t>
                  </w:r>
                </w:p>
              </w:tc>
            </w:tr>
            <w:tr w:rsidR="001D0FDA" w:rsidRPr="001B3364" w:rsidTr="001D0FDA">
              <w:tc>
                <w:tcPr>
                  <w:tcW w:w="2161" w:type="dxa"/>
                  <w:shd w:val="clear" w:color="auto" w:fill="FFFFFF" w:themeFill="background1"/>
                </w:tcPr>
                <w:p w:rsidR="001D0FDA" w:rsidRDefault="001D0FDA" w:rsidP="00B5196D">
                  <w:pPr>
                    <w:pStyle w:val="Tabletext"/>
                    <w:framePr w:hSpace="180" w:wrap="around" w:vAnchor="text" w:hAnchor="text" w:y="1"/>
                  </w:pPr>
                  <w:r w:rsidRPr="00351FF5">
                    <w:rPr>
                      <w:rFonts w:cs="Tahoma"/>
                      <w:szCs w:val="18"/>
                    </w:rPr>
                    <w:t>Age, mean±SD (yrs)</w:t>
                  </w:r>
                </w:p>
              </w:tc>
              <w:tc>
                <w:tcPr>
                  <w:tcW w:w="1019" w:type="dxa"/>
                  <w:shd w:val="clear" w:color="auto" w:fill="FFFFFF" w:themeFill="background1"/>
                </w:tcPr>
                <w:p w:rsidR="001D0FDA" w:rsidRPr="0039124B" w:rsidRDefault="001D0FDA" w:rsidP="00B5196D">
                  <w:pPr>
                    <w:pStyle w:val="Tabletext"/>
                    <w:framePr w:hSpace="180" w:wrap="around" w:vAnchor="text" w:hAnchor="text" w:y="1"/>
                    <w:jc w:val="center"/>
                  </w:pPr>
                  <w:r w:rsidRPr="0039124B">
                    <w:t>31±10</w:t>
                  </w:r>
                </w:p>
              </w:tc>
              <w:tc>
                <w:tcPr>
                  <w:tcW w:w="1108" w:type="dxa"/>
                  <w:shd w:val="clear" w:color="auto" w:fill="FFFFFF" w:themeFill="background1"/>
                </w:tcPr>
                <w:p w:rsidR="001D0FDA" w:rsidRPr="0039124B" w:rsidRDefault="001D0FDA" w:rsidP="00B5196D">
                  <w:pPr>
                    <w:pStyle w:val="Tabletext"/>
                    <w:framePr w:hSpace="180" w:wrap="around" w:vAnchor="text" w:hAnchor="text" w:y="1"/>
                    <w:jc w:val="center"/>
                  </w:pPr>
                  <w:r w:rsidRPr="0039124B">
                    <w:t>29±10</w:t>
                  </w:r>
                </w:p>
              </w:tc>
            </w:tr>
            <w:tr w:rsidR="001D0FDA" w:rsidRPr="001B3364" w:rsidTr="001D0FDA">
              <w:tc>
                <w:tcPr>
                  <w:tcW w:w="2161"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rPr>
                      <w:rFonts w:cs="Tahoma"/>
                      <w:szCs w:val="18"/>
                    </w:rPr>
                  </w:pPr>
                  <w:r w:rsidRPr="00351FF5">
                    <w:rPr>
                      <w:rFonts w:cs="Tahoma"/>
                      <w:szCs w:val="18"/>
                    </w:rPr>
                    <w:t>Gender, femal</w:t>
                  </w:r>
                  <w:r>
                    <w:rPr>
                      <w:rFonts w:cs="Tahoma"/>
                      <w:szCs w:val="18"/>
                    </w:rPr>
                    <w:t>e</w:t>
                  </w:r>
                  <w:r w:rsidRPr="00351FF5">
                    <w:rPr>
                      <w:rFonts w:cs="Tahoma"/>
                      <w:szCs w:val="18"/>
                    </w:rPr>
                    <w:t>, n (%)</w:t>
                  </w:r>
                </w:p>
              </w:tc>
              <w:tc>
                <w:tcPr>
                  <w:tcW w:w="1019" w:type="dxa"/>
                  <w:tcBorders>
                    <w:bottom w:val="single" w:sz="4" w:space="0" w:color="BFBFBF" w:themeColor="background1" w:themeShade="BF"/>
                  </w:tcBorders>
                </w:tcPr>
                <w:p w:rsidR="001D0FDA" w:rsidRPr="0039124B" w:rsidRDefault="001D0FDA" w:rsidP="00B5196D">
                  <w:pPr>
                    <w:pStyle w:val="Tabletext"/>
                    <w:framePr w:hSpace="180" w:wrap="around" w:vAnchor="text" w:hAnchor="text" w:y="1"/>
                    <w:jc w:val="center"/>
                  </w:pPr>
                  <w:r w:rsidRPr="0039124B">
                    <w:t>48 (71%)</w:t>
                  </w:r>
                </w:p>
              </w:tc>
              <w:tc>
                <w:tcPr>
                  <w:tcW w:w="1108" w:type="dxa"/>
                  <w:tcBorders>
                    <w:bottom w:val="single" w:sz="4" w:space="0" w:color="BFBFBF" w:themeColor="background1" w:themeShade="BF"/>
                  </w:tcBorders>
                </w:tcPr>
                <w:p w:rsidR="001D0FDA" w:rsidRPr="0039124B" w:rsidRDefault="001D0FDA" w:rsidP="00B5196D">
                  <w:pPr>
                    <w:pStyle w:val="Tabletext"/>
                    <w:framePr w:hSpace="180" w:wrap="around" w:vAnchor="text" w:hAnchor="text" w:y="1"/>
                    <w:jc w:val="center"/>
                  </w:pPr>
                  <w:r w:rsidRPr="0039124B">
                    <w:t>39 (74%)</w:t>
                  </w:r>
                </w:p>
              </w:tc>
            </w:tr>
            <w:tr w:rsidR="001D0FDA" w:rsidRPr="001B3364" w:rsidTr="001D0FDA">
              <w:tc>
                <w:tcPr>
                  <w:tcW w:w="2161" w:type="dxa"/>
                  <w:tcBorders>
                    <w:bottom w:val="nil"/>
                  </w:tcBorders>
                  <w:shd w:val="clear" w:color="auto" w:fill="FFFFFF" w:themeFill="background1"/>
                </w:tcPr>
                <w:p w:rsidR="001D0FDA" w:rsidRPr="00C5782C" w:rsidRDefault="001D0FDA" w:rsidP="00B5196D">
                  <w:pPr>
                    <w:pStyle w:val="Tabletext"/>
                    <w:framePr w:hSpace="180" w:wrap="around" w:vAnchor="text" w:hAnchor="text" w:y="1"/>
                  </w:pPr>
                  <w:r>
                    <w:t>Aetiology</w:t>
                  </w:r>
                </w:p>
              </w:tc>
              <w:tc>
                <w:tcPr>
                  <w:tcW w:w="1019"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c>
                <w:tcPr>
                  <w:tcW w:w="1108"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r>
            <w:tr w:rsidR="001D0FDA" w:rsidRPr="001B3364" w:rsidTr="001D0FDA">
              <w:tc>
                <w:tcPr>
                  <w:tcW w:w="2161"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ind w:left="262"/>
                  </w:pPr>
                  <w:r w:rsidRPr="00C5782C">
                    <w:t>PAH-CHD</w:t>
                  </w:r>
                </w:p>
              </w:tc>
              <w:tc>
                <w:tcPr>
                  <w:tcW w:w="1019" w:type="dxa"/>
                  <w:tcBorders>
                    <w:top w:val="nil"/>
                    <w:bottom w:val="single" w:sz="4" w:space="0" w:color="BFBFBF" w:themeColor="background1" w:themeShade="BF"/>
                  </w:tcBorders>
                  <w:shd w:val="clear" w:color="auto" w:fill="FFFFFF" w:themeFill="background1"/>
                </w:tcPr>
                <w:p w:rsidR="001D0FDA" w:rsidRDefault="001D0FDA" w:rsidP="00B5196D">
                  <w:pPr>
                    <w:pStyle w:val="Tabletext"/>
                    <w:framePr w:hSpace="180" w:wrap="around" w:vAnchor="text" w:hAnchor="text" w:y="1"/>
                    <w:jc w:val="center"/>
                  </w:pPr>
                  <w:r>
                    <w:t>68 (100%)</w:t>
                  </w:r>
                </w:p>
              </w:tc>
              <w:tc>
                <w:tcPr>
                  <w:tcW w:w="1108" w:type="dxa"/>
                  <w:tcBorders>
                    <w:top w:val="nil"/>
                    <w:bottom w:val="single" w:sz="4" w:space="0" w:color="BFBFBF" w:themeColor="background1" w:themeShade="BF"/>
                  </w:tcBorders>
                  <w:shd w:val="clear" w:color="auto" w:fill="FFFFFF" w:themeFill="background1"/>
                </w:tcPr>
                <w:p w:rsidR="001D0FDA" w:rsidRDefault="001D0FDA" w:rsidP="00B5196D">
                  <w:pPr>
                    <w:pStyle w:val="Tabletext"/>
                    <w:framePr w:hSpace="180" w:wrap="around" w:vAnchor="text" w:hAnchor="text" w:y="1"/>
                    <w:jc w:val="center"/>
                  </w:pPr>
                  <w:r>
                    <w:t>53 (100%)</w:t>
                  </w:r>
                </w:p>
              </w:tc>
            </w:tr>
            <w:tr w:rsidR="001D0FDA" w:rsidRPr="001B3364" w:rsidTr="001D0FDA">
              <w:tc>
                <w:tcPr>
                  <w:tcW w:w="2161" w:type="dxa"/>
                  <w:tcBorders>
                    <w:bottom w:val="nil"/>
                  </w:tcBorders>
                  <w:shd w:val="clear" w:color="auto" w:fill="FFFFFF" w:themeFill="background1"/>
                </w:tcPr>
                <w:p w:rsidR="001D0FDA" w:rsidRPr="00C5782C" w:rsidRDefault="001D0FDA" w:rsidP="00B5196D">
                  <w:pPr>
                    <w:pStyle w:val="Tabletext"/>
                    <w:framePr w:hSpace="180" w:wrap="around" w:vAnchor="text" w:hAnchor="text" w:y="1"/>
                  </w:pPr>
                  <w:r>
                    <w:t>WHO FC</w:t>
                  </w:r>
                </w:p>
              </w:tc>
              <w:tc>
                <w:tcPr>
                  <w:tcW w:w="1019"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c>
                <w:tcPr>
                  <w:tcW w:w="1108"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r>
            <w:tr w:rsidR="001D0FDA" w:rsidRPr="001B3364" w:rsidTr="001D0FDA">
              <w:tc>
                <w:tcPr>
                  <w:tcW w:w="2161" w:type="dxa"/>
                  <w:tcBorders>
                    <w:top w:val="nil"/>
                    <w:bottom w:val="nil"/>
                  </w:tcBorders>
                  <w:shd w:val="clear" w:color="auto" w:fill="FFFFFF" w:themeFill="background1"/>
                </w:tcPr>
                <w:p w:rsidR="001D0FDA" w:rsidRDefault="001D0FDA" w:rsidP="00B5196D">
                  <w:pPr>
                    <w:pStyle w:val="Tabletext"/>
                    <w:framePr w:hSpace="180" w:wrap="around" w:vAnchor="text" w:hAnchor="text" w:y="1"/>
                    <w:ind w:left="262"/>
                  </w:pPr>
                  <w:r>
                    <w:t>I</w:t>
                  </w:r>
                </w:p>
              </w:tc>
              <w:tc>
                <w:tcPr>
                  <w:tcW w:w="1019" w:type="dxa"/>
                  <w:tcBorders>
                    <w:top w:val="nil"/>
                    <w:bottom w:val="nil"/>
                  </w:tcBorders>
                </w:tcPr>
                <w:p w:rsidR="001D0FDA" w:rsidRPr="00C5782C" w:rsidRDefault="001D0FDA" w:rsidP="00B5196D">
                  <w:pPr>
                    <w:pStyle w:val="Tabletext"/>
                    <w:framePr w:hSpace="180" w:wrap="around" w:vAnchor="text" w:hAnchor="text" w:y="1"/>
                    <w:jc w:val="center"/>
                  </w:pPr>
                  <w:r w:rsidRPr="0039124B">
                    <w:t>0 (0%)</w:t>
                  </w:r>
                </w:p>
              </w:tc>
              <w:tc>
                <w:tcPr>
                  <w:tcW w:w="1108" w:type="dxa"/>
                  <w:tcBorders>
                    <w:top w:val="nil"/>
                    <w:bottom w:val="nil"/>
                  </w:tcBorders>
                </w:tcPr>
                <w:p w:rsidR="001D0FDA" w:rsidRPr="00C5782C" w:rsidRDefault="001D0FDA" w:rsidP="00B5196D">
                  <w:pPr>
                    <w:pStyle w:val="Tabletext"/>
                    <w:framePr w:hSpace="180" w:wrap="around" w:vAnchor="text" w:hAnchor="text" w:y="1"/>
                    <w:jc w:val="center"/>
                  </w:pPr>
                  <w:r w:rsidRPr="0039124B">
                    <w:t>4 (7.7%)</w:t>
                  </w:r>
                </w:p>
              </w:tc>
            </w:tr>
            <w:tr w:rsidR="001D0FDA" w:rsidRPr="001B3364" w:rsidTr="001D0FDA">
              <w:tc>
                <w:tcPr>
                  <w:tcW w:w="2161" w:type="dxa"/>
                  <w:tcBorders>
                    <w:top w:val="nil"/>
                    <w:bottom w:val="nil"/>
                  </w:tcBorders>
                  <w:shd w:val="clear" w:color="auto" w:fill="FFFFFF" w:themeFill="background1"/>
                </w:tcPr>
                <w:p w:rsidR="001D0FDA" w:rsidRDefault="001D0FDA" w:rsidP="00B5196D">
                  <w:pPr>
                    <w:pStyle w:val="Tabletext"/>
                    <w:framePr w:hSpace="180" w:wrap="around" w:vAnchor="text" w:hAnchor="text" w:y="1"/>
                    <w:ind w:left="262"/>
                  </w:pPr>
                  <w:r>
                    <w:t>II</w:t>
                  </w:r>
                </w:p>
              </w:tc>
              <w:tc>
                <w:tcPr>
                  <w:tcW w:w="1019" w:type="dxa"/>
                  <w:tcBorders>
                    <w:top w:val="nil"/>
                    <w:bottom w:val="nil"/>
                  </w:tcBorders>
                </w:tcPr>
                <w:p w:rsidR="001D0FDA" w:rsidRPr="00C5782C" w:rsidRDefault="001D0FDA" w:rsidP="00B5196D">
                  <w:pPr>
                    <w:pStyle w:val="Tabletext"/>
                    <w:framePr w:hSpace="180" w:wrap="around" w:vAnchor="text" w:hAnchor="text" w:y="1"/>
                    <w:jc w:val="center"/>
                  </w:pPr>
                  <w:r>
                    <w:t>40 (59</w:t>
                  </w:r>
                  <w:r w:rsidRPr="0039124B">
                    <w:t>%)</w:t>
                  </w:r>
                </w:p>
              </w:tc>
              <w:tc>
                <w:tcPr>
                  <w:tcW w:w="1108" w:type="dxa"/>
                  <w:tcBorders>
                    <w:top w:val="nil"/>
                    <w:bottom w:val="nil"/>
                  </w:tcBorders>
                </w:tcPr>
                <w:p w:rsidR="001D0FDA" w:rsidRPr="00C5782C" w:rsidRDefault="001D0FDA" w:rsidP="00B5196D">
                  <w:pPr>
                    <w:pStyle w:val="Tabletext"/>
                    <w:framePr w:hSpace="180" w:wrap="around" w:vAnchor="text" w:hAnchor="text" w:y="1"/>
                    <w:jc w:val="center"/>
                  </w:pPr>
                  <w:r w:rsidRPr="0039124B">
                    <w:t>32 (6</w:t>
                  </w:r>
                  <w:r>
                    <w:t>0</w:t>
                  </w:r>
                  <w:r w:rsidRPr="0039124B">
                    <w:t>%)</w:t>
                  </w:r>
                </w:p>
              </w:tc>
            </w:tr>
            <w:tr w:rsidR="001D0FDA" w:rsidRPr="001B3364" w:rsidTr="001D0FDA">
              <w:tc>
                <w:tcPr>
                  <w:tcW w:w="2161" w:type="dxa"/>
                  <w:tcBorders>
                    <w:top w:val="nil"/>
                    <w:bottom w:val="nil"/>
                  </w:tcBorders>
                  <w:shd w:val="clear" w:color="auto" w:fill="FFFFFF" w:themeFill="background1"/>
                </w:tcPr>
                <w:p w:rsidR="001D0FDA" w:rsidRDefault="001D0FDA" w:rsidP="00B5196D">
                  <w:pPr>
                    <w:pStyle w:val="Tabletext"/>
                    <w:framePr w:hSpace="180" w:wrap="around" w:vAnchor="text" w:hAnchor="text" w:y="1"/>
                    <w:ind w:left="262"/>
                  </w:pPr>
                  <w:r>
                    <w:t>III</w:t>
                  </w:r>
                </w:p>
              </w:tc>
              <w:tc>
                <w:tcPr>
                  <w:tcW w:w="1019" w:type="dxa"/>
                  <w:tcBorders>
                    <w:top w:val="nil"/>
                    <w:bottom w:val="nil"/>
                  </w:tcBorders>
                </w:tcPr>
                <w:p w:rsidR="001D0FDA" w:rsidRPr="00C5782C" w:rsidRDefault="001D0FDA" w:rsidP="00B5196D">
                  <w:pPr>
                    <w:pStyle w:val="Tabletext"/>
                    <w:framePr w:hSpace="180" w:wrap="around" w:vAnchor="text" w:hAnchor="text" w:y="1"/>
                    <w:jc w:val="center"/>
                  </w:pPr>
                  <w:r>
                    <w:t>27 (40</w:t>
                  </w:r>
                  <w:r w:rsidRPr="0039124B">
                    <w:t>%)</w:t>
                  </w:r>
                </w:p>
              </w:tc>
              <w:tc>
                <w:tcPr>
                  <w:tcW w:w="1108" w:type="dxa"/>
                  <w:tcBorders>
                    <w:top w:val="nil"/>
                    <w:bottom w:val="nil"/>
                  </w:tcBorders>
                </w:tcPr>
                <w:p w:rsidR="001D0FDA" w:rsidRPr="00C5782C" w:rsidRDefault="001D0FDA" w:rsidP="00B5196D">
                  <w:pPr>
                    <w:pStyle w:val="Tabletext"/>
                    <w:framePr w:hSpace="180" w:wrap="around" w:vAnchor="text" w:hAnchor="text" w:y="1"/>
                    <w:jc w:val="center"/>
                  </w:pPr>
                  <w:r>
                    <w:t>17 (32</w:t>
                  </w:r>
                  <w:r w:rsidRPr="0039124B">
                    <w:t>%)</w:t>
                  </w:r>
                </w:p>
              </w:tc>
            </w:tr>
            <w:tr w:rsidR="001D0FDA" w:rsidRPr="001B3364" w:rsidTr="001D0FDA">
              <w:tc>
                <w:tcPr>
                  <w:tcW w:w="2161" w:type="dxa"/>
                  <w:tcBorders>
                    <w:top w:val="nil"/>
                  </w:tcBorders>
                  <w:shd w:val="clear" w:color="auto" w:fill="FFFFFF" w:themeFill="background1"/>
                </w:tcPr>
                <w:p w:rsidR="001D0FDA" w:rsidRDefault="001D0FDA" w:rsidP="00B5196D">
                  <w:pPr>
                    <w:pStyle w:val="Tabletext"/>
                    <w:framePr w:hSpace="180" w:wrap="around" w:vAnchor="text" w:hAnchor="text" w:y="1"/>
                    <w:ind w:left="262"/>
                  </w:pPr>
                  <w:r>
                    <w:t>IV</w:t>
                  </w:r>
                </w:p>
              </w:tc>
              <w:tc>
                <w:tcPr>
                  <w:tcW w:w="1019" w:type="dxa"/>
                  <w:tcBorders>
                    <w:top w:val="nil"/>
                  </w:tcBorders>
                </w:tcPr>
                <w:p w:rsidR="001D0FDA" w:rsidRPr="00C5782C" w:rsidRDefault="001D0FDA" w:rsidP="00B5196D">
                  <w:pPr>
                    <w:pStyle w:val="Tabletext"/>
                    <w:framePr w:hSpace="180" w:wrap="around" w:vAnchor="text" w:hAnchor="text" w:y="1"/>
                    <w:jc w:val="center"/>
                  </w:pPr>
                  <w:r>
                    <w:t>1 (1</w:t>
                  </w:r>
                  <w:r w:rsidRPr="0039124B">
                    <w:t>%)</w:t>
                  </w:r>
                </w:p>
              </w:tc>
              <w:tc>
                <w:tcPr>
                  <w:tcW w:w="1108" w:type="dxa"/>
                  <w:tcBorders>
                    <w:top w:val="nil"/>
                  </w:tcBorders>
                </w:tcPr>
                <w:p w:rsidR="001D0FDA" w:rsidRPr="00C5782C" w:rsidRDefault="001D0FDA" w:rsidP="00B5196D">
                  <w:pPr>
                    <w:pStyle w:val="Tabletext"/>
                    <w:framePr w:hSpace="180" w:wrap="around" w:vAnchor="text" w:hAnchor="text" w:y="1"/>
                    <w:jc w:val="center"/>
                  </w:pPr>
                  <w:r w:rsidRPr="0039124B">
                    <w:t>0 (0%)</w:t>
                  </w:r>
                </w:p>
              </w:tc>
            </w:tr>
            <w:tr w:rsidR="001D0FDA" w:rsidRPr="001B3364" w:rsidTr="001D0FDA">
              <w:tc>
                <w:tcPr>
                  <w:tcW w:w="2161" w:type="dxa"/>
                </w:tcPr>
                <w:p w:rsidR="001D0FDA" w:rsidRDefault="001D0FDA" w:rsidP="00B5196D">
                  <w:pPr>
                    <w:pStyle w:val="Tabletext"/>
                    <w:framePr w:hSpace="180" w:wrap="around" w:vAnchor="text" w:hAnchor="text" w:y="1"/>
                  </w:pPr>
                  <w:r>
                    <w:rPr>
                      <w:rFonts w:cs="Tahoma"/>
                      <w:szCs w:val="18"/>
                    </w:rPr>
                    <w:t>mPAP</w:t>
                  </w:r>
                  <w:r w:rsidRPr="00351FF5">
                    <w:rPr>
                      <w:rFonts w:cs="Tahoma"/>
                      <w:szCs w:val="18"/>
                    </w:rPr>
                    <w:t>, mean±SD (mmHg)</w:t>
                  </w:r>
                </w:p>
              </w:tc>
              <w:tc>
                <w:tcPr>
                  <w:tcW w:w="1019" w:type="dxa"/>
                </w:tcPr>
                <w:p w:rsidR="001D0FDA" w:rsidRPr="00C5782C" w:rsidRDefault="001D0FDA" w:rsidP="00B5196D">
                  <w:pPr>
                    <w:pStyle w:val="Tabletext"/>
                    <w:framePr w:hSpace="180" w:wrap="around" w:vAnchor="text" w:hAnchor="text" w:y="1"/>
                    <w:jc w:val="center"/>
                  </w:pPr>
                  <w:r>
                    <w:t>78</w:t>
                  </w:r>
                  <w:r w:rsidRPr="0039124B">
                    <w:t>±</w:t>
                  </w:r>
                  <w:r>
                    <w:t>19</w:t>
                  </w:r>
                </w:p>
              </w:tc>
              <w:tc>
                <w:tcPr>
                  <w:tcW w:w="1108" w:type="dxa"/>
                </w:tcPr>
                <w:p w:rsidR="001D0FDA" w:rsidRPr="00C5782C" w:rsidRDefault="001D0FDA" w:rsidP="00B5196D">
                  <w:pPr>
                    <w:pStyle w:val="Tabletext"/>
                    <w:framePr w:hSpace="180" w:wrap="around" w:vAnchor="text" w:hAnchor="text" w:y="1"/>
                    <w:jc w:val="center"/>
                  </w:pPr>
                  <w:r>
                    <w:t>80</w:t>
                  </w:r>
                  <w:r w:rsidRPr="0039124B">
                    <w:t>±</w:t>
                  </w:r>
                  <w:r>
                    <w:t>18</w:t>
                  </w:r>
                </w:p>
              </w:tc>
            </w:tr>
            <w:tr w:rsidR="001D0FDA" w:rsidRPr="001B3364" w:rsidTr="001D0FDA">
              <w:tc>
                <w:tcPr>
                  <w:tcW w:w="2161" w:type="dxa"/>
                </w:tcPr>
                <w:p w:rsidR="001D0FDA" w:rsidRDefault="001D0FDA" w:rsidP="00B5196D">
                  <w:pPr>
                    <w:pStyle w:val="Tabletext"/>
                    <w:framePr w:hSpace="180" w:wrap="around" w:vAnchor="text" w:hAnchor="text" w:y="1"/>
                  </w:pPr>
                  <w:r>
                    <w:rPr>
                      <w:rFonts w:cs="Tahoma"/>
                      <w:szCs w:val="18"/>
                    </w:rPr>
                    <w:t>PVR, mean±SD (dyn*s*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019" w:type="dxa"/>
                </w:tcPr>
                <w:p w:rsidR="001D0FDA" w:rsidRDefault="001D0FDA" w:rsidP="00B5196D">
                  <w:pPr>
                    <w:pStyle w:val="Tabletext"/>
                    <w:framePr w:hSpace="180" w:wrap="around" w:vAnchor="text" w:hAnchor="text" w:y="1"/>
                    <w:jc w:val="center"/>
                  </w:pPr>
                  <w:r w:rsidRPr="0039124B">
                    <w:t>2664±1446</w:t>
                  </w:r>
                </w:p>
              </w:tc>
              <w:tc>
                <w:tcPr>
                  <w:tcW w:w="1108" w:type="dxa"/>
                </w:tcPr>
                <w:p w:rsidR="001D0FDA" w:rsidRDefault="001D0FDA" w:rsidP="00B5196D">
                  <w:pPr>
                    <w:pStyle w:val="Tabletext"/>
                    <w:framePr w:hSpace="180" w:wrap="around" w:vAnchor="text" w:hAnchor="text" w:y="1"/>
                    <w:jc w:val="center"/>
                  </w:pPr>
                  <w:r w:rsidRPr="0039124B">
                    <w:t>2696±1405</w:t>
                  </w:r>
                </w:p>
              </w:tc>
            </w:tr>
          </w:tbl>
          <w:p w:rsidR="001D0FDA" w:rsidRDefault="001D0FDA" w:rsidP="001D0FDA">
            <w:pPr>
              <w:pStyle w:val="Tabletext"/>
            </w:pPr>
          </w:p>
        </w:tc>
        <w:tc>
          <w:tcPr>
            <w:tcW w:w="811" w:type="pct"/>
          </w:tcPr>
          <w:p w:rsidR="001D0FDA" w:rsidRDefault="001D0FDA" w:rsidP="001D0FDA">
            <w:pPr>
              <w:pStyle w:val="Tabletext"/>
              <w:rPr>
                <w:i/>
              </w:rPr>
            </w:pPr>
            <w:r>
              <w:rPr>
                <w:i/>
              </w:rPr>
              <w:t>Intervention</w:t>
            </w:r>
          </w:p>
          <w:p w:rsidR="001D0FDA" w:rsidRDefault="001D0FDA" w:rsidP="001D0FDA">
            <w:pPr>
              <w:pStyle w:val="Tabletext"/>
            </w:pPr>
            <w:r>
              <w:t>Sildenafil: 60-100mg daily</w:t>
            </w:r>
          </w:p>
          <w:p w:rsidR="001D0FDA" w:rsidRDefault="001D0FDA" w:rsidP="001D0FDA">
            <w:pPr>
              <w:pStyle w:val="Tabletext"/>
            </w:pPr>
          </w:p>
          <w:p w:rsidR="001D0FDA" w:rsidRDefault="001D0FDA" w:rsidP="001D0FDA">
            <w:pPr>
              <w:pStyle w:val="Tabletext"/>
              <w:rPr>
                <w:i/>
              </w:rPr>
            </w:pPr>
            <w:r>
              <w:rPr>
                <w:i/>
              </w:rPr>
              <w:t>Comparator</w:t>
            </w:r>
          </w:p>
          <w:p w:rsidR="001D0FDA" w:rsidRPr="009246DC" w:rsidRDefault="001D0FDA" w:rsidP="001D0FDA">
            <w:pPr>
              <w:pStyle w:val="Tabletext"/>
            </w:pPr>
            <w:r>
              <w:t>Conventional therapy</w:t>
            </w:r>
          </w:p>
        </w:tc>
        <w:tc>
          <w:tcPr>
            <w:tcW w:w="771" w:type="pct"/>
          </w:tcPr>
          <w:p w:rsidR="001D0FDA" w:rsidRPr="009246DC" w:rsidRDefault="001D0FDA" w:rsidP="001D0FDA">
            <w:pPr>
              <w:pStyle w:val="Tabletext"/>
              <w:rPr>
                <w:rFonts w:cs="Tahoma"/>
                <w:i/>
                <w:szCs w:val="18"/>
              </w:rPr>
            </w:pPr>
            <w:r w:rsidRPr="009246DC">
              <w:rPr>
                <w:rFonts w:cs="Tahoma"/>
                <w:i/>
                <w:szCs w:val="18"/>
              </w:rPr>
              <w:t>Effectiveness</w:t>
            </w:r>
          </w:p>
          <w:p w:rsidR="001D0FDA" w:rsidRPr="009246DC" w:rsidRDefault="001D0FDA" w:rsidP="00480FDF">
            <w:pPr>
              <w:pStyle w:val="Tabletext"/>
              <w:numPr>
                <w:ilvl w:val="0"/>
                <w:numId w:val="54"/>
              </w:numPr>
              <w:ind w:left="239" w:hanging="144"/>
              <w:rPr>
                <w:rFonts w:cs="Tahoma"/>
                <w:szCs w:val="18"/>
              </w:rPr>
            </w:pPr>
            <w:r>
              <w:rPr>
                <w:rFonts w:cs="Tahoma"/>
                <w:szCs w:val="18"/>
              </w:rPr>
              <w:t xml:space="preserve">Change in </w:t>
            </w:r>
            <w:r w:rsidRPr="009246DC">
              <w:rPr>
                <w:rFonts w:cs="Tahoma"/>
                <w:szCs w:val="18"/>
              </w:rPr>
              <w:t>6MWD</w:t>
            </w:r>
          </w:p>
          <w:p w:rsidR="001D0FDA" w:rsidRPr="009246DC" w:rsidRDefault="001D0FDA" w:rsidP="00480FDF">
            <w:pPr>
              <w:pStyle w:val="Tabletext"/>
              <w:numPr>
                <w:ilvl w:val="0"/>
                <w:numId w:val="54"/>
              </w:numPr>
              <w:ind w:left="239" w:hanging="144"/>
              <w:rPr>
                <w:rFonts w:cs="Tahoma"/>
                <w:szCs w:val="18"/>
              </w:rPr>
            </w:pPr>
            <w:r>
              <w:rPr>
                <w:rFonts w:cs="Tahoma"/>
                <w:szCs w:val="18"/>
              </w:rPr>
              <w:t xml:space="preserve">Change in </w:t>
            </w:r>
            <w:r w:rsidRPr="009246DC">
              <w:rPr>
                <w:rFonts w:cs="Tahoma"/>
                <w:szCs w:val="18"/>
              </w:rPr>
              <w:t>WHO FC</w:t>
            </w:r>
          </w:p>
          <w:p w:rsidR="001D0FDA" w:rsidRPr="009246DC" w:rsidRDefault="001D0FDA" w:rsidP="00480FDF">
            <w:pPr>
              <w:pStyle w:val="Tabletext"/>
              <w:numPr>
                <w:ilvl w:val="0"/>
                <w:numId w:val="54"/>
              </w:numPr>
              <w:ind w:left="239" w:hanging="144"/>
              <w:rPr>
                <w:rFonts w:cs="Tahoma"/>
                <w:i/>
                <w:szCs w:val="18"/>
              </w:rPr>
            </w:pPr>
            <w:r w:rsidRPr="009246DC">
              <w:rPr>
                <w:rFonts w:cs="Tahoma"/>
                <w:szCs w:val="18"/>
              </w:rPr>
              <w:t>Mortality</w:t>
            </w:r>
            <w:r w:rsidRPr="009246DC">
              <w:rPr>
                <w:rFonts w:cs="Tahoma"/>
                <w:szCs w:val="18"/>
                <w:vertAlign w:val="superscript"/>
              </w:rPr>
              <w:t>c</w:t>
            </w:r>
          </w:p>
          <w:p w:rsidR="001D0FDA" w:rsidRPr="00EF6EEC" w:rsidRDefault="001D0FDA" w:rsidP="00480FDF">
            <w:pPr>
              <w:pStyle w:val="Tabletext"/>
              <w:numPr>
                <w:ilvl w:val="0"/>
                <w:numId w:val="54"/>
              </w:numPr>
              <w:ind w:left="239" w:hanging="144"/>
              <w:rPr>
                <w:rFonts w:cs="Tahoma"/>
                <w:i/>
                <w:szCs w:val="18"/>
              </w:rPr>
            </w:pPr>
            <w:r>
              <w:rPr>
                <w:rFonts w:cs="Tahoma"/>
                <w:szCs w:val="18"/>
              </w:rPr>
              <w:t>Change in mPAP and PVR</w:t>
            </w:r>
          </w:p>
        </w:tc>
      </w:tr>
      <w:tr w:rsidR="001D0FDA" w:rsidRPr="00204000" w:rsidTr="001D0FDA">
        <w:tc>
          <w:tcPr>
            <w:tcW w:w="531"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lastRenderedPageBreak/>
              <w:t>Sastry 2007</w:t>
            </w:r>
            <w:r w:rsidR="001D34EE" w:rsidRPr="001A1C44">
              <w:rPr>
                <w:rFonts w:eastAsia="Times New Roman"/>
                <w:noProof/>
                <w:vertAlign w:val="superscript"/>
                <w:lang w:eastAsia="en-US"/>
              </w:rPr>
              <w:t>52</w:t>
            </w:r>
          </w:p>
          <w:p w:rsidR="001D0FDA" w:rsidRPr="00D53F84" w:rsidRDefault="001D0FDA" w:rsidP="001D0FDA">
            <w:pPr>
              <w:pStyle w:val="Tabletext"/>
              <w:ind w:right="-28"/>
              <w:rPr>
                <w:rFonts w:eastAsia="Times New Roman"/>
                <w:lang w:eastAsia="en-US"/>
              </w:rPr>
            </w:pPr>
            <w:r w:rsidRPr="00D53F84">
              <w:rPr>
                <w:rFonts w:eastAsia="Times New Roman"/>
                <w:lang w:eastAsia="en-US"/>
              </w:rPr>
              <w:t>1999-2006</w:t>
            </w:r>
          </w:p>
          <w:p w:rsidR="001D0FDA" w:rsidRPr="00D53F84" w:rsidRDefault="001D0FDA" w:rsidP="001D0FDA">
            <w:pPr>
              <w:pStyle w:val="Tabletext"/>
              <w:ind w:right="-28"/>
              <w:rPr>
                <w:rFonts w:eastAsia="Times New Roman"/>
                <w:lang w:eastAsia="en-US"/>
              </w:rPr>
            </w:pPr>
            <w:r w:rsidRPr="00D53F84">
              <w:rPr>
                <w:rFonts w:eastAsia="Times New Roman"/>
                <w:lang w:eastAsia="en-US"/>
              </w:rPr>
              <w:t>India</w:t>
            </w:r>
          </w:p>
        </w:tc>
        <w:tc>
          <w:tcPr>
            <w:tcW w:w="476" w:type="pct"/>
          </w:tcPr>
          <w:p w:rsidR="001D0FDA" w:rsidRDefault="001D0FDA" w:rsidP="001D0FDA">
            <w:pPr>
              <w:pStyle w:val="Tabletext"/>
              <w:ind w:right="-28"/>
              <w:rPr>
                <w:rFonts w:eastAsia="Times New Roman"/>
                <w:lang w:eastAsia="en-US"/>
              </w:rPr>
            </w:pPr>
            <w:r w:rsidRPr="00D53F84">
              <w:rPr>
                <w:rFonts w:eastAsia="Times New Roman"/>
                <w:lang w:eastAsia="en-US"/>
              </w:rPr>
              <w:t>Historical control study</w:t>
            </w:r>
          </w:p>
          <w:p w:rsidR="001D0FDA" w:rsidRPr="00D53F84" w:rsidRDefault="001D0FDA" w:rsidP="001D0FDA">
            <w:pPr>
              <w:pStyle w:val="Tabletext"/>
              <w:ind w:right="-28"/>
              <w:rPr>
                <w:rFonts w:eastAsia="Times New Roman"/>
                <w:lang w:eastAsia="en-US"/>
              </w:rPr>
            </w:pPr>
            <w:r>
              <w:rPr>
                <w:rFonts w:eastAsia="Times New Roman"/>
                <w:lang w:eastAsia="en-US"/>
              </w:rPr>
              <w:t>Level III-3 evidence</w:t>
            </w:r>
          </w:p>
          <w:p w:rsidR="001D0FDA" w:rsidRDefault="001D0FDA" w:rsidP="001D0FDA">
            <w:pPr>
              <w:pStyle w:val="Tabletext"/>
              <w:ind w:right="-28"/>
              <w:rPr>
                <w:rFonts w:eastAsia="Times New Roman"/>
                <w:lang w:eastAsia="en-US"/>
              </w:rPr>
            </w:pPr>
            <w:r>
              <w:rPr>
                <w:rFonts w:eastAsia="Times New Roman"/>
                <w:lang w:eastAsia="en-US"/>
              </w:rPr>
              <w:t>Follow-up: u</w:t>
            </w:r>
            <w:r w:rsidRPr="00D53F84">
              <w:rPr>
                <w:rFonts w:eastAsia="Times New Roman"/>
                <w:lang w:eastAsia="en-US"/>
              </w:rPr>
              <w:t>p to 5 years</w:t>
            </w:r>
          </w:p>
          <w:p w:rsidR="001D0FDA" w:rsidRPr="00D53F84" w:rsidRDefault="001D0FDA" w:rsidP="001D0FDA">
            <w:pPr>
              <w:pStyle w:val="Tabletext"/>
              <w:ind w:right="-28"/>
              <w:rPr>
                <w:rFonts w:eastAsia="Times New Roman"/>
                <w:snapToGrid w:val="0"/>
                <w:lang w:eastAsia="en-US"/>
              </w:rPr>
            </w:pPr>
            <w:r>
              <w:rPr>
                <w:rFonts w:eastAsia="Times New Roman"/>
                <w:lang w:eastAsia="en-US"/>
              </w:rPr>
              <w:t>Risk of bias: moderate-to-high</w:t>
            </w:r>
          </w:p>
        </w:tc>
        <w:tc>
          <w:tcPr>
            <w:tcW w:w="772" w:type="pct"/>
          </w:tcPr>
          <w:p w:rsidR="001D0FDA" w:rsidRPr="0039124B" w:rsidRDefault="001D0FDA" w:rsidP="001D0FDA">
            <w:pPr>
              <w:pStyle w:val="Tabletext"/>
              <w:rPr>
                <w:rFonts w:cs="Tahoma"/>
                <w:i/>
                <w:szCs w:val="18"/>
              </w:rPr>
            </w:pPr>
            <w:r w:rsidRPr="0039124B">
              <w:rPr>
                <w:rFonts w:cs="Tahoma"/>
                <w:i/>
                <w:szCs w:val="18"/>
              </w:rPr>
              <w:t>Inclusion criteria</w:t>
            </w:r>
          </w:p>
          <w:p w:rsidR="001D0FDA" w:rsidRPr="0039124B" w:rsidRDefault="001D0FDA" w:rsidP="00480FDF">
            <w:pPr>
              <w:pStyle w:val="Tabletext"/>
              <w:numPr>
                <w:ilvl w:val="0"/>
                <w:numId w:val="54"/>
              </w:numPr>
              <w:ind w:left="239" w:hanging="144"/>
              <w:rPr>
                <w:rFonts w:cs="Tahoma"/>
                <w:szCs w:val="18"/>
              </w:rPr>
            </w:pPr>
            <w:r w:rsidRPr="0039124B">
              <w:rPr>
                <w:rFonts w:cs="Tahoma"/>
                <w:szCs w:val="18"/>
              </w:rPr>
              <w:t>Patients with IPAH</w:t>
            </w:r>
          </w:p>
          <w:p w:rsidR="001D0FDA" w:rsidRPr="0039124B" w:rsidRDefault="001D0FDA" w:rsidP="00480FDF">
            <w:pPr>
              <w:pStyle w:val="Tabletext"/>
              <w:numPr>
                <w:ilvl w:val="0"/>
                <w:numId w:val="54"/>
              </w:numPr>
              <w:ind w:left="239" w:hanging="144"/>
              <w:rPr>
                <w:rFonts w:cs="Tahoma"/>
                <w:szCs w:val="18"/>
              </w:rPr>
            </w:pPr>
            <w:r>
              <w:rPr>
                <w:rFonts w:cs="Tahoma"/>
                <w:szCs w:val="18"/>
              </w:rPr>
              <w:t>S</w:t>
            </w:r>
            <w:r w:rsidRPr="0039124B">
              <w:rPr>
                <w:rFonts w:cs="Tahoma"/>
                <w:szCs w:val="18"/>
              </w:rPr>
              <w:t>ystolic PAP ≥60mgHg</w:t>
            </w:r>
          </w:p>
          <w:p w:rsidR="001D0FDA" w:rsidRPr="0039124B" w:rsidRDefault="001D0FDA" w:rsidP="001D0FDA">
            <w:pPr>
              <w:pStyle w:val="Tabletext"/>
              <w:rPr>
                <w:rFonts w:cs="Tahoma"/>
                <w:i/>
                <w:szCs w:val="18"/>
              </w:rPr>
            </w:pPr>
          </w:p>
          <w:p w:rsidR="001D0FDA" w:rsidRPr="0039124B" w:rsidRDefault="001D0FDA" w:rsidP="001D0FDA">
            <w:pPr>
              <w:pStyle w:val="Tabletext"/>
              <w:rPr>
                <w:rFonts w:cs="Tahoma"/>
                <w:i/>
                <w:szCs w:val="18"/>
              </w:rPr>
            </w:pPr>
            <w:r w:rsidRPr="0039124B">
              <w:rPr>
                <w:rFonts w:cs="Tahoma"/>
                <w:i/>
                <w:szCs w:val="18"/>
              </w:rPr>
              <w:t>Exclusion criteria</w:t>
            </w:r>
          </w:p>
          <w:p w:rsidR="001D0FDA" w:rsidRPr="00087357" w:rsidRDefault="001D0FDA" w:rsidP="00480FDF">
            <w:pPr>
              <w:pStyle w:val="Tabletext"/>
              <w:numPr>
                <w:ilvl w:val="0"/>
                <w:numId w:val="54"/>
              </w:numPr>
              <w:ind w:left="239" w:hanging="144"/>
              <w:rPr>
                <w:rFonts w:cs="Tahoma"/>
                <w:i/>
                <w:szCs w:val="18"/>
              </w:rPr>
            </w:pPr>
            <w:r w:rsidRPr="0039124B">
              <w:rPr>
                <w:rFonts w:cs="Tahoma"/>
                <w:szCs w:val="18"/>
              </w:rPr>
              <w:t>Patients with significant left heart disease or shunt lesions</w:t>
            </w:r>
          </w:p>
        </w:tc>
        <w:tc>
          <w:tcPr>
            <w:tcW w:w="0" w:type="auto"/>
          </w:tcPr>
          <w:p w:rsidR="001D0FDA" w:rsidRDefault="001D0FDA" w:rsidP="001D0FDA">
            <w:pPr>
              <w:pStyle w:val="Tabletext"/>
            </w:pPr>
            <w:r>
              <w:t>N=178</w:t>
            </w:r>
          </w:p>
          <w:tbl>
            <w:tblPr>
              <w:tblStyle w:val="TableGrid"/>
              <w:tblW w:w="4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Caption w:val="Patient baseline characteristics in Study 2007"/>
            </w:tblPr>
            <w:tblGrid>
              <w:gridCol w:w="2000"/>
              <w:gridCol w:w="1006"/>
              <w:gridCol w:w="1282"/>
            </w:tblGrid>
            <w:tr w:rsidR="001D0FDA" w:rsidTr="001D0FDA">
              <w:trPr>
                <w:cnfStyle w:val="100000000000" w:firstRow="1" w:lastRow="0" w:firstColumn="0" w:lastColumn="0" w:oddVBand="0" w:evenVBand="0" w:oddHBand="0" w:evenHBand="0" w:firstRowFirstColumn="0" w:firstRowLastColumn="0" w:lastRowFirstColumn="0" w:lastRowLastColumn="0"/>
              </w:trPr>
              <w:tc>
                <w:tcPr>
                  <w:tcW w:w="2161" w:type="dxa"/>
                  <w:shd w:val="clear" w:color="auto" w:fill="FFFFFF" w:themeFill="background1"/>
                </w:tcPr>
                <w:p w:rsidR="001D0FDA" w:rsidRPr="003C0DFB" w:rsidRDefault="001D0FDA" w:rsidP="00B5196D">
                  <w:pPr>
                    <w:pStyle w:val="Tabletext"/>
                    <w:framePr w:hSpace="180" w:wrap="around" w:vAnchor="text" w:hAnchor="text" w:y="1"/>
                  </w:pPr>
                </w:p>
              </w:tc>
              <w:tc>
                <w:tcPr>
                  <w:tcW w:w="1019" w:type="dxa"/>
                  <w:shd w:val="clear" w:color="auto" w:fill="FFFFFF" w:themeFill="background1"/>
                </w:tcPr>
                <w:p w:rsidR="001D0FDA" w:rsidRPr="0039124B" w:rsidRDefault="001D0FDA" w:rsidP="00B5196D">
                  <w:pPr>
                    <w:pStyle w:val="Tabletext"/>
                    <w:framePr w:hSpace="180" w:wrap="around" w:vAnchor="text" w:hAnchor="text" w:y="1"/>
                    <w:jc w:val="center"/>
                  </w:pPr>
                  <w:r w:rsidRPr="009246DC">
                    <w:t>Sildenafil (n=139)</w:t>
                  </w:r>
                </w:p>
              </w:tc>
              <w:tc>
                <w:tcPr>
                  <w:tcW w:w="1108" w:type="dxa"/>
                  <w:shd w:val="clear" w:color="auto" w:fill="FFFFFF" w:themeFill="background1"/>
                </w:tcPr>
                <w:p w:rsidR="001D0FDA" w:rsidRDefault="001D0FDA" w:rsidP="00B5196D">
                  <w:pPr>
                    <w:pStyle w:val="Tabletext"/>
                    <w:framePr w:hSpace="180" w:wrap="around" w:vAnchor="text" w:hAnchor="text" w:y="1"/>
                    <w:jc w:val="center"/>
                  </w:pPr>
                  <w:r>
                    <w:t>Conventional therapy</w:t>
                  </w:r>
                  <w:r>
                    <w:br/>
                  </w:r>
                  <w:r w:rsidRPr="009246DC">
                    <w:t>(n=39)</w:t>
                  </w:r>
                </w:p>
              </w:tc>
            </w:tr>
            <w:tr w:rsidR="001D0FDA" w:rsidRPr="001B3364" w:rsidTr="001D0FDA">
              <w:tc>
                <w:tcPr>
                  <w:tcW w:w="2161" w:type="dxa"/>
                  <w:shd w:val="clear" w:color="auto" w:fill="FFFFFF" w:themeFill="background1"/>
                </w:tcPr>
                <w:p w:rsidR="001D0FDA" w:rsidRDefault="001D0FDA" w:rsidP="00B5196D">
                  <w:pPr>
                    <w:pStyle w:val="Tabletext"/>
                    <w:framePr w:hSpace="180" w:wrap="around" w:vAnchor="text" w:hAnchor="text" w:y="1"/>
                  </w:pPr>
                  <w:r w:rsidRPr="00351FF5">
                    <w:rPr>
                      <w:rFonts w:cs="Tahoma"/>
                      <w:szCs w:val="18"/>
                    </w:rPr>
                    <w:t>Age, mean±SD (yrs)</w:t>
                  </w:r>
                </w:p>
              </w:tc>
              <w:tc>
                <w:tcPr>
                  <w:tcW w:w="1019" w:type="dxa"/>
                  <w:shd w:val="clear" w:color="auto" w:fill="FFFFFF" w:themeFill="background1"/>
                </w:tcPr>
                <w:p w:rsidR="001D0FDA" w:rsidRPr="0039124B" w:rsidRDefault="001D0FDA" w:rsidP="00B5196D">
                  <w:pPr>
                    <w:pStyle w:val="Tabletext"/>
                    <w:framePr w:hSpace="180" w:wrap="around" w:vAnchor="text" w:hAnchor="text" w:y="1"/>
                    <w:jc w:val="center"/>
                  </w:pPr>
                  <w:r>
                    <w:t>28±13</w:t>
                  </w:r>
                </w:p>
              </w:tc>
              <w:tc>
                <w:tcPr>
                  <w:tcW w:w="1108" w:type="dxa"/>
                  <w:shd w:val="clear" w:color="auto" w:fill="FFFFFF" w:themeFill="background1"/>
                </w:tcPr>
                <w:p w:rsidR="001D0FDA" w:rsidRPr="0039124B" w:rsidRDefault="001D0FDA" w:rsidP="00B5196D">
                  <w:pPr>
                    <w:pStyle w:val="Tabletext"/>
                    <w:framePr w:hSpace="180" w:wrap="around" w:vAnchor="text" w:hAnchor="text" w:y="1"/>
                    <w:jc w:val="center"/>
                  </w:pPr>
                  <w:r>
                    <w:t>29±12</w:t>
                  </w:r>
                </w:p>
              </w:tc>
            </w:tr>
            <w:tr w:rsidR="001D0FDA" w:rsidRPr="001B3364" w:rsidTr="001D0FDA">
              <w:tc>
                <w:tcPr>
                  <w:tcW w:w="2161"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rPr>
                      <w:rFonts w:cs="Tahoma"/>
                      <w:szCs w:val="18"/>
                    </w:rPr>
                  </w:pPr>
                  <w:r w:rsidRPr="00351FF5">
                    <w:rPr>
                      <w:rFonts w:cs="Tahoma"/>
                      <w:szCs w:val="18"/>
                    </w:rPr>
                    <w:t>Gender, femal</w:t>
                  </w:r>
                  <w:r>
                    <w:rPr>
                      <w:rFonts w:cs="Tahoma"/>
                      <w:szCs w:val="18"/>
                    </w:rPr>
                    <w:t>e</w:t>
                  </w:r>
                  <w:r w:rsidRPr="00351FF5">
                    <w:rPr>
                      <w:rFonts w:cs="Tahoma"/>
                      <w:szCs w:val="18"/>
                    </w:rPr>
                    <w:t>, n (%)</w:t>
                  </w:r>
                </w:p>
              </w:tc>
              <w:tc>
                <w:tcPr>
                  <w:tcW w:w="1019" w:type="dxa"/>
                  <w:tcBorders>
                    <w:bottom w:val="single" w:sz="4" w:space="0" w:color="BFBFBF" w:themeColor="background1" w:themeShade="BF"/>
                  </w:tcBorders>
                </w:tcPr>
                <w:p w:rsidR="001D0FDA" w:rsidRPr="0039124B" w:rsidRDefault="001D0FDA" w:rsidP="00B5196D">
                  <w:pPr>
                    <w:pStyle w:val="Tabletext"/>
                    <w:framePr w:hSpace="180" w:wrap="around" w:vAnchor="text" w:hAnchor="text" w:y="1"/>
                    <w:jc w:val="center"/>
                  </w:pPr>
                  <w:r w:rsidRPr="009246DC">
                    <w:t>87 (63%)</w:t>
                  </w:r>
                </w:p>
              </w:tc>
              <w:tc>
                <w:tcPr>
                  <w:tcW w:w="1108" w:type="dxa"/>
                  <w:tcBorders>
                    <w:bottom w:val="single" w:sz="4" w:space="0" w:color="BFBFBF" w:themeColor="background1" w:themeShade="BF"/>
                  </w:tcBorders>
                </w:tcPr>
                <w:p w:rsidR="001D0FDA" w:rsidRPr="0039124B" w:rsidRDefault="001D0FDA" w:rsidP="00B5196D">
                  <w:pPr>
                    <w:pStyle w:val="Tabletext"/>
                    <w:framePr w:hSpace="180" w:wrap="around" w:vAnchor="text" w:hAnchor="text" w:y="1"/>
                    <w:jc w:val="center"/>
                  </w:pPr>
                  <w:r w:rsidRPr="009246DC">
                    <w:t>22 (56%)</w:t>
                  </w:r>
                </w:p>
              </w:tc>
            </w:tr>
            <w:tr w:rsidR="001D0FDA" w:rsidRPr="001B3364" w:rsidTr="001D0FDA">
              <w:tc>
                <w:tcPr>
                  <w:tcW w:w="2161" w:type="dxa"/>
                  <w:tcBorders>
                    <w:bottom w:val="nil"/>
                  </w:tcBorders>
                  <w:shd w:val="clear" w:color="auto" w:fill="FFFFFF" w:themeFill="background1"/>
                </w:tcPr>
                <w:p w:rsidR="001D0FDA" w:rsidRPr="00C5782C" w:rsidRDefault="001D0FDA" w:rsidP="00B5196D">
                  <w:pPr>
                    <w:pStyle w:val="Tabletext"/>
                    <w:framePr w:hSpace="180" w:wrap="around" w:vAnchor="text" w:hAnchor="text" w:y="1"/>
                  </w:pPr>
                  <w:r>
                    <w:t>Aetiology</w:t>
                  </w:r>
                </w:p>
              </w:tc>
              <w:tc>
                <w:tcPr>
                  <w:tcW w:w="1019"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c>
                <w:tcPr>
                  <w:tcW w:w="1108"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r>
            <w:tr w:rsidR="001D0FDA" w:rsidRPr="001B3364" w:rsidTr="001D0FDA">
              <w:tc>
                <w:tcPr>
                  <w:tcW w:w="2161" w:type="dxa"/>
                  <w:tcBorders>
                    <w:top w:val="nil"/>
                    <w:bottom w:val="nil"/>
                  </w:tcBorders>
                  <w:shd w:val="clear" w:color="auto" w:fill="FFFFFF" w:themeFill="background1"/>
                </w:tcPr>
                <w:p w:rsidR="001D0FDA" w:rsidRPr="00C5782C" w:rsidRDefault="001D0FDA" w:rsidP="00B5196D">
                  <w:pPr>
                    <w:pStyle w:val="Tabletext"/>
                    <w:framePr w:hSpace="180" w:wrap="around" w:vAnchor="text" w:hAnchor="text" w:y="1"/>
                    <w:ind w:left="262"/>
                  </w:pPr>
                  <w:r>
                    <w:t>I</w:t>
                  </w:r>
                  <w:r w:rsidRPr="00C5782C">
                    <w:t>PAH</w:t>
                  </w:r>
                </w:p>
              </w:tc>
              <w:tc>
                <w:tcPr>
                  <w:tcW w:w="1019" w:type="dxa"/>
                  <w:tcBorders>
                    <w:top w:val="nil"/>
                    <w:bottom w:val="single" w:sz="4" w:space="0" w:color="BFBFBF" w:themeColor="background1" w:themeShade="BF"/>
                  </w:tcBorders>
                  <w:shd w:val="clear" w:color="auto" w:fill="FFFFFF" w:themeFill="background1"/>
                </w:tcPr>
                <w:p w:rsidR="001D0FDA" w:rsidRDefault="001D0FDA" w:rsidP="00B5196D">
                  <w:pPr>
                    <w:pStyle w:val="Tabletext"/>
                    <w:framePr w:hSpace="180" w:wrap="around" w:vAnchor="text" w:hAnchor="text" w:y="1"/>
                    <w:jc w:val="center"/>
                  </w:pPr>
                  <w:r>
                    <w:t>139 (100%)</w:t>
                  </w:r>
                </w:p>
              </w:tc>
              <w:tc>
                <w:tcPr>
                  <w:tcW w:w="1108" w:type="dxa"/>
                  <w:tcBorders>
                    <w:top w:val="nil"/>
                    <w:bottom w:val="single" w:sz="4" w:space="0" w:color="BFBFBF" w:themeColor="background1" w:themeShade="BF"/>
                  </w:tcBorders>
                  <w:shd w:val="clear" w:color="auto" w:fill="FFFFFF" w:themeFill="background1"/>
                </w:tcPr>
                <w:p w:rsidR="001D0FDA" w:rsidRDefault="001D0FDA" w:rsidP="00B5196D">
                  <w:pPr>
                    <w:pStyle w:val="Tabletext"/>
                    <w:framePr w:hSpace="180" w:wrap="around" w:vAnchor="text" w:hAnchor="text" w:y="1"/>
                    <w:jc w:val="center"/>
                  </w:pPr>
                  <w:r>
                    <w:t>39 (100%)</w:t>
                  </w:r>
                </w:p>
              </w:tc>
            </w:tr>
            <w:tr w:rsidR="001D0FDA" w:rsidRPr="001B3364" w:rsidTr="001D0FDA">
              <w:tc>
                <w:tcPr>
                  <w:tcW w:w="2161" w:type="dxa"/>
                  <w:tcBorders>
                    <w:bottom w:val="nil"/>
                  </w:tcBorders>
                  <w:shd w:val="clear" w:color="auto" w:fill="FFFFFF" w:themeFill="background1"/>
                </w:tcPr>
                <w:p w:rsidR="001D0FDA" w:rsidRPr="00C5782C" w:rsidRDefault="001D0FDA" w:rsidP="00B5196D">
                  <w:pPr>
                    <w:pStyle w:val="Tabletext"/>
                    <w:framePr w:hSpace="180" w:wrap="around" w:vAnchor="text" w:hAnchor="text" w:y="1"/>
                  </w:pPr>
                  <w:r>
                    <w:t>WHO FC</w:t>
                  </w:r>
                </w:p>
              </w:tc>
              <w:tc>
                <w:tcPr>
                  <w:tcW w:w="1019"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c>
                <w:tcPr>
                  <w:tcW w:w="1108" w:type="dxa"/>
                  <w:tcBorders>
                    <w:bottom w:val="nil"/>
                  </w:tcBorders>
                  <w:shd w:val="clear" w:color="auto" w:fill="FFFFFF" w:themeFill="background1"/>
                </w:tcPr>
                <w:p w:rsidR="001D0FDA" w:rsidRPr="00C5782C" w:rsidRDefault="001D0FDA" w:rsidP="00B5196D">
                  <w:pPr>
                    <w:pStyle w:val="Tabletext"/>
                    <w:framePr w:hSpace="180" w:wrap="around" w:vAnchor="text" w:hAnchor="text" w:y="1"/>
                    <w:jc w:val="center"/>
                  </w:pPr>
                </w:p>
              </w:tc>
            </w:tr>
            <w:tr w:rsidR="001D0FDA" w:rsidRPr="001B3364" w:rsidTr="001D0FDA">
              <w:tc>
                <w:tcPr>
                  <w:tcW w:w="2161" w:type="dxa"/>
                  <w:tcBorders>
                    <w:top w:val="nil"/>
                    <w:bottom w:val="nil"/>
                  </w:tcBorders>
                  <w:shd w:val="clear" w:color="auto" w:fill="FFFFFF" w:themeFill="background1"/>
                </w:tcPr>
                <w:p w:rsidR="001D0FDA" w:rsidRDefault="001D0FDA" w:rsidP="00B5196D">
                  <w:pPr>
                    <w:pStyle w:val="Tabletext"/>
                    <w:framePr w:hSpace="180" w:wrap="around" w:vAnchor="text" w:hAnchor="text" w:y="1"/>
                    <w:ind w:left="262"/>
                  </w:pPr>
                  <w:r>
                    <w:t>II</w:t>
                  </w:r>
                </w:p>
              </w:tc>
              <w:tc>
                <w:tcPr>
                  <w:tcW w:w="1019" w:type="dxa"/>
                  <w:tcBorders>
                    <w:top w:val="nil"/>
                    <w:bottom w:val="nil"/>
                  </w:tcBorders>
                </w:tcPr>
                <w:p w:rsidR="001D0FDA" w:rsidRPr="00C5782C" w:rsidRDefault="001D0FDA" w:rsidP="00B5196D">
                  <w:pPr>
                    <w:pStyle w:val="Tabletext"/>
                    <w:framePr w:hSpace="180" w:wrap="around" w:vAnchor="text" w:hAnchor="text" w:y="1"/>
                    <w:jc w:val="center"/>
                  </w:pPr>
                  <w:r>
                    <w:t>60 (43%)</w:t>
                  </w:r>
                </w:p>
              </w:tc>
              <w:tc>
                <w:tcPr>
                  <w:tcW w:w="1108" w:type="dxa"/>
                  <w:tcBorders>
                    <w:top w:val="nil"/>
                    <w:bottom w:val="nil"/>
                  </w:tcBorders>
                </w:tcPr>
                <w:p w:rsidR="001D0FDA" w:rsidRPr="00C5782C" w:rsidRDefault="001D0FDA" w:rsidP="00B5196D">
                  <w:pPr>
                    <w:pStyle w:val="Tabletext"/>
                    <w:framePr w:hSpace="180" w:wrap="around" w:vAnchor="text" w:hAnchor="text" w:y="1"/>
                    <w:jc w:val="center"/>
                  </w:pPr>
                  <w:r>
                    <w:t>19 (49%)</w:t>
                  </w:r>
                </w:p>
              </w:tc>
            </w:tr>
            <w:tr w:rsidR="001D0FDA" w:rsidRPr="001B3364" w:rsidTr="001D0FDA">
              <w:tc>
                <w:tcPr>
                  <w:tcW w:w="2161" w:type="dxa"/>
                  <w:tcBorders>
                    <w:top w:val="nil"/>
                    <w:bottom w:val="nil"/>
                  </w:tcBorders>
                  <w:shd w:val="clear" w:color="auto" w:fill="FFFFFF" w:themeFill="background1"/>
                </w:tcPr>
                <w:p w:rsidR="001D0FDA" w:rsidRDefault="001D0FDA" w:rsidP="00B5196D">
                  <w:pPr>
                    <w:pStyle w:val="Tabletext"/>
                    <w:framePr w:hSpace="180" w:wrap="around" w:vAnchor="text" w:hAnchor="text" w:y="1"/>
                    <w:ind w:left="262"/>
                  </w:pPr>
                  <w:r>
                    <w:t>III</w:t>
                  </w:r>
                </w:p>
              </w:tc>
              <w:tc>
                <w:tcPr>
                  <w:tcW w:w="1019" w:type="dxa"/>
                  <w:tcBorders>
                    <w:top w:val="nil"/>
                    <w:bottom w:val="nil"/>
                  </w:tcBorders>
                </w:tcPr>
                <w:p w:rsidR="001D0FDA" w:rsidRPr="00C5782C" w:rsidRDefault="001D0FDA" w:rsidP="00B5196D">
                  <w:pPr>
                    <w:pStyle w:val="Tabletext"/>
                    <w:framePr w:hSpace="180" w:wrap="around" w:vAnchor="text" w:hAnchor="text" w:y="1"/>
                    <w:jc w:val="center"/>
                  </w:pPr>
                  <w:r>
                    <w:t>64 (46%)</w:t>
                  </w:r>
                </w:p>
              </w:tc>
              <w:tc>
                <w:tcPr>
                  <w:tcW w:w="1108" w:type="dxa"/>
                  <w:tcBorders>
                    <w:top w:val="nil"/>
                    <w:bottom w:val="nil"/>
                  </w:tcBorders>
                </w:tcPr>
                <w:p w:rsidR="001D0FDA" w:rsidRPr="00C5782C" w:rsidRDefault="001D0FDA" w:rsidP="00B5196D">
                  <w:pPr>
                    <w:pStyle w:val="Tabletext"/>
                    <w:framePr w:hSpace="180" w:wrap="around" w:vAnchor="text" w:hAnchor="text" w:y="1"/>
                    <w:jc w:val="center"/>
                  </w:pPr>
                  <w:r>
                    <w:t>18 (46%)</w:t>
                  </w:r>
                </w:p>
              </w:tc>
            </w:tr>
            <w:tr w:rsidR="001D0FDA" w:rsidRPr="001B3364" w:rsidTr="001D0FDA">
              <w:tc>
                <w:tcPr>
                  <w:tcW w:w="2161" w:type="dxa"/>
                  <w:tcBorders>
                    <w:top w:val="nil"/>
                  </w:tcBorders>
                  <w:shd w:val="clear" w:color="auto" w:fill="FFFFFF" w:themeFill="background1"/>
                </w:tcPr>
                <w:p w:rsidR="001D0FDA" w:rsidRDefault="001D0FDA" w:rsidP="00B5196D">
                  <w:pPr>
                    <w:pStyle w:val="Tabletext"/>
                    <w:framePr w:hSpace="180" w:wrap="around" w:vAnchor="text" w:hAnchor="text" w:y="1"/>
                    <w:ind w:left="262"/>
                  </w:pPr>
                  <w:r>
                    <w:t>IV</w:t>
                  </w:r>
                </w:p>
              </w:tc>
              <w:tc>
                <w:tcPr>
                  <w:tcW w:w="1019" w:type="dxa"/>
                  <w:tcBorders>
                    <w:top w:val="nil"/>
                  </w:tcBorders>
                </w:tcPr>
                <w:p w:rsidR="001D0FDA" w:rsidRPr="00C5782C" w:rsidRDefault="001D0FDA" w:rsidP="00B5196D">
                  <w:pPr>
                    <w:pStyle w:val="Tabletext"/>
                    <w:framePr w:hSpace="180" w:wrap="around" w:vAnchor="text" w:hAnchor="text" w:y="1"/>
                    <w:jc w:val="center"/>
                  </w:pPr>
                  <w:r>
                    <w:t>15 (11%)</w:t>
                  </w:r>
                </w:p>
              </w:tc>
              <w:tc>
                <w:tcPr>
                  <w:tcW w:w="1108" w:type="dxa"/>
                  <w:tcBorders>
                    <w:top w:val="nil"/>
                  </w:tcBorders>
                </w:tcPr>
                <w:p w:rsidR="001D0FDA" w:rsidRPr="00C5782C" w:rsidRDefault="001D0FDA" w:rsidP="00B5196D">
                  <w:pPr>
                    <w:pStyle w:val="Tabletext"/>
                    <w:framePr w:hSpace="180" w:wrap="around" w:vAnchor="text" w:hAnchor="text" w:y="1"/>
                    <w:jc w:val="center"/>
                  </w:pPr>
                  <w:r>
                    <w:t>2 (5%)</w:t>
                  </w:r>
                </w:p>
              </w:tc>
            </w:tr>
            <w:tr w:rsidR="001D0FDA" w:rsidRPr="001B3364" w:rsidTr="001D0FDA">
              <w:tc>
                <w:tcPr>
                  <w:tcW w:w="2161" w:type="dxa"/>
                </w:tcPr>
                <w:p w:rsidR="001D0FDA" w:rsidRDefault="001D0FDA" w:rsidP="00B5196D">
                  <w:pPr>
                    <w:pStyle w:val="Tabletext"/>
                    <w:framePr w:hSpace="180" w:wrap="around" w:vAnchor="text" w:hAnchor="text" w:y="1"/>
                  </w:pPr>
                  <w:r>
                    <w:rPr>
                      <w:rFonts w:cs="Tahoma"/>
                      <w:szCs w:val="18"/>
                    </w:rPr>
                    <w:t>Systolic PAP,</w:t>
                  </w:r>
                  <w:r w:rsidRPr="00351FF5">
                    <w:rPr>
                      <w:rFonts w:cs="Tahoma"/>
                      <w:szCs w:val="18"/>
                    </w:rPr>
                    <w:t xml:space="preserve"> mean±SD (mmHg)</w:t>
                  </w:r>
                </w:p>
              </w:tc>
              <w:tc>
                <w:tcPr>
                  <w:tcW w:w="1019" w:type="dxa"/>
                  <w:vAlign w:val="center"/>
                </w:tcPr>
                <w:p w:rsidR="001D0FDA" w:rsidRPr="00C5782C" w:rsidRDefault="001D0FDA" w:rsidP="00B5196D">
                  <w:pPr>
                    <w:pStyle w:val="Tabletext"/>
                    <w:framePr w:hSpace="180" w:wrap="around" w:vAnchor="text" w:hAnchor="text" w:y="1"/>
                    <w:jc w:val="center"/>
                  </w:pPr>
                  <w:r>
                    <w:t>102±27</w:t>
                  </w:r>
                </w:p>
              </w:tc>
              <w:tc>
                <w:tcPr>
                  <w:tcW w:w="1108" w:type="dxa"/>
                  <w:vAlign w:val="center"/>
                </w:tcPr>
                <w:p w:rsidR="001D0FDA" w:rsidRPr="00C5782C" w:rsidRDefault="001D0FDA" w:rsidP="00B5196D">
                  <w:pPr>
                    <w:pStyle w:val="Tabletext"/>
                    <w:framePr w:hSpace="180" w:wrap="around" w:vAnchor="text" w:hAnchor="text" w:y="1"/>
                    <w:jc w:val="center"/>
                  </w:pPr>
                  <w:r>
                    <w:t>95±25</w:t>
                  </w:r>
                </w:p>
              </w:tc>
            </w:tr>
          </w:tbl>
          <w:p w:rsidR="001D0FDA" w:rsidRDefault="001D0FDA" w:rsidP="001D0FDA">
            <w:pPr>
              <w:pStyle w:val="Tabletext"/>
            </w:pPr>
          </w:p>
        </w:tc>
        <w:tc>
          <w:tcPr>
            <w:tcW w:w="811" w:type="pct"/>
          </w:tcPr>
          <w:p w:rsidR="001D0FDA" w:rsidRDefault="001D0FDA" w:rsidP="001D0FDA">
            <w:pPr>
              <w:pStyle w:val="Tabletext"/>
              <w:rPr>
                <w:i/>
              </w:rPr>
            </w:pPr>
            <w:r>
              <w:rPr>
                <w:i/>
              </w:rPr>
              <w:t>Intervention</w:t>
            </w:r>
          </w:p>
          <w:p w:rsidR="001D0FDA" w:rsidRDefault="001D0FDA" w:rsidP="001D0FDA">
            <w:pPr>
              <w:pStyle w:val="Tabletext"/>
            </w:pPr>
            <w:r>
              <w:t>Sildenafil: 25-50mg tid</w:t>
            </w:r>
          </w:p>
          <w:p w:rsidR="001D0FDA" w:rsidRDefault="001D0FDA" w:rsidP="001D0FDA">
            <w:pPr>
              <w:pStyle w:val="Tabletext"/>
            </w:pPr>
          </w:p>
          <w:p w:rsidR="001D0FDA" w:rsidRDefault="001D0FDA" w:rsidP="001D0FDA">
            <w:pPr>
              <w:pStyle w:val="Tabletext"/>
              <w:rPr>
                <w:i/>
              </w:rPr>
            </w:pPr>
            <w:r>
              <w:rPr>
                <w:i/>
              </w:rPr>
              <w:t>Comparator</w:t>
            </w:r>
          </w:p>
          <w:p w:rsidR="001D0FDA" w:rsidRDefault="001D0FDA" w:rsidP="001D0FDA">
            <w:pPr>
              <w:pStyle w:val="Tabletext"/>
              <w:rPr>
                <w:i/>
              </w:rPr>
            </w:pPr>
            <w:r>
              <w:t>Conventional therapy</w:t>
            </w:r>
          </w:p>
        </w:tc>
        <w:tc>
          <w:tcPr>
            <w:tcW w:w="771" w:type="pct"/>
          </w:tcPr>
          <w:p w:rsidR="001D0FDA" w:rsidRPr="00EF6EEC" w:rsidRDefault="001D0FDA" w:rsidP="001D0FDA">
            <w:pPr>
              <w:pStyle w:val="Tabletext"/>
              <w:rPr>
                <w:rFonts w:cs="Tahoma"/>
                <w:i/>
                <w:szCs w:val="18"/>
              </w:rPr>
            </w:pPr>
            <w:r w:rsidRPr="00EF6EEC">
              <w:rPr>
                <w:rFonts w:cs="Tahoma"/>
                <w:i/>
                <w:szCs w:val="18"/>
              </w:rPr>
              <w:t>Effectiveness</w:t>
            </w:r>
          </w:p>
          <w:p w:rsidR="001D0FDA" w:rsidRPr="009246DC" w:rsidRDefault="001D0FDA" w:rsidP="00480FDF">
            <w:pPr>
              <w:pStyle w:val="Tabletext"/>
              <w:numPr>
                <w:ilvl w:val="0"/>
                <w:numId w:val="54"/>
              </w:numPr>
              <w:ind w:left="239" w:hanging="144"/>
              <w:rPr>
                <w:rFonts w:cs="Tahoma"/>
                <w:i/>
                <w:szCs w:val="18"/>
              </w:rPr>
            </w:pPr>
            <w:r>
              <w:rPr>
                <w:rFonts w:cs="Tahoma"/>
                <w:szCs w:val="18"/>
              </w:rPr>
              <w:t>Mortality</w:t>
            </w:r>
            <w:r w:rsidRPr="0043129C">
              <w:rPr>
                <w:rFonts w:cs="Tahoma"/>
                <w:szCs w:val="18"/>
                <w:vertAlign w:val="superscript"/>
              </w:rPr>
              <w:t>c</w:t>
            </w:r>
          </w:p>
          <w:p w:rsidR="001D0FDA" w:rsidRPr="0043129C" w:rsidRDefault="001D0FDA" w:rsidP="00480FDF">
            <w:pPr>
              <w:pStyle w:val="Tabletext"/>
              <w:numPr>
                <w:ilvl w:val="0"/>
                <w:numId w:val="54"/>
              </w:numPr>
              <w:ind w:left="239" w:hanging="144"/>
              <w:rPr>
                <w:rFonts w:cs="Tahoma"/>
                <w:i/>
                <w:szCs w:val="18"/>
              </w:rPr>
            </w:pPr>
            <w:r>
              <w:rPr>
                <w:rFonts w:cs="Tahoma"/>
                <w:szCs w:val="18"/>
              </w:rPr>
              <w:t>Change in WHO FC</w:t>
            </w:r>
          </w:p>
          <w:p w:rsidR="001D0FDA" w:rsidRPr="00EF6EEC" w:rsidRDefault="001D0FDA" w:rsidP="001D0FDA">
            <w:pPr>
              <w:pStyle w:val="Tabletext"/>
              <w:rPr>
                <w:rFonts w:cs="Tahoma"/>
                <w:szCs w:val="18"/>
              </w:rPr>
            </w:pPr>
          </w:p>
          <w:p w:rsidR="001D0FDA" w:rsidRPr="00EF6EEC" w:rsidRDefault="001D0FDA" w:rsidP="001D0FDA">
            <w:pPr>
              <w:pStyle w:val="Tabletext"/>
              <w:rPr>
                <w:rFonts w:cs="Tahoma"/>
                <w:i/>
                <w:szCs w:val="18"/>
              </w:rPr>
            </w:pPr>
            <w:r>
              <w:rPr>
                <w:rFonts w:cs="Tahoma"/>
                <w:i/>
                <w:szCs w:val="18"/>
              </w:rPr>
              <w:t>Safety</w:t>
            </w:r>
          </w:p>
          <w:p w:rsidR="001D0FDA" w:rsidRPr="00EF6EEC" w:rsidRDefault="001D0FDA" w:rsidP="00480FDF">
            <w:pPr>
              <w:pStyle w:val="Tabletext"/>
              <w:numPr>
                <w:ilvl w:val="0"/>
                <w:numId w:val="54"/>
              </w:numPr>
              <w:ind w:left="239" w:hanging="144"/>
              <w:rPr>
                <w:rFonts w:cs="Tahoma"/>
                <w:i/>
                <w:szCs w:val="18"/>
              </w:rPr>
            </w:pPr>
            <w:r w:rsidRPr="00EF6EEC">
              <w:rPr>
                <w:rFonts w:cs="Tahoma"/>
                <w:szCs w:val="18"/>
              </w:rPr>
              <w:t>Adverse events</w:t>
            </w:r>
          </w:p>
        </w:tc>
      </w:tr>
    </w:tbl>
    <w:p w:rsidR="00146880" w:rsidRPr="00EB1471" w:rsidRDefault="00146880" w:rsidP="00146880">
      <w:pPr>
        <w:pStyle w:val="Tablenote"/>
      </w:pPr>
      <w:r w:rsidRPr="00EB1471">
        <w:rPr>
          <w:vertAlign w:val="superscript"/>
        </w:rPr>
        <w:t>a</w:t>
      </w:r>
      <w:r w:rsidRPr="00EB1471">
        <w:t xml:space="preserve"> Number of patients in the control arm and those in the active treatment arm where a </w:t>
      </w:r>
      <w:r>
        <w:t>PAH medicine</w:t>
      </w:r>
      <w:r w:rsidRPr="00EB1471">
        <w:t xml:space="preserve"> was given at the recommended dose regimen. </w:t>
      </w:r>
    </w:p>
    <w:p w:rsidR="00146880" w:rsidRPr="00EB1471" w:rsidRDefault="00146880" w:rsidP="00146880">
      <w:pPr>
        <w:pStyle w:val="Tablenote"/>
      </w:pPr>
      <w:r>
        <w:rPr>
          <w:vertAlign w:val="superscript"/>
        </w:rPr>
        <w:t>b</w:t>
      </w:r>
      <w:r w:rsidRPr="00EB1471">
        <w:t xml:space="preserve"> Only including the active treatment arm where a </w:t>
      </w:r>
      <w:r>
        <w:t>PAH medicine</w:t>
      </w:r>
      <w:r w:rsidRPr="00EB1471">
        <w:t xml:space="preserve"> was given at the recommended dose regimen. </w:t>
      </w:r>
    </w:p>
    <w:p w:rsidR="00146880" w:rsidRDefault="00146880" w:rsidP="00146880">
      <w:pPr>
        <w:pStyle w:val="Tablenote"/>
      </w:pPr>
      <w:r>
        <w:rPr>
          <w:vertAlign w:val="superscript"/>
        </w:rPr>
        <w:t>c</w:t>
      </w:r>
      <w:r>
        <w:t xml:space="preserve"> Outcomes reported in the literature review</w:t>
      </w:r>
    </w:p>
    <w:p w:rsidR="00146880" w:rsidRDefault="00146880" w:rsidP="00146880">
      <w:pPr>
        <w:pStyle w:val="Tablenote"/>
      </w:pPr>
      <w:r w:rsidRPr="0049122E">
        <w:rPr>
          <w:vertAlign w:val="superscript"/>
        </w:rPr>
        <w:t>d</w:t>
      </w:r>
      <w:r w:rsidRPr="00026AAB">
        <w:t xml:space="preserve"> Publication year. Information on the study period was not available.</w:t>
      </w:r>
    </w:p>
    <w:p w:rsidR="00146880" w:rsidRPr="00493CB7" w:rsidRDefault="00146880" w:rsidP="00146880">
      <w:pPr>
        <w:pStyle w:val="Tablenote"/>
      </w:pPr>
      <w:r>
        <w:rPr>
          <w:vertAlign w:val="superscript"/>
        </w:rPr>
        <w:t>e</w:t>
      </w:r>
      <w:r>
        <w:t xml:space="preserve"> </w:t>
      </w:r>
      <w:r w:rsidRPr="00EB1471">
        <w:t>The bosentan monotherapy arm was excluded from the review, given that a non-trivial proportion of patients (28.6% (2 out of 7)) in this treatment group had CTEPH, not PAH.</w:t>
      </w:r>
    </w:p>
    <w:p w:rsidR="001D0FDA" w:rsidRDefault="001D0FDA" w:rsidP="001D0FDA">
      <w:pPr>
        <w:pStyle w:val="Tablenote"/>
      </w:pPr>
      <w:r w:rsidRPr="00A53185">
        <w:t xml:space="preserve">6MWD = 6-minute </w:t>
      </w:r>
      <w:r w:rsidR="0082368E">
        <w:t>walk distance</w:t>
      </w:r>
      <w:r w:rsidRPr="00A53185">
        <w:t>; BDS = Borg dyspnoea sc</w:t>
      </w:r>
      <w:r>
        <w:t>ale</w:t>
      </w:r>
      <w:r w:rsidRPr="00A53185">
        <w:t xml:space="preserve">; bid = twice daily; CTEPH = chronic thromboembolic pulmonary hypertension; DB = double-blinded; </w:t>
      </w:r>
      <w:r>
        <w:t xml:space="preserve">DBP = </w:t>
      </w:r>
      <w:r w:rsidRPr="00FC35EB">
        <w:t>diastolic blood pressure</w:t>
      </w:r>
      <w:r>
        <w:t xml:space="preserve">; EOT = end of treatment; EOS = end of study; </w:t>
      </w:r>
      <w:r w:rsidRPr="00A53185">
        <w:t xml:space="preserve">EQ-5D = EuroQoL 5 dimensions; </w:t>
      </w:r>
      <w:r w:rsidR="00107963" w:rsidRPr="00107963">
        <w:t>EQ-VAS = EuroQoL visual analogue scale</w:t>
      </w:r>
      <w:r w:rsidR="00107963">
        <w:t xml:space="preserve">; </w:t>
      </w:r>
      <w:r w:rsidRPr="00A53185">
        <w:t xml:space="preserve">ERA = endothelin receptor antagonist; FC = functional class; </w:t>
      </w:r>
      <w:r>
        <w:t xml:space="preserve">IV = intravenous; </w:t>
      </w:r>
      <w:r w:rsidRPr="00A53185">
        <w:t xml:space="preserve">HPAH = heritable pulmonary arterial hypertension; IPAH = idiopathic pulmonary arterial hypertension; </w:t>
      </w:r>
      <w:r w:rsidR="001C295E" w:rsidRPr="001C295E">
        <w:t xml:space="preserve">LPH = Living with pulmonary hypertension; </w:t>
      </w:r>
      <w:r>
        <w:t xml:space="preserve">LVEF = </w:t>
      </w:r>
      <w:r w:rsidRPr="00F5467F">
        <w:t>left ventricular ejection fraction</w:t>
      </w:r>
      <w:r>
        <w:t xml:space="preserve">; </w:t>
      </w:r>
      <w:r w:rsidR="001C295E" w:rsidRPr="001C295E">
        <w:t xml:space="preserve">MLHF = Minnesota living with heart failure; </w:t>
      </w:r>
      <w:r>
        <w:t xml:space="preserve">mPAP = mean pulmonary artery pressure; mRAP = mean right atrial pressure; </w:t>
      </w:r>
      <w:r w:rsidRPr="00A53185">
        <w:t>od = once daily; PDE-5</w:t>
      </w:r>
      <w:r>
        <w:t>i</w:t>
      </w:r>
      <w:r w:rsidRPr="00A53185">
        <w:t xml:space="preserve"> = phosphodiesterase type 5</w:t>
      </w:r>
      <w:r>
        <w:t xml:space="preserve"> inhibitor</w:t>
      </w:r>
      <w:r w:rsidRPr="00A53185">
        <w:t xml:space="preserve">; OL = open-label; PAH = pulmonary arterial hypertension; PAH-CHD = pulmonary arterial hypertension associated with congenital heart disease; PAH-CTD = pulmonary arterial hypertension associated with connective tissue disease; PAH-DT = drug/toxin-induced pulmonary arterial hypertension; PAH-HIV = pulmonary arterial hypertension associated with human immunodeficiency virus infection; PAH-PH = pulmonary arterial hypertension associated with portal hypertension; </w:t>
      </w:r>
      <w:r>
        <w:t xml:space="preserve">PVR = pulmonary vascular resistance; </w:t>
      </w:r>
      <w:r w:rsidRPr="00A53185">
        <w:t xml:space="preserve">RCT = randomised controlled trial; </w:t>
      </w:r>
      <w:r>
        <w:t xml:space="preserve">SBP = systolic blood pressure; SD = standard deviation; </w:t>
      </w:r>
      <w:r w:rsidRPr="00A53185">
        <w:t xml:space="preserve">SF-36 = 36-Item Short Form Survey; tid = three times a day; </w:t>
      </w:r>
      <w:r>
        <w:t xml:space="preserve">TPR = total pulmonary resistance; </w:t>
      </w:r>
      <w:r w:rsidRPr="00A53185">
        <w:t>WHO = World Health Organization</w:t>
      </w:r>
    </w:p>
    <w:p w:rsidR="001D0FDA" w:rsidRPr="007B0AA0" w:rsidRDefault="001D0FDA" w:rsidP="001D0FDA">
      <w:pPr>
        <w:pStyle w:val="Caption"/>
      </w:pPr>
      <w:bookmarkStart w:id="492" w:name="_Toc512855549"/>
      <w:bookmarkEnd w:id="491"/>
      <w:r>
        <w:t>Table 4.</w:t>
      </w:r>
      <w:r w:rsidR="00AA722D">
        <w:rPr>
          <w:noProof/>
        </w:rPr>
        <w:t>145</w:t>
      </w:r>
      <w:r>
        <w:tab/>
        <w:t>Additional</w:t>
      </w:r>
      <w:r w:rsidRPr="00F673B8">
        <w:rPr>
          <w:vertAlign w:val="superscript"/>
        </w:rPr>
        <w:t>a</w:t>
      </w:r>
      <w:r>
        <w:t xml:space="preserve"> studies included for extended assessment of safety</w:t>
      </w:r>
      <w:bookmarkEnd w:id="492"/>
    </w:p>
    <w:tbl>
      <w:tblPr>
        <w:tblStyle w:val="TableGrid2"/>
        <w:tblpPr w:leftFromText="180" w:rightFromText="180" w:vertAnchor="text" w:tblpY="1"/>
        <w:tblW w:w="4977" w:type="pct"/>
        <w:tblLook w:val="04A0" w:firstRow="1" w:lastRow="0" w:firstColumn="1" w:lastColumn="0" w:noHBand="0" w:noVBand="1"/>
        <w:tblCaption w:val="Additional studies included for extended assessment of safety"/>
      </w:tblPr>
      <w:tblGrid>
        <w:gridCol w:w="1543"/>
        <w:gridCol w:w="1383"/>
        <w:gridCol w:w="3204"/>
        <w:gridCol w:w="5425"/>
        <w:gridCol w:w="3061"/>
      </w:tblGrid>
      <w:tr w:rsidR="001D0FDA" w:rsidRPr="00204000" w:rsidTr="001D0FDA">
        <w:trPr>
          <w:cnfStyle w:val="100000000000" w:firstRow="1" w:lastRow="0" w:firstColumn="0" w:lastColumn="0" w:oddVBand="0" w:evenVBand="0" w:oddHBand="0" w:evenHBand="0" w:firstRowFirstColumn="0" w:firstRowLastColumn="0" w:lastRowFirstColumn="0" w:lastRowLastColumn="0"/>
        </w:trPr>
        <w:tc>
          <w:tcPr>
            <w:tcW w:w="528" w:type="pct"/>
            <w:tcBorders>
              <w:bottom w:val="single" w:sz="4" w:space="0" w:color="auto"/>
            </w:tcBorders>
          </w:tcPr>
          <w:p w:rsidR="001D0FDA" w:rsidRDefault="001D0FDA" w:rsidP="001D0FDA">
            <w:pPr>
              <w:pStyle w:val="Tabletext"/>
              <w:rPr>
                <w:b/>
                <w:color w:val="auto"/>
                <w:szCs w:val="18"/>
              </w:rPr>
            </w:pPr>
            <w:r w:rsidRPr="00204000">
              <w:rPr>
                <w:b/>
                <w:color w:val="auto"/>
                <w:szCs w:val="18"/>
              </w:rPr>
              <w:t>Study ID</w:t>
            </w:r>
          </w:p>
          <w:p w:rsidR="001D0FDA" w:rsidRPr="00204000" w:rsidRDefault="001D0FDA" w:rsidP="001D0FDA">
            <w:pPr>
              <w:pStyle w:val="Tabletext"/>
              <w:rPr>
                <w:b/>
                <w:color w:val="auto"/>
                <w:szCs w:val="18"/>
              </w:rPr>
            </w:pPr>
            <w:r>
              <w:rPr>
                <w:b/>
                <w:color w:val="auto"/>
                <w:szCs w:val="18"/>
              </w:rPr>
              <w:t>Author year</w:t>
            </w:r>
          </w:p>
          <w:p w:rsidR="001D0FDA" w:rsidRPr="00204000" w:rsidRDefault="001D0FDA" w:rsidP="001D0FDA">
            <w:pPr>
              <w:pStyle w:val="Tabletext"/>
              <w:rPr>
                <w:b/>
                <w:color w:val="auto"/>
                <w:szCs w:val="18"/>
              </w:rPr>
            </w:pPr>
            <w:r>
              <w:rPr>
                <w:b/>
                <w:color w:val="auto"/>
                <w:szCs w:val="18"/>
              </w:rPr>
              <w:t>Study period</w:t>
            </w:r>
          </w:p>
          <w:p w:rsidR="001D0FDA" w:rsidRPr="00204000" w:rsidRDefault="001D0FDA" w:rsidP="001D0FDA">
            <w:pPr>
              <w:pStyle w:val="Tabletext"/>
              <w:rPr>
                <w:rFonts w:cs="Tahoma"/>
                <w:b/>
                <w:color w:val="auto"/>
                <w:szCs w:val="18"/>
              </w:rPr>
            </w:pPr>
            <w:r>
              <w:rPr>
                <w:rFonts w:cs="Tahoma"/>
                <w:b/>
                <w:color w:val="auto"/>
                <w:szCs w:val="18"/>
              </w:rPr>
              <w:t>Location</w:t>
            </w:r>
          </w:p>
        </w:tc>
        <w:tc>
          <w:tcPr>
            <w:tcW w:w="473" w:type="pct"/>
            <w:tcBorders>
              <w:bottom w:val="single" w:sz="4" w:space="0" w:color="auto"/>
            </w:tcBorders>
          </w:tcPr>
          <w:p w:rsidR="001D0FDA" w:rsidRPr="00204000" w:rsidRDefault="001D0FDA" w:rsidP="001D0FDA">
            <w:pPr>
              <w:pStyle w:val="Tabletext"/>
              <w:rPr>
                <w:rFonts w:cs="Tahoma"/>
                <w:b/>
                <w:color w:val="auto"/>
                <w:szCs w:val="18"/>
              </w:rPr>
            </w:pPr>
            <w:r w:rsidRPr="00204000">
              <w:rPr>
                <w:rFonts w:cs="Tahoma"/>
                <w:b/>
                <w:color w:val="auto"/>
                <w:szCs w:val="18"/>
              </w:rPr>
              <w:t>Study design</w:t>
            </w:r>
          </w:p>
          <w:p w:rsidR="001D0FDA" w:rsidRPr="00204000" w:rsidRDefault="001D0FDA" w:rsidP="001D0FDA">
            <w:pPr>
              <w:pStyle w:val="Tabletext"/>
              <w:rPr>
                <w:rFonts w:cs="Tahoma"/>
                <w:b/>
                <w:color w:val="auto"/>
                <w:szCs w:val="18"/>
              </w:rPr>
            </w:pPr>
            <w:r w:rsidRPr="00204000">
              <w:rPr>
                <w:rFonts w:cs="Tahoma"/>
                <w:b/>
                <w:color w:val="auto"/>
                <w:szCs w:val="18"/>
              </w:rPr>
              <w:t>Level of evidence</w:t>
            </w:r>
          </w:p>
          <w:p w:rsidR="001D0FDA" w:rsidRPr="00204000" w:rsidRDefault="001D0FDA" w:rsidP="001D0FDA">
            <w:pPr>
              <w:pStyle w:val="Tabletext"/>
              <w:rPr>
                <w:rFonts w:cs="Tahoma"/>
                <w:b/>
                <w:color w:val="auto"/>
                <w:szCs w:val="18"/>
              </w:rPr>
            </w:pPr>
            <w:r>
              <w:rPr>
                <w:rFonts w:cs="Tahoma"/>
                <w:b/>
                <w:color w:val="auto"/>
                <w:szCs w:val="18"/>
              </w:rPr>
              <w:t>Duration of follow-up</w:t>
            </w:r>
          </w:p>
        </w:tc>
        <w:tc>
          <w:tcPr>
            <w:tcW w:w="1096" w:type="pct"/>
            <w:tcBorders>
              <w:bottom w:val="single" w:sz="4" w:space="0" w:color="auto"/>
            </w:tcBorders>
          </w:tcPr>
          <w:p w:rsidR="001D0FDA" w:rsidRDefault="001D0FDA" w:rsidP="001D0FDA">
            <w:pPr>
              <w:pStyle w:val="Tabletext"/>
              <w:rPr>
                <w:b/>
                <w:szCs w:val="18"/>
              </w:rPr>
            </w:pPr>
            <w:r w:rsidRPr="00204000">
              <w:rPr>
                <w:rFonts w:cs="Tahoma"/>
                <w:b/>
                <w:color w:val="auto"/>
                <w:szCs w:val="18"/>
              </w:rPr>
              <w:t>Eligibility criteria</w:t>
            </w:r>
          </w:p>
        </w:tc>
        <w:tc>
          <w:tcPr>
            <w:tcW w:w="1856" w:type="pct"/>
            <w:tcBorders>
              <w:bottom w:val="single" w:sz="4" w:space="0" w:color="auto"/>
            </w:tcBorders>
          </w:tcPr>
          <w:p w:rsidR="001D0FDA" w:rsidRDefault="001D0FDA" w:rsidP="001D0FDA">
            <w:pPr>
              <w:pStyle w:val="Tabletext"/>
              <w:rPr>
                <w:b/>
                <w:color w:val="auto"/>
                <w:szCs w:val="18"/>
              </w:rPr>
            </w:pPr>
            <w:r>
              <w:rPr>
                <w:b/>
                <w:color w:val="auto"/>
                <w:szCs w:val="18"/>
              </w:rPr>
              <w:t>N</w:t>
            </w:r>
            <w:r>
              <w:rPr>
                <w:b/>
                <w:color w:val="auto"/>
                <w:szCs w:val="18"/>
                <w:vertAlign w:val="superscript"/>
              </w:rPr>
              <w:t>b</w:t>
            </w:r>
          </w:p>
          <w:p w:rsidR="001D0FDA" w:rsidRPr="00204000" w:rsidRDefault="001D0FDA" w:rsidP="001D0FDA">
            <w:pPr>
              <w:pStyle w:val="Tabletext"/>
              <w:rPr>
                <w:b/>
                <w:color w:val="auto"/>
                <w:szCs w:val="18"/>
              </w:rPr>
            </w:pPr>
            <w:r w:rsidRPr="00204000">
              <w:rPr>
                <w:b/>
                <w:color w:val="auto"/>
                <w:szCs w:val="18"/>
              </w:rPr>
              <w:t>Population characteristics</w:t>
            </w:r>
          </w:p>
        </w:tc>
        <w:tc>
          <w:tcPr>
            <w:tcW w:w="1047" w:type="pct"/>
            <w:tcBorders>
              <w:bottom w:val="single" w:sz="4" w:space="0" w:color="auto"/>
            </w:tcBorders>
          </w:tcPr>
          <w:p w:rsidR="001D0FDA" w:rsidRDefault="001D0FDA" w:rsidP="001D0FDA">
            <w:pPr>
              <w:pStyle w:val="Tabletext"/>
              <w:rPr>
                <w:rFonts w:cs="Tahoma"/>
                <w:b/>
                <w:color w:val="auto"/>
                <w:szCs w:val="18"/>
              </w:rPr>
            </w:pPr>
            <w:r w:rsidRPr="00204000">
              <w:rPr>
                <w:rFonts w:cs="Tahoma"/>
                <w:b/>
                <w:color w:val="auto"/>
                <w:szCs w:val="18"/>
              </w:rPr>
              <w:t>Intervention</w:t>
            </w:r>
            <w:r>
              <w:rPr>
                <w:rFonts w:cs="Tahoma"/>
                <w:b/>
                <w:color w:val="auto"/>
                <w:szCs w:val="18"/>
                <w:vertAlign w:val="superscript"/>
              </w:rPr>
              <w:t>c</w:t>
            </w:r>
          </w:p>
          <w:p w:rsidR="001D0FDA" w:rsidRDefault="001D0FDA" w:rsidP="001D0FDA">
            <w:pPr>
              <w:pStyle w:val="Tabletext"/>
              <w:rPr>
                <w:rFonts w:cs="Tahoma"/>
                <w:b/>
                <w:color w:val="auto"/>
                <w:szCs w:val="18"/>
              </w:rPr>
            </w:pPr>
            <w:r w:rsidRPr="00204000">
              <w:rPr>
                <w:rFonts w:cs="Tahoma"/>
                <w:b/>
                <w:color w:val="auto"/>
                <w:szCs w:val="18"/>
              </w:rPr>
              <w:t>Comparator</w:t>
            </w:r>
            <w:r>
              <w:rPr>
                <w:rFonts w:cs="Tahoma"/>
                <w:b/>
                <w:color w:val="auto"/>
                <w:szCs w:val="18"/>
              </w:rPr>
              <w:t xml:space="preserve"> (if any)</w:t>
            </w:r>
          </w:p>
          <w:p w:rsidR="001D0FDA" w:rsidRPr="00204000" w:rsidRDefault="001D0FDA" w:rsidP="001D0FDA">
            <w:pPr>
              <w:pStyle w:val="Tabletext"/>
              <w:rPr>
                <w:rFonts w:cs="Tahoma"/>
                <w:b/>
                <w:color w:val="auto"/>
                <w:szCs w:val="18"/>
              </w:rPr>
            </w:pPr>
            <w:r>
              <w:rPr>
                <w:rFonts w:cs="Tahoma"/>
                <w:b/>
                <w:color w:val="auto"/>
                <w:szCs w:val="18"/>
              </w:rPr>
              <w:t>Combination therapy (if any)</w:t>
            </w:r>
          </w:p>
        </w:tc>
      </w:tr>
      <w:tr w:rsidR="001D0FDA" w:rsidRPr="00204000" w:rsidTr="001D0FDA">
        <w:tc>
          <w:tcPr>
            <w:tcW w:w="1001" w:type="pct"/>
            <w:gridSpan w:val="2"/>
            <w:shd w:val="clear" w:color="auto" w:fill="000000" w:themeFill="text1"/>
          </w:tcPr>
          <w:p w:rsidR="001D0FDA" w:rsidRPr="00D53F84" w:rsidRDefault="001D0FDA" w:rsidP="001D0FDA">
            <w:pPr>
              <w:pStyle w:val="Tabletext"/>
              <w:ind w:right="-28"/>
              <w:rPr>
                <w:rFonts w:eastAsia="Times New Roman"/>
                <w:snapToGrid w:val="0"/>
                <w:lang w:eastAsia="en-US"/>
              </w:rPr>
            </w:pPr>
            <w:r>
              <w:rPr>
                <w:rFonts w:eastAsia="Times New Roman"/>
                <w:b/>
                <w:color w:val="FFFFFF" w:themeColor="background1"/>
                <w:lang w:eastAsia="en-US"/>
              </w:rPr>
              <w:lastRenderedPageBreak/>
              <w:t>Randomised controlled trials</w:t>
            </w:r>
          </w:p>
        </w:tc>
        <w:tc>
          <w:tcPr>
            <w:tcW w:w="1096" w:type="pct"/>
            <w:shd w:val="clear" w:color="auto" w:fill="000000" w:themeFill="text1"/>
          </w:tcPr>
          <w:p w:rsidR="001D0FDA" w:rsidRPr="00EA1FCD" w:rsidRDefault="001D0FDA" w:rsidP="001D0FDA">
            <w:pPr>
              <w:pStyle w:val="Tabletext"/>
              <w:rPr>
                <w:rFonts w:cs="Tahoma"/>
                <w:i/>
                <w:szCs w:val="18"/>
              </w:rPr>
            </w:pPr>
          </w:p>
        </w:tc>
        <w:tc>
          <w:tcPr>
            <w:tcW w:w="1856" w:type="pct"/>
            <w:shd w:val="clear" w:color="auto" w:fill="000000" w:themeFill="text1"/>
          </w:tcPr>
          <w:p w:rsidR="001D0FDA" w:rsidRDefault="001D0FDA" w:rsidP="001D0FDA">
            <w:pPr>
              <w:pStyle w:val="Tabletext"/>
              <w:rPr>
                <w:rFonts w:cs="Tahoma"/>
                <w:szCs w:val="18"/>
              </w:rPr>
            </w:pPr>
          </w:p>
        </w:tc>
        <w:tc>
          <w:tcPr>
            <w:tcW w:w="1047" w:type="pct"/>
            <w:shd w:val="clear" w:color="auto" w:fill="000000" w:themeFill="text1"/>
          </w:tcPr>
          <w:p w:rsidR="001D0FDA" w:rsidRDefault="001D0FDA" w:rsidP="001D0FDA">
            <w:pPr>
              <w:pStyle w:val="Tabletext"/>
              <w:rPr>
                <w:rFonts w:cs="Tahoma"/>
                <w:i/>
                <w:szCs w:val="18"/>
              </w:rPr>
            </w:pPr>
          </w:p>
        </w:tc>
      </w:tr>
      <w:tr w:rsidR="001D0FDA" w:rsidRPr="00204000" w:rsidTr="001D0FDA">
        <w:tc>
          <w:tcPr>
            <w:tcW w:w="528" w:type="pct"/>
          </w:tcPr>
          <w:p w:rsidR="001D0FDA" w:rsidRPr="00BB3D48" w:rsidRDefault="001D0FDA" w:rsidP="001D0FDA">
            <w:pPr>
              <w:pStyle w:val="Tabletext"/>
              <w:rPr>
                <w:rFonts w:cs="Tahoma"/>
                <w:szCs w:val="18"/>
              </w:rPr>
            </w:pPr>
            <w:r w:rsidRPr="00BB3D48">
              <w:rPr>
                <w:rFonts w:cs="Tahoma"/>
                <w:szCs w:val="18"/>
              </w:rPr>
              <w:t>STARTS-1</w:t>
            </w:r>
            <w:r w:rsidR="001D34EE" w:rsidRPr="001A1C44">
              <w:rPr>
                <w:rFonts w:cs="Tahoma"/>
                <w:noProof/>
                <w:szCs w:val="18"/>
                <w:vertAlign w:val="superscript"/>
              </w:rPr>
              <w:t>54</w:t>
            </w:r>
          </w:p>
          <w:p w:rsidR="001D0FDA" w:rsidRPr="00BB3D48" w:rsidRDefault="001D0FDA" w:rsidP="001D0FDA">
            <w:pPr>
              <w:pStyle w:val="Tabletext"/>
              <w:rPr>
                <w:rFonts w:cs="Tahoma"/>
                <w:szCs w:val="18"/>
              </w:rPr>
            </w:pPr>
            <w:r w:rsidRPr="00BB3D48">
              <w:rPr>
                <w:rFonts w:cs="Tahoma"/>
                <w:szCs w:val="18"/>
              </w:rPr>
              <w:t>2003-2008</w:t>
            </w:r>
          </w:p>
          <w:p w:rsidR="001D0FDA" w:rsidRDefault="001D0FDA" w:rsidP="001D0FDA">
            <w:pPr>
              <w:pStyle w:val="Tabletext"/>
              <w:rPr>
                <w:rFonts w:cs="Tahoma"/>
                <w:szCs w:val="18"/>
              </w:rPr>
            </w:pPr>
            <w:r w:rsidRPr="00BB3D48">
              <w:rPr>
                <w:rFonts w:cs="Tahoma"/>
                <w:szCs w:val="18"/>
              </w:rPr>
              <w:t>North, South, and Central America, Asia, Europe</w:t>
            </w:r>
          </w:p>
        </w:tc>
        <w:tc>
          <w:tcPr>
            <w:tcW w:w="473" w:type="pct"/>
          </w:tcPr>
          <w:p w:rsidR="001D0FDA" w:rsidRDefault="001D0FDA" w:rsidP="001D0FDA">
            <w:pPr>
              <w:pStyle w:val="Tabletext"/>
              <w:rPr>
                <w:rFonts w:cs="Tahoma"/>
                <w:szCs w:val="18"/>
              </w:rPr>
            </w:pPr>
            <w:r w:rsidRPr="00BB3D48">
              <w:rPr>
                <w:rFonts w:cs="Tahoma"/>
                <w:szCs w:val="18"/>
              </w:rPr>
              <w:t>RCT, DB</w:t>
            </w:r>
          </w:p>
          <w:p w:rsidR="001D0FDA" w:rsidRPr="00BB3D48" w:rsidRDefault="001D0FDA" w:rsidP="001D0FDA">
            <w:pPr>
              <w:pStyle w:val="Tabletext"/>
              <w:rPr>
                <w:rFonts w:cs="Tahoma"/>
                <w:szCs w:val="18"/>
              </w:rPr>
            </w:pPr>
            <w:r>
              <w:rPr>
                <w:rFonts w:cs="Tahoma"/>
                <w:szCs w:val="18"/>
              </w:rPr>
              <w:t>Level II evidence</w:t>
            </w:r>
          </w:p>
          <w:p w:rsidR="001D0FDA" w:rsidRPr="00351FF5" w:rsidRDefault="001D0FDA" w:rsidP="001D0FDA">
            <w:pPr>
              <w:pStyle w:val="Tabletext"/>
              <w:rPr>
                <w:rFonts w:cs="Tahoma"/>
                <w:szCs w:val="18"/>
              </w:rPr>
            </w:pPr>
            <w:r>
              <w:rPr>
                <w:rFonts w:cs="Tahoma"/>
                <w:szCs w:val="18"/>
              </w:rPr>
              <w:t xml:space="preserve">Follow-up: </w:t>
            </w:r>
            <w:r w:rsidRPr="00BB3D48">
              <w:rPr>
                <w:rFonts w:cs="Tahoma"/>
                <w:szCs w:val="18"/>
              </w:rPr>
              <w:t>16 weeks</w:t>
            </w:r>
          </w:p>
        </w:tc>
        <w:tc>
          <w:tcPr>
            <w:tcW w:w="1096" w:type="pct"/>
          </w:tcPr>
          <w:p w:rsidR="001D0FDA" w:rsidRPr="00BB3D48" w:rsidRDefault="001D0FDA" w:rsidP="001D0FDA">
            <w:pPr>
              <w:pStyle w:val="Tabletext"/>
              <w:rPr>
                <w:rFonts w:cs="Tahoma"/>
                <w:i/>
                <w:szCs w:val="18"/>
              </w:rPr>
            </w:pPr>
            <w:r w:rsidRPr="00BB3D48">
              <w:rPr>
                <w:rFonts w:cs="Tahoma"/>
                <w:i/>
                <w:szCs w:val="18"/>
              </w:rPr>
              <w:t>Inclusion criteria</w:t>
            </w:r>
          </w:p>
          <w:p w:rsidR="001D0FDA" w:rsidRPr="00BB3D48" w:rsidRDefault="001D0FDA" w:rsidP="00480FDF">
            <w:pPr>
              <w:pStyle w:val="Tabletext"/>
              <w:numPr>
                <w:ilvl w:val="0"/>
                <w:numId w:val="54"/>
              </w:numPr>
              <w:ind w:left="239" w:hanging="144"/>
              <w:rPr>
                <w:rFonts w:cs="Tahoma"/>
                <w:szCs w:val="18"/>
              </w:rPr>
            </w:pPr>
            <w:r>
              <w:rPr>
                <w:rFonts w:cs="Tahoma"/>
                <w:szCs w:val="18"/>
              </w:rPr>
              <w:t xml:space="preserve">Age of </w:t>
            </w:r>
            <w:r w:rsidRPr="00BB3D48">
              <w:rPr>
                <w:rFonts w:cs="Tahoma"/>
                <w:szCs w:val="18"/>
              </w:rPr>
              <w:t>1</w:t>
            </w:r>
            <w:r>
              <w:rPr>
                <w:rFonts w:cs="Tahoma"/>
                <w:szCs w:val="18"/>
              </w:rPr>
              <w:t xml:space="preserve">-17 years, </w:t>
            </w:r>
            <w:r w:rsidRPr="00BB3D48">
              <w:rPr>
                <w:rFonts w:cs="Tahoma"/>
                <w:szCs w:val="18"/>
              </w:rPr>
              <w:t xml:space="preserve">weighing ≥8 kg </w:t>
            </w:r>
          </w:p>
          <w:p w:rsidR="001D0FDA" w:rsidRPr="00BB3D48" w:rsidRDefault="001D0FDA" w:rsidP="00480FDF">
            <w:pPr>
              <w:pStyle w:val="Tabletext"/>
              <w:numPr>
                <w:ilvl w:val="0"/>
                <w:numId w:val="54"/>
              </w:numPr>
              <w:ind w:left="239" w:hanging="144"/>
              <w:rPr>
                <w:rFonts w:cs="Tahoma"/>
                <w:szCs w:val="18"/>
              </w:rPr>
            </w:pPr>
            <w:r>
              <w:rPr>
                <w:rFonts w:cs="Tahoma"/>
                <w:szCs w:val="18"/>
              </w:rPr>
              <w:t>Patients w</w:t>
            </w:r>
            <w:r w:rsidRPr="00BB3D48">
              <w:rPr>
                <w:rFonts w:cs="Tahoma"/>
                <w:szCs w:val="18"/>
              </w:rPr>
              <w:t>ith IPAH, HPAH, PAH-CTD, or PAH-CHD (children with unrepaired shunts were enrolled only if their condition was considered inoperable because of their pulmonary vascular obstructive disease)</w:t>
            </w:r>
          </w:p>
          <w:p w:rsidR="001D0FDA" w:rsidRPr="00BB3D48" w:rsidRDefault="001D0FDA" w:rsidP="001D0FDA">
            <w:pPr>
              <w:pStyle w:val="Tabletext"/>
              <w:rPr>
                <w:rFonts w:cs="Tahoma"/>
                <w:i/>
                <w:szCs w:val="18"/>
              </w:rPr>
            </w:pPr>
          </w:p>
          <w:p w:rsidR="001D0FDA" w:rsidRPr="00BB3D48" w:rsidRDefault="001D0FDA" w:rsidP="001D0FDA">
            <w:pPr>
              <w:pStyle w:val="Tabletext"/>
              <w:rPr>
                <w:rFonts w:cs="Tahoma"/>
                <w:i/>
                <w:szCs w:val="18"/>
              </w:rPr>
            </w:pPr>
            <w:r w:rsidRPr="00BB3D48">
              <w:rPr>
                <w:rFonts w:cs="Tahoma"/>
                <w:i/>
                <w:szCs w:val="18"/>
              </w:rPr>
              <w:t>Exclusion criteria</w:t>
            </w:r>
          </w:p>
          <w:p w:rsidR="001D0FDA" w:rsidRPr="00351FF5" w:rsidRDefault="001D0FDA" w:rsidP="00480FDF">
            <w:pPr>
              <w:pStyle w:val="Tabletext"/>
              <w:numPr>
                <w:ilvl w:val="0"/>
                <w:numId w:val="54"/>
              </w:numPr>
              <w:ind w:left="239" w:hanging="144"/>
              <w:rPr>
                <w:rFonts w:cs="Tahoma"/>
                <w:i/>
                <w:szCs w:val="18"/>
              </w:rPr>
            </w:pPr>
            <w:r w:rsidRPr="00A53185">
              <w:rPr>
                <w:rFonts w:cs="Tahoma"/>
                <w:szCs w:val="18"/>
              </w:rPr>
              <w:t xml:space="preserve">Patients receiving </w:t>
            </w:r>
            <w:r>
              <w:rPr>
                <w:rFonts w:cs="Tahoma"/>
                <w:szCs w:val="18"/>
              </w:rPr>
              <w:t>prostanoid, ERA</w:t>
            </w:r>
            <w:r w:rsidRPr="00A53185">
              <w:rPr>
                <w:rFonts w:cs="Tahoma"/>
                <w:szCs w:val="18"/>
              </w:rPr>
              <w:t>, or PDE-5</w:t>
            </w:r>
            <w:r>
              <w:rPr>
                <w:rFonts w:cs="Tahoma"/>
                <w:szCs w:val="18"/>
              </w:rPr>
              <w:t>i</w:t>
            </w:r>
          </w:p>
        </w:tc>
        <w:tc>
          <w:tcPr>
            <w:tcW w:w="1856" w:type="pct"/>
          </w:tcPr>
          <w:p w:rsidR="001D0FDA" w:rsidRDefault="001D0FDA" w:rsidP="001D0FDA">
            <w:pPr>
              <w:pStyle w:val="Tabletext"/>
              <w:rPr>
                <w:rFonts w:cs="Tahoma"/>
                <w:szCs w:val="18"/>
              </w:rPr>
            </w:pPr>
            <w:r>
              <w:rPr>
                <w:rFonts w:cs="Tahoma"/>
                <w:szCs w:val="18"/>
              </w:rPr>
              <w:t>N=234</w:t>
            </w:r>
          </w:p>
          <w:tbl>
            <w:tblPr>
              <w:tblStyle w:val="TableGrid"/>
              <w:tblW w:w="51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STARTS-1"/>
            </w:tblPr>
            <w:tblGrid>
              <w:gridCol w:w="1353"/>
              <w:gridCol w:w="987"/>
              <w:gridCol w:w="926"/>
              <w:gridCol w:w="1019"/>
              <w:gridCol w:w="899"/>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1349" w:type="dxa"/>
                  <w:tcBorders>
                    <w:bottom w:val="single" w:sz="4" w:space="0" w:color="BFBFBF" w:themeColor="background1" w:themeShade="BF"/>
                  </w:tcBorders>
                  <w:shd w:val="clear" w:color="auto" w:fill="FFFFFF" w:themeFill="background1"/>
                </w:tcPr>
                <w:p w:rsidR="001D0FDA" w:rsidRPr="00351FF5" w:rsidRDefault="001D0FDA" w:rsidP="00B5196D">
                  <w:pPr>
                    <w:pStyle w:val="Tabletext"/>
                    <w:framePr w:hSpace="180" w:wrap="around" w:vAnchor="text" w:hAnchor="text" w:y="1"/>
                  </w:pPr>
                </w:p>
              </w:tc>
              <w:tc>
                <w:tcPr>
                  <w:tcW w:w="994" w:type="dxa"/>
                  <w:tcBorders>
                    <w:bottom w:val="single" w:sz="4" w:space="0" w:color="BFBFBF" w:themeColor="background1" w:themeShade="BF"/>
                  </w:tcBorders>
                  <w:shd w:val="clear" w:color="auto" w:fill="FFFFFF" w:themeFill="background1"/>
                </w:tcPr>
                <w:p w:rsidR="001D0FDA" w:rsidRPr="007D4163" w:rsidRDefault="001D0FDA" w:rsidP="00B5196D">
                  <w:pPr>
                    <w:pStyle w:val="Tabletext"/>
                    <w:framePr w:hSpace="180" w:wrap="around" w:vAnchor="text" w:hAnchor="text" w:y="1"/>
                    <w:jc w:val="center"/>
                  </w:pPr>
                  <w:r w:rsidRPr="007D4163">
                    <w:t xml:space="preserve">Sildenafil </w:t>
                  </w:r>
                  <w:r>
                    <w:t>low dose</w:t>
                  </w:r>
                </w:p>
                <w:p w:rsidR="001D0FDA" w:rsidRPr="00802B85" w:rsidRDefault="001D0FDA" w:rsidP="00B5196D">
                  <w:pPr>
                    <w:pStyle w:val="Tabletext"/>
                    <w:framePr w:hSpace="180" w:wrap="around" w:vAnchor="text" w:hAnchor="text" w:y="1"/>
                    <w:jc w:val="center"/>
                  </w:pPr>
                  <w:r>
                    <w:t>(n=42)</w:t>
                  </w:r>
                </w:p>
              </w:tc>
              <w:tc>
                <w:tcPr>
                  <w:tcW w:w="905" w:type="dxa"/>
                  <w:tcBorders>
                    <w:bottom w:val="single" w:sz="4" w:space="0" w:color="BFBFBF" w:themeColor="background1" w:themeShade="BF"/>
                  </w:tcBorders>
                  <w:shd w:val="clear" w:color="auto" w:fill="FFFFFF" w:themeFill="background1"/>
                </w:tcPr>
                <w:p w:rsidR="001D0FDA" w:rsidRDefault="001D0FDA" w:rsidP="00B5196D">
                  <w:pPr>
                    <w:pStyle w:val="Tabletext"/>
                    <w:framePr w:hSpace="180" w:wrap="around" w:vAnchor="text" w:hAnchor="text" w:y="1"/>
                    <w:jc w:val="center"/>
                  </w:pPr>
                  <w:r>
                    <w:t>Sildenafil m</w:t>
                  </w:r>
                  <w:r w:rsidRPr="007D4163">
                    <w:t>edian</w:t>
                  </w:r>
                  <w:r>
                    <w:t xml:space="preserve"> dose</w:t>
                  </w:r>
                </w:p>
                <w:p w:rsidR="001D0FDA" w:rsidRPr="00411013" w:rsidRDefault="001D0FDA" w:rsidP="00B5196D">
                  <w:pPr>
                    <w:pStyle w:val="Tabletext"/>
                    <w:framePr w:hSpace="180" w:wrap="around" w:vAnchor="text" w:hAnchor="text" w:y="1"/>
                    <w:jc w:val="center"/>
                  </w:pPr>
                  <w:r w:rsidRPr="007D4163">
                    <w:t>(n=55)</w:t>
                  </w:r>
                </w:p>
              </w:tc>
              <w:tc>
                <w:tcPr>
                  <w:tcW w:w="1030" w:type="dxa"/>
                  <w:tcBorders>
                    <w:bottom w:val="single" w:sz="4" w:space="0" w:color="BFBFBF" w:themeColor="background1" w:themeShade="BF"/>
                  </w:tcBorders>
                  <w:shd w:val="clear" w:color="auto" w:fill="FFFFFF" w:themeFill="background1"/>
                </w:tcPr>
                <w:p w:rsidR="001D0FDA" w:rsidRPr="00802B85" w:rsidRDefault="001D0FDA" w:rsidP="00B5196D">
                  <w:pPr>
                    <w:pStyle w:val="Tabletext"/>
                    <w:framePr w:hSpace="180" w:wrap="around" w:vAnchor="text" w:hAnchor="text" w:y="1"/>
                    <w:jc w:val="center"/>
                  </w:pPr>
                  <w:r>
                    <w:t>Sildenafil h</w:t>
                  </w:r>
                  <w:r w:rsidRPr="007D4163">
                    <w:t xml:space="preserve">igh </w:t>
                  </w:r>
                  <w:r>
                    <w:t>dose (n=77)</w:t>
                  </w:r>
                </w:p>
              </w:tc>
              <w:tc>
                <w:tcPr>
                  <w:tcW w:w="906" w:type="dxa"/>
                  <w:tcBorders>
                    <w:bottom w:val="single" w:sz="4" w:space="0" w:color="BFBFBF" w:themeColor="background1" w:themeShade="BF"/>
                  </w:tcBorders>
                  <w:shd w:val="clear" w:color="auto" w:fill="FFFFFF" w:themeFill="background1"/>
                </w:tcPr>
                <w:p w:rsidR="001D0FDA" w:rsidRPr="007D4163" w:rsidRDefault="001D0FDA" w:rsidP="00B5196D">
                  <w:pPr>
                    <w:pStyle w:val="Tabletext"/>
                    <w:framePr w:hSpace="180" w:wrap="around" w:vAnchor="text" w:hAnchor="text" w:y="1"/>
                    <w:jc w:val="center"/>
                  </w:pPr>
                  <w:r w:rsidRPr="007D4163">
                    <w:t>Placebo</w:t>
                  </w:r>
                </w:p>
                <w:p w:rsidR="001D0FDA" w:rsidRPr="00802B85" w:rsidRDefault="001D0FDA" w:rsidP="00B5196D">
                  <w:pPr>
                    <w:pStyle w:val="Tabletext"/>
                    <w:framePr w:hSpace="180" w:wrap="around" w:vAnchor="text" w:hAnchor="text" w:y="1"/>
                    <w:jc w:val="center"/>
                  </w:pPr>
                  <w:r w:rsidRPr="007D4163">
                    <w:t>(n=60)</w:t>
                  </w:r>
                </w:p>
              </w:tc>
            </w:tr>
            <w:tr w:rsidR="001D0FDA" w:rsidRPr="00351FF5" w:rsidTr="001D0FDA">
              <w:tc>
                <w:tcPr>
                  <w:tcW w:w="1349" w:type="dxa"/>
                  <w:tcBorders>
                    <w:bottom w:val="nil"/>
                  </w:tcBorders>
                </w:tcPr>
                <w:p w:rsidR="001D0FDA" w:rsidRPr="00351FF5" w:rsidRDefault="001D0FDA" w:rsidP="00B5196D">
                  <w:pPr>
                    <w:pStyle w:val="Tabletext"/>
                    <w:framePr w:hSpace="180" w:wrap="around" w:vAnchor="text" w:hAnchor="text" w:y="1"/>
                  </w:pPr>
                  <w:r w:rsidRPr="00351FF5">
                    <w:t xml:space="preserve">Age, </w:t>
                  </w:r>
                  <w:r>
                    <w:t>n (%)</w:t>
                  </w:r>
                  <w:r w:rsidRPr="00351FF5">
                    <w:t xml:space="preserve"> </w:t>
                  </w:r>
                </w:p>
              </w:tc>
              <w:tc>
                <w:tcPr>
                  <w:tcW w:w="994" w:type="dxa"/>
                  <w:tcBorders>
                    <w:bottom w:val="nil"/>
                  </w:tcBorders>
                  <w:vAlign w:val="center"/>
                </w:tcPr>
                <w:p w:rsidR="001D0FDA" w:rsidRPr="00411013" w:rsidRDefault="001D0FDA" w:rsidP="00B5196D">
                  <w:pPr>
                    <w:pStyle w:val="Tabletext"/>
                    <w:framePr w:hSpace="180" w:wrap="around" w:vAnchor="text" w:hAnchor="text" w:y="1"/>
                  </w:pPr>
                </w:p>
              </w:tc>
              <w:tc>
                <w:tcPr>
                  <w:tcW w:w="905" w:type="dxa"/>
                  <w:tcBorders>
                    <w:bottom w:val="nil"/>
                  </w:tcBorders>
                  <w:vAlign w:val="center"/>
                </w:tcPr>
                <w:p w:rsidR="001D0FDA" w:rsidRPr="00411013" w:rsidRDefault="001D0FDA" w:rsidP="00B5196D">
                  <w:pPr>
                    <w:pStyle w:val="Tabletext"/>
                    <w:framePr w:hSpace="180" w:wrap="around" w:vAnchor="text" w:hAnchor="text" w:y="1"/>
                  </w:pPr>
                </w:p>
              </w:tc>
              <w:tc>
                <w:tcPr>
                  <w:tcW w:w="1030" w:type="dxa"/>
                  <w:tcBorders>
                    <w:bottom w:val="nil"/>
                  </w:tcBorders>
                  <w:vAlign w:val="center"/>
                </w:tcPr>
                <w:p w:rsidR="001D0FDA" w:rsidRPr="00411013" w:rsidRDefault="001D0FDA" w:rsidP="00B5196D">
                  <w:pPr>
                    <w:pStyle w:val="Tabletext"/>
                    <w:framePr w:hSpace="180" w:wrap="around" w:vAnchor="text" w:hAnchor="text" w:y="1"/>
                  </w:pPr>
                </w:p>
              </w:tc>
              <w:tc>
                <w:tcPr>
                  <w:tcW w:w="906" w:type="dxa"/>
                  <w:tcBorders>
                    <w:bottom w:val="nil"/>
                  </w:tcBorders>
                  <w:vAlign w:val="center"/>
                </w:tcPr>
                <w:p w:rsidR="001D0FDA" w:rsidRPr="00411013" w:rsidRDefault="001D0FDA" w:rsidP="00B5196D">
                  <w:pPr>
                    <w:pStyle w:val="Tabletext"/>
                    <w:framePr w:hSpace="180" w:wrap="around" w:vAnchor="text" w:hAnchor="text" w:y="1"/>
                  </w:pPr>
                </w:p>
              </w:tc>
            </w:tr>
            <w:tr w:rsidR="001D0FDA" w:rsidRPr="00351FF5" w:rsidTr="001D0FDA">
              <w:tc>
                <w:tcPr>
                  <w:tcW w:w="1349" w:type="dxa"/>
                  <w:tcBorders>
                    <w:top w:val="nil"/>
                    <w:bottom w:val="nil"/>
                  </w:tcBorders>
                </w:tcPr>
                <w:p w:rsidR="001D0FDA" w:rsidRPr="00351FF5" w:rsidRDefault="001D0FDA" w:rsidP="00B5196D">
                  <w:pPr>
                    <w:pStyle w:val="Tabletext"/>
                    <w:framePr w:hSpace="180" w:wrap="around" w:vAnchor="text" w:hAnchor="text" w:y="1"/>
                    <w:ind w:left="160"/>
                  </w:pPr>
                  <w:r>
                    <w:t>1-4 years</w:t>
                  </w:r>
                </w:p>
              </w:tc>
              <w:tc>
                <w:tcPr>
                  <w:tcW w:w="994" w:type="dxa"/>
                  <w:tcBorders>
                    <w:top w:val="nil"/>
                    <w:bottom w:val="nil"/>
                  </w:tcBorders>
                  <w:vAlign w:val="center"/>
                </w:tcPr>
                <w:p w:rsidR="001D0FDA" w:rsidRPr="00411013" w:rsidRDefault="001D0FDA" w:rsidP="00B5196D">
                  <w:pPr>
                    <w:pStyle w:val="Tabletext"/>
                    <w:framePr w:hSpace="180" w:wrap="around" w:vAnchor="text" w:hAnchor="text" w:y="1"/>
                    <w:jc w:val="center"/>
                  </w:pPr>
                  <w:r>
                    <w:t>0 (0%)</w:t>
                  </w:r>
                </w:p>
              </w:tc>
              <w:tc>
                <w:tcPr>
                  <w:tcW w:w="905" w:type="dxa"/>
                  <w:tcBorders>
                    <w:top w:val="nil"/>
                    <w:bottom w:val="nil"/>
                  </w:tcBorders>
                  <w:vAlign w:val="center"/>
                </w:tcPr>
                <w:p w:rsidR="001D0FDA" w:rsidRPr="00411013" w:rsidRDefault="001D0FDA" w:rsidP="00B5196D">
                  <w:pPr>
                    <w:pStyle w:val="Tabletext"/>
                    <w:framePr w:hSpace="180" w:wrap="around" w:vAnchor="text" w:hAnchor="text" w:y="1"/>
                    <w:jc w:val="center"/>
                  </w:pPr>
                  <w:r>
                    <w:t>9 (16%)</w:t>
                  </w:r>
                </w:p>
              </w:tc>
              <w:tc>
                <w:tcPr>
                  <w:tcW w:w="1030" w:type="dxa"/>
                  <w:tcBorders>
                    <w:top w:val="nil"/>
                    <w:bottom w:val="nil"/>
                  </w:tcBorders>
                  <w:vAlign w:val="center"/>
                </w:tcPr>
                <w:p w:rsidR="001D0FDA" w:rsidRPr="00411013" w:rsidRDefault="001D0FDA" w:rsidP="00B5196D">
                  <w:pPr>
                    <w:pStyle w:val="Tabletext"/>
                    <w:framePr w:hSpace="180" w:wrap="around" w:vAnchor="text" w:hAnchor="text" w:y="1"/>
                    <w:jc w:val="center"/>
                  </w:pPr>
                  <w:r>
                    <w:t>19 (25%)</w:t>
                  </w:r>
                </w:p>
              </w:tc>
              <w:tc>
                <w:tcPr>
                  <w:tcW w:w="906" w:type="dxa"/>
                  <w:tcBorders>
                    <w:top w:val="nil"/>
                    <w:bottom w:val="nil"/>
                  </w:tcBorders>
                  <w:vAlign w:val="center"/>
                </w:tcPr>
                <w:p w:rsidR="001D0FDA" w:rsidRPr="00411013" w:rsidRDefault="001D0FDA" w:rsidP="00B5196D">
                  <w:pPr>
                    <w:pStyle w:val="Tabletext"/>
                    <w:framePr w:hSpace="180" w:wrap="around" w:vAnchor="text" w:hAnchor="text" w:y="1"/>
                    <w:jc w:val="center"/>
                  </w:pPr>
                  <w:r>
                    <w:t>7 (12%)</w:t>
                  </w:r>
                </w:p>
              </w:tc>
            </w:tr>
            <w:tr w:rsidR="001D0FDA" w:rsidRPr="00351FF5" w:rsidTr="001D0FDA">
              <w:tc>
                <w:tcPr>
                  <w:tcW w:w="1349" w:type="dxa"/>
                  <w:tcBorders>
                    <w:top w:val="nil"/>
                    <w:bottom w:val="nil"/>
                  </w:tcBorders>
                </w:tcPr>
                <w:p w:rsidR="001D0FDA" w:rsidRPr="00351FF5" w:rsidRDefault="001D0FDA" w:rsidP="00B5196D">
                  <w:pPr>
                    <w:pStyle w:val="Tabletext"/>
                    <w:framePr w:hSpace="180" w:wrap="around" w:vAnchor="text" w:hAnchor="text" w:y="1"/>
                    <w:ind w:left="160"/>
                  </w:pPr>
                  <w:r>
                    <w:t>4-12 years</w:t>
                  </w:r>
                </w:p>
              </w:tc>
              <w:tc>
                <w:tcPr>
                  <w:tcW w:w="994" w:type="dxa"/>
                  <w:tcBorders>
                    <w:top w:val="nil"/>
                    <w:bottom w:val="nil"/>
                  </w:tcBorders>
                  <w:vAlign w:val="center"/>
                </w:tcPr>
                <w:p w:rsidR="001D0FDA" w:rsidRPr="00411013" w:rsidRDefault="001D0FDA" w:rsidP="00B5196D">
                  <w:pPr>
                    <w:pStyle w:val="Tabletext"/>
                    <w:framePr w:hSpace="180" w:wrap="around" w:vAnchor="text" w:hAnchor="text" w:y="1"/>
                    <w:jc w:val="center"/>
                  </w:pPr>
                  <w:r>
                    <w:t>25 (60%)</w:t>
                  </w:r>
                </w:p>
              </w:tc>
              <w:tc>
                <w:tcPr>
                  <w:tcW w:w="905" w:type="dxa"/>
                  <w:tcBorders>
                    <w:top w:val="nil"/>
                    <w:bottom w:val="nil"/>
                  </w:tcBorders>
                  <w:vAlign w:val="center"/>
                </w:tcPr>
                <w:p w:rsidR="001D0FDA" w:rsidRPr="00411013" w:rsidRDefault="001D0FDA" w:rsidP="00B5196D">
                  <w:pPr>
                    <w:pStyle w:val="Tabletext"/>
                    <w:framePr w:hSpace="180" w:wrap="around" w:vAnchor="text" w:hAnchor="text" w:y="1"/>
                    <w:jc w:val="center"/>
                  </w:pPr>
                  <w:r>
                    <w:t>28 (51%)</w:t>
                  </w:r>
                </w:p>
              </w:tc>
              <w:tc>
                <w:tcPr>
                  <w:tcW w:w="1030" w:type="dxa"/>
                  <w:tcBorders>
                    <w:top w:val="nil"/>
                    <w:bottom w:val="nil"/>
                  </w:tcBorders>
                  <w:vAlign w:val="center"/>
                </w:tcPr>
                <w:p w:rsidR="001D0FDA" w:rsidRPr="00411013" w:rsidRDefault="001D0FDA" w:rsidP="00B5196D">
                  <w:pPr>
                    <w:pStyle w:val="Tabletext"/>
                    <w:framePr w:hSpace="180" w:wrap="around" w:vAnchor="text" w:hAnchor="text" w:y="1"/>
                    <w:jc w:val="center"/>
                  </w:pPr>
                  <w:r>
                    <w:t>36 (47%)</w:t>
                  </w:r>
                </w:p>
              </w:tc>
              <w:tc>
                <w:tcPr>
                  <w:tcW w:w="906" w:type="dxa"/>
                  <w:tcBorders>
                    <w:top w:val="nil"/>
                    <w:bottom w:val="nil"/>
                  </w:tcBorders>
                  <w:vAlign w:val="center"/>
                </w:tcPr>
                <w:p w:rsidR="001D0FDA" w:rsidRPr="00411013" w:rsidRDefault="001D0FDA" w:rsidP="00B5196D">
                  <w:pPr>
                    <w:pStyle w:val="Tabletext"/>
                    <w:framePr w:hSpace="180" w:wrap="around" w:vAnchor="text" w:hAnchor="text" w:y="1"/>
                    <w:jc w:val="center"/>
                  </w:pPr>
                  <w:r>
                    <w:t>37 (62%)</w:t>
                  </w:r>
                </w:p>
              </w:tc>
            </w:tr>
            <w:tr w:rsidR="001D0FDA" w:rsidRPr="00351FF5" w:rsidTr="001D0FDA">
              <w:tc>
                <w:tcPr>
                  <w:tcW w:w="1349" w:type="dxa"/>
                  <w:tcBorders>
                    <w:top w:val="nil"/>
                  </w:tcBorders>
                </w:tcPr>
                <w:p w:rsidR="001D0FDA" w:rsidRPr="00351FF5" w:rsidRDefault="001D0FDA" w:rsidP="00B5196D">
                  <w:pPr>
                    <w:pStyle w:val="Tabletext"/>
                    <w:framePr w:hSpace="180" w:wrap="around" w:vAnchor="text" w:hAnchor="text" w:y="1"/>
                    <w:ind w:left="160"/>
                  </w:pPr>
                  <w:r>
                    <w:t>13-17 years</w:t>
                  </w:r>
                </w:p>
              </w:tc>
              <w:tc>
                <w:tcPr>
                  <w:tcW w:w="994" w:type="dxa"/>
                  <w:tcBorders>
                    <w:top w:val="nil"/>
                  </w:tcBorders>
                  <w:vAlign w:val="center"/>
                </w:tcPr>
                <w:p w:rsidR="001D0FDA" w:rsidRPr="00411013" w:rsidRDefault="001D0FDA" w:rsidP="00B5196D">
                  <w:pPr>
                    <w:pStyle w:val="Tabletext"/>
                    <w:framePr w:hSpace="180" w:wrap="around" w:vAnchor="text" w:hAnchor="text" w:y="1"/>
                    <w:jc w:val="center"/>
                  </w:pPr>
                  <w:r>
                    <w:t>17 (40%)</w:t>
                  </w:r>
                </w:p>
              </w:tc>
              <w:tc>
                <w:tcPr>
                  <w:tcW w:w="905" w:type="dxa"/>
                  <w:tcBorders>
                    <w:top w:val="nil"/>
                  </w:tcBorders>
                  <w:vAlign w:val="center"/>
                </w:tcPr>
                <w:p w:rsidR="001D0FDA" w:rsidRPr="00411013" w:rsidRDefault="001D0FDA" w:rsidP="00B5196D">
                  <w:pPr>
                    <w:pStyle w:val="Tabletext"/>
                    <w:framePr w:hSpace="180" w:wrap="around" w:vAnchor="text" w:hAnchor="text" w:y="1"/>
                    <w:jc w:val="center"/>
                  </w:pPr>
                  <w:r>
                    <w:t>18 (33%)</w:t>
                  </w:r>
                </w:p>
              </w:tc>
              <w:tc>
                <w:tcPr>
                  <w:tcW w:w="1030" w:type="dxa"/>
                  <w:tcBorders>
                    <w:top w:val="nil"/>
                  </w:tcBorders>
                  <w:vAlign w:val="center"/>
                </w:tcPr>
                <w:p w:rsidR="001D0FDA" w:rsidRPr="00411013" w:rsidRDefault="001D0FDA" w:rsidP="00B5196D">
                  <w:pPr>
                    <w:pStyle w:val="Tabletext"/>
                    <w:framePr w:hSpace="180" w:wrap="around" w:vAnchor="text" w:hAnchor="text" w:y="1"/>
                    <w:jc w:val="center"/>
                  </w:pPr>
                  <w:r>
                    <w:t>22 (29%)</w:t>
                  </w:r>
                </w:p>
              </w:tc>
              <w:tc>
                <w:tcPr>
                  <w:tcW w:w="906" w:type="dxa"/>
                  <w:tcBorders>
                    <w:top w:val="nil"/>
                  </w:tcBorders>
                  <w:vAlign w:val="center"/>
                </w:tcPr>
                <w:p w:rsidR="001D0FDA" w:rsidRPr="00411013" w:rsidRDefault="001D0FDA" w:rsidP="00B5196D">
                  <w:pPr>
                    <w:pStyle w:val="Tabletext"/>
                    <w:framePr w:hSpace="180" w:wrap="around" w:vAnchor="text" w:hAnchor="text" w:y="1"/>
                    <w:jc w:val="center"/>
                  </w:pPr>
                  <w:r>
                    <w:t>16 (27%)</w:t>
                  </w:r>
                </w:p>
              </w:tc>
            </w:tr>
            <w:tr w:rsidR="001D0FDA" w:rsidRPr="00351FF5" w:rsidTr="001D0FDA">
              <w:tc>
                <w:tcPr>
                  <w:tcW w:w="1349"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pPr>
                  <w:r w:rsidRPr="00351FF5">
                    <w:t>Gender, femal</w:t>
                  </w:r>
                  <w:r>
                    <w:t>e</w:t>
                  </w:r>
                  <w:r w:rsidRPr="00351FF5">
                    <w:t>, n (%)</w:t>
                  </w:r>
                </w:p>
              </w:tc>
              <w:tc>
                <w:tcPr>
                  <w:tcW w:w="994" w:type="dxa"/>
                  <w:tcBorders>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jc w:val="center"/>
                  </w:pPr>
                  <w:r>
                    <w:t>188 (74%)</w:t>
                  </w:r>
                </w:p>
              </w:tc>
              <w:tc>
                <w:tcPr>
                  <w:tcW w:w="905" w:type="dxa"/>
                  <w:tcBorders>
                    <w:bottom w:val="single" w:sz="4" w:space="0" w:color="BFBFBF" w:themeColor="background1" w:themeShade="BF"/>
                  </w:tcBorders>
                  <w:vAlign w:val="center"/>
                </w:tcPr>
                <w:p w:rsidR="001D0FDA" w:rsidRDefault="001D0FDA" w:rsidP="00B5196D">
                  <w:pPr>
                    <w:pStyle w:val="Tabletext"/>
                    <w:framePr w:hSpace="180" w:wrap="around" w:vAnchor="text" w:hAnchor="text" w:y="1"/>
                    <w:jc w:val="center"/>
                  </w:pPr>
                </w:p>
              </w:tc>
              <w:tc>
                <w:tcPr>
                  <w:tcW w:w="1030" w:type="dxa"/>
                  <w:tcBorders>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jc w:val="center"/>
                  </w:pPr>
                  <w:r>
                    <w:t>100 (79%)</w:t>
                  </w:r>
                </w:p>
              </w:tc>
              <w:tc>
                <w:tcPr>
                  <w:tcW w:w="906" w:type="dxa"/>
                  <w:tcBorders>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jc w:val="center"/>
                  </w:pPr>
                  <w:r>
                    <w:t>100 (83%)</w:t>
                  </w:r>
                </w:p>
              </w:tc>
            </w:tr>
            <w:tr w:rsidR="001D0FDA" w:rsidRPr="00351FF5" w:rsidTr="001D0FDA">
              <w:tc>
                <w:tcPr>
                  <w:tcW w:w="1349" w:type="dxa"/>
                  <w:tcBorders>
                    <w:bottom w:val="nil"/>
                  </w:tcBorders>
                </w:tcPr>
                <w:p w:rsidR="001D0FDA" w:rsidRPr="00351FF5" w:rsidRDefault="001D0FDA" w:rsidP="00B5196D">
                  <w:pPr>
                    <w:pStyle w:val="Tabletext"/>
                    <w:framePr w:hSpace="180" w:wrap="around" w:vAnchor="text" w:hAnchor="text" w:y="1"/>
                  </w:pPr>
                  <w:r w:rsidRPr="00351FF5">
                    <w:t>PAH aetiology, n (%)</w:t>
                  </w:r>
                </w:p>
              </w:tc>
              <w:tc>
                <w:tcPr>
                  <w:tcW w:w="994" w:type="dxa"/>
                  <w:tcBorders>
                    <w:bottom w:val="nil"/>
                  </w:tcBorders>
                  <w:vAlign w:val="center"/>
                </w:tcPr>
                <w:p w:rsidR="001D0FDA" w:rsidRPr="00411013" w:rsidRDefault="001D0FDA" w:rsidP="00B5196D">
                  <w:pPr>
                    <w:pStyle w:val="Tabletext"/>
                    <w:framePr w:hSpace="180" w:wrap="around" w:vAnchor="text" w:hAnchor="text" w:y="1"/>
                    <w:jc w:val="center"/>
                  </w:pPr>
                </w:p>
              </w:tc>
              <w:tc>
                <w:tcPr>
                  <w:tcW w:w="905" w:type="dxa"/>
                  <w:tcBorders>
                    <w:bottom w:val="nil"/>
                  </w:tcBorders>
                  <w:vAlign w:val="center"/>
                </w:tcPr>
                <w:p w:rsidR="001D0FDA" w:rsidRPr="00411013" w:rsidRDefault="001D0FDA" w:rsidP="00B5196D">
                  <w:pPr>
                    <w:pStyle w:val="Tabletext"/>
                    <w:framePr w:hSpace="180" w:wrap="around" w:vAnchor="text" w:hAnchor="text" w:y="1"/>
                    <w:jc w:val="center"/>
                  </w:pPr>
                </w:p>
              </w:tc>
              <w:tc>
                <w:tcPr>
                  <w:tcW w:w="1030" w:type="dxa"/>
                  <w:tcBorders>
                    <w:bottom w:val="nil"/>
                  </w:tcBorders>
                  <w:vAlign w:val="center"/>
                </w:tcPr>
                <w:p w:rsidR="001D0FDA" w:rsidRPr="00411013" w:rsidRDefault="001D0FDA" w:rsidP="00B5196D">
                  <w:pPr>
                    <w:pStyle w:val="Tabletext"/>
                    <w:framePr w:hSpace="180" w:wrap="around" w:vAnchor="text" w:hAnchor="text" w:y="1"/>
                    <w:jc w:val="center"/>
                  </w:pPr>
                </w:p>
              </w:tc>
              <w:tc>
                <w:tcPr>
                  <w:tcW w:w="906" w:type="dxa"/>
                  <w:tcBorders>
                    <w:bottom w:val="nil"/>
                  </w:tcBorders>
                  <w:vAlign w:val="center"/>
                </w:tcPr>
                <w:p w:rsidR="001D0FDA" w:rsidRPr="00411013" w:rsidRDefault="001D0FDA" w:rsidP="00B5196D">
                  <w:pPr>
                    <w:pStyle w:val="Tabletext"/>
                    <w:framePr w:hSpace="180" w:wrap="around" w:vAnchor="text" w:hAnchor="text" w:y="1"/>
                    <w:jc w:val="center"/>
                  </w:pPr>
                </w:p>
              </w:tc>
            </w:tr>
            <w:tr w:rsidR="001D0FDA" w:rsidRPr="00351FF5" w:rsidTr="001D0FDA">
              <w:tc>
                <w:tcPr>
                  <w:tcW w:w="1349" w:type="dxa"/>
                  <w:tcBorders>
                    <w:top w:val="nil"/>
                    <w:bottom w:val="nil"/>
                  </w:tcBorders>
                </w:tcPr>
                <w:p w:rsidR="001D0FDA" w:rsidRPr="00351FF5" w:rsidRDefault="001D0FDA" w:rsidP="00B5196D">
                  <w:pPr>
                    <w:pStyle w:val="Tabletext"/>
                    <w:framePr w:hSpace="180" w:wrap="around" w:vAnchor="text" w:hAnchor="text" w:y="1"/>
                    <w:ind w:left="160"/>
                  </w:pPr>
                  <w:r w:rsidRPr="00351FF5">
                    <w:t>IPAH</w:t>
                  </w:r>
                  <w:r>
                    <w:t>/HPAH</w:t>
                  </w:r>
                </w:p>
              </w:tc>
              <w:tc>
                <w:tcPr>
                  <w:tcW w:w="994" w:type="dxa"/>
                  <w:tcBorders>
                    <w:top w:val="nil"/>
                    <w:bottom w:val="nil"/>
                  </w:tcBorders>
                  <w:vAlign w:val="center"/>
                </w:tcPr>
                <w:p w:rsidR="001D0FDA" w:rsidRPr="00411013" w:rsidRDefault="001D0FDA" w:rsidP="00B5196D">
                  <w:pPr>
                    <w:pStyle w:val="Tabletext"/>
                    <w:framePr w:hSpace="180" w:wrap="around" w:vAnchor="text" w:hAnchor="text" w:y="1"/>
                    <w:jc w:val="center"/>
                  </w:pPr>
                  <w:r>
                    <w:t>12 (29%)</w:t>
                  </w:r>
                </w:p>
              </w:tc>
              <w:tc>
                <w:tcPr>
                  <w:tcW w:w="905" w:type="dxa"/>
                  <w:tcBorders>
                    <w:top w:val="nil"/>
                    <w:bottom w:val="nil"/>
                  </w:tcBorders>
                  <w:vAlign w:val="center"/>
                </w:tcPr>
                <w:p w:rsidR="001D0FDA" w:rsidRPr="005331C3" w:rsidRDefault="001D0FDA" w:rsidP="00B5196D">
                  <w:pPr>
                    <w:pStyle w:val="Tabletext"/>
                    <w:framePr w:hSpace="180" w:wrap="around" w:vAnchor="text" w:hAnchor="text" w:y="1"/>
                    <w:jc w:val="center"/>
                  </w:pPr>
                  <w:r>
                    <w:t>19 (35%)</w:t>
                  </w:r>
                </w:p>
              </w:tc>
              <w:tc>
                <w:tcPr>
                  <w:tcW w:w="1030" w:type="dxa"/>
                  <w:tcBorders>
                    <w:top w:val="nil"/>
                    <w:bottom w:val="nil"/>
                  </w:tcBorders>
                  <w:vAlign w:val="center"/>
                </w:tcPr>
                <w:p w:rsidR="001D0FDA" w:rsidRPr="00411013" w:rsidRDefault="001D0FDA" w:rsidP="00B5196D">
                  <w:pPr>
                    <w:pStyle w:val="Tabletext"/>
                    <w:framePr w:hSpace="180" w:wrap="around" w:vAnchor="text" w:hAnchor="text" w:y="1"/>
                    <w:jc w:val="center"/>
                  </w:pPr>
                  <w:r>
                    <w:t>26 (34%)</w:t>
                  </w:r>
                </w:p>
              </w:tc>
              <w:tc>
                <w:tcPr>
                  <w:tcW w:w="906" w:type="dxa"/>
                  <w:tcBorders>
                    <w:top w:val="nil"/>
                    <w:bottom w:val="nil"/>
                  </w:tcBorders>
                  <w:vAlign w:val="center"/>
                </w:tcPr>
                <w:p w:rsidR="001D0FDA" w:rsidRPr="00411013" w:rsidRDefault="001D0FDA" w:rsidP="00B5196D">
                  <w:pPr>
                    <w:pStyle w:val="Tabletext"/>
                    <w:framePr w:hSpace="180" w:wrap="around" w:vAnchor="text" w:hAnchor="text" w:y="1"/>
                    <w:jc w:val="center"/>
                  </w:pPr>
                  <w:r>
                    <w:t>21 (35%)</w:t>
                  </w:r>
                </w:p>
              </w:tc>
            </w:tr>
            <w:tr w:rsidR="001D0FDA" w:rsidRPr="00351FF5" w:rsidTr="001D0FDA">
              <w:tc>
                <w:tcPr>
                  <w:tcW w:w="1349" w:type="dxa"/>
                  <w:tcBorders>
                    <w:top w:val="nil"/>
                    <w:bottom w:val="single" w:sz="4" w:space="0" w:color="BFBFBF" w:themeColor="background1" w:themeShade="BF"/>
                  </w:tcBorders>
                </w:tcPr>
                <w:p w:rsidR="001D0FDA" w:rsidRPr="00351FF5" w:rsidRDefault="001D0FDA" w:rsidP="00B5196D">
                  <w:pPr>
                    <w:pStyle w:val="Tabletext"/>
                    <w:framePr w:hSpace="180" w:wrap="around" w:vAnchor="text" w:hAnchor="text" w:y="1"/>
                    <w:ind w:left="160"/>
                  </w:pPr>
                  <w:r w:rsidRPr="00351FF5">
                    <w:t>PAH-CHD</w:t>
                  </w:r>
                </w:p>
              </w:tc>
              <w:tc>
                <w:tcPr>
                  <w:tcW w:w="994" w:type="dxa"/>
                  <w:tcBorders>
                    <w:top w:val="nil"/>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jc w:val="center"/>
                  </w:pPr>
                  <w:r>
                    <w:t>30 (71%)</w:t>
                  </w:r>
                </w:p>
              </w:tc>
              <w:tc>
                <w:tcPr>
                  <w:tcW w:w="905" w:type="dxa"/>
                  <w:tcBorders>
                    <w:top w:val="nil"/>
                    <w:bottom w:val="single" w:sz="4" w:space="0" w:color="BFBFBF" w:themeColor="background1" w:themeShade="BF"/>
                  </w:tcBorders>
                  <w:vAlign w:val="center"/>
                </w:tcPr>
                <w:p w:rsidR="001D0FDA" w:rsidRPr="005331C3" w:rsidRDefault="001D0FDA" w:rsidP="00B5196D">
                  <w:pPr>
                    <w:pStyle w:val="Tabletext"/>
                    <w:framePr w:hSpace="180" w:wrap="around" w:vAnchor="text" w:hAnchor="text" w:y="1"/>
                    <w:jc w:val="center"/>
                  </w:pPr>
                  <w:r>
                    <w:t>36 (65%)</w:t>
                  </w:r>
                </w:p>
              </w:tc>
              <w:tc>
                <w:tcPr>
                  <w:tcW w:w="1030" w:type="dxa"/>
                  <w:tcBorders>
                    <w:top w:val="nil"/>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jc w:val="center"/>
                  </w:pPr>
                  <w:r>
                    <w:t>51 (66%)</w:t>
                  </w:r>
                </w:p>
              </w:tc>
              <w:tc>
                <w:tcPr>
                  <w:tcW w:w="906" w:type="dxa"/>
                  <w:tcBorders>
                    <w:top w:val="nil"/>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jc w:val="center"/>
                  </w:pPr>
                  <w:r>
                    <w:t>39 (65%)</w:t>
                  </w:r>
                </w:p>
              </w:tc>
            </w:tr>
            <w:tr w:rsidR="001D0FDA" w:rsidRPr="00351FF5" w:rsidTr="001D0FDA">
              <w:tc>
                <w:tcPr>
                  <w:tcW w:w="1349" w:type="dxa"/>
                  <w:tcBorders>
                    <w:top w:val="single" w:sz="4" w:space="0" w:color="BFBFBF" w:themeColor="background1" w:themeShade="BF"/>
                    <w:bottom w:val="nil"/>
                  </w:tcBorders>
                </w:tcPr>
                <w:p w:rsidR="001D0FDA" w:rsidRPr="00351FF5" w:rsidRDefault="001D0FDA" w:rsidP="00B5196D">
                  <w:pPr>
                    <w:pStyle w:val="Tabletext"/>
                    <w:framePr w:hSpace="180" w:wrap="around" w:vAnchor="text" w:hAnchor="text" w:y="1"/>
                  </w:pPr>
                  <w:r w:rsidRPr="00351FF5">
                    <w:t>WHO FC</w:t>
                  </w:r>
                  <w:r>
                    <w:t>, n (%)</w:t>
                  </w:r>
                </w:p>
              </w:tc>
              <w:tc>
                <w:tcPr>
                  <w:tcW w:w="994" w:type="dxa"/>
                  <w:tcBorders>
                    <w:top w:val="single" w:sz="4" w:space="0" w:color="BFBFBF" w:themeColor="background1" w:themeShade="BF"/>
                    <w:bottom w:val="nil"/>
                  </w:tcBorders>
                  <w:vAlign w:val="center"/>
                </w:tcPr>
                <w:p w:rsidR="001D0FDA" w:rsidRPr="00411013" w:rsidRDefault="001D0FDA" w:rsidP="00B5196D">
                  <w:pPr>
                    <w:pStyle w:val="Tabletext"/>
                    <w:framePr w:hSpace="180" w:wrap="around" w:vAnchor="text" w:hAnchor="text" w:y="1"/>
                    <w:jc w:val="center"/>
                  </w:pPr>
                </w:p>
              </w:tc>
              <w:tc>
                <w:tcPr>
                  <w:tcW w:w="905" w:type="dxa"/>
                  <w:tcBorders>
                    <w:top w:val="single" w:sz="4" w:space="0" w:color="BFBFBF" w:themeColor="background1" w:themeShade="BF"/>
                    <w:bottom w:val="nil"/>
                  </w:tcBorders>
                  <w:vAlign w:val="center"/>
                </w:tcPr>
                <w:p w:rsidR="001D0FDA" w:rsidRPr="00411013" w:rsidRDefault="001D0FDA" w:rsidP="00B5196D">
                  <w:pPr>
                    <w:pStyle w:val="Tabletext"/>
                    <w:framePr w:hSpace="180" w:wrap="around" w:vAnchor="text" w:hAnchor="text" w:y="1"/>
                    <w:jc w:val="center"/>
                  </w:pPr>
                </w:p>
              </w:tc>
              <w:tc>
                <w:tcPr>
                  <w:tcW w:w="1030" w:type="dxa"/>
                  <w:tcBorders>
                    <w:top w:val="single" w:sz="4" w:space="0" w:color="BFBFBF" w:themeColor="background1" w:themeShade="BF"/>
                    <w:bottom w:val="nil"/>
                  </w:tcBorders>
                  <w:vAlign w:val="center"/>
                </w:tcPr>
                <w:p w:rsidR="001D0FDA" w:rsidRPr="00411013" w:rsidRDefault="001D0FDA" w:rsidP="00B5196D">
                  <w:pPr>
                    <w:pStyle w:val="Tabletext"/>
                    <w:framePr w:hSpace="180" w:wrap="around" w:vAnchor="text" w:hAnchor="text" w:y="1"/>
                    <w:jc w:val="center"/>
                  </w:pPr>
                </w:p>
              </w:tc>
              <w:tc>
                <w:tcPr>
                  <w:tcW w:w="906" w:type="dxa"/>
                  <w:tcBorders>
                    <w:top w:val="single" w:sz="4" w:space="0" w:color="BFBFBF" w:themeColor="background1" w:themeShade="BF"/>
                    <w:bottom w:val="nil"/>
                  </w:tcBorders>
                  <w:vAlign w:val="center"/>
                </w:tcPr>
                <w:p w:rsidR="001D0FDA" w:rsidRPr="00411013" w:rsidRDefault="001D0FDA" w:rsidP="00B5196D">
                  <w:pPr>
                    <w:pStyle w:val="Tabletext"/>
                    <w:framePr w:hSpace="180" w:wrap="around" w:vAnchor="text" w:hAnchor="text" w:y="1"/>
                    <w:jc w:val="center"/>
                  </w:pPr>
                </w:p>
              </w:tc>
            </w:tr>
            <w:tr w:rsidR="001D0FDA" w:rsidRPr="00351FF5" w:rsidTr="001D0FDA">
              <w:tc>
                <w:tcPr>
                  <w:tcW w:w="1349" w:type="dxa"/>
                  <w:tcBorders>
                    <w:top w:val="nil"/>
                    <w:bottom w:val="nil"/>
                  </w:tcBorders>
                </w:tcPr>
                <w:p w:rsidR="001D0FDA" w:rsidRDefault="001D0FDA" w:rsidP="00B5196D">
                  <w:pPr>
                    <w:pStyle w:val="Tabletext"/>
                    <w:framePr w:hSpace="180" w:wrap="around" w:vAnchor="text" w:hAnchor="text" w:y="1"/>
                    <w:ind w:left="160"/>
                  </w:pPr>
                  <w:r>
                    <w:t>I</w:t>
                  </w:r>
                </w:p>
              </w:tc>
              <w:tc>
                <w:tcPr>
                  <w:tcW w:w="994" w:type="dxa"/>
                  <w:tcBorders>
                    <w:top w:val="nil"/>
                    <w:bottom w:val="nil"/>
                  </w:tcBorders>
                  <w:vAlign w:val="center"/>
                </w:tcPr>
                <w:p w:rsidR="001D0FDA" w:rsidRPr="00411013" w:rsidRDefault="001D0FDA" w:rsidP="00B5196D">
                  <w:pPr>
                    <w:pStyle w:val="Tabletext"/>
                    <w:framePr w:hSpace="180" w:wrap="around" w:vAnchor="text" w:hAnchor="text" w:y="1"/>
                    <w:jc w:val="center"/>
                  </w:pPr>
                  <w:r>
                    <w:t>9 (21%)</w:t>
                  </w:r>
                </w:p>
              </w:tc>
              <w:tc>
                <w:tcPr>
                  <w:tcW w:w="905" w:type="dxa"/>
                  <w:tcBorders>
                    <w:top w:val="nil"/>
                    <w:bottom w:val="nil"/>
                  </w:tcBorders>
                  <w:vAlign w:val="center"/>
                </w:tcPr>
                <w:p w:rsidR="001D0FDA" w:rsidRPr="005331C3" w:rsidRDefault="001D0FDA" w:rsidP="00B5196D">
                  <w:pPr>
                    <w:pStyle w:val="Tabletext"/>
                    <w:framePr w:hSpace="180" w:wrap="around" w:vAnchor="text" w:hAnchor="text" w:y="1"/>
                    <w:jc w:val="center"/>
                  </w:pPr>
                  <w:r>
                    <w:t>20 (36%)</w:t>
                  </w:r>
                </w:p>
              </w:tc>
              <w:tc>
                <w:tcPr>
                  <w:tcW w:w="1030" w:type="dxa"/>
                  <w:tcBorders>
                    <w:top w:val="nil"/>
                    <w:bottom w:val="nil"/>
                  </w:tcBorders>
                  <w:vAlign w:val="center"/>
                </w:tcPr>
                <w:p w:rsidR="001D0FDA" w:rsidRPr="00411013" w:rsidRDefault="001D0FDA" w:rsidP="00B5196D">
                  <w:pPr>
                    <w:pStyle w:val="Tabletext"/>
                    <w:framePr w:hSpace="180" w:wrap="around" w:vAnchor="text" w:hAnchor="text" w:y="1"/>
                    <w:jc w:val="center"/>
                  </w:pPr>
                  <w:r>
                    <w:t>21 (27%)</w:t>
                  </w:r>
                </w:p>
              </w:tc>
              <w:tc>
                <w:tcPr>
                  <w:tcW w:w="906" w:type="dxa"/>
                  <w:tcBorders>
                    <w:top w:val="nil"/>
                    <w:bottom w:val="nil"/>
                  </w:tcBorders>
                  <w:vAlign w:val="center"/>
                </w:tcPr>
                <w:p w:rsidR="001D0FDA" w:rsidRPr="00411013" w:rsidRDefault="001D0FDA" w:rsidP="00B5196D">
                  <w:pPr>
                    <w:pStyle w:val="Tabletext"/>
                    <w:framePr w:hSpace="180" w:wrap="around" w:vAnchor="text" w:hAnchor="text" w:y="1"/>
                    <w:jc w:val="center"/>
                  </w:pPr>
                  <w:r>
                    <w:t>25 (42%)</w:t>
                  </w:r>
                </w:p>
              </w:tc>
            </w:tr>
            <w:tr w:rsidR="001D0FDA" w:rsidRPr="00351FF5" w:rsidTr="001D0FDA">
              <w:tc>
                <w:tcPr>
                  <w:tcW w:w="1349" w:type="dxa"/>
                  <w:tcBorders>
                    <w:top w:val="nil"/>
                    <w:bottom w:val="nil"/>
                  </w:tcBorders>
                </w:tcPr>
                <w:p w:rsidR="001D0FDA" w:rsidRDefault="001D0FDA" w:rsidP="00B5196D">
                  <w:pPr>
                    <w:pStyle w:val="Tabletext"/>
                    <w:framePr w:hSpace="180" w:wrap="around" w:vAnchor="text" w:hAnchor="text" w:y="1"/>
                    <w:ind w:left="160"/>
                  </w:pPr>
                  <w:r>
                    <w:t>II</w:t>
                  </w:r>
                </w:p>
              </w:tc>
              <w:tc>
                <w:tcPr>
                  <w:tcW w:w="994" w:type="dxa"/>
                  <w:tcBorders>
                    <w:top w:val="nil"/>
                    <w:bottom w:val="nil"/>
                  </w:tcBorders>
                  <w:vAlign w:val="center"/>
                </w:tcPr>
                <w:p w:rsidR="001D0FDA" w:rsidRPr="00411013" w:rsidRDefault="001D0FDA" w:rsidP="00B5196D">
                  <w:pPr>
                    <w:pStyle w:val="Tabletext"/>
                    <w:framePr w:hSpace="180" w:wrap="around" w:vAnchor="text" w:hAnchor="text" w:y="1"/>
                    <w:jc w:val="center"/>
                  </w:pPr>
                  <w:r>
                    <w:t>23 (55%)</w:t>
                  </w:r>
                </w:p>
              </w:tc>
              <w:tc>
                <w:tcPr>
                  <w:tcW w:w="905" w:type="dxa"/>
                  <w:tcBorders>
                    <w:top w:val="nil"/>
                    <w:bottom w:val="nil"/>
                  </w:tcBorders>
                  <w:vAlign w:val="center"/>
                </w:tcPr>
                <w:p w:rsidR="001D0FDA" w:rsidRPr="005331C3" w:rsidRDefault="001D0FDA" w:rsidP="00B5196D">
                  <w:pPr>
                    <w:pStyle w:val="Tabletext"/>
                    <w:framePr w:hSpace="180" w:wrap="around" w:vAnchor="text" w:hAnchor="text" w:y="1"/>
                    <w:jc w:val="center"/>
                  </w:pPr>
                  <w:r>
                    <w:t>25 (45%)</w:t>
                  </w:r>
                </w:p>
              </w:tc>
              <w:tc>
                <w:tcPr>
                  <w:tcW w:w="1030" w:type="dxa"/>
                  <w:tcBorders>
                    <w:top w:val="nil"/>
                    <w:bottom w:val="nil"/>
                  </w:tcBorders>
                  <w:vAlign w:val="center"/>
                </w:tcPr>
                <w:p w:rsidR="001D0FDA" w:rsidRPr="00411013" w:rsidRDefault="001D0FDA" w:rsidP="00B5196D">
                  <w:pPr>
                    <w:pStyle w:val="Tabletext"/>
                    <w:framePr w:hSpace="180" w:wrap="around" w:vAnchor="text" w:hAnchor="text" w:y="1"/>
                    <w:jc w:val="center"/>
                  </w:pPr>
                  <w:r>
                    <w:t>43 (56%)</w:t>
                  </w:r>
                </w:p>
              </w:tc>
              <w:tc>
                <w:tcPr>
                  <w:tcW w:w="906" w:type="dxa"/>
                  <w:tcBorders>
                    <w:top w:val="nil"/>
                    <w:bottom w:val="nil"/>
                  </w:tcBorders>
                  <w:vAlign w:val="center"/>
                </w:tcPr>
                <w:p w:rsidR="001D0FDA" w:rsidRPr="00411013" w:rsidRDefault="001D0FDA" w:rsidP="00B5196D">
                  <w:pPr>
                    <w:pStyle w:val="Tabletext"/>
                    <w:framePr w:hSpace="180" w:wrap="around" w:vAnchor="text" w:hAnchor="text" w:y="1"/>
                    <w:jc w:val="center"/>
                  </w:pPr>
                  <w:r>
                    <w:t>29 (48%)</w:t>
                  </w:r>
                </w:p>
              </w:tc>
            </w:tr>
            <w:tr w:rsidR="001D0FDA" w:rsidRPr="00351FF5" w:rsidTr="001D0FDA">
              <w:tc>
                <w:tcPr>
                  <w:tcW w:w="1349" w:type="dxa"/>
                  <w:tcBorders>
                    <w:top w:val="nil"/>
                    <w:bottom w:val="nil"/>
                  </w:tcBorders>
                </w:tcPr>
                <w:p w:rsidR="001D0FDA" w:rsidRPr="00351FF5" w:rsidRDefault="001D0FDA" w:rsidP="00B5196D">
                  <w:pPr>
                    <w:pStyle w:val="Tabletext"/>
                    <w:framePr w:hSpace="180" w:wrap="around" w:vAnchor="text" w:hAnchor="text" w:y="1"/>
                    <w:ind w:left="160"/>
                  </w:pPr>
                  <w:r>
                    <w:t>III</w:t>
                  </w:r>
                </w:p>
              </w:tc>
              <w:tc>
                <w:tcPr>
                  <w:tcW w:w="994" w:type="dxa"/>
                  <w:tcBorders>
                    <w:top w:val="nil"/>
                    <w:bottom w:val="nil"/>
                  </w:tcBorders>
                  <w:vAlign w:val="center"/>
                </w:tcPr>
                <w:p w:rsidR="001D0FDA" w:rsidRPr="00411013" w:rsidRDefault="001D0FDA" w:rsidP="00B5196D">
                  <w:pPr>
                    <w:pStyle w:val="Tabletext"/>
                    <w:framePr w:hSpace="180" w:wrap="around" w:vAnchor="text" w:hAnchor="text" w:y="1"/>
                    <w:jc w:val="center"/>
                  </w:pPr>
                  <w:r>
                    <w:t>9 (21%)</w:t>
                  </w:r>
                </w:p>
              </w:tc>
              <w:tc>
                <w:tcPr>
                  <w:tcW w:w="905" w:type="dxa"/>
                  <w:tcBorders>
                    <w:top w:val="nil"/>
                    <w:bottom w:val="nil"/>
                  </w:tcBorders>
                  <w:vAlign w:val="center"/>
                </w:tcPr>
                <w:p w:rsidR="001D0FDA" w:rsidRPr="005331C3" w:rsidRDefault="001D0FDA" w:rsidP="00B5196D">
                  <w:pPr>
                    <w:pStyle w:val="Tabletext"/>
                    <w:framePr w:hSpace="180" w:wrap="around" w:vAnchor="text" w:hAnchor="text" w:y="1"/>
                    <w:jc w:val="center"/>
                  </w:pPr>
                  <w:r>
                    <w:t>8 (15%)</w:t>
                  </w:r>
                </w:p>
              </w:tc>
              <w:tc>
                <w:tcPr>
                  <w:tcW w:w="1030" w:type="dxa"/>
                  <w:tcBorders>
                    <w:top w:val="nil"/>
                    <w:bottom w:val="nil"/>
                  </w:tcBorders>
                  <w:vAlign w:val="center"/>
                </w:tcPr>
                <w:p w:rsidR="001D0FDA" w:rsidRPr="00411013" w:rsidRDefault="001D0FDA" w:rsidP="00B5196D">
                  <w:pPr>
                    <w:pStyle w:val="Tabletext"/>
                    <w:framePr w:hSpace="180" w:wrap="around" w:vAnchor="text" w:hAnchor="text" w:y="1"/>
                    <w:jc w:val="center"/>
                  </w:pPr>
                  <w:r>
                    <w:t>12 (16%)</w:t>
                  </w:r>
                </w:p>
              </w:tc>
              <w:tc>
                <w:tcPr>
                  <w:tcW w:w="906" w:type="dxa"/>
                  <w:tcBorders>
                    <w:top w:val="nil"/>
                    <w:bottom w:val="nil"/>
                  </w:tcBorders>
                  <w:vAlign w:val="center"/>
                </w:tcPr>
                <w:p w:rsidR="001D0FDA" w:rsidRPr="00411013" w:rsidRDefault="001D0FDA" w:rsidP="00B5196D">
                  <w:pPr>
                    <w:pStyle w:val="Tabletext"/>
                    <w:framePr w:hSpace="180" w:wrap="around" w:vAnchor="text" w:hAnchor="text" w:y="1"/>
                    <w:jc w:val="center"/>
                  </w:pPr>
                  <w:r>
                    <w:t>6 (10%)</w:t>
                  </w:r>
                </w:p>
              </w:tc>
            </w:tr>
            <w:tr w:rsidR="001D0FDA" w:rsidRPr="00351FF5" w:rsidTr="001D0FDA">
              <w:tc>
                <w:tcPr>
                  <w:tcW w:w="1349" w:type="dxa"/>
                  <w:tcBorders>
                    <w:top w:val="nil"/>
                    <w:bottom w:val="nil"/>
                  </w:tcBorders>
                </w:tcPr>
                <w:p w:rsidR="001D0FDA" w:rsidRPr="00351FF5" w:rsidRDefault="001D0FDA" w:rsidP="00B5196D">
                  <w:pPr>
                    <w:pStyle w:val="Tabletext"/>
                    <w:framePr w:hSpace="180" w:wrap="around" w:vAnchor="text" w:hAnchor="text" w:y="1"/>
                    <w:ind w:left="160"/>
                  </w:pPr>
                  <w:r>
                    <w:t>IV</w:t>
                  </w:r>
                </w:p>
              </w:tc>
              <w:tc>
                <w:tcPr>
                  <w:tcW w:w="994" w:type="dxa"/>
                  <w:tcBorders>
                    <w:top w:val="nil"/>
                    <w:bottom w:val="nil"/>
                  </w:tcBorders>
                  <w:vAlign w:val="center"/>
                </w:tcPr>
                <w:p w:rsidR="001D0FDA" w:rsidRPr="00411013" w:rsidRDefault="001D0FDA" w:rsidP="00B5196D">
                  <w:pPr>
                    <w:pStyle w:val="Tabletext"/>
                    <w:framePr w:hSpace="180" w:wrap="around" w:vAnchor="text" w:hAnchor="text" w:y="1"/>
                    <w:jc w:val="center"/>
                  </w:pPr>
                  <w:r>
                    <w:t>0 (0%)</w:t>
                  </w:r>
                </w:p>
              </w:tc>
              <w:tc>
                <w:tcPr>
                  <w:tcW w:w="905" w:type="dxa"/>
                  <w:tcBorders>
                    <w:top w:val="nil"/>
                    <w:bottom w:val="nil"/>
                  </w:tcBorders>
                  <w:vAlign w:val="center"/>
                </w:tcPr>
                <w:p w:rsidR="001D0FDA" w:rsidRPr="005331C3" w:rsidRDefault="001D0FDA" w:rsidP="00B5196D">
                  <w:pPr>
                    <w:pStyle w:val="Tabletext"/>
                    <w:framePr w:hSpace="180" w:wrap="around" w:vAnchor="text" w:hAnchor="text" w:y="1"/>
                    <w:jc w:val="center"/>
                  </w:pPr>
                  <w:r>
                    <w:t>1 (2%)</w:t>
                  </w:r>
                </w:p>
              </w:tc>
              <w:tc>
                <w:tcPr>
                  <w:tcW w:w="1030" w:type="dxa"/>
                  <w:tcBorders>
                    <w:top w:val="nil"/>
                    <w:bottom w:val="nil"/>
                  </w:tcBorders>
                  <w:vAlign w:val="center"/>
                </w:tcPr>
                <w:p w:rsidR="001D0FDA" w:rsidRPr="00411013" w:rsidRDefault="001D0FDA" w:rsidP="00B5196D">
                  <w:pPr>
                    <w:pStyle w:val="Tabletext"/>
                    <w:framePr w:hSpace="180" w:wrap="around" w:vAnchor="text" w:hAnchor="text" w:y="1"/>
                    <w:jc w:val="center"/>
                  </w:pPr>
                  <w:r>
                    <w:t>0 (0%)</w:t>
                  </w:r>
                </w:p>
              </w:tc>
              <w:tc>
                <w:tcPr>
                  <w:tcW w:w="906" w:type="dxa"/>
                  <w:tcBorders>
                    <w:top w:val="nil"/>
                    <w:bottom w:val="nil"/>
                  </w:tcBorders>
                  <w:vAlign w:val="center"/>
                </w:tcPr>
                <w:p w:rsidR="001D0FDA" w:rsidRPr="00411013" w:rsidRDefault="001D0FDA" w:rsidP="00B5196D">
                  <w:pPr>
                    <w:pStyle w:val="Tabletext"/>
                    <w:framePr w:hSpace="180" w:wrap="around" w:vAnchor="text" w:hAnchor="text" w:y="1"/>
                    <w:jc w:val="center"/>
                  </w:pPr>
                  <w:r>
                    <w:t>0 (0%)</w:t>
                  </w:r>
                </w:p>
              </w:tc>
            </w:tr>
            <w:tr w:rsidR="001D0FDA" w:rsidRPr="00351FF5" w:rsidTr="001D0FDA">
              <w:tc>
                <w:tcPr>
                  <w:tcW w:w="1349" w:type="dxa"/>
                  <w:tcBorders>
                    <w:top w:val="nil"/>
                  </w:tcBorders>
                </w:tcPr>
                <w:p w:rsidR="001D0FDA" w:rsidRDefault="001D0FDA" w:rsidP="00B5196D">
                  <w:pPr>
                    <w:pStyle w:val="Tabletext"/>
                    <w:framePr w:hSpace="180" w:wrap="around" w:vAnchor="text" w:hAnchor="text" w:y="1"/>
                    <w:ind w:left="160"/>
                  </w:pPr>
                  <w:r>
                    <w:t>Missing</w:t>
                  </w:r>
                </w:p>
              </w:tc>
              <w:tc>
                <w:tcPr>
                  <w:tcW w:w="994" w:type="dxa"/>
                  <w:tcBorders>
                    <w:top w:val="nil"/>
                  </w:tcBorders>
                  <w:vAlign w:val="center"/>
                </w:tcPr>
                <w:p w:rsidR="001D0FDA" w:rsidRDefault="001D0FDA" w:rsidP="00B5196D">
                  <w:pPr>
                    <w:pStyle w:val="Tabletext"/>
                    <w:framePr w:hSpace="180" w:wrap="around" w:vAnchor="text" w:hAnchor="text" w:y="1"/>
                    <w:jc w:val="center"/>
                  </w:pPr>
                  <w:r>
                    <w:t>1 (2%)</w:t>
                  </w:r>
                </w:p>
              </w:tc>
              <w:tc>
                <w:tcPr>
                  <w:tcW w:w="905" w:type="dxa"/>
                  <w:tcBorders>
                    <w:top w:val="nil"/>
                  </w:tcBorders>
                  <w:vAlign w:val="center"/>
                </w:tcPr>
                <w:p w:rsidR="001D0FDA" w:rsidRDefault="001D0FDA" w:rsidP="00B5196D">
                  <w:pPr>
                    <w:pStyle w:val="Tabletext"/>
                    <w:framePr w:hSpace="180" w:wrap="around" w:vAnchor="text" w:hAnchor="text" w:y="1"/>
                    <w:jc w:val="center"/>
                  </w:pPr>
                  <w:r>
                    <w:t>1 (2%)</w:t>
                  </w:r>
                </w:p>
              </w:tc>
              <w:tc>
                <w:tcPr>
                  <w:tcW w:w="1030" w:type="dxa"/>
                  <w:tcBorders>
                    <w:top w:val="nil"/>
                  </w:tcBorders>
                  <w:vAlign w:val="center"/>
                </w:tcPr>
                <w:p w:rsidR="001D0FDA" w:rsidRDefault="001D0FDA" w:rsidP="00B5196D">
                  <w:pPr>
                    <w:pStyle w:val="Tabletext"/>
                    <w:framePr w:hSpace="180" w:wrap="around" w:vAnchor="text" w:hAnchor="text" w:y="1"/>
                    <w:jc w:val="center"/>
                  </w:pPr>
                  <w:r>
                    <w:t>1 (1%)</w:t>
                  </w:r>
                </w:p>
              </w:tc>
              <w:tc>
                <w:tcPr>
                  <w:tcW w:w="906" w:type="dxa"/>
                  <w:tcBorders>
                    <w:top w:val="nil"/>
                  </w:tcBorders>
                  <w:vAlign w:val="center"/>
                </w:tcPr>
                <w:p w:rsidR="001D0FDA" w:rsidRDefault="001D0FDA" w:rsidP="00B5196D">
                  <w:pPr>
                    <w:pStyle w:val="Tabletext"/>
                    <w:framePr w:hSpace="180" w:wrap="around" w:vAnchor="text" w:hAnchor="text" w:y="1"/>
                    <w:jc w:val="center"/>
                  </w:pPr>
                  <w:r>
                    <w:t>0 (0%)</w:t>
                  </w:r>
                </w:p>
              </w:tc>
            </w:tr>
            <w:tr w:rsidR="001D0FDA" w:rsidRPr="00351FF5" w:rsidTr="001D0FDA">
              <w:tc>
                <w:tcPr>
                  <w:tcW w:w="1349" w:type="dxa"/>
                </w:tcPr>
                <w:p w:rsidR="001D0FDA" w:rsidRPr="00351FF5" w:rsidRDefault="001D0FDA" w:rsidP="00B5196D">
                  <w:pPr>
                    <w:pStyle w:val="Tabletext"/>
                    <w:framePr w:hSpace="180" w:wrap="around" w:vAnchor="text" w:hAnchor="text" w:y="1"/>
                  </w:pPr>
                  <w:r w:rsidRPr="00351FF5">
                    <w:t>mPAP, mean±SD (mmHg)</w:t>
                  </w:r>
                </w:p>
              </w:tc>
              <w:tc>
                <w:tcPr>
                  <w:tcW w:w="994" w:type="dxa"/>
                  <w:vAlign w:val="center"/>
                </w:tcPr>
                <w:p w:rsidR="001D0FDA" w:rsidRPr="00411013" w:rsidRDefault="001D0FDA" w:rsidP="00B5196D">
                  <w:pPr>
                    <w:pStyle w:val="Tabletext"/>
                    <w:framePr w:hSpace="180" w:wrap="around" w:vAnchor="text" w:hAnchor="text" w:y="1"/>
                    <w:jc w:val="center"/>
                  </w:pPr>
                  <w:r>
                    <w:t>66±23</w:t>
                  </w:r>
                </w:p>
              </w:tc>
              <w:tc>
                <w:tcPr>
                  <w:tcW w:w="905" w:type="dxa"/>
                  <w:vAlign w:val="center"/>
                </w:tcPr>
                <w:p w:rsidR="001D0FDA" w:rsidRPr="005331C3" w:rsidRDefault="001D0FDA" w:rsidP="00B5196D">
                  <w:pPr>
                    <w:pStyle w:val="Tabletext"/>
                    <w:framePr w:hSpace="180" w:wrap="around" w:vAnchor="text" w:hAnchor="text" w:y="1"/>
                    <w:jc w:val="center"/>
                  </w:pPr>
                  <w:r>
                    <w:t>62±18</w:t>
                  </w:r>
                </w:p>
              </w:tc>
              <w:tc>
                <w:tcPr>
                  <w:tcW w:w="1030" w:type="dxa"/>
                  <w:vAlign w:val="center"/>
                </w:tcPr>
                <w:p w:rsidR="001D0FDA" w:rsidRPr="00411013" w:rsidRDefault="001D0FDA" w:rsidP="00B5196D">
                  <w:pPr>
                    <w:pStyle w:val="Tabletext"/>
                    <w:framePr w:hSpace="180" w:wrap="around" w:vAnchor="text" w:hAnchor="text" w:y="1"/>
                    <w:jc w:val="center"/>
                  </w:pPr>
                  <w:r>
                    <w:t>62±24</w:t>
                  </w:r>
                </w:p>
              </w:tc>
              <w:tc>
                <w:tcPr>
                  <w:tcW w:w="906" w:type="dxa"/>
                  <w:vAlign w:val="center"/>
                </w:tcPr>
                <w:p w:rsidR="001D0FDA" w:rsidRPr="00411013" w:rsidRDefault="001D0FDA" w:rsidP="00B5196D">
                  <w:pPr>
                    <w:pStyle w:val="Tabletext"/>
                    <w:framePr w:hSpace="180" w:wrap="around" w:vAnchor="text" w:hAnchor="text" w:y="1"/>
                    <w:jc w:val="center"/>
                  </w:pPr>
                  <w:r>
                    <w:t>59±22</w:t>
                  </w:r>
                </w:p>
              </w:tc>
            </w:tr>
          </w:tbl>
          <w:p w:rsidR="001D0FDA" w:rsidRPr="00351FF5" w:rsidRDefault="001D0FDA" w:rsidP="001D0FDA">
            <w:pPr>
              <w:pStyle w:val="Tabletext"/>
              <w:rPr>
                <w:rFonts w:cs="Tahoma"/>
                <w:szCs w:val="18"/>
              </w:rPr>
            </w:pPr>
          </w:p>
        </w:tc>
        <w:tc>
          <w:tcPr>
            <w:tcW w:w="1047" w:type="pct"/>
          </w:tcPr>
          <w:p w:rsidR="001D0FDA" w:rsidRDefault="001D0FDA" w:rsidP="001D0FDA">
            <w:pPr>
              <w:pStyle w:val="Tabletext"/>
              <w:rPr>
                <w:rFonts w:cs="Tahoma"/>
                <w:i/>
                <w:szCs w:val="18"/>
              </w:rPr>
            </w:pPr>
            <w:r>
              <w:rPr>
                <w:rFonts w:cs="Tahoma"/>
                <w:i/>
                <w:szCs w:val="18"/>
              </w:rPr>
              <w:t>Intervention</w:t>
            </w:r>
          </w:p>
          <w:p w:rsidR="001D0FDA" w:rsidRPr="005331C3" w:rsidRDefault="001D0FDA" w:rsidP="001D0FDA">
            <w:pPr>
              <w:pStyle w:val="Tabletext"/>
              <w:rPr>
                <w:rFonts w:cs="Tahoma"/>
                <w:szCs w:val="18"/>
              </w:rPr>
            </w:pPr>
            <w:r>
              <w:rPr>
                <w:rFonts w:cs="Tahoma"/>
                <w:szCs w:val="18"/>
              </w:rPr>
              <w:t>Sildenafil: at low, median or high doses</w:t>
            </w:r>
          </w:p>
          <w:tbl>
            <w:tblPr>
              <w:tblStyle w:val="TableGrid"/>
              <w:tblW w:w="291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Doses of sildenafil investigated in Trial STARTS-1"/>
            </w:tblPr>
            <w:tblGrid>
              <w:gridCol w:w="785"/>
              <w:gridCol w:w="709"/>
              <w:gridCol w:w="708"/>
              <w:gridCol w:w="709"/>
            </w:tblGrid>
            <w:tr w:rsidR="001D0FDA" w:rsidTr="001D0FDA">
              <w:trPr>
                <w:cnfStyle w:val="100000000000" w:firstRow="1" w:lastRow="0" w:firstColumn="0" w:lastColumn="0" w:oddVBand="0" w:evenVBand="0" w:oddHBand="0" w:evenHBand="0" w:firstRowFirstColumn="0" w:firstRowLastColumn="0" w:lastRowFirstColumn="0" w:lastRowLastColumn="0"/>
              </w:trPr>
              <w:tc>
                <w:tcPr>
                  <w:tcW w:w="785" w:type="dxa"/>
                  <w:vMerge w:val="restart"/>
                  <w:shd w:val="clear" w:color="auto" w:fill="FFFFFF" w:themeFill="background1"/>
                </w:tcPr>
                <w:p w:rsidR="001D0FDA" w:rsidRPr="003C0DFB" w:rsidRDefault="001D0FDA" w:rsidP="00B5196D">
                  <w:pPr>
                    <w:pStyle w:val="Tabletext"/>
                    <w:framePr w:hSpace="180" w:wrap="around" w:vAnchor="text" w:hAnchor="text" w:y="1"/>
                    <w:ind w:right="-57"/>
                  </w:pPr>
                  <w:r>
                    <w:t>Body weight (kg)</w:t>
                  </w:r>
                </w:p>
              </w:tc>
              <w:tc>
                <w:tcPr>
                  <w:tcW w:w="2126" w:type="dxa"/>
                  <w:gridSpan w:val="3"/>
                  <w:shd w:val="clear" w:color="auto" w:fill="FFFFFF" w:themeFill="background1"/>
                </w:tcPr>
                <w:p w:rsidR="001D0FDA" w:rsidRDefault="001D0FDA" w:rsidP="00B5196D">
                  <w:pPr>
                    <w:pStyle w:val="Tabletext"/>
                    <w:framePr w:hSpace="180" w:wrap="around" w:vAnchor="text" w:hAnchor="text" w:y="1"/>
                    <w:jc w:val="center"/>
                  </w:pPr>
                  <w:r>
                    <w:t>Sildenafil dose, mg*</w:t>
                  </w:r>
                </w:p>
              </w:tc>
            </w:tr>
            <w:tr w:rsidR="001D0FDA" w:rsidTr="001D0FDA">
              <w:tc>
                <w:tcPr>
                  <w:tcW w:w="785" w:type="dxa"/>
                  <w:vMerge/>
                </w:tcPr>
                <w:p w:rsidR="001D0FDA" w:rsidRDefault="001D0FDA" w:rsidP="00B5196D">
                  <w:pPr>
                    <w:pStyle w:val="Tabletext"/>
                    <w:framePr w:hSpace="180" w:wrap="around" w:vAnchor="text" w:hAnchor="text" w:y="1"/>
                    <w:jc w:val="center"/>
                  </w:pPr>
                </w:p>
              </w:tc>
              <w:tc>
                <w:tcPr>
                  <w:tcW w:w="709" w:type="dxa"/>
                </w:tcPr>
                <w:p w:rsidR="001D0FDA" w:rsidRPr="003C0DFB" w:rsidRDefault="001D0FDA" w:rsidP="00B5196D">
                  <w:pPr>
                    <w:pStyle w:val="Tabletext"/>
                    <w:framePr w:hSpace="180" w:wrap="around" w:vAnchor="text" w:hAnchor="text" w:y="1"/>
                    <w:jc w:val="center"/>
                  </w:pPr>
                  <w:r>
                    <w:t>Low</w:t>
                  </w:r>
                </w:p>
              </w:tc>
              <w:tc>
                <w:tcPr>
                  <w:tcW w:w="708" w:type="dxa"/>
                </w:tcPr>
                <w:p w:rsidR="001D0FDA" w:rsidRPr="00C5782C" w:rsidRDefault="001D0FDA" w:rsidP="00B5196D">
                  <w:pPr>
                    <w:pStyle w:val="Tabletext"/>
                    <w:framePr w:hSpace="180" w:wrap="around" w:vAnchor="text" w:hAnchor="text" w:y="1"/>
                    <w:jc w:val="center"/>
                  </w:pPr>
                  <w:r>
                    <w:t>Med</w:t>
                  </w:r>
                </w:p>
              </w:tc>
              <w:tc>
                <w:tcPr>
                  <w:tcW w:w="709" w:type="dxa"/>
                </w:tcPr>
                <w:p w:rsidR="001D0FDA" w:rsidRDefault="001D0FDA" w:rsidP="00B5196D">
                  <w:pPr>
                    <w:pStyle w:val="Tabletext"/>
                    <w:framePr w:hSpace="180" w:wrap="around" w:vAnchor="text" w:hAnchor="text" w:y="1"/>
                    <w:jc w:val="center"/>
                  </w:pPr>
                  <w:r>
                    <w:t>High</w:t>
                  </w:r>
                </w:p>
              </w:tc>
            </w:tr>
            <w:tr w:rsidR="001D0FDA" w:rsidRPr="00C5782C" w:rsidTr="001D0FDA">
              <w:tc>
                <w:tcPr>
                  <w:tcW w:w="785" w:type="dxa"/>
                </w:tcPr>
                <w:p w:rsidR="001D0FDA" w:rsidRPr="00C5782C" w:rsidRDefault="001D0FDA" w:rsidP="00B5196D">
                  <w:pPr>
                    <w:pStyle w:val="Tabletext"/>
                    <w:framePr w:hSpace="180" w:wrap="around" w:vAnchor="text" w:hAnchor="text" w:y="1"/>
                  </w:pPr>
                  <w:r>
                    <w:t>≥8-20</w:t>
                  </w:r>
                </w:p>
              </w:tc>
              <w:tc>
                <w:tcPr>
                  <w:tcW w:w="709" w:type="dxa"/>
                </w:tcPr>
                <w:p w:rsidR="001D0FDA" w:rsidRPr="00C5782C" w:rsidRDefault="001D0FDA" w:rsidP="00B5196D">
                  <w:pPr>
                    <w:pStyle w:val="Tabletext"/>
                    <w:framePr w:hSpace="180" w:wrap="around" w:vAnchor="text" w:hAnchor="text" w:y="1"/>
                    <w:jc w:val="center"/>
                  </w:pPr>
                  <w:r>
                    <w:t>NA</w:t>
                  </w:r>
                </w:p>
              </w:tc>
              <w:tc>
                <w:tcPr>
                  <w:tcW w:w="708" w:type="dxa"/>
                </w:tcPr>
                <w:p w:rsidR="001D0FDA" w:rsidRPr="00C5782C" w:rsidRDefault="001D0FDA" w:rsidP="00B5196D">
                  <w:pPr>
                    <w:pStyle w:val="Tabletext"/>
                    <w:framePr w:hSpace="180" w:wrap="around" w:vAnchor="text" w:hAnchor="text" w:y="1"/>
                    <w:jc w:val="center"/>
                  </w:pPr>
                  <w:r>
                    <w:t>10</w:t>
                  </w:r>
                </w:p>
              </w:tc>
              <w:tc>
                <w:tcPr>
                  <w:tcW w:w="709" w:type="dxa"/>
                </w:tcPr>
                <w:p w:rsidR="001D0FDA" w:rsidRPr="00C5782C" w:rsidRDefault="001D0FDA" w:rsidP="00B5196D">
                  <w:pPr>
                    <w:pStyle w:val="Tabletext"/>
                    <w:framePr w:hSpace="180" w:wrap="around" w:vAnchor="text" w:hAnchor="text" w:y="1"/>
                    <w:jc w:val="center"/>
                  </w:pPr>
                  <w:r>
                    <w:t>20</w:t>
                  </w:r>
                </w:p>
              </w:tc>
            </w:tr>
            <w:tr w:rsidR="001D0FDA" w:rsidTr="001D0FDA">
              <w:tc>
                <w:tcPr>
                  <w:tcW w:w="785" w:type="dxa"/>
                </w:tcPr>
                <w:p w:rsidR="001D0FDA" w:rsidRPr="00C5782C" w:rsidRDefault="001D0FDA" w:rsidP="00B5196D">
                  <w:pPr>
                    <w:pStyle w:val="Tabletext"/>
                    <w:framePr w:hSpace="180" w:wrap="around" w:vAnchor="text" w:hAnchor="text" w:y="1"/>
                  </w:pPr>
                  <w:r>
                    <w:t>&gt;20-45</w:t>
                  </w:r>
                </w:p>
              </w:tc>
              <w:tc>
                <w:tcPr>
                  <w:tcW w:w="709" w:type="dxa"/>
                </w:tcPr>
                <w:p w:rsidR="001D0FDA" w:rsidRPr="00C5782C" w:rsidRDefault="001D0FDA" w:rsidP="00B5196D">
                  <w:pPr>
                    <w:pStyle w:val="Tabletext"/>
                    <w:framePr w:hSpace="180" w:wrap="around" w:vAnchor="text" w:hAnchor="text" w:y="1"/>
                    <w:jc w:val="center"/>
                  </w:pPr>
                  <w:r>
                    <w:t>10</w:t>
                  </w:r>
                </w:p>
              </w:tc>
              <w:tc>
                <w:tcPr>
                  <w:tcW w:w="708" w:type="dxa"/>
                </w:tcPr>
                <w:p w:rsidR="001D0FDA" w:rsidRPr="00C5782C" w:rsidRDefault="001D0FDA" w:rsidP="00B5196D">
                  <w:pPr>
                    <w:pStyle w:val="Tabletext"/>
                    <w:framePr w:hSpace="180" w:wrap="around" w:vAnchor="text" w:hAnchor="text" w:y="1"/>
                    <w:jc w:val="center"/>
                  </w:pPr>
                  <w:r>
                    <w:t>20</w:t>
                  </w:r>
                </w:p>
              </w:tc>
              <w:tc>
                <w:tcPr>
                  <w:tcW w:w="709" w:type="dxa"/>
                </w:tcPr>
                <w:p w:rsidR="001D0FDA" w:rsidRDefault="001D0FDA" w:rsidP="00B5196D">
                  <w:pPr>
                    <w:pStyle w:val="Tabletext"/>
                    <w:framePr w:hSpace="180" w:wrap="around" w:vAnchor="text" w:hAnchor="text" w:y="1"/>
                    <w:jc w:val="center"/>
                  </w:pPr>
                  <w:r>
                    <w:t>40</w:t>
                  </w:r>
                </w:p>
              </w:tc>
            </w:tr>
            <w:tr w:rsidR="001D0FDA" w:rsidTr="001D0FDA">
              <w:tc>
                <w:tcPr>
                  <w:tcW w:w="785" w:type="dxa"/>
                </w:tcPr>
                <w:p w:rsidR="001D0FDA" w:rsidRPr="00C5782C" w:rsidRDefault="001D0FDA" w:rsidP="00B5196D">
                  <w:pPr>
                    <w:pStyle w:val="Tabletext"/>
                    <w:framePr w:hSpace="180" w:wrap="around" w:vAnchor="text" w:hAnchor="text" w:y="1"/>
                  </w:pPr>
                  <w:r>
                    <w:t>&gt;45</w:t>
                  </w:r>
                </w:p>
              </w:tc>
              <w:tc>
                <w:tcPr>
                  <w:tcW w:w="709" w:type="dxa"/>
                </w:tcPr>
                <w:p w:rsidR="001D0FDA" w:rsidRDefault="001D0FDA" w:rsidP="00B5196D">
                  <w:pPr>
                    <w:pStyle w:val="Tabletext"/>
                    <w:framePr w:hSpace="180" w:wrap="around" w:vAnchor="text" w:hAnchor="text" w:y="1"/>
                    <w:jc w:val="center"/>
                  </w:pPr>
                  <w:r>
                    <w:t>10</w:t>
                  </w:r>
                </w:p>
              </w:tc>
              <w:tc>
                <w:tcPr>
                  <w:tcW w:w="708" w:type="dxa"/>
                </w:tcPr>
                <w:p w:rsidR="001D0FDA" w:rsidRDefault="001D0FDA" w:rsidP="00B5196D">
                  <w:pPr>
                    <w:pStyle w:val="Tabletext"/>
                    <w:framePr w:hSpace="180" w:wrap="around" w:vAnchor="text" w:hAnchor="text" w:y="1"/>
                    <w:jc w:val="center"/>
                  </w:pPr>
                  <w:r>
                    <w:t>40</w:t>
                  </w:r>
                </w:p>
              </w:tc>
              <w:tc>
                <w:tcPr>
                  <w:tcW w:w="709" w:type="dxa"/>
                </w:tcPr>
                <w:p w:rsidR="001D0FDA" w:rsidRDefault="001D0FDA" w:rsidP="00B5196D">
                  <w:pPr>
                    <w:pStyle w:val="Tabletext"/>
                    <w:framePr w:hSpace="180" w:wrap="around" w:vAnchor="text" w:hAnchor="text" w:y="1"/>
                    <w:jc w:val="center"/>
                  </w:pPr>
                  <w:r>
                    <w:t>80</w:t>
                  </w:r>
                </w:p>
              </w:tc>
            </w:tr>
          </w:tbl>
          <w:p w:rsidR="001D0FDA" w:rsidRDefault="001D0FDA" w:rsidP="001D0FDA">
            <w:pPr>
              <w:pStyle w:val="Tablenote"/>
            </w:pPr>
            <w:r>
              <w:t>NA = not applicable</w:t>
            </w:r>
          </w:p>
          <w:p w:rsidR="001D0FDA" w:rsidRPr="00BE1A73" w:rsidRDefault="001D0FDA" w:rsidP="001D0FDA">
            <w:pPr>
              <w:pStyle w:val="Tablenote"/>
            </w:pPr>
            <w:r>
              <w:t>*</w:t>
            </w:r>
            <w:r w:rsidRPr="00BE1A73">
              <w:t xml:space="preserve">Sildenafil </w:t>
            </w:r>
            <w:r>
              <w:rPr>
                <w:i/>
              </w:rPr>
              <w:t xml:space="preserve">tid </w:t>
            </w:r>
            <w:r>
              <w:t>dose to achieve t</w:t>
            </w:r>
            <w:r w:rsidRPr="00BE1A73">
              <w:t>arget</w:t>
            </w:r>
            <w:r>
              <w:t xml:space="preserve"> s</w:t>
            </w:r>
            <w:r w:rsidRPr="00BE1A73">
              <w:t xml:space="preserve">ildenafil </w:t>
            </w:r>
            <w:r>
              <w:t>steady state maximum c</w:t>
            </w:r>
            <w:r w:rsidRPr="00BE1A73">
              <w:t>oncentrations of 47, 140,</w:t>
            </w:r>
          </w:p>
          <w:p w:rsidR="001D0FDA" w:rsidRDefault="001D0FDA" w:rsidP="001D0FDA">
            <w:pPr>
              <w:pStyle w:val="Tablenote"/>
            </w:pPr>
            <w:r w:rsidRPr="00BE1A73">
              <w:t>and 373 ng/mL</w:t>
            </w:r>
          </w:p>
          <w:p w:rsidR="001D0FDA" w:rsidRDefault="001D0FDA" w:rsidP="001D0FDA">
            <w:pPr>
              <w:pStyle w:val="Tablenote"/>
              <w:rPr>
                <w:rFonts w:cs="Tahoma"/>
                <w:szCs w:val="18"/>
              </w:rPr>
            </w:pPr>
          </w:p>
          <w:p w:rsidR="001D0FDA" w:rsidRDefault="001D0FDA" w:rsidP="001D0FDA">
            <w:pPr>
              <w:pStyle w:val="Tabletext"/>
              <w:rPr>
                <w:rFonts w:cs="Tahoma"/>
                <w:i/>
                <w:szCs w:val="18"/>
              </w:rPr>
            </w:pPr>
            <w:r>
              <w:rPr>
                <w:rFonts w:cs="Tahoma"/>
                <w:i/>
                <w:szCs w:val="18"/>
              </w:rPr>
              <w:t>Comparator</w:t>
            </w:r>
          </w:p>
          <w:p w:rsidR="001D0FDA" w:rsidRDefault="001D0FDA" w:rsidP="001D0FDA">
            <w:pPr>
              <w:pStyle w:val="Tabletext"/>
              <w:rPr>
                <w:rFonts w:cs="Tahoma"/>
                <w:szCs w:val="18"/>
              </w:rPr>
            </w:pPr>
            <w:r>
              <w:rPr>
                <w:rFonts w:cs="Tahoma"/>
                <w:szCs w:val="18"/>
              </w:rPr>
              <w:t>Placebo</w:t>
            </w:r>
          </w:p>
          <w:p w:rsidR="001D0FDA" w:rsidRPr="0007077E" w:rsidRDefault="001D0FDA" w:rsidP="001D0FDA">
            <w:pPr>
              <w:pStyle w:val="Tabletext"/>
              <w:rPr>
                <w:rFonts w:cs="Tahoma"/>
                <w:szCs w:val="18"/>
              </w:rPr>
            </w:pPr>
          </w:p>
        </w:tc>
      </w:tr>
      <w:tr w:rsidR="001D0FDA" w:rsidTr="001D0FDA">
        <w:tc>
          <w:tcPr>
            <w:tcW w:w="1001" w:type="pct"/>
            <w:gridSpan w:val="2"/>
            <w:shd w:val="clear" w:color="auto" w:fill="000000" w:themeFill="text1"/>
          </w:tcPr>
          <w:p w:rsidR="001D0FDA" w:rsidRPr="00D53F84" w:rsidRDefault="001D0FDA" w:rsidP="001D0FDA">
            <w:pPr>
              <w:pStyle w:val="Tabletext"/>
              <w:ind w:right="-28"/>
              <w:rPr>
                <w:rFonts w:eastAsia="Times New Roman"/>
                <w:snapToGrid w:val="0"/>
                <w:lang w:eastAsia="en-US"/>
              </w:rPr>
            </w:pPr>
            <w:r>
              <w:rPr>
                <w:rFonts w:eastAsia="Times New Roman"/>
                <w:b/>
                <w:color w:val="FFFFFF" w:themeColor="background1"/>
                <w:lang w:eastAsia="en-US"/>
              </w:rPr>
              <w:lastRenderedPageBreak/>
              <w:t>Observational studies</w:t>
            </w:r>
          </w:p>
        </w:tc>
        <w:tc>
          <w:tcPr>
            <w:tcW w:w="1096" w:type="pct"/>
            <w:shd w:val="clear" w:color="auto" w:fill="000000" w:themeFill="text1"/>
          </w:tcPr>
          <w:p w:rsidR="001D0FDA" w:rsidRPr="00EA1FCD" w:rsidRDefault="001D0FDA" w:rsidP="001D0FDA">
            <w:pPr>
              <w:pStyle w:val="Tabletext"/>
              <w:rPr>
                <w:rFonts w:cs="Tahoma"/>
                <w:i/>
                <w:szCs w:val="18"/>
              </w:rPr>
            </w:pPr>
          </w:p>
        </w:tc>
        <w:tc>
          <w:tcPr>
            <w:tcW w:w="1856" w:type="pct"/>
            <w:shd w:val="clear" w:color="auto" w:fill="000000" w:themeFill="text1"/>
          </w:tcPr>
          <w:p w:rsidR="001D0FDA" w:rsidRDefault="001D0FDA" w:rsidP="001D0FDA">
            <w:pPr>
              <w:pStyle w:val="Tabletext"/>
              <w:rPr>
                <w:rFonts w:cs="Tahoma"/>
                <w:szCs w:val="18"/>
              </w:rPr>
            </w:pPr>
          </w:p>
        </w:tc>
        <w:tc>
          <w:tcPr>
            <w:tcW w:w="1047" w:type="pct"/>
            <w:shd w:val="clear" w:color="auto" w:fill="000000" w:themeFill="text1"/>
          </w:tcPr>
          <w:p w:rsidR="001D0FDA" w:rsidRDefault="001D0FDA" w:rsidP="001D0FDA">
            <w:pPr>
              <w:pStyle w:val="Tabletext"/>
              <w:rPr>
                <w:rFonts w:cs="Tahoma"/>
                <w:i/>
                <w:szCs w:val="18"/>
              </w:rPr>
            </w:pP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ARIES extension study</w:t>
            </w:r>
            <w:r w:rsidR="001D34EE" w:rsidRPr="001A1C44">
              <w:rPr>
                <w:rFonts w:eastAsia="Times New Roman"/>
                <w:noProof/>
                <w:vertAlign w:val="superscript"/>
                <w:lang w:eastAsia="en-US"/>
              </w:rPr>
              <w:t>55</w:t>
            </w:r>
          </w:p>
          <w:p w:rsidR="001D0FDA" w:rsidRPr="008D73C9" w:rsidRDefault="001D0FDA" w:rsidP="001D0FDA">
            <w:pPr>
              <w:pStyle w:val="Tabletext"/>
              <w:ind w:right="-28"/>
              <w:rPr>
                <w:rFonts w:eastAsia="Times New Roman"/>
                <w:lang w:eastAsia="en-US"/>
              </w:rPr>
            </w:pPr>
            <w:r w:rsidRPr="008D73C9">
              <w:rPr>
                <w:rFonts w:eastAsia="Times New Roman"/>
                <w:lang w:eastAsia="en-US"/>
              </w:rPr>
              <w:t>No later than 2009</w:t>
            </w:r>
            <w:r>
              <w:rPr>
                <w:rFonts w:eastAsia="Times New Roman"/>
                <w:vertAlign w:val="superscript"/>
                <w:lang w:eastAsia="en-US"/>
              </w:rPr>
              <w:t>d</w:t>
            </w:r>
          </w:p>
          <w:p w:rsidR="001D0FDA" w:rsidRPr="00D53F84" w:rsidRDefault="001D0FDA" w:rsidP="001D0FDA">
            <w:pPr>
              <w:pStyle w:val="Tabletext"/>
              <w:ind w:right="-28"/>
              <w:rPr>
                <w:rFonts w:eastAsia="Times New Roman"/>
                <w:lang w:eastAsia="en-US"/>
              </w:rPr>
            </w:pPr>
            <w:r w:rsidRPr="008D73C9">
              <w:rPr>
                <w:rFonts w:eastAsia="Times New Roman"/>
                <w:lang w:eastAsia="en-US"/>
              </w:rPr>
              <w:t>US, Mexico, South America, Australia, Europe, Israel</w:t>
            </w:r>
          </w:p>
        </w:tc>
        <w:tc>
          <w:tcPr>
            <w:tcW w:w="473" w:type="pct"/>
          </w:tcPr>
          <w:p w:rsidR="001D0FDA" w:rsidRDefault="001D0FDA" w:rsidP="001D0FDA">
            <w:pPr>
              <w:pStyle w:val="Tabletext"/>
              <w:ind w:right="-28"/>
              <w:rPr>
                <w:rFonts w:eastAsia="Times New Roman"/>
                <w:lang w:eastAsia="en-US"/>
              </w:rPr>
            </w:pPr>
            <w:r w:rsidRPr="008D73C9">
              <w:rPr>
                <w:rFonts w:eastAsia="Times New Roman"/>
                <w:lang w:eastAsia="en-US"/>
              </w:rPr>
              <w:t xml:space="preserve">Prospective case series </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D53F84" w:rsidRDefault="001D0FDA" w:rsidP="001D0FDA">
            <w:pPr>
              <w:pStyle w:val="Tabletext"/>
              <w:ind w:right="-28"/>
              <w:rPr>
                <w:rFonts w:eastAsia="Times New Roman"/>
                <w:snapToGrid w:val="0"/>
                <w:lang w:eastAsia="en-US"/>
              </w:rPr>
            </w:pPr>
            <w:r>
              <w:rPr>
                <w:rFonts w:eastAsia="Times New Roman"/>
                <w:lang w:eastAsia="en-US"/>
              </w:rPr>
              <w:t xml:space="preserve">Follow-up: </w:t>
            </w:r>
            <w:r w:rsidRPr="008D73C9">
              <w:rPr>
                <w:rFonts w:eastAsia="Times New Roman"/>
                <w:lang w:eastAsia="en-US"/>
              </w:rPr>
              <w:t>2 years</w:t>
            </w:r>
          </w:p>
        </w:tc>
        <w:tc>
          <w:tcPr>
            <w:tcW w:w="1096" w:type="pct"/>
          </w:tcPr>
          <w:p w:rsidR="001D0FDA" w:rsidRPr="00C41328" w:rsidRDefault="001D0FDA" w:rsidP="001D0FDA">
            <w:pPr>
              <w:pStyle w:val="Tabletext"/>
              <w:rPr>
                <w:rFonts w:cs="Tahoma"/>
                <w:i/>
                <w:szCs w:val="18"/>
              </w:rPr>
            </w:pPr>
            <w:r w:rsidRPr="00C41328">
              <w:rPr>
                <w:rFonts w:cs="Tahoma"/>
                <w:i/>
                <w:szCs w:val="18"/>
              </w:rPr>
              <w:t>Inclusion criteria</w:t>
            </w:r>
          </w:p>
          <w:p w:rsidR="001D0FDA" w:rsidRPr="00EA1FCD" w:rsidRDefault="001D0FDA" w:rsidP="00480FDF">
            <w:pPr>
              <w:pStyle w:val="Tabletext"/>
              <w:numPr>
                <w:ilvl w:val="0"/>
                <w:numId w:val="54"/>
              </w:numPr>
              <w:ind w:left="239" w:hanging="144"/>
              <w:rPr>
                <w:rFonts w:cs="Tahoma"/>
                <w:i/>
                <w:szCs w:val="18"/>
              </w:rPr>
            </w:pPr>
            <w:r w:rsidRPr="00C41328">
              <w:rPr>
                <w:rFonts w:cs="Tahoma"/>
                <w:szCs w:val="18"/>
              </w:rPr>
              <w:t>Patients with IPAH or PAH-CTD, PAH-HIV or anorexigen-associated-PAH who completed Trials ARIES-1 and ARIES-2</w:t>
            </w:r>
          </w:p>
        </w:tc>
        <w:tc>
          <w:tcPr>
            <w:tcW w:w="1856" w:type="pct"/>
          </w:tcPr>
          <w:p w:rsidR="001D0FDA" w:rsidRPr="00C41328" w:rsidRDefault="001D0FDA" w:rsidP="001D0FDA">
            <w:pPr>
              <w:pStyle w:val="Tabletext"/>
              <w:rPr>
                <w:rFonts w:cs="Tahoma"/>
                <w:szCs w:val="18"/>
              </w:rPr>
            </w:pPr>
            <w:r w:rsidRPr="00C41328">
              <w:rPr>
                <w:rFonts w:cs="Tahoma"/>
                <w:szCs w:val="18"/>
              </w:rPr>
              <w:t>N=383</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51±15</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302 (79%)</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Pr="00C41328" w:rsidRDefault="001D0FDA" w:rsidP="001D0FDA">
            <w:pPr>
              <w:pStyle w:val="Tabletext"/>
              <w:ind w:left="239"/>
              <w:rPr>
                <w:rFonts w:cs="Tahoma"/>
                <w:szCs w:val="18"/>
              </w:rPr>
            </w:pPr>
            <w:r w:rsidRPr="00C41328">
              <w:rPr>
                <w:rFonts w:cs="Tahoma"/>
                <w:szCs w:val="18"/>
              </w:rPr>
              <w:t>IPAH: 241 (63%)</w:t>
            </w:r>
            <w:r>
              <w:rPr>
                <w:rFonts w:cs="Tahoma"/>
                <w:szCs w:val="18"/>
              </w:rPr>
              <w:t xml:space="preserve">; </w:t>
            </w:r>
            <w:r w:rsidRPr="00C41328">
              <w:rPr>
                <w:rFonts w:cs="Tahoma"/>
                <w:szCs w:val="18"/>
              </w:rPr>
              <w:t>PAH-CTD: 124 (32%)</w:t>
            </w:r>
            <w:r>
              <w:rPr>
                <w:rFonts w:cs="Tahoma"/>
                <w:szCs w:val="18"/>
              </w:rPr>
              <w:t xml:space="preserve">; </w:t>
            </w:r>
            <w:r w:rsidRPr="00C41328">
              <w:rPr>
                <w:rFonts w:cs="Tahoma"/>
                <w:szCs w:val="18"/>
              </w:rPr>
              <w:t>PAH-HIV: 11 (3%)</w:t>
            </w:r>
            <w:r>
              <w:rPr>
                <w:rFonts w:cs="Tahoma"/>
                <w:szCs w:val="18"/>
              </w:rPr>
              <w:t xml:space="preserve">; </w:t>
            </w:r>
            <w:r w:rsidRPr="00C41328">
              <w:rPr>
                <w:rFonts w:cs="Tahoma"/>
                <w:szCs w:val="18"/>
              </w:rPr>
              <w:t>PAH-DT: 6 (2%)</w:t>
            </w:r>
          </w:p>
          <w:p w:rsidR="001D0FDA" w:rsidRPr="00C41328" w:rsidRDefault="001D0FDA" w:rsidP="001D0FDA">
            <w:pPr>
              <w:pStyle w:val="Tabletext"/>
              <w:rPr>
                <w:rFonts w:cs="Tahoma"/>
                <w:szCs w:val="18"/>
              </w:rPr>
            </w:pPr>
            <w:r w:rsidRPr="00C41328">
              <w:rPr>
                <w:rFonts w:cs="Tahoma"/>
                <w:szCs w:val="18"/>
              </w:rPr>
              <w:t>WHO FC</w:t>
            </w:r>
            <w:r>
              <w:rPr>
                <w:rFonts w:cs="Tahoma"/>
                <w:szCs w:val="18"/>
              </w:rPr>
              <w:t>, n (%)</w:t>
            </w:r>
            <w:r w:rsidRPr="00C41328">
              <w:rPr>
                <w:rFonts w:cs="Tahoma"/>
                <w:szCs w:val="18"/>
              </w:rPr>
              <w:t>:</w:t>
            </w:r>
          </w:p>
          <w:p w:rsidR="001D0FDA" w:rsidRPr="00C41328" w:rsidRDefault="001D0FDA" w:rsidP="001D0FDA">
            <w:pPr>
              <w:pStyle w:val="Tabletext"/>
              <w:ind w:left="239"/>
              <w:rPr>
                <w:rFonts w:cs="Tahoma"/>
                <w:szCs w:val="18"/>
              </w:rPr>
            </w:pPr>
            <w:r w:rsidRPr="00C41328">
              <w:rPr>
                <w:rFonts w:cs="Tahoma"/>
                <w:szCs w:val="18"/>
              </w:rPr>
              <w:t>I: 12 (3%)</w:t>
            </w:r>
            <w:r>
              <w:rPr>
                <w:rFonts w:cs="Tahoma"/>
                <w:szCs w:val="18"/>
              </w:rPr>
              <w:t xml:space="preserve">; </w:t>
            </w:r>
            <w:r w:rsidRPr="00C41328">
              <w:rPr>
                <w:rFonts w:cs="Tahoma"/>
                <w:szCs w:val="18"/>
              </w:rPr>
              <w:t>II: 163 (43%)</w:t>
            </w:r>
            <w:r>
              <w:rPr>
                <w:rFonts w:cs="Tahoma"/>
                <w:szCs w:val="18"/>
              </w:rPr>
              <w:t xml:space="preserve">; </w:t>
            </w:r>
            <w:r w:rsidRPr="00C41328">
              <w:rPr>
                <w:rFonts w:cs="Tahoma"/>
                <w:szCs w:val="18"/>
              </w:rPr>
              <w:t>III: 178 (46%)</w:t>
            </w:r>
            <w:r>
              <w:rPr>
                <w:rFonts w:cs="Tahoma"/>
                <w:szCs w:val="18"/>
              </w:rPr>
              <w:t xml:space="preserve">; </w:t>
            </w:r>
            <w:r w:rsidRPr="00C41328">
              <w:rPr>
                <w:rFonts w:cs="Tahoma"/>
                <w:szCs w:val="18"/>
              </w:rPr>
              <w:t>IV: 30 (8%)</w:t>
            </w:r>
          </w:p>
          <w:p w:rsidR="001D0FDA" w:rsidRPr="00C41328" w:rsidRDefault="001D0FDA" w:rsidP="001D0FDA">
            <w:pPr>
              <w:pStyle w:val="Tabletext"/>
              <w:rPr>
                <w:rFonts w:cs="Tahoma"/>
                <w:szCs w:val="18"/>
              </w:rPr>
            </w:pPr>
            <w:r w:rsidRPr="00C41328">
              <w:rPr>
                <w:rFonts w:cs="Tahoma"/>
                <w:szCs w:val="18"/>
              </w:rPr>
              <w:t>mPAP</w:t>
            </w:r>
            <w:r>
              <w:rPr>
                <w:rFonts w:cs="Tahoma"/>
                <w:szCs w:val="18"/>
              </w:rPr>
              <w:t>, mean</w:t>
            </w:r>
            <w:r w:rsidRPr="00C41328">
              <w:rPr>
                <w:rFonts w:cs="Tahoma"/>
                <w:szCs w:val="18"/>
              </w:rPr>
              <w:t>±</w:t>
            </w:r>
            <w:r>
              <w:rPr>
                <w:rFonts w:cs="Tahoma"/>
                <w:szCs w:val="18"/>
              </w:rPr>
              <w:t xml:space="preserve">SD </w:t>
            </w:r>
            <w:r w:rsidRPr="00C41328">
              <w:rPr>
                <w:rFonts w:cs="Tahoma"/>
                <w:szCs w:val="18"/>
              </w:rPr>
              <w:t>(mmHg): 49±14</w:t>
            </w:r>
          </w:p>
          <w:p w:rsidR="001D0FDA" w:rsidRDefault="001D0FDA" w:rsidP="001D0FDA">
            <w:pPr>
              <w:pStyle w:val="Tabletext"/>
              <w:rPr>
                <w:rFonts w:cs="Tahoma"/>
                <w:szCs w:val="18"/>
              </w:rPr>
            </w:pPr>
            <w:r w:rsidRPr="00C41328">
              <w:rPr>
                <w:rFonts w:cs="Tahoma"/>
                <w:szCs w:val="18"/>
              </w:rPr>
              <w:t>PVR</w:t>
            </w:r>
            <w:r>
              <w:rPr>
                <w:rFonts w:cs="Tahoma"/>
                <w:szCs w:val="18"/>
              </w:rPr>
              <w:t>, mean</w:t>
            </w:r>
            <w:r w:rsidRPr="00C41328">
              <w:rPr>
                <w:rFonts w:cs="Tahoma"/>
                <w:szCs w:val="18"/>
              </w:rPr>
              <w:t>±</w:t>
            </w:r>
            <w:r>
              <w:rPr>
                <w:rFonts w:cs="Tahoma"/>
                <w:szCs w:val="18"/>
              </w:rPr>
              <w:t>SD</w:t>
            </w:r>
            <w:r w:rsidRPr="00C41328">
              <w:rPr>
                <w:rFonts w:cs="Tahoma"/>
                <w:szCs w:val="18"/>
              </w:rPr>
              <w:t xml:space="preserve"> (mmHg/L/min): 11.0±6.5</w:t>
            </w:r>
          </w:p>
        </w:tc>
        <w:tc>
          <w:tcPr>
            <w:tcW w:w="1047" w:type="pct"/>
          </w:tcPr>
          <w:p w:rsidR="001D0FDA" w:rsidRDefault="001D0FDA" w:rsidP="001D0FDA">
            <w:pPr>
              <w:pStyle w:val="Tabletext"/>
              <w:rPr>
                <w:rFonts w:cs="Tahoma"/>
                <w:i/>
                <w:szCs w:val="18"/>
              </w:rPr>
            </w:pPr>
            <w:r>
              <w:rPr>
                <w:rFonts w:cs="Tahoma"/>
                <w:i/>
                <w:szCs w:val="18"/>
              </w:rPr>
              <w:t>Intervention</w:t>
            </w:r>
          </w:p>
          <w:p w:rsidR="001D0FDA" w:rsidRPr="00C41328" w:rsidRDefault="001D0FDA" w:rsidP="001D0FDA">
            <w:pPr>
              <w:pStyle w:val="Tabletext"/>
              <w:rPr>
                <w:rFonts w:cs="Tahoma"/>
                <w:szCs w:val="18"/>
              </w:rPr>
            </w:pPr>
            <w:r>
              <w:rPr>
                <w:rFonts w:cs="Tahoma"/>
                <w:szCs w:val="18"/>
              </w:rPr>
              <w:t>Ambrisentan:</w:t>
            </w:r>
            <w:r w:rsidRPr="00C41328">
              <w:rPr>
                <w:rFonts w:cs="Tahoma"/>
                <w:szCs w:val="18"/>
              </w:rPr>
              <w:t xml:space="preserve"> 2.5mg, 5mg or 10mg od</w:t>
            </w:r>
          </w:p>
          <w:p w:rsidR="001D0FDA" w:rsidRPr="00C41328" w:rsidRDefault="001D0FDA" w:rsidP="001D0FDA">
            <w:pPr>
              <w:pStyle w:val="Tabletext"/>
              <w:rPr>
                <w:rFonts w:cs="Tahoma"/>
                <w:szCs w:val="18"/>
              </w:rPr>
            </w:pPr>
          </w:p>
          <w:p w:rsidR="001D0FDA" w:rsidRDefault="001D0FDA" w:rsidP="001D0FDA">
            <w:pPr>
              <w:pStyle w:val="Tabletext"/>
              <w:rPr>
                <w:rFonts w:cs="Tahoma"/>
                <w:szCs w:val="18"/>
              </w:rPr>
            </w:pPr>
            <w:r>
              <w:rPr>
                <w:rFonts w:cs="Tahoma"/>
                <w:szCs w:val="18"/>
              </w:rPr>
              <w:t>Combination therapy</w:t>
            </w:r>
          </w:p>
          <w:p w:rsidR="001D0FDA" w:rsidRDefault="001D0FDA" w:rsidP="001D0FDA">
            <w:pPr>
              <w:pStyle w:val="Tabletext"/>
              <w:rPr>
                <w:rFonts w:cs="Tahoma"/>
                <w:i/>
                <w:szCs w:val="18"/>
              </w:rPr>
            </w:pPr>
            <w:r>
              <w:rPr>
                <w:rFonts w:cs="Tahoma"/>
                <w:szCs w:val="18"/>
              </w:rPr>
              <w:t>Sildenafil</w:t>
            </w:r>
            <w:r w:rsidRPr="00C41328">
              <w:rPr>
                <w:rFonts w:cs="Tahoma"/>
                <w:szCs w:val="18"/>
              </w:rPr>
              <w:t xml:space="preserve"> and/or </w:t>
            </w:r>
            <w:r>
              <w:rPr>
                <w:rFonts w:cs="Tahoma"/>
                <w:szCs w:val="18"/>
              </w:rPr>
              <w:t xml:space="preserve">prostanoid </w:t>
            </w:r>
            <w:r w:rsidRPr="00C41328">
              <w:rPr>
                <w:rFonts w:cs="Tahoma"/>
                <w:szCs w:val="18"/>
              </w:rPr>
              <w:t>(18%)</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Dickinson 2009</w:t>
            </w:r>
            <w:r w:rsidR="001D34EE" w:rsidRPr="001A1C44">
              <w:rPr>
                <w:rFonts w:eastAsia="Times New Roman"/>
                <w:noProof/>
                <w:vertAlign w:val="superscript"/>
                <w:lang w:eastAsia="en-US"/>
              </w:rPr>
              <w:t>56</w:t>
            </w:r>
          </w:p>
          <w:p w:rsidR="001D0FDA" w:rsidRPr="008D73C9" w:rsidRDefault="001D0FDA" w:rsidP="001D0FDA">
            <w:pPr>
              <w:pStyle w:val="Tabletext"/>
              <w:ind w:right="-28"/>
              <w:rPr>
                <w:rFonts w:eastAsia="Times New Roman"/>
                <w:lang w:eastAsia="en-US"/>
              </w:rPr>
            </w:pPr>
            <w:r w:rsidRPr="008D73C9">
              <w:rPr>
                <w:rFonts w:eastAsia="Times New Roman"/>
                <w:lang w:eastAsia="en-US"/>
              </w:rPr>
              <w:t>1998-2006</w:t>
            </w:r>
          </w:p>
          <w:p w:rsidR="001D0FDA" w:rsidRPr="008D73C9" w:rsidRDefault="001D0FDA" w:rsidP="001D0FDA">
            <w:pPr>
              <w:pStyle w:val="Tabletext"/>
              <w:ind w:right="-28"/>
              <w:rPr>
                <w:rFonts w:eastAsia="Times New Roman"/>
                <w:lang w:eastAsia="en-US"/>
              </w:rPr>
            </w:pPr>
            <w:r w:rsidRPr="008D73C9">
              <w:rPr>
                <w:rFonts w:eastAsia="Times New Roman"/>
                <w:lang w:eastAsia="en-US"/>
              </w:rPr>
              <w:t>Netherlands</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 xml:space="preserve">Follow-up: </w:t>
            </w:r>
            <w:r w:rsidRPr="008D73C9">
              <w:rPr>
                <w:rFonts w:eastAsia="Times New Roman"/>
                <w:lang w:eastAsia="en-US"/>
              </w:rPr>
              <w:t>2.6 years</w:t>
            </w:r>
          </w:p>
        </w:tc>
        <w:tc>
          <w:tcPr>
            <w:tcW w:w="1096" w:type="pct"/>
          </w:tcPr>
          <w:p w:rsidR="001D0FDA" w:rsidRPr="00BB51A1" w:rsidRDefault="001D0FDA" w:rsidP="001D0FDA">
            <w:pPr>
              <w:pStyle w:val="Tabletext"/>
              <w:rPr>
                <w:rFonts w:cs="Tahoma"/>
                <w:i/>
                <w:szCs w:val="18"/>
              </w:rPr>
            </w:pPr>
            <w:r w:rsidRPr="00BB51A1">
              <w:rPr>
                <w:rFonts w:cs="Tahoma"/>
                <w:i/>
                <w:szCs w:val="18"/>
              </w:rPr>
              <w:t>Inclusion criteria</w:t>
            </w:r>
          </w:p>
          <w:p w:rsidR="001D0FDA" w:rsidRPr="00C41328" w:rsidRDefault="001D0FDA" w:rsidP="00480FDF">
            <w:pPr>
              <w:pStyle w:val="Tabletext"/>
              <w:numPr>
                <w:ilvl w:val="0"/>
                <w:numId w:val="54"/>
              </w:numPr>
              <w:ind w:left="239" w:hanging="144"/>
              <w:rPr>
                <w:rFonts w:cs="Tahoma"/>
                <w:i/>
                <w:szCs w:val="18"/>
              </w:rPr>
            </w:pPr>
            <w:r>
              <w:rPr>
                <w:rFonts w:cs="Tahoma"/>
                <w:szCs w:val="18"/>
              </w:rPr>
              <w:t>P</w:t>
            </w:r>
            <w:r w:rsidRPr="00BB51A1">
              <w:rPr>
                <w:rFonts w:cs="Tahoma"/>
                <w:szCs w:val="18"/>
              </w:rPr>
              <w:t xml:space="preserve">atients </w:t>
            </w:r>
            <w:r>
              <w:rPr>
                <w:rFonts w:cs="Tahoma"/>
                <w:szCs w:val="18"/>
              </w:rPr>
              <w:t xml:space="preserve">with pulmonary hypertension who were </w:t>
            </w:r>
            <w:r w:rsidRPr="00BB51A1">
              <w:rPr>
                <w:rFonts w:cs="Tahoma"/>
                <w:szCs w:val="18"/>
              </w:rPr>
              <w:t xml:space="preserve">treated with epoprostenol through a totally implantable access port </w:t>
            </w:r>
          </w:p>
        </w:tc>
        <w:tc>
          <w:tcPr>
            <w:tcW w:w="1856" w:type="pct"/>
          </w:tcPr>
          <w:p w:rsidR="001D0FDA" w:rsidRPr="00C41328" w:rsidRDefault="001D0FDA" w:rsidP="001D0FDA">
            <w:pPr>
              <w:pStyle w:val="Tabletext"/>
              <w:rPr>
                <w:rFonts w:cs="Tahoma"/>
                <w:szCs w:val="18"/>
              </w:rPr>
            </w:pPr>
            <w:r w:rsidRPr="00C41328">
              <w:rPr>
                <w:rFonts w:cs="Tahoma"/>
                <w:szCs w:val="18"/>
              </w:rPr>
              <w:t>N=</w:t>
            </w:r>
            <w:r>
              <w:rPr>
                <w:rFonts w:cs="Tahoma"/>
                <w:szCs w:val="18"/>
              </w:rPr>
              <w:t>111</w:t>
            </w:r>
          </w:p>
          <w:p w:rsidR="001D0FDA" w:rsidRPr="00C41328" w:rsidRDefault="001D0FDA" w:rsidP="001D0FDA">
            <w:pPr>
              <w:pStyle w:val="Tabletext"/>
              <w:rPr>
                <w:rFonts w:cs="Tahoma"/>
                <w:szCs w:val="18"/>
              </w:rPr>
            </w:pPr>
            <w:r w:rsidRPr="00C41328">
              <w:rPr>
                <w:rFonts w:cs="Tahoma"/>
                <w:szCs w:val="18"/>
              </w:rPr>
              <w:t>Age</w:t>
            </w:r>
            <w:r>
              <w:rPr>
                <w:rFonts w:cs="Tahoma"/>
                <w:szCs w:val="18"/>
              </w:rPr>
              <w:t>, mean (range) (yrs)</w:t>
            </w:r>
            <w:r w:rsidRPr="00C41328">
              <w:rPr>
                <w:rFonts w:cs="Tahoma"/>
                <w:szCs w:val="18"/>
              </w:rPr>
              <w:t xml:space="preserve">: </w:t>
            </w:r>
            <w:r>
              <w:rPr>
                <w:rFonts w:cs="Tahoma"/>
                <w:szCs w:val="18"/>
              </w:rPr>
              <w:t>44 (2-74)</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xml:space="preserve">: </w:t>
            </w:r>
            <w:r>
              <w:rPr>
                <w:rFonts w:cs="Tahoma"/>
                <w:szCs w:val="18"/>
              </w:rPr>
              <w:t>86 (77%)</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sidRPr="00BB51A1">
              <w:rPr>
                <w:rFonts w:cs="Tahoma"/>
                <w:szCs w:val="18"/>
              </w:rPr>
              <w:t>IPAH: 45 (41%)</w:t>
            </w:r>
            <w:r>
              <w:rPr>
                <w:rFonts w:cs="Tahoma"/>
                <w:szCs w:val="18"/>
              </w:rPr>
              <w:t xml:space="preserve">; </w:t>
            </w:r>
            <w:r w:rsidRPr="00BB51A1">
              <w:rPr>
                <w:rFonts w:cs="Tahoma"/>
                <w:szCs w:val="18"/>
              </w:rPr>
              <w:t>HPAH: 11 (10%)</w:t>
            </w:r>
            <w:r>
              <w:rPr>
                <w:rFonts w:cs="Tahoma"/>
                <w:szCs w:val="18"/>
              </w:rPr>
              <w:t xml:space="preserve">; </w:t>
            </w:r>
            <w:r w:rsidRPr="00BB51A1">
              <w:rPr>
                <w:rFonts w:cs="Tahoma"/>
                <w:szCs w:val="18"/>
              </w:rPr>
              <w:t>PAH-CTD: 16 (14%)</w:t>
            </w:r>
            <w:r>
              <w:rPr>
                <w:rFonts w:cs="Tahoma"/>
                <w:szCs w:val="18"/>
              </w:rPr>
              <w:t xml:space="preserve">; </w:t>
            </w:r>
            <w:r w:rsidRPr="00BB51A1">
              <w:rPr>
                <w:rFonts w:cs="Tahoma"/>
                <w:szCs w:val="18"/>
              </w:rPr>
              <w:t>PAH-CHD: 11 (10%)</w:t>
            </w:r>
            <w:r>
              <w:rPr>
                <w:rFonts w:cs="Tahoma"/>
                <w:szCs w:val="18"/>
              </w:rPr>
              <w:t xml:space="preserve">; </w:t>
            </w:r>
            <w:r w:rsidRPr="00BB51A1">
              <w:rPr>
                <w:rFonts w:cs="Tahoma"/>
                <w:szCs w:val="18"/>
              </w:rPr>
              <w:t>PAH-PH: 7 (6%)</w:t>
            </w:r>
            <w:r>
              <w:rPr>
                <w:rFonts w:cs="Tahoma"/>
                <w:szCs w:val="18"/>
              </w:rPr>
              <w:t xml:space="preserve">; </w:t>
            </w:r>
            <w:r w:rsidRPr="00BB51A1">
              <w:rPr>
                <w:rFonts w:cs="Tahoma"/>
                <w:szCs w:val="18"/>
              </w:rPr>
              <w:t>PAH-HIV: 1 (1%)</w:t>
            </w:r>
            <w:r>
              <w:rPr>
                <w:rFonts w:cs="Tahoma"/>
                <w:szCs w:val="18"/>
              </w:rPr>
              <w:t xml:space="preserve">; </w:t>
            </w:r>
            <w:r w:rsidRPr="00BB51A1">
              <w:rPr>
                <w:rFonts w:cs="Tahoma"/>
                <w:szCs w:val="18"/>
              </w:rPr>
              <w:t>PAH-DT: 1 (1%)</w:t>
            </w:r>
            <w:r>
              <w:rPr>
                <w:rFonts w:cs="Tahoma"/>
                <w:szCs w:val="18"/>
              </w:rPr>
              <w:t xml:space="preserve">; </w:t>
            </w:r>
            <w:r w:rsidRPr="00BB51A1">
              <w:rPr>
                <w:rFonts w:cs="Tahoma"/>
                <w:szCs w:val="18"/>
              </w:rPr>
              <w:t>PAH-Gaucher disease Type 1: 1(1%)</w:t>
            </w:r>
            <w:r>
              <w:rPr>
                <w:rFonts w:cs="Tahoma"/>
                <w:szCs w:val="18"/>
              </w:rPr>
              <w:t xml:space="preserve">; </w:t>
            </w:r>
            <w:r w:rsidRPr="00BB51A1">
              <w:rPr>
                <w:rFonts w:cs="Tahoma"/>
                <w:szCs w:val="18"/>
              </w:rPr>
              <w:t>CTEPH: 18 (16%)</w:t>
            </w:r>
          </w:p>
          <w:p w:rsidR="001D0FDA" w:rsidRDefault="001D0FDA" w:rsidP="001D0FDA">
            <w:pPr>
              <w:pStyle w:val="Tabletext"/>
              <w:rPr>
                <w:rFonts w:cs="Tahoma"/>
                <w:szCs w:val="18"/>
              </w:rPr>
            </w:pPr>
            <w:r w:rsidRPr="00C41328">
              <w:rPr>
                <w:rFonts w:cs="Tahoma"/>
                <w:szCs w:val="18"/>
              </w:rPr>
              <w:t>WHO FC</w:t>
            </w:r>
            <w:r>
              <w:rPr>
                <w:rFonts w:cs="Tahoma"/>
                <w:szCs w:val="18"/>
              </w:rPr>
              <w:t>, n (%)</w:t>
            </w:r>
            <w:r w:rsidRPr="00C41328">
              <w:rPr>
                <w:rFonts w:cs="Tahoma"/>
                <w:szCs w:val="18"/>
              </w:rPr>
              <w:t>:</w:t>
            </w:r>
          </w:p>
          <w:p w:rsidR="001D0FDA" w:rsidRPr="00C41328" w:rsidRDefault="001D0FDA" w:rsidP="001D0FDA">
            <w:pPr>
              <w:pStyle w:val="Tabletext"/>
              <w:ind w:left="239"/>
              <w:rPr>
                <w:rFonts w:cs="Tahoma"/>
                <w:szCs w:val="18"/>
              </w:rPr>
            </w:pPr>
            <w:r w:rsidRPr="00BB51A1">
              <w:rPr>
                <w:rFonts w:cs="Tahoma"/>
                <w:szCs w:val="18"/>
              </w:rPr>
              <w:t>II: 42 (4%)</w:t>
            </w:r>
            <w:r>
              <w:rPr>
                <w:rFonts w:cs="Tahoma"/>
                <w:szCs w:val="18"/>
              </w:rPr>
              <w:t xml:space="preserve">; </w:t>
            </w:r>
            <w:r w:rsidRPr="00BB51A1">
              <w:rPr>
                <w:rFonts w:cs="Tahoma"/>
                <w:szCs w:val="18"/>
              </w:rPr>
              <w:t>III: 53 (48%)</w:t>
            </w:r>
            <w:r>
              <w:rPr>
                <w:rFonts w:cs="Tahoma"/>
                <w:szCs w:val="18"/>
              </w:rPr>
              <w:t xml:space="preserve">; </w:t>
            </w:r>
            <w:r w:rsidRPr="00BB51A1">
              <w:rPr>
                <w:rFonts w:cs="Tahoma"/>
                <w:szCs w:val="18"/>
              </w:rPr>
              <w:t>IV: 54 (49%)</w:t>
            </w:r>
          </w:p>
        </w:tc>
        <w:tc>
          <w:tcPr>
            <w:tcW w:w="1047" w:type="pct"/>
          </w:tcPr>
          <w:p w:rsidR="001D0FDA" w:rsidRDefault="001D0FDA" w:rsidP="001D0FDA">
            <w:pPr>
              <w:pStyle w:val="Tabletext"/>
              <w:rPr>
                <w:rFonts w:cs="Tahoma"/>
                <w:i/>
                <w:szCs w:val="18"/>
              </w:rPr>
            </w:pPr>
            <w:r>
              <w:rPr>
                <w:rFonts w:cs="Tahoma"/>
                <w:i/>
                <w:szCs w:val="18"/>
              </w:rPr>
              <w:t>Intervention</w:t>
            </w:r>
          </w:p>
          <w:p w:rsidR="001D0FDA" w:rsidRPr="00C41328" w:rsidRDefault="001D0FDA" w:rsidP="001D0FDA">
            <w:pPr>
              <w:pStyle w:val="Tabletext"/>
              <w:rPr>
                <w:rFonts w:cs="Tahoma"/>
                <w:szCs w:val="18"/>
              </w:rPr>
            </w:pPr>
            <w:r w:rsidRPr="00C41328">
              <w:rPr>
                <w:rFonts w:cs="Tahoma"/>
                <w:szCs w:val="18"/>
              </w:rPr>
              <w:t>Epoprostenol (dose not stated)</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EARLY extension study</w:t>
            </w:r>
            <w:r w:rsidR="001D34EE" w:rsidRPr="001A1C44">
              <w:rPr>
                <w:rFonts w:eastAsia="Times New Roman"/>
                <w:noProof/>
                <w:vertAlign w:val="superscript"/>
                <w:lang w:eastAsia="en-US"/>
              </w:rPr>
              <w:t>57</w:t>
            </w:r>
          </w:p>
          <w:p w:rsidR="001D0FDA" w:rsidRPr="008D73C9" w:rsidRDefault="001D0FDA" w:rsidP="001D0FDA">
            <w:pPr>
              <w:pStyle w:val="Tabletext"/>
              <w:ind w:right="-28"/>
              <w:rPr>
                <w:rFonts w:eastAsia="Times New Roman"/>
                <w:lang w:eastAsia="en-US"/>
              </w:rPr>
            </w:pPr>
            <w:r w:rsidRPr="008D73C9">
              <w:rPr>
                <w:rFonts w:eastAsia="Times New Roman"/>
                <w:lang w:eastAsia="en-US"/>
              </w:rPr>
              <w:t>2004-2011</w:t>
            </w:r>
          </w:p>
          <w:p w:rsidR="001D0FDA" w:rsidRPr="008D73C9" w:rsidRDefault="001D0FDA" w:rsidP="001D0FDA">
            <w:pPr>
              <w:pStyle w:val="Tabletext"/>
              <w:ind w:right="-28"/>
              <w:rPr>
                <w:rFonts w:eastAsia="Times New Roman"/>
                <w:lang w:eastAsia="en-US"/>
              </w:rPr>
            </w:pPr>
            <w:r w:rsidRPr="008D73C9">
              <w:rPr>
                <w:rFonts w:eastAsia="Times New Roman"/>
                <w:lang w:eastAsia="en-US"/>
              </w:rPr>
              <w:t>US, Europe, Brazil</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Follow-up: 51.4 months</w:t>
            </w:r>
          </w:p>
        </w:tc>
        <w:tc>
          <w:tcPr>
            <w:tcW w:w="1096" w:type="pct"/>
          </w:tcPr>
          <w:p w:rsidR="001D0FDA" w:rsidRPr="00BB51A1" w:rsidRDefault="001D0FDA" w:rsidP="001D0FDA">
            <w:pPr>
              <w:pStyle w:val="Tabletext"/>
              <w:rPr>
                <w:rFonts w:cs="Tahoma"/>
                <w:i/>
                <w:szCs w:val="18"/>
              </w:rPr>
            </w:pPr>
            <w:r w:rsidRPr="00BB51A1">
              <w:rPr>
                <w:rFonts w:cs="Tahoma"/>
                <w:i/>
                <w:szCs w:val="18"/>
              </w:rPr>
              <w:t>Inclusion criteria</w:t>
            </w:r>
          </w:p>
          <w:p w:rsidR="001D0FDA" w:rsidRPr="00BB51A1" w:rsidRDefault="001D0FDA" w:rsidP="00480FDF">
            <w:pPr>
              <w:pStyle w:val="Tabletext"/>
              <w:numPr>
                <w:ilvl w:val="0"/>
                <w:numId w:val="54"/>
              </w:numPr>
              <w:ind w:left="239" w:hanging="144"/>
              <w:rPr>
                <w:rFonts w:cs="Tahoma"/>
                <w:i/>
                <w:szCs w:val="18"/>
              </w:rPr>
            </w:pPr>
            <w:r>
              <w:rPr>
                <w:rFonts w:cs="Tahoma"/>
                <w:szCs w:val="18"/>
              </w:rPr>
              <w:t xml:space="preserve">Patients with </w:t>
            </w:r>
            <w:r w:rsidRPr="00BB51A1">
              <w:rPr>
                <w:rFonts w:cs="Tahoma"/>
                <w:szCs w:val="18"/>
              </w:rPr>
              <w:t>WHO FC II IPAH, HPAH, PAH-CTD, PAH-CHD, PAH-HIV or anorexigen-associated PAH patients who entered the double-blinded phase of Trial EARLY, completed the trial and tolerated treatment</w:t>
            </w:r>
          </w:p>
        </w:tc>
        <w:tc>
          <w:tcPr>
            <w:tcW w:w="1856" w:type="pct"/>
          </w:tcPr>
          <w:p w:rsidR="001D0FDA" w:rsidRPr="00C41328" w:rsidRDefault="001D0FDA" w:rsidP="001D0FDA">
            <w:pPr>
              <w:pStyle w:val="Tabletext"/>
              <w:rPr>
                <w:rFonts w:cs="Tahoma"/>
                <w:szCs w:val="18"/>
              </w:rPr>
            </w:pPr>
            <w:r w:rsidRPr="00C41328">
              <w:rPr>
                <w:rFonts w:cs="Tahoma"/>
                <w:szCs w:val="18"/>
              </w:rPr>
              <w:t>N=</w:t>
            </w:r>
            <w:r>
              <w:rPr>
                <w:rFonts w:cs="Tahoma"/>
                <w:szCs w:val="18"/>
              </w:rPr>
              <w:t>111</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xml:space="preserve">: </w:t>
            </w:r>
            <w:r>
              <w:rPr>
                <w:rFonts w:cs="Tahoma"/>
                <w:szCs w:val="18"/>
              </w:rPr>
              <w:t>45±18</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xml:space="preserve">: </w:t>
            </w:r>
            <w:r>
              <w:rPr>
                <w:rFonts w:cs="Tahoma"/>
                <w:szCs w:val="18"/>
              </w:rPr>
              <w:t>120 (69%)</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sidRPr="00BB51A1">
              <w:rPr>
                <w:rFonts w:cs="Tahoma"/>
                <w:szCs w:val="18"/>
              </w:rPr>
              <w:t>IPAH: 106 (61%)</w:t>
            </w:r>
            <w:r>
              <w:rPr>
                <w:rFonts w:cs="Tahoma"/>
                <w:szCs w:val="18"/>
              </w:rPr>
              <w:t xml:space="preserve">; </w:t>
            </w:r>
            <w:r w:rsidRPr="00BB51A1">
              <w:rPr>
                <w:rFonts w:cs="Tahoma"/>
                <w:szCs w:val="18"/>
              </w:rPr>
              <w:t>PAH-CHD: 31 (18%)</w:t>
            </w:r>
            <w:r>
              <w:rPr>
                <w:rFonts w:cs="Tahoma"/>
                <w:szCs w:val="18"/>
              </w:rPr>
              <w:t xml:space="preserve">; </w:t>
            </w:r>
            <w:r w:rsidRPr="00BB51A1">
              <w:rPr>
                <w:rFonts w:cs="Tahoma"/>
                <w:szCs w:val="18"/>
              </w:rPr>
              <w:t>PAH-CTD: 29 (17%)</w:t>
            </w:r>
            <w:r>
              <w:rPr>
                <w:rFonts w:cs="Tahoma"/>
                <w:szCs w:val="18"/>
              </w:rPr>
              <w:t xml:space="preserve">; </w:t>
            </w:r>
            <w:r w:rsidRPr="00BB51A1">
              <w:rPr>
                <w:rFonts w:cs="Tahoma"/>
                <w:szCs w:val="18"/>
              </w:rPr>
              <w:t>PAH-HIV: 7 (4%)</w:t>
            </w:r>
          </w:p>
          <w:p w:rsidR="001D0FDA" w:rsidRDefault="001D0FDA" w:rsidP="001D0FDA">
            <w:pPr>
              <w:pStyle w:val="Tabletext"/>
              <w:rPr>
                <w:rFonts w:cs="Tahoma"/>
                <w:szCs w:val="18"/>
              </w:rPr>
            </w:pPr>
            <w:r w:rsidRPr="00C41328">
              <w:rPr>
                <w:rFonts w:cs="Tahoma"/>
                <w:szCs w:val="18"/>
              </w:rPr>
              <w:t>WHO FC</w:t>
            </w:r>
            <w:r>
              <w:rPr>
                <w:rFonts w:cs="Tahoma"/>
                <w:szCs w:val="18"/>
              </w:rPr>
              <w:t>, n (%)</w:t>
            </w:r>
            <w:r w:rsidRPr="00C41328">
              <w:rPr>
                <w:rFonts w:cs="Tahoma"/>
                <w:szCs w:val="18"/>
              </w:rPr>
              <w:t>:</w:t>
            </w:r>
          </w:p>
          <w:p w:rsidR="001D0FDA" w:rsidRDefault="001D0FDA" w:rsidP="001D0FDA">
            <w:pPr>
              <w:pStyle w:val="Tabletext"/>
              <w:ind w:left="239"/>
              <w:rPr>
                <w:rFonts w:cs="Tahoma"/>
                <w:szCs w:val="18"/>
              </w:rPr>
            </w:pPr>
            <w:r w:rsidRPr="00BB51A1">
              <w:rPr>
                <w:rFonts w:cs="Tahoma"/>
                <w:szCs w:val="18"/>
              </w:rPr>
              <w:t>I: 6 (3%)</w:t>
            </w:r>
            <w:r>
              <w:rPr>
                <w:rFonts w:cs="Tahoma"/>
                <w:szCs w:val="18"/>
              </w:rPr>
              <w:t xml:space="preserve">; </w:t>
            </w:r>
            <w:r w:rsidRPr="00BB51A1">
              <w:rPr>
                <w:rFonts w:cs="Tahoma"/>
                <w:szCs w:val="18"/>
              </w:rPr>
              <w:t>II: 160 (92%)</w:t>
            </w:r>
            <w:r>
              <w:rPr>
                <w:rFonts w:cs="Tahoma"/>
                <w:szCs w:val="18"/>
              </w:rPr>
              <w:t xml:space="preserve">; </w:t>
            </w:r>
            <w:r w:rsidRPr="00BB51A1">
              <w:rPr>
                <w:rFonts w:cs="Tahoma"/>
                <w:szCs w:val="18"/>
              </w:rPr>
              <w:t>III: 7 (4%)</w:t>
            </w:r>
          </w:p>
          <w:p w:rsidR="001D0FDA" w:rsidRDefault="001D0FDA" w:rsidP="001D0FDA">
            <w:pPr>
              <w:pStyle w:val="Tabletext"/>
              <w:rPr>
                <w:rFonts w:cs="Tahoma"/>
                <w:szCs w:val="18"/>
              </w:rPr>
            </w:pPr>
            <w:r w:rsidRPr="00BB51A1">
              <w:rPr>
                <w:rFonts w:cs="Tahoma"/>
                <w:szCs w:val="18"/>
              </w:rPr>
              <w:t>Time from diagnosis</w:t>
            </w:r>
            <w:r>
              <w:rPr>
                <w:rFonts w:cs="Tahoma"/>
                <w:szCs w:val="18"/>
              </w:rPr>
              <w:t>, mean</w:t>
            </w:r>
            <w:r w:rsidRPr="00BB51A1">
              <w:rPr>
                <w:rFonts w:cs="Tahoma"/>
                <w:szCs w:val="18"/>
              </w:rPr>
              <w:t>±</w:t>
            </w:r>
            <w:r>
              <w:rPr>
                <w:rFonts w:cs="Tahoma"/>
                <w:szCs w:val="18"/>
              </w:rPr>
              <w:t>SD (yrs)</w:t>
            </w:r>
            <w:r w:rsidRPr="00BB51A1">
              <w:rPr>
                <w:rFonts w:cs="Tahoma"/>
                <w:szCs w:val="18"/>
              </w:rPr>
              <w:t>: 3.4±5.9</w:t>
            </w:r>
          </w:p>
          <w:p w:rsidR="001D0FDA" w:rsidRDefault="001D0FDA" w:rsidP="001D0FDA">
            <w:pPr>
              <w:pStyle w:val="Tabletext"/>
              <w:rPr>
                <w:rFonts w:cs="Tahoma"/>
                <w:szCs w:val="18"/>
              </w:rPr>
            </w:pPr>
            <w:r w:rsidRPr="00455DBB">
              <w:rPr>
                <w:rFonts w:cs="Tahoma"/>
                <w:szCs w:val="18"/>
              </w:rPr>
              <w:t>Concomitant use of sildenafil</w:t>
            </w:r>
            <w:r>
              <w:rPr>
                <w:rFonts w:cs="Tahoma"/>
                <w:szCs w:val="18"/>
              </w:rPr>
              <w:t>, n (%)</w:t>
            </w:r>
            <w:r w:rsidRPr="00455DBB">
              <w:rPr>
                <w:rFonts w:cs="Tahoma"/>
                <w:szCs w:val="18"/>
              </w:rPr>
              <w:t>: 19 (17%)</w:t>
            </w:r>
          </w:p>
          <w:p w:rsidR="001D0FDA" w:rsidRPr="00C41328" w:rsidRDefault="001D0FDA" w:rsidP="001D0FDA">
            <w:pPr>
              <w:pStyle w:val="Tabletext"/>
              <w:rPr>
                <w:rFonts w:cs="Tahoma"/>
                <w:szCs w:val="18"/>
              </w:rPr>
            </w:pPr>
            <w:r w:rsidRPr="00C41328">
              <w:rPr>
                <w:rFonts w:cs="Tahoma"/>
                <w:szCs w:val="18"/>
              </w:rPr>
              <w:t>mPAP</w:t>
            </w:r>
            <w:r>
              <w:rPr>
                <w:rFonts w:cs="Tahoma"/>
                <w:szCs w:val="18"/>
              </w:rPr>
              <w:t>, mean</w:t>
            </w:r>
            <w:r w:rsidRPr="00C41328">
              <w:rPr>
                <w:rFonts w:cs="Tahoma"/>
                <w:szCs w:val="18"/>
              </w:rPr>
              <w:t>±</w:t>
            </w:r>
            <w:r>
              <w:rPr>
                <w:rFonts w:cs="Tahoma"/>
                <w:szCs w:val="18"/>
              </w:rPr>
              <w:t xml:space="preserve">SD </w:t>
            </w:r>
            <w:r w:rsidRPr="00C41328">
              <w:rPr>
                <w:rFonts w:cs="Tahoma"/>
                <w:szCs w:val="18"/>
              </w:rPr>
              <w:t xml:space="preserve">(mmHg): </w:t>
            </w:r>
            <w:r>
              <w:rPr>
                <w:rFonts w:cs="Tahoma"/>
                <w:szCs w:val="18"/>
              </w:rPr>
              <w:t>53</w:t>
            </w:r>
            <w:r w:rsidRPr="00C41328">
              <w:rPr>
                <w:rFonts w:cs="Tahoma"/>
                <w:szCs w:val="18"/>
              </w:rPr>
              <w:t>±</w:t>
            </w:r>
            <w:r>
              <w:rPr>
                <w:rFonts w:cs="Tahoma"/>
                <w:szCs w:val="18"/>
              </w:rPr>
              <w:t>8</w:t>
            </w:r>
          </w:p>
          <w:p w:rsidR="001D0FDA" w:rsidRPr="00C41328" w:rsidRDefault="001D0FDA" w:rsidP="001D0FDA">
            <w:pPr>
              <w:pStyle w:val="Tabletext"/>
              <w:rPr>
                <w:rFonts w:cs="Tahoma"/>
                <w:szCs w:val="18"/>
              </w:rPr>
            </w:pPr>
            <w:r w:rsidRPr="00C41328">
              <w:rPr>
                <w:rFonts w:cs="Tahoma"/>
                <w:szCs w:val="18"/>
              </w:rPr>
              <w:t>PVR</w:t>
            </w:r>
            <w:r>
              <w:rPr>
                <w:rFonts w:cs="Tahoma"/>
                <w:szCs w:val="18"/>
              </w:rPr>
              <w:t>, mean</w:t>
            </w:r>
            <w:r w:rsidRPr="00C41328">
              <w:rPr>
                <w:rFonts w:cs="Tahoma"/>
                <w:szCs w:val="18"/>
              </w:rPr>
              <w:t>±</w:t>
            </w:r>
            <w:r>
              <w:rPr>
                <w:rFonts w:cs="Tahoma"/>
                <w:szCs w:val="18"/>
              </w:rPr>
              <w:t>SD</w:t>
            </w:r>
            <w:r w:rsidRPr="00C41328">
              <w:rPr>
                <w:rFonts w:cs="Tahoma"/>
                <w:szCs w:val="18"/>
              </w:rPr>
              <w:t xml:space="preserve"> (</w:t>
            </w:r>
            <w:r>
              <w:rPr>
                <w:rFonts w:cs="Tahoma"/>
                <w:szCs w:val="18"/>
              </w:rPr>
              <w:t>dyn*s*cm</w:t>
            </w:r>
            <w:r>
              <w:rPr>
                <w:rFonts w:cs="Tahoma"/>
                <w:szCs w:val="18"/>
                <w:vertAlign w:val="superscript"/>
              </w:rPr>
              <w:t>-5</w:t>
            </w:r>
            <w:r w:rsidRPr="00C41328">
              <w:rPr>
                <w:rFonts w:cs="Tahoma"/>
                <w:szCs w:val="18"/>
              </w:rPr>
              <w:t xml:space="preserve">): </w:t>
            </w:r>
            <w:r>
              <w:rPr>
                <w:rFonts w:cs="Tahoma"/>
                <w:szCs w:val="18"/>
              </w:rPr>
              <w:t>853</w:t>
            </w:r>
            <w:r w:rsidRPr="00C41328">
              <w:rPr>
                <w:rFonts w:cs="Tahoma"/>
                <w:szCs w:val="18"/>
              </w:rPr>
              <w:t>±</w:t>
            </w:r>
            <w:r>
              <w:rPr>
                <w:rFonts w:cs="Tahoma"/>
                <w:szCs w:val="18"/>
              </w:rPr>
              <w:t>505</w:t>
            </w:r>
          </w:p>
        </w:tc>
        <w:tc>
          <w:tcPr>
            <w:tcW w:w="1047" w:type="pct"/>
          </w:tcPr>
          <w:p w:rsidR="001D0FDA" w:rsidRDefault="001D0FDA" w:rsidP="001D0FDA">
            <w:pPr>
              <w:pStyle w:val="Tabletext"/>
              <w:rPr>
                <w:rFonts w:cs="Tahoma"/>
                <w:i/>
                <w:szCs w:val="18"/>
              </w:rPr>
            </w:pPr>
            <w:r>
              <w:rPr>
                <w:rFonts w:cs="Tahoma"/>
                <w:i/>
                <w:szCs w:val="18"/>
              </w:rPr>
              <w:t>Intervention</w:t>
            </w:r>
          </w:p>
          <w:p w:rsidR="001D0FDA" w:rsidRPr="008D73C9" w:rsidRDefault="001D0FDA" w:rsidP="001D0FDA">
            <w:pPr>
              <w:pStyle w:val="Tabletext"/>
              <w:rPr>
                <w:rFonts w:eastAsia="Times New Roman"/>
                <w:lang w:eastAsia="en-US"/>
              </w:rPr>
            </w:pPr>
            <w:r w:rsidRPr="008D73C9">
              <w:rPr>
                <w:rFonts w:eastAsia="Times New Roman"/>
                <w:lang w:eastAsia="en-US"/>
              </w:rPr>
              <w:t>B</w:t>
            </w:r>
            <w:r>
              <w:rPr>
                <w:rFonts w:eastAsia="Times New Roman"/>
                <w:lang w:eastAsia="en-US"/>
              </w:rPr>
              <w:t>osentan:</w:t>
            </w:r>
            <w:r w:rsidRPr="008D73C9">
              <w:rPr>
                <w:rFonts w:eastAsia="Times New Roman"/>
                <w:lang w:eastAsia="en-US"/>
              </w:rPr>
              <w:t xml:space="preserve"> 125mg bid</w:t>
            </w:r>
          </w:p>
          <w:p w:rsidR="001D0FDA" w:rsidRPr="008D73C9" w:rsidRDefault="001D0FDA" w:rsidP="001D0FDA">
            <w:pPr>
              <w:pStyle w:val="Tabletext"/>
              <w:rPr>
                <w:rFonts w:eastAsia="Times New Roman"/>
                <w:lang w:eastAsia="en-US"/>
              </w:rPr>
            </w:pPr>
          </w:p>
          <w:p w:rsidR="001D0FDA" w:rsidRPr="00455DBB" w:rsidRDefault="001D0FDA" w:rsidP="001D0FDA">
            <w:pPr>
              <w:pStyle w:val="Tabletext"/>
              <w:rPr>
                <w:rFonts w:eastAsia="Times New Roman"/>
                <w:i/>
                <w:lang w:eastAsia="en-US"/>
              </w:rPr>
            </w:pPr>
            <w:r w:rsidRPr="00455DBB">
              <w:rPr>
                <w:rFonts w:eastAsia="Times New Roman"/>
                <w:i/>
                <w:lang w:eastAsia="en-US"/>
              </w:rPr>
              <w:t>Combination therapy</w:t>
            </w:r>
          </w:p>
          <w:p w:rsidR="001D0FDA" w:rsidRDefault="001D0FDA" w:rsidP="001D0FDA">
            <w:pPr>
              <w:pStyle w:val="Tabletext"/>
              <w:rPr>
                <w:rFonts w:cs="Tahoma"/>
                <w:i/>
                <w:szCs w:val="18"/>
              </w:rPr>
            </w:pPr>
            <w:r>
              <w:rPr>
                <w:rFonts w:eastAsia="Times New Roman"/>
                <w:lang w:eastAsia="en-US"/>
              </w:rPr>
              <w:t>Sildenafil</w:t>
            </w:r>
            <w:r w:rsidRPr="008D73C9">
              <w:rPr>
                <w:rFonts w:eastAsia="Times New Roman"/>
                <w:lang w:eastAsia="en-US"/>
              </w:rPr>
              <w:t xml:space="preserve"> and/or </w:t>
            </w:r>
            <w:r>
              <w:rPr>
                <w:rFonts w:eastAsia="Times New Roman"/>
                <w:lang w:eastAsia="en-US"/>
              </w:rPr>
              <w:t>prostanoid</w:t>
            </w:r>
            <w:r w:rsidRPr="008D73C9">
              <w:rPr>
                <w:rFonts w:eastAsia="Times New Roman"/>
                <w:lang w:eastAsia="en-US"/>
              </w:rPr>
              <w:t xml:space="preserve"> (17%-46%)</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lastRenderedPageBreak/>
              <w:t>Hislop 2011</w:t>
            </w:r>
            <w:r w:rsidR="001D34EE" w:rsidRPr="001A1C44">
              <w:rPr>
                <w:rFonts w:eastAsia="Times New Roman"/>
                <w:noProof/>
                <w:vertAlign w:val="superscript"/>
                <w:lang w:eastAsia="en-US"/>
              </w:rPr>
              <w:t>58</w:t>
            </w:r>
          </w:p>
          <w:p w:rsidR="001D0FDA" w:rsidRPr="008D73C9" w:rsidRDefault="001D0FDA" w:rsidP="001D0FDA">
            <w:pPr>
              <w:pStyle w:val="Tabletext"/>
              <w:ind w:right="-28"/>
              <w:rPr>
                <w:rFonts w:eastAsia="Times New Roman"/>
                <w:lang w:eastAsia="en-US"/>
              </w:rPr>
            </w:pPr>
            <w:r w:rsidRPr="008D73C9">
              <w:rPr>
                <w:rFonts w:eastAsia="Times New Roman"/>
                <w:lang w:eastAsia="en-US"/>
              </w:rPr>
              <w:t>2002-2008</w:t>
            </w:r>
          </w:p>
          <w:p w:rsidR="001D0FDA" w:rsidRPr="008D73C9" w:rsidRDefault="001D0FDA" w:rsidP="001D0FDA">
            <w:pPr>
              <w:pStyle w:val="Tabletext"/>
              <w:ind w:right="-28"/>
              <w:rPr>
                <w:rFonts w:eastAsia="Times New Roman"/>
                <w:lang w:eastAsia="en-US"/>
              </w:rPr>
            </w:pPr>
            <w:r w:rsidRPr="008D73C9">
              <w:rPr>
                <w:rFonts w:eastAsia="Times New Roman"/>
                <w:lang w:eastAsia="en-US"/>
              </w:rPr>
              <w:t>UK</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 xml:space="preserve">Follow-up: </w:t>
            </w:r>
            <w:r w:rsidRPr="008D73C9">
              <w:rPr>
                <w:rFonts w:eastAsia="Times New Roman"/>
                <w:lang w:eastAsia="en-US"/>
              </w:rPr>
              <w:t>2.6 years</w:t>
            </w:r>
          </w:p>
        </w:tc>
        <w:tc>
          <w:tcPr>
            <w:tcW w:w="1096" w:type="pct"/>
          </w:tcPr>
          <w:p w:rsidR="001D0FDA" w:rsidRPr="00455DBB" w:rsidRDefault="001D0FDA" w:rsidP="001D0FDA">
            <w:pPr>
              <w:pStyle w:val="Tabletext"/>
              <w:rPr>
                <w:rFonts w:cs="Tahoma"/>
                <w:i/>
                <w:szCs w:val="18"/>
              </w:rPr>
            </w:pPr>
            <w:r w:rsidRPr="00455DBB">
              <w:rPr>
                <w:rFonts w:cs="Tahoma"/>
                <w:i/>
                <w:szCs w:val="18"/>
              </w:rPr>
              <w:t>Inclusion criteria:</w:t>
            </w:r>
          </w:p>
          <w:p w:rsidR="001D0FDA" w:rsidRPr="00BB51A1" w:rsidRDefault="001D0FDA" w:rsidP="00480FDF">
            <w:pPr>
              <w:pStyle w:val="Tabletext"/>
              <w:numPr>
                <w:ilvl w:val="0"/>
                <w:numId w:val="54"/>
              </w:numPr>
              <w:ind w:left="239" w:hanging="144"/>
              <w:rPr>
                <w:rFonts w:cs="Tahoma"/>
                <w:i/>
                <w:szCs w:val="18"/>
              </w:rPr>
            </w:pPr>
            <w:r w:rsidRPr="00455DBB">
              <w:rPr>
                <w:rFonts w:cs="Tahoma"/>
                <w:szCs w:val="18"/>
              </w:rPr>
              <w:t xml:space="preserve">Children with IPAH or PAH-CHD (either post-repair or with Eisenmenger syndrome) </w:t>
            </w:r>
            <w:r>
              <w:rPr>
                <w:rFonts w:cs="Tahoma"/>
                <w:szCs w:val="18"/>
              </w:rPr>
              <w:t>who were treat</w:t>
            </w:r>
            <w:r w:rsidRPr="00455DBB">
              <w:rPr>
                <w:rFonts w:cs="Tahoma"/>
                <w:szCs w:val="18"/>
              </w:rPr>
              <w:t>ed with bosentan</w:t>
            </w:r>
          </w:p>
        </w:tc>
        <w:tc>
          <w:tcPr>
            <w:tcW w:w="1856" w:type="pct"/>
          </w:tcPr>
          <w:p w:rsidR="001D0FDA" w:rsidRPr="00C41328" w:rsidRDefault="001D0FDA" w:rsidP="001D0FDA">
            <w:pPr>
              <w:pStyle w:val="Tabletext"/>
              <w:rPr>
                <w:rFonts w:cs="Tahoma"/>
                <w:szCs w:val="18"/>
              </w:rPr>
            </w:pPr>
            <w:r w:rsidRPr="00C41328">
              <w:rPr>
                <w:rFonts w:cs="Tahoma"/>
                <w:szCs w:val="18"/>
              </w:rPr>
              <w:t>N=</w:t>
            </w:r>
            <w:r>
              <w:rPr>
                <w:rFonts w:cs="Tahoma"/>
                <w:szCs w:val="18"/>
              </w:rPr>
              <w:t>101</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xml:space="preserve">: </w:t>
            </w:r>
            <w:r>
              <w:rPr>
                <w:rFonts w:cs="Tahoma"/>
                <w:szCs w:val="18"/>
              </w:rPr>
              <w:t>8.9±5.3</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xml:space="preserve">: </w:t>
            </w:r>
            <w:r>
              <w:rPr>
                <w:rFonts w:cs="Tahoma"/>
                <w:szCs w:val="18"/>
              </w:rPr>
              <w:t>58 (57%)</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sidRPr="00455DBB">
              <w:rPr>
                <w:rFonts w:cs="Tahoma"/>
                <w:szCs w:val="18"/>
              </w:rPr>
              <w:t>IPAH: 42 (42%)</w:t>
            </w:r>
            <w:r>
              <w:rPr>
                <w:rFonts w:cs="Tahoma"/>
                <w:szCs w:val="18"/>
              </w:rPr>
              <w:t xml:space="preserve">; </w:t>
            </w:r>
            <w:r w:rsidRPr="00455DBB">
              <w:rPr>
                <w:rFonts w:cs="Tahoma"/>
                <w:szCs w:val="18"/>
              </w:rPr>
              <w:t>PAH-CHD: 59 (58%)</w:t>
            </w:r>
          </w:p>
          <w:p w:rsidR="001D0FDA" w:rsidRDefault="001D0FDA" w:rsidP="001D0FDA">
            <w:pPr>
              <w:pStyle w:val="Tabletext"/>
              <w:rPr>
                <w:rFonts w:cs="Tahoma"/>
                <w:szCs w:val="18"/>
              </w:rPr>
            </w:pPr>
            <w:r>
              <w:rPr>
                <w:rFonts w:cs="Tahoma"/>
                <w:szCs w:val="18"/>
              </w:rPr>
              <w:t xml:space="preserve">Bosentan monotherapy, n (%): </w:t>
            </w:r>
            <w:r w:rsidRPr="00455DBB">
              <w:rPr>
                <w:rFonts w:cs="Tahoma"/>
                <w:szCs w:val="18"/>
              </w:rPr>
              <w:t>67 (66%)</w:t>
            </w:r>
          </w:p>
          <w:p w:rsidR="001D0FDA" w:rsidRPr="00C41328" w:rsidRDefault="001D0FDA" w:rsidP="001D0FDA">
            <w:pPr>
              <w:pStyle w:val="Tabletext"/>
              <w:rPr>
                <w:rFonts w:cs="Tahoma"/>
                <w:szCs w:val="18"/>
              </w:rPr>
            </w:pPr>
            <w:r w:rsidRPr="00C41328">
              <w:rPr>
                <w:rFonts w:cs="Tahoma"/>
                <w:szCs w:val="18"/>
              </w:rPr>
              <w:t>mPAP</w:t>
            </w:r>
            <w:r>
              <w:rPr>
                <w:rFonts w:cs="Tahoma"/>
                <w:szCs w:val="18"/>
              </w:rPr>
              <w:t>, mean</w:t>
            </w:r>
            <w:r w:rsidRPr="00C41328">
              <w:rPr>
                <w:rFonts w:cs="Tahoma"/>
                <w:szCs w:val="18"/>
              </w:rPr>
              <w:t>±</w:t>
            </w:r>
            <w:r>
              <w:rPr>
                <w:rFonts w:cs="Tahoma"/>
                <w:szCs w:val="18"/>
              </w:rPr>
              <w:t xml:space="preserve">SD </w:t>
            </w:r>
            <w:r w:rsidRPr="00C41328">
              <w:rPr>
                <w:rFonts w:cs="Tahoma"/>
                <w:szCs w:val="18"/>
              </w:rPr>
              <w:t xml:space="preserve">(mmHg): </w:t>
            </w:r>
            <w:r>
              <w:rPr>
                <w:rFonts w:cs="Tahoma"/>
                <w:szCs w:val="18"/>
              </w:rPr>
              <w:t>56</w:t>
            </w:r>
            <w:r w:rsidRPr="00C41328">
              <w:rPr>
                <w:rFonts w:cs="Tahoma"/>
                <w:szCs w:val="18"/>
              </w:rPr>
              <w:t>±</w:t>
            </w:r>
            <w:r>
              <w:rPr>
                <w:rFonts w:cs="Tahoma"/>
                <w:szCs w:val="18"/>
              </w:rPr>
              <w:t>21</w:t>
            </w:r>
          </w:p>
          <w:p w:rsidR="001D0FDA" w:rsidRPr="00C41328" w:rsidRDefault="001D0FDA" w:rsidP="001D0FDA">
            <w:pPr>
              <w:pStyle w:val="Tabletext"/>
              <w:rPr>
                <w:rFonts w:cs="Tahoma"/>
                <w:szCs w:val="18"/>
              </w:rPr>
            </w:pPr>
            <w:r w:rsidRPr="00C41328">
              <w:rPr>
                <w:rFonts w:cs="Tahoma"/>
                <w:szCs w:val="18"/>
              </w:rPr>
              <w:t>PVR</w:t>
            </w:r>
            <w:r>
              <w:rPr>
                <w:rFonts w:cs="Tahoma"/>
                <w:szCs w:val="18"/>
              </w:rPr>
              <w:t>, mean</w:t>
            </w:r>
            <w:r w:rsidRPr="00C41328">
              <w:rPr>
                <w:rFonts w:cs="Tahoma"/>
                <w:szCs w:val="18"/>
              </w:rPr>
              <w:t>±</w:t>
            </w:r>
            <w:r>
              <w:rPr>
                <w:rFonts w:cs="Tahoma"/>
                <w:szCs w:val="18"/>
              </w:rPr>
              <w:t>SD</w:t>
            </w:r>
            <w:r w:rsidRPr="00C41328">
              <w:rPr>
                <w:rFonts w:cs="Tahoma"/>
                <w:szCs w:val="18"/>
              </w:rPr>
              <w:t xml:space="preserve"> (</w:t>
            </w:r>
            <w:r>
              <w:rPr>
                <w:rFonts w:cs="Tahoma"/>
                <w:szCs w:val="18"/>
              </w:rPr>
              <w:t>units*m</w:t>
            </w:r>
            <w:r>
              <w:rPr>
                <w:rFonts w:cs="Tahoma"/>
                <w:szCs w:val="18"/>
                <w:vertAlign w:val="superscript"/>
              </w:rPr>
              <w:t>2</w:t>
            </w:r>
            <w:r w:rsidRPr="00C41328">
              <w:rPr>
                <w:rFonts w:cs="Tahoma"/>
                <w:szCs w:val="18"/>
              </w:rPr>
              <w:t>):</w:t>
            </w:r>
            <w:r>
              <w:rPr>
                <w:rFonts w:cs="Tahoma"/>
                <w:szCs w:val="18"/>
              </w:rPr>
              <w:t xml:space="preserve"> 21</w:t>
            </w:r>
            <w:r w:rsidRPr="00C41328">
              <w:rPr>
                <w:rFonts w:cs="Tahoma"/>
                <w:szCs w:val="18"/>
              </w:rPr>
              <w:t>±</w:t>
            </w:r>
            <w:r>
              <w:rPr>
                <w:rFonts w:cs="Tahoma"/>
                <w:szCs w:val="18"/>
              </w:rPr>
              <w:t>14</w:t>
            </w:r>
          </w:p>
        </w:tc>
        <w:tc>
          <w:tcPr>
            <w:tcW w:w="1047" w:type="pct"/>
          </w:tcPr>
          <w:p w:rsidR="001D0FDA" w:rsidRDefault="001D0FDA" w:rsidP="001D0FDA">
            <w:pPr>
              <w:pStyle w:val="Tabletext"/>
              <w:rPr>
                <w:rFonts w:cs="Tahoma"/>
                <w:i/>
                <w:szCs w:val="18"/>
              </w:rPr>
            </w:pPr>
            <w:r>
              <w:rPr>
                <w:rFonts w:cs="Tahoma"/>
                <w:i/>
                <w:szCs w:val="18"/>
              </w:rPr>
              <w:t>Intervention</w:t>
            </w:r>
          </w:p>
          <w:p w:rsidR="001D0FDA" w:rsidRDefault="001D0FDA" w:rsidP="001D0FDA">
            <w:pPr>
              <w:pStyle w:val="Tabletext"/>
              <w:rPr>
                <w:rFonts w:eastAsia="Times New Roman"/>
                <w:lang w:eastAsia="en-US"/>
              </w:rPr>
            </w:pPr>
            <w:r>
              <w:rPr>
                <w:rFonts w:eastAsia="Times New Roman"/>
                <w:lang w:eastAsia="en-US"/>
              </w:rPr>
              <w:t>Bosentan:</w:t>
            </w:r>
            <w:r w:rsidRPr="008D73C9">
              <w:rPr>
                <w:rFonts w:eastAsia="Times New Roman"/>
                <w:lang w:eastAsia="en-US"/>
              </w:rPr>
              <w:t xml:space="preserve"> 15-125mg bid, according to body weight</w:t>
            </w:r>
            <w:r>
              <w:rPr>
                <w:rFonts w:eastAsia="Times New Roman"/>
                <w:lang w:eastAsia="en-US"/>
              </w:rPr>
              <w:t xml:space="preserve">: </w:t>
            </w:r>
          </w:p>
          <w:p w:rsidR="001D0FDA" w:rsidRPr="00BA1F22" w:rsidRDefault="001D0FDA" w:rsidP="001D0FDA">
            <w:pPr>
              <w:pStyle w:val="Tabletext"/>
              <w:ind w:left="246"/>
              <w:rPr>
                <w:rFonts w:eastAsia="Times New Roman"/>
                <w:lang w:eastAsia="en-US"/>
              </w:rPr>
            </w:pPr>
            <w:r w:rsidRPr="00BA1F22">
              <w:rPr>
                <w:rFonts w:eastAsia="Times New Roman"/>
                <w:lang w:eastAsia="en-US"/>
              </w:rPr>
              <w:t>&lt;10kg: 15mg bid</w:t>
            </w:r>
          </w:p>
          <w:p w:rsidR="001D0FDA" w:rsidRPr="00BA1F22" w:rsidRDefault="001D0FDA" w:rsidP="001D0FDA">
            <w:pPr>
              <w:pStyle w:val="Tabletext"/>
              <w:ind w:left="246"/>
              <w:rPr>
                <w:rFonts w:eastAsia="Times New Roman"/>
                <w:lang w:eastAsia="en-US"/>
              </w:rPr>
            </w:pPr>
            <w:r w:rsidRPr="00BA1F22">
              <w:rPr>
                <w:rFonts w:eastAsia="Times New Roman"/>
                <w:lang w:eastAsia="en-US"/>
              </w:rPr>
              <w:t>10-20kg: 31.5mg bid</w:t>
            </w:r>
          </w:p>
          <w:p w:rsidR="001D0FDA" w:rsidRPr="00BA1F22" w:rsidRDefault="001D0FDA" w:rsidP="001D0FDA">
            <w:pPr>
              <w:pStyle w:val="Tabletext"/>
              <w:ind w:left="246"/>
              <w:rPr>
                <w:rFonts w:eastAsia="Times New Roman"/>
                <w:lang w:eastAsia="en-US"/>
              </w:rPr>
            </w:pPr>
            <w:r w:rsidRPr="00BA1F22">
              <w:rPr>
                <w:rFonts w:eastAsia="Times New Roman"/>
                <w:lang w:eastAsia="en-US"/>
              </w:rPr>
              <w:t>20-40kg: 62.5mg bid</w:t>
            </w:r>
          </w:p>
          <w:p w:rsidR="001D0FDA" w:rsidRPr="008D73C9" w:rsidRDefault="001D0FDA" w:rsidP="001D0FDA">
            <w:pPr>
              <w:pStyle w:val="Tabletext"/>
              <w:ind w:left="246"/>
              <w:rPr>
                <w:rFonts w:eastAsia="Times New Roman"/>
                <w:lang w:eastAsia="en-US"/>
              </w:rPr>
            </w:pPr>
            <w:r w:rsidRPr="00BA1F22">
              <w:rPr>
                <w:rFonts w:eastAsia="Times New Roman"/>
                <w:lang w:eastAsia="en-US"/>
              </w:rPr>
              <w:t>&gt;40mg: 125mg bid</w:t>
            </w:r>
          </w:p>
          <w:p w:rsidR="001D0FDA" w:rsidRPr="008D73C9" w:rsidRDefault="001D0FDA" w:rsidP="001D0FDA">
            <w:pPr>
              <w:pStyle w:val="Tabletext"/>
              <w:rPr>
                <w:rFonts w:eastAsia="Times New Roman"/>
                <w:lang w:eastAsia="en-US"/>
              </w:rPr>
            </w:pPr>
          </w:p>
          <w:p w:rsidR="001D0FDA" w:rsidRPr="00455DBB" w:rsidRDefault="001D0FDA" w:rsidP="001D0FDA">
            <w:pPr>
              <w:pStyle w:val="Tabletext"/>
              <w:rPr>
                <w:rFonts w:eastAsia="Times New Roman"/>
                <w:i/>
                <w:lang w:eastAsia="en-US"/>
              </w:rPr>
            </w:pPr>
            <w:r w:rsidRPr="00455DBB">
              <w:rPr>
                <w:rFonts w:eastAsia="Times New Roman"/>
                <w:i/>
                <w:lang w:eastAsia="en-US"/>
              </w:rPr>
              <w:t>Combination therapy</w:t>
            </w:r>
          </w:p>
          <w:p w:rsidR="001D0FDA" w:rsidRDefault="001D0FDA" w:rsidP="001D0FDA">
            <w:pPr>
              <w:pStyle w:val="Tabletext"/>
              <w:rPr>
                <w:rFonts w:cs="Tahoma"/>
                <w:i/>
                <w:szCs w:val="18"/>
              </w:rPr>
            </w:pPr>
            <w:r>
              <w:rPr>
                <w:rFonts w:eastAsia="Times New Roman"/>
                <w:lang w:eastAsia="en-US"/>
              </w:rPr>
              <w:t>Sildenafil</w:t>
            </w:r>
            <w:r w:rsidRPr="008D73C9">
              <w:rPr>
                <w:rFonts w:eastAsia="Times New Roman"/>
                <w:lang w:eastAsia="en-US"/>
              </w:rPr>
              <w:t xml:space="preserve"> and/or EPO (34%-63%)</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Kallen 2008</w:t>
            </w:r>
            <w:r w:rsidR="001D34EE" w:rsidRPr="001A1C44">
              <w:rPr>
                <w:rFonts w:eastAsia="Times New Roman"/>
                <w:noProof/>
                <w:vertAlign w:val="superscript"/>
                <w:lang w:eastAsia="en-US"/>
              </w:rPr>
              <w:t>59</w:t>
            </w:r>
          </w:p>
          <w:p w:rsidR="001D0FDA" w:rsidRPr="008D73C9" w:rsidRDefault="001D0FDA" w:rsidP="001D0FDA">
            <w:pPr>
              <w:pStyle w:val="Tabletext"/>
              <w:ind w:right="-28"/>
              <w:rPr>
                <w:rFonts w:eastAsia="Times New Roman"/>
                <w:lang w:eastAsia="en-US"/>
              </w:rPr>
            </w:pPr>
            <w:r w:rsidRPr="008D73C9">
              <w:rPr>
                <w:rFonts w:eastAsia="Times New Roman"/>
                <w:lang w:eastAsia="en-US"/>
              </w:rPr>
              <w:t>2004-2006</w:t>
            </w:r>
          </w:p>
          <w:p w:rsidR="001D0FDA" w:rsidRPr="008D73C9" w:rsidRDefault="001D0FDA" w:rsidP="001D0FDA">
            <w:pPr>
              <w:pStyle w:val="Tabletext"/>
              <w:ind w:right="-28"/>
              <w:rPr>
                <w:rFonts w:eastAsia="Times New Roman"/>
                <w:lang w:eastAsia="en-US"/>
              </w:rPr>
            </w:pPr>
            <w:r w:rsidRPr="008D73C9">
              <w:rPr>
                <w:rFonts w:eastAsia="Times New Roman"/>
                <w:lang w:eastAsia="en-US"/>
              </w:rPr>
              <w:t>US</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 xml:space="preserve">Follow-up: </w:t>
            </w:r>
            <w:r w:rsidRPr="008D73C9">
              <w:rPr>
                <w:rFonts w:eastAsia="Times New Roman"/>
                <w:lang w:eastAsia="en-US"/>
              </w:rPr>
              <w:t>4 years</w:t>
            </w:r>
          </w:p>
        </w:tc>
        <w:tc>
          <w:tcPr>
            <w:tcW w:w="1096" w:type="pct"/>
          </w:tcPr>
          <w:p w:rsidR="001D0FDA" w:rsidRPr="00BA1F22" w:rsidRDefault="001D0FDA" w:rsidP="001D0FDA">
            <w:pPr>
              <w:pStyle w:val="Tabletext"/>
              <w:rPr>
                <w:rFonts w:cs="Tahoma"/>
                <w:i/>
                <w:szCs w:val="18"/>
              </w:rPr>
            </w:pPr>
            <w:r w:rsidRPr="00BA1F22">
              <w:rPr>
                <w:rFonts w:cs="Tahoma"/>
                <w:i/>
                <w:szCs w:val="18"/>
              </w:rPr>
              <w:t>Inclusion criteria</w:t>
            </w:r>
          </w:p>
          <w:p w:rsidR="001D0FDA" w:rsidRPr="00BB51A1" w:rsidRDefault="001D0FDA" w:rsidP="00480FDF">
            <w:pPr>
              <w:pStyle w:val="Tabletext"/>
              <w:numPr>
                <w:ilvl w:val="0"/>
                <w:numId w:val="54"/>
              </w:numPr>
              <w:ind w:left="239" w:hanging="144"/>
              <w:rPr>
                <w:rFonts w:cs="Tahoma"/>
                <w:i/>
                <w:szCs w:val="18"/>
              </w:rPr>
            </w:pPr>
            <w:r w:rsidRPr="00BA1F22">
              <w:rPr>
                <w:rFonts w:cs="Tahoma"/>
                <w:szCs w:val="18"/>
              </w:rPr>
              <w:t>Patients given treatment with IV prostanoid for PAH</w:t>
            </w:r>
          </w:p>
        </w:tc>
        <w:tc>
          <w:tcPr>
            <w:tcW w:w="1856" w:type="pct"/>
          </w:tcPr>
          <w:p w:rsidR="001D0FDA" w:rsidRDefault="001D0FDA" w:rsidP="001D0FDA">
            <w:pPr>
              <w:pStyle w:val="Tabletext"/>
              <w:rPr>
                <w:rFonts w:cs="Tahoma"/>
                <w:szCs w:val="18"/>
              </w:rPr>
            </w:pPr>
            <w:r>
              <w:rPr>
                <w:rFonts w:cs="Tahoma"/>
                <w:szCs w:val="18"/>
              </w:rPr>
              <w:t xml:space="preserve">N=195 </w:t>
            </w:r>
          </w:p>
          <w:p w:rsidR="001D0FDA" w:rsidRDefault="001D0FDA" w:rsidP="001D0FDA">
            <w:pPr>
              <w:pStyle w:val="Tabletext"/>
              <w:rPr>
                <w:rFonts w:cs="Tahoma"/>
                <w:szCs w:val="18"/>
              </w:rPr>
            </w:pPr>
            <w:r>
              <w:rPr>
                <w:rFonts w:cs="Tahoma"/>
                <w:szCs w:val="18"/>
              </w:rPr>
              <w:t xml:space="preserve">(data on baseline characteristics only available for 158 patients) </w:t>
            </w:r>
          </w:p>
          <w:p w:rsidR="001D0FDA" w:rsidRDefault="001D0FDA" w:rsidP="001D0FDA">
            <w:pPr>
              <w:pStyle w:val="Tabletext"/>
              <w:rPr>
                <w:rFonts w:cs="Tahoma"/>
                <w:szCs w:val="18"/>
              </w:rPr>
            </w:pPr>
            <w:r>
              <w:rPr>
                <w:rFonts w:cs="Tahoma"/>
                <w:szCs w:val="18"/>
              </w:rPr>
              <w:t>Age, median (yrs): 47</w:t>
            </w:r>
          </w:p>
          <w:p w:rsidR="001D0FDA" w:rsidRDefault="001D0FDA" w:rsidP="001D0FDA">
            <w:pPr>
              <w:pStyle w:val="Tabletext"/>
              <w:rPr>
                <w:rFonts w:cs="Tahoma"/>
                <w:szCs w:val="18"/>
              </w:rPr>
            </w:pPr>
            <w:r w:rsidRPr="00351FF5">
              <w:rPr>
                <w:rFonts w:cs="Tahoma"/>
                <w:szCs w:val="18"/>
              </w:rPr>
              <w:t xml:space="preserve">Gender, </w:t>
            </w:r>
            <w:r>
              <w:rPr>
                <w:rFonts w:cs="Tahoma"/>
                <w:szCs w:val="18"/>
              </w:rPr>
              <w:t>female, n (%): 124 (78%)</w:t>
            </w:r>
          </w:p>
          <w:p w:rsidR="001D0FDA" w:rsidRPr="00C41328" w:rsidRDefault="001D0FDA" w:rsidP="001D0FDA">
            <w:pPr>
              <w:pStyle w:val="Tabletext"/>
              <w:rPr>
                <w:rFonts w:cs="Tahoma"/>
                <w:szCs w:val="18"/>
              </w:rPr>
            </w:pPr>
            <w:r w:rsidRPr="005800C5">
              <w:rPr>
                <w:rFonts w:cs="Tahoma"/>
                <w:szCs w:val="18"/>
              </w:rPr>
              <w:t>Duration of IV prostanoid treatment</w:t>
            </w:r>
            <w:r>
              <w:rPr>
                <w:rFonts w:cs="Tahoma"/>
                <w:szCs w:val="18"/>
              </w:rPr>
              <w:t xml:space="preserve">, median (yrs): 4 </w:t>
            </w:r>
          </w:p>
        </w:tc>
        <w:tc>
          <w:tcPr>
            <w:tcW w:w="1047" w:type="pct"/>
          </w:tcPr>
          <w:p w:rsidR="001D0FDA" w:rsidRDefault="001D0FDA" w:rsidP="001D0FDA">
            <w:pPr>
              <w:pStyle w:val="Tabletext"/>
              <w:rPr>
                <w:rFonts w:cs="Tahoma"/>
                <w:i/>
                <w:szCs w:val="18"/>
              </w:rPr>
            </w:pPr>
            <w:r>
              <w:rPr>
                <w:rFonts w:cs="Tahoma"/>
                <w:i/>
                <w:szCs w:val="18"/>
              </w:rPr>
              <w:t>Intervention</w:t>
            </w:r>
          </w:p>
          <w:p w:rsidR="001D0FDA" w:rsidRPr="005800C5" w:rsidRDefault="001D0FDA" w:rsidP="001D0FDA">
            <w:pPr>
              <w:pStyle w:val="Tabletext"/>
              <w:rPr>
                <w:rFonts w:cs="Tahoma"/>
                <w:szCs w:val="18"/>
              </w:rPr>
            </w:pPr>
            <w:r>
              <w:rPr>
                <w:rFonts w:cs="Tahoma"/>
                <w:szCs w:val="18"/>
              </w:rPr>
              <w:t xml:space="preserve">Epoprostenol </w:t>
            </w:r>
            <w:r w:rsidRPr="00C41328">
              <w:rPr>
                <w:rFonts w:cs="Tahoma"/>
                <w:szCs w:val="18"/>
              </w:rPr>
              <w:t>(dose not stated)</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Keogh 2011</w:t>
            </w:r>
            <w:r w:rsidR="001D34EE" w:rsidRPr="001A1C44">
              <w:rPr>
                <w:rFonts w:eastAsia="Times New Roman"/>
                <w:noProof/>
                <w:vertAlign w:val="superscript"/>
                <w:lang w:eastAsia="en-US"/>
              </w:rPr>
              <w:t>60</w:t>
            </w:r>
          </w:p>
          <w:p w:rsidR="001D0FDA" w:rsidRPr="008D73C9" w:rsidRDefault="001D0FDA" w:rsidP="001D0FDA">
            <w:pPr>
              <w:pStyle w:val="Tabletext"/>
              <w:ind w:right="-28"/>
              <w:rPr>
                <w:rFonts w:eastAsia="Times New Roman"/>
                <w:lang w:eastAsia="en-US"/>
              </w:rPr>
            </w:pPr>
            <w:r w:rsidRPr="008D73C9">
              <w:rPr>
                <w:rFonts w:eastAsia="Times New Roman"/>
                <w:lang w:eastAsia="en-US"/>
              </w:rPr>
              <w:t>2004-2007</w:t>
            </w:r>
          </w:p>
          <w:p w:rsidR="001D0FDA" w:rsidRPr="008D73C9" w:rsidRDefault="001D0FDA" w:rsidP="001D0FDA">
            <w:pPr>
              <w:pStyle w:val="Tabletext"/>
              <w:ind w:right="-28"/>
              <w:rPr>
                <w:rFonts w:eastAsia="Times New Roman"/>
                <w:lang w:eastAsia="en-US"/>
              </w:rPr>
            </w:pPr>
            <w:r w:rsidRPr="008D73C9">
              <w:rPr>
                <w:rFonts w:eastAsia="Times New Roman"/>
                <w:lang w:eastAsia="en-US"/>
              </w:rPr>
              <w:t>Australia</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Prospective case series </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 xml:space="preserve">Follow-up: </w:t>
            </w:r>
            <w:r w:rsidRPr="008D73C9">
              <w:rPr>
                <w:rFonts w:eastAsia="Times New Roman"/>
                <w:lang w:eastAsia="en-US"/>
              </w:rPr>
              <w:t>2.1 years</w:t>
            </w:r>
          </w:p>
        </w:tc>
        <w:tc>
          <w:tcPr>
            <w:tcW w:w="1096" w:type="pct"/>
          </w:tcPr>
          <w:p w:rsidR="001D0FDA" w:rsidRPr="004625EC" w:rsidRDefault="001D0FDA" w:rsidP="001D0FDA">
            <w:pPr>
              <w:pStyle w:val="Tabletext"/>
              <w:rPr>
                <w:rFonts w:cs="Tahoma"/>
                <w:i/>
                <w:szCs w:val="18"/>
              </w:rPr>
            </w:pPr>
            <w:r w:rsidRPr="004625EC">
              <w:rPr>
                <w:rFonts w:cs="Tahoma"/>
                <w:i/>
                <w:szCs w:val="18"/>
              </w:rPr>
              <w:t>Inclusion criteria</w:t>
            </w:r>
          </w:p>
          <w:p w:rsidR="001D0FDA" w:rsidRPr="004625EC" w:rsidRDefault="001D0FDA" w:rsidP="00480FDF">
            <w:pPr>
              <w:pStyle w:val="Tabletext"/>
              <w:numPr>
                <w:ilvl w:val="0"/>
                <w:numId w:val="54"/>
              </w:numPr>
              <w:ind w:left="239" w:hanging="144"/>
              <w:rPr>
                <w:rFonts w:cs="Tahoma"/>
                <w:szCs w:val="18"/>
              </w:rPr>
            </w:pPr>
            <w:r w:rsidRPr="004625EC">
              <w:rPr>
                <w:rFonts w:cs="Tahoma"/>
                <w:szCs w:val="18"/>
              </w:rPr>
              <w:t>Patients with IPAH or PAH-CTD who were already on bosentan or newly started bosentan therapy</w:t>
            </w:r>
          </w:p>
        </w:tc>
        <w:tc>
          <w:tcPr>
            <w:tcW w:w="1856"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N=528</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xml:space="preserve">: </w:t>
            </w:r>
            <w:r>
              <w:rPr>
                <w:rFonts w:cs="Tahoma"/>
                <w:szCs w:val="18"/>
              </w:rPr>
              <w:t>59±17</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xml:space="preserve">: </w:t>
            </w:r>
            <w:r>
              <w:rPr>
                <w:rFonts w:cs="Tahoma"/>
                <w:szCs w:val="18"/>
              </w:rPr>
              <w:t>406 (77%)</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sidRPr="004625EC">
              <w:rPr>
                <w:rFonts w:cs="Tahoma"/>
                <w:szCs w:val="18"/>
              </w:rPr>
              <w:t>IPAH: 306 (58%)</w:t>
            </w:r>
            <w:r>
              <w:rPr>
                <w:rFonts w:cs="Tahoma"/>
                <w:szCs w:val="18"/>
              </w:rPr>
              <w:t xml:space="preserve">; </w:t>
            </w:r>
            <w:r w:rsidRPr="004625EC">
              <w:rPr>
                <w:rFonts w:cs="Tahoma"/>
                <w:szCs w:val="18"/>
              </w:rPr>
              <w:t>PAH-CTD: 220 (42%)</w:t>
            </w:r>
          </w:p>
          <w:p w:rsidR="001D0FDA" w:rsidRDefault="001D0FDA" w:rsidP="001D0FDA">
            <w:pPr>
              <w:pStyle w:val="Tabletext"/>
              <w:rPr>
                <w:rFonts w:cs="Tahoma"/>
                <w:szCs w:val="18"/>
              </w:rPr>
            </w:pPr>
            <w:r w:rsidRPr="00C41328">
              <w:rPr>
                <w:rFonts w:cs="Tahoma"/>
                <w:szCs w:val="18"/>
              </w:rPr>
              <w:t>WHO FC</w:t>
            </w:r>
            <w:r>
              <w:rPr>
                <w:rFonts w:cs="Tahoma"/>
                <w:szCs w:val="18"/>
              </w:rPr>
              <w:t>, n (%)</w:t>
            </w:r>
            <w:r w:rsidRPr="00C41328">
              <w:rPr>
                <w:rFonts w:cs="Tahoma"/>
                <w:szCs w:val="18"/>
              </w:rPr>
              <w:t>:</w:t>
            </w:r>
          </w:p>
          <w:p w:rsidR="001D0FDA" w:rsidRDefault="001D0FDA" w:rsidP="001D0FDA">
            <w:pPr>
              <w:pStyle w:val="Tabletext"/>
              <w:ind w:left="239"/>
              <w:rPr>
                <w:rFonts w:cs="Tahoma"/>
                <w:szCs w:val="18"/>
              </w:rPr>
            </w:pPr>
            <w:r w:rsidRPr="004625EC">
              <w:rPr>
                <w:rFonts w:cs="Tahoma"/>
                <w:szCs w:val="18"/>
              </w:rPr>
              <w:t>II: 32 (6%)</w:t>
            </w:r>
            <w:r>
              <w:rPr>
                <w:rFonts w:cs="Tahoma"/>
                <w:szCs w:val="18"/>
              </w:rPr>
              <w:t xml:space="preserve">; </w:t>
            </w:r>
            <w:r w:rsidRPr="004625EC">
              <w:rPr>
                <w:rFonts w:cs="Tahoma"/>
                <w:szCs w:val="18"/>
              </w:rPr>
              <w:t>III: 370 (70%)</w:t>
            </w:r>
            <w:r>
              <w:rPr>
                <w:rFonts w:cs="Tahoma"/>
                <w:szCs w:val="18"/>
              </w:rPr>
              <w:t xml:space="preserve">; </w:t>
            </w:r>
            <w:r w:rsidRPr="004625EC">
              <w:rPr>
                <w:rFonts w:cs="Tahoma"/>
                <w:szCs w:val="18"/>
              </w:rPr>
              <w:t>IV 102 (19%)</w:t>
            </w:r>
          </w:p>
        </w:tc>
        <w:tc>
          <w:tcPr>
            <w:tcW w:w="1047" w:type="pct"/>
          </w:tcPr>
          <w:p w:rsidR="001D0FDA" w:rsidRDefault="001D0FDA" w:rsidP="001D0FDA">
            <w:pPr>
              <w:pStyle w:val="Tabletext"/>
              <w:rPr>
                <w:rFonts w:cs="Tahoma"/>
                <w:i/>
                <w:szCs w:val="18"/>
              </w:rPr>
            </w:pPr>
            <w:r>
              <w:rPr>
                <w:rFonts w:cs="Tahoma"/>
                <w:i/>
                <w:szCs w:val="18"/>
              </w:rPr>
              <w:t>Intervention</w:t>
            </w:r>
          </w:p>
          <w:p w:rsidR="001D0FDA" w:rsidRPr="008D73C9" w:rsidRDefault="001D0FDA" w:rsidP="001D0FDA">
            <w:pPr>
              <w:pStyle w:val="Tabletext"/>
              <w:rPr>
                <w:rFonts w:eastAsia="Times New Roman"/>
                <w:lang w:eastAsia="en-US"/>
              </w:rPr>
            </w:pPr>
            <w:r w:rsidRPr="008D73C9">
              <w:rPr>
                <w:rFonts w:eastAsia="Times New Roman"/>
                <w:lang w:eastAsia="en-US"/>
              </w:rPr>
              <w:t>B</w:t>
            </w:r>
            <w:r>
              <w:rPr>
                <w:rFonts w:eastAsia="Times New Roman"/>
                <w:lang w:eastAsia="en-US"/>
              </w:rPr>
              <w:t>osentan (dose not stated)</w:t>
            </w:r>
          </w:p>
          <w:p w:rsidR="001D0FDA" w:rsidRPr="008D73C9" w:rsidRDefault="001D0FDA" w:rsidP="001D0FDA">
            <w:pPr>
              <w:pStyle w:val="Tabletext"/>
              <w:rPr>
                <w:rFonts w:eastAsia="Times New Roman"/>
                <w:lang w:eastAsia="en-US"/>
              </w:rPr>
            </w:pPr>
          </w:p>
          <w:p w:rsidR="001D0FDA" w:rsidRPr="00455DBB" w:rsidRDefault="001D0FDA" w:rsidP="001D0FDA">
            <w:pPr>
              <w:pStyle w:val="Tabletext"/>
              <w:rPr>
                <w:rFonts w:eastAsia="Times New Roman"/>
                <w:i/>
                <w:lang w:eastAsia="en-US"/>
              </w:rPr>
            </w:pPr>
            <w:r w:rsidRPr="00455DBB">
              <w:rPr>
                <w:rFonts w:eastAsia="Times New Roman"/>
                <w:i/>
                <w:lang w:eastAsia="en-US"/>
              </w:rPr>
              <w:t>Combination therapy</w:t>
            </w:r>
          </w:p>
          <w:p w:rsidR="001D0FDA" w:rsidRDefault="001D0FDA" w:rsidP="001D0FDA">
            <w:pPr>
              <w:pStyle w:val="Tabletext"/>
              <w:rPr>
                <w:rFonts w:cs="Tahoma"/>
                <w:i/>
                <w:szCs w:val="18"/>
              </w:rPr>
            </w:pPr>
            <w:r>
              <w:rPr>
                <w:rFonts w:eastAsia="Times New Roman"/>
                <w:lang w:eastAsia="en-US"/>
              </w:rPr>
              <w:t>Sildenafil or prostanoid</w:t>
            </w:r>
            <w:r w:rsidRPr="008D73C9">
              <w:rPr>
                <w:rFonts w:eastAsia="Times New Roman"/>
                <w:lang w:eastAsia="en-US"/>
              </w:rPr>
              <w:t xml:space="preserve"> (11%)</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Kitterman 2012</w:t>
            </w:r>
            <w:r w:rsidR="001D34EE" w:rsidRPr="001A1C44">
              <w:rPr>
                <w:rFonts w:eastAsia="Times New Roman"/>
                <w:noProof/>
                <w:vertAlign w:val="superscript"/>
                <w:lang w:eastAsia="en-US"/>
              </w:rPr>
              <w:t>61</w:t>
            </w:r>
          </w:p>
          <w:p w:rsidR="001D0FDA" w:rsidRPr="008D73C9" w:rsidRDefault="001D0FDA" w:rsidP="001D0FDA">
            <w:pPr>
              <w:pStyle w:val="Tabletext"/>
              <w:ind w:right="-28"/>
              <w:rPr>
                <w:rFonts w:eastAsia="Times New Roman"/>
                <w:lang w:eastAsia="en-US"/>
              </w:rPr>
            </w:pPr>
            <w:r w:rsidRPr="008D73C9">
              <w:rPr>
                <w:rFonts w:eastAsia="Times New Roman"/>
                <w:lang w:eastAsia="en-US"/>
              </w:rPr>
              <w:t>2006-2010</w:t>
            </w:r>
          </w:p>
          <w:p w:rsidR="001D0FDA" w:rsidRPr="008D73C9" w:rsidRDefault="001D0FDA" w:rsidP="001D0FDA">
            <w:pPr>
              <w:pStyle w:val="Tabletext"/>
              <w:ind w:right="-28"/>
              <w:rPr>
                <w:rFonts w:eastAsia="Times New Roman"/>
                <w:lang w:eastAsia="en-US"/>
              </w:rPr>
            </w:pPr>
            <w:r w:rsidRPr="008D73C9">
              <w:rPr>
                <w:rFonts w:eastAsia="Times New Roman"/>
                <w:lang w:eastAsia="en-US"/>
              </w:rPr>
              <w:t>US</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 xml:space="preserve">Follow-up: </w:t>
            </w:r>
            <w:r w:rsidRPr="008D73C9">
              <w:rPr>
                <w:rFonts w:eastAsia="Times New Roman"/>
                <w:lang w:eastAsia="en-US"/>
              </w:rPr>
              <w:t>2 years</w:t>
            </w:r>
          </w:p>
        </w:tc>
        <w:tc>
          <w:tcPr>
            <w:tcW w:w="1096" w:type="pct"/>
          </w:tcPr>
          <w:p w:rsidR="001D0FDA" w:rsidRPr="004625EC" w:rsidRDefault="001D0FDA" w:rsidP="001D0FDA">
            <w:pPr>
              <w:pStyle w:val="Tabletext"/>
              <w:rPr>
                <w:rFonts w:cs="Tahoma"/>
                <w:i/>
                <w:szCs w:val="18"/>
              </w:rPr>
            </w:pPr>
            <w:r w:rsidRPr="004625EC">
              <w:rPr>
                <w:rFonts w:cs="Tahoma"/>
                <w:i/>
                <w:szCs w:val="18"/>
              </w:rPr>
              <w:t>Inclusion criteria</w:t>
            </w:r>
          </w:p>
          <w:p w:rsidR="001D0FDA" w:rsidRPr="00BA1F22" w:rsidRDefault="001D0FDA" w:rsidP="00480FDF">
            <w:pPr>
              <w:pStyle w:val="Tabletext"/>
              <w:numPr>
                <w:ilvl w:val="0"/>
                <w:numId w:val="54"/>
              </w:numPr>
              <w:ind w:left="239" w:hanging="144"/>
              <w:rPr>
                <w:rFonts w:cs="Tahoma"/>
                <w:i/>
                <w:szCs w:val="18"/>
              </w:rPr>
            </w:pPr>
            <w:r w:rsidRPr="004625EC">
              <w:rPr>
                <w:rFonts w:cs="Tahoma"/>
                <w:szCs w:val="18"/>
              </w:rPr>
              <w:t xml:space="preserve">PAH patients </w:t>
            </w:r>
            <w:r>
              <w:rPr>
                <w:rFonts w:cs="Tahoma"/>
                <w:szCs w:val="18"/>
              </w:rPr>
              <w:t xml:space="preserve">who </w:t>
            </w:r>
            <w:r w:rsidRPr="004625EC">
              <w:rPr>
                <w:rFonts w:cs="Tahoma"/>
                <w:szCs w:val="18"/>
              </w:rPr>
              <w:t xml:space="preserve">either </w:t>
            </w:r>
            <w:r>
              <w:rPr>
                <w:rFonts w:cs="Tahoma"/>
                <w:szCs w:val="18"/>
              </w:rPr>
              <w:t>had</w:t>
            </w:r>
            <w:r w:rsidRPr="004625EC">
              <w:rPr>
                <w:rFonts w:cs="Tahoma"/>
                <w:szCs w:val="18"/>
              </w:rPr>
              <w:t xml:space="preserve"> already receiv</w:t>
            </w:r>
            <w:r>
              <w:rPr>
                <w:rFonts w:cs="Tahoma"/>
                <w:szCs w:val="18"/>
              </w:rPr>
              <w:t>ed</w:t>
            </w:r>
            <w:r w:rsidRPr="004625EC">
              <w:rPr>
                <w:rFonts w:cs="Tahoma"/>
                <w:szCs w:val="18"/>
              </w:rPr>
              <w:t xml:space="preserve"> or initiat</w:t>
            </w:r>
            <w:r>
              <w:rPr>
                <w:rFonts w:cs="Tahoma"/>
                <w:szCs w:val="18"/>
              </w:rPr>
              <w:t>ed</w:t>
            </w:r>
            <w:r w:rsidRPr="004625EC">
              <w:rPr>
                <w:rFonts w:cs="Tahoma"/>
                <w:szCs w:val="18"/>
              </w:rPr>
              <w:t xml:space="preserve"> IV prostanoid (epoprostenol or treprostinil</w:t>
            </w:r>
            <w:r>
              <w:rPr>
                <w:rFonts w:cs="Tahoma"/>
                <w:szCs w:val="18"/>
              </w:rPr>
              <w:t>)</w:t>
            </w:r>
          </w:p>
        </w:tc>
        <w:tc>
          <w:tcPr>
            <w:tcW w:w="1856"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N=1,146</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xml:space="preserve">: </w:t>
            </w:r>
            <w:r w:rsidRPr="004625EC">
              <w:rPr>
                <w:rFonts w:cs="Tahoma"/>
                <w:szCs w:val="18"/>
              </w:rPr>
              <w:t>48±16</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w:t>
            </w:r>
            <w:r w:rsidRPr="004625EC">
              <w:rPr>
                <w:rFonts w:cs="Tahoma"/>
                <w:szCs w:val="18"/>
              </w:rPr>
              <w:t>905 (79%)</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sidRPr="0076072C">
              <w:rPr>
                <w:rFonts w:cs="Tahoma"/>
                <w:szCs w:val="18"/>
              </w:rPr>
              <w:t>IPAH: 585 (51%)</w:t>
            </w:r>
            <w:r>
              <w:rPr>
                <w:rFonts w:cs="Tahoma"/>
                <w:szCs w:val="18"/>
              </w:rPr>
              <w:t xml:space="preserve">; </w:t>
            </w:r>
            <w:r w:rsidRPr="0076072C">
              <w:rPr>
                <w:rFonts w:cs="Tahoma"/>
                <w:szCs w:val="18"/>
              </w:rPr>
              <w:t>HPAH: 50 (4%)</w:t>
            </w:r>
            <w:r>
              <w:rPr>
                <w:rFonts w:cs="Tahoma"/>
                <w:szCs w:val="18"/>
              </w:rPr>
              <w:t xml:space="preserve">; </w:t>
            </w:r>
            <w:r w:rsidRPr="0076072C">
              <w:rPr>
                <w:rFonts w:cs="Tahoma"/>
                <w:szCs w:val="18"/>
              </w:rPr>
              <w:t>PAH-CTD: 258 (23%)</w:t>
            </w:r>
            <w:r>
              <w:rPr>
                <w:rFonts w:cs="Tahoma"/>
                <w:szCs w:val="18"/>
              </w:rPr>
              <w:t xml:space="preserve">; </w:t>
            </w:r>
            <w:r w:rsidRPr="0076072C">
              <w:rPr>
                <w:rFonts w:cs="Tahoma"/>
                <w:szCs w:val="18"/>
              </w:rPr>
              <w:t>PAH-CHD: 89 (8%)</w:t>
            </w:r>
            <w:r>
              <w:rPr>
                <w:rFonts w:cs="Tahoma"/>
                <w:szCs w:val="18"/>
              </w:rPr>
              <w:t xml:space="preserve">; </w:t>
            </w:r>
            <w:r w:rsidRPr="0076072C">
              <w:rPr>
                <w:rFonts w:cs="Tahoma"/>
                <w:szCs w:val="18"/>
              </w:rPr>
              <w:t>PAH-PH: 67 (6%)</w:t>
            </w:r>
            <w:r>
              <w:rPr>
                <w:rFonts w:cs="Tahoma"/>
                <w:szCs w:val="18"/>
              </w:rPr>
              <w:t xml:space="preserve">; </w:t>
            </w:r>
            <w:r w:rsidRPr="0076072C">
              <w:rPr>
                <w:rFonts w:cs="Tahoma"/>
                <w:szCs w:val="18"/>
              </w:rPr>
              <w:t>PAH-DT: 61 (5%)</w:t>
            </w:r>
            <w:r>
              <w:rPr>
                <w:rFonts w:cs="Tahoma"/>
                <w:szCs w:val="18"/>
              </w:rPr>
              <w:t xml:space="preserve">; </w:t>
            </w:r>
            <w:r w:rsidRPr="0076072C">
              <w:rPr>
                <w:rFonts w:cs="Tahoma"/>
                <w:szCs w:val="18"/>
              </w:rPr>
              <w:t>PAH-HIV: 23 (2%)</w:t>
            </w:r>
            <w:r>
              <w:rPr>
                <w:rFonts w:cs="Tahoma"/>
                <w:szCs w:val="18"/>
              </w:rPr>
              <w:t xml:space="preserve">; </w:t>
            </w:r>
            <w:r w:rsidRPr="0076072C">
              <w:rPr>
                <w:rFonts w:cs="Tahoma"/>
                <w:szCs w:val="18"/>
              </w:rPr>
              <w:t>Other associated PAH: 2 (1%)</w:t>
            </w:r>
            <w:r>
              <w:rPr>
                <w:rFonts w:cs="Tahoma"/>
                <w:szCs w:val="18"/>
              </w:rPr>
              <w:t xml:space="preserve">; </w:t>
            </w:r>
            <w:r w:rsidRPr="0076072C">
              <w:rPr>
                <w:rFonts w:cs="Tahoma"/>
                <w:szCs w:val="18"/>
              </w:rPr>
              <w:t>Pulmonary veno-occlusive disease: 2 (0.2%)</w:t>
            </w:r>
          </w:p>
          <w:p w:rsidR="001D0FDA" w:rsidRDefault="001D0FDA" w:rsidP="001D0FDA">
            <w:pPr>
              <w:pStyle w:val="Tabletext"/>
              <w:rPr>
                <w:rFonts w:cs="Tahoma"/>
                <w:szCs w:val="18"/>
              </w:rPr>
            </w:pPr>
            <w:r w:rsidRPr="00C41328">
              <w:rPr>
                <w:rFonts w:cs="Tahoma"/>
                <w:szCs w:val="18"/>
              </w:rPr>
              <w:t>WHO FC</w:t>
            </w:r>
            <w:r>
              <w:rPr>
                <w:rFonts w:cs="Tahoma"/>
                <w:szCs w:val="18"/>
              </w:rPr>
              <w:t>, n (%)</w:t>
            </w:r>
            <w:r w:rsidRPr="00C41328">
              <w:rPr>
                <w:rFonts w:cs="Tahoma"/>
                <w:szCs w:val="18"/>
              </w:rPr>
              <w:t>:</w:t>
            </w:r>
          </w:p>
          <w:p w:rsidR="001D0FDA" w:rsidRDefault="001D0FDA" w:rsidP="001D0FDA">
            <w:pPr>
              <w:pStyle w:val="Tabletext"/>
              <w:ind w:left="239"/>
              <w:rPr>
                <w:rFonts w:cs="Tahoma"/>
                <w:szCs w:val="18"/>
              </w:rPr>
            </w:pPr>
            <w:r w:rsidRPr="0076072C">
              <w:rPr>
                <w:rFonts w:cs="Tahoma"/>
                <w:szCs w:val="18"/>
              </w:rPr>
              <w:t>I: 65 (6%)</w:t>
            </w:r>
            <w:r>
              <w:rPr>
                <w:rFonts w:cs="Tahoma"/>
                <w:szCs w:val="18"/>
              </w:rPr>
              <w:t xml:space="preserve">; </w:t>
            </w:r>
            <w:r w:rsidRPr="0076072C">
              <w:rPr>
                <w:rFonts w:cs="Tahoma"/>
                <w:szCs w:val="18"/>
              </w:rPr>
              <w:t>II: 318 (30%)</w:t>
            </w:r>
            <w:r>
              <w:rPr>
                <w:rFonts w:cs="Tahoma"/>
                <w:szCs w:val="18"/>
              </w:rPr>
              <w:t xml:space="preserve">; </w:t>
            </w:r>
            <w:r w:rsidRPr="0076072C">
              <w:rPr>
                <w:rFonts w:cs="Tahoma"/>
                <w:szCs w:val="18"/>
              </w:rPr>
              <w:t>III: 542 (52%)</w:t>
            </w:r>
            <w:r>
              <w:rPr>
                <w:rFonts w:cs="Tahoma"/>
                <w:szCs w:val="18"/>
              </w:rPr>
              <w:t xml:space="preserve">; </w:t>
            </w:r>
            <w:r w:rsidRPr="0076072C">
              <w:rPr>
                <w:rFonts w:cs="Tahoma"/>
                <w:szCs w:val="18"/>
              </w:rPr>
              <w:t>IV: 123 (12%)</w:t>
            </w:r>
          </w:p>
          <w:p w:rsidR="001D0FDA" w:rsidRDefault="001D0FDA" w:rsidP="001D0FDA">
            <w:pPr>
              <w:pStyle w:val="Tabletext"/>
              <w:rPr>
                <w:rFonts w:cs="Tahoma"/>
                <w:szCs w:val="18"/>
              </w:rPr>
            </w:pPr>
            <w:r>
              <w:rPr>
                <w:rFonts w:cs="Tahoma"/>
                <w:szCs w:val="18"/>
              </w:rPr>
              <w:t>Time from diagnosis to enrolment, mean</w:t>
            </w:r>
            <w:r w:rsidRPr="00C41328">
              <w:rPr>
                <w:rFonts w:cs="Tahoma"/>
                <w:szCs w:val="18"/>
              </w:rPr>
              <w:t>±</w:t>
            </w:r>
            <w:r>
              <w:rPr>
                <w:rFonts w:cs="Tahoma"/>
                <w:szCs w:val="18"/>
              </w:rPr>
              <w:t>SD (mths)</w:t>
            </w:r>
            <w:r w:rsidRPr="00C41328">
              <w:rPr>
                <w:rFonts w:cs="Tahoma"/>
                <w:szCs w:val="18"/>
              </w:rPr>
              <w:t>:</w:t>
            </w:r>
            <w:r>
              <w:rPr>
                <w:rFonts w:cs="Tahoma"/>
                <w:szCs w:val="18"/>
              </w:rPr>
              <w:t xml:space="preserve"> </w:t>
            </w:r>
            <w:r w:rsidRPr="0076072C">
              <w:rPr>
                <w:rFonts w:cs="Tahoma"/>
                <w:szCs w:val="18"/>
              </w:rPr>
              <w:t>38±42</w:t>
            </w:r>
          </w:p>
        </w:tc>
        <w:tc>
          <w:tcPr>
            <w:tcW w:w="1047" w:type="pct"/>
          </w:tcPr>
          <w:p w:rsidR="001D0FDA" w:rsidRDefault="001D0FDA" w:rsidP="001D0FDA">
            <w:pPr>
              <w:pStyle w:val="Tabletext"/>
              <w:rPr>
                <w:rFonts w:cs="Tahoma"/>
                <w:i/>
                <w:szCs w:val="18"/>
              </w:rPr>
            </w:pPr>
            <w:r>
              <w:rPr>
                <w:rFonts w:cs="Tahoma"/>
                <w:i/>
                <w:szCs w:val="18"/>
              </w:rPr>
              <w:t>Intervention</w:t>
            </w:r>
          </w:p>
          <w:p w:rsidR="001D0FDA" w:rsidRDefault="001D0FDA" w:rsidP="001D0FDA">
            <w:pPr>
              <w:pStyle w:val="Tabletext"/>
              <w:rPr>
                <w:rFonts w:cs="Tahoma"/>
                <w:i/>
                <w:szCs w:val="18"/>
              </w:rPr>
            </w:pPr>
            <w:r>
              <w:rPr>
                <w:rFonts w:eastAsia="Times New Roman"/>
                <w:lang w:eastAsia="en-US"/>
              </w:rPr>
              <w:t>E</w:t>
            </w:r>
            <w:r w:rsidRPr="0076072C">
              <w:rPr>
                <w:rFonts w:eastAsia="Times New Roman"/>
                <w:lang w:eastAsia="en-US"/>
              </w:rPr>
              <w:t xml:space="preserve">poprostenol or treprostinil </w:t>
            </w:r>
            <w:r>
              <w:rPr>
                <w:rFonts w:eastAsia="Times New Roman"/>
                <w:lang w:eastAsia="en-US"/>
              </w:rPr>
              <w:t>(dose not stated)</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lastRenderedPageBreak/>
              <w:t>McLaughlin 2002</w:t>
            </w:r>
            <w:r w:rsidR="001D34EE" w:rsidRPr="001A1C44">
              <w:rPr>
                <w:rFonts w:eastAsia="Times New Roman"/>
                <w:noProof/>
                <w:vertAlign w:val="superscript"/>
                <w:lang w:eastAsia="en-US"/>
              </w:rPr>
              <w:t>62</w:t>
            </w:r>
          </w:p>
          <w:p w:rsidR="001D0FDA" w:rsidRPr="008D73C9" w:rsidRDefault="001D0FDA" w:rsidP="001D0FDA">
            <w:pPr>
              <w:pStyle w:val="Tabletext"/>
              <w:ind w:right="-28"/>
              <w:rPr>
                <w:rFonts w:eastAsia="Times New Roman"/>
                <w:lang w:eastAsia="en-US"/>
              </w:rPr>
            </w:pPr>
            <w:r w:rsidRPr="008D73C9">
              <w:rPr>
                <w:rFonts w:eastAsia="Times New Roman"/>
                <w:lang w:eastAsia="en-US"/>
              </w:rPr>
              <w:t>1991-2001</w:t>
            </w:r>
          </w:p>
          <w:p w:rsidR="001D0FDA" w:rsidRPr="008D73C9" w:rsidRDefault="001D0FDA" w:rsidP="001D0FDA">
            <w:pPr>
              <w:pStyle w:val="Tabletext"/>
              <w:ind w:right="-28"/>
              <w:rPr>
                <w:rFonts w:eastAsia="Times New Roman"/>
                <w:lang w:eastAsia="en-US"/>
              </w:rPr>
            </w:pPr>
            <w:r w:rsidRPr="008D73C9">
              <w:rPr>
                <w:rFonts w:eastAsia="Times New Roman"/>
                <w:lang w:eastAsia="en-US"/>
              </w:rPr>
              <w:t>US</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Case series (unclear if retrospective or prospective)</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Follow-up: 31 months</w:t>
            </w:r>
          </w:p>
        </w:tc>
        <w:tc>
          <w:tcPr>
            <w:tcW w:w="1096" w:type="pct"/>
          </w:tcPr>
          <w:p w:rsidR="001D0FDA" w:rsidRPr="00323BBF" w:rsidRDefault="001D0FDA" w:rsidP="001D0FDA">
            <w:pPr>
              <w:pStyle w:val="Tabletext"/>
              <w:rPr>
                <w:rFonts w:cs="Tahoma"/>
                <w:i/>
                <w:szCs w:val="18"/>
              </w:rPr>
            </w:pPr>
            <w:r w:rsidRPr="00323BBF">
              <w:rPr>
                <w:rFonts w:cs="Tahoma"/>
                <w:i/>
                <w:szCs w:val="18"/>
              </w:rPr>
              <w:t>Inclusion criteria</w:t>
            </w:r>
          </w:p>
          <w:p w:rsidR="001D0FDA" w:rsidRPr="00BA1F22" w:rsidRDefault="001D0FDA" w:rsidP="00480FDF">
            <w:pPr>
              <w:pStyle w:val="Tabletext"/>
              <w:numPr>
                <w:ilvl w:val="0"/>
                <w:numId w:val="54"/>
              </w:numPr>
              <w:ind w:left="239" w:hanging="144"/>
              <w:rPr>
                <w:rFonts w:cs="Tahoma"/>
                <w:i/>
                <w:szCs w:val="18"/>
              </w:rPr>
            </w:pPr>
            <w:r w:rsidRPr="00323BBF">
              <w:rPr>
                <w:rFonts w:cs="Tahoma"/>
                <w:szCs w:val="18"/>
              </w:rPr>
              <w:t xml:space="preserve">Patients with primary PAH </w:t>
            </w:r>
            <w:r>
              <w:rPr>
                <w:rFonts w:cs="Tahoma"/>
                <w:szCs w:val="18"/>
              </w:rPr>
              <w:t xml:space="preserve">who were </w:t>
            </w:r>
            <w:r w:rsidRPr="00323BBF">
              <w:rPr>
                <w:rFonts w:cs="Tahoma"/>
                <w:szCs w:val="18"/>
              </w:rPr>
              <w:t>treated with epoprostenol</w:t>
            </w:r>
          </w:p>
        </w:tc>
        <w:tc>
          <w:tcPr>
            <w:tcW w:w="1856"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N=162</w:t>
            </w:r>
          </w:p>
          <w:p w:rsidR="001D0FDA" w:rsidRPr="00C41328" w:rsidRDefault="001D0FDA" w:rsidP="001D0FDA">
            <w:pPr>
              <w:pStyle w:val="Tabletext"/>
              <w:rPr>
                <w:rFonts w:cs="Tahoma"/>
                <w:szCs w:val="18"/>
              </w:rPr>
            </w:pPr>
            <w:r w:rsidRPr="00C41328">
              <w:rPr>
                <w:rFonts w:cs="Tahoma"/>
                <w:szCs w:val="18"/>
              </w:rPr>
              <w:t>Age</w:t>
            </w:r>
            <w:r>
              <w:rPr>
                <w:rFonts w:cs="Tahoma"/>
                <w:szCs w:val="18"/>
              </w:rPr>
              <w:t>, mean (yrs)</w:t>
            </w:r>
            <w:r w:rsidRPr="00C41328">
              <w:rPr>
                <w:rFonts w:cs="Tahoma"/>
                <w:szCs w:val="18"/>
              </w:rPr>
              <w:t xml:space="preserve">: </w:t>
            </w:r>
            <w:r w:rsidRPr="004625EC">
              <w:rPr>
                <w:rFonts w:cs="Tahoma"/>
                <w:szCs w:val="18"/>
              </w:rPr>
              <w:t>4</w:t>
            </w:r>
            <w:r>
              <w:rPr>
                <w:rFonts w:cs="Tahoma"/>
                <w:szCs w:val="18"/>
              </w:rPr>
              <w:t>2</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:male ratio: 3:1</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sidRPr="00323BBF">
              <w:rPr>
                <w:rFonts w:cs="Tahoma"/>
                <w:szCs w:val="18"/>
              </w:rPr>
              <w:t>IPAH: 127 (78%)</w:t>
            </w:r>
            <w:r>
              <w:rPr>
                <w:rFonts w:cs="Tahoma"/>
                <w:szCs w:val="18"/>
              </w:rPr>
              <w:t xml:space="preserve">; </w:t>
            </w:r>
            <w:r w:rsidRPr="00323BBF">
              <w:rPr>
                <w:rFonts w:cs="Tahoma"/>
                <w:szCs w:val="18"/>
              </w:rPr>
              <w:t>HPAH: 22 (14%)</w:t>
            </w:r>
            <w:r>
              <w:rPr>
                <w:rFonts w:cs="Tahoma"/>
                <w:szCs w:val="18"/>
              </w:rPr>
              <w:t xml:space="preserve">; </w:t>
            </w:r>
            <w:r w:rsidRPr="00323BBF">
              <w:rPr>
                <w:rFonts w:cs="Tahoma"/>
                <w:szCs w:val="18"/>
              </w:rPr>
              <w:t>PAH-DT: 13 (8%)</w:t>
            </w:r>
          </w:p>
          <w:p w:rsidR="001D0FDA" w:rsidRDefault="001D0FDA" w:rsidP="001D0FDA">
            <w:pPr>
              <w:pStyle w:val="Tabletext"/>
              <w:rPr>
                <w:rFonts w:cs="Tahoma"/>
                <w:szCs w:val="18"/>
              </w:rPr>
            </w:pPr>
            <w:r w:rsidRPr="00C41328">
              <w:rPr>
                <w:rFonts w:cs="Tahoma"/>
                <w:szCs w:val="18"/>
              </w:rPr>
              <w:t>WHO FC</w:t>
            </w:r>
            <w:r>
              <w:rPr>
                <w:rFonts w:cs="Tahoma"/>
                <w:szCs w:val="18"/>
              </w:rPr>
              <w:t>, n (%)</w:t>
            </w:r>
            <w:r w:rsidRPr="00C41328">
              <w:rPr>
                <w:rFonts w:cs="Tahoma"/>
                <w:szCs w:val="18"/>
              </w:rPr>
              <w:t>:</w:t>
            </w:r>
          </w:p>
          <w:p w:rsidR="001D0FDA" w:rsidRDefault="001D0FDA" w:rsidP="001D0FDA">
            <w:pPr>
              <w:pStyle w:val="Tabletext"/>
              <w:ind w:left="239"/>
              <w:rPr>
                <w:rFonts w:cs="Tahoma"/>
                <w:szCs w:val="18"/>
              </w:rPr>
            </w:pPr>
            <w:r w:rsidRPr="00323BBF">
              <w:rPr>
                <w:rFonts w:cs="Tahoma"/>
                <w:szCs w:val="18"/>
              </w:rPr>
              <w:t>III: 75 (46%)</w:t>
            </w:r>
            <w:r>
              <w:rPr>
                <w:rFonts w:cs="Tahoma"/>
                <w:szCs w:val="18"/>
              </w:rPr>
              <w:t xml:space="preserve">; </w:t>
            </w:r>
            <w:r w:rsidRPr="00323BBF">
              <w:rPr>
                <w:rFonts w:cs="Tahoma"/>
                <w:szCs w:val="18"/>
              </w:rPr>
              <w:t>IV: 87 (54%)</w:t>
            </w:r>
          </w:p>
        </w:tc>
        <w:tc>
          <w:tcPr>
            <w:tcW w:w="1047" w:type="pct"/>
          </w:tcPr>
          <w:p w:rsidR="001D0FDA" w:rsidRDefault="001D0FDA" w:rsidP="001D0FDA">
            <w:pPr>
              <w:pStyle w:val="Tabletext"/>
              <w:rPr>
                <w:rFonts w:cs="Tahoma"/>
                <w:i/>
                <w:szCs w:val="18"/>
              </w:rPr>
            </w:pPr>
            <w:r>
              <w:rPr>
                <w:rFonts w:cs="Tahoma"/>
                <w:i/>
                <w:szCs w:val="18"/>
              </w:rPr>
              <w:t>Intervention</w:t>
            </w:r>
          </w:p>
          <w:p w:rsidR="001D0FDA" w:rsidRDefault="001D0FDA" w:rsidP="001D0FDA">
            <w:pPr>
              <w:pStyle w:val="Tabletext"/>
              <w:rPr>
                <w:rFonts w:eastAsia="Times New Roman"/>
                <w:lang w:eastAsia="en-US"/>
              </w:rPr>
            </w:pPr>
            <w:r>
              <w:rPr>
                <w:rFonts w:eastAsia="Times New Roman"/>
                <w:lang w:eastAsia="en-US"/>
              </w:rPr>
              <w:t>E</w:t>
            </w:r>
            <w:r w:rsidRPr="0076072C">
              <w:rPr>
                <w:rFonts w:eastAsia="Times New Roman"/>
                <w:lang w:eastAsia="en-US"/>
              </w:rPr>
              <w:t>poprostenol</w:t>
            </w:r>
            <w:r>
              <w:rPr>
                <w:rFonts w:eastAsia="Times New Roman"/>
                <w:lang w:eastAsia="en-US"/>
              </w:rPr>
              <w:t>: initial dose of</w:t>
            </w:r>
            <w:r w:rsidRPr="007273D8">
              <w:rPr>
                <w:rFonts w:eastAsia="Times New Roman"/>
                <w:lang w:eastAsia="en-US"/>
              </w:rPr>
              <w:t xml:space="preserve"> 2ng/kg/min, gradually increased to a maximum tolerated dose, depending on the symptoms of </w:t>
            </w:r>
            <w:r>
              <w:rPr>
                <w:rFonts w:eastAsia="Times New Roman"/>
                <w:lang w:eastAsia="en-US"/>
              </w:rPr>
              <w:t>pulmonary hypertension</w:t>
            </w:r>
            <w:r w:rsidRPr="007273D8">
              <w:rPr>
                <w:rFonts w:eastAsia="Times New Roman"/>
                <w:lang w:eastAsia="en-US"/>
              </w:rPr>
              <w:t xml:space="preserve"> and side effects of epoprostenol</w:t>
            </w:r>
          </w:p>
          <w:p w:rsidR="001D0FDA" w:rsidRDefault="001D0FDA" w:rsidP="001D0FDA">
            <w:pPr>
              <w:pStyle w:val="Tabletext"/>
              <w:rPr>
                <w:rFonts w:eastAsia="Times New Roman"/>
                <w:lang w:eastAsia="en-US"/>
              </w:rPr>
            </w:pPr>
          </w:p>
          <w:p w:rsidR="001D0FDA" w:rsidRDefault="001D0FDA" w:rsidP="001D0FDA">
            <w:pPr>
              <w:pStyle w:val="Tabletext"/>
              <w:rPr>
                <w:rFonts w:cs="Tahoma"/>
                <w:i/>
                <w:szCs w:val="18"/>
              </w:rPr>
            </w:pP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Oudiz 2004</w:t>
            </w:r>
            <w:r w:rsidR="001D34EE" w:rsidRPr="001A1C44">
              <w:rPr>
                <w:rFonts w:eastAsia="Times New Roman"/>
                <w:noProof/>
                <w:vertAlign w:val="superscript"/>
                <w:lang w:eastAsia="en-US"/>
              </w:rPr>
              <w:t>63</w:t>
            </w:r>
          </w:p>
          <w:p w:rsidR="001D0FDA" w:rsidRPr="008D73C9" w:rsidRDefault="001D0FDA" w:rsidP="001D0FDA">
            <w:pPr>
              <w:pStyle w:val="Tabletext"/>
              <w:ind w:right="-28"/>
              <w:rPr>
                <w:rFonts w:eastAsia="Times New Roman"/>
                <w:lang w:eastAsia="en-US"/>
              </w:rPr>
            </w:pPr>
            <w:r w:rsidRPr="008D73C9">
              <w:rPr>
                <w:rFonts w:eastAsia="Times New Roman"/>
                <w:lang w:eastAsia="en-US"/>
              </w:rPr>
              <w:t>1987-2000</w:t>
            </w:r>
          </w:p>
          <w:p w:rsidR="001D0FDA" w:rsidRPr="008D73C9" w:rsidRDefault="001D0FDA" w:rsidP="001D0FDA">
            <w:pPr>
              <w:pStyle w:val="Tabletext"/>
              <w:ind w:right="-28"/>
              <w:rPr>
                <w:rFonts w:eastAsia="Times New Roman"/>
                <w:lang w:eastAsia="en-US"/>
              </w:rPr>
            </w:pPr>
            <w:r w:rsidRPr="008D73C9">
              <w:rPr>
                <w:rFonts w:eastAsia="Times New Roman"/>
                <w:lang w:eastAsia="en-US"/>
              </w:rPr>
              <w:t>US</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Retrospective and prospective case series </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 xml:space="preserve">Follow-up: </w:t>
            </w:r>
            <w:r w:rsidRPr="008D73C9">
              <w:rPr>
                <w:rFonts w:eastAsia="Times New Roman"/>
                <w:lang w:eastAsia="en-US"/>
              </w:rPr>
              <w:t>3.6 years</w:t>
            </w:r>
          </w:p>
        </w:tc>
        <w:tc>
          <w:tcPr>
            <w:tcW w:w="1096" w:type="pct"/>
          </w:tcPr>
          <w:p w:rsidR="001D0FDA" w:rsidRPr="00BC2AD3" w:rsidRDefault="001D0FDA" w:rsidP="001D0FDA">
            <w:pPr>
              <w:pStyle w:val="Tabletext"/>
              <w:rPr>
                <w:rFonts w:cs="Tahoma"/>
                <w:i/>
                <w:szCs w:val="18"/>
              </w:rPr>
            </w:pPr>
            <w:r w:rsidRPr="00BC2AD3">
              <w:rPr>
                <w:rFonts w:cs="Tahoma"/>
                <w:i/>
                <w:szCs w:val="18"/>
              </w:rPr>
              <w:t>Inclusion criteria</w:t>
            </w:r>
          </w:p>
          <w:p w:rsidR="001D0FDA" w:rsidRPr="00323BBF" w:rsidRDefault="001D0FDA" w:rsidP="00480FDF">
            <w:pPr>
              <w:pStyle w:val="Tabletext"/>
              <w:numPr>
                <w:ilvl w:val="0"/>
                <w:numId w:val="54"/>
              </w:numPr>
              <w:ind w:left="239" w:hanging="144"/>
              <w:rPr>
                <w:rFonts w:cs="Tahoma"/>
                <w:i/>
                <w:szCs w:val="18"/>
              </w:rPr>
            </w:pPr>
            <w:r w:rsidRPr="00BC2AD3">
              <w:rPr>
                <w:rFonts w:cs="Tahoma"/>
                <w:szCs w:val="18"/>
              </w:rPr>
              <w:t>Patients with IPAH, PAH-CTD, PAH-CHD, PAH-HIV or PAH-PH</w:t>
            </w:r>
            <w:r>
              <w:rPr>
                <w:rFonts w:cs="Tahoma"/>
                <w:szCs w:val="18"/>
              </w:rPr>
              <w:t xml:space="preserve"> who were t</w:t>
            </w:r>
            <w:r w:rsidRPr="00BC2AD3">
              <w:rPr>
                <w:rFonts w:cs="Tahoma"/>
                <w:szCs w:val="18"/>
              </w:rPr>
              <w:t>reated with infusion of epoprostenol via a peripheral vein, with a right heart catheter in place</w:t>
            </w:r>
          </w:p>
        </w:tc>
        <w:tc>
          <w:tcPr>
            <w:tcW w:w="1856" w:type="pct"/>
          </w:tcPr>
          <w:p w:rsidR="001D0FDA" w:rsidRDefault="001D0FDA" w:rsidP="001D0FDA">
            <w:pPr>
              <w:pStyle w:val="Tabletext"/>
              <w:ind w:right="-28"/>
              <w:rPr>
                <w:rFonts w:eastAsia="Times New Roman"/>
                <w:lang w:eastAsia="en-US"/>
              </w:rPr>
            </w:pPr>
            <w:r w:rsidRPr="008D73C9">
              <w:rPr>
                <w:rFonts w:eastAsia="Times New Roman"/>
                <w:lang w:eastAsia="en-US"/>
              </w:rPr>
              <w:t>N=192</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xml:space="preserve">: </w:t>
            </w:r>
            <w:r>
              <w:rPr>
                <w:rFonts w:cs="Tahoma"/>
                <w:szCs w:val="18"/>
              </w:rPr>
              <w:t>40±22</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w:t>
            </w:r>
            <w:r w:rsidRPr="00C41328">
              <w:rPr>
                <w:rFonts w:cs="Tahoma"/>
                <w:szCs w:val="18"/>
              </w:rPr>
              <w:t xml:space="preserve">: </w:t>
            </w:r>
            <w:r>
              <w:rPr>
                <w:rFonts w:cs="Tahoma"/>
                <w:szCs w:val="18"/>
              </w:rPr>
              <w:t>79%</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 </w:t>
            </w:r>
          </w:p>
          <w:p w:rsidR="001D0FDA" w:rsidRPr="0088786E" w:rsidRDefault="001D0FDA" w:rsidP="001D0FDA">
            <w:pPr>
              <w:pStyle w:val="Tabletext"/>
              <w:ind w:left="239"/>
              <w:rPr>
                <w:rFonts w:cs="Tahoma"/>
                <w:szCs w:val="18"/>
              </w:rPr>
            </w:pPr>
            <w:r w:rsidRPr="0088786E">
              <w:rPr>
                <w:rFonts w:cs="Tahoma"/>
                <w:szCs w:val="18"/>
              </w:rPr>
              <w:t>IPAH: 65%</w:t>
            </w:r>
            <w:r>
              <w:rPr>
                <w:rFonts w:cs="Tahoma"/>
                <w:szCs w:val="18"/>
              </w:rPr>
              <w:t xml:space="preserve">; </w:t>
            </w:r>
            <w:r w:rsidRPr="0088786E">
              <w:rPr>
                <w:rFonts w:cs="Tahoma"/>
                <w:szCs w:val="18"/>
              </w:rPr>
              <w:t>PAH-CHD: 19%</w:t>
            </w:r>
            <w:r>
              <w:rPr>
                <w:rFonts w:cs="Tahoma"/>
                <w:szCs w:val="18"/>
              </w:rPr>
              <w:t xml:space="preserve">; </w:t>
            </w:r>
            <w:r w:rsidRPr="0088786E">
              <w:rPr>
                <w:rFonts w:cs="Tahoma"/>
                <w:szCs w:val="18"/>
              </w:rPr>
              <w:t>PAH-CTD: 12%</w:t>
            </w:r>
            <w:r>
              <w:rPr>
                <w:rFonts w:cs="Tahoma"/>
                <w:szCs w:val="18"/>
              </w:rPr>
              <w:t xml:space="preserve">; </w:t>
            </w:r>
            <w:r w:rsidRPr="0088786E">
              <w:rPr>
                <w:rFonts w:cs="Tahoma"/>
                <w:szCs w:val="18"/>
              </w:rPr>
              <w:t>PAH-PH: 2%</w:t>
            </w:r>
            <w:r>
              <w:rPr>
                <w:rFonts w:cs="Tahoma"/>
                <w:szCs w:val="18"/>
              </w:rPr>
              <w:t xml:space="preserve">; </w:t>
            </w:r>
            <w:r w:rsidRPr="0088786E">
              <w:rPr>
                <w:rFonts w:cs="Tahoma"/>
                <w:szCs w:val="18"/>
              </w:rPr>
              <w:t>PAH-HIV: 2%</w:t>
            </w:r>
          </w:p>
        </w:tc>
        <w:tc>
          <w:tcPr>
            <w:tcW w:w="1047" w:type="pct"/>
          </w:tcPr>
          <w:p w:rsidR="001D0FDA" w:rsidRDefault="001D0FDA" w:rsidP="001D0FDA">
            <w:pPr>
              <w:pStyle w:val="Tabletext"/>
              <w:rPr>
                <w:rFonts w:cs="Tahoma"/>
                <w:i/>
                <w:szCs w:val="18"/>
              </w:rPr>
            </w:pPr>
            <w:r>
              <w:rPr>
                <w:rFonts w:cs="Tahoma"/>
                <w:i/>
                <w:szCs w:val="18"/>
              </w:rPr>
              <w:t>Intervention</w:t>
            </w:r>
          </w:p>
          <w:p w:rsidR="001D0FDA" w:rsidRDefault="001D0FDA" w:rsidP="001D0FDA">
            <w:pPr>
              <w:pStyle w:val="Tabletext"/>
              <w:rPr>
                <w:rFonts w:cs="Tahoma"/>
                <w:i/>
                <w:szCs w:val="18"/>
              </w:rPr>
            </w:pPr>
            <w:r>
              <w:rPr>
                <w:rFonts w:eastAsia="Times New Roman"/>
                <w:lang w:eastAsia="en-US"/>
              </w:rPr>
              <w:t>E</w:t>
            </w:r>
            <w:r w:rsidRPr="0076072C">
              <w:rPr>
                <w:rFonts w:eastAsia="Times New Roman"/>
                <w:lang w:eastAsia="en-US"/>
              </w:rPr>
              <w:t>poprostenol</w:t>
            </w:r>
            <w:r>
              <w:rPr>
                <w:rFonts w:eastAsia="Times New Roman"/>
                <w:lang w:eastAsia="en-US"/>
              </w:rPr>
              <w:t xml:space="preserve"> (dose not stated)</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lastRenderedPageBreak/>
              <w:t>PACES extension study</w:t>
            </w:r>
            <w:r w:rsidR="001D34EE" w:rsidRPr="001A1C44">
              <w:rPr>
                <w:rFonts w:eastAsia="Times New Roman"/>
                <w:noProof/>
                <w:vertAlign w:val="superscript"/>
                <w:lang w:eastAsia="en-US"/>
              </w:rPr>
              <w:t>64</w:t>
            </w:r>
          </w:p>
          <w:p w:rsidR="001D0FDA" w:rsidRPr="008D73C9" w:rsidRDefault="001D0FDA" w:rsidP="001D0FDA">
            <w:pPr>
              <w:pStyle w:val="Tabletext"/>
              <w:ind w:right="-28"/>
              <w:rPr>
                <w:rFonts w:eastAsia="Times New Roman"/>
                <w:lang w:eastAsia="en-US"/>
              </w:rPr>
            </w:pPr>
            <w:r w:rsidRPr="008D73C9">
              <w:rPr>
                <w:rFonts w:eastAsia="Times New Roman"/>
                <w:lang w:eastAsia="en-US"/>
              </w:rPr>
              <w:t>2003-2009</w:t>
            </w:r>
          </w:p>
          <w:p w:rsidR="001D0FDA" w:rsidRPr="008D73C9" w:rsidRDefault="001D0FDA" w:rsidP="001D0FDA">
            <w:pPr>
              <w:pStyle w:val="Tabletext"/>
              <w:ind w:right="-28"/>
              <w:rPr>
                <w:rFonts w:eastAsia="Times New Roman"/>
                <w:lang w:eastAsia="en-US"/>
              </w:rPr>
            </w:pPr>
            <w:r w:rsidRPr="008D73C9">
              <w:rPr>
                <w:rFonts w:eastAsia="Times New Roman"/>
                <w:lang w:eastAsia="en-US"/>
              </w:rPr>
              <w:t>US, Canada, Europe, Israel</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 xml:space="preserve">Follow-up: </w:t>
            </w:r>
            <w:r w:rsidRPr="008D73C9">
              <w:rPr>
                <w:rFonts w:eastAsia="Times New Roman"/>
                <w:lang w:eastAsia="en-US"/>
              </w:rPr>
              <w:t xml:space="preserve">3.2 years </w:t>
            </w:r>
          </w:p>
        </w:tc>
        <w:tc>
          <w:tcPr>
            <w:tcW w:w="1096" w:type="pct"/>
          </w:tcPr>
          <w:p w:rsidR="001D0FDA" w:rsidRPr="0088786E" w:rsidRDefault="001D0FDA" w:rsidP="001D0FDA">
            <w:pPr>
              <w:pStyle w:val="Tabletext"/>
              <w:rPr>
                <w:rFonts w:cs="Tahoma"/>
                <w:i/>
                <w:szCs w:val="18"/>
              </w:rPr>
            </w:pPr>
            <w:r>
              <w:rPr>
                <w:rFonts w:cs="Tahoma"/>
                <w:i/>
                <w:szCs w:val="18"/>
              </w:rPr>
              <w:t>Inclusion criteria</w:t>
            </w:r>
          </w:p>
          <w:p w:rsidR="001D0FDA" w:rsidRPr="0088786E" w:rsidRDefault="001D0FDA" w:rsidP="00480FDF">
            <w:pPr>
              <w:pStyle w:val="Tabletext"/>
              <w:numPr>
                <w:ilvl w:val="0"/>
                <w:numId w:val="54"/>
              </w:numPr>
              <w:ind w:left="239" w:hanging="144"/>
              <w:rPr>
                <w:rFonts w:cs="Tahoma"/>
                <w:szCs w:val="18"/>
              </w:rPr>
            </w:pPr>
            <w:r w:rsidRPr="0088786E">
              <w:rPr>
                <w:rFonts w:cs="Tahoma"/>
                <w:szCs w:val="18"/>
              </w:rPr>
              <w:t>Patients with IPAH, HPAH, PAH-CTD, PAH-CHD who completed Trial PACES</w:t>
            </w:r>
            <w:r>
              <w:rPr>
                <w:rFonts w:cs="Tahoma"/>
                <w:szCs w:val="18"/>
              </w:rPr>
              <w:t>-1</w:t>
            </w:r>
            <w:r w:rsidRPr="0088786E">
              <w:rPr>
                <w:rFonts w:cs="Tahoma"/>
                <w:szCs w:val="18"/>
              </w:rPr>
              <w:t xml:space="preserve"> </w:t>
            </w:r>
          </w:p>
          <w:p w:rsidR="001D0FDA" w:rsidRPr="0088786E" w:rsidRDefault="001D0FDA" w:rsidP="001D0FDA">
            <w:pPr>
              <w:pStyle w:val="Tabletext"/>
              <w:rPr>
                <w:rFonts w:cs="Tahoma"/>
                <w:i/>
                <w:szCs w:val="18"/>
              </w:rPr>
            </w:pPr>
          </w:p>
          <w:p w:rsidR="001D0FDA" w:rsidRPr="0088786E" w:rsidRDefault="001D0FDA" w:rsidP="001D0FDA">
            <w:pPr>
              <w:pStyle w:val="Tabletext"/>
              <w:rPr>
                <w:rFonts w:cs="Tahoma"/>
                <w:i/>
                <w:szCs w:val="18"/>
              </w:rPr>
            </w:pPr>
            <w:r>
              <w:rPr>
                <w:rFonts w:cs="Tahoma"/>
                <w:i/>
                <w:szCs w:val="18"/>
              </w:rPr>
              <w:t>Exclusion criteria</w:t>
            </w:r>
          </w:p>
          <w:p w:rsidR="001D0FDA" w:rsidRPr="00323BBF" w:rsidRDefault="001D0FDA" w:rsidP="00480FDF">
            <w:pPr>
              <w:pStyle w:val="Tabletext"/>
              <w:numPr>
                <w:ilvl w:val="0"/>
                <w:numId w:val="54"/>
              </w:numPr>
              <w:ind w:left="239" w:hanging="144"/>
              <w:rPr>
                <w:rFonts w:cs="Tahoma"/>
                <w:i/>
                <w:szCs w:val="18"/>
              </w:rPr>
            </w:pPr>
            <w:r>
              <w:rPr>
                <w:rFonts w:cs="Tahoma"/>
                <w:szCs w:val="18"/>
              </w:rPr>
              <w:t>U</w:t>
            </w:r>
            <w:r w:rsidRPr="0088786E">
              <w:rPr>
                <w:rFonts w:cs="Tahoma"/>
                <w:szCs w:val="18"/>
              </w:rPr>
              <w:t xml:space="preserve">se </w:t>
            </w:r>
            <w:r>
              <w:rPr>
                <w:rFonts w:cs="Tahoma"/>
                <w:szCs w:val="18"/>
              </w:rPr>
              <w:t xml:space="preserve">of </w:t>
            </w:r>
            <w:r w:rsidRPr="0088786E">
              <w:rPr>
                <w:rFonts w:cs="Tahoma"/>
                <w:szCs w:val="18"/>
              </w:rPr>
              <w:t xml:space="preserve">nitrates or </w:t>
            </w:r>
            <w:r>
              <w:rPr>
                <w:rFonts w:cs="Tahoma"/>
                <w:szCs w:val="18"/>
              </w:rPr>
              <w:t xml:space="preserve">nitric oxide </w:t>
            </w:r>
            <w:r w:rsidRPr="0088786E">
              <w:rPr>
                <w:rFonts w:cs="Tahoma"/>
                <w:szCs w:val="18"/>
              </w:rPr>
              <w:t>donors, protease inhibit</w:t>
            </w:r>
            <w:r>
              <w:rPr>
                <w:rFonts w:cs="Tahoma"/>
                <w:szCs w:val="18"/>
              </w:rPr>
              <w:t>ors, or α-blockers</w:t>
            </w:r>
          </w:p>
        </w:tc>
        <w:tc>
          <w:tcPr>
            <w:tcW w:w="1856" w:type="pct"/>
          </w:tcPr>
          <w:p w:rsidR="001D0FDA" w:rsidRPr="00AE1F16" w:rsidRDefault="001D0FDA" w:rsidP="001D0FDA">
            <w:pPr>
              <w:pStyle w:val="Tabletext"/>
              <w:ind w:right="-28"/>
              <w:rPr>
                <w:rFonts w:eastAsia="Times New Roman"/>
                <w:lang w:eastAsia="en-US"/>
              </w:rPr>
            </w:pPr>
            <w:r w:rsidRPr="008D73C9">
              <w:rPr>
                <w:rFonts w:eastAsia="Times New Roman"/>
                <w:lang w:eastAsia="en-US"/>
              </w:rPr>
              <w:t>N=265</w:t>
            </w:r>
            <w:r>
              <w:rPr>
                <w:rFonts w:eastAsia="Times New Roman"/>
                <w:lang w:eastAsia="en-US"/>
              </w:rPr>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he PACES extension study"/>
            </w:tblPr>
            <w:tblGrid>
              <w:gridCol w:w="2502"/>
              <w:gridCol w:w="1393"/>
              <w:gridCol w:w="1134"/>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2502" w:type="dxa"/>
                  <w:shd w:val="clear" w:color="auto" w:fill="FFFFFF" w:themeFill="background1"/>
                </w:tcPr>
                <w:p w:rsidR="001D0FDA" w:rsidRPr="00351FF5" w:rsidRDefault="001D0FDA" w:rsidP="00B5196D">
                  <w:pPr>
                    <w:pStyle w:val="Tabletext"/>
                    <w:framePr w:hSpace="180" w:wrap="around" w:vAnchor="text" w:hAnchor="text" w:y="1"/>
                    <w:spacing w:before="0" w:after="0"/>
                    <w:rPr>
                      <w:rFonts w:cs="Tahoma"/>
                      <w:b/>
                      <w:szCs w:val="18"/>
                    </w:rPr>
                  </w:pPr>
                </w:p>
              </w:tc>
              <w:tc>
                <w:tcPr>
                  <w:tcW w:w="1393"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Pr>
                      <w:rFonts w:cs="Tahoma"/>
                      <w:szCs w:val="18"/>
                    </w:rPr>
                    <w:t>Sildenafil</w:t>
                  </w:r>
                </w:p>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(N=</w:t>
                  </w:r>
                  <w:r>
                    <w:rPr>
                      <w:rFonts w:cs="Tahoma"/>
                      <w:szCs w:val="18"/>
                    </w:rPr>
                    <w:t>134</w:t>
                  </w:r>
                  <w:r w:rsidRPr="00802B85">
                    <w:rPr>
                      <w:rFonts w:cs="Tahoma"/>
                      <w:szCs w:val="18"/>
                    </w:rPr>
                    <w:t>)</w:t>
                  </w:r>
                </w:p>
              </w:tc>
              <w:tc>
                <w:tcPr>
                  <w:tcW w:w="1134" w:type="dxa"/>
                  <w:shd w:val="clear" w:color="auto" w:fill="FFFFFF" w:themeFill="background1"/>
                </w:tcPr>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Placebo</w:t>
                  </w:r>
                </w:p>
                <w:p w:rsidR="001D0FDA" w:rsidRPr="00802B85" w:rsidRDefault="001D0FDA" w:rsidP="00B5196D">
                  <w:pPr>
                    <w:pStyle w:val="Tabletext"/>
                    <w:framePr w:hSpace="180" w:wrap="around" w:vAnchor="text" w:hAnchor="text" w:y="1"/>
                    <w:spacing w:before="0" w:after="0"/>
                    <w:jc w:val="center"/>
                    <w:rPr>
                      <w:rFonts w:cs="Tahoma"/>
                      <w:szCs w:val="18"/>
                    </w:rPr>
                  </w:pPr>
                  <w:r w:rsidRPr="00802B85">
                    <w:rPr>
                      <w:rFonts w:cs="Tahoma"/>
                      <w:szCs w:val="18"/>
                    </w:rPr>
                    <w:t>(N=</w:t>
                  </w:r>
                  <w:r>
                    <w:rPr>
                      <w:rFonts w:cs="Tahoma"/>
                      <w:szCs w:val="18"/>
                    </w:rPr>
                    <w:t>131**</w:t>
                  </w:r>
                  <w:r w:rsidRPr="00802B85">
                    <w:rPr>
                      <w:rFonts w:cs="Tahoma"/>
                      <w:szCs w:val="18"/>
                    </w:rPr>
                    <w:t>)</w:t>
                  </w:r>
                </w:p>
              </w:tc>
            </w:tr>
            <w:tr w:rsidR="001D0FDA" w:rsidRPr="00351FF5" w:rsidTr="001D0FDA">
              <w:tc>
                <w:tcPr>
                  <w:tcW w:w="2502"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 xml:space="preserve">Age, mean±SD (yrs) </w:t>
                  </w:r>
                </w:p>
              </w:tc>
              <w:tc>
                <w:tcPr>
                  <w:tcW w:w="1393" w:type="dxa"/>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48±13</w:t>
                  </w:r>
                </w:p>
              </w:tc>
              <w:tc>
                <w:tcPr>
                  <w:tcW w:w="1134" w:type="dxa"/>
                </w:tcPr>
                <w:p w:rsidR="001D0FDA" w:rsidRPr="00351FF5" w:rsidRDefault="001D0FDA" w:rsidP="00B5196D">
                  <w:pPr>
                    <w:pStyle w:val="Tabletext"/>
                    <w:framePr w:hSpace="180" w:wrap="around" w:vAnchor="text" w:hAnchor="text" w:y="1"/>
                    <w:spacing w:before="0" w:after="0"/>
                    <w:jc w:val="center"/>
                    <w:rPr>
                      <w:rFonts w:cs="Tahoma"/>
                      <w:szCs w:val="18"/>
                    </w:rPr>
                  </w:pPr>
                  <w:r w:rsidRPr="00351FF5">
                    <w:rPr>
                      <w:rFonts w:cs="Tahoma"/>
                      <w:szCs w:val="18"/>
                    </w:rPr>
                    <w:t>4</w:t>
                  </w:r>
                  <w:r>
                    <w:rPr>
                      <w:rFonts w:cs="Tahoma"/>
                      <w:szCs w:val="18"/>
                    </w:rPr>
                    <w:t>8±13</w:t>
                  </w:r>
                </w:p>
              </w:tc>
            </w:tr>
            <w:tr w:rsidR="001D0FDA" w:rsidRPr="00351FF5" w:rsidTr="001D0FDA">
              <w:tc>
                <w:tcPr>
                  <w:tcW w:w="2502"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Gender, femal</w:t>
                  </w:r>
                  <w:r>
                    <w:rPr>
                      <w:rFonts w:cs="Tahoma"/>
                      <w:szCs w:val="18"/>
                    </w:rPr>
                    <w:t>e</w:t>
                  </w:r>
                  <w:r w:rsidRPr="00351FF5">
                    <w:rPr>
                      <w:rFonts w:cs="Tahoma"/>
                      <w:szCs w:val="18"/>
                    </w:rPr>
                    <w:t>, n (%)</w:t>
                  </w:r>
                </w:p>
              </w:tc>
              <w:tc>
                <w:tcPr>
                  <w:tcW w:w="1393"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110 (82%)</w:t>
                  </w:r>
                </w:p>
              </w:tc>
              <w:tc>
                <w:tcPr>
                  <w:tcW w:w="1134"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102 (78%)</w:t>
                  </w:r>
                </w:p>
              </w:tc>
            </w:tr>
            <w:tr w:rsidR="001D0FDA" w:rsidRPr="00351FF5" w:rsidTr="001D0FDA">
              <w:tc>
                <w:tcPr>
                  <w:tcW w:w="2502"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PAH aetiology, n (%)</w:t>
                  </w:r>
                </w:p>
              </w:tc>
              <w:tc>
                <w:tcPr>
                  <w:tcW w:w="1393"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c>
                <w:tcPr>
                  <w:tcW w:w="1134"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502"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IPAH</w:t>
                  </w:r>
                </w:p>
              </w:tc>
              <w:tc>
                <w:tcPr>
                  <w:tcW w:w="1393"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107 (80%)</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104 (79%)</w:t>
                  </w:r>
                </w:p>
              </w:tc>
            </w:tr>
            <w:tr w:rsidR="001D0FDA" w:rsidRPr="00351FF5" w:rsidTr="001D0FDA">
              <w:tc>
                <w:tcPr>
                  <w:tcW w:w="2502"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PAH-CTD</w:t>
                  </w:r>
                </w:p>
              </w:tc>
              <w:tc>
                <w:tcPr>
                  <w:tcW w:w="1393"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27 (20%)</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27 (21%)</w:t>
                  </w:r>
                </w:p>
              </w:tc>
            </w:tr>
            <w:tr w:rsidR="001D0FDA" w:rsidRPr="00351FF5" w:rsidTr="001D0FDA">
              <w:tc>
                <w:tcPr>
                  <w:tcW w:w="2502"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WHO FC</w:t>
                  </w:r>
                  <w:r>
                    <w:rPr>
                      <w:rFonts w:cs="Tahoma"/>
                      <w:szCs w:val="18"/>
                    </w:rPr>
                    <w:t>, n (%)</w:t>
                  </w:r>
                </w:p>
              </w:tc>
              <w:tc>
                <w:tcPr>
                  <w:tcW w:w="1393"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c>
                <w:tcPr>
                  <w:tcW w:w="1134" w:type="dxa"/>
                  <w:tcBorders>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p>
              </w:tc>
            </w:tr>
            <w:tr w:rsidR="001D0FDA" w:rsidRPr="00351FF5" w:rsidTr="001D0FDA">
              <w:tc>
                <w:tcPr>
                  <w:tcW w:w="2502"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w:t>
                  </w:r>
                </w:p>
              </w:tc>
              <w:tc>
                <w:tcPr>
                  <w:tcW w:w="1393"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1 (1%)</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2 (2%)</w:t>
                  </w:r>
                </w:p>
              </w:tc>
            </w:tr>
            <w:tr w:rsidR="001D0FDA" w:rsidRPr="00351FF5" w:rsidTr="001D0FDA">
              <w:tc>
                <w:tcPr>
                  <w:tcW w:w="2502"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II</w:t>
                  </w:r>
                </w:p>
              </w:tc>
              <w:tc>
                <w:tcPr>
                  <w:tcW w:w="1393"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34 (25%)</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35 (27%)</w:t>
                  </w:r>
                </w:p>
              </w:tc>
            </w:tr>
            <w:tr w:rsidR="001D0FDA" w:rsidRPr="00351FF5" w:rsidTr="001D0FDA">
              <w:tc>
                <w:tcPr>
                  <w:tcW w:w="2502"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III</w:t>
                  </w:r>
                </w:p>
              </w:tc>
              <w:tc>
                <w:tcPr>
                  <w:tcW w:w="1393"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89 (66%)</w:t>
                  </w:r>
                </w:p>
              </w:tc>
              <w:tc>
                <w:tcPr>
                  <w:tcW w:w="1134" w:type="dxa"/>
                  <w:tcBorders>
                    <w:top w:val="nil"/>
                    <w:bottom w:val="nil"/>
                  </w:tcBorders>
                </w:tcPr>
                <w:p w:rsidR="001D0FDA" w:rsidRPr="00351FF5" w:rsidRDefault="001D0FDA" w:rsidP="00B5196D">
                  <w:pPr>
                    <w:pStyle w:val="Tabletext"/>
                    <w:framePr w:hSpace="180" w:wrap="around" w:vAnchor="text" w:hAnchor="text" w:y="1"/>
                    <w:spacing w:before="0" w:after="0"/>
                    <w:jc w:val="center"/>
                    <w:rPr>
                      <w:rFonts w:cs="Tahoma"/>
                      <w:szCs w:val="18"/>
                    </w:rPr>
                  </w:pPr>
                  <w:r>
                    <w:rPr>
                      <w:rFonts w:cs="Tahoma"/>
                      <w:szCs w:val="18"/>
                    </w:rPr>
                    <w:t>88 (67%)</w:t>
                  </w:r>
                </w:p>
              </w:tc>
            </w:tr>
            <w:tr w:rsidR="001D0FDA" w:rsidRPr="00351FF5" w:rsidTr="001D0FDA">
              <w:tc>
                <w:tcPr>
                  <w:tcW w:w="2502" w:type="dxa"/>
                  <w:tcBorders>
                    <w:top w:val="nil"/>
                    <w:bottom w:val="nil"/>
                  </w:tcBorders>
                </w:tcPr>
                <w:p w:rsidR="001D0FDA" w:rsidRDefault="001D0FDA" w:rsidP="00B5196D">
                  <w:pPr>
                    <w:pStyle w:val="Tabletext"/>
                    <w:framePr w:hSpace="180" w:wrap="around" w:vAnchor="text" w:hAnchor="text" w:y="1"/>
                    <w:spacing w:before="0" w:after="0"/>
                    <w:ind w:left="196"/>
                    <w:rPr>
                      <w:rFonts w:cs="Tahoma"/>
                      <w:szCs w:val="18"/>
                    </w:rPr>
                  </w:pPr>
                  <w:r>
                    <w:rPr>
                      <w:rFonts w:cs="Tahoma"/>
                      <w:szCs w:val="18"/>
                    </w:rPr>
                    <w:t>IV</w:t>
                  </w:r>
                </w:p>
              </w:tc>
              <w:tc>
                <w:tcPr>
                  <w:tcW w:w="1393" w:type="dxa"/>
                  <w:tcBorders>
                    <w:top w:val="nil"/>
                    <w:bottom w:val="nil"/>
                  </w:tcBorders>
                </w:tcPr>
                <w:p w:rsidR="001D0FDA" w:rsidRDefault="001D0FDA" w:rsidP="00B5196D">
                  <w:pPr>
                    <w:pStyle w:val="Tabletext"/>
                    <w:framePr w:hSpace="180" w:wrap="around" w:vAnchor="text" w:hAnchor="text" w:y="1"/>
                    <w:spacing w:before="0" w:after="0"/>
                    <w:jc w:val="center"/>
                    <w:rPr>
                      <w:rFonts w:cs="Tahoma"/>
                      <w:szCs w:val="18"/>
                    </w:rPr>
                  </w:pPr>
                  <w:r>
                    <w:rPr>
                      <w:rFonts w:cs="Tahoma"/>
                      <w:szCs w:val="18"/>
                    </w:rPr>
                    <w:t>10 (7%)</w:t>
                  </w:r>
                </w:p>
              </w:tc>
              <w:tc>
                <w:tcPr>
                  <w:tcW w:w="1134" w:type="dxa"/>
                  <w:tcBorders>
                    <w:top w:val="nil"/>
                    <w:bottom w:val="nil"/>
                  </w:tcBorders>
                </w:tcPr>
                <w:p w:rsidR="001D0FDA" w:rsidRDefault="001D0FDA" w:rsidP="00B5196D">
                  <w:pPr>
                    <w:pStyle w:val="Tabletext"/>
                    <w:framePr w:hSpace="180" w:wrap="around" w:vAnchor="text" w:hAnchor="text" w:y="1"/>
                    <w:spacing w:before="0" w:after="0"/>
                    <w:jc w:val="center"/>
                    <w:rPr>
                      <w:rFonts w:cs="Tahoma"/>
                      <w:szCs w:val="18"/>
                    </w:rPr>
                  </w:pPr>
                  <w:r>
                    <w:rPr>
                      <w:rFonts w:cs="Tahoma"/>
                      <w:szCs w:val="18"/>
                    </w:rPr>
                    <w:t>6 (5%)</w:t>
                  </w:r>
                </w:p>
              </w:tc>
            </w:tr>
            <w:tr w:rsidR="001D0FDA" w:rsidRPr="00351FF5" w:rsidTr="001D0FDA">
              <w:tc>
                <w:tcPr>
                  <w:tcW w:w="2502" w:type="dxa"/>
                </w:tcPr>
                <w:p w:rsidR="001D0FDA" w:rsidRPr="00351FF5" w:rsidRDefault="001D0FDA" w:rsidP="00B5196D">
                  <w:pPr>
                    <w:pStyle w:val="Tabletext"/>
                    <w:framePr w:hSpace="180" w:wrap="around" w:vAnchor="text" w:hAnchor="text" w:y="1"/>
                    <w:spacing w:before="0" w:after="0"/>
                    <w:rPr>
                      <w:rFonts w:cs="Tahoma"/>
                      <w:szCs w:val="18"/>
                    </w:rPr>
                  </w:pPr>
                  <w:r>
                    <w:rPr>
                      <w:rFonts w:cs="Tahoma"/>
                      <w:szCs w:val="18"/>
                    </w:rPr>
                    <w:t xml:space="preserve">Epoprostenol dose, </w:t>
                  </w:r>
                  <w:r w:rsidRPr="00351FF5">
                    <w:rPr>
                      <w:rFonts w:cs="Tahoma"/>
                      <w:szCs w:val="18"/>
                    </w:rPr>
                    <w:t xml:space="preserve">mean±SD </w:t>
                  </w:r>
                  <w:r>
                    <w:rPr>
                      <w:rFonts w:cs="Tahoma"/>
                      <w:szCs w:val="18"/>
                    </w:rPr>
                    <w:t>(ng/kg/min)</w:t>
                  </w:r>
                </w:p>
              </w:tc>
              <w:tc>
                <w:tcPr>
                  <w:tcW w:w="1393" w:type="dxa"/>
                  <w:vAlign w:val="center"/>
                </w:tcPr>
                <w:p w:rsidR="001D0FDA" w:rsidRDefault="001D0FDA" w:rsidP="00B5196D">
                  <w:pPr>
                    <w:pStyle w:val="Tabletext"/>
                    <w:framePr w:hSpace="180" w:wrap="around" w:vAnchor="text" w:hAnchor="text" w:y="1"/>
                    <w:spacing w:before="0" w:after="0"/>
                    <w:jc w:val="center"/>
                    <w:rPr>
                      <w:rFonts w:cs="Tahoma"/>
                      <w:szCs w:val="18"/>
                    </w:rPr>
                  </w:pPr>
                  <w:r>
                    <w:rPr>
                      <w:rFonts w:cs="Tahoma"/>
                      <w:szCs w:val="18"/>
                    </w:rPr>
                    <w:t>32.9±22.1</w:t>
                  </w:r>
                </w:p>
              </w:tc>
              <w:tc>
                <w:tcPr>
                  <w:tcW w:w="1134" w:type="dxa"/>
                  <w:vAlign w:val="center"/>
                </w:tcPr>
                <w:p w:rsidR="001D0FDA" w:rsidRDefault="001D0FDA" w:rsidP="00B5196D">
                  <w:pPr>
                    <w:pStyle w:val="Tabletext"/>
                    <w:framePr w:hSpace="180" w:wrap="around" w:vAnchor="text" w:hAnchor="text" w:y="1"/>
                    <w:spacing w:before="0" w:after="0"/>
                    <w:jc w:val="center"/>
                    <w:rPr>
                      <w:rFonts w:cs="Tahoma"/>
                      <w:szCs w:val="18"/>
                    </w:rPr>
                  </w:pPr>
                  <w:r w:rsidRPr="00AE1F16">
                    <w:rPr>
                      <w:rFonts w:cs="Tahoma"/>
                      <w:szCs w:val="18"/>
                    </w:rPr>
                    <w:t>32.0±22.4</w:t>
                  </w:r>
                </w:p>
              </w:tc>
            </w:tr>
            <w:tr w:rsidR="001D0FDA" w:rsidRPr="00351FF5" w:rsidTr="001D0FDA">
              <w:tc>
                <w:tcPr>
                  <w:tcW w:w="2502" w:type="dxa"/>
                </w:tcPr>
                <w:p w:rsidR="001D0FDA" w:rsidRDefault="001D0FDA" w:rsidP="00B5196D">
                  <w:pPr>
                    <w:pStyle w:val="Tabletext"/>
                    <w:framePr w:hSpace="180" w:wrap="around" w:vAnchor="text" w:hAnchor="text" w:y="1"/>
                    <w:spacing w:before="0" w:after="0"/>
                    <w:rPr>
                      <w:rFonts w:cs="Tahoma"/>
                      <w:szCs w:val="18"/>
                    </w:rPr>
                  </w:pPr>
                  <w:r w:rsidRPr="00AE1F16">
                    <w:rPr>
                      <w:rFonts w:cs="Tahoma"/>
                      <w:szCs w:val="18"/>
                    </w:rPr>
                    <w:t>Epoprostenol treatment duration,</w:t>
                  </w:r>
                  <w:r>
                    <w:rPr>
                      <w:rFonts w:cs="Tahoma"/>
                      <w:szCs w:val="18"/>
                    </w:rPr>
                    <w:t xml:space="preserve"> mean (range) (yrs)</w:t>
                  </w:r>
                </w:p>
              </w:tc>
              <w:tc>
                <w:tcPr>
                  <w:tcW w:w="1393" w:type="dxa"/>
                  <w:vAlign w:val="center"/>
                </w:tcPr>
                <w:p w:rsidR="001D0FDA" w:rsidRDefault="001D0FDA" w:rsidP="00B5196D">
                  <w:pPr>
                    <w:pStyle w:val="Tabletext"/>
                    <w:framePr w:hSpace="180" w:wrap="around" w:vAnchor="text" w:hAnchor="text" w:y="1"/>
                    <w:spacing w:before="0" w:after="0"/>
                    <w:jc w:val="center"/>
                    <w:rPr>
                      <w:rFonts w:cs="Tahoma"/>
                      <w:szCs w:val="18"/>
                    </w:rPr>
                  </w:pPr>
                  <w:r w:rsidRPr="00AE1F16">
                    <w:rPr>
                      <w:rFonts w:cs="Tahoma"/>
                      <w:szCs w:val="18"/>
                    </w:rPr>
                    <w:t>2.8 (0.2-10.5)</w:t>
                  </w:r>
                </w:p>
              </w:tc>
              <w:tc>
                <w:tcPr>
                  <w:tcW w:w="1134" w:type="dxa"/>
                  <w:vAlign w:val="center"/>
                </w:tcPr>
                <w:p w:rsidR="001D0FDA" w:rsidRPr="00AE1F16" w:rsidRDefault="001D0FDA" w:rsidP="00B5196D">
                  <w:pPr>
                    <w:pStyle w:val="Tabletext"/>
                    <w:framePr w:hSpace="180" w:wrap="around" w:vAnchor="text" w:hAnchor="text" w:y="1"/>
                    <w:spacing w:before="0" w:after="0"/>
                    <w:jc w:val="center"/>
                    <w:rPr>
                      <w:rFonts w:cs="Tahoma"/>
                      <w:szCs w:val="18"/>
                    </w:rPr>
                  </w:pPr>
                  <w:r w:rsidRPr="00AE1F16">
                    <w:rPr>
                      <w:rFonts w:cs="Tahoma"/>
                      <w:szCs w:val="18"/>
                    </w:rPr>
                    <w:t>2.9 (0.3-11.7)</w:t>
                  </w:r>
                </w:p>
              </w:tc>
            </w:tr>
          </w:tbl>
          <w:p w:rsidR="001D0FDA" w:rsidRDefault="001D0FDA" w:rsidP="001D0FDA">
            <w:pPr>
              <w:pStyle w:val="Tablenote"/>
              <w:rPr>
                <w:rFonts w:eastAsia="Times New Roman"/>
              </w:rPr>
            </w:pPr>
            <w:r w:rsidRPr="00AE1F16">
              <w:rPr>
                <w:rFonts w:eastAsia="Times New Roman" w:cs="Calibri"/>
              </w:rPr>
              <w:t>*</w:t>
            </w:r>
            <w:r>
              <w:rPr>
                <w:rFonts w:eastAsia="Times New Roman"/>
              </w:rPr>
              <w:t xml:space="preserve"> </w:t>
            </w:r>
            <w:r w:rsidRPr="00AE1F16">
              <w:rPr>
                <w:rFonts w:eastAsia="Times New Roman"/>
              </w:rPr>
              <w:t>Data on demographic and disease characteristics when patients started the PACES extension study were not available. Instead, the published paper presented the baseline characteristics for the Trial PACES-1</w:t>
            </w:r>
          </w:p>
          <w:p w:rsidR="001D0FDA" w:rsidRPr="008D73C9" w:rsidRDefault="001D0FDA" w:rsidP="001D0FDA">
            <w:pPr>
              <w:pStyle w:val="Tablenote"/>
              <w:spacing w:after="0"/>
              <w:rPr>
                <w:rFonts w:eastAsia="Times New Roman"/>
              </w:rPr>
            </w:pPr>
            <w:r>
              <w:rPr>
                <w:rFonts w:eastAsia="Times New Roman"/>
              </w:rPr>
              <w:t xml:space="preserve">** Two patients who did not receive placebo were excluded. </w:t>
            </w:r>
          </w:p>
        </w:tc>
        <w:tc>
          <w:tcPr>
            <w:tcW w:w="1047" w:type="pct"/>
          </w:tcPr>
          <w:p w:rsidR="001D0FDA" w:rsidRDefault="001D0FDA" w:rsidP="001D0FDA">
            <w:pPr>
              <w:pStyle w:val="Tabletext"/>
              <w:rPr>
                <w:rFonts w:cs="Tahoma"/>
                <w:i/>
                <w:szCs w:val="18"/>
              </w:rPr>
            </w:pPr>
            <w:r>
              <w:rPr>
                <w:rFonts w:cs="Tahoma"/>
                <w:i/>
                <w:szCs w:val="18"/>
              </w:rPr>
              <w:t>Intervention</w:t>
            </w:r>
          </w:p>
          <w:p w:rsidR="001D0FDA" w:rsidRDefault="001D0FDA" w:rsidP="001D0FDA">
            <w:pPr>
              <w:pStyle w:val="Tabletext"/>
              <w:rPr>
                <w:rFonts w:eastAsia="Times New Roman"/>
                <w:i/>
                <w:lang w:eastAsia="en-US"/>
              </w:rPr>
            </w:pPr>
            <w:r>
              <w:rPr>
                <w:rFonts w:eastAsia="Times New Roman"/>
                <w:lang w:eastAsia="en-US"/>
              </w:rPr>
              <w:t xml:space="preserve">Sildenafil: initial dose of </w:t>
            </w:r>
            <w:r w:rsidRPr="003A755E">
              <w:rPr>
                <w:rFonts w:eastAsia="Times New Roman"/>
                <w:lang w:eastAsia="en-US"/>
              </w:rPr>
              <w:t>20mg tid, then titrated to 40mg tid, and then to 80mg tid, as tolerated. Patients could reduce the dose of sildenafil to a minimum of 20mg tid</w:t>
            </w:r>
            <w:r w:rsidRPr="00455DBB">
              <w:rPr>
                <w:rFonts w:eastAsia="Times New Roman"/>
                <w:i/>
                <w:lang w:eastAsia="en-US"/>
              </w:rPr>
              <w:t xml:space="preserve"> </w:t>
            </w:r>
          </w:p>
          <w:p w:rsidR="001D0FDA" w:rsidRDefault="001D0FDA" w:rsidP="001D0FDA">
            <w:pPr>
              <w:pStyle w:val="Tabletext"/>
              <w:rPr>
                <w:rFonts w:eastAsia="Times New Roman"/>
                <w:i/>
                <w:lang w:eastAsia="en-US"/>
              </w:rPr>
            </w:pPr>
          </w:p>
          <w:p w:rsidR="001D0FDA" w:rsidRPr="00455DBB" w:rsidRDefault="001D0FDA" w:rsidP="001D0FDA">
            <w:pPr>
              <w:pStyle w:val="Tabletext"/>
              <w:rPr>
                <w:rFonts w:eastAsia="Times New Roman"/>
                <w:i/>
                <w:lang w:eastAsia="en-US"/>
              </w:rPr>
            </w:pPr>
            <w:r w:rsidRPr="00455DBB">
              <w:rPr>
                <w:rFonts w:eastAsia="Times New Roman"/>
                <w:i/>
                <w:lang w:eastAsia="en-US"/>
              </w:rPr>
              <w:t>Combination therapy</w:t>
            </w:r>
          </w:p>
          <w:p w:rsidR="001D0FDA" w:rsidRDefault="001D0FDA" w:rsidP="001D0FDA">
            <w:pPr>
              <w:pStyle w:val="Tabletext"/>
              <w:rPr>
                <w:rFonts w:cs="Tahoma"/>
                <w:i/>
                <w:szCs w:val="18"/>
              </w:rPr>
            </w:pPr>
            <w:r>
              <w:rPr>
                <w:rFonts w:eastAsia="Times New Roman"/>
                <w:lang w:eastAsia="en-US"/>
              </w:rPr>
              <w:t>Epoprostenol (100%)</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PATENT extension study</w:t>
            </w:r>
            <w:r w:rsidR="001D34EE" w:rsidRPr="001A1C44">
              <w:rPr>
                <w:rFonts w:eastAsia="Times New Roman"/>
                <w:noProof/>
                <w:vertAlign w:val="superscript"/>
                <w:lang w:eastAsia="en-US"/>
              </w:rPr>
              <w:t>65</w:t>
            </w:r>
          </w:p>
          <w:p w:rsidR="001D0FDA" w:rsidRPr="008D73C9" w:rsidRDefault="001D0FDA" w:rsidP="001D0FDA">
            <w:pPr>
              <w:pStyle w:val="Tabletext"/>
              <w:ind w:right="-28"/>
              <w:rPr>
                <w:rFonts w:eastAsia="Times New Roman"/>
                <w:lang w:eastAsia="en-US"/>
              </w:rPr>
            </w:pPr>
            <w:r w:rsidRPr="008D73C9">
              <w:rPr>
                <w:rFonts w:eastAsia="Times New Roman"/>
                <w:lang w:eastAsia="en-US"/>
              </w:rPr>
              <w:t>2009-2014</w:t>
            </w:r>
          </w:p>
          <w:p w:rsidR="001D0FDA" w:rsidRPr="008D73C9" w:rsidRDefault="001D0FDA" w:rsidP="001D0FDA">
            <w:pPr>
              <w:pStyle w:val="Tabletext"/>
              <w:ind w:right="-28"/>
              <w:rPr>
                <w:rFonts w:eastAsia="Times New Roman"/>
                <w:lang w:eastAsia="en-US"/>
              </w:rPr>
            </w:pPr>
            <w:r w:rsidRPr="008D73C9">
              <w:rPr>
                <w:rFonts w:eastAsia="Times New Roman"/>
                <w:lang w:eastAsia="en-US"/>
              </w:rPr>
              <w:t>North America,  South A</w:t>
            </w:r>
            <w:r>
              <w:rPr>
                <w:rFonts w:eastAsia="Times New Roman"/>
                <w:lang w:eastAsia="en-US"/>
              </w:rPr>
              <w:t>merica, Asia, Europe, Australia</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Follow-up: 139 week</w:t>
            </w:r>
            <w:r w:rsidRPr="008D73C9">
              <w:rPr>
                <w:rFonts w:eastAsia="Times New Roman"/>
                <w:lang w:eastAsia="en-US"/>
              </w:rPr>
              <w:t>s</w:t>
            </w:r>
          </w:p>
        </w:tc>
        <w:tc>
          <w:tcPr>
            <w:tcW w:w="1096" w:type="pct"/>
          </w:tcPr>
          <w:p w:rsidR="001D0FDA" w:rsidRPr="000E47CF" w:rsidRDefault="001D0FDA" w:rsidP="001D0FDA">
            <w:pPr>
              <w:pStyle w:val="Tabletext"/>
              <w:rPr>
                <w:rFonts w:cs="Tahoma"/>
                <w:i/>
                <w:szCs w:val="18"/>
              </w:rPr>
            </w:pPr>
            <w:r w:rsidRPr="000E47CF">
              <w:rPr>
                <w:rFonts w:cs="Tahoma"/>
                <w:i/>
                <w:szCs w:val="18"/>
              </w:rPr>
              <w:t>Inclusion criteria:</w:t>
            </w:r>
          </w:p>
          <w:p w:rsidR="001D0FDA" w:rsidRPr="000E47CF" w:rsidRDefault="001D0FDA" w:rsidP="00480FDF">
            <w:pPr>
              <w:pStyle w:val="Tabletext"/>
              <w:numPr>
                <w:ilvl w:val="0"/>
                <w:numId w:val="54"/>
              </w:numPr>
              <w:ind w:left="239" w:hanging="144"/>
              <w:rPr>
                <w:rFonts w:cs="Tahoma"/>
                <w:szCs w:val="18"/>
              </w:rPr>
            </w:pPr>
            <w:r w:rsidRPr="000E47CF">
              <w:rPr>
                <w:rFonts w:cs="Tahoma"/>
                <w:szCs w:val="18"/>
              </w:rPr>
              <w:t xml:space="preserve">Patients with symptomatic PAH who completed Trial PATENT-1 without ongoing study drug-related </w:t>
            </w:r>
            <w:r>
              <w:rPr>
                <w:rFonts w:cs="Tahoma"/>
                <w:szCs w:val="18"/>
              </w:rPr>
              <w:t>serious adverse events</w:t>
            </w:r>
          </w:p>
          <w:p w:rsidR="001D0FDA" w:rsidRPr="000E47CF" w:rsidRDefault="001D0FDA" w:rsidP="001D0FDA">
            <w:pPr>
              <w:pStyle w:val="Tabletext"/>
              <w:rPr>
                <w:rFonts w:cs="Tahoma"/>
                <w:i/>
                <w:szCs w:val="18"/>
              </w:rPr>
            </w:pPr>
          </w:p>
          <w:p w:rsidR="001D0FDA" w:rsidRPr="000E47CF" w:rsidRDefault="001D0FDA" w:rsidP="001D0FDA">
            <w:pPr>
              <w:pStyle w:val="Tabletext"/>
              <w:rPr>
                <w:rFonts w:cs="Tahoma"/>
                <w:i/>
                <w:szCs w:val="18"/>
              </w:rPr>
            </w:pPr>
            <w:r w:rsidRPr="000E47CF">
              <w:rPr>
                <w:rFonts w:cs="Tahoma"/>
                <w:i/>
                <w:szCs w:val="18"/>
              </w:rPr>
              <w:t>Exclusion criteria:</w:t>
            </w:r>
          </w:p>
          <w:p w:rsidR="001D0FDA" w:rsidRPr="00323BBF" w:rsidRDefault="001D0FDA" w:rsidP="00480FDF">
            <w:pPr>
              <w:pStyle w:val="Tabletext"/>
              <w:numPr>
                <w:ilvl w:val="0"/>
                <w:numId w:val="54"/>
              </w:numPr>
              <w:ind w:left="239" w:hanging="144"/>
              <w:rPr>
                <w:rFonts w:cs="Tahoma"/>
                <w:i/>
                <w:szCs w:val="18"/>
              </w:rPr>
            </w:pPr>
            <w:r w:rsidRPr="000E47CF">
              <w:rPr>
                <w:rFonts w:cs="Tahoma"/>
                <w:szCs w:val="18"/>
              </w:rPr>
              <w:t xml:space="preserve">Patients who withdrew from PATENT-1, due to </w:t>
            </w:r>
            <w:r>
              <w:rPr>
                <w:rFonts w:cs="Tahoma"/>
                <w:szCs w:val="18"/>
              </w:rPr>
              <w:t>pulmonary hypertension</w:t>
            </w:r>
            <w:r w:rsidRPr="000E47CF">
              <w:rPr>
                <w:rFonts w:cs="Tahoma"/>
                <w:szCs w:val="18"/>
              </w:rPr>
              <w:t>-related clinical worsening</w:t>
            </w:r>
          </w:p>
        </w:tc>
        <w:tc>
          <w:tcPr>
            <w:tcW w:w="1856" w:type="pct"/>
          </w:tcPr>
          <w:p w:rsidR="001D0FDA" w:rsidRDefault="001D0FDA" w:rsidP="001D0FDA">
            <w:pPr>
              <w:pStyle w:val="Tabletext"/>
              <w:ind w:right="-28"/>
              <w:rPr>
                <w:rFonts w:eastAsia="Times New Roman"/>
                <w:lang w:eastAsia="en-US"/>
              </w:rPr>
            </w:pPr>
            <w:r w:rsidRPr="008D73C9">
              <w:rPr>
                <w:rFonts w:eastAsia="Times New Roman"/>
                <w:lang w:eastAsia="en-US"/>
              </w:rPr>
              <w:t>N=396</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xml:space="preserve">: </w:t>
            </w:r>
            <w:r>
              <w:rPr>
                <w:rFonts w:cs="Tahoma"/>
                <w:szCs w:val="18"/>
              </w:rPr>
              <w:t>50±16</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xml:space="preserve">: </w:t>
            </w:r>
            <w:r>
              <w:rPr>
                <w:rFonts w:cs="Tahoma"/>
                <w:szCs w:val="18"/>
              </w:rPr>
              <w:t>317 (80%)</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sidRPr="00097998">
              <w:rPr>
                <w:rFonts w:cs="Tahoma"/>
                <w:szCs w:val="18"/>
              </w:rPr>
              <w:t>IPAH: 245 (62%)</w:t>
            </w:r>
            <w:r>
              <w:rPr>
                <w:rFonts w:cs="Tahoma"/>
                <w:szCs w:val="18"/>
              </w:rPr>
              <w:t xml:space="preserve">; </w:t>
            </w:r>
            <w:r w:rsidRPr="00097998">
              <w:rPr>
                <w:rFonts w:cs="Tahoma"/>
                <w:szCs w:val="18"/>
              </w:rPr>
              <w:t>HPAH: 9 (2%)</w:t>
            </w:r>
            <w:r>
              <w:rPr>
                <w:rFonts w:cs="Tahoma"/>
                <w:szCs w:val="18"/>
              </w:rPr>
              <w:t xml:space="preserve">; </w:t>
            </w:r>
            <w:r w:rsidRPr="00097998">
              <w:rPr>
                <w:rFonts w:cs="Tahoma"/>
                <w:szCs w:val="18"/>
              </w:rPr>
              <w:t>PAH-CTD: 94 (24%)</w:t>
            </w:r>
            <w:r>
              <w:rPr>
                <w:rFonts w:cs="Tahoma"/>
                <w:szCs w:val="18"/>
              </w:rPr>
              <w:t xml:space="preserve">; </w:t>
            </w:r>
            <w:r w:rsidRPr="00097998">
              <w:rPr>
                <w:rFonts w:cs="Tahoma"/>
                <w:szCs w:val="18"/>
              </w:rPr>
              <w:t>PAH-CHD: 33 (8%)</w:t>
            </w:r>
            <w:r>
              <w:rPr>
                <w:rFonts w:cs="Tahoma"/>
                <w:szCs w:val="18"/>
              </w:rPr>
              <w:t xml:space="preserve">; </w:t>
            </w:r>
            <w:r w:rsidRPr="00097998">
              <w:rPr>
                <w:rFonts w:cs="Tahoma"/>
                <w:szCs w:val="18"/>
              </w:rPr>
              <w:t>PAH-DT: 3 (1%)</w:t>
            </w:r>
            <w:r>
              <w:rPr>
                <w:rFonts w:cs="Tahoma"/>
                <w:szCs w:val="18"/>
              </w:rPr>
              <w:t xml:space="preserve">; </w:t>
            </w:r>
            <w:r w:rsidRPr="00097998">
              <w:rPr>
                <w:rFonts w:cs="Tahoma"/>
                <w:szCs w:val="18"/>
              </w:rPr>
              <w:t>PAH-PH: 12 (3%)</w:t>
            </w:r>
          </w:p>
          <w:p w:rsidR="001D0FDA" w:rsidRDefault="001D0FDA" w:rsidP="001D0FDA">
            <w:pPr>
              <w:pStyle w:val="Tabletext"/>
              <w:rPr>
                <w:rFonts w:cs="Tahoma"/>
                <w:szCs w:val="18"/>
              </w:rPr>
            </w:pPr>
            <w:r w:rsidRPr="00C41328">
              <w:rPr>
                <w:rFonts w:cs="Tahoma"/>
                <w:szCs w:val="18"/>
              </w:rPr>
              <w:t>WHO FC</w:t>
            </w:r>
            <w:r>
              <w:rPr>
                <w:rFonts w:cs="Tahoma"/>
                <w:szCs w:val="18"/>
              </w:rPr>
              <w:t>, n (%)</w:t>
            </w:r>
            <w:r w:rsidRPr="00C41328">
              <w:rPr>
                <w:rFonts w:cs="Tahoma"/>
                <w:szCs w:val="18"/>
              </w:rPr>
              <w:t>:</w:t>
            </w:r>
          </w:p>
          <w:p w:rsidR="001D0FDA" w:rsidRPr="00097998" w:rsidRDefault="001D0FDA" w:rsidP="001D0FDA">
            <w:pPr>
              <w:pStyle w:val="Tabletext"/>
              <w:ind w:left="239"/>
              <w:rPr>
                <w:rFonts w:cs="Tahoma"/>
                <w:szCs w:val="18"/>
              </w:rPr>
            </w:pPr>
            <w:r w:rsidRPr="00097998">
              <w:rPr>
                <w:rFonts w:cs="Tahoma"/>
                <w:szCs w:val="18"/>
              </w:rPr>
              <w:t>I: 12 (3%)</w:t>
            </w:r>
            <w:r>
              <w:rPr>
                <w:rFonts w:cs="Tahoma"/>
                <w:szCs w:val="18"/>
              </w:rPr>
              <w:t xml:space="preserve">; </w:t>
            </w:r>
            <w:r w:rsidRPr="00097998">
              <w:rPr>
                <w:rFonts w:cs="Tahoma"/>
                <w:szCs w:val="18"/>
              </w:rPr>
              <w:t>II: 169 (43%)</w:t>
            </w:r>
            <w:r>
              <w:rPr>
                <w:rFonts w:cs="Tahoma"/>
                <w:szCs w:val="18"/>
              </w:rPr>
              <w:t xml:space="preserve">; </w:t>
            </w:r>
            <w:r w:rsidRPr="00097998">
              <w:rPr>
                <w:rFonts w:cs="Tahoma"/>
                <w:szCs w:val="18"/>
              </w:rPr>
              <w:t>III: 212 (54%)</w:t>
            </w:r>
            <w:r>
              <w:rPr>
                <w:rFonts w:cs="Tahoma"/>
                <w:szCs w:val="18"/>
              </w:rPr>
              <w:t xml:space="preserve">; </w:t>
            </w:r>
            <w:r w:rsidRPr="00097998">
              <w:rPr>
                <w:rFonts w:cs="Tahoma"/>
                <w:szCs w:val="18"/>
              </w:rPr>
              <w:t>IV: 2 (1%)</w:t>
            </w:r>
          </w:p>
        </w:tc>
        <w:tc>
          <w:tcPr>
            <w:tcW w:w="1047" w:type="pct"/>
          </w:tcPr>
          <w:p w:rsidR="001D0FDA" w:rsidRDefault="001D0FDA" w:rsidP="001D0FDA">
            <w:pPr>
              <w:pStyle w:val="Tabletext"/>
              <w:rPr>
                <w:rFonts w:cs="Tahoma"/>
                <w:i/>
                <w:szCs w:val="18"/>
              </w:rPr>
            </w:pPr>
            <w:r>
              <w:rPr>
                <w:rFonts w:cs="Tahoma"/>
                <w:i/>
                <w:szCs w:val="18"/>
              </w:rPr>
              <w:t>Intervention</w:t>
            </w:r>
          </w:p>
          <w:p w:rsidR="001D0FDA" w:rsidRPr="008D73C9" w:rsidRDefault="001D0FDA" w:rsidP="001D0FDA">
            <w:pPr>
              <w:pStyle w:val="Tabletext"/>
              <w:rPr>
                <w:rFonts w:eastAsia="Times New Roman"/>
                <w:lang w:eastAsia="en-US"/>
              </w:rPr>
            </w:pPr>
            <w:r>
              <w:rPr>
                <w:rFonts w:eastAsia="Times New Roman"/>
                <w:lang w:eastAsia="en-US"/>
              </w:rPr>
              <w:t xml:space="preserve">Riociguat: </w:t>
            </w:r>
            <w:r w:rsidRPr="008D73C9">
              <w:rPr>
                <w:rFonts w:eastAsia="Times New Roman"/>
                <w:lang w:eastAsia="en-US"/>
              </w:rPr>
              <w:t>up to 2.5mg tid</w:t>
            </w:r>
          </w:p>
          <w:p w:rsidR="001D0FDA" w:rsidRPr="008D73C9" w:rsidRDefault="001D0FDA" w:rsidP="001D0FDA">
            <w:pPr>
              <w:pStyle w:val="Tabletext"/>
              <w:rPr>
                <w:rFonts w:eastAsia="Times New Roman"/>
                <w:lang w:eastAsia="en-US"/>
              </w:rPr>
            </w:pPr>
          </w:p>
          <w:p w:rsidR="001D0FDA" w:rsidRPr="00455DBB" w:rsidRDefault="001D0FDA" w:rsidP="001D0FDA">
            <w:pPr>
              <w:pStyle w:val="Tabletext"/>
              <w:rPr>
                <w:rFonts w:eastAsia="Times New Roman"/>
                <w:i/>
                <w:lang w:eastAsia="en-US"/>
              </w:rPr>
            </w:pPr>
            <w:r w:rsidRPr="00455DBB">
              <w:rPr>
                <w:rFonts w:eastAsia="Times New Roman"/>
                <w:i/>
                <w:lang w:eastAsia="en-US"/>
              </w:rPr>
              <w:t>Combination therapy</w:t>
            </w:r>
          </w:p>
          <w:p w:rsidR="001D0FDA" w:rsidRDefault="001D0FDA" w:rsidP="001D0FDA">
            <w:pPr>
              <w:pStyle w:val="Tabletext"/>
              <w:rPr>
                <w:rFonts w:cs="Tahoma"/>
                <w:i/>
                <w:szCs w:val="18"/>
              </w:rPr>
            </w:pPr>
            <w:r w:rsidRPr="008D73C9">
              <w:rPr>
                <w:rFonts w:eastAsia="Times New Roman"/>
                <w:lang w:eastAsia="en-US"/>
              </w:rPr>
              <w:t xml:space="preserve">ERA and/or </w:t>
            </w:r>
            <w:r>
              <w:rPr>
                <w:rFonts w:eastAsia="Times New Roman"/>
                <w:lang w:eastAsia="en-US"/>
              </w:rPr>
              <w:t>prostanoid</w:t>
            </w:r>
            <w:r w:rsidRPr="008D73C9">
              <w:rPr>
                <w:rFonts w:eastAsia="Times New Roman"/>
                <w:lang w:eastAsia="en-US"/>
              </w:rPr>
              <w:t xml:space="preserve"> (50%-55%)</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lastRenderedPageBreak/>
              <w:t>Provencher 2006</w:t>
            </w:r>
            <w:r w:rsidR="001D34EE" w:rsidRPr="001A1C44">
              <w:rPr>
                <w:rFonts w:eastAsia="Times New Roman"/>
                <w:noProof/>
                <w:vertAlign w:val="superscript"/>
                <w:lang w:eastAsia="en-US"/>
              </w:rPr>
              <w:t>66</w:t>
            </w:r>
          </w:p>
          <w:p w:rsidR="001D0FDA" w:rsidRPr="008D73C9" w:rsidRDefault="001D0FDA" w:rsidP="001D0FDA">
            <w:pPr>
              <w:pStyle w:val="Tabletext"/>
              <w:ind w:right="-28"/>
              <w:rPr>
                <w:rFonts w:eastAsia="Times New Roman"/>
                <w:lang w:eastAsia="en-US"/>
              </w:rPr>
            </w:pPr>
            <w:r w:rsidRPr="008D73C9">
              <w:rPr>
                <w:rFonts w:eastAsia="Times New Roman"/>
                <w:lang w:eastAsia="en-US"/>
              </w:rPr>
              <w:t>1999-2004</w:t>
            </w:r>
          </w:p>
          <w:p w:rsidR="001D0FDA" w:rsidRPr="008D73C9" w:rsidRDefault="001D0FDA" w:rsidP="001D0FDA">
            <w:pPr>
              <w:pStyle w:val="Tabletext"/>
              <w:ind w:right="-28"/>
              <w:rPr>
                <w:rFonts w:eastAsia="Times New Roman"/>
                <w:lang w:eastAsia="en-US"/>
              </w:rPr>
            </w:pPr>
            <w:r w:rsidRPr="008D73C9">
              <w:rPr>
                <w:rFonts w:eastAsia="Times New Roman"/>
                <w:lang w:eastAsia="en-US"/>
              </w:rPr>
              <w:t>France</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Follow-up: 24 month</w:t>
            </w:r>
            <w:r w:rsidRPr="008D73C9">
              <w:rPr>
                <w:rFonts w:eastAsia="Times New Roman"/>
                <w:lang w:eastAsia="en-US"/>
              </w:rPr>
              <w:t>s</w:t>
            </w:r>
          </w:p>
        </w:tc>
        <w:tc>
          <w:tcPr>
            <w:tcW w:w="1096" w:type="pct"/>
          </w:tcPr>
          <w:p w:rsidR="001D0FDA" w:rsidRPr="00097998" w:rsidRDefault="001D0FDA" w:rsidP="001D0FDA">
            <w:pPr>
              <w:pStyle w:val="Tabletext"/>
              <w:rPr>
                <w:rFonts w:cs="Tahoma"/>
                <w:i/>
                <w:szCs w:val="18"/>
              </w:rPr>
            </w:pPr>
            <w:r w:rsidRPr="00097998">
              <w:rPr>
                <w:rFonts w:cs="Tahoma"/>
                <w:i/>
                <w:szCs w:val="18"/>
              </w:rPr>
              <w:t>Inclusion criteria</w:t>
            </w:r>
          </w:p>
          <w:p w:rsidR="001D0FDA" w:rsidRPr="00097998" w:rsidRDefault="001D0FDA" w:rsidP="00480FDF">
            <w:pPr>
              <w:pStyle w:val="Tabletext"/>
              <w:numPr>
                <w:ilvl w:val="0"/>
                <w:numId w:val="54"/>
              </w:numPr>
              <w:ind w:left="239" w:hanging="144"/>
              <w:rPr>
                <w:rFonts w:cs="Tahoma"/>
                <w:szCs w:val="18"/>
              </w:rPr>
            </w:pPr>
            <w:r w:rsidRPr="00097998">
              <w:rPr>
                <w:rFonts w:cs="Tahoma"/>
                <w:szCs w:val="18"/>
              </w:rPr>
              <w:t xml:space="preserve">Age </w:t>
            </w:r>
            <w:r>
              <w:rPr>
                <w:rFonts w:cs="Tahoma"/>
                <w:szCs w:val="18"/>
              </w:rPr>
              <w:t xml:space="preserve">of </w:t>
            </w:r>
            <w:r w:rsidRPr="00097998">
              <w:rPr>
                <w:rFonts w:cs="Tahoma"/>
                <w:szCs w:val="18"/>
              </w:rPr>
              <w:t>&gt;15 years</w:t>
            </w:r>
          </w:p>
          <w:p w:rsidR="001D0FDA" w:rsidRPr="000C5DDE" w:rsidRDefault="001D0FDA" w:rsidP="00480FDF">
            <w:pPr>
              <w:pStyle w:val="Tabletext"/>
              <w:numPr>
                <w:ilvl w:val="0"/>
                <w:numId w:val="54"/>
              </w:numPr>
              <w:ind w:left="239" w:hanging="144"/>
              <w:rPr>
                <w:rFonts w:cs="Tahoma"/>
                <w:szCs w:val="18"/>
              </w:rPr>
            </w:pPr>
            <w:r w:rsidRPr="000C5DDE">
              <w:rPr>
                <w:rFonts w:cs="Tahoma"/>
                <w:szCs w:val="18"/>
              </w:rPr>
              <w:t xml:space="preserve">Patients with WHO FC III or IV IPAH who were </w:t>
            </w:r>
            <w:r>
              <w:rPr>
                <w:rFonts w:cs="Tahoma"/>
                <w:szCs w:val="18"/>
              </w:rPr>
              <w:t>t</w:t>
            </w:r>
            <w:r w:rsidRPr="000C5DDE">
              <w:rPr>
                <w:rFonts w:cs="Tahoma"/>
                <w:szCs w:val="18"/>
              </w:rPr>
              <w:t>reated with first-line bosentan</w:t>
            </w:r>
          </w:p>
          <w:p w:rsidR="001D0FDA" w:rsidRDefault="001D0FDA" w:rsidP="001D0FDA">
            <w:pPr>
              <w:pStyle w:val="Tabletext"/>
              <w:rPr>
                <w:rFonts w:cs="Tahoma"/>
                <w:i/>
                <w:szCs w:val="18"/>
              </w:rPr>
            </w:pPr>
          </w:p>
          <w:p w:rsidR="001D0FDA" w:rsidRPr="00097998" w:rsidRDefault="001D0FDA" w:rsidP="001D0FDA">
            <w:pPr>
              <w:pStyle w:val="Tabletext"/>
              <w:rPr>
                <w:rFonts w:cs="Tahoma"/>
                <w:i/>
                <w:szCs w:val="18"/>
              </w:rPr>
            </w:pPr>
            <w:r w:rsidRPr="00097998">
              <w:rPr>
                <w:rFonts w:cs="Tahoma"/>
                <w:i/>
                <w:szCs w:val="18"/>
              </w:rPr>
              <w:t>Exclusion criteria</w:t>
            </w:r>
          </w:p>
          <w:p w:rsidR="001D0FDA" w:rsidRPr="00097998" w:rsidRDefault="001D0FDA" w:rsidP="00480FDF">
            <w:pPr>
              <w:pStyle w:val="Tabletext"/>
              <w:numPr>
                <w:ilvl w:val="0"/>
                <w:numId w:val="54"/>
              </w:numPr>
              <w:ind w:left="239" w:hanging="144"/>
              <w:rPr>
                <w:rFonts w:cs="Tahoma"/>
                <w:szCs w:val="18"/>
              </w:rPr>
            </w:pPr>
            <w:r w:rsidRPr="00097998">
              <w:rPr>
                <w:rFonts w:cs="Tahoma"/>
                <w:szCs w:val="18"/>
              </w:rPr>
              <w:t>PAH related with an associated condition</w:t>
            </w:r>
          </w:p>
          <w:p w:rsidR="001D0FDA" w:rsidRPr="00323BBF" w:rsidRDefault="001D0FDA" w:rsidP="00480FDF">
            <w:pPr>
              <w:pStyle w:val="Tabletext"/>
              <w:numPr>
                <w:ilvl w:val="0"/>
                <w:numId w:val="54"/>
              </w:numPr>
              <w:ind w:left="239" w:hanging="144"/>
              <w:rPr>
                <w:rFonts w:cs="Tahoma"/>
                <w:i/>
                <w:szCs w:val="18"/>
              </w:rPr>
            </w:pPr>
            <w:r>
              <w:rPr>
                <w:rFonts w:cs="Tahoma"/>
                <w:szCs w:val="18"/>
              </w:rPr>
              <w:t>Patients w</w:t>
            </w:r>
            <w:r w:rsidRPr="00097998">
              <w:rPr>
                <w:rFonts w:cs="Tahoma"/>
                <w:szCs w:val="18"/>
              </w:rPr>
              <w:t>ith an acute response during acute vasoreactivity testing</w:t>
            </w:r>
          </w:p>
        </w:tc>
        <w:tc>
          <w:tcPr>
            <w:tcW w:w="1856" w:type="pct"/>
          </w:tcPr>
          <w:p w:rsidR="001D0FDA" w:rsidRDefault="001D0FDA" w:rsidP="001D0FDA">
            <w:pPr>
              <w:pStyle w:val="Tabletext"/>
              <w:ind w:right="-28"/>
              <w:rPr>
                <w:rFonts w:eastAsia="Times New Roman"/>
                <w:lang w:eastAsia="en-US"/>
              </w:rPr>
            </w:pPr>
            <w:r w:rsidRPr="008D73C9">
              <w:rPr>
                <w:rFonts w:eastAsia="Times New Roman"/>
                <w:lang w:eastAsia="en-US"/>
              </w:rPr>
              <w:t>N=103</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xml:space="preserve">: </w:t>
            </w:r>
            <w:r>
              <w:rPr>
                <w:rFonts w:cs="Tahoma"/>
                <w:szCs w:val="18"/>
              </w:rPr>
              <w:t>54±16</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xml:space="preserve">: </w:t>
            </w:r>
            <w:r>
              <w:rPr>
                <w:rFonts w:cs="Tahoma"/>
                <w:szCs w:val="18"/>
              </w:rPr>
              <w:t>75 (73%)</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Pr>
                <w:rFonts w:cs="Tahoma"/>
                <w:szCs w:val="18"/>
              </w:rPr>
              <w:t>IPAH: 103</w:t>
            </w:r>
            <w:r w:rsidRPr="00BB51A1">
              <w:rPr>
                <w:rFonts w:cs="Tahoma"/>
                <w:szCs w:val="18"/>
              </w:rPr>
              <w:t xml:space="preserve"> (</w:t>
            </w:r>
            <w:r>
              <w:rPr>
                <w:rFonts w:cs="Tahoma"/>
                <w:szCs w:val="18"/>
              </w:rPr>
              <w:t>100</w:t>
            </w:r>
            <w:r w:rsidRPr="00BB51A1">
              <w:rPr>
                <w:rFonts w:cs="Tahoma"/>
                <w:szCs w:val="18"/>
              </w:rPr>
              <w:t>%)</w:t>
            </w:r>
          </w:p>
          <w:p w:rsidR="001D0FDA" w:rsidRDefault="001D0FDA" w:rsidP="001D0FDA">
            <w:pPr>
              <w:pStyle w:val="Tabletext"/>
              <w:rPr>
                <w:rFonts w:cs="Tahoma"/>
                <w:szCs w:val="18"/>
              </w:rPr>
            </w:pPr>
            <w:r w:rsidRPr="00C41328">
              <w:rPr>
                <w:rFonts w:cs="Tahoma"/>
                <w:szCs w:val="18"/>
              </w:rPr>
              <w:t>WHO FC</w:t>
            </w:r>
            <w:r>
              <w:rPr>
                <w:rFonts w:cs="Tahoma"/>
                <w:szCs w:val="18"/>
              </w:rPr>
              <w:t>, n (%)</w:t>
            </w:r>
            <w:r w:rsidRPr="00C41328">
              <w:rPr>
                <w:rFonts w:cs="Tahoma"/>
                <w:szCs w:val="18"/>
              </w:rPr>
              <w:t>:</w:t>
            </w:r>
          </w:p>
          <w:p w:rsidR="001D0FDA" w:rsidRDefault="001D0FDA" w:rsidP="001D0FDA">
            <w:pPr>
              <w:pStyle w:val="Tabletext"/>
              <w:ind w:left="239"/>
              <w:rPr>
                <w:rFonts w:cs="Tahoma"/>
                <w:szCs w:val="18"/>
              </w:rPr>
            </w:pPr>
            <w:r w:rsidRPr="00EE4351">
              <w:rPr>
                <w:rFonts w:cs="Tahoma"/>
                <w:szCs w:val="18"/>
              </w:rPr>
              <w:t>III: 91 (88%)</w:t>
            </w:r>
            <w:r>
              <w:rPr>
                <w:rFonts w:cs="Tahoma"/>
                <w:szCs w:val="18"/>
              </w:rPr>
              <w:t xml:space="preserve">; </w:t>
            </w:r>
            <w:r w:rsidRPr="00EE4351">
              <w:rPr>
                <w:rFonts w:cs="Tahoma"/>
                <w:szCs w:val="18"/>
              </w:rPr>
              <w:t>IV: 12 (12%)</w:t>
            </w:r>
          </w:p>
          <w:p w:rsidR="001D0FDA" w:rsidRDefault="001D0FDA" w:rsidP="001D0FDA">
            <w:pPr>
              <w:pStyle w:val="Tabletext"/>
              <w:rPr>
                <w:rFonts w:cs="Tahoma"/>
                <w:szCs w:val="18"/>
              </w:rPr>
            </w:pPr>
            <w:r w:rsidRPr="00BB51A1">
              <w:rPr>
                <w:rFonts w:cs="Tahoma"/>
                <w:szCs w:val="18"/>
              </w:rPr>
              <w:t>Time from diagnosis</w:t>
            </w:r>
            <w:r>
              <w:rPr>
                <w:rFonts w:cs="Tahoma"/>
                <w:szCs w:val="18"/>
              </w:rPr>
              <w:t>, median (range) (mths)</w:t>
            </w:r>
            <w:r w:rsidRPr="00BB51A1">
              <w:rPr>
                <w:rFonts w:cs="Tahoma"/>
                <w:szCs w:val="18"/>
              </w:rPr>
              <w:t xml:space="preserve">: </w:t>
            </w:r>
            <w:r>
              <w:rPr>
                <w:rFonts w:cs="Tahoma"/>
                <w:szCs w:val="18"/>
              </w:rPr>
              <w:t>4 (1-22)</w:t>
            </w:r>
          </w:p>
          <w:p w:rsidR="001D0FDA" w:rsidRDefault="001D0FDA" w:rsidP="001D0FDA">
            <w:pPr>
              <w:pStyle w:val="Tabletext"/>
              <w:rPr>
                <w:rFonts w:cs="Tahoma"/>
                <w:szCs w:val="18"/>
              </w:rPr>
            </w:pPr>
            <w:r w:rsidRPr="00455DBB">
              <w:rPr>
                <w:rFonts w:cs="Tahoma"/>
                <w:szCs w:val="18"/>
              </w:rPr>
              <w:t>Concomitant use of sildenafil</w:t>
            </w:r>
            <w:r>
              <w:rPr>
                <w:rFonts w:cs="Tahoma"/>
                <w:szCs w:val="18"/>
              </w:rPr>
              <w:t>, n (%)</w:t>
            </w:r>
            <w:r w:rsidRPr="00455DBB">
              <w:rPr>
                <w:rFonts w:cs="Tahoma"/>
                <w:szCs w:val="18"/>
              </w:rPr>
              <w:t>: 19 (17%)</w:t>
            </w:r>
          </w:p>
          <w:p w:rsidR="001D0FDA" w:rsidRPr="00EE4351" w:rsidRDefault="001D0FDA" w:rsidP="001D0FDA">
            <w:pPr>
              <w:pStyle w:val="Tabletext"/>
              <w:rPr>
                <w:rFonts w:cs="Tahoma"/>
                <w:szCs w:val="18"/>
              </w:rPr>
            </w:pPr>
            <w:r w:rsidRPr="00C41328">
              <w:rPr>
                <w:rFonts w:cs="Tahoma"/>
                <w:szCs w:val="18"/>
              </w:rPr>
              <w:t>mPAP</w:t>
            </w:r>
            <w:r>
              <w:rPr>
                <w:rFonts w:cs="Tahoma"/>
                <w:szCs w:val="18"/>
              </w:rPr>
              <w:t>, mean</w:t>
            </w:r>
            <w:r w:rsidRPr="00C41328">
              <w:rPr>
                <w:rFonts w:cs="Tahoma"/>
                <w:szCs w:val="18"/>
              </w:rPr>
              <w:t>±</w:t>
            </w:r>
            <w:r>
              <w:rPr>
                <w:rFonts w:cs="Tahoma"/>
                <w:szCs w:val="18"/>
              </w:rPr>
              <w:t xml:space="preserve">SD </w:t>
            </w:r>
            <w:r w:rsidRPr="00C41328">
              <w:rPr>
                <w:rFonts w:cs="Tahoma"/>
                <w:szCs w:val="18"/>
              </w:rPr>
              <w:t xml:space="preserve">(mmHg): </w:t>
            </w:r>
            <w:r>
              <w:rPr>
                <w:rFonts w:cs="Tahoma"/>
                <w:szCs w:val="18"/>
              </w:rPr>
              <w:t>58</w:t>
            </w:r>
            <w:r w:rsidRPr="00C41328">
              <w:rPr>
                <w:rFonts w:cs="Tahoma"/>
                <w:szCs w:val="18"/>
              </w:rPr>
              <w:t>±</w:t>
            </w:r>
            <w:r>
              <w:rPr>
                <w:rFonts w:cs="Tahoma"/>
                <w:szCs w:val="18"/>
              </w:rPr>
              <w:t>12</w:t>
            </w:r>
          </w:p>
        </w:tc>
        <w:tc>
          <w:tcPr>
            <w:tcW w:w="1047" w:type="pct"/>
          </w:tcPr>
          <w:p w:rsidR="001D0FDA" w:rsidRDefault="001D0FDA" w:rsidP="001D0FDA">
            <w:pPr>
              <w:pStyle w:val="Tabletext"/>
              <w:rPr>
                <w:rFonts w:cs="Tahoma"/>
                <w:i/>
                <w:szCs w:val="18"/>
              </w:rPr>
            </w:pPr>
            <w:r>
              <w:rPr>
                <w:rFonts w:cs="Tahoma"/>
                <w:i/>
                <w:szCs w:val="18"/>
              </w:rPr>
              <w:t>Intervention</w:t>
            </w:r>
          </w:p>
          <w:p w:rsidR="001D0FDA" w:rsidRPr="008D73C9" w:rsidRDefault="001D0FDA" w:rsidP="001D0FDA">
            <w:pPr>
              <w:pStyle w:val="Tabletext"/>
              <w:rPr>
                <w:rFonts w:eastAsia="Times New Roman"/>
                <w:lang w:eastAsia="en-US"/>
              </w:rPr>
            </w:pPr>
            <w:r w:rsidRPr="00EE4351">
              <w:rPr>
                <w:rFonts w:eastAsia="Times New Roman"/>
                <w:lang w:eastAsia="en-US"/>
              </w:rPr>
              <w:t>Bosentan</w:t>
            </w:r>
            <w:r>
              <w:rPr>
                <w:rFonts w:eastAsia="Times New Roman"/>
                <w:lang w:eastAsia="en-US"/>
              </w:rPr>
              <w:t>: initial dose of</w:t>
            </w:r>
            <w:r w:rsidRPr="00EE4351">
              <w:rPr>
                <w:rFonts w:eastAsia="Times New Roman"/>
                <w:lang w:eastAsia="en-US"/>
              </w:rPr>
              <w:t xml:space="preserve"> 62.5mg bid for 4 weeks, </w:t>
            </w:r>
            <w:r>
              <w:rPr>
                <w:rFonts w:eastAsia="Times New Roman"/>
                <w:lang w:eastAsia="en-US"/>
              </w:rPr>
              <w:t>then</w:t>
            </w:r>
            <w:r w:rsidRPr="00EE4351">
              <w:rPr>
                <w:rFonts w:eastAsia="Times New Roman"/>
                <w:lang w:eastAsia="en-US"/>
              </w:rPr>
              <w:t xml:space="preserve"> 125mg bid </w:t>
            </w:r>
          </w:p>
          <w:p w:rsidR="001D0FDA" w:rsidRDefault="001D0FDA" w:rsidP="001D0FDA">
            <w:pPr>
              <w:pStyle w:val="Tabletext"/>
              <w:rPr>
                <w:rFonts w:eastAsia="Times New Roman"/>
                <w:lang w:eastAsia="en-US"/>
              </w:rPr>
            </w:pPr>
          </w:p>
          <w:p w:rsidR="001D0FDA" w:rsidRPr="00EE4351" w:rsidRDefault="001D0FDA" w:rsidP="001D0FDA">
            <w:pPr>
              <w:pStyle w:val="Tabletext"/>
              <w:rPr>
                <w:rFonts w:eastAsia="Times New Roman"/>
                <w:i/>
                <w:lang w:eastAsia="en-US"/>
              </w:rPr>
            </w:pPr>
            <w:r>
              <w:rPr>
                <w:rFonts w:eastAsia="Times New Roman"/>
                <w:i/>
                <w:lang w:eastAsia="en-US"/>
              </w:rPr>
              <w:t>Combination therapy</w:t>
            </w:r>
          </w:p>
          <w:p w:rsidR="001D0FDA" w:rsidRDefault="001D0FDA" w:rsidP="001D0FDA">
            <w:pPr>
              <w:pStyle w:val="Tabletext"/>
              <w:rPr>
                <w:rFonts w:cs="Tahoma"/>
                <w:i/>
                <w:szCs w:val="18"/>
              </w:rPr>
            </w:pPr>
            <w:r>
              <w:rPr>
                <w:rFonts w:eastAsia="Times New Roman"/>
                <w:lang w:eastAsia="en-US"/>
              </w:rPr>
              <w:t>Prostanoid</w:t>
            </w:r>
            <w:r w:rsidRPr="008D73C9">
              <w:rPr>
                <w:rFonts w:eastAsia="Times New Roman"/>
                <w:lang w:eastAsia="en-US"/>
              </w:rPr>
              <w:t xml:space="preserve"> (44%)</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Sitbon 2002</w:t>
            </w:r>
            <w:r w:rsidR="001D34EE" w:rsidRPr="001A1C44">
              <w:rPr>
                <w:rFonts w:eastAsia="Times New Roman"/>
                <w:noProof/>
                <w:vertAlign w:val="superscript"/>
                <w:lang w:eastAsia="en-US"/>
              </w:rPr>
              <w:t>67</w:t>
            </w:r>
          </w:p>
          <w:p w:rsidR="001D0FDA" w:rsidRPr="008D73C9" w:rsidRDefault="001D0FDA" w:rsidP="001D0FDA">
            <w:pPr>
              <w:pStyle w:val="Tabletext"/>
              <w:ind w:right="-28"/>
              <w:rPr>
                <w:rFonts w:eastAsia="Times New Roman"/>
                <w:lang w:eastAsia="en-US"/>
              </w:rPr>
            </w:pPr>
            <w:r w:rsidRPr="008D73C9">
              <w:rPr>
                <w:rFonts w:eastAsia="Times New Roman"/>
                <w:lang w:eastAsia="en-US"/>
              </w:rPr>
              <w:t>1992-2001</w:t>
            </w:r>
          </w:p>
          <w:p w:rsidR="001D0FDA" w:rsidRPr="008D73C9" w:rsidRDefault="001D0FDA" w:rsidP="001D0FDA">
            <w:pPr>
              <w:pStyle w:val="Tabletext"/>
              <w:ind w:right="-28"/>
              <w:rPr>
                <w:rFonts w:eastAsia="Times New Roman"/>
                <w:lang w:eastAsia="en-US"/>
              </w:rPr>
            </w:pPr>
            <w:r w:rsidRPr="008D73C9">
              <w:rPr>
                <w:rFonts w:eastAsia="Times New Roman"/>
                <w:lang w:eastAsia="en-US"/>
              </w:rPr>
              <w:t>France</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Follow-up: 26 month</w:t>
            </w:r>
            <w:r w:rsidRPr="008D73C9">
              <w:rPr>
                <w:rFonts w:eastAsia="Times New Roman"/>
                <w:lang w:eastAsia="en-US"/>
              </w:rPr>
              <w:t>s</w:t>
            </w:r>
          </w:p>
        </w:tc>
        <w:tc>
          <w:tcPr>
            <w:tcW w:w="1096" w:type="pct"/>
          </w:tcPr>
          <w:p w:rsidR="001D0FDA" w:rsidRPr="0002497B" w:rsidRDefault="001D0FDA" w:rsidP="001D0FDA">
            <w:pPr>
              <w:pStyle w:val="Tabletext"/>
              <w:rPr>
                <w:rFonts w:cs="Tahoma"/>
                <w:i/>
                <w:szCs w:val="18"/>
              </w:rPr>
            </w:pPr>
            <w:r w:rsidRPr="0002497B">
              <w:rPr>
                <w:rFonts w:cs="Tahoma"/>
                <w:i/>
                <w:szCs w:val="18"/>
              </w:rPr>
              <w:t>Inclusion criteria</w:t>
            </w:r>
          </w:p>
          <w:p w:rsidR="001D0FDA" w:rsidRPr="0002497B" w:rsidRDefault="001D0FDA" w:rsidP="00480FDF">
            <w:pPr>
              <w:pStyle w:val="Tabletext"/>
              <w:numPr>
                <w:ilvl w:val="0"/>
                <w:numId w:val="54"/>
              </w:numPr>
              <w:ind w:left="239" w:hanging="144"/>
              <w:rPr>
                <w:rFonts w:cs="Tahoma"/>
                <w:szCs w:val="18"/>
              </w:rPr>
            </w:pPr>
            <w:r>
              <w:rPr>
                <w:rFonts w:cs="Tahoma"/>
                <w:szCs w:val="18"/>
              </w:rPr>
              <w:t>Age of</w:t>
            </w:r>
            <w:r w:rsidRPr="0002497B">
              <w:rPr>
                <w:rFonts w:cs="Tahoma"/>
                <w:szCs w:val="18"/>
              </w:rPr>
              <w:t xml:space="preserve"> &gt; 15 years </w:t>
            </w:r>
          </w:p>
          <w:p w:rsidR="001D0FDA" w:rsidRPr="000C5DDE" w:rsidRDefault="001D0FDA" w:rsidP="00480FDF">
            <w:pPr>
              <w:pStyle w:val="Tabletext"/>
              <w:numPr>
                <w:ilvl w:val="0"/>
                <w:numId w:val="54"/>
              </w:numPr>
              <w:ind w:left="239" w:hanging="144"/>
              <w:rPr>
                <w:rFonts w:cs="Tahoma"/>
                <w:szCs w:val="18"/>
              </w:rPr>
            </w:pPr>
            <w:r w:rsidRPr="000C5DDE">
              <w:rPr>
                <w:rFonts w:cs="Tahoma"/>
                <w:szCs w:val="18"/>
              </w:rPr>
              <w:t xml:space="preserve">Patients with severe primary pulmonary hypertension who were </w:t>
            </w:r>
            <w:r>
              <w:rPr>
                <w:rFonts w:cs="Tahoma"/>
                <w:szCs w:val="18"/>
              </w:rPr>
              <w:t>t</w:t>
            </w:r>
            <w:r w:rsidRPr="000C5DDE">
              <w:rPr>
                <w:rFonts w:cs="Tahoma"/>
                <w:szCs w:val="18"/>
              </w:rPr>
              <w:t>reated with long-term epoprostenol</w:t>
            </w:r>
          </w:p>
          <w:p w:rsidR="001D0FDA" w:rsidRPr="0002497B" w:rsidRDefault="001D0FDA" w:rsidP="001D0FDA">
            <w:pPr>
              <w:pStyle w:val="Tabletext"/>
              <w:rPr>
                <w:rFonts w:cs="Tahoma"/>
                <w:i/>
                <w:szCs w:val="18"/>
              </w:rPr>
            </w:pPr>
          </w:p>
          <w:p w:rsidR="001D0FDA" w:rsidRPr="0002497B" w:rsidRDefault="001D0FDA" w:rsidP="001D0FDA">
            <w:pPr>
              <w:pStyle w:val="Tabletext"/>
              <w:rPr>
                <w:rFonts w:cs="Tahoma"/>
                <w:i/>
                <w:szCs w:val="18"/>
              </w:rPr>
            </w:pPr>
            <w:r w:rsidRPr="0002497B">
              <w:rPr>
                <w:rFonts w:cs="Tahoma"/>
                <w:i/>
                <w:szCs w:val="18"/>
              </w:rPr>
              <w:t>Exclusion criteria</w:t>
            </w:r>
          </w:p>
          <w:p w:rsidR="001D0FDA" w:rsidRPr="0002497B" w:rsidRDefault="001D0FDA" w:rsidP="00480FDF">
            <w:pPr>
              <w:pStyle w:val="Tabletext"/>
              <w:numPr>
                <w:ilvl w:val="0"/>
                <w:numId w:val="54"/>
              </w:numPr>
              <w:ind w:left="239" w:hanging="144"/>
              <w:rPr>
                <w:rFonts w:cs="Tahoma"/>
                <w:szCs w:val="18"/>
              </w:rPr>
            </w:pPr>
            <w:r>
              <w:rPr>
                <w:rFonts w:cs="Tahoma"/>
                <w:szCs w:val="18"/>
              </w:rPr>
              <w:t xml:space="preserve">Patients with </w:t>
            </w:r>
            <w:r w:rsidRPr="0002497B">
              <w:rPr>
                <w:rFonts w:cs="Tahoma"/>
                <w:szCs w:val="18"/>
              </w:rPr>
              <w:t>PAH-CTD, PAH-CHD, PAH-PH, PAH-HIV, or distal CTEPH</w:t>
            </w:r>
          </w:p>
          <w:p w:rsidR="001D0FDA" w:rsidRPr="0002497B" w:rsidRDefault="001D0FDA" w:rsidP="00480FDF">
            <w:pPr>
              <w:pStyle w:val="Tabletext"/>
              <w:numPr>
                <w:ilvl w:val="0"/>
                <w:numId w:val="54"/>
              </w:numPr>
              <w:ind w:left="239" w:hanging="144"/>
              <w:rPr>
                <w:rFonts w:cs="Tahoma"/>
                <w:szCs w:val="18"/>
              </w:rPr>
            </w:pPr>
            <w:r>
              <w:rPr>
                <w:rFonts w:cs="Tahoma"/>
                <w:szCs w:val="18"/>
              </w:rPr>
              <w:t>C</w:t>
            </w:r>
            <w:r w:rsidRPr="0002497B">
              <w:rPr>
                <w:rFonts w:cs="Tahoma"/>
                <w:szCs w:val="18"/>
              </w:rPr>
              <w:t>hronic pulmonary disease</w:t>
            </w:r>
          </w:p>
          <w:p w:rsidR="001D0FDA" w:rsidRPr="00097998" w:rsidRDefault="001D0FDA" w:rsidP="00480FDF">
            <w:pPr>
              <w:pStyle w:val="Tabletext"/>
              <w:numPr>
                <w:ilvl w:val="0"/>
                <w:numId w:val="54"/>
              </w:numPr>
              <w:ind w:left="239" w:hanging="144"/>
              <w:rPr>
                <w:rFonts w:cs="Tahoma"/>
                <w:i/>
                <w:szCs w:val="18"/>
              </w:rPr>
            </w:pPr>
            <w:r w:rsidRPr="0002497B">
              <w:rPr>
                <w:rFonts w:cs="Tahoma"/>
                <w:szCs w:val="18"/>
              </w:rPr>
              <w:t>Patients with an acute pulmonary vasodilator response that predicted a clinical response to oral calcium channel blockers</w:t>
            </w:r>
          </w:p>
        </w:tc>
        <w:tc>
          <w:tcPr>
            <w:tcW w:w="1856" w:type="pct"/>
          </w:tcPr>
          <w:p w:rsidR="001D0FDA" w:rsidRDefault="001D0FDA" w:rsidP="001D0FDA">
            <w:pPr>
              <w:pStyle w:val="Tabletext"/>
              <w:ind w:right="-28"/>
              <w:rPr>
                <w:rFonts w:eastAsia="Times New Roman"/>
                <w:lang w:eastAsia="en-US"/>
              </w:rPr>
            </w:pPr>
            <w:r w:rsidRPr="008D73C9">
              <w:rPr>
                <w:rFonts w:eastAsia="Times New Roman"/>
                <w:lang w:eastAsia="en-US"/>
              </w:rPr>
              <w:t>N=178</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xml:space="preserve">: </w:t>
            </w:r>
            <w:r>
              <w:rPr>
                <w:rFonts w:cs="Tahoma"/>
                <w:szCs w:val="18"/>
              </w:rPr>
              <w:t>43±13</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xml:space="preserve">: </w:t>
            </w:r>
            <w:r>
              <w:rPr>
                <w:rFonts w:cs="Tahoma"/>
                <w:szCs w:val="18"/>
              </w:rPr>
              <w:t>135 (76%)</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sidRPr="000C5DDE">
              <w:rPr>
                <w:rFonts w:cs="Tahoma"/>
                <w:szCs w:val="18"/>
              </w:rPr>
              <w:t>IPAH/HPAH/PAH-DT: 178 (100%)</w:t>
            </w:r>
          </w:p>
          <w:p w:rsidR="001D0FDA" w:rsidRDefault="001D0FDA" w:rsidP="001D0FDA">
            <w:pPr>
              <w:pStyle w:val="Tabletext"/>
              <w:rPr>
                <w:rFonts w:cs="Tahoma"/>
                <w:szCs w:val="18"/>
              </w:rPr>
            </w:pPr>
            <w:r w:rsidRPr="00C41328">
              <w:rPr>
                <w:rFonts w:cs="Tahoma"/>
                <w:szCs w:val="18"/>
              </w:rPr>
              <w:t>WHO FC</w:t>
            </w:r>
            <w:r>
              <w:rPr>
                <w:rFonts w:cs="Tahoma"/>
                <w:szCs w:val="18"/>
              </w:rPr>
              <w:t>, n (%)</w:t>
            </w:r>
            <w:r w:rsidRPr="00C41328">
              <w:rPr>
                <w:rFonts w:cs="Tahoma"/>
                <w:szCs w:val="18"/>
              </w:rPr>
              <w:t>:</w:t>
            </w:r>
          </w:p>
          <w:p w:rsidR="001D0FDA" w:rsidRDefault="001D0FDA" w:rsidP="001D0FDA">
            <w:pPr>
              <w:pStyle w:val="Tabletext"/>
              <w:ind w:left="239"/>
              <w:rPr>
                <w:rFonts w:cs="Tahoma"/>
                <w:szCs w:val="18"/>
              </w:rPr>
            </w:pPr>
            <w:r w:rsidRPr="000C5DDE">
              <w:rPr>
                <w:rFonts w:cs="Tahoma"/>
                <w:szCs w:val="18"/>
              </w:rPr>
              <w:t>III: 120 (67%)</w:t>
            </w:r>
            <w:r>
              <w:rPr>
                <w:rFonts w:cs="Tahoma"/>
                <w:szCs w:val="18"/>
              </w:rPr>
              <w:t xml:space="preserve">; </w:t>
            </w:r>
            <w:r w:rsidRPr="000C5DDE">
              <w:rPr>
                <w:rFonts w:cs="Tahoma"/>
                <w:szCs w:val="18"/>
              </w:rPr>
              <w:t>IV: 58 (33%)</w:t>
            </w:r>
          </w:p>
          <w:p w:rsidR="001D0FDA" w:rsidRDefault="001D0FDA" w:rsidP="001D0FDA">
            <w:pPr>
              <w:pStyle w:val="Tabletext"/>
              <w:rPr>
                <w:rFonts w:cs="Tahoma"/>
                <w:szCs w:val="18"/>
              </w:rPr>
            </w:pPr>
            <w:r w:rsidRPr="00BB51A1">
              <w:rPr>
                <w:rFonts w:cs="Tahoma"/>
                <w:szCs w:val="18"/>
              </w:rPr>
              <w:t xml:space="preserve">Time </w:t>
            </w:r>
            <w:r>
              <w:rPr>
                <w:rFonts w:cs="Tahoma"/>
                <w:szCs w:val="18"/>
              </w:rPr>
              <w:t>since onset of symptoms, mean</w:t>
            </w:r>
            <w:r w:rsidRPr="00C41328">
              <w:rPr>
                <w:rFonts w:cs="Tahoma"/>
                <w:szCs w:val="18"/>
              </w:rPr>
              <w:t>±</w:t>
            </w:r>
            <w:r>
              <w:rPr>
                <w:rFonts w:cs="Tahoma"/>
                <w:szCs w:val="18"/>
              </w:rPr>
              <w:t>SD (mths)</w:t>
            </w:r>
            <w:r w:rsidRPr="00BB51A1">
              <w:rPr>
                <w:rFonts w:cs="Tahoma"/>
                <w:szCs w:val="18"/>
              </w:rPr>
              <w:t xml:space="preserve">: </w:t>
            </w:r>
            <w:r>
              <w:rPr>
                <w:rFonts w:cs="Tahoma"/>
                <w:szCs w:val="18"/>
              </w:rPr>
              <w:t>34</w:t>
            </w:r>
            <w:r w:rsidRPr="00C41328">
              <w:rPr>
                <w:rFonts w:cs="Tahoma"/>
                <w:szCs w:val="18"/>
              </w:rPr>
              <w:t>±</w:t>
            </w:r>
            <w:r>
              <w:rPr>
                <w:rFonts w:cs="Tahoma"/>
                <w:szCs w:val="18"/>
              </w:rPr>
              <w:t>34</w:t>
            </w:r>
          </w:p>
          <w:p w:rsidR="001D0FDA" w:rsidRPr="000C5DDE" w:rsidRDefault="001D0FDA" w:rsidP="001D0FDA">
            <w:pPr>
              <w:pStyle w:val="Tabletext"/>
              <w:rPr>
                <w:rFonts w:cs="Tahoma"/>
                <w:szCs w:val="18"/>
              </w:rPr>
            </w:pPr>
            <w:r>
              <w:rPr>
                <w:rFonts w:cs="Tahoma"/>
                <w:szCs w:val="18"/>
              </w:rPr>
              <w:t>mPAP, mean±SD (mmHg): 67±14</w:t>
            </w:r>
          </w:p>
        </w:tc>
        <w:tc>
          <w:tcPr>
            <w:tcW w:w="1047" w:type="pct"/>
          </w:tcPr>
          <w:p w:rsidR="001D0FDA" w:rsidRDefault="001D0FDA" w:rsidP="001D0FDA">
            <w:pPr>
              <w:pStyle w:val="Tabletext"/>
              <w:rPr>
                <w:rFonts w:cs="Tahoma"/>
                <w:i/>
                <w:szCs w:val="18"/>
              </w:rPr>
            </w:pPr>
            <w:r>
              <w:rPr>
                <w:rFonts w:cs="Tahoma"/>
                <w:i/>
                <w:szCs w:val="18"/>
              </w:rPr>
              <w:t>Intervention</w:t>
            </w:r>
          </w:p>
          <w:p w:rsidR="001D0FDA" w:rsidRDefault="001D0FDA" w:rsidP="001D0FDA">
            <w:pPr>
              <w:pStyle w:val="Tabletext"/>
              <w:rPr>
                <w:rFonts w:cs="Tahoma"/>
                <w:i/>
                <w:szCs w:val="18"/>
              </w:rPr>
            </w:pPr>
            <w:r>
              <w:rPr>
                <w:rFonts w:eastAsia="Times New Roman"/>
                <w:lang w:eastAsia="en-US"/>
              </w:rPr>
              <w:t>Epoprostenol: i</w:t>
            </w:r>
            <w:r w:rsidRPr="007273D8">
              <w:rPr>
                <w:rFonts w:eastAsia="Times New Roman"/>
                <w:lang w:eastAsia="en-US"/>
              </w:rPr>
              <w:t>nitial dose of 1 ng/kg/min, then increased by 1 ng/kg/min every 12</w:t>
            </w:r>
            <w:r>
              <w:rPr>
                <w:rFonts w:eastAsia="Times New Roman"/>
                <w:lang w:eastAsia="en-US"/>
              </w:rPr>
              <w:t xml:space="preserve"> hours up to 10 ng/kg/min, then adjusted</w:t>
            </w:r>
            <w:r w:rsidRPr="007273D8">
              <w:rPr>
                <w:rFonts w:eastAsia="Times New Roman"/>
                <w:lang w:eastAsia="en-US"/>
              </w:rPr>
              <w:t xml:space="preserve"> </w:t>
            </w:r>
            <w:r>
              <w:rPr>
                <w:rFonts w:eastAsia="Times New Roman"/>
                <w:lang w:eastAsia="en-US"/>
              </w:rPr>
              <w:t>s</w:t>
            </w:r>
            <w:r w:rsidRPr="007273D8">
              <w:rPr>
                <w:rFonts w:eastAsia="Times New Roman"/>
                <w:lang w:eastAsia="en-US"/>
              </w:rPr>
              <w:t xml:space="preserve">ystematically </w:t>
            </w:r>
            <w:r>
              <w:rPr>
                <w:rFonts w:eastAsia="Times New Roman"/>
                <w:lang w:eastAsia="en-US"/>
              </w:rPr>
              <w:t xml:space="preserve">to </w:t>
            </w:r>
            <w:r w:rsidRPr="007273D8">
              <w:rPr>
                <w:rFonts w:eastAsia="Times New Roman"/>
                <w:lang w:eastAsia="en-US"/>
              </w:rPr>
              <w:t>reach a mean level of 14±4 ng/kg/min at 3 months. Thereafter, dose adjustments were based on clinical symptoms consistent with clinical deterioration or the occurrence of adverse events, distance walked during exercise testin</w:t>
            </w:r>
            <w:r>
              <w:rPr>
                <w:rFonts w:eastAsia="Times New Roman"/>
                <w:lang w:eastAsia="en-US"/>
              </w:rPr>
              <w:t>g, and hemodynamic measurements</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lastRenderedPageBreak/>
              <w:t>Sitbon 2016</w:t>
            </w:r>
            <w:r w:rsidR="001D34EE" w:rsidRPr="001A1C44">
              <w:rPr>
                <w:rFonts w:eastAsia="Times New Roman"/>
                <w:noProof/>
                <w:vertAlign w:val="superscript"/>
                <w:lang w:eastAsia="en-US"/>
              </w:rPr>
              <w:t>68</w:t>
            </w:r>
          </w:p>
          <w:p w:rsidR="001D0FDA" w:rsidRPr="008D73C9" w:rsidRDefault="001D0FDA" w:rsidP="001D0FDA">
            <w:pPr>
              <w:pStyle w:val="Tabletext"/>
              <w:ind w:right="-28"/>
              <w:rPr>
                <w:rFonts w:eastAsia="Times New Roman"/>
                <w:lang w:eastAsia="en-US"/>
              </w:rPr>
            </w:pPr>
            <w:r w:rsidRPr="008D73C9">
              <w:rPr>
                <w:rFonts w:eastAsia="Times New Roman"/>
                <w:lang w:eastAsia="en-US"/>
              </w:rPr>
              <w:t>2007-2013</w:t>
            </w:r>
          </w:p>
          <w:p w:rsidR="001D0FDA" w:rsidRPr="008D73C9" w:rsidRDefault="001D0FDA" w:rsidP="001D0FDA">
            <w:pPr>
              <w:pStyle w:val="Tabletext"/>
              <w:ind w:right="-28"/>
              <w:rPr>
                <w:rFonts w:eastAsia="Times New Roman"/>
                <w:lang w:eastAsia="en-US"/>
              </w:rPr>
            </w:pPr>
            <w:r w:rsidRPr="008D73C9">
              <w:rPr>
                <w:rFonts w:eastAsia="Times New Roman"/>
                <w:lang w:eastAsia="en-US"/>
              </w:rPr>
              <w:t>France</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Follow-up: 30 month</w:t>
            </w:r>
            <w:r w:rsidRPr="008D73C9">
              <w:rPr>
                <w:rFonts w:eastAsia="Times New Roman"/>
                <w:lang w:eastAsia="en-US"/>
              </w:rPr>
              <w:t>s</w:t>
            </w:r>
          </w:p>
        </w:tc>
        <w:tc>
          <w:tcPr>
            <w:tcW w:w="1096" w:type="pct"/>
          </w:tcPr>
          <w:p w:rsidR="001D0FDA" w:rsidRPr="00C8004D" w:rsidRDefault="001D0FDA" w:rsidP="001D0FDA">
            <w:pPr>
              <w:pStyle w:val="Tabletext"/>
              <w:rPr>
                <w:rFonts w:cs="Tahoma"/>
                <w:i/>
                <w:szCs w:val="18"/>
              </w:rPr>
            </w:pPr>
            <w:r w:rsidRPr="00C8004D">
              <w:rPr>
                <w:rFonts w:cs="Tahoma"/>
                <w:i/>
                <w:szCs w:val="18"/>
              </w:rPr>
              <w:t>Inclusion criteria</w:t>
            </w:r>
          </w:p>
          <w:p w:rsidR="001D0FDA" w:rsidRDefault="001D0FDA" w:rsidP="00480FDF">
            <w:pPr>
              <w:pStyle w:val="Tabletext"/>
              <w:numPr>
                <w:ilvl w:val="0"/>
                <w:numId w:val="54"/>
              </w:numPr>
              <w:ind w:left="239" w:hanging="144"/>
              <w:rPr>
                <w:rFonts w:cs="Tahoma"/>
                <w:szCs w:val="18"/>
              </w:rPr>
            </w:pPr>
            <w:r>
              <w:rPr>
                <w:rFonts w:cs="Tahoma"/>
                <w:szCs w:val="18"/>
              </w:rPr>
              <w:t>A</w:t>
            </w:r>
            <w:r w:rsidRPr="00C8004D">
              <w:rPr>
                <w:rFonts w:cs="Tahoma"/>
                <w:szCs w:val="18"/>
              </w:rPr>
              <w:t>ge</w:t>
            </w:r>
            <w:r>
              <w:rPr>
                <w:rFonts w:cs="Tahoma"/>
                <w:szCs w:val="18"/>
              </w:rPr>
              <w:t xml:space="preserve"> of</w:t>
            </w:r>
            <w:r w:rsidRPr="00C8004D">
              <w:rPr>
                <w:rFonts w:cs="Tahoma"/>
                <w:szCs w:val="18"/>
              </w:rPr>
              <w:t xml:space="preserve"> &gt;18 years </w:t>
            </w:r>
          </w:p>
          <w:p w:rsidR="001D0FDA" w:rsidRPr="00C8004D" w:rsidRDefault="001D0FDA" w:rsidP="00480FDF">
            <w:pPr>
              <w:pStyle w:val="Tabletext"/>
              <w:numPr>
                <w:ilvl w:val="0"/>
                <w:numId w:val="54"/>
              </w:numPr>
              <w:ind w:left="239" w:hanging="144"/>
              <w:rPr>
                <w:rFonts w:cs="Tahoma"/>
                <w:szCs w:val="18"/>
              </w:rPr>
            </w:pPr>
            <w:r>
              <w:rPr>
                <w:rFonts w:cs="Tahoma"/>
                <w:szCs w:val="18"/>
              </w:rPr>
              <w:t xml:space="preserve">Patients </w:t>
            </w:r>
            <w:r w:rsidRPr="00C8004D">
              <w:rPr>
                <w:rFonts w:cs="Tahoma"/>
                <w:szCs w:val="18"/>
              </w:rPr>
              <w:t>with newly diagnosed PAH of any aetiology and in WHO FC II-IV who were initiated on first-line dual oral combination treatment with ERA (bosentan or ambrisentan) and PDE-5i (sildenafil or tadalafil)</w:t>
            </w:r>
          </w:p>
          <w:p w:rsidR="001D0FDA" w:rsidRPr="00C8004D" w:rsidRDefault="001D0FDA" w:rsidP="001D0FDA">
            <w:pPr>
              <w:pStyle w:val="Tabletext"/>
              <w:rPr>
                <w:rFonts w:cs="Tahoma"/>
                <w:i/>
                <w:szCs w:val="18"/>
              </w:rPr>
            </w:pPr>
          </w:p>
          <w:p w:rsidR="001D0FDA" w:rsidRPr="00C8004D" w:rsidRDefault="001D0FDA" w:rsidP="001D0FDA">
            <w:pPr>
              <w:pStyle w:val="Tabletext"/>
              <w:rPr>
                <w:rFonts w:cs="Tahoma"/>
                <w:i/>
                <w:szCs w:val="18"/>
              </w:rPr>
            </w:pPr>
            <w:r w:rsidRPr="00C8004D">
              <w:rPr>
                <w:rFonts w:cs="Tahoma"/>
                <w:i/>
                <w:szCs w:val="18"/>
              </w:rPr>
              <w:t>Inclusion criteria</w:t>
            </w:r>
          </w:p>
          <w:p w:rsidR="001D0FDA" w:rsidRPr="00C8004D" w:rsidRDefault="001D0FDA" w:rsidP="00480FDF">
            <w:pPr>
              <w:pStyle w:val="Tabletext"/>
              <w:numPr>
                <w:ilvl w:val="0"/>
                <w:numId w:val="54"/>
              </w:numPr>
              <w:ind w:left="239" w:hanging="144"/>
              <w:rPr>
                <w:rFonts w:cs="Tahoma"/>
                <w:szCs w:val="18"/>
              </w:rPr>
            </w:pPr>
            <w:r w:rsidRPr="00C8004D">
              <w:rPr>
                <w:rFonts w:cs="Tahoma"/>
                <w:szCs w:val="18"/>
              </w:rPr>
              <w:t xml:space="preserve">Patients with non-group 1 </w:t>
            </w:r>
            <w:r>
              <w:rPr>
                <w:rFonts w:cs="Tahoma"/>
                <w:szCs w:val="18"/>
              </w:rPr>
              <w:t>pulmonary hypertension and pulmonary veno-occlusive</w:t>
            </w:r>
            <w:r w:rsidRPr="00C8004D">
              <w:rPr>
                <w:rFonts w:cs="Tahoma"/>
                <w:szCs w:val="18"/>
              </w:rPr>
              <w:t xml:space="preserve"> disease </w:t>
            </w:r>
          </w:p>
          <w:p w:rsidR="001D0FDA" w:rsidRPr="00097998" w:rsidRDefault="001D0FDA" w:rsidP="00480FDF">
            <w:pPr>
              <w:pStyle w:val="Tabletext"/>
              <w:numPr>
                <w:ilvl w:val="0"/>
                <w:numId w:val="54"/>
              </w:numPr>
              <w:ind w:left="239" w:hanging="144"/>
              <w:rPr>
                <w:rFonts w:cs="Tahoma"/>
                <w:i/>
                <w:szCs w:val="18"/>
              </w:rPr>
            </w:pPr>
            <w:r w:rsidRPr="00C8004D">
              <w:rPr>
                <w:rFonts w:cs="Tahoma"/>
                <w:szCs w:val="18"/>
              </w:rPr>
              <w:t>Unstable patients in need of parenteral prostacyclin and those for whom ERAs were contraindicated</w:t>
            </w:r>
          </w:p>
        </w:tc>
        <w:tc>
          <w:tcPr>
            <w:tcW w:w="1856" w:type="pct"/>
          </w:tcPr>
          <w:p w:rsidR="001D0FDA" w:rsidRDefault="001D0FDA" w:rsidP="001D0FDA">
            <w:pPr>
              <w:pStyle w:val="Tabletext"/>
              <w:ind w:right="-28"/>
              <w:rPr>
                <w:rFonts w:eastAsia="Times New Roman"/>
                <w:lang w:eastAsia="en-US"/>
              </w:rPr>
            </w:pPr>
            <w:r w:rsidRPr="008D73C9">
              <w:rPr>
                <w:rFonts w:eastAsia="Times New Roman"/>
                <w:lang w:eastAsia="en-US"/>
              </w:rPr>
              <w:t>N=97</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xml:space="preserve">: </w:t>
            </w:r>
            <w:r>
              <w:rPr>
                <w:rFonts w:cs="Tahoma"/>
                <w:szCs w:val="18"/>
              </w:rPr>
              <w:t>54±17</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xml:space="preserve">: </w:t>
            </w:r>
            <w:r>
              <w:rPr>
                <w:rFonts w:cs="Tahoma"/>
                <w:szCs w:val="18"/>
              </w:rPr>
              <w:t>63 (65%)</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sidRPr="00C8004D">
              <w:rPr>
                <w:rFonts w:cs="Tahoma"/>
                <w:szCs w:val="18"/>
              </w:rPr>
              <w:t>IPAH: 52 (54%)</w:t>
            </w:r>
            <w:r>
              <w:rPr>
                <w:rFonts w:cs="Tahoma"/>
                <w:szCs w:val="18"/>
              </w:rPr>
              <w:t xml:space="preserve">; </w:t>
            </w:r>
            <w:r w:rsidRPr="00C8004D">
              <w:rPr>
                <w:rFonts w:cs="Tahoma"/>
                <w:szCs w:val="18"/>
              </w:rPr>
              <w:t>HPAH: 15 (15%)</w:t>
            </w:r>
            <w:r>
              <w:rPr>
                <w:rFonts w:cs="Tahoma"/>
                <w:szCs w:val="18"/>
              </w:rPr>
              <w:t xml:space="preserve">; </w:t>
            </w:r>
            <w:r w:rsidRPr="00C8004D">
              <w:rPr>
                <w:rFonts w:cs="Tahoma"/>
                <w:szCs w:val="18"/>
              </w:rPr>
              <w:t>PAH-CTD: 12 (12%)</w:t>
            </w:r>
            <w:r>
              <w:rPr>
                <w:rFonts w:cs="Tahoma"/>
                <w:szCs w:val="18"/>
              </w:rPr>
              <w:t xml:space="preserve">; </w:t>
            </w:r>
            <w:r w:rsidRPr="00C8004D">
              <w:rPr>
                <w:rFonts w:cs="Tahoma"/>
                <w:szCs w:val="18"/>
              </w:rPr>
              <w:t>PAH-DT: 7 (7%)</w:t>
            </w:r>
            <w:r>
              <w:rPr>
                <w:rFonts w:cs="Tahoma"/>
                <w:szCs w:val="18"/>
              </w:rPr>
              <w:t xml:space="preserve">; </w:t>
            </w:r>
            <w:r w:rsidRPr="00C8004D">
              <w:rPr>
                <w:rFonts w:cs="Tahoma"/>
                <w:szCs w:val="18"/>
              </w:rPr>
              <w:t>PAH-PH: 9 (9%)</w:t>
            </w:r>
            <w:r>
              <w:rPr>
                <w:rFonts w:cs="Tahoma"/>
                <w:szCs w:val="18"/>
              </w:rPr>
              <w:t xml:space="preserve">; </w:t>
            </w:r>
            <w:r w:rsidRPr="00C8004D">
              <w:rPr>
                <w:rFonts w:cs="Tahoma"/>
                <w:szCs w:val="18"/>
              </w:rPr>
              <w:t>PAH-CHD: 1 (1%)</w:t>
            </w:r>
            <w:r>
              <w:rPr>
                <w:rFonts w:cs="Tahoma"/>
                <w:szCs w:val="18"/>
              </w:rPr>
              <w:t xml:space="preserve">; </w:t>
            </w:r>
            <w:r w:rsidRPr="00C8004D">
              <w:rPr>
                <w:rFonts w:cs="Tahoma"/>
                <w:szCs w:val="18"/>
              </w:rPr>
              <w:t>PAH-HIV: 1 (1%)</w:t>
            </w:r>
          </w:p>
          <w:p w:rsidR="001D0FDA" w:rsidRDefault="001D0FDA" w:rsidP="001D0FDA">
            <w:pPr>
              <w:pStyle w:val="Tabletext"/>
              <w:rPr>
                <w:rFonts w:cs="Tahoma"/>
                <w:szCs w:val="18"/>
              </w:rPr>
            </w:pPr>
            <w:r w:rsidRPr="00C41328">
              <w:rPr>
                <w:rFonts w:cs="Tahoma"/>
                <w:szCs w:val="18"/>
              </w:rPr>
              <w:t>WHO FC</w:t>
            </w:r>
            <w:r>
              <w:rPr>
                <w:rFonts w:cs="Tahoma"/>
                <w:szCs w:val="18"/>
              </w:rPr>
              <w:t>, n (%)</w:t>
            </w:r>
            <w:r w:rsidRPr="00C41328">
              <w:rPr>
                <w:rFonts w:cs="Tahoma"/>
                <w:szCs w:val="18"/>
              </w:rPr>
              <w:t>:</w:t>
            </w:r>
          </w:p>
          <w:p w:rsidR="001D0FDA" w:rsidRDefault="001D0FDA" w:rsidP="001D0FDA">
            <w:pPr>
              <w:pStyle w:val="Tabletext"/>
              <w:ind w:left="239"/>
              <w:rPr>
                <w:rFonts w:cs="Tahoma"/>
                <w:szCs w:val="18"/>
              </w:rPr>
            </w:pPr>
            <w:r w:rsidRPr="00C8004D">
              <w:rPr>
                <w:rFonts w:cs="Tahoma"/>
                <w:szCs w:val="18"/>
              </w:rPr>
              <w:t>II: 15 (15%)</w:t>
            </w:r>
            <w:r>
              <w:rPr>
                <w:rFonts w:cs="Tahoma"/>
                <w:szCs w:val="18"/>
              </w:rPr>
              <w:t xml:space="preserve">; </w:t>
            </w:r>
            <w:r w:rsidRPr="00C8004D">
              <w:rPr>
                <w:rFonts w:cs="Tahoma"/>
                <w:szCs w:val="18"/>
              </w:rPr>
              <w:t>III: 70 (72%)</w:t>
            </w:r>
            <w:r>
              <w:rPr>
                <w:rFonts w:cs="Tahoma"/>
                <w:szCs w:val="18"/>
              </w:rPr>
              <w:t xml:space="preserve">; </w:t>
            </w:r>
            <w:r w:rsidRPr="00C8004D">
              <w:rPr>
                <w:rFonts w:cs="Tahoma"/>
                <w:szCs w:val="18"/>
              </w:rPr>
              <w:t>IV: 12 (12%)</w:t>
            </w:r>
          </w:p>
          <w:p w:rsidR="001D0FDA" w:rsidRDefault="001D0FDA" w:rsidP="001D0FDA">
            <w:pPr>
              <w:pStyle w:val="Tabletext"/>
              <w:rPr>
                <w:rFonts w:cs="Tahoma"/>
                <w:szCs w:val="18"/>
              </w:rPr>
            </w:pPr>
            <w:r w:rsidRPr="00BB51A1">
              <w:rPr>
                <w:rFonts w:cs="Tahoma"/>
                <w:szCs w:val="18"/>
              </w:rPr>
              <w:t xml:space="preserve">Time </w:t>
            </w:r>
            <w:r>
              <w:rPr>
                <w:rFonts w:cs="Tahoma"/>
                <w:szCs w:val="18"/>
              </w:rPr>
              <w:t>since onset of symptoms, mean</w:t>
            </w:r>
            <w:r w:rsidRPr="00C41328">
              <w:rPr>
                <w:rFonts w:cs="Tahoma"/>
                <w:szCs w:val="18"/>
              </w:rPr>
              <w:t>±</w:t>
            </w:r>
            <w:r>
              <w:rPr>
                <w:rFonts w:cs="Tahoma"/>
                <w:szCs w:val="18"/>
              </w:rPr>
              <w:t>SD (mths)</w:t>
            </w:r>
            <w:r w:rsidRPr="00BB51A1">
              <w:rPr>
                <w:rFonts w:cs="Tahoma"/>
                <w:szCs w:val="18"/>
              </w:rPr>
              <w:t xml:space="preserve">: </w:t>
            </w:r>
            <w:r>
              <w:rPr>
                <w:rFonts w:cs="Tahoma"/>
                <w:szCs w:val="18"/>
              </w:rPr>
              <w:t>34</w:t>
            </w:r>
            <w:r w:rsidRPr="00C41328">
              <w:rPr>
                <w:rFonts w:cs="Tahoma"/>
                <w:szCs w:val="18"/>
              </w:rPr>
              <w:t>±</w:t>
            </w:r>
            <w:r>
              <w:rPr>
                <w:rFonts w:cs="Tahoma"/>
                <w:szCs w:val="18"/>
              </w:rPr>
              <w:t>34</w:t>
            </w:r>
          </w:p>
          <w:p w:rsidR="001D0FDA" w:rsidRDefault="001D0FDA" w:rsidP="001D0FDA">
            <w:pPr>
              <w:pStyle w:val="Tabletext"/>
              <w:ind w:right="-28"/>
              <w:rPr>
                <w:rFonts w:cs="Tahoma"/>
                <w:szCs w:val="18"/>
              </w:rPr>
            </w:pPr>
            <w:r>
              <w:rPr>
                <w:rFonts w:cs="Tahoma"/>
                <w:szCs w:val="18"/>
              </w:rPr>
              <w:t>mPAP, mean±SD (mmHg): 54±10</w:t>
            </w:r>
          </w:p>
          <w:p w:rsidR="001D0FDA" w:rsidRPr="008D73C9" w:rsidRDefault="001D0FDA" w:rsidP="001D0FDA">
            <w:pPr>
              <w:pStyle w:val="Tabletext"/>
              <w:ind w:right="-28"/>
              <w:rPr>
                <w:rFonts w:eastAsia="Times New Roman"/>
                <w:lang w:eastAsia="en-US"/>
              </w:rPr>
            </w:pPr>
            <w:r w:rsidRPr="00C41328">
              <w:rPr>
                <w:rFonts w:cs="Tahoma"/>
                <w:szCs w:val="18"/>
              </w:rPr>
              <w:t>PVR</w:t>
            </w:r>
            <w:r>
              <w:rPr>
                <w:rFonts w:cs="Tahoma"/>
                <w:szCs w:val="18"/>
              </w:rPr>
              <w:t>, mean</w:t>
            </w:r>
            <w:r w:rsidRPr="00C41328">
              <w:rPr>
                <w:rFonts w:cs="Tahoma"/>
                <w:szCs w:val="18"/>
              </w:rPr>
              <w:t>±</w:t>
            </w:r>
            <w:r>
              <w:rPr>
                <w:rFonts w:cs="Tahoma"/>
                <w:szCs w:val="18"/>
              </w:rPr>
              <w:t>SD</w:t>
            </w:r>
            <w:r w:rsidRPr="00C41328">
              <w:rPr>
                <w:rFonts w:cs="Tahoma"/>
                <w:szCs w:val="18"/>
              </w:rPr>
              <w:t xml:space="preserve"> (</w:t>
            </w:r>
            <w:r>
              <w:rPr>
                <w:rFonts w:cs="Tahoma"/>
                <w:szCs w:val="18"/>
              </w:rPr>
              <w:t>dyn*s*</w:t>
            </w:r>
            <w:r w:rsidRPr="00C8004D">
              <w:rPr>
                <w:rFonts w:cs="Tahoma"/>
                <w:szCs w:val="18"/>
              </w:rPr>
              <w:t>m</w:t>
            </w:r>
            <w:r>
              <w:rPr>
                <w:rFonts w:cs="Tahoma"/>
                <w:szCs w:val="18"/>
                <w:vertAlign w:val="superscript"/>
              </w:rPr>
              <w:t>-5</w:t>
            </w:r>
            <w:r w:rsidRPr="00C41328">
              <w:rPr>
                <w:rFonts w:cs="Tahoma"/>
                <w:szCs w:val="18"/>
              </w:rPr>
              <w:t>):</w:t>
            </w:r>
            <w:r>
              <w:rPr>
                <w:rFonts w:cs="Tahoma"/>
                <w:szCs w:val="18"/>
              </w:rPr>
              <w:t xml:space="preserve"> 1021</w:t>
            </w:r>
            <w:r w:rsidRPr="00C41328">
              <w:rPr>
                <w:rFonts w:cs="Tahoma"/>
                <w:szCs w:val="18"/>
              </w:rPr>
              <w:t>±</w:t>
            </w:r>
            <w:r>
              <w:rPr>
                <w:rFonts w:cs="Tahoma"/>
                <w:szCs w:val="18"/>
              </w:rPr>
              <w:t>357</w:t>
            </w:r>
          </w:p>
        </w:tc>
        <w:tc>
          <w:tcPr>
            <w:tcW w:w="1047" w:type="pct"/>
          </w:tcPr>
          <w:p w:rsidR="001D0FDA" w:rsidRPr="00943A74" w:rsidRDefault="001D0FDA" w:rsidP="001D0FDA">
            <w:pPr>
              <w:pStyle w:val="Tabletext"/>
              <w:rPr>
                <w:rFonts w:eastAsia="Times New Roman"/>
                <w:i/>
                <w:lang w:eastAsia="en-US"/>
              </w:rPr>
            </w:pPr>
            <w:r>
              <w:rPr>
                <w:rFonts w:eastAsia="Times New Roman"/>
                <w:i/>
                <w:lang w:eastAsia="en-US"/>
              </w:rPr>
              <w:t>Intervention</w:t>
            </w:r>
          </w:p>
          <w:p w:rsidR="001D0FDA" w:rsidRPr="008D73C9" w:rsidRDefault="001D0FDA" w:rsidP="001D0FDA">
            <w:pPr>
              <w:pStyle w:val="Tabletext"/>
              <w:rPr>
                <w:rFonts w:eastAsia="Times New Roman"/>
                <w:lang w:eastAsia="en-US"/>
              </w:rPr>
            </w:pPr>
            <w:r>
              <w:rPr>
                <w:rFonts w:eastAsia="Times New Roman"/>
                <w:lang w:eastAsia="en-US"/>
              </w:rPr>
              <w:t>Bosentan or ambrisentan + sildenafil or tadalafil</w:t>
            </w:r>
          </w:p>
          <w:p w:rsidR="001D0FDA" w:rsidRPr="00C8004D" w:rsidRDefault="001D0FDA" w:rsidP="001D0FDA">
            <w:pPr>
              <w:pStyle w:val="Tabletext"/>
              <w:rPr>
                <w:rFonts w:eastAsia="Times New Roman"/>
                <w:lang w:eastAsia="en-US"/>
              </w:rPr>
            </w:pPr>
            <w:r w:rsidRPr="00C8004D">
              <w:rPr>
                <w:rFonts w:eastAsia="Times New Roman"/>
                <w:lang w:eastAsia="en-US"/>
              </w:rPr>
              <w:t xml:space="preserve">Bosentan: </w:t>
            </w:r>
            <w:r>
              <w:rPr>
                <w:rFonts w:eastAsia="Times New Roman"/>
                <w:lang w:eastAsia="en-US"/>
              </w:rPr>
              <w:t xml:space="preserve">initial dose of </w:t>
            </w:r>
            <w:r w:rsidRPr="00C8004D">
              <w:rPr>
                <w:rFonts w:eastAsia="Times New Roman"/>
                <w:lang w:eastAsia="en-US"/>
              </w:rPr>
              <w:t xml:space="preserve">62.5mg bid, </w:t>
            </w:r>
            <w:r>
              <w:rPr>
                <w:rFonts w:eastAsia="Times New Roman"/>
                <w:lang w:eastAsia="en-US"/>
              </w:rPr>
              <w:t xml:space="preserve">then </w:t>
            </w:r>
            <w:r w:rsidRPr="00C8004D">
              <w:rPr>
                <w:rFonts w:eastAsia="Times New Roman"/>
                <w:lang w:eastAsia="en-US"/>
              </w:rPr>
              <w:t>increas</w:t>
            </w:r>
            <w:r>
              <w:rPr>
                <w:rFonts w:eastAsia="Times New Roman"/>
                <w:lang w:eastAsia="en-US"/>
              </w:rPr>
              <w:t>ed to 125mg bid after 4 weeks</w:t>
            </w:r>
          </w:p>
          <w:p w:rsidR="001D0FDA" w:rsidRPr="00C8004D" w:rsidRDefault="001D0FDA" w:rsidP="001D0FDA">
            <w:pPr>
              <w:pStyle w:val="Tabletext"/>
              <w:rPr>
                <w:rFonts w:eastAsia="Times New Roman"/>
                <w:lang w:eastAsia="en-US"/>
              </w:rPr>
            </w:pPr>
            <w:r w:rsidRPr="00C8004D">
              <w:rPr>
                <w:rFonts w:eastAsia="Times New Roman"/>
                <w:lang w:eastAsia="en-US"/>
              </w:rPr>
              <w:t xml:space="preserve">Ambrisentan: </w:t>
            </w:r>
            <w:r>
              <w:rPr>
                <w:rFonts w:eastAsia="Times New Roman"/>
                <w:lang w:eastAsia="en-US"/>
              </w:rPr>
              <w:t xml:space="preserve">initial dose of </w:t>
            </w:r>
            <w:r w:rsidRPr="00C8004D">
              <w:rPr>
                <w:rFonts w:eastAsia="Times New Roman"/>
                <w:lang w:eastAsia="en-US"/>
              </w:rPr>
              <w:t xml:space="preserve">5mg od, </w:t>
            </w:r>
            <w:r>
              <w:rPr>
                <w:rFonts w:eastAsia="Times New Roman"/>
                <w:lang w:eastAsia="en-US"/>
              </w:rPr>
              <w:t>then increased</w:t>
            </w:r>
            <w:r w:rsidRPr="00C8004D">
              <w:rPr>
                <w:rFonts w:eastAsia="Times New Roman"/>
                <w:lang w:eastAsia="en-US"/>
              </w:rPr>
              <w:t xml:space="preserve"> to 10mg od if needed </w:t>
            </w:r>
          </w:p>
          <w:p w:rsidR="001D0FDA" w:rsidRPr="00C8004D" w:rsidRDefault="001D0FDA" w:rsidP="001D0FDA">
            <w:pPr>
              <w:pStyle w:val="Tabletext"/>
              <w:rPr>
                <w:rFonts w:eastAsia="Times New Roman"/>
                <w:lang w:eastAsia="en-US"/>
              </w:rPr>
            </w:pPr>
            <w:r w:rsidRPr="00C8004D">
              <w:rPr>
                <w:rFonts w:eastAsia="Times New Roman"/>
                <w:lang w:eastAsia="en-US"/>
              </w:rPr>
              <w:t>Sildenafil</w:t>
            </w:r>
            <w:r>
              <w:rPr>
                <w:rFonts w:eastAsia="Times New Roman"/>
                <w:lang w:eastAsia="en-US"/>
              </w:rPr>
              <w:t>: initial dose of</w:t>
            </w:r>
            <w:r w:rsidRPr="00C8004D">
              <w:rPr>
                <w:rFonts w:eastAsia="Times New Roman"/>
                <w:lang w:eastAsia="en-US"/>
              </w:rPr>
              <w:t xml:space="preserve"> 20mg tid, </w:t>
            </w:r>
            <w:r>
              <w:rPr>
                <w:rFonts w:eastAsia="Times New Roman"/>
                <w:lang w:eastAsia="en-US"/>
              </w:rPr>
              <w:t xml:space="preserve">then increased </w:t>
            </w:r>
            <w:r w:rsidRPr="00C8004D">
              <w:rPr>
                <w:rFonts w:eastAsia="Times New Roman"/>
                <w:lang w:eastAsia="en-US"/>
              </w:rPr>
              <w:t xml:space="preserve">to 40mg tid if needed </w:t>
            </w:r>
          </w:p>
          <w:p w:rsidR="001D0FDA" w:rsidRDefault="001D0FDA" w:rsidP="001D0FDA">
            <w:pPr>
              <w:pStyle w:val="Tabletext"/>
              <w:rPr>
                <w:rFonts w:eastAsia="Times New Roman"/>
                <w:lang w:eastAsia="en-US"/>
              </w:rPr>
            </w:pPr>
            <w:r>
              <w:rPr>
                <w:rFonts w:eastAsia="Times New Roman"/>
                <w:lang w:eastAsia="en-US"/>
              </w:rPr>
              <w:t xml:space="preserve">Tadalafil: initial dose of </w:t>
            </w:r>
            <w:r w:rsidRPr="00C8004D">
              <w:rPr>
                <w:rFonts w:eastAsia="Times New Roman"/>
                <w:lang w:eastAsia="en-US"/>
              </w:rPr>
              <w:t>20mg od</w:t>
            </w:r>
            <w:r>
              <w:rPr>
                <w:rFonts w:eastAsia="Times New Roman"/>
                <w:lang w:eastAsia="en-US"/>
              </w:rPr>
              <w:t xml:space="preserve">, then up-titrated </w:t>
            </w:r>
            <w:r w:rsidRPr="00C8004D">
              <w:rPr>
                <w:rFonts w:eastAsia="Times New Roman"/>
                <w:lang w:eastAsia="en-US"/>
              </w:rPr>
              <w:t>to 40mg od after 3</w:t>
            </w:r>
            <w:r>
              <w:rPr>
                <w:rFonts w:eastAsia="Times New Roman"/>
                <w:lang w:eastAsia="en-US"/>
              </w:rPr>
              <w:t>-</w:t>
            </w:r>
            <w:r w:rsidRPr="00C8004D">
              <w:rPr>
                <w:rFonts w:eastAsia="Times New Roman"/>
                <w:lang w:eastAsia="en-US"/>
              </w:rPr>
              <w:t>7 days, according to tolerability</w:t>
            </w:r>
          </w:p>
          <w:p w:rsidR="001D0FDA" w:rsidRDefault="001D0FDA" w:rsidP="001D0FDA">
            <w:pPr>
              <w:pStyle w:val="Tabletext"/>
              <w:rPr>
                <w:rFonts w:eastAsia="Times New Roman"/>
                <w:lang w:eastAsia="en-US"/>
              </w:rPr>
            </w:pPr>
          </w:p>
          <w:p w:rsidR="001D0FDA" w:rsidRPr="00C8004D" w:rsidRDefault="001D0FDA" w:rsidP="001D0FDA">
            <w:pPr>
              <w:pStyle w:val="Tabletext"/>
              <w:rPr>
                <w:rFonts w:eastAsia="Times New Roman"/>
                <w:i/>
                <w:lang w:eastAsia="en-US"/>
              </w:rPr>
            </w:pPr>
            <w:r w:rsidRPr="00C8004D">
              <w:rPr>
                <w:rFonts w:eastAsia="Times New Roman"/>
                <w:i/>
                <w:lang w:eastAsia="en-US"/>
              </w:rPr>
              <w:t>Combination therapy</w:t>
            </w:r>
          </w:p>
          <w:p w:rsidR="001D0FDA" w:rsidRDefault="001D0FDA" w:rsidP="001D0FDA">
            <w:pPr>
              <w:pStyle w:val="Tabletext"/>
              <w:rPr>
                <w:rFonts w:cs="Tahoma"/>
                <w:i/>
                <w:szCs w:val="18"/>
              </w:rPr>
            </w:pPr>
            <w:r>
              <w:rPr>
                <w:rFonts w:eastAsia="Times New Roman"/>
                <w:lang w:eastAsia="en-US"/>
              </w:rPr>
              <w:t>Prostanoid or selexipag</w:t>
            </w:r>
            <w:r w:rsidRPr="008D73C9">
              <w:rPr>
                <w:rFonts w:eastAsia="Times New Roman"/>
                <w:lang w:eastAsia="en-US"/>
              </w:rPr>
              <w:t xml:space="preserve"> (29%)</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lastRenderedPageBreak/>
              <w:t xml:space="preserve">STARTS extension study </w:t>
            </w:r>
            <w:r w:rsidR="001D34EE" w:rsidRPr="001A1C44">
              <w:rPr>
                <w:rFonts w:eastAsia="Times New Roman"/>
                <w:noProof/>
                <w:vertAlign w:val="superscript"/>
                <w:lang w:eastAsia="en-US"/>
              </w:rPr>
              <w:t>69</w:t>
            </w:r>
          </w:p>
          <w:p w:rsidR="001D0FDA" w:rsidRPr="008D73C9" w:rsidRDefault="001D0FDA" w:rsidP="001D0FDA">
            <w:pPr>
              <w:pStyle w:val="Tabletext"/>
              <w:ind w:right="-28"/>
              <w:rPr>
                <w:rFonts w:eastAsia="Times New Roman"/>
                <w:lang w:eastAsia="en-US"/>
              </w:rPr>
            </w:pPr>
            <w:r w:rsidRPr="008D73C9">
              <w:rPr>
                <w:rFonts w:eastAsia="Times New Roman"/>
                <w:lang w:eastAsia="en-US"/>
              </w:rPr>
              <w:t>2004-2011</w:t>
            </w:r>
          </w:p>
          <w:p w:rsidR="001D0FDA" w:rsidRPr="008D73C9" w:rsidRDefault="001D0FDA" w:rsidP="001D0FDA">
            <w:pPr>
              <w:pStyle w:val="Tabletext"/>
              <w:ind w:right="-28"/>
              <w:rPr>
                <w:rFonts w:eastAsia="Times New Roman"/>
                <w:lang w:eastAsia="en-US"/>
              </w:rPr>
            </w:pPr>
            <w:r w:rsidRPr="008D73C9">
              <w:rPr>
                <w:rFonts w:eastAsia="Times New Roman"/>
                <w:lang w:eastAsia="en-US"/>
              </w:rPr>
              <w:t>North, South, and Central America, Asia and Europe</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 xml:space="preserve">Follow-up: </w:t>
            </w:r>
            <w:r w:rsidRPr="008D73C9">
              <w:rPr>
                <w:rFonts w:eastAsia="Times New Roman"/>
                <w:lang w:eastAsia="en-US"/>
              </w:rPr>
              <w:t>4.1 years</w:t>
            </w:r>
          </w:p>
        </w:tc>
        <w:tc>
          <w:tcPr>
            <w:tcW w:w="1096" w:type="pct"/>
          </w:tcPr>
          <w:p w:rsidR="001D0FDA" w:rsidRPr="00850EB5" w:rsidRDefault="001D0FDA" w:rsidP="001D0FDA">
            <w:pPr>
              <w:pStyle w:val="Tabletext"/>
              <w:rPr>
                <w:rFonts w:cs="Tahoma"/>
                <w:i/>
                <w:szCs w:val="18"/>
              </w:rPr>
            </w:pPr>
            <w:r w:rsidRPr="00850EB5">
              <w:rPr>
                <w:rFonts w:cs="Tahoma"/>
                <w:i/>
                <w:szCs w:val="18"/>
              </w:rPr>
              <w:t>Inclusion criteria</w:t>
            </w:r>
          </w:p>
          <w:p w:rsidR="001D0FDA" w:rsidRPr="00850EB5" w:rsidRDefault="001D0FDA" w:rsidP="00480FDF">
            <w:pPr>
              <w:pStyle w:val="Tabletext"/>
              <w:numPr>
                <w:ilvl w:val="0"/>
                <w:numId w:val="54"/>
              </w:numPr>
              <w:ind w:left="239" w:hanging="144"/>
              <w:rPr>
                <w:rFonts w:cs="Tahoma"/>
                <w:i/>
                <w:szCs w:val="18"/>
              </w:rPr>
            </w:pPr>
            <w:r>
              <w:rPr>
                <w:rFonts w:cs="Tahoma"/>
                <w:szCs w:val="18"/>
              </w:rPr>
              <w:t>Children weighing ≥8 kg</w:t>
            </w:r>
          </w:p>
          <w:p w:rsidR="001D0FDA" w:rsidRPr="00097998" w:rsidRDefault="001D0FDA" w:rsidP="00480FDF">
            <w:pPr>
              <w:pStyle w:val="Tabletext"/>
              <w:numPr>
                <w:ilvl w:val="0"/>
                <w:numId w:val="54"/>
              </w:numPr>
              <w:ind w:left="239" w:hanging="144"/>
              <w:rPr>
                <w:rFonts w:cs="Tahoma"/>
                <w:i/>
                <w:szCs w:val="18"/>
              </w:rPr>
            </w:pPr>
            <w:r>
              <w:rPr>
                <w:rFonts w:cs="Tahoma"/>
                <w:szCs w:val="18"/>
              </w:rPr>
              <w:t xml:space="preserve">Patients with </w:t>
            </w:r>
            <w:r w:rsidRPr="00850EB5">
              <w:rPr>
                <w:rFonts w:cs="Tahoma"/>
                <w:szCs w:val="18"/>
              </w:rPr>
              <w:t>IPAH, HPAH, PAH-CTD, or PAH-CHD who completed Trial STARTS</w:t>
            </w:r>
          </w:p>
        </w:tc>
        <w:tc>
          <w:tcPr>
            <w:tcW w:w="1856" w:type="pct"/>
          </w:tcPr>
          <w:p w:rsidR="001D0FDA" w:rsidRDefault="001D0FDA" w:rsidP="001D0FDA">
            <w:pPr>
              <w:pStyle w:val="Tabletext"/>
              <w:ind w:right="-28"/>
              <w:rPr>
                <w:rFonts w:eastAsia="Times New Roman"/>
                <w:lang w:eastAsia="en-US"/>
              </w:rPr>
            </w:pPr>
            <w:r w:rsidRPr="008D73C9">
              <w:rPr>
                <w:rFonts w:eastAsia="Times New Roman"/>
                <w:lang w:eastAsia="en-US"/>
              </w:rPr>
              <w:t>N=</w:t>
            </w:r>
            <w:r>
              <w:rPr>
                <w:rFonts w:eastAsia="Times New Roman"/>
                <w:lang w:eastAsia="en-US"/>
              </w:rPr>
              <w:t>220*</w:t>
            </w:r>
          </w:p>
          <w:tbl>
            <w:tblPr>
              <w:tblStyle w:val="TableGrid"/>
              <w:tblW w:w="51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he STARTS extension study"/>
            </w:tblPr>
            <w:tblGrid>
              <w:gridCol w:w="1353"/>
              <w:gridCol w:w="987"/>
              <w:gridCol w:w="926"/>
              <w:gridCol w:w="1019"/>
              <w:gridCol w:w="899"/>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1349" w:type="dxa"/>
                  <w:tcBorders>
                    <w:bottom w:val="single" w:sz="4" w:space="0" w:color="BFBFBF" w:themeColor="background1" w:themeShade="BF"/>
                  </w:tcBorders>
                  <w:shd w:val="clear" w:color="auto" w:fill="FFFFFF" w:themeFill="background1"/>
                </w:tcPr>
                <w:p w:rsidR="001D0FDA" w:rsidRPr="00351FF5" w:rsidRDefault="001D0FDA" w:rsidP="00B5196D">
                  <w:pPr>
                    <w:pStyle w:val="Tabletext"/>
                    <w:framePr w:hSpace="180" w:wrap="around" w:vAnchor="text" w:hAnchor="text" w:y="1"/>
                  </w:pPr>
                </w:p>
              </w:tc>
              <w:tc>
                <w:tcPr>
                  <w:tcW w:w="994" w:type="dxa"/>
                  <w:tcBorders>
                    <w:bottom w:val="single" w:sz="4" w:space="0" w:color="BFBFBF" w:themeColor="background1" w:themeShade="BF"/>
                  </w:tcBorders>
                  <w:shd w:val="clear" w:color="auto" w:fill="FFFFFF" w:themeFill="background1"/>
                </w:tcPr>
                <w:p w:rsidR="001D0FDA" w:rsidRPr="007D4163" w:rsidRDefault="001D0FDA" w:rsidP="00B5196D">
                  <w:pPr>
                    <w:pStyle w:val="Tabletext"/>
                    <w:framePr w:hSpace="180" w:wrap="around" w:vAnchor="text" w:hAnchor="text" w:y="1"/>
                    <w:jc w:val="center"/>
                  </w:pPr>
                  <w:r w:rsidRPr="007D4163">
                    <w:t xml:space="preserve">Sildenafil </w:t>
                  </w:r>
                  <w:r>
                    <w:t>low dose</w:t>
                  </w:r>
                </w:p>
                <w:p w:rsidR="001D0FDA" w:rsidRPr="00802B85" w:rsidRDefault="001D0FDA" w:rsidP="00B5196D">
                  <w:pPr>
                    <w:pStyle w:val="Tabletext"/>
                    <w:framePr w:hSpace="180" w:wrap="around" w:vAnchor="text" w:hAnchor="text" w:y="1"/>
                    <w:jc w:val="center"/>
                  </w:pPr>
                  <w:r>
                    <w:t>(n=42)</w:t>
                  </w:r>
                </w:p>
              </w:tc>
              <w:tc>
                <w:tcPr>
                  <w:tcW w:w="905" w:type="dxa"/>
                  <w:tcBorders>
                    <w:bottom w:val="single" w:sz="4" w:space="0" w:color="BFBFBF" w:themeColor="background1" w:themeShade="BF"/>
                  </w:tcBorders>
                  <w:shd w:val="clear" w:color="auto" w:fill="FFFFFF" w:themeFill="background1"/>
                </w:tcPr>
                <w:p w:rsidR="001D0FDA" w:rsidRDefault="001D0FDA" w:rsidP="00B5196D">
                  <w:pPr>
                    <w:pStyle w:val="Tabletext"/>
                    <w:framePr w:hSpace="180" w:wrap="around" w:vAnchor="text" w:hAnchor="text" w:y="1"/>
                    <w:jc w:val="center"/>
                  </w:pPr>
                  <w:r>
                    <w:t>Sildenafil m</w:t>
                  </w:r>
                  <w:r w:rsidRPr="007D4163">
                    <w:t>edian</w:t>
                  </w:r>
                  <w:r>
                    <w:t xml:space="preserve"> dose</w:t>
                  </w:r>
                </w:p>
                <w:p w:rsidR="001D0FDA" w:rsidRPr="00411013" w:rsidRDefault="001D0FDA" w:rsidP="00B5196D">
                  <w:pPr>
                    <w:pStyle w:val="Tabletext"/>
                    <w:framePr w:hSpace="180" w:wrap="around" w:vAnchor="text" w:hAnchor="text" w:y="1"/>
                    <w:jc w:val="center"/>
                  </w:pPr>
                  <w:r w:rsidRPr="007D4163">
                    <w:t>(n=55)</w:t>
                  </w:r>
                </w:p>
              </w:tc>
              <w:tc>
                <w:tcPr>
                  <w:tcW w:w="1030" w:type="dxa"/>
                  <w:tcBorders>
                    <w:bottom w:val="single" w:sz="4" w:space="0" w:color="BFBFBF" w:themeColor="background1" w:themeShade="BF"/>
                  </w:tcBorders>
                  <w:shd w:val="clear" w:color="auto" w:fill="FFFFFF" w:themeFill="background1"/>
                </w:tcPr>
                <w:p w:rsidR="001D0FDA" w:rsidRPr="00802B85" w:rsidRDefault="001D0FDA" w:rsidP="00B5196D">
                  <w:pPr>
                    <w:pStyle w:val="Tabletext"/>
                    <w:framePr w:hSpace="180" w:wrap="around" w:vAnchor="text" w:hAnchor="text" w:y="1"/>
                    <w:jc w:val="center"/>
                  </w:pPr>
                  <w:r>
                    <w:t>Sildenafil h</w:t>
                  </w:r>
                  <w:r w:rsidRPr="007D4163">
                    <w:t xml:space="preserve">igh </w:t>
                  </w:r>
                  <w:r>
                    <w:t>dose (n=77)</w:t>
                  </w:r>
                </w:p>
              </w:tc>
              <w:tc>
                <w:tcPr>
                  <w:tcW w:w="906" w:type="dxa"/>
                  <w:tcBorders>
                    <w:bottom w:val="single" w:sz="4" w:space="0" w:color="BFBFBF" w:themeColor="background1" w:themeShade="BF"/>
                  </w:tcBorders>
                  <w:shd w:val="clear" w:color="auto" w:fill="FFFFFF" w:themeFill="background1"/>
                </w:tcPr>
                <w:p w:rsidR="001D0FDA" w:rsidRPr="007D4163" w:rsidRDefault="001D0FDA" w:rsidP="00B5196D">
                  <w:pPr>
                    <w:pStyle w:val="Tabletext"/>
                    <w:framePr w:hSpace="180" w:wrap="around" w:vAnchor="text" w:hAnchor="text" w:y="1"/>
                    <w:jc w:val="center"/>
                  </w:pPr>
                  <w:r w:rsidRPr="007D4163">
                    <w:t>Placebo</w:t>
                  </w:r>
                </w:p>
                <w:p w:rsidR="001D0FDA" w:rsidRPr="00802B85" w:rsidRDefault="001D0FDA" w:rsidP="00B5196D">
                  <w:pPr>
                    <w:pStyle w:val="Tabletext"/>
                    <w:framePr w:hSpace="180" w:wrap="around" w:vAnchor="text" w:hAnchor="text" w:y="1"/>
                    <w:jc w:val="center"/>
                  </w:pPr>
                  <w:r w:rsidRPr="007D4163">
                    <w:t>(n=60)</w:t>
                  </w:r>
                </w:p>
              </w:tc>
            </w:tr>
            <w:tr w:rsidR="001D0FDA" w:rsidRPr="00351FF5" w:rsidTr="001D0FDA">
              <w:tc>
                <w:tcPr>
                  <w:tcW w:w="1349" w:type="dxa"/>
                  <w:tcBorders>
                    <w:bottom w:val="nil"/>
                  </w:tcBorders>
                </w:tcPr>
                <w:p w:rsidR="001D0FDA" w:rsidRPr="00351FF5" w:rsidRDefault="001D0FDA" w:rsidP="00B5196D">
                  <w:pPr>
                    <w:pStyle w:val="Tabletext"/>
                    <w:framePr w:hSpace="180" w:wrap="around" w:vAnchor="text" w:hAnchor="text" w:y="1"/>
                  </w:pPr>
                  <w:r>
                    <w:t>Weight</w:t>
                  </w:r>
                  <w:r w:rsidRPr="00351FF5">
                    <w:t xml:space="preserve">, </w:t>
                  </w:r>
                  <w:r>
                    <w:t>n (%)</w:t>
                  </w:r>
                  <w:r w:rsidRPr="00351FF5">
                    <w:t xml:space="preserve"> </w:t>
                  </w:r>
                </w:p>
              </w:tc>
              <w:tc>
                <w:tcPr>
                  <w:tcW w:w="994" w:type="dxa"/>
                  <w:tcBorders>
                    <w:bottom w:val="nil"/>
                  </w:tcBorders>
                  <w:vAlign w:val="center"/>
                </w:tcPr>
                <w:p w:rsidR="001D0FDA" w:rsidRPr="00411013" w:rsidRDefault="001D0FDA" w:rsidP="00B5196D">
                  <w:pPr>
                    <w:pStyle w:val="Tabletext"/>
                    <w:framePr w:hSpace="180" w:wrap="around" w:vAnchor="text" w:hAnchor="text" w:y="1"/>
                  </w:pPr>
                </w:p>
              </w:tc>
              <w:tc>
                <w:tcPr>
                  <w:tcW w:w="905" w:type="dxa"/>
                  <w:tcBorders>
                    <w:bottom w:val="nil"/>
                  </w:tcBorders>
                  <w:vAlign w:val="center"/>
                </w:tcPr>
                <w:p w:rsidR="001D0FDA" w:rsidRPr="00411013" w:rsidRDefault="001D0FDA" w:rsidP="00B5196D">
                  <w:pPr>
                    <w:pStyle w:val="Tabletext"/>
                    <w:framePr w:hSpace="180" w:wrap="around" w:vAnchor="text" w:hAnchor="text" w:y="1"/>
                  </w:pPr>
                </w:p>
              </w:tc>
              <w:tc>
                <w:tcPr>
                  <w:tcW w:w="1030" w:type="dxa"/>
                  <w:tcBorders>
                    <w:bottom w:val="nil"/>
                  </w:tcBorders>
                  <w:vAlign w:val="center"/>
                </w:tcPr>
                <w:p w:rsidR="001D0FDA" w:rsidRPr="00411013" w:rsidRDefault="001D0FDA" w:rsidP="00B5196D">
                  <w:pPr>
                    <w:pStyle w:val="Tabletext"/>
                    <w:framePr w:hSpace="180" w:wrap="around" w:vAnchor="text" w:hAnchor="text" w:y="1"/>
                  </w:pPr>
                </w:p>
              </w:tc>
              <w:tc>
                <w:tcPr>
                  <w:tcW w:w="906" w:type="dxa"/>
                  <w:tcBorders>
                    <w:bottom w:val="nil"/>
                  </w:tcBorders>
                  <w:vAlign w:val="center"/>
                </w:tcPr>
                <w:p w:rsidR="001D0FDA" w:rsidRPr="00411013" w:rsidRDefault="001D0FDA" w:rsidP="00B5196D">
                  <w:pPr>
                    <w:pStyle w:val="Tabletext"/>
                    <w:framePr w:hSpace="180" w:wrap="around" w:vAnchor="text" w:hAnchor="text" w:y="1"/>
                  </w:pPr>
                </w:p>
              </w:tc>
            </w:tr>
            <w:tr w:rsidR="001D0FDA" w:rsidRPr="00351FF5" w:rsidTr="001D0FDA">
              <w:tc>
                <w:tcPr>
                  <w:tcW w:w="1349" w:type="dxa"/>
                  <w:tcBorders>
                    <w:top w:val="nil"/>
                    <w:bottom w:val="nil"/>
                  </w:tcBorders>
                </w:tcPr>
                <w:p w:rsidR="001D0FDA" w:rsidRPr="00351FF5" w:rsidRDefault="001D0FDA" w:rsidP="00B5196D">
                  <w:pPr>
                    <w:pStyle w:val="Tabletext"/>
                    <w:framePr w:hSpace="180" w:wrap="around" w:vAnchor="text" w:hAnchor="text" w:y="1"/>
                    <w:ind w:left="160"/>
                  </w:pPr>
                  <w:r>
                    <w:t>≤20kg</w:t>
                  </w:r>
                </w:p>
              </w:tc>
              <w:tc>
                <w:tcPr>
                  <w:tcW w:w="994" w:type="dxa"/>
                  <w:tcBorders>
                    <w:top w:val="nil"/>
                    <w:bottom w:val="nil"/>
                  </w:tcBorders>
                  <w:vAlign w:val="center"/>
                </w:tcPr>
                <w:p w:rsidR="001D0FDA" w:rsidRPr="00411013" w:rsidRDefault="001D0FDA" w:rsidP="00B5196D">
                  <w:pPr>
                    <w:pStyle w:val="Tabletext"/>
                    <w:framePr w:hSpace="180" w:wrap="around" w:vAnchor="text" w:hAnchor="text" w:y="1"/>
                    <w:jc w:val="center"/>
                  </w:pPr>
                  <w:r>
                    <w:t>0 (0%)</w:t>
                  </w:r>
                </w:p>
              </w:tc>
              <w:tc>
                <w:tcPr>
                  <w:tcW w:w="905" w:type="dxa"/>
                  <w:tcBorders>
                    <w:top w:val="nil"/>
                    <w:bottom w:val="nil"/>
                  </w:tcBorders>
                  <w:vAlign w:val="center"/>
                </w:tcPr>
                <w:p w:rsidR="001D0FDA" w:rsidRPr="00411013" w:rsidRDefault="001D0FDA" w:rsidP="00B5196D">
                  <w:pPr>
                    <w:pStyle w:val="Tabletext"/>
                    <w:framePr w:hSpace="180" w:wrap="around" w:vAnchor="text" w:hAnchor="text" w:y="1"/>
                    <w:jc w:val="center"/>
                  </w:pPr>
                  <w:r>
                    <w:t>15 (27%)</w:t>
                  </w:r>
                </w:p>
              </w:tc>
              <w:tc>
                <w:tcPr>
                  <w:tcW w:w="1030" w:type="dxa"/>
                  <w:tcBorders>
                    <w:top w:val="nil"/>
                    <w:bottom w:val="nil"/>
                  </w:tcBorders>
                  <w:vAlign w:val="center"/>
                </w:tcPr>
                <w:p w:rsidR="001D0FDA" w:rsidRPr="00411013" w:rsidRDefault="001D0FDA" w:rsidP="00B5196D">
                  <w:pPr>
                    <w:pStyle w:val="Tabletext"/>
                    <w:framePr w:hSpace="180" w:wrap="around" w:vAnchor="text" w:hAnchor="text" w:y="1"/>
                    <w:jc w:val="center"/>
                  </w:pPr>
                  <w:r>
                    <w:t>35 (46%)</w:t>
                  </w:r>
                </w:p>
              </w:tc>
              <w:tc>
                <w:tcPr>
                  <w:tcW w:w="906" w:type="dxa"/>
                  <w:tcBorders>
                    <w:top w:val="nil"/>
                    <w:bottom w:val="nil"/>
                  </w:tcBorders>
                  <w:vAlign w:val="center"/>
                </w:tcPr>
                <w:p w:rsidR="001D0FDA" w:rsidRPr="00411013" w:rsidRDefault="001D0FDA" w:rsidP="00B5196D">
                  <w:pPr>
                    <w:pStyle w:val="Tabletext"/>
                    <w:framePr w:hSpace="180" w:wrap="around" w:vAnchor="text" w:hAnchor="text" w:y="1"/>
                    <w:jc w:val="center"/>
                  </w:pPr>
                  <w:r>
                    <w:t>18 (30%)</w:t>
                  </w:r>
                </w:p>
              </w:tc>
            </w:tr>
            <w:tr w:rsidR="001D0FDA" w:rsidRPr="00351FF5" w:rsidTr="001D0FDA">
              <w:tc>
                <w:tcPr>
                  <w:tcW w:w="1349" w:type="dxa"/>
                  <w:tcBorders>
                    <w:top w:val="nil"/>
                    <w:bottom w:val="nil"/>
                  </w:tcBorders>
                </w:tcPr>
                <w:p w:rsidR="001D0FDA" w:rsidRPr="00351FF5" w:rsidRDefault="001D0FDA" w:rsidP="00B5196D">
                  <w:pPr>
                    <w:pStyle w:val="Tabletext"/>
                    <w:framePr w:hSpace="180" w:wrap="around" w:vAnchor="text" w:hAnchor="text" w:y="1"/>
                    <w:ind w:left="160"/>
                  </w:pPr>
                  <w:r>
                    <w:t>&gt;20kg</w:t>
                  </w:r>
                </w:p>
              </w:tc>
              <w:tc>
                <w:tcPr>
                  <w:tcW w:w="994" w:type="dxa"/>
                  <w:tcBorders>
                    <w:top w:val="nil"/>
                    <w:bottom w:val="nil"/>
                  </w:tcBorders>
                  <w:vAlign w:val="center"/>
                </w:tcPr>
                <w:p w:rsidR="001D0FDA" w:rsidRPr="00411013" w:rsidRDefault="001D0FDA" w:rsidP="00B5196D">
                  <w:pPr>
                    <w:pStyle w:val="Tabletext"/>
                    <w:framePr w:hSpace="180" w:wrap="around" w:vAnchor="text" w:hAnchor="text" w:y="1"/>
                    <w:jc w:val="center"/>
                  </w:pPr>
                  <w:r>
                    <w:t>42 (100%)</w:t>
                  </w:r>
                </w:p>
              </w:tc>
              <w:tc>
                <w:tcPr>
                  <w:tcW w:w="905" w:type="dxa"/>
                  <w:tcBorders>
                    <w:top w:val="nil"/>
                    <w:bottom w:val="nil"/>
                  </w:tcBorders>
                  <w:vAlign w:val="center"/>
                </w:tcPr>
                <w:p w:rsidR="001D0FDA" w:rsidRPr="00411013" w:rsidRDefault="001D0FDA" w:rsidP="00B5196D">
                  <w:pPr>
                    <w:pStyle w:val="Tabletext"/>
                    <w:framePr w:hSpace="180" w:wrap="around" w:vAnchor="text" w:hAnchor="text" w:y="1"/>
                    <w:jc w:val="center"/>
                  </w:pPr>
                  <w:r>
                    <w:t>40 (73%)</w:t>
                  </w:r>
                </w:p>
              </w:tc>
              <w:tc>
                <w:tcPr>
                  <w:tcW w:w="1030" w:type="dxa"/>
                  <w:tcBorders>
                    <w:top w:val="nil"/>
                    <w:bottom w:val="nil"/>
                  </w:tcBorders>
                  <w:vAlign w:val="center"/>
                </w:tcPr>
                <w:p w:rsidR="001D0FDA" w:rsidRPr="00411013" w:rsidRDefault="001D0FDA" w:rsidP="00B5196D">
                  <w:pPr>
                    <w:pStyle w:val="Tabletext"/>
                    <w:framePr w:hSpace="180" w:wrap="around" w:vAnchor="text" w:hAnchor="text" w:y="1"/>
                    <w:jc w:val="center"/>
                  </w:pPr>
                  <w:r>
                    <w:t>42 (55%)</w:t>
                  </w:r>
                </w:p>
              </w:tc>
              <w:tc>
                <w:tcPr>
                  <w:tcW w:w="906" w:type="dxa"/>
                  <w:tcBorders>
                    <w:top w:val="nil"/>
                    <w:bottom w:val="nil"/>
                  </w:tcBorders>
                  <w:vAlign w:val="center"/>
                </w:tcPr>
                <w:p w:rsidR="001D0FDA" w:rsidRPr="00411013" w:rsidRDefault="001D0FDA" w:rsidP="00B5196D">
                  <w:pPr>
                    <w:pStyle w:val="Tabletext"/>
                    <w:framePr w:hSpace="180" w:wrap="around" w:vAnchor="text" w:hAnchor="text" w:y="1"/>
                    <w:jc w:val="center"/>
                  </w:pPr>
                  <w:r>
                    <w:t>42 (70%)</w:t>
                  </w:r>
                </w:p>
              </w:tc>
            </w:tr>
            <w:tr w:rsidR="001D0FDA" w:rsidRPr="00351FF5" w:rsidTr="001D0FDA">
              <w:tc>
                <w:tcPr>
                  <w:tcW w:w="1349" w:type="dxa"/>
                  <w:tcBorders>
                    <w:bottom w:val="nil"/>
                  </w:tcBorders>
                </w:tcPr>
                <w:p w:rsidR="001D0FDA" w:rsidRPr="00351FF5" w:rsidRDefault="001D0FDA" w:rsidP="00B5196D">
                  <w:pPr>
                    <w:pStyle w:val="Tabletext"/>
                    <w:framePr w:hSpace="180" w:wrap="around" w:vAnchor="text" w:hAnchor="text" w:y="1"/>
                  </w:pPr>
                  <w:r w:rsidRPr="00351FF5">
                    <w:t>PAH aetiology, n (%)</w:t>
                  </w:r>
                </w:p>
              </w:tc>
              <w:tc>
                <w:tcPr>
                  <w:tcW w:w="994" w:type="dxa"/>
                  <w:tcBorders>
                    <w:bottom w:val="nil"/>
                  </w:tcBorders>
                  <w:vAlign w:val="center"/>
                </w:tcPr>
                <w:p w:rsidR="001D0FDA" w:rsidRPr="00411013" w:rsidRDefault="001D0FDA" w:rsidP="00B5196D">
                  <w:pPr>
                    <w:pStyle w:val="Tabletext"/>
                    <w:framePr w:hSpace="180" w:wrap="around" w:vAnchor="text" w:hAnchor="text" w:y="1"/>
                    <w:jc w:val="center"/>
                  </w:pPr>
                </w:p>
              </w:tc>
              <w:tc>
                <w:tcPr>
                  <w:tcW w:w="905" w:type="dxa"/>
                  <w:tcBorders>
                    <w:bottom w:val="nil"/>
                  </w:tcBorders>
                  <w:vAlign w:val="center"/>
                </w:tcPr>
                <w:p w:rsidR="001D0FDA" w:rsidRPr="00411013" w:rsidRDefault="001D0FDA" w:rsidP="00B5196D">
                  <w:pPr>
                    <w:pStyle w:val="Tabletext"/>
                    <w:framePr w:hSpace="180" w:wrap="around" w:vAnchor="text" w:hAnchor="text" w:y="1"/>
                    <w:jc w:val="center"/>
                  </w:pPr>
                </w:p>
              </w:tc>
              <w:tc>
                <w:tcPr>
                  <w:tcW w:w="1030" w:type="dxa"/>
                  <w:tcBorders>
                    <w:bottom w:val="nil"/>
                  </w:tcBorders>
                  <w:vAlign w:val="center"/>
                </w:tcPr>
                <w:p w:rsidR="001D0FDA" w:rsidRPr="00411013" w:rsidRDefault="001D0FDA" w:rsidP="00B5196D">
                  <w:pPr>
                    <w:pStyle w:val="Tabletext"/>
                    <w:framePr w:hSpace="180" w:wrap="around" w:vAnchor="text" w:hAnchor="text" w:y="1"/>
                    <w:jc w:val="center"/>
                  </w:pPr>
                </w:p>
              </w:tc>
              <w:tc>
                <w:tcPr>
                  <w:tcW w:w="906" w:type="dxa"/>
                  <w:tcBorders>
                    <w:bottom w:val="nil"/>
                  </w:tcBorders>
                  <w:vAlign w:val="center"/>
                </w:tcPr>
                <w:p w:rsidR="001D0FDA" w:rsidRPr="00411013" w:rsidRDefault="001D0FDA" w:rsidP="00B5196D">
                  <w:pPr>
                    <w:pStyle w:val="Tabletext"/>
                    <w:framePr w:hSpace="180" w:wrap="around" w:vAnchor="text" w:hAnchor="text" w:y="1"/>
                    <w:jc w:val="center"/>
                  </w:pPr>
                </w:p>
              </w:tc>
            </w:tr>
            <w:tr w:rsidR="001D0FDA" w:rsidRPr="00351FF5" w:rsidTr="001D0FDA">
              <w:tc>
                <w:tcPr>
                  <w:tcW w:w="1349" w:type="dxa"/>
                  <w:tcBorders>
                    <w:top w:val="nil"/>
                    <w:bottom w:val="nil"/>
                  </w:tcBorders>
                </w:tcPr>
                <w:p w:rsidR="001D0FDA" w:rsidRPr="00351FF5" w:rsidRDefault="001D0FDA" w:rsidP="00B5196D">
                  <w:pPr>
                    <w:pStyle w:val="Tabletext"/>
                    <w:framePr w:hSpace="180" w:wrap="around" w:vAnchor="text" w:hAnchor="text" w:y="1"/>
                    <w:ind w:left="160"/>
                  </w:pPr>
                  <w:r w:rsidRPr="00351FF5">
                    <w:t>IPAH</w:t>
                  </w:r>
                  <w:r>
                    <w:t>/HPAH</w:t>
                  </w:r>
                </w:p>
              </w:tc>
              <w:tc>
                <w:tcPr>
                  <w:tcW w:w="994" w:type="dxa"/>
                  <w:tcBorders>
                    <w:top w:val="nil"/>
                    <w:bottom w:val="nil"/>
                  </w:tcBorders>
                  <w:vAlign w:val="center"/>
                </w:tcPr>
                <w:p w:rsidR="001D0FDA" w:rsidRPr="00411013" w:rsidRDefault="001D0FDA" w:rsidP="00B5196D">
                  <w:pPr>
                    <w:pStyle w:val="Tabletext"/>
                    <w:framePr w:hSpace="180" w:wrap="around" w:vAnchor="text" w:hAnchor="text" w:y="1"/>
                    <w:jc w:val="center"/>
                  </w:pPr>
                  <w:r>
                    <w:t>12 (29%)</w:t>
                  </w:r>
                </w:p>
              </w:tc>
              <w:tc>
                <w:tcPr>
                  <w:tcW w:w="905" w:type="dxa"/>
                  <w:tcBorders>
                    <w:top w:val="nil"/>
                    <w:bottom w:val="nil"/>
                  </w:tcBorders>
                  <w:vAlign w:val="center"/>
                </w:tcPr>
                <w:p w:rsidR="001D0FDA" w:rsidRPr="005331C3" w:rsidRDefault="001D0FDA" w:rsidP="00B5196D">
                  <w:pPr>
                    <w:pStyle w:val="Tabletext"/>
                    <w:framePr w:hSpace="180" w:wrap="around" w:vAnchor="text" w:hAnchor="text" w:y="1"/>
                    <w:jc w:val="center"/>
                  </w:pPr>
                  <w:r>
                    <w:t>19 (35%)</w:t>
                  </w:r>
                </w:p>
              </w:tc>
              <w:tc>
                <w:tcPr>
                  <w:tcW w:w="1030" w:type="dxa"/>
                  <w:tcBorders>
                    <w:top w:val="nil"/>
                    <w:bottom w:val="nil"/>
                  </w:tcBorders>
                  <w:vAlign w:val="center"/>
                </w:tcPr>
                <w:p w:rsidR="001D0FDA" w:rsidRPr="00411013" w:rsidRDefault="001D0FDA" w:rsidP="00B5196D">
                  <w:pPr>
                    <w:pStyle w:val="Tabletext"/>
                    <w:framePr w:hSpace="180" w:wrap="around" w:vAnchor="text" w:hAnchor="text" w:y="1"/>
                    <w:jc w:val="center"/>
                  </w:pPr>
                  <w:r>
                    <w:t>26 (34%)</w:t>
                  </w:r>
                </w:p>
              </w:tc>
              <w:tc>
                <w:tcPr>
                  <w:tcW w:w="906" w:type="dxa"/>
                  <w:tcBorders>
                    <w:top w:val="nil"/>
                    <w:bottom w:val="nil"/>
                  </w:tcBorders>
                  <w:vAlign w:val="center"/>
                </w:tcPr>
                <w:p w:rsidR="001D0FDA" w:rsidRPr="00411013" w:rsidRDefault="001D0FDA" w:rsidP="00B5196D">
                  <w:pPr>
                    <w:pStyle w:val="Tabletext"/>
                    <w:framePr w:hSpace="180" w:wrap="around" w:vAnchor="text" w:hAnchor="text" w:y="1"/>
                    <w:jc w:val="center"/>
                  </w:pPr>
                  <w:r>
                    <w:t>21 (35%)</w:t>
                  </w:r>
                </w:p>
              </w:tc>
            </w:tr>
            <w:tr w:rsidR="001D0FDA" w:rsidRPr="00351FF5" w:rsidTr="001D0FDA">
              <w:tc>
                <w:tcPr>
                  <w:tcW w:w="1349" w:type="dxa"/>
                  <w:tcBorders>
                    <w:top w:val="nil"/>
                    <w:bottom w:val="single" w:sz="4" w:space="0" w:color="BFBFBF" w:themeColor="background1" w:themeShade="BF"/>
                  </w:tcBorders>
                </w:tcPr>
                <w:p w:rsidR="001D0FDA" w:rsidRPr="00351FF5" w:rsidRDefault="001D0FDA" w:rsidP="00B5196D">
                  <w:pPr>
                    <w:pStyle w:val="Tabletext"/>
                    <w:framePr w:hSpace="180" w:wrap="around" w:vAnchor="text" w:hAnchor="text" w:y="1"/>
                    <w:ind w:left="160"/>
                  </w:pPr>
                  <w:r w:rsidRPr="00351FF5">
                    <w:t>PAH-CHD</w:t>
                  </w:r>
                </w:p>
              </w:tc>
              <w:tc>
                <w:tcPr>
                  <w:tcW w:w="994" w:type="dxa"/>
                  <w:tcBorders>
                    <w:top w:val="nil"/>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jc w:val="center"/>
                  </w:pPr>
                  <w:r>
                    <w:t>30 (71%)</w:t>
                  </w:r>
                </w:p>
              </w:tc>
              <w:tc>
                <w:tcPr>
                  <w:tcW w:w="905" w:type="dxa"/>
                  <w:tcBorders>
                    <w:top w:val="nil"/>
                    <w:bottom w:val="single" w:sz="4" w:space="0" w:color="BFBFBF" w:themeColor="background1" w:themeShade="BF"/>
                  </w:tcBorders>
                  <w:vAlign w:val="center"/>
                </w:tcPr>
                <w:p w:rsidR="001D0FDA" w:rsidRPr="005331C3" w:rsidRDefault="001D0FDA" w:rsidP="00B5196D">
                  <w:pPr>
                    <w:pStyle w:val="Tabletext"/>
                    <w:framePr w:hSpace="180" w:wrap="around" w:vAnchor="text" w:hAnchor="text" w:y="1"/>
                    <w:jc w:val="center"/>
                  </w:pPr>
                  <w:r>
                    <w:t>36 (65%)</w:t>
                  </w:r>
                </w:p>
              </w:tc>
              <w:tc>
                <w:tcPr>
                  <w:tcW w:w="1030" w:type="dxa"/>
                  <w:tcBorders>
                    <w:top w:val="nil"/>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jc w:val="center"/>
                  </w:pPr>
                  <w:r>
                    <w:t>51 (66%)</w:t>
                  </w:r>
                </w:p>
              </w:tc>
              <w:tc>
                <w:tcPr>
                  <w:tcW w:w="906" w:type="dxa"/>
                  <w:tcBorders>
                    <w:top w:val="nil"/>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jc w:val="center"/>
                  </w:pPr>
                  <w:r>
                    <w:t>39 (65%)</w:t>
                  </w:r>
                </w:p>
              </w:tc>
            </w:tr>
            <w:tr w:rsidR="001D0FDA" w:rsidRPr="00351FF5" w:rsidTr="001D0FDA">
              <w:tc>
                <w:tcPr>
                  <w:tcW w:w="1349" w:type="dxa"/>
                  <w:tcBorders>
                    <w:top w:val="single" w:sz="4" w:space="0" w:color="BFBFBF" w:themeColor="background1" w:themeShade="BF"/>
                    <w:bottom w:val="nil"/>
                  </w:tcBorders>
                </w:tcPr>
                <w:p w:rsidR="001D0FDA" w:rsidRPr="00351FF5" w:rsidRDefault="001D0FDA" w:rsidP="00B5196D">
                  <w:pPr>
                    <w:pStyle w:val="Tabletext"/>
                    <w:framePr w:hSpace="180" w:wrap="around" w:vAnchor="text" w:hAnchor="text" w:y="1"/>
                  </w:pPr>
                  <w:r w:rsidRPr="00351FF5">
                    <w:t>WHO FC</w:t>
                  </w:r>
                  <w:r>
                    <w:t>, n (%)</w:t>
                  </w:r>
                </w:p>
              </w:tc>
              <w:tc>
                <w:tcPr>
                  <w:tcW w:w="994" w:type="dxa"/>
                  <w:tcBorders>
                    <w:top w:val="single" w:sz="4" w:space="0" w:color="BFBFBF" w:themeColor="background1" w:themeShade="BF"/>
                    <w:bottom w:val="nil"/>
                  </w:tcBorders>
                  <w:vAlign w:val="center"/>
                </w:tcPr>
                <w:p w:rsidR="001D0FDA" w:rsidRPr="00411013" w:rsidRDefault="001D0FDA" w:rsidP="00B5196D">
                  <w:pPr>
                    <w:pStyle w:val="Tabletext"/>
                    <w:framePr w:hSpace="180" w:wrap="around" w:vAnchor="text" w:hAnchor="text" w:y="1"/>
                    <w:jc w:val="center"/>
                  </w:pPr>
                </w:p>
              </w:tc>
              <w:tc>
                <w:tcPr>
                  <w:tcW w:w="905" w:type="dxa"/>
                  <w:tcBorders>
                    <w:top w:val="single" w:sz="4" w:space="0" w:color="BFBFBF" w:themeColor="background1" w:themeShade="BF"/>
                    <w:bottom w:val="nil"/>
                  </w:tcBorders>
                  <w:vAlign w:val="center"/>
                </w:tcPr>
                <w:p w:rsidR="001D0FDA" w:rsidRPr="00411013" w:rsidRDefault="001D0FDA" w:rsidP="00B5196D">
                  <w:pPr>
                    <w:pStyle w:val="Tabletext"/>
                    <w:framePr w:hSpace="180" w:wrap="around" w:vAnchor="text" w:hAnchor="text" w:y="1"/>
                    <w:jc w:val="center"/>
                  </w:pPr>
                </w:p>
              </w:tc>
              <w:tc>
                <w:tcPr>
                  <w:tcW w:w="1030" w:type="dxa"/>
                  <w:tcBorders>
                    <w:top w:val="single" w:sz="4" w:space="0" w:color="BFBFBF" w:themeColor="background1" w:themeShade="BF"/>
                    <w:bottom w:val="nil"/>
                  </w:tcBorders>
                  <w:vAlign w:val="center"/>
                </w:tcPr>
                <w:p w:rsidR="001D0FDA" w:rsidRPr="00411013" w:rsidRDefault="001D0FDA" w:rsidP="00B5196D">
                  <w:pPr>
                    <w:pStyle w:val="Tabletext"/>
                    <w:framePr w:hSpace="180" w:wrap="around" w:vAnchor="text" w:hAnchor="text" w:y="1"/>
                    <w:jc w:val="center"/>
                  </w:pPr>
                </w:p>
              </w:tc>
              <w:tc>
                <w:tcPr>
                  <w:tcW w:w="906" w:type="dxa"/>
                  <w:tcBorders>
                    <w:top w:val="single" w:sz="4" w:space="0" w:color="BFBFBF" w:themeColor="background1" w:themeShade="BF"/>
                    <w:bottom w:val="nil"/>
                  </w:tcBorders>
                  <w:vAlign w:val="center"/>
                </w:tcPr>
                <w:p w:rsidR="001D0FDA" w:rsidRPr="00411013" w:rsidRDefault="001D0FDA" w:rsidP="00B5196D">
                  <w:pPr>
                    <w:pStyle w:val="Tabletext"/>
                    <w:framePr w:hSpace="180" w:wrap="around" w:vAnchor="text" w:hAnchor="text" w:y="1"/>
                    <w:jc w:val="center"/>
                  </w:pPr>
                </w:p>
              </w:tc>
            </w:tr>
            <w:tr w:rsidR="001D0FDA" w:rsidRPr="00351FF5" w:rsidTr="001D0FDA">
              <w:tc>
                <w:tcPr>
                  <w:tcW w:w="1349" w:type="dxa"/>
                  <w:tcBorders>
                    <w:top w:val="nil"/>
                    <w:bottom w:val="nil"/>
                  </w:tcBorders>
                </w:tcPr>
                <w:p w:rsidR="001D0FDA" w:rsidRDefault="001D0FDA" w:rsidP="00B5196D">
                  <w:pPr>
                    <w:pStyle w:val="Tabletext"/>
                    <w:framePr w:hSpace="180" w:wrap="around" w:vAnchor="text" w:hAnchor="text" w:y="1"/>
                    <w:ind w:left="160"/>
                  </w:pPr>
                  <w:r>
                    <w:t>I</w:t>
                  </w:r>
                </w:p>
              </w:tc>
              <w:tc>
                <w:tcPr>
                  <w:tcW w:w="994" w:type="dxa"/>
                  <w:tcBorders>
                    <w:top w:val="nil"/>
                    <w:bottom w:val="nil"/>
                  </w:tcBorders>
                  <w:vAlign w:val="center"/>
                </w:tcPr>
                <w:p w:rsidR="001D0FDA" w:rsidRPr="00411013" w:rsidRDefault="001D0FDA" w:rsidP="00B5196D">
                  <w:pPr>
                    <w:pStyle w:val="Tabletext"/>
                    <w:framePr w:hSpace="180" w:wrap="around" w:vAnchor="text" w:hAnchor="text" w:y="1"/>
                    <w:jc w:val="center"/>
                  </w:pPr>
                  <w:r>
                    <w:t>9 (21%)</w:t>
                  </w:r>
                </w:p>
              </w:tc>
              <w:tc>
                <w:tcPr>
                  <w:tcW w:w="905" w:type="dxa"/>
                  <w:tcBorders>
                    <w:top w:val="nil"/>
                    <w:bottom w:val="nil"/>
                  </w:tcBorders>
                  <w:vAlign w:val="center"/>
                </w:tcPr>
                <w:p w:rsidR="001D0FDA" w:rsidRPr="005331C3" w:rsidRDefault="001D0FDA" w:rsidP="00B5196D">
                  <w:pPr>
                    <w:pStyle w:val="Tabletext"/>
                    <w:framePr w:hSpace="180" w:wrap="around" w:vAnchor="text" w:hAnchor="text" w:y="1"/>
                    <w:jc w:val="center"/>
                  </w:pPr>
                  <w:r>
                    <w:t>20 (36%)</w:t>
                  </w:r>
                </w:p>
              </w:tc>
              <w:tc>
                <w:tcPr>
                  <w:tcW w:w="1030" w:type="dxa"/>
                  <w:tcBorders>
                    <w:top w:val="nil"/>
                    <w:bottom w:val="nil"/>
                  </w:tcBorders>
                  <w:vAlign w:val="center"/>
                </w:tcPr>
                <w:p w:rsidR="001D0FDA" w:rsidRPr="00411013" w:rsidRDefault="001D0FDA" w:rsidP="00B5196D">
                  <w:pPr>
                    <w:pStyle w:val="Tabletext"/>
                    <w:framePr w:hSpace="180" w:wrap="around" w:vAnchor="text" w:hAnchor="text" w:y="1"/>
                    <w:jc w:val="center"/>
                  </w:pPr>
                  <w:r>
                    <w:t>21 (27%)</w:t>
                  </w:r>
                </w:p>
              </w:tc>
              <w:tc>
                <w:tcPr>
                  <w:tcW w:w="906" w:type="dxa"/>
                  <w:tcBorders>
                    <w:top w:val="nil"/>
                    <w:bottom w:val="nil"/>
                  </w:tcBorders>
                  <w:vAlign w:val="center"/>
                </w:tcPr>
                <w:p w:rsidR="001D0FDA" w:rsidRPr="00411013" w:rsidRDefault="001D0FDA" w:rsidP="00B5196D">
                  <w:pPr>
                    <w:pStyle w:val="Tabletext"/>
                    <w:framePr w:hSpace="180" w:wrap="around" w:vAnchor="text" w:hAnchor="text" w:y="1"/>
                    <w:jc w:val="center"/>
                  </w:pPr>
                  <w:r>
                    <w:t>25 (42%)</w:t>
                  </w:r>
                </w:p>
              </w:tc>
            </w:tr>
            <w:tr w:rsidR="001D0FDA" w:rsidRPr="00351FF5" w:rsidTr="001D0FDA">
              <w:tc>
                <w:tcPr>
                  <w:tcW w:w="1349" w:type="dxa"/>
                  <w:tcBorders>
                    <w:top w:val="nil"/>
                    <w:bottom w:val="nil"/>
                  </w:tcBorders>
                </w:tcPr>
                <w:p w:rsidR="001D0FDA" w:rsidRDefault="001D0FDA" w:rsidP="00B5196D">
                  <w:pPr>
                    <w:pStyle w:val="Tabletext"/>
                    <w:framePr w:hSpace="180" w:wrap="around" w:vAnchor="text" w:hAnchor="text" w:y="1"/>
                    <w:ind w:left="160"/>
                  </w:pPr>
                  <w:r>
                    <w:t>II</w:t>
                  </w:r>
                </w:p>
              </w:tc>
              <w:tc>
                <w:tcPr>
                  <w:tcW w:w="994" w:type="dxa"/>
                  <w:tcBorders>
                    <w:top w:val="nil"/>
                    <w:bottom w:val="nil"/>
                  </w:tcBorders>
                  <w:vAlign w:val="center"/>
                </w:tcPr>
                <w:p w:rsidR="001D0FDA" w:rsidRPr="00411013" w:rsidRDefault="001D0FDA" w:rsidP="00B5196D">
                  <w:pPr>
                    <w:pStyle w:val="Tabletext"/>
                    <w:framePr w:hSpace="180" w:wrap="around" w:vAnchor="text" w:hAnchor="text" w:y="1"/>
                    <w:jc w:val="center"/>
                  </w:pPr>
                  <w:r>
                    <w:t>23 (55%)</w:t>
                  </w:r>
                </w:p>
              </w:tc>
              <w:tc>
                <w:tcPr>
                  <w:tcW w:w="905" w:type="dxa"/>
                  <w:tcBorders>
                    <w:top w:val="nil"/>
                    <w:bottom w:val="nil"/>
                  </w:tcBorders>
                  <w:vAlign w:val="center"/>
                </w:tcPr>
                <w:p w:rsidR="001D0FDA" w:rsidRPr="005331C3" w:rsidRDefault="001D0FDA" w:rsidP="00B5196D">
                  <w:pPr>
                    <w:pStyle w:val="Tabletext"/>
                    <w:framePr w:hSpace="180" w:wrap="around" w:vAnchor="text" w:hAnchor="text" w:y="1"/>
                    <w:jc w:val="center"/>
                  </w:pPr>
                  <w:r>
                    <w:t>25 (45%)</w:t>
                  </w:r>
                </w:p>
              </w:tc>
              <w:tc>
                <w:tcPr>
                  <w:tcW w:w="1030" w:type="dxa"/>
                  <w:tcBorders>
                    <w:top w:val="nil"/>
                    <w:bottom w:val="nil"/>
                  </w:tcBorders>
                  <w:vAlign w:val="center"/>
                </w:tcPr>
                <w:p w:rsidR="001D0FDA" w:rsidRPr="00411013" w:rsidRDefault="001D0FDA" w:rsidP="00B5196D">
                  <w:pPr>
                    <w:pStyle w:val="Tabletext"/>
                    <w:framePr w:hSpace="180" w:wrap="around" w:vAnchor="text" w:hAnchor="text" w:y="1"/>
                    <w:jc w:val="center"/>
                  </w:pPr>
                  <w:r>
                    <w:t>43 (56%)</w:t>
                  </w:r>
                </w:p>
              </w:tc>
              <w:tc>
                <w:tcPr>
                  <w:tcW w:w="906" w:type="dxa"/>
                  <w:tcBorders>
                    <w:top w:val="nil"/>
                    <w:bottom w:val="nil"/>
                  </w:tcBorders>
                  <w:vAlign w:val="center"/>
                </w:tcPr>
                <w:p w:rsidR="001D0FDA" w:rsidRPr="00411013" w:rsidRDefault="001D0FDA" w:rsidP="00B5196D">
                  <w:pPr>
                    <w:pStyle w:val="Tabletext"/>
                    <w:framePr w:hSpace="180" w:wrap="around" w:vAnchor="text" w:hAnchor="text" w:y="1"/>
                    <w:jc w:val="center"/>
                  </w:pPr>
                  <w:r>
                    <w:t>29 (48%)</w:t>
                  </w:r>
                </w:p>
              </w:tc>
            </w:tr>
            <w:tr w:rsidR="001D0FDA" w:rsidRPr="00351FF5" w:rsidTr="001D0FDA">
              <w:tc>
                <w:tcPr>
                  <w:tcW w:w="1349" w:type="dxa"/>
                  <w:tcBorders>
                    <w:top w:val="nil"/>
                    <w:bottom w:val="nil"/>
                  </w:tcBorders>
                </w:tcPr>
                <w:p w:rsidR="001D0FDA" w:rsidRPr="00351FF5" w:rsidRDefault="001D0FDA" w:rsidP="00B5196D">
                  <w:pPr>
                    <w:pStyle w:val="Tabletext"/>
                    <w:framePr w:hSpace="180" w:wrap="around" w:vAnchor="text" w:hAnchor="text" w:y="1"/>
                    <w:ind w:left="160"/>
                  </w:pPr>
                  <w:r>
                    <w:t>III/IV</w:t>
                  </w:r>
                </w:p>
              </w:tc>
              <w:tc>
                <w:tcPr>
                  <w:tcW w:w="994" w:type="dxa"/>
                  <w:tcBorders>
                    <w:top w:val="nil"/>
                    <w:bottom w:val="nil"/>
                  </w:tcBorders>
                  <w:vAlign w:val="center"/>
                </w:tcPr>
                <w:p w:rsidR="001D0FDA" w:rsidRPr="00411013" w:rsidRDefault="001D0FDA" w:rsidP="00B5196D">
                  <w:pPr>
                    <w:pStyle w:val="Tabletext"/>
                    <w:framePr w:hSpace="180" w:wrap="around" w:vAnchor="text" w:hAnchor="text" w:y="1"/>
                    <w:jc w:val="center"/>
                  </w:pPr>
                  <w:r>
                    <w:t>9 (21%)</w:t>
                  </w:r>
                </w:p>
              </w:tc>
              <w:tc>
                <w:tcPr>
                  <w:tcW w:w="905" w:type="dxa"/>
                  <w:tcBorders>
                    <w:top w:val="nil"/>
                    <w:bottom w:val="nil"/>
                  </w:tcBorders>
                  <w:vAlign w:val="center"/>
                </w:tcPr>
                <w:p w:rsidR="001D0FDA" w:rsidRPr="005331C3" w:rsidRDefault="001D0FDA" w:rsidP="00B5196D">
                  <w:pPr>
                    <w:pStyle w:val="Tabletext"/>
                    <w:framePr w:hSpace="180" w:wrap="around" w:vAnchor="text" w:hAnchor="text" w:y="1"/>
                    <w:jc w:val="center"/>
                  </w:pPr>
                  <w:r>
                    <w:t>9 (16%)</w:t>
                  </w:r>
                </w:p>
              </w:tc>
              <w:tc>
                <w:tcPr>
                  <w:tcW w:w="1030" w:type="dxa"/>
                  <w:tcBorders>
                    <w:top w:val="nil"/>
                    <w:bottom w:val="nil"/>
                  </w:tcBorders>
                  <w:vAlign w:val="center"/>
                </w:tcPr>
                <w:p w:rsidR="001D0FDA" w:rsidRPr="00411013" w:rsidRDefault="001D0FDA" w:rsidP="00B5196D">
                  <w:pPr>
                    <w:pStyle w:val="Tabletext"/>
                    <w:framePr w:hSpace="180" w:wrap="around" w:vAnchor="text" w:hAnchor="text" w:y="1"/>
                    <w:jc w:val="center"/>
                  </w:pPr>
                  <w:r>
                    <w:t>12 (16%)</w:t>
                  </w:r>
                </w:p>
              </w:tc>
              <w:tc>
                <w:tcPr>
                  <w:tcW w:w="906" w:type="dxa"/>
                  <w:tcBorders>
                    <w:top w:val="nil"/>
                    <w:bottom w:val="nil"/>
                  </w:tcBorders>
                  <w:vAlign w:val="center"/>
                </w:tcPr>
                <w:p w:rsidR="001D0FDA" w:rsidRPr="00411013" w:rsidRDefault="001D0FDA" w:rsidP="00B5196D">
                  <w:pPr>
                    <w:pStyle w:val="Tabletext"/>
                    <w:framePr w:hSpace="180" w:wrap="around" w:vAnchor="text" w:hAnchor="text" w:y="1"/>
                    <w:jc w:val="center"/>
                  </w:pPr>
                  <w:r>
                    <w:t>6 (10%)</w:t>
                  </w:r>
                </w:p>
              </w:tc>
            </w:tr>
            <w:tr w:rsidR="001D0FDA" w:rsidRPr="00351FF5" w:rsidTr="001D0FDA">
              <w:tc>
                <w:tcPr>
                  <w:tcW w:w="1349" w:type="dxa"/>
                  <w:tcBorders>
                    <w:top w:val="nil"/>
                  </w:tcBorders>
                </w:tcPr>
                <w:p w:rsidR="001D0FDA" w:rsidRDefault="001D0FDA" w:rsidP="00B5196D">
                  <w:pPr>
                    <w:pStyle w:val="Tabletext"/>
                    <w:framePr w:hSpace="180" w:wrap="around" w:vAnchor="text" w:hAnchor="text" w:y="1"/>
                    <w:ind w:left="160"/>
                  </w:pPr>
                  <w:r>
                    <w:t>Missing</w:t>
                  </w:r>
                </w:p>
              </w:tc>
              <w:tc>
                <w:tcPr>
                  <w:tcW w:w="994" w:type="dxa"/>
                  <w:tcBorders>
                    <w:top w:val="nil"/>
                  </w:tcBorders>
                  <w:vAlign w:val="center"/>
                </w:tcPr>
                <w:p w:rsidR="001D0FDA" w:rsidRDefault="001D0FDA" w:rsidP="00B5196D">
                  <w:pPr>
                    <w:pStyle w:val="Tabletext"/>
                    <w:framePr w:hSpace="180" w:wrap="around" w:vAnchor="text" w:hAnchor="text" w:y="1"/>
                    <w:jc w:val="center"/>
                  </w:pPr>
                  <w:r>
                    <w:t>1 (2%)</w:t>
                  </w:r>
                </w:p>
              </w:tc>
              <w:tc>
                <w:tcPr>
                  <w:tcW w:w="905" w:type="dxa"/>
                  <w:tcBorders>
                    <w:top w:val="nil"/>
                  </w:tcBorders>
                  <w:vAlign w:val="center"/>
                </w:tcPr>
                <w:p w:rsidR="001D0FDA" w:rsidRDefault="001D0FDA" w:rsidP="00B5196D">
                  <w:pPr>
                    <w:pStyle w:val="Tabletext"/>
                    <w:framePr w:hSpace="180" w:wrap="around" w:vAnchor="text" w:hAnchor="text" w:y="1"/>
                    <w:jc w:val="center"/>
                  </w:pPr>
                  <w:r>
                    <w:t>1 (2%)</w:t>
                  </w:r>
                </w:p>
              </w:tc>
              <w:tc>
                <w:tcPr>
                  <w:tcW w:w="1030" w:type="dxa"/>
                  <w:tcBorders>
                    <w:top w:val="nil"/>
                  </w:tcBorders>
                  <w:vAlign w:val="center"/>
                </w:tcPr>
                <w:p w:rsidR="001D0FDA" w:rsidRDefault="001D0FDA" w:rsidP="00B5196D">
                  <w:pPr>
                    <w:pStyle w:val="Tabletext"/>
                    <w:framePr w:hSpace="180" w:wrap="around" w:vAnchor="text" w:hAnchor="text" w:y="1"/>
                    <w:jc w:val="center"/>
                  </w:pPr>
                  <w:r>
                    <w:t>1 (1%)</w:t>
                  </w:r>
                </w:p>
              </w:tc>
              <w:tc>
                <w:tcPr>
                  <w:tcW w:w="906" w:type="dxa"/>
                  <w:tcBorders>
                    <w:top w:val="nil"/>
                  </w:tcBorders>
                  <w:vAlign w:val="center"/>
                </w:tcPr>
                <w:p w:rsidR="001D0FDA" w:rsidRDefault="001D0FDA" w:rsidP="00B5196D">
                  <w:pPr>
                    <w:pStyle w:val="Tabletext"/>
                    <w:framePr w:hSpace="180" w:wrap="around" w:vAnchor="text" w:hAnchor="text" w:y="1"/>
                    <w:jc w:val="center"/>
                  </w:pPr>
                  <w:r>
                    <w:t>0 (0%)</w:t>
                  </w:r>
                </w:p>
              </w:tc>
            </w:tr>
            <w:tr w:rsidR="001D0FDA" w:rsidRPr="00351FF5" w:rsidTr="001D0FDA">
              <w:tc>
                <w:tcPr>
                  <w:tcW w:w="1349" w:type="dxa"/>
                </w:tcPr>
                <w:p w:rsidR="001D0FDA" w:rsidRPr="00351FF5" w:rsidRDefault="001D0FDA" w:rsidP="00B5196D">
                  <w:pPr>
                    <w:pStyle w:val="Tabletext"/>
                    <w:framePr w:hSpace="180" w:wrap="around" w:vAnchor="text" w:hAnchor="text" w:y="1"/>
                  </w:pPr>
                  <w:r w:rsidRPr="00351FF5">
                    <w:t>mPAP, mean±SD (mmHg)</w:t>
                  </w:r>
                </w:p>
              </w:tc>
              <w:tc>
                <w:tcPr>
                  <w:tcW w:w="994" w:type="dxa"/>
                  <w:vAlign w:val="center"/>
                </w:tcPr>
                <w:p w:rsidR="001D0FDA" w:rsidRPr="00411013" w:rsidRDefault="001D0FDA" w:rsidP="00B5196D">
                  <w:pPr>
                    <w:pStyle w:val="Tabletext"/>
                    <w:framePr w:hSpace="180" w:wrap="around" w:vAnchor="text" w:hAnchor="text" w:y="1"/>
                    <w:jc w:val="center"/>
                  </w:pPr>
                  <w:r>
                    <w:t>66±23</w:t>
                  </w:r>
                </w:p>
              </w:tc>
              <w:tc>
                <w:tcPr>
                  <w:tcW w:w="905" w:type="dxa"/>
                  <w:vAlign w:val="center"/>
                </w:tcPr>
                <w:p w:rsidR="001D0FDA" w:rsidRPr="005331C3" w:rsidRDefault="001D0FDA" w:rsidP="00B5196D">
                  <w:pPr>
                    <w:pStyle w:val="Tabletext"/>
                    <w:framePr w:hSpace="180" w:wrap="around" w:vAnchor="text" w:hAnchor="text" w:y="1"/>
                    <w:jc w:val="center"/>
                  </w:pPr>
                  <w:r>
                    <w:t>62±18</w:t>
                  </w:r>
                </w:p>
              </w:tc>
              <w:tc>
                <w:tcPr>
                  <w:tcW w:w="1030" w:type="dxa"/>
                  <w:vAlign w:val="center"/>
                </w:tcPr>
                <w:p w:rsidR="001D0FDA" w:rsidRPr="00411013" w:rsidRDefault="001D0FDA" w:rsidP="00B5196D">
                  <w:pPr>
                    <w:pStyle w:val="Tabletext"/>
                    <w:framePr w:hSpace="180" w:wrap="around" w:vAnchor="text" w:hAnchor="text" w:y="1"/>
                    <w:jc w:val="center"/>
                  </w:pPr>
                  <w:r>
                    <w:t>62±24</w:t>
                  </w:r>
                </w:p>
              </w:tc>
              <w:tc>
                <w:tcPr>
                  <w:tcW w:w="906" w:type="dxa"/>
                  <w:vAlign w:val="center"/>
                </w:tcPr>
                <w:p w:rsidR="001D0FDA" w:rsidRPr="00411013" w:rsidRDefault="001D0FDA" w:rsidP="00B5196D">
                  <w:pPr>
                    <w:pStyle w:val="Tabletext"/>
                    <w:framePr w:hSpace="180" w:wrap="around" w:vAnchor="text" w:hAnchor="text" w:y="1"/>
                    <w:jc w:val="center"/>
                  </w:pPr>
                  <w:r>
                    <w:t>59±22</w:t>
                  </w:r>
                </w:p>
              </w:tc>
            </w:tr>
          </w:tbl>
          <w:p w:rsidR="001D0FDA" w:rsidRPr="00C81B4A" w:rsidRDefault="001D0FDA" w:rsidP="001D0FDA">
            <w:pPr>
              <w:pStyle w:val="Tablenote"/>
              <w:spacing w:after="0"/>
            </w:pPr>
            <w:r w:rsidRPr="00C81B4A">
              <w:t xml:space="preserve">* Data on demographic and disease characteristics when patients started the </w:t>
            </w:r>
            <w:r>
              <w:t>STARTS</w:t>
            </w:r>
            <w:r w:rsidRPr="00C81B4A">
              <w:t xml:space="preserve"> extension study were not available. Instead, the published paper presented the baseline characteristics for the Trial </w:t>
            </w:r>
            <w:r>
              <w:t>STARTS</w:t>
            </w:r>
            <w:r w:rsidRPr="00C81B4A">
              <w:t>-1</w:t>
            </w:r>
          </w:p>
        </w:tc>
        <w:tc>
          <w:tcPr>
            <w:tcW w:w="1047" w:type="pct"/>
          </w:tcPr>
          <w:p w:rsidR="001D0FDA" w:rsidRPr="00943A74" w:rsidRDefault="001D0FDA" w:rsidP="001D0FDA">
            <w:pPr>
              <w:pStyle w:val="Tabletext"/>
              <w:rPr>
                <w:rFonts w:eastAsia="Times New Roman"/>
                <w:i/>
                <w:snapToGrid w:val="0"/>
                <w:lang w:eastAsia="en-US"/>
              </w:rPr>
            </w:pPr>
            <w:r>
              <w:rPr>
                <w:rFonts w:eastAsia="Times New Roman"/>
                <w:i/>
                <w:snapToGrid w:val="0"/>
                <w:lang w:eastAsia="en-US"/>
              </w:rPr>
              <w:t>Intervention</w:t>
            </w:r>
          </w:p>
          <w:p w:rsidR="001D0FDA" w:rsidRPr="005331C3" w:rsidRDefault="001D0FDA" w:rsidP="001D0FDA">
            <w:pPr>
              <w:pStyle w:val="Tabletext"/>
              <w:rPr>
                <w:rFonts w:cs="Tahoma"/>
                <w:szCs w:val="18"/>
              </w:rPr>
            </w:pPr>
            <w:r>
              <w:rPr>
                <w:rFonts w:eastAsia="Times New Roman"/>
                <w:snapToGrid w:val="0"/>
                <w:lang w:eastAsia="en-US"/>
              </w:rPr>
              <w:t>Sildenafil:</w:t>
            </w:r>
            <w:r>
              <w:t xml:space="preserve"> </w:t>
            </w:r>
            <w:r w:rsidRPr="008406C9">
              <w:rPr>
                <w:rFonts w:eastAsia="Times New Roman"/>
                <w:snapToGrid w:val="0"/>
                <w:lang w:eastAsia="en-US"/>
              </w:rPr>
              <w:t>both upward and downward dose titrations of sildenafil permitted. Doses received after dose titrations were equivalen</w:t>
            </w:r>
            <w:r>
              <w:rPr>
                <w:rFonts w:eastAsia="Times New Roman"/>
                <w:snapToGrid w:val="0"/>
                <w:lang w:eastAsia="en-US"/>
              </w:rPr>
              <w:t>t to those in other dose groups</w:t>
            </w:r>
          </w:p>
          <w:tbl>
            <w:tblPr>
              <w:tblStyle w:val="TableGrid"/>
              <w:tblW w:w="291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Doses of sildenafil investigated in the STARTS extension study"/>
            </w:tblPr>
            <w:tblGrid>
              <w:gridCol w:w="785"/>
              <w:gridCol w:w="709"/>
              <w:gridCol w:w="708"/>
              <w:gridCol w:w="709"/>
            </w:tblGrid>
            <w:tr w:rsidR="001D0FDA" w:rsidTr="001D0FDA">
              <w:trPr>
                <w:cnfStyle w:val="100000000000" w:firstRow="1" w:lastRow="0" w:firstColumn="0" w:lastColumn="0" w:oddVBand="0" w:evenVBand="0" w:oddHBand="0" w:evenHBand="0" w:firstRowFirstColumn="0" w:firstRowLastColumn="0" w:lastRowFirstColumn="0" w:lastRowLastColumn="0"/>
              </w:trPr>
              <w:tc>
                <w:tcPr>
                  <w:tcW w:w="785" w:type="dxa"/>
                  <w:vMerge w:val="restart"/>
                  <w:shd w:val="clear" w:color="auto" w:fill="FFFFFF" w:themeFill="background1"/>
                </w:tcPr>
                <w:p w:rsidR="001D0FDA" w:rsidRPr="003C0DFB" w:rsidRDefault="001D0FDA" w:rsidP="00B5196D">
                  <w:pPr>
                    <w:pStyle w:val="Tabletext"/>
                    <w:framePr w:hSpace="180" w:wrap="around" w:vAnchor="text" w:hAnchor="text" w:y="1"/>
                    <w:ind w:right="-57"/>
                  </w:pPr>
                  <w:r>
                    <w:t>Body weight (kg)</w:t>
                  </w:r>
                </w:p>
              </w:tc>
              <w:tc>
                <w:tcPr>
                  <w:tcW w:w="2126" w:type="dxa"/>
                  <w:gridSpan w:val="3"/>
                  <w:shd w:val="clear" w:color="auto" w:fill="FFFFFF" w:themeFill="background1"/>
                </w:tcPr>
                <w:p w:rsidR="001D0FDA" w:rsidRDefault="001D0FDA" w:rsidP="00B5196D">
                  <w:pPr>
                    <w:pStyle w:val="Tabletext"/>
                    <w:framePr w:hSpace="180" w:wrap="around" w:vAnchor="text" w:hAnchor="text" w:y="1"/>
                    <w:jc w:val="center"/>
                  </w:pPr>
                  <w:r>
                    <w:t>Sildenafil dose, mg*</w:t>
                  </w:r>
                </w:p>
              </w:tc>
            </w:tr>
            <w:tr w:rsidR="001D0FDA" w:rsidTr="001D0FDA">
              <w:tc>
                <w:tcPr>
                  <w:tcW w:w="785" w:type="dxa"/>
                  <w:vMerge/>
                </w:tcPr>
                <w:p w:rsidR="001D0FDA" w:rsidRDefault="001D0FDA" w:rsidP="00B5196D">
                  <w:pPr>
                    <w:pStyle w:val="Tabletext"/>
                    <w:framePr w:hSpace="180" w:wrap="around" w:vAnchor="text" w:hAnchor="text" w:y="1"/>
                    <w:jc w:val="center"/>
                  </w:pPr>
                </w:p>
              </w:tc>
              <w:tc>
                <w:tcPr>
                  <w:tcW w:w="709" w:type="dxa"/>
                </w:tcPr>
                <w:p w:rsidR="001D0FDA" w:rsidRPr="003C0DFB" w:rsidRDefault="001D0FDA" w:rsidP="00B5196D">
                  <w:pPr>
                    <w:pStyle w:val="Tabletext"/>
                    <w:framePr w:hSpace="180" w:wrap="around" w:vAnchor="text" w:hAnchor="text" w:y="1"/>
                    <w:jc w:val="center"/>
                  </w:pPr>
                  <w:r>
                    <w:t>Low</w:t>
                  </w:r>
                </w:p>
              </w:tc>
              <w:tc>
                <w:tcPr>
                  <w:tcW w:w="708" w:type="dxa"/>
                </w:tcPr>
                <w:p w:rsidR="001D0FDA" w:rsidRPr="00C5782C" w:rsidRDefault="001D0FDA" w:rsidP="00B5196D">
                  <w:pPr>
                    <w:pStyle w:val="Tabletext"/>
                    <w:framePr w:hSpace="180" w:wrap="around" w:vAnchor="text" w:hAnchor="text" w:y="1"/>
                    <w:jc w:val="center"/>
                  </w:pPr>
                  <w:r>
                    <w:t>Med</w:t>
                  </w:r>
                </w:p>
              </w:tc>
              <w:tc>
                <w:tcPr>
                  <w:tcW w:w="709" w:type="dxa"/>
                </w:tcPr>
                <w:p w:rsidR="001D0FDA" w:rsidRDefault="001D0FDA" w:rsidP="00B5196D">
                  <w:pPr>
                    <w:pStyle w:val="Tabletext"/>
                    <w:framePr w:hSpace="180" w:wrap="around" w:vAnchor="text" w:hAnchor="text" w:y="1"/>
                    <w:jc w:val="center"/>
                  </w:pPr>
                  <w:r>
                    <w:t>High</w:t>
                  </w:r>
                </w:p>
              </w:tc>
            </w:tr>
            <w:tr w:rsidR="001D0FDA" w:rsidRPr="00C5782C" w:rsidTr="001D0FDA">
              <w:tc>
                <w:tcPr>
                  <w:tcW w:w="785" w:type="dxa"/>
                </w:tcPr>
                <w:p w:rsidR="001D0FDA" w:rsidRPr="00C5782C" w:rsidRDefault="001D0FDA" w:rsidP="00B5196D">
                  <w:pPr>
                    <w:pStyle w:val="Tabletext"/>
                    <w:framePr w:hSpace="180" w:wrap="around" w:vAnchor="text" w:hAnchor="text" w:y="1"/>
                  </w:pPr>
                  <w:r>
                    <w:t>≥8-20</w:t>
                  </w:r>
                </w:p>
              </w:tc>
              <w:tc>
                <w:tcPr>
                  <w:tcW w:w="709" w:type="dxa"/>
                </w:tcPr>
                <w:p w:rsidR="001D0FDA" w:rsidRPr="00C5782C" w:rsidRDefault="001D0FDA" w:rsidP="00B5196D">
                  <w:pPr>
                    <w:pStyle w:val="Tabletext"/>
                    <w:framePr w:hSpace="180" w:wrap="around" w:vAnchor="text" w:hAnchor="text" w:y="1"/>
                    <w:jc w:val="center"/>
                  </w:pPr>
                  <w:r>
                    <w:t>NA</w:t>
                  </w:r>
                </w:p>
              </w:tc>
              <w:tc>
                <w:tcPr>
                  <w:tcW w:w="708" w:type="dxa"/>
                </w:tcPr>
                <w:p w:rsidR="001D0FDA" w:rsidRPr="00C5782C" w:rsidRDefault="001D0FDA" w:rsidP="00B5196D">
                  <w:pPr>
                    <w:pStyle w:val="Tabletext"/>
                    <w:framePr w:hSpace="180" w:wrap="around" w:vAnchor="text" w:hAnchor="text" w:y="1"/>
                    <w:jc w:val="center"/>
                  </w:pPr>
                  <w:r>
                    <w:t>10</w:t>
                  </w:r>
                </w:p>
              </w:tc>
              <w:tc>
                <w:tcPr>
                  <w:tcW w:w="709" w:type="dxa"/>
                </w:tcPr>
                <w:p w:rsidR="001D0FDA" w:rsidRPr="00C5782C" w:rsidRDefault="001D0FDA" w:rsidP="00B5196D">
                  <w:pPr>
                    <w:pStyle w:val="Tabletext"/>
                    <w:framePr w:hSpace="180" w:wrap="around" w:vAnchor="text" w:hAnchor="text" w:y="1"/>
                    <w:jc w:val="center"/>
                  </w:pPr>
                  <w:r>
                    <w:t>20</w:t>
                  </w:r>
                </w:p>
              </w:tc>
            </w:tr>
            <w:tr w:rsidR="001D0FDA" w:rsidTr="001D0FDA">
              <w:tc>
                <w:tcPr>
                  <w:tcW w:w="785" w:type="dxa"/>
                </w:tcPr>
                <w:p w:rsidR="001D0FDA" w:rsidRPr="00C5782C" w:rsidRDefault="001D0FDA" w:rsidP="00B5196D">
                  <w:pPr>
                    <w:pStyle w:val="Tabletext"/>
                    <w:framePr w:hSpace="180" w:wrap="around" w:vAnchor="text" w:hAnchor="text" w:y="1"/>
                  </w:pPr>
                  <w:r>
                    <w:t>&gt;20-45</w:t>
                  </w:r>
                </w:p>
              </w:tc>
              <w:tc>
                <w:tcPr>
                  <w:tcW w:w="709" w:type="dxa"/>
                </w:tcPr>
                <w:p w:rsidR="001D0FDA" w:rsidRPr="00C5782C" w:rsidRDefault="001D0FDA" w:rsidP="00B5196D">
                  <w:pPr>
                    <w:pStyle w:val="Tabletext"/>
                    <w:framePr w:hSpace="180" w:wrap="around" w:vAnchor="text" w:hAnchor="text" w:y="1"/>
                    <w:jc w:val="center"/>
                  </w:pPr>
                  <w:r>
                    <w:t>10</w:t>
                  </w:r>
                </w:p>
              </w:tc>
              <w:tc>
                <w:tcPr>
                  <w:tcW w:w="708" w:type="dxa"/>
                </w:tcPr>
                <w:p w:rsidR="001D0FDA" w:rsidRPr="00C5782C" w:rsidRDefault="001D0FDA" w:rsidP="00B5196D">
                  <w:pPr>
                    <w:pStyle w:val="Tabletext"/>
                    <w:framePr w:hSpace="180" w:wrap="around" w:vAnchor="text" w:hAnchor="text" w:y="1"/>
                    <w:jc w:val="center"/>
                  </w:pPr>
                  <w:r>
                    <w:t>20</w:t>
                  </w:r>
                </w:p>
              </w:tc>
              <w:tc>
                <w:tcPr>
                  <w:tcW w:w="709" w:type="dxa"/>
                </w:tcPr>
                <w:p w:rsidR="001D0FDA" w:rsidRDefault="001D0FDA" w:rsidP="00B5196D">
                  <w:pPr>
                    <w:pStyle w:val="Tabletext"/>
                    <w:framePr w:hSpace="180" w:wrap="around" w:vAnchor="text" w:hAnchor="text" w:y="1"/>
                    <w:jc w:val="center"/>
                  </w:pPr>
                  <w:r>
                    <w:t>40</w:t>
                  </w:r>
                </w:p>
              </w:tc>
            </w:tr>
            <w:tr w:rsidR="001D0FDA" w:rsidTr="001D0FDA">
              <w:tc>
                <w:tcPr>
                  <w:tcW w:w="785" w:type="dxa"/>
                </w:tcPr>
                <w:p w:rsidR="001D0FDA" w:rsidRPr="00C5782C" w:rsidRDefault="001D0FDA" w:rsidP="00B5196D">
                  <w:pPr>
                    <w:pStyle w:val="Tabletext"/>
                    <w:framePr w:hSpace="180" w:wrap="around" w:vAnchor="text" w:hAnchor="text" w:y="1"/>
                  </w:pPr>
                  <w:r>
                    <w:t>&gt;45</w:t>
                  </w:r>
                </w:p>
              </w:tc>
              <w:tc>
                <w:tcPr>
                  <w:tcW w:w="709" w:type="dxa"/>
                </w:tcPr>
                <w:p w:rsidR="001D0FDA" w:rsidRDefault="001D0FDA" w:rsidP="00B5196D">
                  <w:pPr>
                    <w:pStyle w:val="Tabletext"/>
                    <w:framePr w:hSpace="180" w:wrap="around" w:vAnchor="text" w:hAnchor="text" w:y="1"/>
                    <w:jc w:val="center"/>
                  </w:pPr>
                  <w:r>
                    <w:t>10</w:t>
                  </w:r>
                </w:p>
              </w:tc>
              <w:tc>
                <w:tcPr>
                  <w:tcW w:w="708" w:type="dxa"/>
                </w:tcPr>
                <w:p w:rsidR="001D0FDA" w:rsidRDefault="001D0FDA" w:rsidP="00B5196D">
                  <w:pPr>
                    <w:pStyle w:val="Tabletext"/>
                    <w:framePr w:hSpace="180" w:wrap="around" w:vAnchor="text" w:hAnchor="text" w:y="1"/>
                    <w:jc w:val="center"/>
                  </w:pPr>
                  <w:r>
                    <w:t>40</w:t>
                  </w:r>
                </w:p>
              </w:tc>
              <w:tc>
                <w:tcPr>
                  <w:tcW w:w="709" w:type="dxa"/>
                </w:tcPr>
                <w:p w:rsidR="001D0FDA" w:rsidRDefault="001D0FDA" w:rsidP="00B5196D">
                  <w:pPr>
                    <w:pStyle w:val="Tabletext"/>
                    <w:framePr w:hSpace="180" w:wrap="around" w:vAnchor="text" w:hAnchor="text" w:y="1"/>
                    <w:jc w:val="center"/>
                  </w:pPr>
                  <w:r>
                    <w:t>80</w:t>
                  </w:r>
                </w:p>
              </w:tc>
            </w:tr>
          </w:tbl>
          <w:p w:rsidR="001D0FDA" w:rsidRDefault="001D0FDA" w:rsidP="001D0FDA">
            <w:pPr>
              <w:pStyle w:val="Tablenote"/>
            </w:pPr>
            <w:r>
              <w:t>NA = not applicable</w:t>
            </w:r>
          </w:p>
          <w:p w:rsidR="001D0FDA" w:rsidRPr="00BE1A73" w:rsidRDefault="001D0FDA" w:rsidP="001D0FDA">
            <w:pPr>
              <w:pStyle w:val="Tablenote"/>
            </w:pPr>
            <w:r>
              <w:t>*</w:t>
            </w:r>
            <w:r w:rsidRPr="00BE1A73">
              <w:t xml:space="preserve">Sildenafil </w:t>
            </w:r>
            <w:r>
              <w:rPr>
                <w:i/>
              </w:rPr>
              <w:t xml:space="preserve">tid </w:t>
            </w:r>
            <w:r>
              <w:t>dose to achieve t</w:t>
            </w:r>
            <w:r w:rsidRPr="00BE1A73">
              <w:t>arget</w:t>
            </w:r>
            <w:r>
              <w:t xml:space="preserve"> s</w:t>
            </w:r>
            <w:r w:rsidRPr="00BE1A73">
              <w:t xml:space="preserve">ildenafil </w:t>
            </w:r>
            <w:r>
              <w:t>steady state maximum c</w:t>
            </w:r>
            <w:r w:rsidRPr="00BE1A73">
              <w:t>oncentrations of 47, 140,</w:t>
            </w:r>
          </w:p>
          <w:p w:rsidR="001D0FDA" w:rsidRDefault="001D0FDA" w:rsidP="001D0FDA">
            <w:pPr>
              <w:pStyle w:val="Tablenote"/>
            </w:pPr>
            <w:r w:rsidRPr="00BE1A73">
              <w:t>and 373 ng/mL</w:t>
            </w:r>
          </w:p>
          <w:p w:rsidR="001D0FDA" w:rsidRDefault="001D0FDA" w:rsidP="001D0FDA">
            <w:pPr>
              <w:pStyle w:val="Tabletext"/>
              <w:rPr>
                <w:rFonts w:cs="Tahoma"/>
                <w:i/>
                <w:szCs w:val="18"/>
              </w:rPr>
            </w:pP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lastRenderedPageBreak/>
              <w:t xml:space="preserve">Vachiéry 2017 </w:t>
            </w:r>
            <w:r w:rsidR="001D34EE" w:rsidRPr="001A1C44">
              <w:rPr>
                <w:rFonts w:eastAsia="Times New Roman"/>
                <w:noProof/>
                <w:vertAlign w:val="superscript"/>
                <w:lang w:eastAsia="en-US"/>
              </w:rPr>
              <w:t>70</w:t>
            </w:r>
          </w:p>
          <w:p w:rsidR="001D0FDA" w:rsidRPr="008D73C9" w:rsidRDefault="001D0FDA" w:rsidP="001D0FDA">
            <w:pPr>
              <w:pStyle w:val="Tabletext"/>
              <w:ind w:right="-28"/>
              <w:rPr>
                <w:rFonts w:eastAsia="Times New Roman"/>
                <w:lang w:eastAsia="en-US"/>
              </w:rPr>
            </w:pPr>
            <w:r w:rsidRPr="008D73C9">
              <w:rPr>
                <w:rFonts w:eastAsia="Times New Roman"/>
                <w:lang w:eastAsia="en-US"/>
              </w:rPr>
              <w:t>2008-2013</w:t>
            </w:r>
          </w:p>
          <w:p w:rsidR="001D0FDA" w:rsidRPr="008D73C9" w:rsidRDefault="001D0FDA" w:rsidP="001D0FDA">
            <w:pPr>
              <w:pStyle w:val="Tabletext"/>
              <w:ind w:right="-28"/>
              <w:rPr>
                <w:rFonts w:eastAsia="Times New Roman"/>
                <w:lang w:eastAsia="en-US"/>
              </w:rPr>
            </w:pPr>
            <w:r w:rsidRPr="008D73C9">
              <w:rPr>
                <w:rFonts w:eastAsia="Times New Roman"/>
                <w:lang w:eastAsia="en-US"/>
              </w:rPr>
              <w:t>Europe, Canada, Australia</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 xml:space="preserve">Follow-up: </w:t>
            </w:r>
            <w:r w:rsidRPr="008D73C9">
              <w:rPr>
                <w:rFonts w:eastAsia="Times New Roman"/>
                <w:lang w:eastAsia="en-US"/>
              </w:rPr>
              <w:t>2.2 years</w:t>
            </w:r>
          </w:p>
        </w:tc>
        <w:tc>
          <w:tcPr>
            <w:tcW w:w="1096" w:type="pct"/>
          </w:tcPr>
          <w:p w:rsidR="001D0FDA" w:rsidRPr="007124EC" w:rsidRDefault="001D0FDA" w:rsidP="001D0FDA">
            <w:pPr>
              <w:pStyle w:val="Tabletext"/>
              <w:rPr>
                <w:rFonts w:cs="Tahoma"/>
                <w:i/>
                <w:szCs w:val="18"/>
              </w:rPr>
            </w:pPr>
            <w:r w:rsidRPr="007124EC">
              <w:rPr>
                <w:rFonts w:cs="Tahoma"/>
                <w:i/>
                <w:szCs w:val="18"/>
              </w:rPr>
              <w:t xml:space="preserve">Inclusion criteria </w:t>
            </w:r>
          </w:p>
          <w:p w:rsidR="001D0FDA" w:rsidRPr="00097998" w:rsidRDefault="001D0FDA" w:rsidP="00480FDF">
            <w:pPr>
              <w:pStyle w:val="Tabletext"/>
              <w:numPr>
                <w:ilvl w:val="0"/>
                <w:numId w:val="54"/>
              </w:numPr>
              <w:ind w:left="239" w:hanging="144"/>
              <w:rPr>
                <w:rFonts w:cs="Tahoma"/>
                <w:i/>
                <w:szCs w:val="18"/>
              </w:rPr>
            </w:pPr>
            <w:r w:rsidRPr="007124EC">
              <w:rPr>
                <w:rFonts w:cs="Tahoma"/>
                <w:szCs w:val="18"/>
              </w:rPr>
              <w:t>PAH patients who were prescribed ambrisentan for medically appropriate use</w:t>
            </w:r>
          </w:p>
        </w:tc>
        <w:tc>
          <w:tcPr>
            <w:tcW w:w="1856" w:type="pct"/>
          </w:tcPr>
          <w:p w:rsidR="001D0FDA" w:rsidRDefault="001D0FDA" w:rsidP="001D0FDA">
            <w:pPr>
              <w:pStyle w:val="Tabletext"/>
              <w:ind w:right="-28"/>
              <w:rPr>
                <w:rFonts w:eastAsia="Times New Roman"/>
                <w:lang w:eastAsia="en-US"/>
              </w:rPr>
            </w:pPr>
            <w:r>
              <w:rPr>
                <w:rFonts w:eastAsia="Times New Roman"/>
                <w:lang w:eastAsia="en-US"/>
              </w:rPr>
              <w:t>N=998</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xml:space="preserve">: </w:t>
            </w:r>
            <w:r>
              <w:rPr>
                <w:rFonts w:cs="Tahoma"/>
                <w:szCs w:val="18"/>
              </w:rPr>
              <w:t>30±15</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xml:space="preserve">: </w:t>
            </w:r>
            <w:r>
              <w:rPr>
                <w:rFonts w:cs="Tahoma"/>
                <w:szCs w:val="18"/>
              </w:rPr>
              <w:t>667 (67%)</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sidRPr="000C5DDE">
              <w:rPr>
                <w:rFonts w:cs="Tahoma"/>
                <w:szCs w:val="18"/>
              </w:rPr>
              <w:t>IPAH</w:t>
            </w:r>
            <w:r>
              <w:rPr>
                <w:rFonts w:cs="Tahoma"/>
                <w:szCs w:val="18"/>
              </w:rPr>
              <w:t xml:space="preserve">: 446 (45%); </w:t>
            </w:r>
            <w:r w:rsidRPr="000C5DDE">
              <w:rPr>
                <w:rFonts w:cs="Tahoma"/>
                <w:szCs w:val="18"/>
              </w:rPr>
              <w:t>HPAH</w:t>
            </w:r>
            <w:r>
              <w:rPr>
                <w:rFonts w:cs="Tahoma"/>
                <w:szCs w:val="18"/>
              </w:rPr>
              <w:t>: 8 (&lt;1%); Associated PAH: 418 (42%); missing data: 126 (13%)</w:t>
            </w:r>
          </w:p>
          <w:p w:rsidR="001D0FDA" w:rsidRDefault="001D0FDA" w:rsidP="001D0FDA">
            <w:pPr>
              <w:pStyle w:val="Tabletext"/>
              <w:rPr>
                <w:rFonts w:cs="Tahoma"/>
                <w:szCs w:val="18"/>
              </w:rPr>
            </w:pPr>
            <w:r w:rsidRPr="00C41328">
              <w:rPr>
                <w:rFonts w:cs="Tahoma"/>
                <w:szCs w:val="18"/>
              </w:rPr>
              <w:t>WHO FC</w:t>
            </w:r>
            <w:r>
              <w:rPr>
                <w:rFonts w:cs="Tahoma"/>
                <w:szCs w:val="18"/>
              </w:rPr>
              <w:t>, n (%)</w:t>
            </w:r>
            <w:r w:rsidRPr="00C41328">
              <w:rPr>
                <w:rFonts w:cs="Tahoma"/>
                <w:szCs w:val="18"/>
              </w:rPr>
              <w:t>:</w:t>
            </w:r>
          </w:p>
          <w:p w:rsidR="001D0FDA" w:rsidRDefault="001D0FDA" w:rsidP="001D0FDA">
            <w:pPr>
              <w:pStyle w:val="Tabletext"/>
              <w:ind w:left="239"/>
              <w:rPr>
                <w:rFonts w:cs="Tahoma"/>
                <w:szCs w:val="18"/>
              </w:rPr>
            </w:pPr>
            <w:r>
              <w:rPr>
                <w:rFonts w:cs="Tahoma"/>
                <w:szCs w:val="18"/>
              </w:rPr>
              <w:t xml:space="preserve">I: 22 (2%); II: 258 (26%); </w:t>
            </w:r>
            <w:r w:rsidRPr="000C5DDE">
              <w:rPr>
                <w:rFonts w:cs="Tahoma"/>
                <w:szCs w:val="18"/>
              </w:rPr>
              <w:t xml:space="preserve">III: </w:t>
            </w:r>
            <w:r>
              <w:rPr>
                <w:rFonts w:cs="Tahoma"/>
                <w:szCs w:val="18"/>
              </w:rPr>
              <w:t>642 (65%); IV: 68 (7%); missing data: 8 (1%)</w:t>
            </w:r>
          </w:p>
          <w:p w:rsidR="001D0FDA" w:rsidRDefault="001D0FDA" w:rsidP="001D0FDA">
            <w:pPr>
              <w:pStyle w:val="Tabletext"/>
              <w:ind w:right="-28"/>
              <w:rPr>
                <w:rFonts w:cs="Tahoma"/>
                <w:szCs w:val="18"/>
              </w:rPr>
            </w:pPr>
            <w:r>
              <w:rPr>
                <w:rFonts w:cs="Tahoma"/>
                <w:szCs w:val="18"/>
              </w:rPr>
              <w:t>mPAP, mean±SD (mmHg): 48±14 (n=789)</w:t>
            </w:r>
          </w:p>
          <w:p w:rsidR="001D0FDA" w:rsidRPr="008D73C9" w:rsidRDefault="001D0FDA" w:rsidP="001D0FDA">
            <w:pPr>
              <w:pStyle w:val="Tabletext"/>
              <w:ind w:right="-28"/>
              <w:rPr>
                <w:rFonts w:eastAsia="Times New Roman"/>
                <w:lang w:eastAsia="en-US"/>
              </w:rPr>
            </w:pPr>
            <w:r w:rsidRPr="00C41328">
              <w:rPr>
                <w:rFonts w:cs="Tahoma"/>
                <w:szCs w:val="18"/>
              </w:rPr>
              <w:t>PVR</w:t>
            </w:r>
            <w:r>
              <w:rPr>
                <w:rFonts w:cs="Tahoma"/>
                <w:szCs w:val="18"/>
              </w:rPr>
              <w:t>, mean</w:t>
            </w:r>
            <w:r w:rsidRPr="00C41328">
              <w:rPr>
                <w:rFonts w:cs="Tahoma"/>
                <w:szCs w:val="18"/>
              </w:rPr>
              <w:t>±</w:t>
            </w:r>
            <w:r>
              <w:rPr>
                <w:rFonts w:cs="Tahoma"/>
                <w:szCs w:val="18"/>
              </w:rPr>
              <w:t>SD</w:t>
            </w:r>
            <w:r w:rsidRPr="00C41328">
              <w:rPr>
                <w:rFonts w:cs="Tahoma"/>
                <w:szCs w:val="18"/>
              </w:rPr>
              <w:t xml:space="preserve"> (</w:t>
            </w:r>
            <w:r>
              <w:rPr>
                <w:rFonts w:cs="Tahoma"/>
                <w:szCs w:val="18"/>
              </w:rPr>
              <w:t>dyn*s*</w:t>
            </w:r>
            <w:r w:rsidRPr="00C8004D">
              <w:rPr>
                <w:rFonts w:cs="Tahoma"/>
                <w:szCs w:val="18"/>
              </w:rPr>
              <w:t>m</w:t>
            </w:r>
            <w:r>
              <w:rPr>
                <w:rFonts w:cs="Tahoma"/>
                <w:szCs w:val="18"/>
                <w:vertAlign w:val="superscript"/>
              </w:rPr>
              <w:t>-5</w:t>
            </w:r>
            <w:r w:rsidRPr="00C41328">
              <w:rPr>
                <w:rFonts w:cs="Tahoma"/>
                <w:szCs w:val="18"/>
              </w:rPr>
              <w:t>):</w:t>
            </w:r>
            <w:r>
              <w:rPr>
                <w:rFonts w:cs="Tahoma"/>
                <w:szCs w:val="18"/>
              </w:rPr>
              <w:t xml:space="preserve"> 805</w:t>
            </w:r>
            <w:r w:rsidRPr="00C41328">
              <w:rPr>
                <w:rFonts w:cs="Tahoma"/>
                <w:szCs w:val="18"/>
              </w:rPr>
              <w:t>±</w:t>
            </w:r>
            <w:r>
              <w:rPr>
                <w:rFonts w:cs="Tahoma"/>
                <w:szCs w:val="18"/>
              </w:rPr>
              <w:t>759 (n=717)</w:t>
            </w:r>
          </w:p>
        </w:tc>
        <w:tc>
          <w:tcPr>
            <w:tcW w:w="1047" w:type="pct"/>
          </w:tcPr>
          <w:p w:rsidR="001D0FDA" w:rsidRDefault="001D0FDA" w:rsidP="001D0FDA">
            <w:pPr>
              <w:pStyle w:val="Tabletext"/>
              <w:rPr>
                <w:rFonts w:eastAsia="Times New Roman"/>
                <w:i/>
                <w:lang w:eastAsia="en-US"/>
              </w:rPr>
            </w:pPr>
            <w:r>
              <w:rPr>
                <w:rFonts w:eastAsia="Times New Roman"/>
                <w:i/>
                <w:lang w:eastAsia="en-US"/>
              </w:rPr>
              <w:t>Intervention</w:t>
            </w:r>
          </w:p>
          <w:p w:rsidR="001D0FDA" w:rsidRPr="008D73C9" w:rsidRDefault="001D0FDA" w:rsidP="001D0FDA">
            <w:pPr>
              <w:pStyle w:val="Tabletext"/>
              <w:rPr>
                <w:rFonts w:eastAsia="Times New Roman"/>
                <w:lang w:eastAsia="en-US"/>
              </w:rPr>
            </w:pPr>
            <w:r>
              <w:rPr>
                <w:rFonts w:eastAsia="Times New Roman"/>
                <w:lang w:eastAsia="en-US"/>
              </w:rPr>
              <w:t xml:space="preserve">Ambrisentan: </w:t>
            </w:r>
            <w:r w:rsidRPr="008D73C9">
              <w:rPr>
                <w:rFonts w:eastAsia="Times New Roman"/>
                <w:lang w:eastAsia="en-US"/>
              </w:rPr>
              <w:t>5mg or 10mg od</w:t>
            </w:r>
          </w:p>
          <w:p w:rsidR="001D0FDA" w:rsidRDefault="001D0FDA" w:rsidP="001D0FDA">
            <w:pPr>
              <w:pStyle w:val="Tabletext"/>
              <w:rPr>
                <w:rFonts w:eastAsia="Times New Roman"/>
                <w:lang w:eastAsia="en-US"/>
              </w:rPr>
            </w:pPr>
          </w:p>
          <w:p w:rsidR="001D0FDA" w:rsidRPr="007E25D6" w:rsidRDefault="001D0FDA" w:rsidP="001D0FDA">
            <w:pPr>
              <w:pStyle w:val="Tabletext"/>
              <w:rPr>
                <w:rFonts w:eastAsia="Times New Roman"/>
                <w:i/>
                <w:lang w:eastAsia="en-US"/>
              </w:rPr>
            </w:pPr>
            <w:r>
              <w:rPr>
                <w:rFonts w:eastAsia="Times New Roman"/>
                <w:i/>
                <w:lang w:eastAsia="en-US"/>
              </w:rPr>
              <w:t>Combination therapy</w:t>
            </w:r>
          </w:p>
          <w:p w:rsidR="001D0FDA" w:rsidRDefault="001D0FDA" w:rsidP="001D0FDA">
            <w:pPr>
              <w:pStyle w:val="Tabletext"/>
              <w:rPr>
                <w:rFonts w:cs="Tahoma"/>
                <w:i/>
                <w:szCs w:val="18"/>
              </w:rPr>
            </w:pPr>
            <w:r>
              <w:rPr>
                <w:rFonts w:eastAsia="Times New Roman"/>
                <w:lang w:eastAsia="en-US"/>
              </w:rPr>
              <w:t>Other PAH medicine</w:t>
            </w:r>
            <w:r w:rsidRPr="008D73C9">
              <w:rPr>
                <w:rFonts w:eastAsia="Times New Roman"/>
                <w:lang w:eastAsia="en-US"/>
              </w:rPr>
              <w:t xml:space="preserve">s (32% at baseline) </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VA1A4001 extension study</w:t>
            </w:r>
            <w:r w:rsidR="001D34EE" w:rsidRPr="001A1C44">
              <w:rPr>
                <w:rFonts w:eastAsia="Times New Roman"/>
                <w:noProof/>
                <w:vertAlign w:val="superscript"/>
                <w:lang w:eastAsia="en-US"/>
              </w:rPr>
              <w:t>71</w:t>
            </w:r>
          </w:p>
          <w:p w:rsidR="001D0FDA" w:rsidRPr="008D73C9" w:rsidRDefault="001D0FDA" w:rsidP="001D0FDA">
            <w:pPr>
              <w:pStyle w:val="Tabletext"/>
              <w:ind w:right="-28"/>
              <w:rPr>
                <w:rFonts w:eastAsia="Times New Roman"/>
                <w:lang w:eastAsia="en-US"/>
              </w:rPr>
            </w:pPr>
            <w:r w:rsidRPr="008D73C9">
              <w:rPr>
                <w:rFonts w:eastAsia="Times New Roman"/>
                <w:lang w:eastAsia="en-US"/>
              </w:rPr>
              <w:t>No later than 2009</w:t>
            </w:r>
            <w:r>
              <w:rPr>
                <w:rFonts w:eastAsia="Times New Roman"/>
                <w:vertAlign w:val="superscript"/>
                <w:lang w:eastAsia="en-US"/>
              </w:rPr>
              <w:t>d</w:t>
            </w:r>
          </w:p>
          <w:p w:rsidR="001D0FDA" w:rsidRPr="008D73C9" w:rsidRDefault="001D0FDA" w:rsidP="001D0FDA">
            <w:pPr>
              <w:pStyle w:val="Tabletext"/>
              <w:ind w:right="-28"/>
              <w:rPr>
                <w:rFonts w:eastAsia="Times New Roman"/>
                <w:lang w:eastAsia="en-US"/>
              </w:rPr>
            </w:pPr>
            <w:r w:rsidRPr="008D73C9">
              <w:rPr>
                <w:rFonts w:eastAsia="Times New Roman"/>
                <w:lang w:eastAsia="en-US"/>
              </w:rPr>
              <w:t>North America</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Follow-up: u</w:t>
            </w:r>
            <w:r w:rsidRPr="008D73C9">
              <w:rPr>
                <w:rFonts w:eastAsia="Times New Roman"/>
                <w:lang w:eastAsia="en-US"/>
              </w:rPr>
              <w:t xml:space="preserve">p to 3 year </w:t>
            </w:r>
          </w:p>
        </w:tc>
        <w:tc>
          <w:tcPr>
            <w:tcW w:w="1096" w:type="pct"/>
          </w:tcPr>
          <w:p w:rsidR="001D0FDA" w:rsidRPr="002C7B28" w:rsidRDefault="001D0FDA" w:rsidP="001D0FDA">
            <w:pPr>
              <w:pStyle w:val="Tabletext"/>
              <w:rPr>
                <w:rFonts w:cs="Tahoma"/>
                <w:i/>
                <w:szCs w:val="18"/>
              </w:rPr>
            </w:pPr>
            <w:r w:rsidRPr="002C7B28">
              <w:rPr>
                <w:rFonts w:cs="Tahoma"/>
                <w:i/>
                <w:szCs w:val="18"/>
              </w:rPr>
              <w:t>Inclusion criteria</w:t>
            </w:r>
          </w:p>
          <w:p w:rsidR="001D0FDA" w:rsidRPr="00097998" w:rsidRDefault="001D0FDA" w:rsidP="00480FDF">
            <w:pPr>
              <w:pStyle w:val="Tabletext"/>
              <w:numPr>
                <w:ilvl w:val="0"/>
                <w:numId w:val="54"/>
              </w:numPr>
              <w:ind w:left="239" w:hanging="144"/>
              <w:rPr>
                <w:rFonts w:cs="Tahoma"/>
                <w:i/>
                <w:szCs w:val="18"/>
              </w:rPr>
            </w:pPr>
            <w:r w:rsidRPr="002C7B28">
              <w:rPr>
                <w:rFonts w:cs="Tahoma"/>
                <w:szCs w:val="18"/>
              </w:rPr>
              <w:t>Patients with WHO FC III or IV PAH associated with scleroderma who completed Trial VA1A4001</w:t>
            </w:r>
          </w:p>
        </w:tc>
        <w:tc>
          <w:tcPr>
            <w:tcW w:w="1856" w:type="pct"/>
          </w:tcPr>
          <w:p w:rsidR="001D0FDA" w:rsidRDefault="001D0FDA" w:rsidP="001D0FDA">
            <w:pPr>
              <w:pStyle w:val="Tabletext"/>
              <w:ind w:right="-28"/>
              <w:rPr>
                <w:rFonts w:eastAsia="Times New Roman"/>
                <w:lang w:eastAsia="en-US"/>
              </w:rPr>
            </w:pPr>
            <w:r w:rsidRPr="008D73C9">
              <w:rPr>
                <w:rFonts w:eastAsia="Times New Roman"/>
                <w:lang w:eastAsia="en-US"/>
              </w:rPr>
              <w:t>N=97</w:t>
            </w:r>
          </w:p>
          <w:p w:rsidR="001D0FDA" w:rsidRPr="00C41328" w:rsidRDefault="001D0FDA" w:rsidP="001D0FDA">
            <w:pPr>
              <w:pStyle w:val="Tabletext"/>
              <w:rPr>
                <w:rFonts w:cs="Tahoma"/>
                <w:szCs w:val="18"/>
              </w:rPr>
            </w:pPr>
            <w:r w:rsidRPr="00C41328">
              <w:rPr>
                <w:rFonts w:cs="Tahoma"/>
                <w:szCs w:val="18"/>
              </w:rPr>
              <w:t>Age</w:t>
            </w:r>
            <w:r>
              <w:rPr>
                <w:rFonts w:cs="Tahoma"/>
                <w:szCs w:val="18"/>
              </w:rPr>
              <w:t>, median (range) (yrs)</w:t>
            </w:r>
            <w:r w:rsidRPr="00C41328">
              <w:rPr>
                <w:rFonts w:cs="Tahoma"/>
                <w:szCs w:val="18"/>
              </w:rPr>
              <w:t xml:space="preserve">: </w:t>
            </w:r>
            <w:r>
              <w:rPr>
                <w:rFonts w:cs="Tahoma"/>
                <w:szCs w:val="18"/>
              </w:rPr>
              <w:t>57 (23-78)</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xml:space="preserve">: </w:t>
            </w:r>
            <w:r>
              <w:rPr>
                <w:rFonts w:cs="Tahoma"/>
                <w:szCs w:val="18"/>
              </w:rPr>
              <w:t>87 (90%)</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Pr>
                <w:rFonts w:cs="Tahoma"/>
                <w:szCs w:val="18"/>
              </w:rPr>
              <w:t>PAH-CTD: 97 (100%)</w:t>
            </w:r>
          </w:p>
          <w:p w:rsidR="001D0FDA" w:rsidRDefault="001D0FDA" w:rsidP="001D0FDA">
            <w:pPr>
              <w:pStyle w:val="Tabletext"/>
              <w:rPr>
                <w:rFonts w:cs="Tahoma"/>
                <w:szCs w:val="18"/>
              </w:rPr>
            </w:pPr>
            <w:r w:rsidRPr="00C41328">
              <w:rPr>
                <w:rFonts w:cs="Tahoma"/>
                <w:szCs w:val="18"/>
              </w:rPr>
              <w:t>WHO FC</w:t>
            </w:r>
            <w:r>
              <w:rPr>
                <w:rFonts w:cs="Tahoma"/>
                <w:szCs w:val="18"/>
              </w:rPr>
              <w:t>, n (%)</w:t>
            </w:r>
            <w:r w:rsidRPr="00C41328">
              <w:rPr>
                <w:rFonts w:cs="Tahoma"/>
                <w:szCs w:val="18"/>
              </w:rPr>
              <w:t>:</w:t>
            </w:r>
          </w:p>
          <w:p w:rsidR="001D0FDA" w:rsidRPr="005B37FC" w:rsidRDefault="001D0FDA" w:rsidP="001D0FDA">
            <w:pPr>
              <w:pStyle w:val="Tabletext"/>
              <w:ind w:left="239"/>
              <w:rPr>
                <w:rFonts w:cs="Tahoma"/>
                <w:szCs w:val="18"/>
              </w:rPr>
            </w:pPr>
            <w:r w:rsidRPr="005B37FC">
              <w:rPr>
                <w:rFonts w:cs="Tahoma"/>
                <w:szCs w:val="18"/>
              </w:rPr>
              <w:t>II: 5 (5%)</w:t>
            </w:r>
            <w:r>
              <w:rPr>
                <w:rFonts w:cs="Tahoma"/>
                <w:szCs w:val="18"/>
              </w:rPr>
              <w:t xml:space="preserve">; </w:t>
            </w:r>
            <w:r w:rsidRPr="005B37FC">
              <w:rPr>
                <w:rFonts w:cs="Tahoma"/>
                <w:szCs w:val="18"/>
              </w:rPr>
              <w:t>III: 77 (79%)</w:t>
            </w:r>
            <w:r>
              <w:rPr>
                <w:rFonts w:cs="Tahoma"/>
                <w:szCs w:val="18"/>
              </w:rPr>
              <w:t xml:space="preserve">; </w:t>
            </w:r>
            <w:r w:rsidRPr="005B37FC">
              <w:rPr>
                <w:rFonts w:cs="Tahoma"/>
                <w:szCs w:val="18"/>
              </w:rPr>
              <w:t>IV: 15 (15%)</w:t>
            </w:r>
          </w:p>
        </w:tc>
        <w:tc>
          <w:tcPr>
            <w:tcW w:w="1047" w:type="pct"/>
          </w:tcPr>
          <w:p w:rsidR="001D0FDA" w:rsidRDefault="001D0FDA" w:rsidP="001D0FDA">
            <w:pPr>
              <w:pStyle w:val="Tabletext"/>
              <w:rPr>
                <w:rFonts w:eastAsia="Times New Roman"/>
                <w:i/>
                <w:lang w:eastAsia="en-US"/>
              </w:rPr>
            </w:pPr>
            <w:r>
              <w:rPr>
                <w:rFonts w:eastAsia="Times New Roman"/>
                <w:i/>
                <w:lang w:eastAsia="en-US"/>
              </w:rPr>
              <w:t>Intervention</w:t>
            </w:r>
          </w:p>
          <w:p w:rsidR="001D0FDA" w:rsidRDefault="001D0FDA" w:rsidP="001D0FDA">
            <w:pPr>
              <w:pStyle w:val="Tabletext"/>
              <w:rPr>
                <w:rFonts w:cs="Tahoma"/>
                <w:i/>
                <w:szCs w:val="18"/>
              </w:rPr>
            </w:pPr>
            <w:r w:rsidRPr="00446A48">
              <w:rPr>
                <w:rFonts w:eastAsia="Times New Roman"/>
                <w:lang w:eastAsia="en-US"/>
              </w:rPr>
              <w:t>Epoprostenol: initial dose of 2ng/kg/min, then up-titrat</w:t>
            </w:r>
            <w:r>
              <w:rPr>
                <w:rFonts w:eastAsia="Times New Roman"/>
                <w:lang w:eastAsia="en-US"/>
              </w:rPr>
              <w:t>ed</w:t>
            </w:r>
            <w:r w:rsidRPr="00446A48">
              <w:rPr>
                <w:rFonts w:eastAsia="Times New Roman"/>
                <w:lang w:eastAsia="en-US"/>
              </w:rPr>
              <w:t xml:space="preserve"> based on tolerability</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Vis 2013</w:t>
            </w:r>
            <w:r w:rsidR="001D34EE" w:rsidRPr="001A1C44">
              <w:rPr>
                <w:rFonts w:eastAsia="Times New Roman"/>
                <w:noProof/>
                <w:vertAlign w:val="superscript"/>
                <w:lang w:eastAsia="en-US"/>
              </w:rPr>
              <w:t>72</w:t>
            </w:r>
          </w:p>
          <w:p w:rsidR="001D0FDA" w:rsidRPr="008D73C9" w:rsidRDefault="001D0FDA" w:rsidP="001D0FDA">
            <w:pPr>
              <w:pStyle w:val="Tabletext"/>
              <w:ind w:right="-28"/>
              <w:rPr>
                <w:rFonts w:eastAsia="Times New Roman"/>
                <w:lang w:eastAsia="en-US"/>
              </w:rPr>
            </w:pPr>
            <w:r w:rsidRPr="008D73C9">
              <w:rPr>
                <w:rFonts w:eastAsia="Times New Roman"/>
                <w:lang w:eastAsia="en-US"/>
              </w:rPr>
              <w:t>2005-2010</w:t>
            </w:r>
          </w:p>
          <w:p w:rsidR="001D0FDA" w:rsidRPr="008D73C9" w:rsidRDefault="001D0FDA" w:rsidP="001D0FDA">
            <w:pPr>
              <w:pStyle w:val="Tabletext"/>
              <w:ind w:right="-28"/>
              <w:rPr>
                <w:rFonts w:eastAsia="Times New Roman"/>
                <w:lang w:eastAsia="en-US"/>
              </w:rPr>
            </w:pPr>
            <w:r w:rsidRPr="008D73C9">
              <w:rPr>
                <w:rFonts w:eastAsia="Times New Roman"/>
                <w:lang w:eastAsia="en-US"/>
              </w:rPr>
              <w:t>Netherlands</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Case series (unclear if retrospective or prospective)</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 xml:space="preserve">Follow-up: </w:t>
            </w:r>
            <w:r w:rsidRPr="008D73C9">
              <w:rPr>
                <w:rFonts w:eastAsia="Times New Roman"/>
                <w:lang w:eastAsia="en-US"/>
              </w:rPr>
              <w:t>3.9-4 years</w:t>
            </w:r>
          </w:p>
        </w:tc>
        <w:tc>
          <w:tcPr>
            <w:tcW w:w="1096" w:type="pct"/>
          </w:tcPr>
          <w:p w:rsidR="001D0FDA" w:rsidRPr="00446A48" w:rsidRDefault="001D0FDA" w:rsidP="001D0FDA">
            <w:pPr>
              <w:pStyle w:val="Tabletext"/>
              <w:rPr>
                <w:rFonts w:cs="Tahoma"/>
                <w:i/>
                <w:szCs w:val="18"/>
              </w:rPr>
            </w:pPr>
            <w:r>
              <w:rPr>
                <w:rFonts w:cs="Tahoma"/>
                <w:i/>
                <w:szCs w:val="18"/>
              </w:rPr>
              <w:t>Inclusion criteria</w:t>
            </w:r>
          </w:p>
          <w:p w:rsidR="001D0FDA" w:rsidRPr="00446A48" w:rsidRDefault="001D0FDA" w:rsidP="00480FDF">
            <w:pPr>
              <w:pStyle w:val="Tabletext"/>
              <w:numPr>
                <w:ilvl w:val="0"/>
                <w:numId w:val="54"/>
              </w:numPr>
              <w:ind w:left="239" w:hanging="144"/>
              <w:rPr>
                <w:rFonts w:cs="Tahoma"/>
                <w:szCs w:val="18"/>
              </w:rPr>
            </w:pPr>
            <w:r w:rsidRPr="00446A48">
              <w:rPr>
                <w:rFonts w:cs="Tahoma"/>
                <w:szCs w:val="18"/>
              </w:rPr>
              <w:t xml:space="preserve">Adult PAH patients with Eisenmenger syndrome and other CHDs or patients with persistent PAH after previous closure of their CHD defect </w:t>
            </w:r>
          </w:p>
          <w:p w:rsidR="001D0FDA" w:rsidRPr="00446A48" w:rsidRDefault="001D0FDA" w:rsidP="00480FDF">
            <w:pPr>
              <w:pStyle w:val="Tabletext"/>
              <w:numPr>
                <w:ilvl w:val="0"/>
                <w:numId w:val="54"/>
              </w:numPr>
              <w:ind w:left="239" w:hanging="144"/>
              <w:rPr>
                <w:rFonts w:cs="Tahoma"/>
                <w:szCs w:val="18"/>
              </w:rPr>
            </w:pPr>
            <w:r w:rsidRPr="00446A48">
              <w:rPr>
                <w:rFonts w:cs="Tahoma"/>
                <w:szCs w:val="18"/>
              </w:rPr>
              <w:t xml:space="preserve">Patients with WHO FC II-IV </w:t>
            </w:r>
          </w:p>
          <w:p w:rsidR="001D0FDA" w:rsidRDefault="001D0FDA" w:rsidP="00480FDF">
            <w:pPr>
              <w:pStyle w:val="Tabletext"/>
              <w:numPr>
                <w:ilvl w:val="0"/>
                <w:numId w:val="54"/>
              </w:numPr>
              <w:ind w:left="239" w:hanging="144"/>
              <w:rPr>
                <w:rFonts w:cs="Tahoma"/>
                <w:szCs w:val="18"/>
              </w:rPr>
            </w:pPr>
            <w:r>
              <w:rPr>
                <w:rFonts w:cs="Tahoma"/>
                <w:szCs w:val="18"/>
              </w:rPr>
              <w:t xml:space="preserve">Receiving </w:t>
            </w:r>
            <w:r w:rsidRPr="00446A48">
              <w:rPr>
                <w:rFonts w:cs="Tahoma"/>
                <w:szCs w:val="18"/>
              </w:rPr>
              <w:t>bosentan for treatment of PAH</w:t>
            </w:r>
          </w:p>
          <w:p w:rsidR="001D0FDA" w:rsidRPr="00446A48" w:rsidRDefault="001D0FDA" w:rsidP="001D0FDA">
            <w:pPr>
              <w:pStyle w:val="Tabletext"/>
              <w:ind w:left="239"/>
              <w:rPr>
                <w:rFonts w:cs="Tahoma"/>
                <w:szCs w:val="18"/>
              </w:rPr>
            </w:pPr>
          </w:p>
          <w:p w:rsidR="001D0FDA" w:rsidRPr="00446A48" w:rsidRDefault="001D0FDA" w:rsidP="001D0FDA">
            <w:pPr>
              <w:pStyle w:val="Tabletext"/>
              <w:rPr>
                <w:rFonts w:cs="Tahoma"/>
                <w:i/>
                <w:szCs w:val="18"/>
              </w:rPr>
            </w:pPr>
            <w:r>
              <w:rPr>
                <w:rFonts w:cs="Tahoma"/>
                <w:i/>
                <w:szCs w:val="18"/>
              </w:rPr>
              <w:t>Exclusion criteria</w:t>
            </w:r>
          </w:p>
          <w:p w:rsidR="001D0FDA" w:rsidRPr="00446A48" w:rsidRDefault="001D0FDA" w:rsidP="00480FDF">
            <w:pPr>
              <w:pStyle w:val="Tabletext"/>
              <w:numPr>
                <w:ilvl w:val="0"/>
                <w:numId w:val="54"/>
              </w:numPr>
              <w:ind w:left="239" w:hanging="144"/>
              <w:rPr>
                <w:rFonts w:cs="Tahoma"/>
                <w:szCs w:val="18"/>
              </w:rPr>
            </w:pPr>
            <w:r>
              <w:rPr>
                <w:rFonts w:cs="Tahoma"/>
                <w:szCs w:val="18"/>
              </w:rPr>
              <w:t>Patients receiving prostanoid</w:t>
            </w:r>
            <w:r w:rsidRPr="00446A48">
              <w:rPr>
                <w:rFonts w:cs="Tahoma"/>
                <w:szCs w:val="18"/>
              </w:rPr>
              <w:t>, PDE-5i, glibenclamide or cycl</w:t>
            </w:r>
            <w:r>
              <w:rPr>
                <w:rFonts w:cs="Tahoma"/>
                <w:szCs w:val="18"/>
              </w:rPr>
              <w:t>osporine before study inclusion</w:t>
            </w:r>
          </w:p>
          <w:p w:rsidR="001D0FDA" w:rsidRPr="00446A48" w:rsidRDefault="001D0FDA" w:rsidP="00480FDF">
            <w:pPr>
              <w:pStyle w:val="Tabletext"/>
              <w:numPr>
                <w:ilvl w:val="0"/>
                <w:numId w:val="54"/>
              </w:numPr>
              <w:ind w:left="239" w:hanging="144"/>
              <w:rPr>
                <w:rFonts w:cs="Tahoma"/>
                <w:szCs w:val="18"/>
              </w:rPr>
            </w:pPr>
            <w:r w:rsidRPr="00446A48">
              <w:rPr>
                <w:rFonts w:cs="Tahoma"/>
                <w:szCs w:val="18"/>
              </w:rPr>
              <w:t>Patients with obstruction of the right ventricular outflow tract, pulmona</w:t>
            </w:r>
            <w:r>
              <w:rPr>
                <w:rFonts w:cs="Tahoma"/>
                <w:szCs w:val="18"/>
              </w:rPr>
              <w:t>ry valve, or pulmonary arteries</w:t>
            </w:r>
            <w:r w:rsidRPr="00446A48">
              <w:rPr>
                <w:rFonts w:cs="Tahoma"/>
                <w:i/>
                <w:szCs w:val="18"/>
              </w:rPr>
              <w:t xml:space="preserve"> </w:t>
            </w:r>
          </w:p>
        </w:tc>
        <w:tc>
          <w:tcPr>
            <w:tcW w:w="1856" w:type="pct"/>
          </w:tcPr>
          <w:p w:rsidR="001D0FDA" w:rsidRDefault="001D0FDA" w:rsidP="001D0FDA">
            <w:pPr>
              <w:pStyle w:val="Tabletext"/>
              <w:ind w:right="-28"/>
              <w:rPr>
                <w:rFonts w:eastAsia="Times New Roman"/>
                <w:lang w:eastAsia="en-US"/>
              </w:rPr>
            </w:pPr>
            <w:r w:rsidRPr="008D73C9">
              <w:rPr>
                <w:rFonts w:eastAsia="Times New Roman"/>
                <w:lang w:eastAsia="en-US"/>
              </w:rPr>
              <w:t>N=64</w:t>
            </w:r>
          </w:p>
          <w:tbl>
            <w:tblPr>
              <w:tblStyle w:val="TableGrid"/>
              <w:tblW w:w="45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Study Vis 2013"/>
            </w:tblPr>
            <w:tblGrid>
              <w:gridCol w:w="1817"/>
              <w:gridCol w:w="1378"/>
              <w:gridCol w:w="1315"/>
            </w:tblGrid>
            <w:tr w:rsidR="001D0FDA" w:rsidRPr="00802B85" w:rsidTr="001D0FDA">
              <w:trPr>
                <w:cnfStyle w:val="100000000000" w:firstRow="1" w:lastRow="0" w:firstColumn="0" w:lastColumn="0" w:oddVBand="0" w:evenVBand="0" w:oddHBand="0" w:evenHBand="0" w:firstRowFirstColumn="0" w:firstRowLastColumn="0" w:lastRowFirstColumn="0" w:lastRowLastColumn="0"/>
              </w:trPr>
              <w:tc>
                <w:tcPr>
                  <w:tcW w:w="1817" w:type="dxa"/>
                  <w:shd w:val="clear" w:color="auto" w:fill="FFFFFF" w:themeFill="background1"/>
                </w:tcPr>
                <w:p w:rsidR="001D0FDA" w:rsidRPr="00351FF5" w:rsidRDefault="001D0FDA" w:rsidP="00B5196D">
                  <w:pPr>
                    <w:pStyle w:val="Tabletext"/>
                    <w:framePr w:hSpace="180" w:wrap="around" w:vAnchor="text" w:hAnchor="text" w:y="1"/>
                    <w:spacing w:before="0" w:after="0"/>
                    <w:rPr>
                      <w:rFonts w:cs="Tahoma"/>
                      <w:b/>
                      <w:szCs w:val="18"/>
                    </w:rPr>
                  </w:pPr>
                </w:p>
              </w:tc>
              <w:tc>
                <w:tcPr>
                  <w:tcW w:w="1378" w:type="dxa"/>
                  <w:shd w:val="clear" w:color="auto" w:fill="FFFFFF" w:themeFill="background1"/>
                </w:tcPr>
                <w:p w:rsidR="001D0FDA" w:rsidRPr="00802B85" w:rsidRDefault="001D0FDA" w:rsidP="00B5196D">
                  <w:pPr>
                    <w:pStyle w:val="Tabletext"/>
                    <w:framePr w:hSpace="180" w:wrap="around" w:vAnchor="text" w:hAnchor="text" w:y="1"/>
                    <w:spacing w:before="0"/>
                    <w:jc w:val="center"/>
                    <w:rPr>
                      <w:rFonts w:cs="Tahoma"/>
                      <w:szCs w:val="18"/>
                    </w:rPr>
                  </w:pPr>
                  <w:r>
                    <w:rPr>
                      <w:rFonts w:cs="Tahoma"/>
                      <w:szCs w:val="18"/>
                    </w:rPr>
                    <w:t xml:space="preserve">With Down syndrome </w:t>
                  </w:r>
                  <w:r>
                    <w:rPr>
                      <w:rFonts w:cs="Tahoma"/>
                      <w:szCs w:val="18"/>
                    </w:rPr>
                    <w:br/>
                    <w:t>(N=34)</w:t>
                  </w:r>
                </w:p>
              </w:tc>
              <w:tc>
                <w:tcPr>
                  <w:tcW w:w="1315" w:type="dxa"/>
                  <w:shd w:val="clear" w:color="auto" w:fill="FFFFFF" w:themeFill="background1"/>
                </w:tcPr>
                <w:p w:rsidR="001D0FDA" w:rsidRPr="00802B85" w:rsidRDefault="001D0FDA" w:rsidP="00B5196D">
                  <w:pPr>
                    <w:pStyle w:val="Tabletext"/>
                    <w:framePr w:hSpace="180" w:wrap="around" w:vAnchor="text" w:hAnchor="text" w:y="1"/>
                    <w:spacing w:before="0"/>
                    <w:jc w:val="center"/>
                    <w:rPr>
                      <w:rFonts w:cs="Tahoma"/>
                      <w:szCs w:val="18"/>
                    </w:rPr>
                  </w:pPr>
                  <w:r>
                    <w:rPr>
                      <w:rFonts w:cs="Tahoma"/>
                      <w:szCs w:val="18"/>
                    </w:rPr>
                    <w:t>Without Down syndrome</w:t>
                  </w:r>
                  <w:r w:rsidRPr="00411013">
                    <w:rPr>
                      <w:rFonts w:cs="Tahoma"/>
                      <w:szCs w:val="18"/>
                    </w:rPr>
                    <w:t xml:space="preserve"> </w:t>
                  </w:r>
                  <w:r>
                    <w:rPr>
                      <w:rFonts w:cs="Tahoma"/>
                      <w:szCs w:val="18"/>
                    </w:rPr>
                    <w:br/>
                  </w:r>
                  <w:r w:rsidRPr="00411013">
                    <w:rPr>
                      <w:rFonts w:cs="Tahoma"/>
                      <w:szCs w:val="18"/>
                    </w:rPr>
                    <w:t>(N=</w:t>
                  </w:r>
                  <w:r>
                    <w:rPr>
                      <w:rFonts w:cs="Tahoma"/>
                      <w:szCs w:val="18"/>
                    </w:rPr>
                    <w:t>30</w:t>
                  </w:r>
                  <w:r w:rsidRPr="00411013">
                    <w:rPr>
                      <w:rFonts w:cs="Tahoma"/>
                      <w:szCs w:val="18"/>
                    </w:rPr>
                    <w:t>)</w:t>
                  </w:r>
                </w:p>
              </w:tc>
            </w:tr>
            <w:tr w:rsidR="001D0FDA" w:rsidRPr="00411013" w:rsidTr="001D0FDA">
              <w:tc>
                <w:tcPr>
                  <w:tcW w:w="1817" w:type="dxa"/>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 xml:space="preserve">Age, mean±SD (yrs) </w:t>
                  </w:r>
                </w:p>
              </w:tc>
              <w:tc>
                <w:tcPr>
                  <w:tcW w:w="1378" w:type="dxa"/>
                  <w:vAlign w:val="center"/>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46±14</w:t>
                  </w:r>
                </w:p>
              </w:tc>
              <w:tc>
                <w:tcPr>
                  <w:tcW w:w="1315" w:type="dxa"/>
                  <w:vAlign w:val="center"/>
                </w:tcPr>
                <w:p w:rsidR="001D0FDA" w:rsidRPr="00411013" w:rsidRDefault="001D0FDA" w:rsidP="00B5196D">
                  <w:pPr>
                    <w:pStyle w:val="Tabletext"/>
                    <w:framePr w:hSpace="180" w:wrap="around" w:vAnchor="text" w:hAnchor="text" w:y="1"/>
                    <w:spacing w:before="0" w:after="0"/>
                    <w:jc w:val="center"/>
                    <w:rPr>
                      <w:rFonts w:cs="Tahoma"/>
                      <w:szCs w:val="18"/>
                    </w:rPr>
                  </w:pPr>
                  <w:r w:rsidRPr="005D0DE3">
                    <w:rPr>
                      <w:rFonts w:cs="Tahoma"/>
                      <w:szCs w:val="18"/>
                    </w:rPr>
                    <w:t>36±10</w:t>
                  </w:r>
                </w:p>
              </w:tc>
            </w:tr>
            <w:tr w:rsidR="001D0FDA" w:rsidRPr="00411013" w:rsidTr="001D0FDA">
              <w:tc>
                <w:tcPr>
                  <w:tcW w:w="1817" w:type="dxa"/>
                  <w:tcBorders>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Gender, femal</w:t>
                  </w:r>
                  <w:r>
                    <w:rPr>
                      <w:rFonts w:cs="Tahoma"/>
                      <w:szCs w:val="18"/>
                    </w:rPr>
                    <w:t>e</w:t>
                  </w:r>
                  <w:r w:rsidRPr="00351FF5">
                    <w:rPr>
                      <w:rFonts w:cs="Tahoma"/>
                      <w:szCs w:val="18"/>
                    </w:rPr>
                    <w:t>, n (%)</w:t>
                  </w:r>
                </w:p>
              </w:tc>
              <w:tc>
                <w:tcPr>
                  <w:tcW w:w="1378" w:type="dxa"/>
                  <w:tcBorders>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r w:rsidRPr="005D0DE3">
                    <w:rPr>
                      <w:rFonts w:cs="Tahoma"/>
                      <w:szCs w:val="18"/>
                    </w:rPr>
                    <w:t>23 (68%)</w:t>
                  </w:r>
                </w:p>
              </w:tc>
              <w:tc>
                <w:tcPr>
                  <w:tcW w:w="1315" w:type="dxa"/>
                  <w:tcBorders>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r w:rsidRPr="005D0DE3">
                    <w:rPr>
                      <w:rFonts w:cs="Tahoma"/>
                      <w:szCs w:val="18"/>
                    </w:rPr>
                    <w:t>11 (37%)</w:t>
                  </w:r>
                </w:p>
              </w:tc>
            </w:tr>
            <w:tr w:rsidR="001D0FDA" w:rsidRPr="00411013" w:rsidTr="001D0FDA">
              <w:tc>
                <w:tcPr>
                  <w:tcW w:w="1817"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PAH aetiology, n (%)</w:t>
                  </w:r>
                </w:p>
              </w:tc>
              <w:tc>
                <w:tcPr>
                  <w:tcW w:w="1378"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c>
                <w:tcPr>
                  <w:tcW w:w="1315"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r>
            <w:tr w:rsidR="001D0FDA" w:rsidRPr="00411013" w:rsidTr="001D0FDA">
              <w:tc>
                <w:tcPr>
                  <w:tcW w:w="1817" w:type="dxa"/>
                  <w:tcBorders>
                    <w:top w:val="nil"/>
                    <w:bottom w:val="single" w:sz="4" w:space="0" w:color="BFBFBF" w:themeColor="background1" w:themeShade="BF"/>
                  </w:tcBorders>
                </w:tcPr>
                <w:p w:rsidR="001D0FDA" w:rsidRPr="00351FF5" w:rsidRDefault="001D0FDA" w:rsidP="00B5196D">
                  <w:pPr>
                    <w:pStyle w:val="Tabletext"/>
                    <w:framePr w:hSpace="180" w:wrap="around" w:vAnchor="text" w:hAnchor="text" w:y="1"/>
                    <w:spacing w:before="0" w:after="0"/>
                    <w:ind w:left="196"/>
                    <w:rPr>
                      <w:rFonts w:cs="Tahoma"/>
                      <w:szCs w:val="18"/>
                    </w:rPr>
                  </w:pPr>
                  <w:r w:rsidRPr="00351FF5">
                    <w:rPr>
                      <w:rFonts w:cs="Tahoma"/>
                      <w:szCs w:val="18"/>
                    </w:rPr>
                    <w:t>PAH-</w:t>
                  </w:r>
                  <w:r>
                    <w:rPr>
                      <w:rFonts w:cs="Tahoma"/>
                      <w:szCs w:val="18"/>
                    </w:rPr>
                    <w:t>CHD</w:t>
                  </w:r>
                </w:p>
              </w:tc>
              <w:tc>
                <w:tcPr>
                  <w:tcW w:w="1378" w:type="dxa"/>
                  <w:tcBorders>
                    <w:top w:val="nil"/>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r>
                    <w:rPr>
                      <w:rFonts w:cs="Tahoma"/>
                      <w:szCs w:val="18"/>
                    </w:rPr>
                    <w:t>34 (100%)</w:t>
                  </w:r>
                </w:p>
              </w:tc>
              <w:tc>
                <w:tcPr>
                  <w:tcW w:w="1315" w:type="dxa"/>
                  <w:tcBorders>
                    <w:top w:val="nil"/>
                    <w:bottom w:val="single" w:sz="4" w:space="0" w:color="BFBFBF" w:themeColor="background1" w:themeShade="BF"/>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r>
                    <w:rPr>
                      <w:rFonts w:cs="Tahoma"/>
                      <w:szCs w:val="18"/>
                    </w:rPr>
                    <w:t>30 (100%)</w:t>
                  </w:r>
                </w:p>
              </w:tc>
            </w:tr>
            <w:tr w:rsidR="001D0FDA" w:rsidRPr="00411013" w:rsidTr="001D0FDA">
              <w:tc>
                <w:tcPr>
                  <w:tcW w:w="1817" w:type="dxa"/>
                  <w:tcBorders>
                    <w:bottom w:val="nil"/>
                  </w:tcBorders>
                </w:tcPr>
                <w:p w:rsidR="001D0FDA" w:rsidRPr="00351FF5" w:rsidRDefault="001D0FDA" w:rsidP="00B5196D">
                  <w:pPr>
                    <w:pStyle w:val="Tabletext"/>
                    <w:framePr w:hSpace="180" w:wrap="around" w:vAnchor="text" w:hAnchor="text" w:y="1"/>
                    <w:spacing w:before="0" w:after="0"/>
                    <w:rPr>
                      <w:rFonts w:cs="Tahoma"/>
                      <w:szCs w:val="18"/>
                    </w:rPr>
                  </w:pPr>
                  <w:r w:rsidRPr="00351FF5">
                    <w:rPr>
                      <w:rFonts w:cs="Tahoma"/>
                      <w:szCs w:val="18"/>
                    </w:rPr>
                    <w:t>WHO FC</w:t>
                  </w:r>
                  <w:r>
                    <w:rPr>
                      <w:rFonts w:cs="Tahoma"/>
                      <w:szCs w:val="18"/>
                    </w:rPr>
                    <w:t>, n (%)</w:t>
                  </w:r>
                </w:p>
              </w:tc>
              <w:tc>
                <w:tcPr>
                  <w:tcW w:w="1378"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c>
                <w:tcPr>
                  <w:tcW w:w="1315" w:type="dxa"/>
                  <w:tcBorders>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p>
              </w:tc>
            </w:tr>
            <w:tr w:rsidR="001D0FDA" w:rsidRPr="00411013" w:rsidTr="001D0FDA">
              <w:tc>
                <w:tcPr>
                  <w:tcW w:w="1817" w:type="dxa"/>
                  <w:tcBorders>
                    <w:top w:val="nil"/>
                    <w:bottom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II</w:t>
                  </w:r>
                </w:p>
              </w:tc>
              <w:tc>
                <w:tcPr>
                  <w:tcW w:w="1378" w:type="dxa"/>
                  <w:tcBorders>
                    <w:top w:val="nil"/>
                    <w:bottom w:val="nil"/>
                  </w:tcBorders>
                  <w:vAlign w:val="center"/>
                </w:tcPr>
                <w:p w:rsidR="001D0FDA" w:rsidRPr="00411013" w:rsidRDefault="001D0FDA" w:rsidP="00B5196D">
                  <w:pPr>
                    <w:pStyle w:val="Tabletext"/>
                    <w:framePr w:hSpace="180" w:wrap="around" w:vAnchor="text" w:hAnchor="text" w:y="1"/>
                    <w:spacing w:before="0"/>
                    <w:jc w:val="center"/>
                    <w:rPr>
                      <w:rFonts w:cs="Tahoma"/>
                      <w:szCs w:val="18"/>
                    </w:rPr>
                  </w:pPr>
                  <w:r>
                    <w:rPr>
                      <w:rFonts w:cs="Tahoma"/>
                      <w:szCs w:val="18"/>
                    </w:rPr>
                    <w:t>4 (12%)</w:t>
                  </w:r>
                </w:p>
              </w:tc>
              <w:tc>
                <w:tcPr>
                  <w:tcW w:w="1315" w:type="dxa"/>
                  <w:tcBorders>
                    <w:top w:val="nil"/>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r w:rsidRPr="005D0DE3">
                    <w:rPr>
                      <w:rFonts w:cs="Tahoma"/>
                      <w:szCs w:val="18"/>
                    </w:rPr>
                    <w:t>8 (27%)</w:t>
                  </w:r>
                </w:p>
              </w:tc>
            </w:tr>
            <w:tr w:rsidR="001D0FDA" w:rsidRPr="00411013" w:rsidTr="001D0FDA">
              <w:tc>
                <w:tcPr>
                  <w:tcW w:w="1817" w:type="dxa"/>
                  <w:tcBorders>
                    <w:top w:val="nil"/>
                    <w:bottom w:val="nil"/>
                  </w:tcBorders>
                </w:tcPr>
                <w:p w:rsidR="001D0FDA" w:rsidRDefault="001D0FDA" w:rsidP="00B5196D">
                  <w:pPr>
                    <w:pStyle w:val="Tabletext"/>
                    <w:framePr w:hSpace="180" w:wrap="around" w:vAnchor="text" w:hAnchor="text" w:y="1"/>
                    <w:spacing w:before="0" w:after="0"/>
                    <w:ind w:left="196"/>
                    <w:rPr>
                      <w:rFonts w:cs="Tahoma"/>
                      <w:szCs w:val="18"/>
                    </w:rPr>
                  </w:pPr>
                  <w:r>
                    <w:rPr>
                      <w:rFonts w:cs="Tahoma"/>
                      <w:szCs w:val="18"/>
                    </w:rPr>
                    <w:t>III</w:t>
                  </w:r>
                </w:p>
              </w:tc>
              <w:tc>
                <w:tcPr>
                  <w:tcW w:w="1378" w:type="dxa"/>
                  <w:tcBorders>
                    <w:top w:val="nil"/>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r w:rsidRPr="005D0DE3">
                    <w:rPr>
                      <w:rFonts w:cs="Tahoma"/>
                      <w:szCs w:val="18"/>
                    </w:rPr>
                    <w:t>28 (82%)</w:t>
                  </w:r>
                </w:p>
              </w:tc>
              <w:tc>
                <w:tcPr>
                  <w:tcW w:w="1315" w:type="dxa"/>
                  <w:tcBorders>
                    <w:top w:val="nil"/>
                    <w:bottom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r w:rsidRPr="005D0DE3">
                    <w:rPr>
                      <w:rFonts w:cs="Tahoma"/>
                      <w:szCs w:val="18"/>
                    </w:rPr>
                    <w:t>20 (67%)</w:t>
                  </w:r>
                </w:p>
              </w:tc>
            </w:tr>
            <w:tr w:rsidR="001D0FDA" w:rsidRPr="00411013" w:rsidTr="001D0FDA">
              <w:tc>
                <w:tcPr>
                  <w:tcW w:w="1817" w:type="dxa"/>
                  <w:tcBorders>
                    <w:top w:val="nil"/>
                  </w:tcBorders>
                </w:tcPr>
                <w:p w:rsidR="001D0FDA" w:rsidRPr="00351FF5" w:rsidRDefault="001D0FDA" w:rsidP="00B5196D">
                  <w:pPr>
                    <w:pStyle w:val="Tabletext"/>
                    <w:framePr w:hSpace="180" w:wrap="around" w:vAnchor="text" w:hAnchor="text" w:y="1"/>
                    <w:spacing w:before="0" w:after="0"/>
                    <w:ind w:left="196"/>
                    <w:rPr>
                      <w:rFonts w:cs="Tahoma"/>
                      <w:szCs w:val="18"/>
                    </w:rPr>
                  </w:pPr>
                  <w:r>
                    <w:rPr>
                      <w:rFonts w:cs="Tahoma"/>
                      <w:szCs w:val="18"/>
                    </w:rPr>
                    <w:t>IV</w:t>
                  </w:r>
                </w:p>
              </w:tc>
              <w:tc>
                <w:tcPr>
                  <w:tcW w:w="1378" w:type="dxa"/>
                  <w:tcBorders>
                    <w:top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r w:rsidRPr="005D0DE3">
                    <w:rPr>
                      <w:rFonts w:cs="Tahoma"/>
                      <w:szCs w:val="18"/>
                    </w:rPr>
                    <w:t>2 (6%)</w:t>
                  </w:r>
                </w:p>
              </w:tc>
              <w:tc>
                <w:tcPr>
                  <w:tcW w:w="1315" w:type="dxa"/>
                  <w:tcBorders>
                    <w:top w:val="nil"/>
                  </w:tcBorders>
                  <w:vAlign w:val="center"/>
                </w:tcPr>
                <w:p w:rsidR="001D0FDA" w:rsidRPr="00411013" w:rsidRDefault="001D0FDA" w:rsidP="00B5196D">
                  <w:pPr>
                    <w:pStyle w:val="Tabletext"/>
                    <w:framePr w:hSpace="180" w:wrap="around" w:vAnchor="text" w:hAnchor="text" w:y="1"/>
                    <w:spacing w:before="0" w:after="0"/>
                    <w:jc w:val="center"/>
                    <w:rPr>
                      <w:rFonts w:cs="Tahoma"/>
                      <w:szCs w:val="18"/>
                    </w:rPr>
                  </w:pPr>
                  <w:r w:rsidRPr="005D0DE3">
                    <w:rPr>
                      <w:rFonts w:cs="Tahoma"/>
                      <w:szCs w:val="18"/>
                    </w:rPr>
                    <w:t>2 (7%)</w:t>
                  </w:r>
                </w:p>
              </w:tc>
            </w:tr>
            <w:tr w:rsidR="001D0FDA" w:rsidRPr="00411013" w:rsidTr="001D0FDA">
              <w:tc>
                <w:tcPr>
                  <w:tcW w:w="1817" w:type="dxa"/>
                </w:tcPr>
                <w:p w:rsidR="001D0FDA" w:rsidRPr="00351FF5" w:rsidRDefault="001D0FDA" w:rsidP="00B5196D">
                  <w:pPr>
                    <w:pStyle w:val="Tabletext"/>
                    <w:framePr w:hSpace="180" w:wrap="around" w:vAnchor="text" w:hAnchor="text" w:y="1"/>
                    <w:spacing w:before="0" w:after="0"/>
                    <w:rPr>
                      <w:rFonts w:cs="Tahoma"/>
                      <w:szCs w:val="18"/>
                    </w:rPr>
                  </w:pPr>
                  <w:r>
                    <w:rPr>
                      <w:rFonts w:cs="Tahoma"/>
                      <w:szCs w:val="18"/>
                    </w:rPr>
                    <w:t xml:space="preserve">Systolic </w:t>
                  </w:r>
                  <w:r w:rsidRPr="00351FF5">
                    <w:rPr>
                      <w:rFonts w:cs="Tahoma"/>
                      <w:szCs w:val="18"/>
                    </w:rPr>
                    <w:t>PAP, mean±SD (mmHg)</w:t>
                  </w:r>
                </w:p>
              </w:tc>
              <w:tc>
                <w:tcPr>
                  <w:tcW w:w="1378" w:type="dxa"/>
                  <w:vAlign w:val="center"/>
                </w:tcPr>
                <w:p w:rsidR="001D0FDA" w:rsidRPr="00411013" w:rsidRDefault="001D0FDA" w:rsidP="00B5196D">
                  <w:pPr>
                    <w:pStyle w:val="Tabletext"/>
                    <w:framePr w:hSpace="180" w:wrap="around" w:vAnchor="text" w:hAnchor="text" w:y="1"/>
                    <w:spacing w:before="0" w:after="0"/>
                    <w:jc w:val="center"/>
                    <w:rPr>
                      <w:rFonts w:cs="Tahoma"/>
                      <w:szCs w:val="18"/>
                    </w:rPr>
                  </w:pPr>
                  <w:r>
                    <w:rPr>
                      <w:rFonts w:cs="Tahoma"/>
                      <w:szCs w:val="18"/>
                    </w:rPr>
                    <w:t>83±23</w:t>
                  </w:r>
                </w:p>
              </w:tc>
              <w:tc>
                <w:tcPr>
                  <w:tcW w:w="1315" w:type="dxa"/>
                  <w:vAlign w:val="center"/>
                </w:tcPr>
                <w:p w:rsidR="001D0FDA" w:rsidRPr="00411013" w:rsidRDefault="001D0FDA" w:rsidP="00B5196D">
                  <w:pPr>
                    <w:pStyle w:val="Tabletext"/>
                    <w:framePr w:hSpace="180" w:wrap="around" w:vAnchor="text" w:hAnchor="text" w:y="1"/>
                    <w:spacing w:before="0" w:after="0"/>
                    <w:jc w:val="center"/>
                    <w:rPr>
                      <w:rFonts w:cs="Tahoma"/>
                      <w:szCs w:val="18"/>
                    </w:rPr>
                  </w:pPr>
                  <w:r w:rsidRPr="005D0DE3">
                    <w:rPr>
                      <w:rFonts w:cs="Tahoma"/>
                      <w:szCs w:val="18"/>
                    </w:rPr>
                    <w:t>93±11</w:t>
                  </w:r>
                </w:p>
              </w:tc>
            </w:tr>
          </w:tbl>
          <w:p w:rsidR="001D0FDA" w:rsidRPr="008D73C9" w:rsidRDefault="001D0FDA" w:rsidP="001D0FDA">
            <w:pPr>
              <w:pStyle w:val="Tabletext"/>
              <w:ind w:right="-28"/>
              <w:rPr>
                <w:rFonts w:eastAsia="Times New Roman"/>
                <w:lang w:eastAsia="en-US"/>
              </w:rPr>
            </w:pPr>
          </w:p>
        </w:tc>
        <w:tc>
          <w:tcPr>
            <w:tcW w:w="1047" w:type="pct"/>
          </w:tcPr>
          <w:p w:rsidR="001D0FDA" w:rsidRDefault="001D0FDA" w:rsidP="001D0FDA">
            <w:pPr>
              <w:pStyle w:val="Tabletext"/>
              <w:rPr>
                <w:rFonts w:eastAsia="Times New Roman"/>
                <w:i/>
                <w:lang w:eastAsia="en-US"/>
              </w:rPr>
            </w:pPr>
            <w:r>
              <w:rPr>
                <w:rFonts w:eastAsia="Times New Roman"/>
                <w:i/>
                <w:lang w:eastAsia="en-US"/>
              </w:rPr>
              <w:t>Intervention</w:t>
            </w:r>
          </w:p>
          <w:p w:rsidR="001D0FDA" w:rsidRPr="008D73C9" w:rsidRDefault="001D0FDA" w:rsidP="001D0FDA">
            <w:pPr>
              <w:pStyle w:val="Tabletext"/>
              <w:rPr>
                <w:rFonts w:eastAsia="Times New Roman"/>
                <w:lang w:eastAsia="en-US"/>
              </w:rPr>
            </w:pPr>
            <w:r>
              <w:rPr>
                <w:rFonts w:eastAsia="Times New Roman"/>
                <w:lang w:eastAsia="en-US"/>
              </w:rPr>
              <w:t>Bosentan:</w:t>
            </w:r>
            <w:r w:rsidRPr="008D73C9">
              <w:rPr>
                <w:rFonts w:eastAsia="Times New Roman"/>
                <w:lang w:eastAsia="en-US"/>
              </w:rPr>
              <w:t xml:space="preserve"> 125mg bid</w:t>
            </w:r>
          </w:p>
          <w:p w:rsidR="001D0FDA" w:rsidRPr="008D73C9" w:rsidRDefault="001D0FDA" w:rsidP="001D0FDA">
            <w:pPr>
              <w:pStyle w:val="Tabletext"/>
              <w:rPr>
                <w:rFonts w:eastAsia="Times New Roman"/>
                <w:lang w:eastAsia="en-US"/>
              </w:rPr>
            </w:pPr>
          </w:p>
          <w:p w:rsidR="001D0FDA" w:rsidRPr="007E25D6" w:rsidRDefault="001D0FDA" w:rsidP="001D0FDA">
            <w:pPr>
              <w:pStyle w:val="Tabletext"/>
              <w:rPr>
                <w:rFonts w:eastAsia="Times New Roman"/>
                <w:i/>
                <w:lang w:eastAsia="en-US"/>
              </w:rPr>
            </w:pPr>
            <w:r>
              <w:rPr>
                <w:rFonts w:eastAsia="Times New Roman"/>
                <w:i/>
                <w:lang w:eastAsia="en-US"/>
              </w:rPr>
              <w:t>Combination therapy</w:t>
            </w:r>
          </w:p>
          <w:p w:rsidR="001D0FDA" w:rsidRDefault="001D0FDA" w:rsidP="001D0FDA">
            <w:pPr>
              <w:pStyle w:val="Tabletext"/>
              <w:rPr>
                <w:rFonts w:cs="Tahoma"/>
                <w:i/>
                <w:szCs w:val="18"/>
              </w:rPr>
            </w:pPr>
            <w:r>
              <w:rPr>
                <w:rFonts w:eastAsia="Times New Roman"/>
                <w:lang w:eastAsia="en-US"/>
              </w:rPr>
              <w:t>S</w:t>
            </w:r>
            <w:r w:rsidRPr="008D73C9">
              <w:rPr>
                <w:rFonts w:eastAsia="Times New Roman"/>
                <w:lang w:eastAsia="en-US"/>
              </w:rPr>
              <w:t>ildenafil (2%)</w:t>
            </w:r>
          </w:p>
        </w:tc>
      </w:tr>
    </w:tbl>
    <w:p w:rsidR="00146880" w:rsidRDefault="00146880" w:rsidP="00146880">
      <w:pPr>
        <w:pStyle w:val="Tablenote"/>
      </w:pPr>
      <w:r w:rsidRPr="00EB1471">
        <w:rPr>
          <w:vertAlign w:val="superscript"/>
        </w:rPr>
        <w:lastRenderedPageBreak/>
        <w:t>a</w:t>
      </w:r>
      <w:r w:rsidRPr="00EB1471">
        <w:t xml:space="preserve"> </w:t>
      </w:r>
      <w:r>
        <w:t xml:space="preserve">Three RCTs (Mukhopadhyay 2011, PHIRST and SUPER-1) and one observational study (Sastry 2007) were also included for extended assessment of safety of PAH medicines. For study profiles of these studies, see </w:t>
      </w:r>
      <w:r w:rsidR="00AA722D">
        <w:t>Table 4.</w:t>
      </w:r>
      <w:r w:rsidR="00AA722D">
        <w:rPr>
          <w:noProof/>
        </w:rPr>
        <w:t>144</w:t>
      </w:r>
      <w:r>
        <w:t>.</w:t>
      </w:r>
    </w:p>
    <w:p w:rsidR="00146880" w:rsidRPr="00EB1471" w:rsidRDefault="00146880" w:rsidP="00146880">
      <w:pPr>
        <w:pStyle w:val="Tablenote"/>
      </w:pPr>
      <w:r>
        <w:rPr>
          <w:vertAlign w:val="superscript"/>
        </w:rPr>
        <w:t xml:space="preserve">b </w:t>
      </w:r>
      <w:r w:rsidRPr="00EB1471">
        <w:t xml:space="preserve">Number of patients in the control arm and those in the active treatment arm where a </w:t>
      </w:r>
      <w:r>
        <w:t>PAH medicine</w:t>
      </w:r>
      <w:r w:rsidRPr="00EB1471">
        <w:t xml:space="preserve"> was given at the recommended dose regimen. </w:t>
      </w:r>
    </w:p>
    <w:p w:rsidR="00146880" w:rsidRPr="00EB1471" w:rsidRDefault="00146880" w:rsidP="00146880">
      <w:pPr>
        <w:pStyle w:val="Tablenote"/>
      </w:pPr>
      <w:r>
        <w:rPr>
          <w:vertAlign w:val="superscript"/>
        </w:rPr>
        <w:t>c</w:t>
      </w:r>
      <w:r w:rsidRPr="00EB1471">
        <w:t xml:space="preserve"> Only including the active treatment arm where a </w:t>
      </w:r>
      <w:r>
        <w:t>PAH medicine</w:t>
      </w:r>
      <w:r w:rsidRPr="00EB1471">
        <w:t xml:space="preserve"> was given at the recommended dose regimen. </w:t>
      </w:r>
    </w:p>
    <w:p w:rsidR="00146880" w:rsidRDefault="00146880" w:rsidP="00146880">
      <w:pPr>
        <w:pStyle w:val="Tablenote"/>
      </w:pPr>
      <w:r>
        <w:rPr>
          <w:vertAlign w:val="superscript"/>
        </w:rPr>
        <w:t>d</w:t>
      </w:r>
      <w:r>
        <w:t xml:space="preserve"> </w:t>
      </w:r>
      <w:r w:rsidRPr="00026AAB">
        <w:t>Publication year. Information on the study period was not available</w:t>
      </w:r>
    </w:p>
    <w:p w:rsidR="001D0FDA" w:rsidRPr="00360968" w:rsidRDefault="001D0FDA" w:rsidP="001D0FDA">
      <w:pPr>
        <w:pStyle w:val="Tablenote"/>
      </w:pPr>
      <w:r w:rsidRPr="00A53185">
        <w:t xml:space="preserve">bid = twice daily; CTEPH = chronic thromboembolic pulmonary hypertension; DB = double-blinded; ERA = endothelin receptor antagonist; FC = functional class; </w:t>
      </w:r>
      <w:r>
        <w:t xml:space="preserve">IV = intravenous; </w:t>
      </w:r>
      <w:r w:rsidRPr="00A53185">
        <w:t xml:space="preserve">HPAH = heritable pulmonary arterial hypertension; IPAH = idiopathic pulmonary arterial hypertension; </w:t>
      </w:r>
      <w:r>
        <w:t xml:space="preserve">mPAP = mean pulmonary artery pressure; </w:t>
      </w:r>
      <w:r w:rsidRPr="00A53185">
        <w:t>od = once daily; PDE-5</w:t>
      </w:r>
      <w:r>
        <w:t>i</w:t>
      </w:r>
      <w:r w:rsidRPr="00A53185">
        <w:t xml:space="preserve"> = phosphodiesterase type 5</w:t>
      </w:r>
      <w:r>
        <w:t xml:space="preserve"> inhibitor</w:t>
      </w:r>
      <w:r w:rsidRPr="00A53185">
        <w:t xml:space="preserve">; PAH = pulmonary arterial hypertension; PAH-CHD = pulmonary arterial hypertension associated with congenital heart disease; PAH-CTD = pulmonary arterial hypertension associated with connective tissue disease; PAH-DT = drug/toxin-induced pulmonary arterial hypertension; PAH-HIV = pulmonary arterial hypertension associated with human immunodeficiency virus infection; PAH-PH = pulmonary arterial hypertension associated with portal hypertension; </w:t>
      </w:r>
      <w:r>
        <w:t xml:space="preserve">PVR = pulmonary vascular resistance; </w:t>
      </w:r>
      <w:r w:rsidRPr="00A53185">
        <w:t xml:space="preserve">RCT = randomised controlled trial; </w:t>
      </w:r>
      <w:r>
        <w:t xml:space="preserve">SBP = systolic blood pressure; SD = standard deviation; </w:t>
      </w:r>
      <w:r w:rsidRPr="00A53185">
        <w:t>tid = three times a day; WHO = World Health Organization</w:t>
      </w:r>
    </w:p>
    <w:p w:rsidR="001D0FDA" w:rsidRDefault="001D0FDA" w:rsidP="001D0FDA">
      <w:pPr>
        <w:pStyle w:val="Tablenote"/>
        <w:sectPr w:rsidR="001D0FDA" w:rsidSect="001D0FDA">
          <w:headerReference w:type="even" r:id="rId41"/>
          <w:headerReference w:type="default" r:id="rId42"/>
          <w:footerReference w:type="default" r:id="rId43"/>
          <w:headerReference w:type="first" r:id="rId44"/>
          <w:footnotePr>
            <w:numFmt w:val="chicago"/>
          </w:footnotePr>
          <w:pgSz w:w="16838" w:h="11906" w:orient="landscape"/>
          <w:pgMar w:top="1134" w:right="1134" w:bottom="1134" w:left="1134" w:header="709" w:footer="709" w:gutter="0"/>
          <w:cols w:space="708"/>
          <w:docGrid w:linePitch="360"/>
        </w:sectPr>
      </w:pPr>
      <w:r w:rsidRPr="00026AAB">
        <w:t>.</w:t>
      </w:r>
    </w:p>
    <w:p w:rsidR="001D0FDA" w:rsidRDefault="001D0FDA" w:rsidP="001D0FDA">
      <w:pPr>
        <w:pStyle w:val="Heading2"/>
        <w:numPr>
          <w:ilvl w:val="0"/>
          <w:numId w:val="0"/>
        </w:numPr>
      </w:pPr>
      <w:bookmarkStart w:id="493" w:name="_Ref506463361"/>
      <w:bookmarkStart w:id="494" w:name="_Toc506464150"/>
      <w:bookmarkStart w:id="495" w:name="_Toc512855401"/>
      <w:r>
        <w:lastRenderedPageBreak/>
        <w:t xml:space="preserve">Appendix </w:t>
      </w:r>
      <w:r w:rsidR="00C41087">
        <w:t>4.</w:t>
      </w:r>
      <w:r w:rsidR="00AA722D">
        <w:rPr>
          <w:noProof/>
        </w:rPr>
        <w:t>B</w:t>
      </w:r>
      <w:bookmarkEnd w:id="493"/>
      <w:r>
        <w:tab/>
        <w:t>Excluded studies</w:t>
      </w:r>
      <w:bookmarkEnd w:id="494"/>
      <w:bookmarkEnd w:id="495"/>
    </w:p>
    <w:p w:rsidR="001D0FDA" w:rsidRDefault="001D0FDA" w:rsidP="001D0FDA">
      <w:r>
        <w:t xml:space="preserve">Those articles which had potentially relevant populations, interventions, comparators and outcomes, but which were not included in the systematic review (n=118), are listed below, by reason for exclusion. </w:t>
      </w:r>
    </w:p>
    <w:p w:rsidR="001D0FDA" w:rsidRDefault="001D0FDA" w:rsidP="001D0FDA">
      <w:r w:rsidRPr="008D661C">
        <w:rPr>
          <w:b/>
          <w:smallCaps/>
        </w:rPr>
        <w:t>Evidence previously reviewed by PBAC</w:t>
      </w:r>
      <w:r w:rsidRPr="008D558C">
        <w:rPr>
          <w:b/>
        </w:rPr>
        <w:t xml:space="preserve"> </w:t>
      </w:r>
      <w:r w:rsidRPr="008D661C">
        <w:t>(n=16)</w:t>
      </w:r>
    </w:p>
    <w:p w:rsidR="001D0FDA" w:rsidRDefault="001D0FDA" w:rsidP="001D0FDA">
      <w:r>
        <w:t xml:space="preserve">Badesch DB, Bodin F, Channick RN, Frost A, Rainisio M, Robbins IM, et al. Complete results of the first randomized, placebo-controlled study of bosentan, a dual endothelin receptor antagonist, in pulmonary arterial hypertension. </w:t>
      </w:r>
      <w:r w:rsidRPr="002A4910">
        <w:rPr>
          <w:i/>
        </w:rPr>
        <w:t>Current Therapeutic Research - Clinical and Experimental</w:t>
      </w:r>
      <w:r>
        <w:t>. 2002;63(4):227-46.</w:t>
      </w:r>
    </w:p>
    <w:p w:rsidR="001D0FDA" w:rsidRDefault="001D0FDA" w:rsidP="001D0FDA">
      <w:r>
        <w:t xml:space="preserve">Badesch DB, Tapson VF, McGoon MD, Brundage BH, Rubin LJ, Wigley FM, et al. Continuous intravenous epoprostenol for pulmonary hypertension due to the scleroderma spectrum of disease: A randomized, controlled trial. </w:t>
      </w:r>
      <w:r w:rsidRPr="002A4910">
        <w:rPr>
          <w:i/>
        </w:rPr>
        <w:t>Annals of Internal Medicine</w:t>
      </w:r>
      <w:r>
        <w:t>. 2000;132(6):425-34.</w:t>
      </w:r>
    </w:p>
    <w:p w:rsidR="001D0FDA" w:rsidRDefault="001D0FDA" w:rsidP="001D0FDA">
      <w:r>
        <w:t xml:space="preserve">Barst RJ, Langleben D, Badesch D, Frost A, Lawrence EC, Shapiro S, et al. Treatment of Pulmonary Arterial Hypertension With the Selective Endothelin-A Receptor Antagonist Sitaxsentan. </w:t>
      </w:r>
      <w:r w:rsidRPr="002A4910">
        <w:rPr>
          <w:i/>
        </w:rPr>
        <w:t>Journal of the American College of Cardiology</w:t>
      </w:r>
      <w:r>
        <w:t>. 2006;47(10):2049-56.</w:t>
      </w:r>
    </w:p>
    <w:p w:rsidR="001D0FDA" w:rsidRDefault="001D0FDA" w:rsidP="001D0FDA">
      <w:r>
        <w:t xml:space="preserve">Barst RJ, Rubin LJ, Long WA, McGoon MD, Rich S, Badesch DB, et al. A comparison of continuous intravenous epoprostenol (prostacyclin) with conventional therapy for primary pulmonary hypertension. </w:t>
      </w:r>
      <w:r w:rsidRPr="002A4910">
        <w:rPr>
          <w:i/>
        </w:rPr>
        <w:t>New England Journal of Medicine</w:t>
      </w:r>
      <w:r>
        <w:t>. 1996;334(5):296-301.</w:t>
      </w:r>
    </w:p>
    <w:p w:rsidR="001D0FDA" w:rsidRDefault="001D0FDA" w:rsidP="001D0FDA">
      <w:r>
        <w:t xml:space="preserve">Berger RMF, Beghetti M, Galiè N, Gatzoulis MA, Granton J, Lauer A, et al. Atrial septal defects versus ventricular septal defects in BREATHE-5, a placebo-controlled study of pulmonary arterial hypertension related to Eisenmenger's syndrome: A subgroup analysis. </w:t>
      </w:r>
      <w:r w:rsidRPr="002A4910">
        <w:rPr>
          <w:i/>
        </w:rPr>
        <w:t>International Journal of Cardiology</w:t>
      </w:r>
      <w:r>
        <w:t>. 2010;144(3):373-8.</w:t>
      </w:r>
    </w:p>
    <w:p w:rsidR="001D0FDA" w:rsidRDefault="001D0FDA" w:rsidP="001D0FDA">
      <w:r>
        <w:t xml:space="preserve">Channick RN, Simonneau G, Sitbon O, Robbins IM, Frost A, Tapson VF, et al. Effects of the dual endothelin-receptor antagonist bosentan in patients with pulmonary hypertension: A randomised placebo-controlled study. </w:t>
      </w:r>
      <w:r w:rsidRPr="002A4910">
        <w:rPr>
          <w:i/>
        </w:rPr>
        <w:t>Lancet</w:t>
      </w:r>
      <w:r>
        <w:t>. 2001;358(9288):1119-23.</w:t>
      </w:r>
    </w:p>
    <w:p w:rsidR="001D0FDA" w:rsidRDefault="001D0FDA" w:rsidP="001D0FDA">
      <w:r>
        <w:t xml:space="preserve">Denton CP, Humbert M, Rubin L, Black CM. Bosentan treatment for pulmonary arterial hypertension related to connective tissue disease: A subgroup analysis of the pivotal clinical trials and their open-label extensions. </w:t>
      </w:r>
      <w:r w:rsidRPr="002A4910">
        <w:rPr>
          <w:i/>
        </w:rPr>
        <w:t>Annals of the Rheumatic Diseases</w:t>
      </w:r>
      <w:r>
        <w:t>. 2006;65(10):1336-40.</w:t>
      </w:r>
    </w:p>
    <w:p w:rsidR="001D0FDA" w:rsidRDefault="001D0FDA" w:rsidP="001D0FDA">
      <w:r>
        <w:t xml:space="preserve">Galiè N, Beghetti M, Gatzoulis MA, Granton J, Berger RMF, Lauer A, et al. Bosentan therapy in patients with Eisenmenger syndrome: A multicenter, double-blind, randomized, placebo-controlled study. </w:t>
      </w:r>
      <w:r w:rsidRPr="002A4910">
        <w:rPr>
          <w:i/>
        </w:rPr>
        <w:t>Circulation</w:t>
      </w:r>
      <w:r>
        <w:t>. 2006;114(1):48-54.</w:t>
      </w:r>
    </w:p>
    <w:p w:rsidR="001D0FDA" w:rsidRPr="008824C6" w:rsidRDefault="001D0FDA" w:rsidP="001D0FDA">
      <w:r>
        <w:t xml:space="preserve">Hinderliter AL, Willis IPW, Barst RJ, Rich S, Rubin LJ, Badesch DB, et al. Effects of long-term infusion of prostacyclin (epoprostenol) on echocardiographic measures of right ventricular structure and function in primary pulmonary hypertension. </w:t>
      </w:r>
      <w:r w:rsidRPr="002A4910">
        <w:rPr>
          <w:i/>
        </w:rPr>
        <w:t>Circulation</w:t>
      </w:r>
      <w:r>
        <w:t>. 1997;95(6):1479-86.</w:t>
      </w:r>
    </w:p>
    <w:p w:rsidR="001D0FDA" w:rsidRDefault="001D0FDA" w:rsidP="001D0FDA">
      <w:r>
        <w:lastRenderedPageBreak/>
        <w:t xml:space="preserve">Olschewski H, Simonneau G, Galiè N, Higenbottam T, Naeije R, Rubin LJ, et al. Inhaled iloprost for severe pulmonary hypertension. </w:t>
      </w:r>
      <w:r w:rsidRPr="002A4910">
        <w:rPr>
          <w:i/>
        </w:rPr>
        <w:t>New England Journal of Medicine</w:t>
      </w:r>
      <w:r>
        <w:t>. 2002;347(5):322-9.</w:t>
      </w:r>
    </w:p>
    <w:p w:rsidR="001D0FDA" w:rsidRDefault="001D0FDA" w:rsidP="001D0FDA">
      <w:r>
        <w:t xml:space="preserve">Raymond RJ, Hinderliter AL, Willis IPW, Ralph D, Caldwell EJ, Williams W, et al. Echocardiographic predictors of adverse outcomes in primary pulmonary hypertension. </w:t>
      </w:r>
      <w:r w:rsidRPr="002A4910">
        <w:rPr>
          <w:i/>
        </w:rPr>
        <w:t>Journal of the American College of Cardiology</w:t>
      </w:r>
      <w:r>
        <w:t>. 2002;39(7):1214-9.</w:t>
      </w:r>
    </w:p>
    <w:p w:rsidR="001D0FDA" w:rsidRDefault="001D0FDA" w:rsidP="001D0FDA">
      <w:r>
        <w:t xml:space="preserve">Rubin LJ, Badesch DB, Barst RJ, Galiè N, Black CM, Keogh A, et al. Bosentan therapy for pulmonary arterial hypertension. </w:t>
      </w:r>
      <w:r w:rsidRPr="002A4910">
        <w:rPr>
          <w:i/>
        </w:rPr>
        <w:t>New England Journal of Medicine</w:t>
      </w:r>
      <w:r>
        <w:t>. 2002;346(12):896-903.</w:t>
      </w:r>
    </w:p>
    <w:p w:rsidR="001D0FDA" w:rsidRDefault="001D0FDA" w:rsidP="001D0FDA">
      <w:r>
        <w:t xml:space="preserve">Rubin LJ, Mendoza J, Hood M, McGoon M, Barst R, Williams WB, et al. Treatment of primary pulmonary hypertension with continuous intravenous prostacyclin (epoprostenol). Results of a randomized trial. </w:t>
      </w:r>
      <w:r w:rsidRPr="002A4910">
        <w:rPr>
          <w:i/>
        </w:rPr>
        <w:t>Annals of Internal Medicine</w:t>
      </w:r>
      <w:r>
        <w:t>. 1990;112(7):485-91.</w:t>
      </w:r>
    </w:p>
    <w:p w:rsidR="001D0FDA" w:rsidRDefault="001D0FDA" w:rsidP="001D0FDA">
      <w:r>
        <w:t xml:space="preserve">Saji T, Myoishi M, Sugimura K, Tahara N, Takeda Y, Fukuda K, et al. Efficacy and safety of inhaled iloprost in Japanese patients with pulmonary arterial hypertension - Insights from the IBUKI and AIR Studies. </w:t>
      </w:r>
      <w:r w:rsidRPr="002A4910">
        <w:rPr>
          <w:i/>
        </w:rPr>
        <w:t>Circulation Journal</w:t>
      </w:r>
      <w:r>
        <w:t>. 2016;80(4):835-42.</w:t>
      </w:r>
    </w:p>
    <w:p w:rsidR="001D0FDA" w:rsidRDefault="001D0FDA" w:rsidP="001D0FDA">
      <w:r>
        <w:t xml:space="preserve">Shapiro S, Pollock DM, Gillies H, Henig N, Allard M, Blair C, et al. Frequency of edema in patients with pulmonary arterial hypertension receiving ambrisentan. </w:t>
      </w:r>
      <w:r w:rsidRPr="002A4910">
        <w:rPr>
          <w:i/>
        </w:rPr>
        <w:t>American Journal of Cardiology</w:t>
      </w:r>
      <w:r>
        <w:t>. 2012;110(9):1373-7.</w:t>
      </w:r>
    </w:p>
    <w:p w:rsidR="001D0FDA" w:rsidRDefault="001D0FDA" w:rsidP="001D0FDA">
      <w:r>
        <w:t xml:space="preserve">Wilkins MR, Paul G, Strange J, Tunariu N, Gin-Sing W, Banya W, et al. Sildenafil versus Endothelin Receptor Antagonist for Pulmonary Hypertension (SERAPH) study. </w:t>
      </w:r>
      <w:r w:rsidRPr="002A4910">
        <w:rPr>
          <w:i/>
        </w:rPr>
        <w:t>American Journal of Respiratory and Critical Care Medicine</w:t>
      </w:r>
      <w:r>
        <w:t>. 2005;171(11):1292-7.</w:t>
      </w:r>
    </w:p>
    <w:p w:rsidR="001D0FDA" w:rsidRPr="008D558C" w:rsidRDefault="001D0FDA" w:rsidP="001D0FDA">
      <w:pPr>
        <w:rPr>
          <w:b/>
        </w:rPr>
      </w:pPr>
      <w:r w:rsidRPr="008D661C">
        <w:rPr>
          <w:b/>
          <w:smallCaps/>
        </w:rPr>
        <w:t>Duplicated study data</w:t>
      </w:r>
      <w:r w:rsidRPr="008D558C">
        <w:rPr>
          <w:b/>
        </w:rPr>
        <w:t xml:space="preserve"> </w:t>
      </w:r>
      <w:r w:rsidRPr="008D661C">
        <w:t>(n=3)</w:t>
      </w:r>
      <w:r w:rsidRPr="008D558C">
        <w:rPr>
          <w:b/>
        </w:rPr>
        <w:t xml:space="preserve"> </w:t>
      </w:r>
    </w:p>
    <w:p w:rsidR="001D0FDA" w:rsidRDefault="001D0FDA" w:rsidP="001D0FDA">
      <w:r>
        <w:t xml:space="preserve">Croxtall JD, Lyseng-Williamson KA. Tadalafil: in pulmonary arterial hypertension. </w:t>
      </w:r>
      <w:r w:rsidRPr="002A4910">
        <w:rPr>
          <w:i/>
        </w:rPr>
        <w:t>Drugs</w:t>
      </w:r>
      <w:r>
        <w:t>. 2010;70(4):479-88.</w:t>
      </w:r>
    </w:p>
    <w:p w:rsidR="001D0FDA" w:rsidRDefault="001D0FDA" w:rsidP="001D0FDA">
      <w:r>
        <w:t xml:space="preserve">Gilbert C, Brown MCJ, Cappelleri JC, Carlsson M, McKenna SP. Estimating a minimally important difference in pulmonary arterial hypertension following treatment with sildenafil. </w:t>
      </w:r>
      <w:r w:rsidRPr="002A4910">
        <w:rPr>
          <w:i/>
        </w:rPr>
        <w:t>Chest</w:t>
      </w:r>
      <w:r>
        <w:t>. 2009;135(1):137-42.</w:t>
      </w:r>
    </w:p>
    <w:p w:rsidR="001D0FDA" w:rsidRDefault="001D0FDA" w:rsidP="001D0FDA">
      <w:r>
        <w:t xml:space="preserve">NCT01179334. An Interaction Study to Evaluate Changes in Blood Pressure Following 1, 1.5, 2, and 2.5 mg Riociguat Tid (Dose Titration) Compared to Placebo Treatment on the Background of Stable Sildenafil Pretreatment in Subjects With Symptomatic Pulmonary Arterial Hypertension. 2010: Available from: </w:t>
      </w:r>
      <w:r w:rsidRPr="00A17B9D">
        <w:t>https://clinicaltrials.gov/ct2/show/NCT01179334</w:t>
      </w:r>
      <w:r>
        <w:t>.</w:t>
      </w:r>
    </w:p>
    <w:p w:rsidR="001D0FDA" w:rsidRPr="008D661C" w:rsidRDefault="001D0FDA" w:rsidP="001D0FDA">
      <w:pPr>
        <w:rPr>
          <w:b/>
        </w:rPr>
      </w:pPr>
      <w:r w:rsidRPr="008D661C">
        <w:rPr>
          <w:b/>
          <w:smallCaps/>
        </w:rPr>
        <w:t>Incorrect/mixed population</w:t>
      </w:r>
      <w:r w:rsidRPr="008D661C">
        <w:rPr>
          <w:b/>
        </w:rPr>
        <w:t xml:space="preserve"> </w:t>
      </w:r>
      <w:r w:rsidRPr="008D661C">
        <w:t>(n=8)</w:t>
      </w:r>
    </w:p>
    <w:p w:rsidR="001D0FDA" w:rsidRDefault="001D0FDA" w:rsidP="001D0FDA">
      <w:r>
        <w:t xml:space="preserve">Badesch DB, Hill NS, Burgess G, Rubin LJ, Barst RJ, Galiè N, et al. Sildenafil for pulmonary arterial hypertension associated with connective tissue disease. </w:t>
      </w:r>
      <w:r w:rsidRPr="002A4910">
        <w:rPr>
          <w:i/>
        </w:rPr>
        <w:t>Journal of Rheumatology</w:t>
      </w:r>
      <w:r>
        <w:t>. 2007;34(12):2417-22.</w:t>
      </w:r>
    </w:p>
    <w:p w:rsidR="001D0FDA" w:rsidRDefault="001D0FDA" w:rsidP="001D0FDA">
      <w:r>
        <w:lastRenderedPageBreak/>
        <w:t xml:space="preserve">Eskandar AM. Effect of sildenafil in the management of preoperative pulmonary hypertension. </w:t>
      </w:r>
      <w:r w:rsidRPr="002A4910">
        <w:rPr>
          <w:i/>
        </w:rPr>
        <w:t>Alexandria Journal of Medicine</w:t>
      </w:r>
      <w:r>
        <w:t>. 2014;50(1):13-6.</w:t>
      </w:r>
    </w:p>
    <w:p w:rsidR="001D0FDA" w:rsidRDefault="001D0FDA" w:rsidP="001D0FDA">
      <w:r>
        <w:t xml:space="preserve">Galiè N, Denton CP, Dardi F, Manes A, Mazzanti G, Li B, et al. Tadalafil in idiopathic or heritable pulmonary arterial hypertension (PAH) compared to PAH associated with connective tissue disease. </w:t>
      </w:r>
      <w:r w:rsidRPr="002A4910">
        <w:rPr>
          <w:i/>
        </w:rPr>
        <w:t>International Journal of Cardiology</w:t>
      </w:r>
      <w:r>
        <w:t>. 2017;235:67-72.</w:t>
      </w:r>
    </w:p>
    <w:p w:rsidR="001D0FDA" w:rsidRDefault="001D0FDA" w:rsidP="001D0FDA">
      <w:r>
        <w:t xml:space="preserve">Higenbottam TW, Spiegelhalter D, Scott PJ, Fuster V, Dinh-Xuan AT, Caine N, et al. Prostacyclin (epoprostenol) and heart-lung transplantation as treatments for severe pulmonary hypertension. </w:t>
      </w:r>
      <w:r w:rsidRPr="002A4910">
        <w:rPr>
          <w:i/>
        </w:rPr>
        <w:t>British Heart Journal</w:t>
      </w:r>
      <w:r>
        <w:t>. 1993;70(4):366-70.</w:t>
      </w:r>
    </w:p>
    <w:p w:rsidR="001D0FDA" w:rsidRDefault="001D0FDA" w:rsidP="001D0FDA">
      <w:r>
        <w:t xml:space="preserve">Humbert M, Coghlan J, Ghofrani H, Grimminger F, He J, Riemekasten G, et al. Riociguat for the treatment of pulmonary arterial hypertension associated with connective tissue disease: results from PATENT-1 and PATENT-2. 2016: Available from: </w:t>
      </w:r>
      <w:r w:rsidRPr="00A17B9D">
        <w:t>http://onlinelibrary.wiley.com/o/cochrane/clcentral/articles/500/CN-01402500/frame.html</w:t>
      </w:r>
      <w:r>
        <w:t>.</w:t>
      </w:r>
    </w:p>
    <w:p w:rsidR="001D0FDA" w:rsidRDefault="001D0FDA" w:rsidP="001D0FDA">
      <w:r>
        <w:t xml:space="preserve">Maxey DM, Ivy DD, Ogawa MT, Feinstein JA. Food and drug administration (FDA) postmarket reported side effects and adverse events associated with pulmonary hypertension therapy in pediatric patients. </w:t>
      </w:r>
      <w:r w:rsidRPr="002A4910">
        <w:rPr>
          <w:i/>
        </w:rPr>
        <w:t>Pediatric Cardiology</w:t>
      </w:r>
      <w:r>
        <w:t>. 2013;34(7):1628-36.</w:t>
      </w:r>
    </w:p>
    <w:p w:rsidR="001D0FDA" w:rsidRDefault="001D0FDA" w:rsidP="001D0FDA">
      <w:r>
        <w:t xml:space="preserve">Olschewski H, Hoeper MM, Behr J, Ewert R, Meyer A, Borst MM, et al. Long-term therapy with inhaled iloprost in patients with pulmonary hypertension. </w:t>
      </w:r>
      <w:r w:rsidRPr="002A4910">
        <w:rPr>
          <w:i/>
        </w:rPr>
        <w:t>Respiratory Medicine</w:t>
      </w:r>
      <w:r>
        <w:t>. 2010;104(5):731-40.</w:t>
      </w:r>
    </w:p>
    <w:p w:rsidR="001D0FDA" w:rsidRDefault="001D0FDA" w:rsidP="001D0FDA">
      <w:r>
        <w:t xml:space="preserve">Pepke-Zaba J, Gilbert C, Collings L, Brown MCJ. Sildenafil improves health-related quality of life in patients with pulmonary arterial hypertension. </w:t>
      </w:r>
      <w:r w:rsidRPr="002A4910">
        <w:rPr>
          <w:i/>
        </w:rPr>
        <w:t>Chest</w:t>
      </w:r>
      <w:r>
        <w:t>. 2008;133(1):183-9.</w:t>
      </w:r>
    </w:p>
    <w:p w:rsidR="001D0FDA" w:rsidRDefault="001D0FDA" w:rsidP="001D0FDA">
      <w:r w:rsidRPr="008D661C">
        <w:rPr>
          <w:b/>
          <w:smallCaps/>
        </w:rPr>
        <w:t>Incorrect/mixed intervention or comparator</w:t>
      </w:r>
      <w:r w:rsidRPr="008D661C">
        <w:rPr>
          <w:b/>
        </w:rPr>
        <w:t xml:space="preserve"> </w:t>
      </w:r>
      <w:r w:rsidRPr="008D661C">
        <w:t>(n=2</w:t>
      </w:r>
      <w:r w:rsidR="001F432E">
        <w:t>2</w:t>
      </w:r>
      <w:r w:rsidRPr="008D661C">
        <w:t>)</w:t>
      </w:r>
    </w:p>
    <w:p w:rsidR="001D0FDA" w:rsidRDefault="001D0FDA" w:rsidP="001D0FDA">
      <w:r>
        <w:t xml:space="preserve">Angalakuditi M, Edgell E, Beardsworth A, Buysman E, Bancroft T. Treatment patterns and resource utilization and costs among patients with pulmonary arterial hypertension in the United States. </w:t>
      </w:r>
      <w:r w:rsidRPr="002A4910">
        <w:rPr>
          <w:i/>
        </w:rPr>
        <w:t>Journal of Medical Economics</w:t>
      </w:r>
      <w:r>
        <w:t>. 2010;13(3):393-402.</w:t>
      </w:r>
    </w:p>
    <w:p w:rsidR="001D0FDA" w:rsidRDefault="001D0FDA" w:rsidP="001D0FDA">
      <w:r>
        <w:t xml:space="preserve">Beghetti M, Rudzinski A, Zhang M. Efficacy and safety of oral sildenafil in children with Down syndrome and pulmonary hypertension. </w:t>
      </w:r>
      <w:r w:rsidRPr="002A4910">
        <w:rPr>
          <w:i/>
        </w:rPr>
        <w:t>BMC Cardiovascular Disorders</w:t>
      </w:r>
      <w:r>
        <w:t>. 2017;17(1).</w:t>
      </w:r>
    </w:p>
    <w:p w:rsidR="001D0FDA" w:rsidRDefault="001D0FDA" w:rsidP="001D0FDA">
      <w:r>
        <w:t xml:space="preserve">Bharani A, Patel A, Saraf J, Jain A, Mehrotra S, Lunia B. Efficacy and safety of PDE-5 inhibitor tadalafil in pulmonary arterial hypertension. </w:t>
      </w:r>
      <w:r w:rsidRPr="002A4910">
        <w:rPr>
          <w:i/>
        </w:rPr>
        <w:t>Indian Heart Journal</w:t>
      </w:r>
      <w:r>
        <w:t>. 2007;59(4):323-8.</w:t>
      </w:r>
    </w:p>
    <w:p w:rsidR="001D0FDA" w:rsidRDefault="001D0FDA" w:rsidP="001D0FDA">
      <w:r>
        <w:t xml:space="preserve">Bhasin S, Gogia P, Nair R, Sahoo TK. Perioperative sildenafil therapy for children with ventricular septal defects and associated pulmonary hypertension undergoing corrective surgery: A randomised clinical trial. </w:t>
      </w:r>
      <w:r w:rsidRPr="002A4910">
        <w:rPr>
          <w:i/>
        </w:rPr>
        <w:t>Indian Journal of Anaesthesia</w:t>
      </w:r>
      <w:r>
        <w:t>. 2017;61(10):798-802.</w:t>
      </w:r>
    </w:p>
    <w:p w:rsidR="001D0FDA" w:rsidRDefault="001D0FDA" w:rsidP="001D0FDA">
      <w:r>
        <w:t xml:space="preserve">Diller GP, Alonso-Gonzalez R, Dimopoulos K, Alvarez-Barredo M, Koo C, Kempny A, et al. Disease targeting therapies in patients with Eisenmenger syndrome: Response to treatment and long-term efficiency. </w:t>
      </w:r>
      <w:r w:rsidRPr="002A4910">
        <w:rPr>
          <w:i/>
        </w:rPr>
        <w:t>International Journal of Cardiology</w:t>
      </w:r>
      <w:r>
        <w:t>. 2013;167(3):840-7.</w:t>
      </w:r>
    </w:p>
    <w:p w:rsidR="001D0FDA" w:rsidRDefault="001D0FDA" w:rsidP="001D0FDA">
      <w:r>
        <w:lastRenderedPageBreak/>
        <w:t xml:space="preserve">Diller GP, Körten MA, Bauer UMM, Miera O, Tutarel O, Kaemmerer H, et al. Current therapy and outcome of Eisenmenger syndrome: Data of the German National Register for congenital heart defects. </w:t>
      </w:r>
      <w:r w:rsidRPr="002A4910">
        <w:rPr>
          <w:i/>
        </w:rPr>
        <w:t>European Heart Journal</w:t>
      </w:r>
      <w:r>
        <w:t>. 2016;37(18):1449-55.</w:t>
      </w:r>
    </w:p>
    <w:p w:rsidR="001D0FDA" w:rsidRDefault="001D0FDA" w:rsidP="001D0FDA">
      <w:r>
        <w:t xml:space="preserve">Fraisse A, Butrous G, Taylor MB, Oakes M, Dilleen M, Wessel DL. Intravenous sildenafil for postoperative pulmonary hypertension in children with congenital heart disease. </w:t>
      </w:r>
      <w:r w:rsidRPr="002A4910">
        <w:rPr>
          <w:i/>
        </w:rPr>
        <w:t>Intensive Care Medicine</w:t>
      </w:r>
      <w:r>
        <w:t>. 2011;37(3):502-9.</w:t>
      </w:r>
    </w:p>
    <w:p w:rsidR="001D0FDA" w:rsidRDefault="001D0FDA" w:rsidP="001D0FDA">
      <w:r>
        <w:t xml:space="preserve">Fritz JS, Blair C, Oudiz RJ, Dufton C, Olschewski H, Despain D, et al. Baseline and follow-up 6-min walk distance and brain natriuretic peptide predict 2-year mortality in pulmonary arterial hypertension. </w:t>
      </w:r>
      <w:r w:rsidRPr="002A4910">
        <w:rPr>
          <w:i/>
        </w:rPr>
        <w:t>Chest</w:t>
      </w:r>
      <w:r>
        <w:t>. 2013;143(2):315-23.</w:t>
      </w:r>
    </w:p>
    <w:p w:rsidR="001D0FDA" w:rsidRDefault="001D0FDA" w:rsidP="001D0FDA">
      <w:r>
        <w:t xml:space="preserve">Hoeper MM, Markevych I, Spiekerkoetter E, Welte T, Niedermeyer J. Goal-oriented treatment and combination therapy for pulmonary arterial hypertension. </w:t>
      </w:r>
      <w:r w:rsidRPr="002A4910">
        <w:rPr>
          <w:i/>
        </w:rPr>
        <w:t>European Respiratory Journal</w:t>
      </w:r>
      <w:r>
        <w:t>. 2005;26(5):858-63.</w:t>
      </w:r>
    </w:p>
    <w:p w:rsidR="001D0FDA" w:rsidRDefault="001D0FDA" w:rsidP="001D0FDA">
      <w:r>
        <w:t xml:space="preserve">Hoeper MM, Seyfarth HJ, Hoeffken G, Wirtz H, Spiekerkoetter E, Pletz MW, et al. Experience with inhaled iloprost and bosentan in portopulmonary hypertension. </w:t>
      </w:r>
      <w:r w:rsidRPr="002A4910">
        <w:rPr>
          <w:i/>
        </w:rPr>
        <w:t>European Respiratory Journal</w:t>
      </w:r>
      <w:r>
        <w:t>. 2007;30(6):1096-102.</w:t>
      </w:r>
    </w:p>
    <w:p w:rsidR="001D0FDA" w:rsidRDefault="001D0FDA" w:rsidP="001D0FDA">
      <w:r>
        <w:t xml:space="preserve">Iversen K, Jensen AS, Jensen TV, Vejlstrup NG, Søndergaard L. Combination therapy with bosentan and sildenafil in Eisenmenger syndrome: A randomized, placebo-controlled, double-blinded trial. </w:t>
      </w:r>
      <w:r w:rsidRPr="002A4910">
        <w:rPr>
          <w:i/>
        </w:rPr>
        <w:t>European Heart Journal</w:t>
      </w:r>
      <w:r>
        <w:t>. 2010;31(9):1124-31.</w:t>
      </w:r>
    </w:p>
    <w:p w:rsidR="001D0FDA" w:rsidRDefault="001D0FDA" w:rsidP="001D0FDA">
      <w:r>
        <w:t xml:space="preserve">Jacobs W, Boonstra A, Brand M, Rosenberg DM, Schaaf B, et al. Long-term outcomes in pulmonary arterial hypertension in the first-line epoprostenol or first-line Bosentan era. </w:t>
      </w:r>
      <w:r w:rsidRPr="002A4910">
        <w:rPr>
          <w:i/>
        </w:rPr>
        <w:t>Journal of Heart and Lung Transplantation</w:t>
      </w:r>
      <w:r>
        <w:t>. 2010;29(10):1150-8.</w:t>
      </w:r>
    </w:p>
    <w:p w:rsidR="001D0FDA" w:rsidRDefault="001D0FDA" w:rsidP="001D0FDA">
      <w:r>
        <w:t xml:space="preserve">Kemp K, Savale L, O'Callaghan DS, Jaís X, Montani D, Humbert M, et al. Usefulness of first-line combination therapy with epoprostenol and bosentan in pulmonary arterial hypertension: An observational study. </w:t>
      </w:r>
      <w:r w:rsidRPr="002A4910">
        <w:rPr>
          <w:i/>
        </w:rPr>
        <w:t>Journal of Heart and Lung Transplantation</w:t>
      </w:r>
      <w:r>
        <w:t>. 2012;31(2):150-8.</w:t>
      </w:r>
    </w:p>
    <w:p w:rsidR="001D0FDA" w:rsidRDefault="001D0FDA" w:rsidP="001D0FDA">
      <w:r>
        <w:t xml:space="preserve">Lammi MR, Mathai SC, Saketkoo LA, Domsic RT, Bojanowski C, Furst DE, et al. Association between Initial Oral Therapy and Outcomes in Systemic Sclerosis-Related Pulmonary Arterial Hypertension. </w:t>
      </w:r>
      <w:r w:rsidRPr="002A4910">
        <w:rPr>
          <w:i/>
        </w:rPr>
        <w:t>Arthritis and Rheumatology</w:t>
      </w:r>
      <w:r>
        <w:t>. 2016;68(3):740-8.</w:t>
      </w:r>
    </w:p>
    <w:p w:rsidR="001D0FDA" w:rsidRDefault="001D0FDA" w:rsidP="001D0FDA">
      <w:r>
        <w:t xml:space="preserve">Reichenberger F, Mainwood A, Morrell NW, Parameshwar J, Pepke-Zaba J. Intravenous epoprostenol versus high dose inhaled iloprost for long-term treatment of pulmonary hypertension. </w:t>
      </w:r>
      <w:r w:rsidRPr="002A4910">
        <w:rPr>
          <w:i/>
        </w:rPr>
        <w:t>Pulmonary Pharmacology and Therapeutics</w:t>
      </w:r>
      <w:r>
        <w:t>. 2011;24(1):169-73.</w:t>
      </w:r>
    </w:p>
    <w:p w:rsidR="001D0FDA" w:rsidRDefault="001D0FDA" w:rsidP="001D0FDA">
      <w:r>
        <w:t xml:space="preserve">Rubin LJ, Badesch DB, Fleming TR, Galie N, Simonneau G, Ghofrani HA, et al. Long-term treatment with sildenafil citrate in pulmonary arterial hypertension: the SUPER-2 study. </w:t>
      </w:r>
      <w:r w:rsidRPr="002A4910">
        <w:rPr>
          <w:i/>
        </w:rPr>
        <w:t>Chest</w:t>
      </w:r>
      <w:r>
        <w:t>. 2011;140(5):1274-83.</w:t>
      </w:r>
    </w:p>
    <w:p w:rsidR="001D0FDA" w:rsidRDefault="001D0FDA" w:rsidP="001D0FDA">
      <w:r>
        <w:lastRenderedPageBreak/>
        <w:t xml:space="preserve">Sakao S, Tanabe N, Kasahara Y, Tatsumi K. Survival of Japanese patients with pulmonary arterial hypertension after the introduction of endothelin receptor antagonists and/or phosphodiesterase type-5 inhibitors. </w:t>
      </w:r>
      <w:r w:rsidRPr="002A4910">
        <w:rPr>
          <w:i/>
        </w:rPr>
        <w:t>Internal Medicine</w:t>
      </w:r>
      <w:r>
        <w:t>. 2012;51(19):2721-6.</w:t>
      </w:r>
    </w:p>
    <w:p w:rsidR="001D0FDA" w:rsidRDefault="001D0FDA" w:rsidP="001D0FDA">
      <w:r>
        <w:t xml:space="preserve">Sastry BKS, Narasimhan C, Reddy NK, Raju BS. Clinical efficacy of sildenafil in primary pulmonary hypertension: A randomized, placebo-controlled, double-blind, crossover study. </w:t>
      </w:r>
      <w:r w:rsidRPr="002A4910">
        <w:rPr>
          <w:i/>
        </w:rPr>
        <w:t>Journal of the American College of Cardiology</w:t>
      </w:r>
      <w:r>
        <w:t>. 2004;43(7):1149-53.</w:t>
      </w:r>
    </w:p>
    <w:p w:rsidR="001D0FDA" w:rsidRDefault="001D0FDA" w:rsidP="001D0FDA">
      <w:r>
        <w:t xml:space="preserve">Shirai Y, Yasuoka H, Takeuchi T, Satoh T, Kuwana M. Intravenous epoprostenol treatment of patients with connective tissue disease and pulmonary arterial hypertension at a single center. </w:t>
      </w:r>
      <w:r w:rsidRPr="002A4910">
        <w:rPr>
          <w:i/>
        </w:rPr>
        <w:t>Modern Rheumatology</w:t>
      </w:r>
      <w:r>
        <w:t>. 2013;23(6):1211-20.</w:t>
      </w:r>
    </w:p>
    <w:p w:rsidR="001D0FDA" w:rsidRDefault="001D0FDA" w:rsidP="001D0FDA">
      <w:r>
        <w:t xml:space="preserve">Singh TP, Rohit M, Grover A, Malhotra S, Vijayvergiya R. A randomized, placebo-controlled, double-blind, crossover study to evaluate the efficacy of oral sildenafil therapy in severe pulmonary artery hypertension. </w:t>
      </w:r>
      <w:r w:rsidRPr="002A4910">
        <w:rPr>
          <w:i/>
        </w:rPr>
        <w:t>American Heart Journal</w:t>
      </w:r>
      <w:r>
        <w:t>. 2006;151(4):851.e1-.e5.</w:t>
      </w:r>
    </w:p>
    <w:p w:rsidR="001D0FDA" w:rsidRDefault="001D0FDA" w:rsidP="001D0FDA">
      <w:r>
        <w:t xml:space="preserve">Sitbon O, McLaughlin VV, Badesch DB, Barst RJ, Black C, Galiè N, et al. Survival in patients with class III idiopathic pulmonary arterial hypertension treated with first line oral bosentan compared with an historical cohort of patients started on intravenous epoprostenol. </w:t>
      </w:r>
      <w:r w:rsidRPr="002A4910">
        <w:rPr>
          <w:i/>
        </w:rPr>
        <w:t>Thorax</w:t>
      </w:r>
      <w:r>
        <w:t>. 2005;60(12):1025-30.</w:t>
      </w:r>
    </w:p>
    <w:p w:rsidR="001D0FDA" w:rsidRDefault="001D0FDA" w:rsidP="001D0FDA">
      <w:r>
        <w:t xml:space="preserve">Williams MH, Das C, Handler CE, Akram MR, Davar J, Denton CP, et al. Systemic sclerosis associated pulmonary hypertension: Improved survival in the current era. </w:t>
      </w:r>
      <w:r w:rsidRPr="002A4910">
        <w:rPr>
          <w:i/>
        </w:rPr>
        <w:t>Heart</w:t>
      </w:r>
      <w:r>
        <w:t>. 2006;92(7):926-32.</w:t>
      </w:r>
    </w:p>
    <w:p w:rsidR="001D0FDA" w:rsidRPr="008D661C" w:rsidRDefault="001D0FDA" w:rsidP="001D0FDA">
      <w:pPr>
        <w:rPr>
          <w:b/>
        </w:rPr>
      </w:pPr>
      <w:r w:rsidRPr="008D661C">
        <w:rPr>
          <w:b/>
          <w:smallCaps/>
        </w:rPr>
        <w:t>No outcome of interest</w:t>
      </w:r>
      <w:r w:rsidRPr="008D661C">
        <w:rPr>
          <w:b/>
        </w:rPr>
        <w:t xml:space="preserve"> </w:t>
      </w:r>
      <w:r w:rsidRPr="008D661C">
        <w:t>(n=</w:t>
      </w:r>
      <w:r w:rsidR="001F432E">
        <w:t>6</w:t>
      </w:r>
      <w:r w:rsidRPr="008D661C">
        <w:t>)</w:t>
      </w:r>
    </w:p>
    <w:p w:rsidR="001D0FDA" w:rsidRDefault="001D0FDA" w:rsidP="001D0FDA">
      <w:r>
        <w:t xml:space="preserve">Bigdelian H, Sedighi M. The role of preoperative sildenafil therapy in controlling of postoperative pulmonary hypertension in children with ventricular septal defects. </w:t>
      </w:r>
      <w:r w:rsidRPr="002A4910">
        <w:rPr>
          <w:i/>
        </w:rPr>
        <w:t>Journal of Cardiovascular and Thoracic Research</w:t>
      </w:r>
      <w:r>
        <w:t>. 2017;9(3):179-82.</w:t>
      </w:r>
    </w:p>
    <w:p w:rsidR="001D0FDA" w:rsidRDefault="001D0FDA" w:rsidP="001D0FDA">
      <w:r>
        <w:t xml:space="preserve">Galiè N, Hinderliter AL, Torbicki A, Fourme T, Simonneau G, Pulido T, et al. Effects of the oral endothelin-receptor antagonist bosentan on echocardiographic and Doppler measures in patients with pulmonary arterial hypertension. </w:t>
      </w:r>
      <w:r w:rsidRPr="002A4910">
        <w:rPr>
          <w:i/>
        </w:rPr>
        <w:t>Journal of the American College of Cardiology</w:t>
      </w:r>
      <w:r>
        <w:t>. 2003;41(8):1380-6.</w:t>
      </w:r>
    </w:p>
    <w:p w:rsidR="001D0FDA" w:rsidRDefault="001D0FDA" w:rsidP="001D0FDA">
      <w:r>
        <w:t xml:space="preserve">Galiè N, Jansa P, Pulido T, Channick RN, Delcroix M, Ghofrani HA, et al. SERAPHIN haemodynamic substudy: The effect of the dual endothelin receptor antagonist macitentan on haemodynamic parameters and NT-proBNP levels and their association with disease progression in patients with pulmonary arterial hypertension. </w:t>
      </w:r>
      <w:r w:rsidRPr="002A4910">
        <w:rPr>
          <w:i/>
        </w:rPr>
        <w:t>European Heart Journal</w:t>
      </w:r>
      <w:r>
        <w:t>. 2017;38(15):1147-55.</w:t>
      </w:r>
    </w:p>
    <w:p w:rsidR="001D0FDA" w:rsidRDefault="001D0FDA" w:rsidP="001D0FDA">
      <w:r>
        <w:t xml:space="preserve">Mathai SC, Puhan MA, Lam D, Wise RA. The minimal important difference in the 6-minute walk test for patients with pulmonary arterial hypertension. </w:t>
      </w:r>
      <w:r w:rsidRPr="002A4910">
        <w:rPr>
          <w:i/>
        </w:rPr>
        <w:t>American Journal of Respiratory and Critical Care Medicine</w:t>
      </w:r>
      <w:r>
        <w:t>. 2012;186(5):428-33.</w:t>
      </w:r>
    </w:p>
    <w:p w:rsidR="001F432E" w:rsidRDefault="001F432E" w:rsidP="001F432E">
      <w:r>
        <w:lastRenderedPageBreak/>
        <w:t xml:space="preserve">Reza Sabri M, Bigdelian H, Hosseinzadeh M, Ahmadi A, Ghaderian M, Shoja M. Comparison of the therapeutic effects and side effects of tadalafil and sildenafil after surgery in young infants with pulmonary arterial hypertension due to systemic-to-pulmonary shunts. </w:t>
      </w:r>
      <w:r w:rsidRPr="002A4910">
        <w:rPr>
          <w:i/>
        </w:rPr>
        <w:t>Cardiology in the Young</w:t>
      </w:r>
      <w:r>
        <w:t>. 2017:1-8.</w:t>
      </w:r>
    </w:p>
    <w:p w:rsidR="001D0FDA" w:rsidRDefault="001D0FDA" w:rsidP="001D0FDA">
      <w:r>
        <w:t xml:space="preserve">Webb DJ, Vachiery JL, Hwang LJ, Maurey JO. Sildenafil improves renal function in patients with pulmonary arterial hypertension. </w:t>
      </w:r>
      <w:r w:rsidRPr="002A4910">
        <w:rPr>
          <w:i/>
        </w:rPr>
        <w:t>British Journal of Clinical Pharmacology</w:t>
      </w:r>
      <w:r>
        <w:t>. 2015;80(2):235-41.</w:t>
      </w:r>
    </w:p>
    <w:p w:rsidR="001D0FDA" w:rsidRPr="00CF25DE" w:rsidRDefault="001D0FDA" w:rsidP="001D0FDA">
      <w:r w:rsidRPr="008D661C">
        <w:rPr>
          <w:b/>
          <w:smallCaps/>
        </w:rPr>
        <w:t>Systematic review with different selection criteria</w:t>
      </w:r>
      <w:r>
        <w:t xml:space="preserve"> </w:t>
      </w:r>
      <w:r w:rsidRPr="00CF25DE">
        <w:t>(n=</w:t>
      </w:r>
      <w:r>
        <w:t>32</w:t>
      </w:r>
      <w:r w:rsidRPr="00CF25DE">
        <w:t>)</w:t>
      </w:r>
    </w:p>
    <w:p w:rsidR="001D0FDA" w:rsidRDefault="001D0FDA" w:rsidP="001D0FDA">
      <w:r>
        <w:t xml:space="preserve">Avouac J, Wipff J, Kahan A, Allanore Y. Effects of oral treatments on exercise capacity in systemic sclerosis related pulmonary arterial hypertension: A meta-analysis of randomised controlled trials. </w:t>
      </w:r>
      <w:r w:rsidRPr="002A4910">
        <w:rPr>
          <w:i/>
        </w:rPr>
        <w:t>Annals of the Rheumatic Diseases</w:t>
      </w:r>
      <w:r>
        <w:t>. 2008;67(6):808-14.</w:t>
      </w:r>
    </w:p>
    <w:p w:rsidR="001D0FDA" w:rsidRDefault="001D0FDA" w:rsidP="001D0FDA">
      <w:r>
        <w:t xml:space="preserve">Badiani B, Messori A. Targeted Treatments for Pulmonary Arterial Hypertension: Interpreting Outcomes by Network Meta-analysis. </w:t>
      </w:r>
      <w:r w:rsidRPr="002A4910">
        <w:rPr>
          <w:i/>
        </w:rPr>
        <w:t>Heart Lung and Circulation</w:t>
      </w:r>
      <w:r>
        <w:t>. 2016;25(1):46-52.</w:t>
      </w:r>
    </w:p>
    <w:p w:rsidR="001D0FDA" w:rsidRDefault="001D0FDA" w:rsidP="001D0FDA">
      <w:r>
        <w:t xml:space="preserve">Chen YF, Jowett S, Barton P, Malottki K, Hyde C, Gibbs JSR, et al. Clinical and cost-effectiveness of epoprostenol, iloprost, bosentan, sitaxentan and sildenafil for pulmonary arterial hypertension within their licensed indications: A systematic review and economic evaluation. </w:t>
      </w:r>
      <w:r w:rsidRPr="002A4910">
        <w:rPr>
          <w:i/>
        </w:rPr>
        <w:t>Health Technology Assessment</w:t>
      </w:r>
      <w:r>
        <w:t>. 2009;13(49):ix-320.</w:t>
      </w:r>
    </w:p>
    <w:p w:rsidR="001D0FDA" w:rsidRDefault="001D0FDA" w:rsidP="001D0FDA">
      <w:r>
        <w:t xml:space="preserve">Coeytaux RR, Schmit KM, Kraft BD, Kosinski AS, Mingo AM, Vann LM, et al. Comparative effectiveness and safety of drug therapy for pulmonary arterial hypertension. </w:t>
      </w:r>
      <w:r w:rsidRPr="002A4910">
        <w:rPr>
          <w:i/>
        </w:rPr>
        <w:t>Chest</w:t>
      </w:r>
      <w:r>
        <w:t>. 2014;145(5):1055-63.</w:t>
      </w:r>
    </w:p>
    <w:p w:rsidR="001D0FDA" w:rsidRDefault="001D0FDA" w:rsidP="001D0FDA">
      <w:r>
        <w:t xml:space="preserve">Duo-Ji MM, Long ZW. Comparative efficacy and acceptability of endothelin receptor antagonists for pulmonary arterial hypertension: A network meta-analysis. </w:t>
      </w:r>
      <w:r w:rsidRPr="002A4910">
        <w:rPr>
          <w:i/>
        </w:rPr>
        <w:t>International Journal of Cardiology</w:t>
      </w:r>
      <w:r>
        <w:t>. 2017;234:90-8.</w:t>
      </w:r>
    </w:p>
    <w:p w:rsidR="001D0FDA" w:rsidRDefault="001D0FDA" w:rsidP="001D0FDA">
      <w:r>
        <w:t xml:space="preserve">Fox BD, Shimony A, Langleben D. Meta-analysis of monotherapy versus combination therapy for pulmonary arterial hypertension. </w:t>
      </w:r>
      <w:r w:rsidRPr="002A4910">
        <w:rPr>
          <w:i/>
        </w:rPr>
        <w:t>American Journal of Cardiology</w:t>
      </w:r>
      <w:r>
        <w:t>. 2011;108(8):1177-82.</w:t>
      </w:r>
    </w:p>
    <w:p w:rsidR="001D0FDA" w:rsidRDefault="001D0FDA" w:rsidP="001D0FDA">
      <w:r>
        <w:t xml:space="preserve">Fox BD, Shtraichman O, Langleben D, Shimony A, Kramer MR. Combination Therapy for Pulmonary Arterial Hypertension: A Systematic Review and Meta-analysis. </w:t>
      </w:r>
      <w:r w:rsidRPr="002A4910">
        <w:rPr>
          <w:i/>
        </w:rPr>
        <w:t>Canadian Journal of Cardiology</w:t>
      </w:r>
      <w:r>
        <w:t>. 2016;32(12):1520-30.</w:t>
      </w:r>
    </w:p>
    <w:p w:rsidR="001D0FDA" w:rsidRDefault="001D0FDA" w:rsidP="001D0FDA">
      <w:r>
        <w:t xml:space="preserve">Gali N, Palazzini M, Manes A. Pulmonary arterial hypertension: From the kingdom of the near-dead to multiple clinical trial meta-analyses. </w:t>
      </w:r>
      <w:r w:rsidRPr="002A4910">
        <w:rPr>
          <w:i/>
        </w:rPr>
        <w:t>European Heart Journal</w:t>
      </w:r>
      <w:r>
        <w:t>. 2010;31(17):2080-6.</w:t>
      </w:r>
    </w:p>
    <w:p w:rsidR="001D0FDA" w:rsidRDefault="001D0FDA" w:rsidP="001D0FDA">
      <w:r>
        <w:t xml:space="preserve">Galie N, Manes A, Negro L, Palazzini M, Bacchi-Reggiani ML, Branzi A. A meta-analysis of randomized controlled trials in pulmonary arterial hypertension. </w:t>
      </w:r>
      <w:r w:rsidRPr="002A4910">
        <w:rPr>
          <w:i/>
        </w:rPr>
        <w:t>Eur Heart J</w:t>
      </w:r>
      <w:r>
        <w:t>. 2009;30(4):394-403.</w:t>
      </w:r>
    </w:p>
    <w:p w:rsidR="001D0FDA" w:rsidRDefault="001D0FDA" w:rsidP="001D0FDA">
      <w:r>
        <w:t xml:space="preserve">Gao XF, Zhang JJ, Jiang XM, Ge Z, Wang ZM, Li B, et al. Targeted drugs for pulmonary arterial hypertension: A network meta-analysis of 32 randomized clinical trials. </w:t>
      </w:r>
      <w:r w:rsidRPr="002A4910">
        <w:rPr>
          <w:i/>
        </w:rPr>
        <w:t>Patient Preference and Adherence</w:t>
      </w:r>
      <w:r>
        <w:t>. 2017;11:871-85.</w:t>
      </w:r>
    </w:p>
    <w:p w:rsidR="001D0FDA" w:rsidRDefault="001D0FDA" w:rsidP="001D0FDA">
      <w:r>
        <w:lastRenderedPageBreak/>
        <w:t xml:space="preserve">Giannetta E, Feola T, Gianfrilli D, Pofi R, Dall'Armi V, Badagliacca R, et al. Is chronic inhibition of phosphodiesterase type 5 cardioprotective and safe? A meta-analysis of randomized controlled trials. </w:t>
      </w:r>
      <w:r w:rsidRPr="002A4910">
        <w:rPr>
          <w:i/>
        </w:rPr>
        <w:t>BMC Medicine</w:t>
      </w:r>
      <w:r>
        <w:t>. 2014;12(1).</w:t>
      </w:r>
    </w:p>
    <w:p w:rsidR="001D0FDA" w:rsidRDefault="001D0FDA" w:rsidP="001D0FDA">
      <w:r>
        <w:t xml:space="preserve">Guo L, Liu YJ, Xie ZL. Safety and tolerability evaluation of oral bosentan in adult congenital heart disease associated pulmonary arterial hypertension: a systematic review and meta-analysis. </w:t>
      </w:r>
      <w:r w:rsidRPr="002A4910">
        <w:rPr>
          <w:i/>
        </w:rPr>
        <w:t>Eur Rev Med Pharmacol Sci</w:t>
      </w:r>
      <w:r>
        <w:t>. 2014;18(5):638-45.</w:t>
      </w:r>
    </w:p>
    <w:p w:rsidR="001D0FDA" w:rsidRDefault="001D0FDA" w:rsidP="001D0FDA">
      <w:r>
        <w:t xml:space="preserve">He B, Zhang F, Li X, Tang C, Lin G, Du J, et al. Meta-analysis of randomized controlled trials on treatment of pulmonary arterial hypertension. </w:t>
      </w:r>
      <w:r w:rsidRPr="002A4910">
        <w:rPr>
          <w:i/>
        </w:rPr>
        <w:t>Circulation Journal</w:t>
      </w:r>
      <w:r>
        <w:t>. 2010;74(7):1458-64.</w:t>
      </w:r>
    </w:p>
    <w:p w:rsidR="001D0FDA" w:rsidRDefault="001D0FDA" w:rsidP="001D0FDA">
      <w:r>
        <w:t xml:space="preserve">Igarashi A, Inoue S, Ishii T, Tsutani K, Watanabe H. Comparative Effectiveness of Oral Medications for Pulmonary Arterial Hypertension. </w:t>
      </w:r>
      <w:r w:rsidRPr="002A4910">
        <w:rPr>
          <w:i/>
        </w:rPr>
        <w:t>Int Heart J</w:t>
      </w:r>
      <w:r>
        <w:t>. 2016;57(4):466-72.</w:t>
      </w:r>
    </w:p>
    <w:p w:rsidR="001D0FDA" w:rsidRDefault="001D0FDA" w:rsidP="001D0FDA">
      <w:r>
        <w:t xml:space="preserve">Jain S, Khera R, Girotra S, Badesch D, Wang Z, Murad MH, et al. Comparative Effectiveness of Pharmacologic Interventions for Pulmonary Arterial Hypertension: A Systematic Review and Network Meta-Analysis. </w:t>
      </w:r>
      <w:r w:rsidRPr="002A4910">
        <w:rPr>
          <w:i/>
        </w:rPr>
        <w:t>Chest</w:t>
      </w:r>
      <w:r>
        <w:t>. 2017;151(1):90-105.</w:t>
      </w:r>
    </w:p>
    <w:p w:rsidR="001D0FDA" w:rsidRDefault="001D0FDA" w:rsidP="001D0FDA">
      <w:r>
        <w:t xml:space="preserve">Kanthapillai P, Walters EH. Phosphodiesterase 5 inhibitors for pulmonary hypertension. </w:t>
      </w:r>
      <w:r w:rsidRPr="002A4910">
        <w:rPr>
          <w:i/>
        </w:rPr>
        <w:t>Cochrane Database of Systematic Reviews</w:t>
      </w:r>
      <w:r>
        <w:t>. 2004(4).</w:t>
      </w:r>
    </w:p>
    <w:p w:rsidR="001D0FDA" w:rsidRDefault="001D0FDA" w:rsidP="001D0FDA">
      <w:r>
        <w:t xml:space="preserve">Kuwana M, Watanabe H, Matsuoka N, Sugiyama N. Pulmonary arterial hypertension associated with connective tissue disease: Meta-analysis of clinical trials. </w:t>
      </w:r>
      <w:r w:rsidRPr="002A4910">
        <w:rPr>
          <w:i/>
        </w:rPr>
        <w:t>BMJ Open</w:t>
      </w:r>
      <w:r>
        <w:t>. 2013;3(8).</w:t>
      </w:r>
    </w:p>
    <w:p w:rsidR="001D0FDA" w:rsidRDefault="001D0FDA" w:rsidP="001D0FDA">
      <w:r>
        <w:t xml:space="preserve">Lajoie AC, Lauzière G, Lega JC, Lacasse Y, Martin S, Simard S, et al. Combination therapy versus monotherapy for pulmonary arterial hypertension: A meta-analysis. </w:t>
      </w:r>
      <w:r w:rsidRPr="002A4910">
        <w:rPr>
          <w:i/>
        </w:rPr>
        <w:t>The Lancet Respiratory Medicine</w:t>
      </w:r>
      <w:r>
        <w:t>. 2016;4(4):291-305.</w:t>
      </w:r>
    </w:p>
    <w:p w:rsidR="001D0FDA" w:rsidRDefault="001D0FDA" w:rsidP="001D0FDA">
      <w:r>
        <w:t xml:space="preserve">Li T, Chen Y, Zang W, Geng N, Ma S, Li X. Prostacyclin and its analogues in pulmonary artery hypertension: A meta-analysis. </w:t>
      </w:r>
      <w:r w:rsidRPr="002A4910">
        <w:rPr>
          <w:i/>
        </w:rPr>
        <w:t>Current Medical Research and Opinion</w:t>
      </w:r>
      <w:r>
        <w:t>. 2013;29(8):889-99.</w:t>
      </w:r>
    </w:p>
    <w:p w:rsidR="001D0FDA" w:rsidRDefault="001D0FDA" w:rsidP="001D0FDA">
      <w:r>
        <w:t xml:space="preserve">Pan Y, Hu C, Chen PH, Gu YH, Qiao QY, Pan LH, et al. Association of oral endothelin receptor antagonists with risks of cardiovascular events and mortality: meta-analysis of randomized controlled trials. </w:t>
      </w:r>
      <w:r w:rsidRPr="002A4910">
        <w:rPr>
          <w:i/>
        </w:rPr>
        <w:t>European Journal of Clinical Pharmacology</w:t>
      </w:r>
      <w:r>
        <w:t>. 2017;73(3):267-78.</w:t>
      </w:r>
    </w:p>
    <w:p w:rsidR="001D0FDA" w:rsidRDefault="001D0FDA" w:rsidP="001D0FDA">
      <w:r>
        <w:t xml:space="preserve">Paramothayan NS, Lasserson TJ, Wells AU, Walters EH. Prostacyclin for pulmonary hypertension in adults. </w:t>
      </w:r>
      <w:r w:rsidRPr="002A4910">
        <w:rPr>
          <w:i/>
        </w:rPr>
        <w:t>Cochrane database of systematic reviews (Online)</w:t>
      </w:r>
      <w:r>
        <w:t>. 2005(2):CD002994.</w:t>
      </w:r>
    </w:p>
    <w:p w:rsidR="001D0FDA" w:rsidRDefault="001D0FDA" w:rsidP="001D0FDA">
      <w:r>
        <w:t xml:space="preserve">Rival G, Lacasse Y, Martin S, Bonnet S, Provencher S. Effect of pulmonary arterial hypertension-specific therapies on health-related quality of life a systematic review. </w:t>
      </w:r>
      <w:r w:rsidRPr="002A4910">
        <w:rPr>
          <w:i/>
        </w:rPr>
        <w:t>Chest</w:t>
      </w:r>
      <w:r>
        <w:t>. 2014;146(3):686-708.</w:t>
      </w:r>
    </w:p>
    <w:p w:rsidR="001D0FDA" w:rsidRDefault="001D0FDA" w:rsidP="001D0FDA">
      <w:r>
        <w:t xml:space="preserve">Shafiq N, Reddy S, Pandhi P, Manoj R, Talwar KK, Malhotra S. Sildenafil for pulmonary hypertension: Need for evidence generation. </w:t>
      </w:r>
      <w:r w:rsidRPr="002A4910">
        <w:rPr>
          <w:i/>
        </w:rPr>
        <w:t>International Journal of Clinical Pharmacology and Therapeutics</w:t>
      </w:r>
      <w:r>
        <w:t>. 2008;46(12):644-51.</w:t>
      </w:r>
    </w:p>
    <w:p w:rsidR="001D0FDA" w:rsidRDefault="001D0FDA" w:rsidP="001D0FDA">
      <w:r>
        <w:lastRenderedPageBreak/>
        <w:t xml:space="preserve">Silva MA, Donovan JL, Durie R, Ventura D, Alspach RM, Kanaan AO, et al. A Mixed Treatment Comparison Meta-Analysis of Pharmacotherapeutic Monotherapy and Placebo for Pulmonary Artery Hypertension. </w:t>
      </w:r>
      <w:r w:rsidRPr="002A4910">
        <w:rPr>
          <w:i/>
        </w:rPr>
        <w:t>Clinical Pulmonary Medicine</w:t>
      </w:r>
      <w:r>
        <w:t>. 2017;24(4):149-59.</w:t>
      </w:r>
    </w:p>
    <w:p w:rsidR="001D0FDA" w:rsidRDefault="001D0FDA" w:rsidP="001D0FDA">
      <w:r>
        <w:t xml:space="preserve">Wang RC, Jiang FM, Zheng QL, Li CT, Peng XY, He CY, et al. Efficacy and safety of sildenafil treatment in pulmonary arterial hypertension: A systematic review. </w:t>
      </w:r>
      <w:r w:rsidRPr="002A4910">
        <w:rPr>
          <w:i/>
        </w:rPr>
        <w:t>Respiratory Medicine</w:t>
      </w:r>
      <w:r>
        <w:t>. 2014;108(3):531-7.</w:t>
      </w:r>
    </w:p>
    <w:p w:rsidR="001D0FDA" w:rsidRDefault="001D0FDA" w:rsidP="001D0FDA">
      <w:r>
        <w:t xml:space="preserve">Wardle AJ, Seager MJ, Wardle R, Tulloh RM, Gibbs JS. Guanylate cyclase stimulators for pulmonary hypertension. </w:t>
      </w:r>
      <w:r w:rsidRPr="002A4910">
        <w:rPr>
          <w:i/>
        </w:rPr>
        <w:t>Cochrane Database Syst Rev</w:t>
      </w:r>
      <w:r>
        <w:t>. 2016(8):CD011205.</w:t>
      </w:r>
    </w:p>
    <w:p w:rsidR="001D0FDA" w:rsidRDefault="001D0FDA" w:rsidP="001D0FDA">
      <w:r>
        <w:t xml:space="preserve">Wardle AJ, Seager MJ, Wardle R, Tulloh RMR, Gibbs JSR. Guanylate cyclase stimulators for pulmonary hypertension. 2016: Available from: </w:t>
      </w:r>
      <w:r w:rsidRPr="00A17B9D">
        <w:t>http://onlinelibrary.wiley.com/o/cochrane/clcentral/articles/168/CN-01196168/frame.html</w:t>
      </w:r>
      <w:r>
        <w:t>.</w:t>
      </w:r>
    </w:p>
    <w:p w:rsidR="001D0FDA" w:rsidRDefault="001D0FDA" w:rsidP="001D0FDA">
      <w:r>
        <w:t xml:space="preserve">Wei A, Gu Z, Li J, Liu X, Wu X, Han Y, et al. Clinical adverse effects of endothelin receptor antagonists: Insights from the meta-analysis of 4894 patients from 24 randomized double-blind placebo-controlled clinical trials. </w:t>
      </w:r>
      <w:r w:rsidRPr="002A4910">
        <w:rPr>
          <w:i/>
        </w:rPr>
        <w:t>Journal of the American Heart Association</w:t>
      </w:r>
      <w:r>
        <w:t>. 2016;5(11).</w:t>
      </w:r>
    </w:p>
    <w:p w:rsidR="001D0FDA" w:rsidRDefault="001D0FDA" w:rsidP="001D0FDA">
      <w:r>
        <w:t xml:space="preserve">Xing XQ, Han B, Wu XW, Xiao Y, Wu SJ. Efficacy and safety of prostacyclins therapy in pulmonary arterial hypertension: A meta-analysis. </w:t>
      </w:r>
      <w:r w:rsidRPr="00A834D2">
        <w:rPr>
          <w:i/>
        </w:rPr>
        <w:t>African Journal of Pharmacy and Pharmacology</w:t>
      </w:r>
      <w:r>
        <w:t>. 2011;5(20):2199-208.</w:t>
      </w:r>
    </w:p>
    <w:p w:rsidR="001D0FDA" w:rsidRDefault="001D0FDA" w:rsidP="001D0FDA">
      <w:r>
        <w:t xml:space="preserve">Zhang H, Li X, Huang J, Li H, Su Z, Wang J. Comparative efficacy and safety of prostacyclin analogs for pulmonary arterial hypertension: A network meta-Analysis. </w:t>
      </w:r>
      <w:r w:rsidRPr="002A4910">
        <w:rPr>
          <w:i/>
        </w:rPr>
        <w:t>Medicine (United States)</w:t>
      </w:r>
      <w:r>
        <w:t>. 2016;95(4).</w:t>
      </w:r>
    </w:p>
    <w:p w:rsidR="001D0FDA" w:rsidRDefault="001D0FDA" w:rsidP="001D0FDA">
      <w:r>
        <w:t xml:space="preserve">Zhang HD, Zhang R, Jiang X, Sun K, Wu DC, Jing ZC. Effects of oral treatments on clinical outcomes in pulmonary arterial hypertension: A systematic review and meta-analysis. </w:t>
      </w:r>
      <w:r w:rsidRPr="002A4910">
        <w:rPr>
          <w:i/>
        </w:rPr>
        <w:t>American Heart Journal</w:t>
      </w:r>
      <w:r>
        <w:t>. 2015;170(1):96-103.e14.</w:t>
      </w:r>
    </w:p>
    <w:p w:rsidR="001D0FDA" w:rsidRDefault="001D0FDA" w:rsidP="001D0FDA">
      <w:r>
        <w:t xml:space="preserve">Zheng Y, Yang T, Chen G, Hu E, Gu Q, Xiong C. Prostanoid therapy for pulmonary arterial hypertension: A meta-analysis of survival outcomes. </w:t>
      </w:r>
      <w:r w:rsidRPr="002A4910">
        <w:rPr>
          <w:i/>
        </w:rPr>
        <w:t>European Journal of Clinical Pharmacology</w:t>
      </w:r>
      <w:r>
        <w:t>. 2014;70(1):13-21.</w:t>
      </w:r>
    </w:p>
    <w:p w:rsidR="001D0FDA" w:rsidRDefault="001D0FDA" w:rsidP="001D0FDA">
      <w:r w:rsidRPr="008D661C">
        <w:rPr>
          <w:b/>
          <w:smallCaps/>
        </w:rPr>
        <w:t>Higher level of evidence available</w:t>
      </w:r>
      <w:r>
        <w:t xml:space="preserve"> (n=7)</w:t>
      </w:r>
    </w:p>
    <w:p w:rsidR="001D0FDA" w:rsidRDefault="001D0FDA" w:rsidP="001D0FDA">
      <w:r>
        <w:t xml:space="preserve">Douwes JM, Roofthooft MTR, Van Loon RLE, Ploegstra MJ, Bartelds B, Hillege HL, et al. Sildenafil add-on therapy in paediatric pulmonary arterial hypertension, experiences of a national referral centre. </w:t>
      </w:r>
      <w:r w:rsidRPr="00852BB1">
        <w:rPr>
          <w:i/>
        </w:rPr>
        <w:t>Heart</w:t>
      </w:r>
      <w:r>
        <w:t>. 2014;100(3):224-30.</w:t>
      </w:r>
    </w:p>
    <w:p w:rsidR="001D0FDA" w:rsidRDefault="001D0FDA" w:rsidP="001D0FDA">
      <w:r>
        <w:t xml:space="preserve">Haworth SG, Hislop AA. Treatment and survival in Children with pulmonary arterial hypertension: The UK Pulmonary Hypertension Service for Children 2001 2006. </w:t>
      </w:r>
      <w:r w:rsidRPr="00852BB1">
        <w:rPr>
          <w:i/>
        </w:rPr>
        <w:t>Heart</w:t>
      </w:r>
      <w:r>
        <w:t>. 2009;95(4):312-7.</w:t>
      </w:r>
    </w:p>
    <w:p w:rsidR="001D0FDA" w:rsidRDefault="001D0FDA" w:rsidP="001D0FDA">
      <w:r>
        <w:lastRenderedPageBreak/>
        <w:t xml:space="preserve">Oudiz RJ, Roveran G, Hansen JE, Sun XG, Wasserman K. Effect of sildenafil on ventilatory efficiency and exercise tolerance in pulmonary hypertension. </w:t>
      </w:r>
      <w:r w:rsidRPr="00852BB1">
        <w:rPr>
          <w:i/>
        </w:rPr>
        <w:t>European Journal of Heart Failure</w:t>
      </w:r>
      <w:r>
        <w:t>. 2007;9(9):917-21.</w:t>
      </w:r>
    </w:p>
    <w:p w:rsidR="001D0FDA" w:rsidRDefault="001D0FDA" w:rsidP="001D0FDA">
      <w:r>
        <w:t xml:space="preserve">Sfikakis PP, Papamichael C, Stamatelopoulos KS, Tousoulis D, Fragiadaki KG, Katsichti P, et al. Improvement of vascular endothelial function using the oral endothelin receptor antagonist bosentan in patients with systemic sclerosis. </w:t>
      </w:r>
      <w:r w:rsidRPr="00852BB1">
        <w:rPr>
          <w:i/>
        </w:rPr>
        <w:t>Arthritis and Rheumatism</w:t>
      </w:r>
      <w:r>
        <w:t>. 2007;56(6):1985-93.</w:t>
      </w:r>
    </w:p>
    <w:p w:rsidR="001D0FDA" w:rsidRDefault="001D0FDA" w:rsidP="001D0FDA">
      <w:r>
        <w:t xml:space="preserve">Sung KW, Jeon YB, Kim NY, Park KY, Park CH, Choi CH, et al. The effects of perioperative inhaled iloprost on pulmonary hypertension with congenital heart disease. </w:t>
      </w:r>
      <w:r w:rsidRPr="00852BB1">
        <w:rPr>
          <w:i/>
        </w:rPr>
        <w:t>Cardiology (Switzerland)</w:t>
      </w:r>
      <w:r>
        <w:t>. 2013;126(4):224-9.</w:t>
      </w:r>
    </w:p>
    <w:p w:rsidR="001D0FDA" w:rsidRDefault="001D0FDA" w:rsidP="001D0FDA">
      <w:r>
        <w:t xml:space="preserve">Yang X, Sanders KN, Mardekian J, Mychaskiw MA, Thomas J. Associations between Sildenafil Use and Changes in Days of Hospitalization in a Population with Pulmonary Arterial Hypertension Associated with Connective Tissue Disease. </w:t>
      </w:r>
      <w:r w:rsidRPr="00852BB1">
        <w:rPr>
          <w:i/>
        </w:rPr>
        <w:t>Clinical Therapeutics</w:t>
      </w:r>
      <w:r>
        <w:t>. 2015;37(5):1055-63.</w:t>
      </w:r>
    </w:p>
    <w:p w:rsidR="001D0FDA" w:rsidRDefault="001D0FDA" w:rsidP="001D0FDA">
      <w:r>
        <w:t xml:space="preserve">Zeng WJ, Sun YJ, Gu Q, Xiong CM, Li JJ, He JG. Impact of sildenafil on survival of patients with idiopathic pulmonary arterial hypertension. </w:t>
      </w:r>
      <w:r w:rsidRPr="00852BB1">
        <w:rPr>
          <w:i/>
        </w:rPr>
        <w:t>Journal of Clinical Pharmacology</w:t>
      </w:r>
      <w:r>
        <w:t>. 2012;52(9):1357-64.</w:t>
      </w:r>
    </w:p>
    <w:p w:rsidR="001D0FDA" w:rsidRPr="00776099" w:rsidRDefault="001D0FDA" w:rsidP="001D0FDA">
      <w:r w:rsidRPr="00776099">
        <w:rPr>
          <w:b/>
          <w:smallCaps/>
        </w:rPr>
        <w:t>Long-term observational study with &lt;50 patients receiving treatment</w:t>
      </w:r>
      <w:r w:rsidRPr="00776099">
        <w:t xml:space="preserve"> (n=24)</w:t>
      </w:r>
    </w:p>
    <w:p w:rsidR="001D0FDA" w:rsidRPr="00776099" w:rsidRDefault="001D0FDA" w:rsidP="001D0FDA">
      <w:pPr>
        <w:pStyle w:val="BodyText"/>
        <w:rPr>
          <w:rFonts w:asciiTheme="minorHAnsi" w:hAnsiTheme="minorHAnsi"/>
        </w:rPr>
      </w:pPr>
      <w:r w:rsidRPr="00776099">
        <w:rPr>
          <w:rFonts w:asciiTheme="minorHAnsi" w:hAnsiTheme="minorHAnsi"/>
        </w:rPr>
        <w:t xml:space="preserve">Akagi S, Nakamura K, Miyaji K, Ogawa A, Kusano KF, Ito H, et al. Marked hemodynamic improvements by high-dose epoprostenol therapy in patients with idiopathic pulmonary arterial hypertension. </w:t>
      </w:r>
      <w:r w:rsidRPr="00776099">
        <w:rPr>
          <w:rFonts w:asciiTheme="minorHAnsi" w:hAnsiTheme="minorHAnsi"/>
          <w:i/>
        </w:rPr>
        <w:t>Circulation Journal</w:t>
      </w:r>
      <w:r w:rsidRPr="00776099">
        <w:rPr>
          <w:rFonts w:asciiTheme="minorHAnsi" w:hAnsiTheme="minorHAnsi"/>
        </w:rPr>
        <w:t>. 2010;74(10):2200-5.</w:t>
      </w:r>
    </w:p>
    <w:p w:rsidR="001D0FDA" w:rsidRPr="00776099" w:rsidRDefault="001D0FDA" w:rsidP="001D0FDA">
      <w:pPr>
        <w:pStyle w:val="BodyText"/>
        <w:rPr>
          <w:rFonts w:asciiTheme="minorHAnsi" w:hAnsiTheme="minorHAnsi"/>
        </w:rPr>
      </w:pPr>
      <w:r w:rsidRPr="00776099">
        <w:rPr>
          <w:rFonts w:asciiTheme="minorHAnsi" w:hAnsiTheme="minorHAnsi"/>
        </w:rPr>
        <w:t xml:space="preserve">Apostolopoulou SC, Manginas A, Cokkinos DV, Rammos S. Long-term oral bosentan treatment in patients with pulmonary arterial hypertension related to congenital heart disease: A 2-year study. </w:t>
      </w:r>
      <w:r w:rsidRPr="00776099">
        <w:rPr>
          <w:rFonts w:asciiTheme="minorHAnsi" w:hAnsiTheme="minorHAnsi"/>
          <w:i/>
        </w:rPr>
        <w:t>Heart</w:t>
      </w:r>
      <w:r w:rsidRPr="00776099">
        <w:rPr>
          <w:rFonts w:asciiTheme="minorHAnsi" w:hAnsiTheme="minorHAnsi"/>
        </w:rPr>
        <w:t>. 2007;93(3):350-4.</w:t>
      </w:r>
    </w:p>
    <w:p w:rsidR="001D0FDA" w:rsidRPr="00776099" w:rsidRDefault="001D0FDA" w:rsidP="001D0FDA">
      <w:pPr>
        <w:pStyle w:val="BodyText"/>
        <w:rPr>
          <w:rFonts w:asciiTheme="minorHAnsi" w:hAnsiTheme="minorHAnsi"/>
        </w:rPr>
      </w:pPr>
      <w:r w:rsidRPr="00776099">
        <w:rPr>
          <w:rFonts w:asciiTheme="minorHAnsi" w:hAnsiTheme="minorHAnsi"/>
        </w:rPr>
        <w:t xml:space="preserve">Avellana P, Segovia J, Sufrate E, Gómez-Bueno M, García-Cosío Carmena MD, García-Pavía P, et al. Long-term (5 Years) effects of bosentan in patients with pulmonary arterial hypertension. </w:t>
      </w:r>
      <w:r w:rsidRPr="00776099">
        <w:rPr>
          <w:rFonts w:asciiTheme="minorHAnsi" w:hAnsiTheme="minorHAnsi"/>
          <w:i/>
        </w:rPr>
        <w:t>Revista Espanola de Cardiologia</w:t>
      </w:r>
      <w:r w:rsidRPr="00776099">
        <w:rPr>
          <w:rFonts w:asciiTheme="minorHAnsi" w:hAnsiTheme="minorHAnsi"/>
        </w:rPr>
        <w:t>. 2011;64(8):667-73.</w:t>
      </w:r>
    </w:p>
    <w:p w:rsidR="001D0FDA" w:rsidRPr="00776099" w:rsidRDefault="001D0FDA" w:rsidP="001D0FDA">
      <w:pPr>
        <w:pStyle w:val="BodyText"/>
        <w:rPr>
          <w:rFonts w:asciiTheme="minorHAnsi" w:hAnsiTheme="minorHAnsi"/>
        </w:rPr>
      </w:pPr>
      <w:r w:rsidRPr="00776099">
        <w:rPr>
          <w:rFonts w:asciiTheme="minorHAnsi" w:hAnsiTheme="minorHAnsi"/>
        </w:rPr>
        <w:t xml:space="preserve">Baptista R, Castro G, Da Silva AM, Monteiro P, Providência LA. Long-term effect of bosentan in pulmonary hypertension associated with complex congenital heart disease. </w:t>
      </w:r>
      <w:r w:rsidRPr="00776099">
        <w:rPr>
          <w:rFonts w:asciiTheme="minorHAnsi" w:hAnsiTheme="minorHAnsi"/>
          <w:i/>
        </w:rPr>
        <w:t>Revista Portuguesa de Cardiologia</w:t>
      </w:r>
      <w:r w:rsidRPr="00776099">
        <w:rPr>
          <w:rFonts w:asciiTheme="minorHAnsi" w:hAnsiTheme="minorHAnsi"/>
        </w:rPr>
        <w:t>. 2013;32(2):123-9.</w:t>
      </w:r>
    </w:p>
    <w:p w:rsidR="001D0FDA" w:rsidRPr="00776099" w:rsidRDefault="001D0FDA" w:rsidP="001D0FDA">
      <w:pPr>
        <w:pStyle w:val="BodyText"/>
        <w:rPr>
          <w:rFonts w:asciiTheme="minorHAnsi" w:hAnsiTheme="minorHAnsi"/>
        </w:rPr>
      </w:pPr>
      <w:r w:rsidRPr="00776099">
        <w:rPr>
          <w:rFonts w:asciiTheme="minorHAnsi" w:hAnsiTheme="minorHAnsi"/>
        </w:rPr>
        <w:t xml:space="preserve">Barst RJ, Maislin G, Fishman AP. Vasodilator therapy for primary pulmonary hypertension in children. </w:t>
      </w:r>
      <w:r w:rsidRPr="00776099">
        <w:rPr>
          <w:rFonts w:asciiTheme="minorHAnsi" w:hAnsiTheme="minorHAnsi"/>
          <w:i/>
        </w:rPr>
        <w:t>Circulation</w:t>
      </w:r>
      <w:r w:rsidRPr="00776099">
        <w:rPr>
          <w:rFonts w:asciiTheme="minorHAnsi" w:hAnsiTheme="minorHAnsi"/>
        </w:rPr>
        <w:t>. 1999;99(9):1197-028.</w:t>
      </w:r>
    </w:p>
    <w:p w:rsidR="001D0FDA" w:rsidRPr="00776099" w:rsidRDefault="001D0FDA" w:rsidP="001D0FDA">
      <w:pPr>
        <w:pStyle w:val="BodyText"/>
        <w:rPr>
          <w:rFonts w:asciiTheme="minorHAnsi" w:hAnsiTheme="minorHAnsi"/>
        </w:rPr>
      </w:pPr>
      <w:r w:rsidRPr="00776099">
        <w:rPr>
          <w:rFonts w:asciiTheme="minorHAnsi" w:hAnsiTheme="minorHAnsi"/>
        </w:rPr>
        <w:t xml:space="preserve">Barst RJ, Rubin LJ, McGoon MD, Caldwell EJ, Long WA, Levy PS. Survival in primary pulmonary hypertension with long-term continuous intravenous prostacyclin. </w:t>
      </w:r>
      <w:r w:rsidRPr="00776099">
        <w:rPr>
          <w:rFonts w:asciiTheme="minorHAnsi" w:hAnsiTheme="minorHAnsi"/>
          <w:i/>
        </w:rPr>
        <w:t>Annals of Internal Medicine</w:t>
      </w:r>
      <w:r w:rsidRPr="00776099">
        <w:rPr>
          <w:rFonts w:asciiTheme="minorHAnsi" w:hAnsiTheme="minorHAnsi"/>
        </w:rPr>
        <w:t>. 1994;121(6):409-15.</w:t>
      </w:r>
    </w:p>
    <w:p w:rsidR="001D0FDA" w:rsidRPr="00776099" w:rsidRDefault="001D0FDA" w:rsidP="001D0FDA">
      <w:pPr>
        <w:pStyle w:val="BodyText"/>
        <w:rPr>
          <w:rFonts w:asciiTheme="minorHAnsi" w:hAnsiTheme="minorHAnsi"/>
        </w:rPr>
      </w:pPr>
      <w:r w:rsidRPr="00776099">
        <w:rPr>
          <w:rFonts w:asciiTheme="minorHAnsi" w:hAnsiTheme="minorHAnsi"/>
        </w:rPr>
        <w:lastRenderedPageBreak/>
        <w:t>Berger RMF, Haworth SG, Bonnet D, Dulac Y, Fraisse A, Galiè N, et al. FUTURE-2: Results from an open-label, long-term safety and tolerability extension study using the pediatric</w:t>
      </w:r>
      <w:r>
        <w:t xml:space="preserve"> </w:t>
      </w:r>
      <w:r w:rsidRPr="00776099">
        <w:rPr>
          <w:rFonts w:asciiTheme="minorHAnsi" w:hAnsiTheme="minorHAnsi"/>
        </w:rPr>
        <w:t xml:space="preserve">FormUlation of bosenTan in pUlmonary arterial hypeRtEnsion. </w:t>
      </w:r>
      <w:r w:rsidRPr="00776099">
        <w:rPr>
          <w:rFonts w:asciiTheme="minorHAnsi" w:hAnsiTheme="minorHAnsi"/>
          <w:i/>
        </w:rPr>
        <w:t>International Journal of Cardiology</w:t>
      </w:r>
      <w:r w:rsidRPr="00776099">
        <w:rPr>
          <w:rFonts w:asciiTheme="minorHAnsi" w:hAnsiTheme="minorHAnsi"/>
        </w:rPr>
        <w:t>. 2016;202:52-8.</w:t>
      </w:r>
    </w:p>
    <w:p w:rsidR="001D0FDA" w:rsidRPr="00776099" w:rsidRDefault="001D0FDA" w:rsidP="001D0FDA">
      <w:pPr>
        <w:pStyle w:val="BodyText"/>
        <w:rPr>
          <w:rFonts w:asciiTheme="minorHAnsi" w:hAnsiTheme="minorHAnsi"/>
        </w:rPr>
      </w:pPr>
      <w:r w:rsidRPr="00776099">
        <w:rPr>
          <w:rFonts w:asciiTheme="minorHAnsi" w:hAnsiTheme="minorHAnsi"/>
        </w:rPr>
        <w:t xml:space="preserve">Diller GP, Dimopoulos K, Kaya MG, Harries C, Uebing A, Li W, et al. Long-term safety, tolerability and efficacy of bosentan in adults with pulmonary arterial hypertension associated with congenital heart disease. </w:t>
      </w:r>
      <w:r w:rsidRPr="00776099">
        <w:rPr>
          <w:rFonts w:asciiTheme="minorHAnsi" w:hAnsiTheme="minorHAnsi"/>
          <w:i/>
        </w:rPr>
        <w:t>Heart</w:t>
      </w:r>
      <w:r w:rsidRPr="00776099">
        <w:rPr>
          <w:rFonts w:asciiTheme="minorHAnsi" w:hAnsiTheme="minorHAnsi"/>
        </w:rPr>
        <w:t>. 2007;93(8):974-6.</w:t>
      </w:r>
    </w:p>
    <w:p w:rsidR="001D0FDA" w:rsidRPr="00776099" w:rsidRDefault="001D0FDA" w:rsidP="001D0FDA">
      <w:pPr>
        <w:pStyle w:val="BodyText"/>
        <w:rPr>
          <w:rFonts w:asciiTheme="minorHAnsi" w:hAnsiTheme="minorHAnsi"/>
        </w:rPr>
      </w:pPr>
      <w:r w:rsidRPr="00776099">
        <w:rPr>
          <w:rFonts w:asciiTheme="minorHAnsi" w:hAnsiTheme="minorHAnsi"/>
        </w:rPr>
        <w:t xml:space="preserve">Halank M, Hoeper MM, Ghofrani HA, Meyer FJ, Stähler G, Behr J, et al. Riociguat for pulmonary arterial hypertension and chronic thromboembolic pulmonary hypertension: Results from a phase II long-term extension study. </w:t>
      </w:r>
      <w:r w:rsidRPr="00776099">
        <w:rPr>
          <w:rFonts w:asciiTheme="minorHAnsi" w:hAnsiTheme="minorHAnsi"/>
          <w:i/>
        </w:rPr>
        <w:t>Respiratory Medicine</w:t>
      </w:r>
      <w:r w:rsidRPr="00776099">
        <w:rPr>
          <w:rFonts w:asciiTheme="minorHAnsi" w:hAnsiTheme="minorHAnsi"/>
        </w:rPr>
        <w:t>. 2017;128:50-6.</w:t>
      </w:r>
    </w:p>
    <w:p w:rsidR="001D0FDA" w:rsidRPr="00776099" w:rsidRDefault="001D0FDA" w:rsidP="001D0FDA">
      <w:pPr>
        <w:pStyle w:val="BodyText"/>
        <w:rPr>
          <w:rFonts w:asciiTheme="minorHAnsi" w:hAnsiTheme="minorHAnsi"/>
        </w:rPr>
      </w:pPr>
      <w:r w:rsidRPr="00776099">
        <w:rPr>
          <w:rFonts w:asciiTheme="minorHAnsi" w:hAnsiTheme="minorHAnsi"/>
        </w:rPr>
        <w:t xml:space="preserve">Ivy DD, Calderbank M, Wagner BD, Dolan S, Nyquist AC, Wade M, et al. Closed-hub systems with protected connections and the reduction of risk of catheter-related bloodstream infection in pediatric patients receiving intravenous prostanoid therapy for pulmonary hypertension. </w:t>
      </w:r>
      <w:r w:rsidRPr="00776099">
        <w:rPr>
          <w:rFonts w:asciiTheme="minorHAnsi" w:hAnsiTheme="minorHAnsi"/>
          <w:i/>
        </w:rPr>
        <w:t>Infection Control and Hospital Epidemiology</w:t>
      </w:r>
      <w:r w:rsidRPr="00776099">
        <w:rPr>
          <w:rFonts w:asciiTheme="minorHAnsi" w:hAnsiTheme="minorHAnsi"/>
        </w:rPr>
        <w:t>. 2009;30(9):823-9.</w:t>
      </w:r>
    </w:p>
    <w:p w:rsidR="001D0FDA" w:rsidRPr="00776099" w:rsidRDefault="001D0FDA" w:rsidP="001D0FDA">
      <w:pPr>
        <w:pStyle w:val="BodyText"/>
        <w:rPr>
          <w:rFonts w:asciiTheme="minorHAnsi" w:hAnsiTheme="minorHAnsi"/>
        </w:rPr>
      </w:pPr>
      <w:r w:rsidRPr="00776099">
        <w:rPr>
          <w:rFonts w:asciiTheme="minorHAnsi" w:hAnsiTheme="minorHAnsi"/>
        </w:rPr>
        <w:t xml:space="preserve">Johnson RF, Loyd JE, Mullican AL, Fink CA, Robbins IM. Long-term Follow-up After Conversion from Intravenous Epoprostenol to Oral Therapy With Bosentan or Sildenafil in 13 Patients With Pulmonary Arterial Hypertension. </w:t>
      </w:r>
      <w:r w:rsidRPr="00776099">
        <w:rPr>
          <w:rFonts w:asciiTheme="minorHAnsi" w:hAnsiTheme="minorHAnsi"/>
          <w:i/>
        </w:rPr>
        <w:t>Journal of Heart and Lung Transplantation</w:t>
      </w:r>
      <w:r w:rsidRPr="00776099">
        <w:rPr>
          <w:rFonts w:asciiTheme="minorHAnsi" w:hAnsiTheme="minorHAnsi"/>
        </w:rPr>
        <w:t>. 2007;26(4):363-9.</w:t>
      </w:r>
    </w:p>
    <w:p w:rsidR="001D0FDA" w:rsidRPr="00776099" w:rsidRDefault="001D0FDA" w:rsidP="001D0FDA">
      <w:pPr>
        <w:pStyle w:val="BodyText"/>
        <w:rPr>
          <w:rFonts w:asciiTheme="minorHAnsi" w:hAnsiTheme="minorHAnsi"/>
        </w:rPr>
      </w:pPr>
      <w:r w:rsidRPr="00776099">
        <w:rPr>
          <w:rFonts w:asciiTheme="minorHAnsi" w:hAnsiTheme="minorHAnsi"/>
        </w:rPr>
        <w:t xml:space="preserve">Kaya MG, Lam YY, Erer B, Ayhan S, Vatankulu MA, Nurkalem Z, et al. Long-term effect of bosentan therapy on cardiac function and symptomatic benefits in adult patients with Eisenmenger syndrome. </w:t>
      </w:r>
      <w:r w:rsidRPr="00776099">
        <w:rPr>
          <w:rFonts w:asciiTheme="minorHAnsi" w:hAnsiTheme="minorHAnsi"/>
          <w:i/>
        </w:rPr>
        <w:t>Journal of Cardiac Failure</w:t>
      </w:r>
      <w:r w:rsidRPr="00776099">
        <w:rPr>
          <w:rFonts w:asciiTheme="minorHAnsi" w:hAnsiTheme="minorHAnsi"/>
        </w:rPr>
        <w:t>. 2012;18(5):379-84.</w:t>
      </w:r>
    </w:p>
    <w:p w:rsidR="001D0FDA" w:rsidRPr="00776099" w:rsidRDefault="001D0FDA" w:rsidP="001D0FDA">
      <w:pPr>
        <w:pStyle w:val="BodyText"/>
        <w:rPr>
          <w:rFonts w:asciiTheme="minorHAnsi" w:hAnsiTheme="minorHAnsi"/>
        </w:rPr>
      </w:pPr>
      <w:r w:rsidRPr="00776099">
        <w:rPr>
          <w:rFonts w:asciiTheme="minorHAnsi" w:hAnsiTheme="minorHAnsi"/>
        </w:rPr>
        <w:t xml:space="preserve">Lammers AE, Hislop AA, Flynn Y, Haworth SG. Epoprostenol treatment in children with severe pulmonary hypertension. </w:t>
      </w:r>
      <w:r w:rsidRPr="00776099">
        <w:rPr>
          <w:rFonts w:asciiTheme="minorHAnsi" w:hAnsiTheme="minorHAnsi"/>
          <w:i/>
        </w:rPr>
        <w:t>Heart</w:t>
      </w:r>
      <w:r w:rsidRPr="00776099">
        <w:rPr>
          <w:rFonts w:asciiTheme="minorHAnsi" w:hAnsiTheme="minorHAnsi"/>
        </w:rPr>
        <w:t>. 2007;93(6):739-43.</w:t>
      </w:r>
    </w:p>
    <w:p w:rsidR="001D0FDA" w:rsidRPr="00776099" w:rsidRDefault="001D0FDA" w:rsidP="001D0FDA">
      <w:pPr>
        <w:pStyle w:val="BodyText"/>
        <w:rPr>
          <w:rFonts w:asciiTheme="minorHAnsi" w:hAnsiTheme="minorHAnsi"/>
        </w:rPr>
      </w:pPr>
      <w:r w:rsidRPr="00776099">
        <w:rPr>
          <w:rFonts w:asciiTheme="minorHAnsi" w:hAnsiTheme="minorHAnsi"/>
        </w:rPr>
        <w:t xml:space="preserve">Matieli L, Berezovsky A, Salomão SR, Allemann N, Martins EN, Hirai FE, et al. Ocular toxicity assessment of chronic sildenafil therapy for pulmonary arterial hypertension. </w:t>
      </w:r>
      <w:r w:rsidRPr="00776099">
        <w:rPr>
          <w:rFonts w:asciiTheme="minorHAnsi" w:hAnsiTheme="minorHAnsi"/>
          <w:i/>
        </w:rPr>
        <w:t>Graefe's Archive for Clinical and Experimental Ophthalmology</w:t>
      </w:r>
      <w:r w:rsidRPr="00776099">
        <w:rPr>
          <w:rFonts w:asciiTheme="minorHAnsi" w:hAnsiTheme="minorHAnsi"/>
        </w:rPr>
        <w:t>. 2016;254(6):1167-74.</w:t>
      </w:r>
    </w:p>
    <w:p w:rsidR="001D0FDA" w:rsidRPr="00776099" w:rsidRDefault="001D0FDA" w:rsidP="001D0FDA">
      <w:pPr>
        <w:pStyle w:val="BodyText"/>
        <w:rPr>
          <w:rFonts w:asciiTheme="minorHAnsi" w:hAnsiTheme="minorHAnsi"/>
        </w:rPr>
      </w:pPr>
      <w:r w:rsidRPr="00776099">
        <w:rPr>
          <w:rFonts w:asciiTheme="minorHAnsi" w:hAnsiTheme="minorHAnsi"/>
        </w:rPr>
        <w:t xml:space="preserve">Rosenzweig EB, Kerstein D, Barst RJ. Long-term prostacyclin for pulmonary hypertension with associated congenital heart defects. </w:t>
      </w:r>
      <w:r w:rsidRPr="00776099">
        <w:rPr>
          <w:rFonts w:asciiTheme="minorHAnsi" w:hAnsiTheme="minorHAnsi"/>
          <w:i/>
        </w:rPr>
        <w:t>Circulation</w:t>
      </w:r>
      <w:r w:rsidRPr="00776099">
        <w:rPr>
          <w:rFonts w:asciiTheme="minorHAnsi" w:hAnsiTheme="minorHAnsi"/>
        </w:rPr>
        <w:t>. 1999;99(14):1858-65.</w:t>
      </w:r>
    </w:p>
    <w:p w:rsidR="001D0FDA" w:rsidRPr="00776099" w:rsidRDefault="001D0FDA" w:rsidP="001D0FDA">
      <w:pPr>
        <w:pStyle w:val="BodyText"/>
        <w:rPr>
          <w:rFonts w:asciiTheme="minorHAnsi" w:hAnsiTheme="minorHAnsi"/>
        </w:rPr>
      </w:pPr>
      <w:r w:rsidRPr="00776099">
        <w:rPr>
          <w:rFonts w:asciiTheme="minorHAnsi" w:hAnsiTheme="minorHAnsi"/>
        </w:rPr>
        <w:t xml:space="preserve">Rotondo C, Praino E, Nivuori M, di Serio F, Lapadula G, Iannone F. No changes in N-terminal pro-brain natriuretic peptide in a longitudinal cohort of patients with systemic sclerosis-associated pulmonary arterial hypertension on therapy with bosentan. </w:t>
      </w:r>
      <w:r w:rsidRPr="00776099">
        <w:rPr>
          <w:rFonts w:asciiTheme="minorHAnsi" w:hAnsiTheme="minorHAnsi"/>
          <w:i/>
        </w:rPr>
        <w:t>International Journal of Rheumatic Diseases</w:t>
      </w:r>
      <w:r w:rsidRPr="00776099">
        <w:rPr>
          <w:rFonts w:asciiTheme="minorHAnsi" w:hAnsiTheme="minorHAnsi"/>
        </w:rPr>
        <w:t>. 2017;20(1):90-6.</w:t>
      </w:r>
    </w:p>
    <w:p w:rsidR="001D0FDA" w:rsidRPr="00776099" w:rsidRDefault="001D0FDA" w:rsidP="001D0FDA">
      <w:pPr>
        <w:pStyle w:val="BodyText"/>
        <w:rPr>
          <w:rFonts w:asciiTheme="minorHAnsi" w:hAnsiTheme="minorHAnsi"/>
        </w:rPr>
      </w:pPr>
      <w:r w:rsidRPr="00776099">
        <w:rPr>
          <w:rFonts w:asciiTheme="minorHAnsi" w:hAnsiTheme="minorHAnsi"/>
        </w:rPr>
        <w:t xml:space="preserve">Ruiz MJ, Escribano P, Delgado JF, Jimenez C, Tello R, Gomez MA, et al. Efficacy of sildenafil as a rescue therapy for patients with severe pulmonary arterial hypertension and given long-term treatment with prostanoids: 2-year experience. </w:t>
      </w:r>
      <w:r w:rsidRPr="00776099">
        <w:rPr>
          <w:rFonts w:asciiTheme="minorHAnsi" w:hAnsiTheme="minorHAnsi"/>
          <w:i/>
        </w:rPr>
        <w:t>J Heart Lung Transplant</w:t>
      </w:r>
      <w:r w:rsidRPr="00776099">
        <w:rPr>
          <w:rFonts w:asciiTheme="minorHAnsi" w:hAnsiTheme="minorHAnsi"/>
        </w:rPr>
        <w:t>. 2006;25(11):1353-7.</w:t>
      </w:r>
    </w:p>
    <w:p w:rsidR="001D0FDA" w:rsidRPr="00776099" w:rsidRDefault="001D0FDA" w:rsidP="001D0FDA">
      <w:pPr>
        <w:pStyle w:val="BodyText"/>
        <w:rPr>
          <w:rFonts w:asciiTheme="minorHAnsi" w:hAnsiTheme="minorHAnsi"/>
        </w:rPr>
      </w:pPr>
      <w:r w:rsidRPr="00776099">
        <w:rPr>
          <w:rFonts w:asciiTheme="minorHAnsi" w:hAnsiTheme="minorHAnsi"/>
        </w:rPr>
        <w:lastRenderedPageBreak/>
        <w:t xml:space="preserve">Sasayama S, Satoh T, Izumi T, Yoshida S, Kyotani S, Tahara N. Long-term trial of bosentan monotherapy for pulmonary arterial hypertension in Japanese patients. </w:t>
      </w:r>
      <w:r w:rsidRPr="00776099">
        <w:rPr>
          <w:rFonts w:asciiTheme="minorHAnsi" w:hAnsiTheme="minorHAnsi"/>
          <w:i/>
        </w:rPr>
        <w:t>Current Medical Research and Opinion</w:t>
      </w:r>
      <w:r w:rsidRPr="00776099">
        <w:rPr>
          <w:rFonts w:asciiTheme="minorHAnsi" w:hAnsiTheme="minorHAnsi"/>
        </w:rPr>
        <w:t>. 2007;23(2):395-400.</w:t>
      </w:r>
    </w:p>
    <w:p w:rsidR="001D0FDA" w:rsidRPr="00776099" w:rsidRDefault="001D0FDA" w:rsidP="001D0FDA">
      <w:pPr>
        <w:pStyle w:val="BodyText"/>
        <w:rPr>
          <w:rFonts w:asciiTheme="minorHAnsi" w:hAnsiTheme="minorHAnsi"/>
        </w:rPr>
      </w:pPr>
      <w:r w:rsidRPr="00776099">
        <w:rPr>
          <w:rFonts w:asciiTheme="minorHAnsi" w:hAnsiTheme="minorHAnsi"/>
        </w:rPr>
        <w:t xml:space="preserve">Savale L, Magnier R, Le Pavec J, Jaïs X, Montani D, O'Callaghan DS, et al. Efficacy, safety and pharmacokinetics of bosentan in portopulmonary hypertension. </w:t>
      </w:r>
      <w:r w:rsidRPr="00776099">
        <w:rPr>
          <w:rFonts w:asciiTheme="minorHAnsi" w:hAnsiTheme="minorHAnsi"/>
          <w:i/>
        </w:rPr>
        <w:t>European Respiratory Journal</w:t>
      </w:r>
      <w:r w:rsidRPr="00776099">
        <w:rPr>
          <w:rFonts w:asciiTheme="minorHAnsi" w:hAnsiTheme="minorHAnsi"/>
        </w:rPr>
        <w:t>. 2013;41(1):96-103.</w:t>
      </w:r>
    </w:p>
    <w:p w:rsidR="001D0FDA" w:rsidRPr="00776099" w:rsidRDefault="001D0FDA" w:rsidP="001D0FDA">
      <w:pPr>
        <w:pStyle w:val="BodyText"/>
        <w:rPr>
          <w:rFonts w:asciiTheme="minorHAnsi" w:hAnsiTheme="minorHAnsi"/>
        </w:rPr>
      </w:pPr>
      <w:r w:rsidRPr="00776099">
        <w:rPr>
          <w:rFonts w:asciiTheme="minorHAnsi" w:hAnsiTheme="minorHAnsi"/>
        </w:rPr>
        <w:t xml:space="preserve">Schulze-Neick I, Gilbert N, Ewert R, Witt C, Gruenig E, Enke B, et al. Adult patients with congenital heart disease and pulmonary arterial hypertension: First open prospective multicenter study of bosentan therapy. </w:t>
      </w:r>
      <w:r w:rsidRPr="00776099">
        <w:rPr>
          <w:rFonts w:asciiTheme="minorHAnsi" w:hAnsiTheme="minorHAnsi"/>
          <w:i/>
        </w:rPr>
        <w:t>American Heart Journal</w:t>
      </w:r>
      <w:r w:rsidRPr="00776099">
        <w:rPr>
          <w:rFonts w:asciiTheme="minorHAnsi" w:hAnsiTheme="minorHAnsi"/>
        </w:rPr>
        <w:t>. 2005;150(4):716.e7-.e12.</w:t>
      </w:r>
    </w:p>
    <w:p w:rsidR="001D0FDA" w:rsidRPr="00776099" w:rsidRDefault="001D0FDA" w:rsidP="001D0FDA">
      <w:pPr>
        <w:pStyle w:val="BodyText"/>
        <w:rPr>
          <w:rFonts w:asciiTheme="minorHAnsi" w:hAnsiTheme="minorHAnsi"/>
        </w:rPr>
      </w:pPr>
      <w:r w:rsidRPr="00776099">
        <w:rPr>
          <w:rFonts w:asciiTheme="minorHAnsi" w:hAnsiTheme="minorHAnsi"/>
        </w:rPr>
        <w:t xml:space="preserve">Sitbon O, Jaïs X, Savale L, Cottin V, Bergot E, Macari EA, et al. Upfront triple combination therapy in pulmonary arterial hypertension: A pilot study. </w:t>
      </w:r>
      <w:r w:rsidRPr="00776099">
        <w:rPr>
          <w:rFonts w:asciiTheme="minorHAnsi" w:hAnsiTheme="minorHAnsi"/>
          <w:i/>
        </w:rPr>
        <w:t>European Respiratory Journal</w:t>
      </w:r>
      <w:r w:rsidRPr="00776099">
        <w:rPr>
          <w:rFonts w:asciiTheme="minorHAnsi" w:hAnsiTheme="minorHAnsi"/>
        </w:rPr>
        <w:t>. 2014;43(6):1691-7.</w:t>
      </w:r>
    </w:p>
    <w:p w:rsidR="001D0FDA" w:rsidRPr="00776099" w:rsidRDefault="001D0FDA" w:rsidP="001D0FDA">
      <w:pPr>
        <w:pStyle w:val="BodyText"/>
        <w:rPr>
          <w:rFonts w:asciiTheme="minorHAnsi" w:hAnsiTheme="minorHAnsi"/>
        </w:rPr>
      </w:pPr>
      <w:r w:rsidRPr="00776099">
        <w:rPr>
          <w:rFonts w:asciiTheme="minorHAnsi" w:hAnsiTheme="minorHAnsi"/>
        </w:rPr>
        <w:t xml:space="preserve">van Loon RLE, Hoendermis ES, Duffels MGJ, Vonk-Noordegraaf A, Mulder BJM, Hillege HL, et al. Long-term effect of bosentan in adults versus children with pulmonary arterial hypertension associated with systemic-to-pulmonary shunt: Does the beneficial effect persist? </w:t>
      </w:r>
      <w:r w:rsidRPr="00776099">
        <w:rPr>
          <w:rFonts w:asciiTheme="minorHAnsi" w:hAnsiTheme="minorHAnsi"/>
          <w:i/>
        </w:rPr>
        <w:t>American Heart Journal.</w:t>
      </w:r>
      <w:r w:rsidRPr="00776099">
        <w:rPr>
          <w:rFonts w:asciiTheme="minorHAnsi" w:hAnsiTheme="minorHAnsi"/>
        </w:rPr>
        <w:t xml:space="preserve"> 2007;154(4):776-82.</w:t>
      </w:r>
    </w:p>
    <w:p w:rsidR="001D0FDA" w:rsidRPr="00776099" w:rsidRDefault="001D0FDA" w:rsidP="001D0FDA">
      <w:pPr>
        <w:pStyle w:val="BodyText"/>
        <w:rPr>
          <w:rFonts w:asciiTheme="minorHAnsi" w:hAnsiTheme="minorHAnsi"/>
        </w:rPr>
      </w:pPr>
      <w:r w:rsidRPr="00776099">
        <w:rPr>
          <w:rFonts w:asciiTheme="minorHAnsi" w:hAnsiTheme="minorHAnsi"/>
        </w:rPr>
        <w:t xml:space="preserve">Yoshida S, Shirato K, Shimamura R, Iwase T, Aoyagi N, Nakajima H. Long-term safety and efficacy of ambrisentan in Japanese adults with pulmonary arterial hypertension. </w:t>
      </w:r>
      <w:r w:rsidRPr="00776099">
        <w:rPr>
          <w:rFonts w:asciiTheme="minorHAnsi" w:hAnsiTheme="minorHAnsi"/>
          <w:i/>
        </w:rPr>
        <w:t>Current Medical Research and Opinion</w:t>
      </w:r>
      <w:r w:rsidRPr="00776099">
        <w:rPr>
          <w:rFonts w:asciiTheme="minorHAnsi" w:hAnsiTheme="minorHAnsi"/>
        </w:rPr>
        <w:t>. 2012;28(6):1069-76.</w:t>
      </w:r>
    </w:p>
    <w:p w:rsidR="001D0FDA" w:rsidRPr="00776099" w:rsidRDefault="001D0FDA" w:rsidP="001D0FDA">
      <w:pPr>
        <w:pStyle w:val="BodyText"/>
        <w:rPr>
          <w:rFonts w:asciiTheme="minorHAnsi" w:hAnsiTheme="minorHAnsi"/>
        </w:rPr>
      </w:pPr>
      <w:r w:rsidRPr="00776099">
        <w:rPr>
          <w:rFonts w:asciiTheme="minorHAnsi" w:hAnsiTheme="minorHAnsi"/>
        </w:rPr>
        <w:t xml:space="preserve">Zuckerman WA, Leaderer D, Rowan CA, Mituniewicz JD, Rosenzweig EB. Ambrisentan for pulmonary arterial hypertension due to congenital heart disease. </w:t>
      </w:r>
      <w:r w:rsidRPr="00776099">
        <w:rPr>
          <w:rFonts w:asciiTheme="minorHAnsi" w:hAnsiTheme="minorHAnsi"/>
          <w:i/>
        </w:rPr>
        <w:t>American Journal of Cardiology</w:t>
      </w:r>
      <w:r w:rsidRPr="00776099">
        <w:rPr>
          <w:rFonts w:asciiTheme="minorHAnsi" w:hAnsiTheme="minorHAnsi"/>
        </w:rPr>
        <w:t>. 2011;107(9):1381-5.</w:t>
      </w:r>
    </w:p>
    <w:p w:rsidR="001D0FDA" w:rsidRDefault="001D0FDA" w:rsidP="001D0FDA">
      <w:pPr>
        <w:pStyle w:val="BodyText"/>
      </w:pPr>
    </w:p>
    <w:p w:rsidR="001D0FDA" w:rsidRDefault="001D0FDA" w:rsidP="001D0FDA">
      <w:pPr>
        <w:pStyle w:val="BodyText"/>
        <w:sectPr w:rsidR="001D0FDA" w:rsidSect="001D0FDA">
          <w:footnotePr>
            <w:numFmt w:val="chicago"/>
          </w:footnotePr>
          <w:pgSz w:w="11906" w:h="16838"/>
          <w:pgMar w:top="1134" w:right="1134" w:bottom="1134" w:left="1134" w:header="709" w:footer="709" w:gutter="0"/>
          <w:cols w:space="708"/>
          <w:docGrid w:linePitch="360"/>
        </w:sectPr>
      </w:pPr>
    </w:p>
    <w:p w:rsidR="00CC3BA4" w:rsidRPr="00E564DD" w:rsidRDefault="00CC3BA4" w:rsidP="00BF48DF">
      <w:pPr>
        <w:pStyle w:val="Heading2"/>
        <w:numPr>
          <w:ilvl w:val="0"/>
          <w:numId w:val="0"/>
        </w:numPr>
      </w:pPr>
      <w:bookmarkStart w:id="496" w:name="_Toc512855402"/>
      <w:r w:rsidRPr="00E564DD">
        <w:lastRenderedPageBreak/>
        <w:t xml:space="preserve">Appendix </w:t>
      </w:r>
      <w:r w:rsidR="00C41087">
        <w:t>4.</w:t>
      </w:r>
      <w:r w:rsidR="001B552D">
        <w:t>C</w:t>
      </w:r>
      <w:r w:rsidR="00701049">
        <w:tab/>
      </w:r>
      <w:r w:rsidRPr="00E564DD">
        <w:t>Evidence Profile Tables</w:t>
      </w:r>
      <w:bookmarkEnd w:id="488"/>
      <w:bookmarkEnd w:id="496"/>
    </w:p>
    <w:p w:rsidR="00CC3BA4" w:rsidRDefault="00CC3BA4" w:rsidP="00BF48DF">
      <w:pPr>
        <w:pStyle w:val="Heading3"/>
        <w:numPr>
          <w:ilvl w:val="0"/>
          <w:numId w:val="0"/>
        </w:numPr>
      </w:pPr>
      <w:bookmarkStart w:id="497" w:name="_Toc512855403"/>
      <w:bookmarkStart w:id="498" w:name="_Ref421016257"/>
      <w:bookmarkStart w:id="499" w:name="_Toc423450296"/>
      <w:r>
        <w:t>Question 1</w:t>
      </w:r>
      <w:bookmarkEnd w:id="497"/>
    </w:p>
    <w:p w:rsidR="00CC3BA4" w:rsidRPr="005D4CA0" w:rsidRDefault="00796F18" w:rsidP="00796F18">
      <w:pPr>
        <w:pStyle w:val="Caption"/>
      </w:pPr>
      <w:bookmarkStart w:id="500" w:name="_Ref506371083"/>
      <w:bookmarkStart w:id="501" w:name="_Toc512855550"/>
      <w:bookmarkEnd w:id="498"/>
      <w:r>
        <w:t>Table 4.</w:t>
      </w:r>
      <w:r w:rsidR="00AA722D">
        <w:rPr>
          <w:noProof/>
        </w:rPr>
        <w:t>146</w:t>
      </w:r>
      <w:bookmarkEnd w:id="500"/>
      <w:r>
        <w:tab/>
      </w:r>
      <w:r w:rsidR="00CC3BA4" w:rsidRPr="005D4CA0">
        <w:t xml:space="preserve">Evidence profile table for ERA compared </w:t>
      </w:r>
      <w:r w:rsidR="00974AD8">
        <w:t>with</w:t>
      </w:r>
      <w:r w:rsidR="00CC3BA4" w:rsidRPr="005D4CA0">
        <w:t xml:space="preserve"> placebo for </w:t>
      </w:r>
      <w:bookmarkEnd w:id="499"/>
      <w:r w:rsidR="00CC3BA4" w:rsidRPr="005D4CA0">
        <w:t>patients with WHO FC I/II PAH</w:t>
      </w:r>
      <w:bookmarkEnd w:id="501"/>
    </w:p>
    <w:tbl>
      <w:tblPr>
        <w:tblStyle w:val="TableGrid"/>
        <w:tblW w:w="14738" w:type="dxa"/>
        <w:tblLayout w:type="fixed"/>
        <w:tblLook w:val="04A0" w:firstRow="1" w:lastRow="0" w:firstColumn="1" w:lastColumn="0" w:noHBand="0" w:noVBand="1"/>
        <w:tblCaption w:val="Evidence profile table for ERA compared with placebo for patients with WHO FC I/II PAH"/>
      </w:tblPr>
      <w:tblGrid>
        <w:gridCol w:w="1413"/>
        <w:gridCol w:w="1134"/>
        <w:gridCol w:w="912"/>
        <w:gridCol w:w="931"/>
        <w:gridCol w:w="1134"/>
        <w:gridCol w:w="992"/>
        <w:gridCol w:w="1276"/>
        <w:gridCol w:w="1417"/>
        <w:gridCol w:w="1134"/>
        <w:gridCol w:w="993"/>
        <w:gridCol w:w="2188"/>
        <w:gridCol w:w="1214"/>
      </w:tblGrid>
      <w:tr w:rsidR="00CC3BA4" w:rsidRPr="00476F09" w:rsidTr="00BC7F74">
        <w:trPr>
          <w:cnfStyle w:val="100000000000" w:firstRow="1" w:lastRow="0" w:firstColumn="0" w:lastColumn="0" w:oddVBand="0" w:evenVBand="0" w:oddHBand="0" w:evenHBand="0" w:firstRowFirstColumn="0" w:firstRowLastColumn="0" w:lastRowFirstColumn="0" w:lastRowLastColumn="0"/>
          <w:trHeight w:val="413"/>
        </w:trPr>
        <w:tc>
          <w:tcPr>
            <w:tcW w:w="1413" w:type="dxa"/>
          </w:tcPr>
          <w:p w:rsidR="00064FEF" w:rsidRDefault="00CC3BA4" w:rsidP="00C73C64">
            <w:pPr>
              <w:pStyle w:val="Tabletext"/>
              <w:rPr>
                <w:b/>
              </w:rPr>
            </w:pPr>
            <w:r w:rsidRPr="00476F09">
              <w:rPr>
                <w:b/>
              </w:rPr>
              <w:t>Outcome</w:t>
            </w:r>
          </w:p>
          <w:p w:rsidR="00CC3BA4" w:rsidRPr="00476F09" w:rsidRDefault="00CC3BA4" w:rsidP="00C73C64">
            <w:pPr>
              <w:pStyle w:val="Tabletext"/>
              <w:rPr>
                <w:b/>
              </w:rPr>
            </w:pPr>
            <w:r w:rsidRPr="00476F09">
              <w:rPr>
                <w:b/>
              </w:rPr>
              <w:t>(follow-up)</w:t>
            </w:r>
          </w:p>
        </w:tc>
        <w:tc>
          <w:tcPr>
            <w:tcW w:w="1134" w:type="dxa"/>
          </w:tcPr>
          <w:p w:rsidR="00CC3BA4" w:rsidRPr="00476F09" w:rsidRDefault="00CC3BA4" w:rsidP="00C73C64">
            <w:pPr>
              <w:pStyle w:val="Tabletext"/>
              <w:rPr>
                <w:b/>
              </w:rPr>
            </w:pPr>
            <w:r w:rsidRPr="00476F09">
              <w:rPr>
                <w:b/>
              </w:rPr>
              <w:t>No. of studies and study design</w:t>
            </w:r>
          </w:p>
        </w:tc>
        <w:tc>
          <w:tcPr>
            <w:tcW w:w="912" w:type="dxa"/>
          </w:tcPr>
          <w:p w:rsidR="00CC3BA4" w:rsidRPr="00476F09" w:rsidRDefault="00CC3BA4" w:rsidP="00C73C64">
            <w:pPr>
              <w:pStyle w:val="Tabletext"/>
              <w:rPr>
                <w:b/>
              </w:rPr>
            </w:pPr>
            <w:r w:rsidRPr="00476F09">
              <w:rPr>
                <w:b/>
              </w:rPr>
              <w:t>Risk of bias</w:t>
            </w:r>
          </w:p>
        </w:tc>
        <w:tc>
          <w:tcPr>
            <w:tcW w:w="931" w:type="dxa"/>
          </w:tcPr>
          <w:p w:rsidR="00CC3BA4" w:rsidRPr="00476F09" w:rsidRDefault="00CC3BA4" w:rsidP="00C73C64">
            <w:pPr>
              <w:pStyle w:val="Tabletext"/>
              <w:rPr>
                <w:b/>
              </w:rPr>
            </w:pPr>
            <w:r w:rsidRPr="00476F09">
              <w:rPr>
                <w:b/>
              </w:rPr>
              <w:t>Incon</w:t>
            </w:r>
            <w:r w:rsidR="00BC7F74">
              <w:rPr>
                <w:b/>
              </w:rPr>
              <w:t>-</w:t>
            </w:r>
            <w:r w:rsidRPr="00476F09">
              <w:rPr>
                <w:b/>
              </w:rPr>
              <w:t>sistency</w:t>
            </w:r>
          </w:p>
        </w:tc>
        <w:tc>
          <w:tcPr>
            <w:tcW w:w="1134" w:type="dxa"/>
          </w:tcPr>
          <w:p w:rsidR="00CC3BA4" w:rsidRPr="00476F09" w:rsidRDefault="00CC3BA4" w:rsidP="00C73C64">
            <w:pPr>
              <w:pStyle w:val="Tabletext"/>
              <w:rPr>
                <w:b/>
              </w:rPr>
            </w:pPr>
            <w:r w:rsidRPr="00476F09">
              <w:rPr>
                <w:b/>
              </w:rPr>
              <w:t>Indirect</w:t>
            </w:r>
            <w:r w:rsidR="00BC7F74">
              <w:rPr>
                <w:b/>
              </w:rPr>
              <w:t>-</w:t>
            </w:r>
            <w:r w:rsidRPr="00476F09">
              <w:rPr>
                <w:b/>
              </w:rPr>
              <w:t>ness</w:t>
            </w:r>
          </w:p>
        </w:tc>
        <w:tc>
          <w:tcPr>
            <w:tcW w:w="992" w:type="dxa"/>
          </w:tcPr>
          <w:p w:rsidR="00CC3BA4" w:rsidRPr="00476F09" w:rsidRDefault="00CC3BA4" w:rsidP="00C73C64">
            <w:pPr>
              <w:pStyle w:val="Tabletext"/>
              <w:rPr>
                <w:b/>
              </w:rPr>
            </w:pPr>
            <w:r w:rsidRPr="00476F09">
              <w:rPr>
                <w:b/>
              </w:rPr>
              <w:t>Impre</w:t>
            </w:r>
            <w:r w:rsidR="00BC7F74">
              <w:rPr>
                <w:b/>
              </w:rPr>
              <w:t>-</w:t>
            </w:r>
            <w:r w:rsidRPr="00476F09">
              <w:rPr>
                <w:b/>
              </w:rPr>
              <w:t>cision</w:t>
            </w:r>
          </w:p>
        </w:tc>
        <w:tc>
          <w:tcPr>
            <w:tcW w:w="1276" w:type="dxa"/>
          </w:tcPr>
          <w:p w:rsidR="00CC3BA4" w:rsidRPr="00476F09" w:rsidRDefault="00CC3BA4" w:rsidP="00476F09">
            <w:pPr>
              <w:pStyle w:val="Tabletext"/>
              <w:rPr>
                <w:b/>
              </w:rPr>
            </w:pPr>
            <w:r w:rsidRPr="00476F09">
              <w:rPr>
                <w:b/>
              </w:rPr>
              <w:t>Other conside</w:t>
            </w:r>
            <w:r w:rsidR="00BC7F74">
              <w:rPr>
                <w:b/>
              </w:rPr>
              <w:t>-</w:t>
            </w:r>
            <w:r w:rsidRPr="00476F09">
              <w:rPr>
                <w:b/>
              </w:rPr>
              <w:t>rations</w:t>
            </w:r>
            <w:r w:rsidRPr="00476F09">
              <w:rPr>
                <w:b/>
                <w:vertAlign w:val="superscript"/>
              </w:rPr>
              <w:t>a</w:t>
            </w:r>
          </w:p>
        </w:tc>
        <w:tc>
          <w:tcPr>
            <w:tcW w:w="1417" w:type="dxa"/>
          </w:tcPr>
          <w:p w:rsidR="00CC3BA4" w:rsidRPr="00476F09" w:rsidRDefault="00CC3BA4" w:rsidP="00C73C64">
            <w:pPr>
              <w:pStyle w:val="Tabletext"/>
              <w:rPr>
                <w:b/>
              </w:rPr>
            </w:pPr>
            <w:r w:rsidRPr="00476F09">
              <w:rPr>
                <w:b/>
              </w:rPr>
              <w:t>Study event rates (%) with ERA</w:t>
            </w:r>
          </w:p>
        </w:tc>
        <w:tc>
          <w:tcPr>
            <w:tcW w:w="1134" w:type="dxa"/>
          </w:tcPr>
          <w:p w:rsidR="00CC3BA4" w:rsidRPr="00476F09" w:rsidRDefault="00CC3BA4" w:rsidP="00C73C64">
            <w:pPr>
              <w:pStyle w:val="Tabletext"/>
              <w:rPr>
                <w:b/>
              </w:rPr>
            </w:pPr>
            <w:r w:rsidRPr="00476F09">
              <w:rPr>
                <w:b/>
              </w:rPr>
              <w:t>Study event rates (%) with placebo</w:t>
            </w:r>
          </w:p>
        </w:tc>
        <w:tc>
          <w:tcPr>
            <w:tcW w:w="993" w:type="dxa"/>
          </w:tcPr>
          <w:p w:rsidR="00CC3BA4" w:rsidRPr="00476F09" w:rsidRDefault="00CC3BA4" w:rsidP="00C73C64">
            <w:pPr>
              <w:pStyle w:val="Tabletext"/>
              <w:rPr>
                <w:b/>
              </w:rPr>
            </w:pPr>
            <w:r w:rsidRPr="00476F09">
              <w:rPr>
                <w:b/>
              </w:rPr>
              <w:t>Effect measure (95%CI)</w:t>
            </w:r>
          </w:p>
        </w:tc>
        <w:tc>
          <w:tcPr>
            <w:tcW w:w="2188" w:type="dxa"/>
          </w:tcPr>
          <w:p w:rsidR="00CC3BA4" w:rsidRPr="00476F09" w:rsidRDefault="00CC3BA4" w:rsidP="00C73C64">
            <w:pPr>
              <w:pStyle w:val="Tabletext"/>
              <w:rPr>
                <w:b/>
              </w:rPr>
            </w:pPr>
            <w:r w:rsidRPr="00476F09">
              <w:rPr>
                <w:b/>
              </w:rPr>
              <w:t>Absolute effect (95%CI)</w:t>
            </w:r>
          </w:p>
        </w:tc>
        <w:tc>
          <w:tcPr>
            <w:tcW w:w="1214" w:type="dxa"/>
          </w:tcPr>
          <w:p w:rsidR="00CC3BA4" w:rsidRPr="00476F09" w:rsidRDefault="00064FEF" w:rsidP="00C73C64">
            <w:pPr>
              <w:pStyle w:val="Tabletext"/>
              <w:rPr>
                <w:b/>
              </w:rPr>
            </w:pPr>
            <w:r>
              <w:rPr>
                <w:b/>
              </w:rPr>
              <w:t>GRADE</w:t>
            </w:r>
            <w:r w:rsidRPr="00476F09">
              <w:rPr>
                <w:b/>
                <w:vertAlign w:val="superscript"/>
              </w:rPr>
              <w:t>b</w:t>
            </w:r>
            <w:r w:rsidRPr="00476F09">
              <w:rPr>
                <w:b/>
              </w:rPr>
              <w:t xml:space="preserve"> </w:t>
            </w:r>
            <w:r w:rsidR="00CC3BA4" w:rsidRPr="00476F09">
              <w:rPr>
                <w:b/>
              </w:rPr>
              <w:t>Quality</w:t>
            </w:r>
          </w:p>
          <w:p w:rsidR="00CC3BA4" w:rsidRPr="00476F09" w:rsidRDefault="00CC3BA4" w:rsidP="00C73C64">
            <w:pPr>
              <w:pStyle w:val="Tabletext"/>
              <w:rPr>
                <w:b/>
              </w:rPr>
            </w:pPr>
            <w:r w:rsidRPr="00476F09">
              <w:rPr>
                <w:b/>
              </w:rPr>
              <w:t>Importance</w:t>
            </w:r>
          </w:p>
        </w:tc>
      </w:tr>
      <w:tr w:rsidR="00CC3BA4" w:rsidRPr="00E564DD" w:rsidTr="00BC7F74">
        <w:trPr>
          <w:trHeight w:val="319"/>
        </w:trPr>
        <w:tc>
          <w:tcPr>
            <w:tcW w:w="1413" w:type="dxa"/>
          </w:tcPr>
          <w:p w:rsidR="00CC3BA4" w:rsidRPr="00E564DD" w:rsidRDefault="00CC3BA4" w:rsidP="00C73C64">
            <w:pPr>
              <w:pStyle w:val="Tabletext"/>
              <w:rPr>
                <w:rFonts w:cs="Tahoma"/>
              </w:rPr>
            </w:pPr>
            <w:r w:rsidRPr="00E564DD">
              <w:rPr>
                <w:rFonts w:cs="Tahoma"/>
              </w:rPr>
              <w:t>Clinical worsening</w:t>
            </w:r>
            <w:r>
              <w:rPr>
                <w:rFonts w:cs="Tahoma"/>
              </w:rPr>
              <w:br/>
            </w:r>
            <w:r w:rsidRPr="00E564DD">
              <w:rPr>
                <w:rFonts w:cs="Tahoma"/>
              </w:rPr>
              <w:t>(12–115 weeks)</w:t>
            </w:r>
          </w:p>
        </w:tc>
        <w:tc>
          <w:tcPr>
            <w:tcW w:w="1134" w:type="dxa"/>
          </w:tcPr>
          <w:p w:rsidR="00CC3BA4" w:rsidRPr="00E564DD" w:rsidRDefault="00EA33A7" w:rsidP="00C73C64">
            <w:pPr>
              <w:pStyle w:val="Tabletext"/>
              <w:rPr>
                <w:rFonts w:cs="Tahoma"/>
              </w:rPr>
            </w:pPr>
            <w:r>
              <w:rPr>
                <w:rFonts w:cs="Tahoma"/>
              </w:rPr>
              <w:t>4</w:t>
            </w:r>
            <w:r w:rsidR="00CC3BA4" w:rsidRPr="00E564DD">
              <w:rPr>
                <w:rFonts w:cs="Tahoma"/>
              </w:rPr>
              <w:t xml:space="preserve"> RCTs</w:t>
            </w:r>
          </w:p>
        </w:tc>
        <w:tc>
          <w:tcPr>
            <w:tcW w:w="912" w:type="dxa"/>
          </w:tcPr>
          <w:p w:rsidR="00CC3BA4" w:rsidRPr="00E564DD" w:rsidRDefault="00CC3BA4" w:rsidP="00C73C64">
            <w:pPr>
              <w:pStyle w:val="Tabletext"/>
              <w:rPr>
                <w:rFonts w:cs="Tahoma"/>
              </w:rPr>
            </w:pPr>
            <w:r w:rsidRPr="00E564DD">
              <w:rPr>
                <w:rFonts w:cs="Tahoma"/>
              </w:rPr>
              <w:t xml:space="preserve">Serious </w:t>
            </w:r>
            <w:r>
              <w:rPr>
                <w:rFonts w:cs="Tahoma"/>
                <w:vertAlign w:val="superscript"/>
              </w:rPr>
              <w:t>c</w:t>
            </w:r>
          </w:p>
        </w:tc>
        <w:tc>
          <w:tcPr>
            <w:tcW w:w="931" w:type="dxa"/>
          </w:tcPr>
          <w:p w:rsidR="00CC3BA4" w:rsidRPr="00E564DD" w:rsidRDefault="00CC3BA4" w:rsidP="00C73C64">
            <w:pPr>
              <w:pStyle w:val="Tabletext"/>
              <w:rPr>
                <w:rFonts w:cs="Tahoma"/>
              </w:rPr>
            </w:pPr>
            <w:r w:rsidRPr="00E564DD">
              <w:rPr>
                <w:rFonts w:cs="Tahoma"/>
              </w:rPr>
              <w:t>Not serious</w:t>
            </w:r>
          </w:p>
        </w:tc>
        <w:tc>
          <w:tcPr>
            <w:tcW w:w="1134" w:type="dxa"/>
          </w:tcPr>
          <w:p w:rsidR="00CC3BA4" w:rsidRPr="00E564DD" w:rsidRDefault="00CC3BA4" w:rsidP="00C73C64">
            <w:pPr>
              <w:pStyle w:val="Tabletext"/>
              <w:rPr>
                <w:rFonts w:cs="Tahoma"/>
              </w:rPr>
            </w:pPr>
            <w:r w:rsidRPr="00E564DD">
              <w:rPr>
                <w:rFonts w:cs="Tahoma"/>
              </w:rPr>
              <w:t>Not serious</w:t>
            </w:r>
          </w:p>
        </w:tc>
        <w:tc>
          <w:tcPr>
            <w:tcW w:w="992" w:type="dxa"/>
          </w:tcPr>
          <w:p w:rsidR="00CC3BA4" w:rsidRPr="00E564DD" w:rsidRDefault="00CC3BA4" w:rsidP="00C73C64">
            <w:pPr>
              <w:pStyle w:val="Tabletext"/>
              <w:rPr>
                <w:rFonts w:cs="Tahoma"/>
              </w:rPr>
            </w:pPr>
            <w:r w:rsidRPr="00E564DD">
              <w:rPr>
                <w:rFonts w:cs="Tahoma"/>
              </w:rPr>
              <w:t>Not serious</w:t>
            </w:r>
          </w:p>
        </w:tc>
        <w:tc>
          <w:tcPr>
            <w:tcW w:w="1276" w:type="dxa"/>
          </w:tcPr>
          <w:p w:rsidR="00CC3BA4" w:rsidRPr="00E564DD" w:rsidRDefault="00CC3BA4" w:rsidP="00C73C64">
            <w:pPr>
              <w:pStyle w:val="Tabletext"/>
              <w:rPr>
                <w:rFonts w:cs="Tahoma"/>
              </w:rPr>
            </w:pPr>
            <w:r>
              <w:rPr>
                <w:rFonts w:cs="Tahoma"/>
              </w:rPr>
              <w:t>Very strong association</w:t>
            </w:r>
          </w:p>
        </w:tc>
        <w:tc>
          <w:tcPr>
            <w:tcW w:w="1417" w:type="dxa"/>
          </w:tcPr>
          <w:p w:rsidR="00CC3BA4" w:rsidRPr="00116B52" w:rsidRDefault="00116B52" w:rsidP="00C73C64">
            <w:pPr>
              <w:pStyle w:val="Tabletext"/>
              <w:rPr>
                <w:rFonts w:cs="Tahoma"/>
                <w:highlight w:val="black"/>
              </w:rPr>
            </w:pPr>
            <w:r>
              <w:rPr>
                <w:rFonts w:cs="Tahoma"/>
                <w:noProof/>
                <w:color w:val="000000"/>
                <w:highlight w:val="black"/>
              </w:rPr>
              <w:t>'''''''''''''' '''''''''''</w:t>
            </w:r>
          </w:p>
        </w:tc>
        <w:tc>
          <w:tcPr>
            <w:tcW w:w="1134"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993" w:type="dxa"/>
          </w:tcPr>
          <w:p w:rsidR="00CC3BA4" w:rsidRPr="00A17B9D" w:rsidRDefault="00A17B9D" w:rsidP="00C73C64">
            <w:pPr>
              <w:pStyle w:val="Tabletext"/>
              <w:rPr>
                <w:rFonts w:cs="Tahoma"/>
                <w:highlight w:val="black"/>
              </w:rPr>
            </w:pPr>
            <w:r>
              <w:rPr>
                <w:rFonts w:cs="Tahoma"/>
                <w:noProof/>
                <w:color w:val="000000"/>
                <w:highlight w:val="black"/>
              </w:rPr>
              <w:t>''''''''' ''' '''''''''' ''''''''''''' '''''''''''</w:t>
            </w:r>
          </w:p>
        </w:tc>
        <w:tc>
          <w:tcPr>
            <w:tcW w:w="2188" w:type="dxa"/>
          </w:tcPr>
          <w:p w:rsidR="00CC3BA4" w:rsidRPr="00A17B9D" w:rsidRDefault="00A17B9D" w:rsidP="00C73C64">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CC3BA4" w:rsidRPr="008413D5" w:rsidRDefault="00CC3BA4" w:rsidP="00C73C64">
            <w:pPr>
              <w:pStyle w:val="Tabletext"/>
              <w:rPr>
                <w:rFonts w:eastAsia="Times New Roman" w:cs="Tahoma"/>
                <w:bCs/>
              </w:rPr>
            </w:pPr>
            <w:r w:rsidRPr="00E564DD">
              <w:rPr>
                <w:rFonts w:eastAsia="Times New Roman" w:cs="Tahoma"/>
                <w:bCs/>
              </w:rPr>
              <w:t>High</w:t>
            </w:r>
            <w:r>
              <w:rPr>
                <w:rFonts w:eastAsia="Times New Roman" w:cs="Tahoma"/>
                <w:bCs/>
              </w:rPr>
              <w:br/>
            </w:r>
            <w:r w:rsidRPr="00E564DD">
              <w:rPr>
                <w:rFonts w:ascii="Cambria Math" w:eastAsia="Times New Roman" w:hAnsi="Cambria Math" w:cs="Cambria Math"/>
                <w:bCs/>
                <w:color w:val="00B050"/>
              </w:rPr>
              <w:t>⨁⨁⨁⨁</w:t>
            </w:r>
          </w:p>
          <w:p w:rsidR="00CC3BA4" w:rsidRPr="00E857A6" w:rsidRDefault="00CC3BA4" w:rsidP="00C73C64">
            <w:pPr>
              <w:pStyle w:val="Tabletext"/>
              <w:rPr>
                <w:rFonts w:eastAsia="Times New Roman" w:cs="Tahoma"/>
                <w:bCs/>
              </w:rPr>
            </w:pPr>
            <w:r w:rsidRPr="00E564DD">
              <w:rPr>
                <w:rFonts w:cs="Tahoma"/>
              </w:rPr>
              <w:t>Critical</w:t>
            </w:r>
          </w:p>
        </w:tc>
      </w:tr>
      <w:tr w:rsidR="00CC3BA4" w:rsidRPr="00E564DD" w:rsidTr="00BC7F74">
        <w:trPr>
          <w:trHeight w:val="319"/>
        </w:trPr>
        <w:tc>
          <w:tcPr>
            <w:tcW w:w="1413" w:type="dxa"/>
          </w:tcPr>
          <w:p w:rsidR="00CC3BA4" w:rsidRPr="00E564DD" w:rsidRDefault="00CC3BA4" w:rsidP="00C73C64">
            <w:pPr>
              <w:pStyle w:val="Tabletext"/>
              <w:rPr>
                <w:rFonts w:cs="Tahoma"/>
              </w:rPr>
            </w:pPr>
            <w:r w:rsidRPr="00E564DD">
              <w:rPr>
                <w:rFonts w:cs="Tahoma"/>
              </w:rPr>
              <w:t>Mortality</w:t>
            </w:r>
            <w:r>
              <w:rPr>
                <w:rFonts w:cs="Tahoma"/>
              </w:rPr>
              <w:br/>
            </w:r>
            <w:r w:rsidRPr="00E564DD">
              <w:rPr>
                <w:rFonts w:cs="Tahoma"/>
              </w:rPr>
              <w:t>(26–129 weeks)</w:t>
            </w:r>
          </w:p>
        </w:tc>
        <w:tc>
          <w:tcPr>
            <w:tcW w:w="1134" w:type="dxa"/>
          </w:tcPr>
          <w:p w:rsidR="00CC3BA4" w:rsidRPr="00E564DD" w:rsidRDefault="00CC3BA4" w:rsidP="00C73C64">
            <w:pPr>
              <w:pStyle w:val="Tabletext"/>
              <w:rPr>
                <w:rFonts w:cs="Tahoma"/>
              </w:rPr>
            </w:pPr>
            <w:r w:rsidRPr="00E564DD">
              <w:rPr>
                <w:rFonts w:cs="Tahoma"/>
              </w:rPr>
              <w:t>2 RCTs</w:t>
            </w:r>
          </w:p>
        </w:tc>
        <w:tc>
          <w:tcPr>
            <w:tcW w:w="912" w:type="dxa"/>
          </w:tcPr>
          <w:p w:rsidR="00CC3BA4" w:rsidRPr="00E564DD" w:rsidRDefault="00CC3BA4" w:rsidP="00C73C64">
            <w:pPr>
              <w:pStyle w:val="Tabletext"/>
              <w:rPr>
                <w:rFonts w:cs="Tahoma"/>
              </w:rPr>
            </w:pPr>
            <w:r w:rsidRPr="00E564DD">
              <w:rPr>
                <w:rFonts w:cs="Tahoma"/>
              </w:rPr>
              <w:t xml:space="preserve">Serious </w:t>
            </w:r>
            <w:r>
              <w:rPr>
                <w:rFonts w:cs="Tahoma"/>
                <w:vertAlign w:val="superscript"/>
              </w:rPr>
              <w:t>c</w:t>
            </w:r>
          </w:p>
        </w:tc>
        <w:tc>
          <w:tcPr>
            <w:tcW w:w="931" w:type="dxa"/>
          </w:tcPr>
          <w:p w:rsidR="00CC3BA4" w:rsidRPr="00E564DD" w:rsidRDefault="00CC3BA4" w:rsidP="00C73C64">
            <w:pPr>
              <w:pStyle w:val="Tabletext"/>
              <w:rPr>
                <w:rFonts w:cs="Tahoma"/>
              </w:rPr>
            </w:pPr>
            <w:r w:rsidRPr="00E564DD">
              <w:rPr>
                <w:rFonts w:cs="Tahoma"/>
              </w:rPr>
              <w:t>Not serious</w:t>
            </w:r>
          </w:p>
        </w:tc>
        <w:tc>
          <w:tcPr>
            <w:tcW w:w="1134" w:type="dxa"/>
          </w:tcPr>
          <w:p w:rsidR="00CC3BA4" w:rsidRPr="00E564DD" w:rsidRDefault="00CC3BA4" w:rsidP="00C73C64">
            <w:pPr>
              <w:pStyle w:val="Tabletext"/>
              <w:rPr>
                <w:rFonts w:cs="Tahoma"/>
              </w:rPr>
            </w:pPr>
            <w:r w:rsidRPr="00E564DD">
              <w:rPr>
                <w:rFonts w:cs="Tahoma"/>
              </w:rPr>
              <w:t>Not serious</w:t>
            </w:r>
          </w:p>
        </w:tc>
        <w:tc>
          <w:tcPr>
            <w:tcW w:w="992" w:type="dxa"/>
          </w:tcPr>
          <w:p w:rsidR="00CC3BA4" w:rsidRPr="00E564DD" w:rsidRDefault="00CC3BA4" w:rsidP="00C73C64">
            <w:pPr>
              <w:pStyle w:val="Tabletext"/>
              <w:rPr>
                <w:rFonts w:cs="Tahoma"/>
              </w:rPr>
            </w:pPr>
            <w:r w:rsidRPr="00E564DD">
              <w:rPr>
                <w:rFonts w:cs="Tahoma"/>
              </w:rPr>
              <w:t>Not serious</w:t>
            </w:r>
          </w:p>
        </w:tc>
        <w:tc>
          <w:tcPr>
            <w:tcW w:w="1276" w:type="dxa"/>
          </w:tcPr>
          <w:p w:rsidR="00CC3BA4" w:rsidRPr="00E564DD" w:rsidRDefault="00CC3BA4" w:rsidP="00C73C64">
            <w:pPr>
              <w:pStyle w:val="Tabletext"/>
              <w:rPr>
                <w:rFonts w:cs="Tahoma"/>
              </w:rPr>
            </w:pPr>
            <w:r>
              <w:rPr>
                <w:rFonts w:cs="Tahoma"/>
              </w:rPr>
              <w:t>Strong association</w:t>
            </w:r>
          </w:p>
        </w:tc>
        <w:tc>
          <w:tcPr>
            <w:tcW w:w="1417"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1134"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993" w:type="dxa"/>
          </w:tcPr>
          <w:p w:rsidR="00CC3BA4" w:rsidRPr="00A17B9D" w:rsidRDefault="00A17B9D" w:rsidP="00C73C64">
            <w:pPr>
              <w:pStyle w:val="Tabletext"/>
              <w:rPr>
                <w:rFonts w:cs="Tahoma"/>
                <w:highlight w:val="black"/>
              </w:rPr>
            </w:pPr>
            <w:r>
              <w:rPr>
                <w:rFonts w:cs="Tahoma"/>
                <w:noProof/>
                <w:color w:val="000000"/>
                <w:highlight w:val="black"/>
              </w:rPr>
              <w:t>'''''''' '''' ''''''''''' ''''''''''''' ''''''''''''</w:t>
            </w:r>
          </w:p>
        </w:tc>
        <w:tc>
          <w:tcPr>
            <w:tcW w:w="2188" w:type="dxa"/>
          </w:tcPr>
          <w:p w:rsidR="00CC3BA4" w:rsidRPr="00A17B9D" w:rsidRDefault="00A17B9D" w:rsidP="00C73C64">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CC3BA4" w:rsidRPr="008413D5" w:rsidRDefault="00CC3BA4" w:rsidP="00C73C64">
            <w:pPr>
              <w:pStyle w:val="Tabletext"/>
              <w:rPr>
                <w:rFonts w:eastAsia="Times New Roman" w:cs="Tahoma"/>
                <w:bCs/>
              </w:rPr>
            </w:pPr>
            <w:r w:rsidRPr="00E564DD">
              <w:rPr>
                <w:rFonts w:eastAsia="Times New Roman" w:cs="Tahoma"/>
                <w:bCs/>
              </w:rPr>
              <w:t>High</w:t>
            </w:r>
            <w:r>
              <w:rPr>
                <w:rFonts w:eastAsia="Times New Roman" w:cs="Tahoma"/>
                <w:bCs/>
              </w:rPr>
              <w:br/>
            </w:r>
            <w:r w:rsidRPr="00E564DD">
              <w:rPr>
                <w:rFonts w:ascii="Cambria Math" w:eastAsia="Times New Roman" w:hAnsi="Cambria Math" w:cs="Cambria Math"/>
                <w:bCs/>
                <w:color w:val="00B050"/>
              </w:rPr>
              <w:t>⨁⨁⨁⨁</w:t>
            </w:r>
          </w:p>
          <w:p w:rsidR="00CC3BA4" w:rsidRPr="00E564DD" w:rsidRDefault="00CC3BA4" w:rsidP="00C73C64">
            <w:pPr>
              <w:pStyle w:val="Tabletext"/>
              <w:rPr>
                <w:rFonts w:cs="Tahoma"/>
              </w:rPr>
            </w:pPr>
            <w:r w:rsidRPr="00E564DD">
              <w:rPr>
                <w:rFonts w:cs="Tahoma"/>
              </w:rPr>
              <w:t>Critical</w:t>
            </w:r>
          </w:p>
        </w:tc>
      </w:tr>
      <w:tr w:rsidR="00CC3BA4" w:rsidRPr="00E564DD" w:rsidTr="00BC7F74">
        <w:trPr>
          <w:trHeight w:val="319"/>
        </w:trPr>
        <w:tc>
          <w:tcPr>
            <w:tcW w:w="1413" w:type="dxa"/>
          </w:tcPr>
          <w:p w:rsidR="00CC3BA4" w:rsidRPr="00E564DD" w:rsidRDefault="00CC3BA4" w:rsidP="00C73C64">
            <w:pPr>
              <w:pStyle w:val="Tabletext"/>
              <w:rPr>
                <w:rFonts w:cs="Tahoma"/>
              </w:rPr>
            </w:pPr>
            <w:r w:rsidRPr="00E564DD">
              <w:rPr>
                <w:rFonts w:cs="Tahoma"/>
              </w:rPr>
              <w:t>Improved WHO FC</w:t>
            </w:r>
            <w:r>
              <w:rPr>
                <w:rFonts w:cs="Tahoma"/>
              </w:rPr>
              <w:br/>
            </w:r>
            <w:r w:rsidRPr="00E564DD">
              <w:rPr>
                <w:rFonts w:cs="Tahoma"/>
              </w:rPr>
              <w:t>(12 weeks)</w:t>
            </w:r>
          </w:p>
        </w:tc>
        <w:tc>
          <w:tcPr>
            <w:tcW w:w="1134" w:type="dxa"/>
          </w:tcPr>
          <w:p w:rsidR="00CC3BA4" w:rsidRPr="00E564DD" w:rsidRDefault="00EA33A7" w:rsidP="00C73C64">
            <w:pPr>
              <w:pStyle w:val="Tabletext"/>
              <w:rPr>
                <w:rFonts w:cs="Tahoma"/>
              </w:rPr>
            </w:pPr>
            <w:r>
              <w:rPr>
                <w:rFonts w:cs="Tahoma"/>
              </w:rPr>
              <w:t>2</w:t>
            </w:r>
            <w:r w:rsidRPr="00E564DD">
              <w:rPr>
                <w:rFonts w:cs="Tahoma"/>
              </w:rPr>
              <w:t xml:space="preserve"> </w:t>
            </w:r>
            <w:r w:rsidR="00CC3BA4" w:rsidRPr="00E564DD">
              <w:rPr>
                <w:rFonts w:cs="Tahoma"/>
              </w:rPr>
              <w:t>RCT</w:t>
            </w:r>
            <w:r>
              <w:rPr>
                <w:rFonts w:cs="Tahoma"/>
              </w:rPr>
              <w:t>s</w:t>
            </w:r>
          </w:p>
        </w:tc>
        <w:tc>
          <w:tcPr>
            <w:tcW w:w="912" w:type="dxa"/>
          </w:tcPr>
          <w:p w:rsidR="00CC3BA4" w:rsidRPr="00E564DD" w:rsidRDefault="00CC3BA4" w:rsidP="00C73C64">
            <w:pPr>
              <w:pStyle w:val="Tabletext"/>
              <w:rPr>
                <w:rFonts w:cs="Tahoma"/>
              </w:rPr>
            </w:pPr>
            <w:r w:rsidRPr="00E564DD">
              <w:rPr>
                <w:rFonts w:cs="Tahoma"/>
              </w:rPr>
              <w:t xml:space="preserve">Serious </w:t>
            </w:r>
            <w:r>
              <w:rPr>
                <w:rFonts w:cs="Tahoma"/>
                <w:vertAlign w:val="superscript"/>
              </w:rPr>
              <w:t>c</w:t>
            </w:r>
          </w:p>
        </w:tc>
        <w:tc>
          <w:tcPr>
            <w:tcW w:w="931" w:type="dxa"/>
          </w:tcPr>
          <w:p w:rsidR="00CC3BA4" w:rsidRPr="00E564DD" w:rsidRDefault="00CC3BA4" w:rsidP="00C73C64">
            <w:pPr>
              <w:pStyle w:val="Tabletext"/>
              <w:rPr>
                <w:rFonts w:cs="Tahoma"/>
              </w:rPr>
            </w:pPr>
            <w:r w:rsidRPr="00E564DD">
              <w:rPr>
                <w:rFonts w:cs="Tahoma"/>
              </w:rPr>
              <w:t>Not serious</w:t>
            </w:r>
          </w:p>
        </w:tc>
        <w:tc>
          <w:tcPr>
            <w:tcW w:w="1134" w:type="dxa"/>
          </w:tcPr>
          <w:p w:rsidR="00CC3BA4" w:rsidRPr="00E564DD" w:rsidRDefault="00CC3BA4" w:rsidP="00C73C64">
            <w:pPr>
              <w:pStyle w:val="Tabletext"/>
              <w:rPr>
                <w:rFonts w:cs="Tahoma"/>
              </w:rPr>
            </w:pPr>
            <w:r w:rsidRPr="00E564DD">
              <w:rPr>
                <w:rFonts w:cs="Tahoma"/>
              </w:rPr>
              <w:t>Not serious</w:t>
            </w:r>
          </w:p>
        </w:tc>
        <w:tc>
          <w:tcPr>
            <w:tcW w:w="992" w:type="dxa"/>
          </w:tcPr>
          <w:p w:rsidR="00CC3BA4" w:rsidRPr="00E564DD" w:rsidRDefault="00CC3BA4" w:rsidP="00C73C64">
            <w:pPr>
              <w:pStyle w:val="Tabletext"/>
              <w:rPr>
                <w:rFonts w:cs="Tahoma"/>
              </w:rPr>
            </w:pPr>
            <w:r w:rsidRPr="00E564DD">
              <w:rPr>
                <w:rFonts w:cs="Tahoma"/>
              </w:rPr>
              <w:t>Not serious</w:t>
            </w:r>
          </w:p>
        </w:tc>
        <w:tc>
          <w:tcPr>
            <w:tcW w:w="1276" w:type="dxa"/>
          </w:tcPr>
          <w:p w:rsidR="00CC3BA4" w:rsidRPr="00E564DD" w:rsidRDefault="00CC3BA4" w:rsidP="00C73C64">
            <w:pPr>
              <w:pStyle w:val="Tabletext"/>
              <w:rPr>
                <w:rFonts w:cs="Tahoma"/>
              </w:rPr>
            </w:pPr>
            <w:r w:rsidRPr="00E564DD">
              <w:rPr>
                <w:rFonts w:cs="Tahoma"/>
              </w:rPr>
              <w:t>None</w:t>
            </w:r>
          </w:p>
        </w:tc>
        <w:tc>
          <w:tcPr>
            <w:tcW w:w="1417" w:type="dxa"/>
          </w:tcPr>
          <w:p w:rsidR="00CC3BA4" w:rsidRPr="007E5698" w:rsidRDefault="00CC3BA4" w:rsidP="00C73C64">
            <w:pPr>
              <w:pStyle w:val="Tabletext"/>
              <w:rPr>
                <w:rFonts w:cs="Tahoma"/>
              </w:rPr>
            </w:pPr>
            <w:r w:rsidRPr="007E5698">
              <w:rPr>
                <w:rFonts w:cs="Tahoma"/>
              </w:rPr>
              <w:t>7/50 (14%)</w:t>
            </w:r>
          </w:p>
        </w:tc>
        <w:tc>
          <w:tcPr>
            <w:tcW w:w="1134" w:type="dxa"/>
          </w:tcPr>
          <w:p w:rsidR="00CC3BA4" w:rsidRPr="007E5698" w:rsidRDefault="00CC3BA4" w:rsidP="00C73C64">
            <w:pPr>
              <w:pStyle w:val="Tabletext"/>
              <w:rPr>
                <w:rFonts w:cs="Tahoma"/>
              </w:rPr>
            </w:pPr>
            <w:r w:rsidRPr="007E5698">
              <w:rPr>
                <w:rFonts w:cs="Tahoma"/>
              </w:rPr>
              <w:t>0/51 (0%)</w:t>
            </w:r>
          </w:p>
        </w:tc>
        <w:tc>
          <w:tcPr>
            <w:tcW w:w="993" w:type="dxa"/>
          </w:tcPr>
          <w:p w:rsidR="00CC3BA4" w:rsidRPr="007E5698" w:rsidRDefault="00B21201" w:rsidP="00EA3D9F">
            <w:pPr>
              <w:pStyle w:val="Tabletext"/>
              <w:rPr>
                <w:rFonts w:cs="Tahoma"/>
              </w:rPr>
            </w:pPr>
            <w:r>
              <w:rPr>
                <w:rFonts w:cs="Tahoma"/>
              </w:rPr>
              <w:t>ARD</w:t>
            </w:r>
            <w:r w:rsidR="00CC3BA4">
              <w:rPr>
                <w:rFonts w:cs="Tahoma"/>
              </w:rPr>
              <w:t xml:space="preserve"> = 14.0%</w:t>
            </w:r>
            <w:r w:rsidR="00EA3D9F">
              <w:rPr>
                <w:rFonts w:cs="Tahoma"/>
              </w:rPr>
              <w:br/>
            </w:r>
            <w:r w:rsidR="00CC3BA4">
              <w:rPr>
                <w:rFonts w:cs="Tahoma"/>
              </w:rPr>
              <w:t>(4.4, 23.6)</w:t>
            </w:r>
          </w:p>
        </w:tc>
        <w:tc>
          <w:tcPr>
            <w:tcW w:w="2188" w:type="dxa"/>
          </w:tcPr>
          <w:p w:rsidR="00CC3BA4" w:rsidRPr="007E5698" w:rsidRDefault="00CC3BA4" w:rsidP="00C73C64">
            <w:pPr>
              <w:pStyle w:val="Tabletext"/>
              <w:rPr>
                <w:rFonts w:cs="Tahoma"/>
              </w:rPr>
            </w:pPr>
            <w:r>
              <w:rPr>
                <w:rFonts w:cs="Tahoma"/>
              </w:rPr>
              <w:t>14</w:t>
            </w:r>
            <w:r w:rsidRPr="009D09D6">
              <w:rPr>
                <w:rFonts w:cs="Tahoma"/>
              </w:rPr>
              <w:t xml:space="preserve">0 </w:t>
            </w:r>
            <w:r w:rsidRPr="006E53E7">
              <w:rPr>
                <w:rFonts w:cs="Tahoma"/>
              </w:rPr>
              <w:t>fewer</w:t>
            </w:r>
            <w:r w:rsidRPr="009D09D6">
              <w:rPr>
                <w:rFonts w:cs="Tahoma"/>
              </w:rPr>
              <w:t xml:space="preserve"> per 1,000</w:t>
            </w:r>
            <w:r>
              <w:rPr>
                <w:rFonts w:cs="Tahoma"/>
              </w:rPr>
              <w:br/>
            </w:r>
            <w:r w:rsidRPr="009D09D6">
              <w:rPr>
                <w:rFonts w:cs="Tahoma"/>
              </w:rPr>
              <w:t xml:space="preserve">(from </w:t>
            </w:r>
            <w:r>
              <w:rPr>
                <w:rFonts w:cs="Tahoma"/>
              </w:rPr>
              <w:t>44 fewer</w:t>
            </w:r>
            <w:r w:rsidRPr="009D09D6">
              <w:rPr>
                <w:rFonts w:cs="Tahoma"/>
              </w:rPr>
              <w:t xml:space="preserve"> to </w:t>
            </w:r>
            <w:r>
              <w:rPr>
                <w:rFonts w:cs="Tahoma"/>
              </w:rPr>
              <w:t>23</w:t>
            </w:r>
            <w:r w:rsidRPr="009D09D6">
              <w:rPr>
                <w:rFonts w:cs="Tahoma"/>
              </w:rPr>
              <w:t>6 fewer)</w:t>
            </w:r>
          </w:p>
        </w:tc>
        <w:tc>
          <w:tcPr>
            <w:tcW w:w="1214" w:type="dxa"/>
          </w:tcPr>
          <w:p w:rsidR="00CC3BA4" w:rsidRDefault="00CC3BA4" w:rsidP="00C73C64">
            <w:pPr>
              <w:pStyle w:val="Tabletext"/>
              <w:rPr>
                <w:rFonts w:ascii="Cambria Math" w:eastAsia="Times New Roman" w:hAnsi="Cambria Math" w:cs="Cambria Math"/>
                <w:bCs/>
              </w:rPr>
            </w:pPr>
            <w:r w:rsidRPr="007E5698">
              <w:rPr>
                <w:rFonts w:eastAsia="Times New Roman" w:cs="Tahoma"/>
                <w:bCs/>
              </w:rPr>
              <w:t>Moderate</w:t>
            </w:r>
            <w:r>
              <w:rPr>
                <w:rFonts w:eastAsia="Times New Roman" w:cs="Tahoma"/>
                <w:bCs/>
              </w:rPr>
              <w:br/>
            </w:r>
            <w:r w:rsidRPr="007E5698">
              <w:rPr>
                <w:rFonts w:ascii="Cambria Math" w:eastAsia="Times New Roman" w:hAnsi="Cambria Math" w:cs="Cambria Math"/>
                <w:bCs/>
                <w:color w:val="00B050"/>
              </w:rPr>
              <w:t>⨁⨁⨁</w:t>
            </w:r>
            <w:r w:rsidRPr="007E5698">
              <w:rPr>
                <w:rFonts w:ascii="Cambria Math" w:eastAsia="Times New Roman" w:hAnsi="Cambria Math" w:cs="Cambria Math"/>
                <w:bCs/>
                <w:color w:val="FF0000"/>
              </w:rPr>
              <w:t>⨀</w:t>
            </w:r>
          </w:p>
          <w:p w:rsidR="00CC3BA4" w:rsidRPr="00E857A6" w:rsidRDefault="00CC3BA4" w:rsidP="00C73C64">
            <w:pPr>
              <w:pStyle w:val="Tabletext"/>
              <w:rPr>
                <w:rFonts w:ascii="Cambria Math" w:eastAsia="Times New Roman" w:hAnsi="Cambria Math" w:cs="Cambria Math"/>
                <w:bCs/>
              </w:rPr>
            </w:pPr>
            <w:r w:rsidRPr="007E5698">
              <w:rPr>
                <w:rFonts w:cs="Tahoma"/>
              </w:rPr>
              <w:t>Important</w:t>
            </w:r>
          </w:p>
        </w:tc>
      </w:tr>
      <w:tr w:rsidR="00CC3BA4" w:rsidRPr="00E564DD" w:rsidTr="00BC7F74">
        <w:trPr>
          <w:trHeight w:val="319"/>
        </w:trPr>
        <w:tc>
          <w:tcPr>
            <w:tcW w:w="1413" w:type="dxa"/>
          </w:tcPr>
          <w:p w:rsidR="00CC3BA4" w:rsidRPr="00E564DD" w:rsidRDefault="00CC3BA4" w:rsidP="00C73C64">
            <w:pPr>
              <w:pStyle w:val="Tabletext"/>
              <w:rPr>
                <w:rFonts w:cs="Tahoma"/>
              </w:rPr>
            </w:pPr>
            <w:r w:rsidRPr="00E564DD">
              <w:rPr>
                <w:rFonts w:cs="Tahoma"/>
              </w:rPr>
              <w:t>Worsened WHO FC</w:t>
            </w:r>
            <w:r>
              <w:rPr>
                <w:rFonts w:cs="Tahoma"/>
              </w:rPr>
              <w:br/>
            </w:r>
            <w:r w:rsidRPr="00E564DD">
              <w:rPr>
                <w:rFonts w:cs="Tahoma"/>
              </w:rPr>
              <w:t>(12 weeks)</w:t>
            </w:r>
          </w:p>
        </w:tc>
        <w:tc>
          <w:tcPr>
            <w:tcW w:w="1134" w:type="dxa"/>
          </w:tcPr>
          <w:p w:rsidR="00CC3BA4" w:rsidRPr="00E564DD" w:rsidRDefault="00EA33A7" w:rsidP="00C73C64">
            <w:pPr>
              <w:pStyle w:val="Tabletext"/>
              <w:rPr>
                <w:rFonts w:cs="Tahoma"/>
              </w:rPr>
            </w:pPr>
            <w:r>
              <w:rPr>
                <w:rFonts w:cs="Tahoma"/>
              </w:rPr>
              <w:t>2</w:t>
            </w:r>
            <w:r w:rsidRPr="00E564DD">
              <w:rPr>
                <w:rFonts w:cs="Tahoma"/>
              </w:rPr>
              <w:t xml:space="preserve"> </w:t>
            </w:r>
            <w:r w:rsidR="00CC3BA4" w:rsidRPr="00E564DD">
              <w:rPr>
                <w:rFonts w:cs="Tahoma"/>
              </w:rPr>
              <w:t>RCT</w:t>
            </w:r>
            <w:r>
              <w:rPr>
                <w:rFonts w:cs="Tahoma"/>
              </w:rPr>
              <w:t>s</w:t>
            </w:r>
          </w:p>
        </w:tc>
        <w:tc>
          <w:tcPr>
            <w:tcW w:w="912" w:type="dxa"/>
          </w:tcPr>
          <w:p w:rsidR="00CC3BA4" w:rsidRPr="00E564DD" w:rsidRDefault="00CC3BA4" w:rsidP="00C73C64">
            <w:pPr>
              <w:pStyle w:val="Tabletext"/>
              <w:rPr>
                <w:rFonts w:cs="Tahoma"/>
              </w:rPr>
            </w:pPr>
            <w:r w:rsidRPr="00E564DD">
              <w:rPr>
                <w:rFonts w:cs="Tahoma"/>
              </w:rPr>
              <w:t xml:space="preserve">Serious </w:t>
            </w:r>
            <w:r>
              <w:rPr>
                <w:rFonts w:cs="Tahoma"/>
                <w:vertAlign w:val="superscript"/>
              </w:rPr>
              <w:t>c</w:t>
            </w:r>
          </w:p>
        </w:tc>
        <w:tc>
          <w:tcPr>
            <w:tcW w:w="931" w:type="dxa"/>
          </w:tcPr>
          <w:p w:rsidR="00CC3BA4" w:rsidRPr="00E564DD" w:rsidRDefault="00CC3BA4" w:rsidP="00C73C64">
            <w:pPr>
              <w:pStyle w:val="Tabletext"/>
              <w:rPr>
                <w:rFonts w:cs="Tahoma"/>
              </w:rPr>
            </w:pPr>
            <w:r w:rsidRPr="00E564DD">
              <w:rPr>
                <w:rFonts w:cs="Tahoma"/>
              </w:rPr>
              <w:t>Not serious</w:t>
            </w:r>
          </w:p>
        </w:tc>
        <w:tc>
          <w:tcPr>
            <w:tcW w:w="1134" w:type="dxa"/>
          </w:tcPr>
          <w:p w:rsidR="00CC3BA4" w:rsidRPr="00E564DD" w:rsidRDefault="00CC3BA4" w:rsidP="00C73C64">
            <w:pPr>
              <w:pStyle w:val="Tabletext"/>
              <w:rPr>
                <w:rFonts w:cs="Tahoma"/>
              </w:rPr>
            </w:pPr>
            <w:r w:rsidRPr="00E564DD">
              <w:rPr>
                <w:rFonts w:cs="Tahoma"/>
              </w:rPr>
              <w:t>Not serious</w:t>
            </w:r>
          </w:p>
        </w:tc>
        <w:tc>
          <w:tcPr>
            <w:tcW w:w="992" w:type="dxa"/>
          </w:tcPr>
          <w:p w:rsidR="00CC3BA4" w:rsidRPr="00E564DD" w:rsidRDefault="00CC3BA4" w:rsidP="00C73C64">
            <w:pPr>
              <w:pStyle w:val="Tabletext"/>
              <w:rPr>
                <w:rFonts w:cs="Tahoma"/>
              </w:rPr>
            </w:pPr>
            <w:r>
              <w:rPr>
                <w:rFonts w:cs="Tahoma"/>
              </w:rPr>
              <w:t>S</w:t>
            </w:r>
            <w:r w:rsidRPr="00E564DD">
              <w:rPr>
                <w:rFonts w:cs="Tahoma"/>
              </w:rPr>
              <w:t>erious</w:t>
            </w:r>
            <w:r>
              <w:rPr>
                <w:rFonts w:cs="Tahoma"/>
              </w:rPr>
              <w:t xml:space="preserve"> </w:t>
            </w:r>
            <w:r>
              <w:rPr>
                <w:rFonts w:cs="Tahoma"/>
                <w:vertAlign w:val="superscript"/>
              </w:rPr>
              <w:t>d</w:t>
            </w:r>
          </w:p>
        </w:tc>
        <w:tc>
          <w:tcPr>
            <w:tcW w:w="1276" w:type="dxa"/>
          </w:tcPr>
          <w:p w:rsidR="00CC3BA4" w:rsidRPr="00E564DD" w:rsidRDefault="00437968" w:rsidP="00C73C64">
            <w:pPr>
              <w:pStyle w:val="Tabletext"/>
              <w:rPr>
                <w:rFonts w:cs="Tahoma"/>
              </w:rPr>
            </w:pPr>
            <w:r>
              <w:rPr>
                <w:rFonts w:cs="Tahoma"/>
              </w:rPr>
              <w:t>None</w:t>
            </w:r>
          </w:p>
        </w:tc>
        <w:tc>
          <w:tcPr>
            <w:tcW w:w="1417" w:type="dxa"/>
          </w:tcPr>
          <w:p w:rsidR="00CC3BA4" w:rsidRPr="00E564DD" w:rsidRDefault="00CC3BA4" w:rsidP="00C73C64">
            <w:pPr>
              <w:pStyle w:val="Tabletext"/>
              <w:rPr>
                <w:rFonts w:cs="Tahoma"/>
              </w:rPr>
            </w:pPr>
            <w:r w:rsidRPr="00E564DD">
              <w:rPr>
                <w:rFonts w:cs="Tahoma"/>
              </w:rPr>
              <w:t>1/50 (2%)</w:t>
            </w:r>
          </w:p>
        </w:tc>
        <w:tc>
          <w:tcPr>
            <w:tcW w:w="1134" w:type="dxa"/>
          </w:tcPr>
          <w:p w:rsidR="00CC3BA4" w:rsidRPr="00E564DD" w:rsidRDefault="00CC3BA4" w:rsidP="00C73C64">
            <w:pPr>
              <w:pStyle w:val="Tabletext"/>
              <w:rPr>
                <w:rFonts w:cs="Tahoma"/>
              </w:rPr>
            </w:pPr>
            <w:r w:rsidRPr="00E564DD">
              <w:rPr>
                <w:rFonts w:cs="Tahoma"/>
              </w:rPr>
              <w:t>4/51 (8%)</w:t>
            </w:r>
          </w:p>
        </w:tc>
        <w:tc>
          <w:tcPr>
            <w:tcW w:w="993" w:type="dxa"/>
          </w:tcPr>
          <w:p w:rsidR="00CC3BA4" w:rsidRPr="00E564DD" w:rsidRDefault="00CC3BA4" w:rsidP="00C73C64">
            <w:pPr>
              <w:pStyle w:val="Tabletext"/>
              <w:rPr>
                <w:rFonts w:cs="Tahoma"/>
              </w:rPr>
            </w:pPr>
            <w:r>
              <w:rPr>
                <w:rFonts w:cs="Tahoma"/>
              </w:rPr>
              <w:t xml:space="preserve">RR = </w:t>
            </w:r>
            <w:r w:rsidRPr="00E564DD">
              <w:rPr>
                <w:rFonts w:cs="Tahoma"/>
              </w:rPr>
              <w:t>0.25 (0.03, 2.20)</w:t>
            </w:r>
          </w:p>
        </w:tc>
        <w:tc>
          <w:tcPr>
            <w:tcW w:w="2188" w:type="dxa"/>
          </w:tcPr>
          <w:p w:rsidR="00CC3BA4" w:rsidRPr="00E564DD" w:rsidRDefault="00CC3BA4" w:rsidP="00C73C64">
            <w:pPr>
              <w:pStyle w:val="Tabletext"/>
              <w:rPr>
                <w:rFonts w:cs="Tahoma"/>
              </w:rPr>
            </w:pPr>
            <w:r w:rsidRPr="00E564DD">
              <w:rPr>
                <w:rFonts w:cs="Tahoma"/>
              </w:rPr>
              <w:t>59 fewer per 1,000</w:t>
            </w:r>
            <w:r>
              <w:rPr>
                <w:rFonts w:cs="Tahoma"/>
              </w:rPr>
              <w:br/>
            </w:r>
            <w:r w:rsidRPr="00E564DD">
              <w:rPr>
                <w:rFonts w:cs="Tahoma"/>
              </w:rPr>
              <w:t>(from 76 fewer to 94 more)</w:t>
            </w:r>
          </w:p>
        </w:tc>
        <w:tc>
          <w:tcPr>
            <w:tcW w:w="1214" w:type="dxa"/>
          </w:tcPr>
          <w:p w:rsidR="00437968" w:rsidRPr="008413D5" w:rsidRDefault="00437968" w:rsidP="00437968">
            <w:pPr>
              <w:pStyle w:val="Tabletext"/>
              <w:rPr>
                <w:rFonts w:eastAsia="Times New Roman" w:cs="Tahoma"/>
                <w:bCs/>
              </w:rPr>
            </w:pPr>
            <w:r>
              <w:rPr>
                <w:rFonts w:eastAsia="Times New Roman" w:cs="Tahoma"/>
                <w:bCs/>
              </w:rPr>
              <w:t>Low</w:t>
            </w:r>
            <w:r>
              <w:rPr>
                <w:rFonts w:eastAsia="Times New Roman" w:cs="Tahoma"/>
                <w:bCs/>
              </w:rPr>
              <w:br/>
            </w: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E857A6" w:rsidRDefault="00CC3BA4" w:rsidP="00C73C64">
            <w:pPr>
              <w:pStyle w:val="Tabletext"/>
              <w:rPr>
                <w:rFonts w:ascii="Cambria Math" w:eastAsia="Times New Roman" w:hAnsi="Cambria Math" w:cs="Cambria Math"/>
                <w:bCs/>
              </w:rPr>
            </w:pPr>
            <w:r w:rsidRPr="00E564DD">
              <w:rPr>
                <w:rFonts w:cs="Tahoma"/>
              </w:rPr>
              <w:t>Important</w:t>
            </w:r>
          </w:p>
        </w:tc>
      </w:tr>
      <w:tr w:rsidR="00B14FF5" w:rsidRPr="00E564DD" w:rsidTr="00BC7F74">
        <w:trPr>
          <w:trHeight w:val="319"/>
        </w:trPr>
        <w:tc>
          <w:tcPr>
            <w:tcW w:w="1413" w:type="dxa"/>
          </w:tcPr>
          <w:p w:rsidR="00B14FF5" w:rsidRPr="00E564DD" w:rsidRDefault="00B14FF5" w:rsidP="00C73C64">
            <w:pPr>
              <w:pStyle w:val="Tabletext"/>
              <w:rPr>
                <w:rFonts w:cs="Tahoma"/>
              </w:rPr>
            </w:pPr>
            <w:r w:rsidRPr="00E564DD">
              <w:rPr>
                <w:rFonts w:cs="Tahoma"/>
              </w:rPr>
              <w:t>Change in 6MWD</w:t>
            </w:r>
            <w:r>
              <w:rPr>
                <w:rFonts w:cs="Tahoma"/>
              </w:rPr>
              <w:br/>
            </w:r>
            <w:r w:rsidRPr="00E564DD">
              <w:rPr>
                <w:rFonts w:cs="Tahoma"/>
              </w:rPr>
              <w:t xml:space="preserve">(26 weeks) </w:t>
            </w:r>
          </w:p>
        </w:tc>
        <w:tc>
          <w:tcPr>
            <w:tcW w:w="1134" w:type="dxa"/>
          </w:tcPr>
          <w:p w:rsidR="00B14FF5" w:rsidRPr="00E564DD" w:rsidRDefault="00EA33A7" w:rsidP="00C73C64">
            <w:pPr>
              <w:pStyle w:val="Tabletext"/>
              <w:rPr>
                <w:rFonts w:cs="Tahoma"/>
              </w:rPr>
            </w:pPr>
            <w:r>
              <w:rPr>
                <w:rFonts w:cs="Tahoma"/>
              </w:rPr>
              <w:t>3</w:t>
            </w:r>
            <w:r w:rsidRPr="00E564DD">
              <w:rPr>
                <w:rFonts w:cs="Tahoma"/>
              </w:rPr>
              <w:t xml:space="preserve"> </w:t>
            </w:r>
            <w:r w:rsidR="00B14FF5" w:rsidRPr="00E564DD">
              <w:rPr>
                <w:rFonts w:cs="Tahoma"/>
              </w:rPr>
              <w:t>RCT</w:t>
            </w:r>
            <w:r w:rsidR="00B14FF5">
              <w:rPr>
                <w:rFonts w:cs="Tahoma"/>
              </w:rPr>
              <w:t>s</w:t>
            </w:r>
          </w:p>
        </w:tc>
        <w:tc>
          <w:tcPr>
            <w:tcW w:w="912" w:type="dxa"/>
          </w:tcPr>
          <w:p w:rsidR="00B14FF5" w:rsidRPr="00E564DD" w:rsidRDefault="00B14FF5" w:rsidP="00C73C64">
            <w:pPr>
              <w:pStyle w:val="Tabletext"/>
              <w:rPr>
                <w:rFonts w:cs="Tahoma"/>
              </w:rPr>
            </w:pPr>
            <w:r>
              <w:rPr>
                <w:rFonts w:cs="Tahoma"/>
              </w:rPr>
              <w:t>Not s</w:t>
            </w:r>
            <w:r w:rsidRPr="00E564DD">
              <w:rPr>
                <w:rFonts w:cs="Tahoma"/>
              </w:rPr>
              <w:t>erious</w:t>
            </w:r>
          </w:p>
        </w:tc>
        <w:tc>
          <w:tcPr>
            <w:tcW w:w="931" w:type="dxa"/>
          </w:tcPr>
          <w:p w:rsidR="00B14FF5" w:rsidRPr="00E564DD" w:rsidRDefault="00B14FF5" w:rsidP="00C73C64">
            <w:pPr>
              <w:pStyle w:val="Tabletext"/>
              <w:rPr>
                <w:rFonts w:cs="Tahoma"/>
              </w:rPr>
            </w:pPr>
            <w:r w:rsidRPr="00E564DD">
              <w:rPr>
                <w:rFonts w:cs="Tahoma"/>
              </w:rPr>
              <w:t>Not serious</w:t>
            </w:r>
          </w:p>
        </w:tc>
        <w:tc>
          <w:tcPr>
            <w:tcW w:w="1134" w:type="dxa"/>
          </w:tcPr>
          <w:p w:rsidR="00B14FF5" w:rsidRPr="00E564DD" w:rsidRDefault="00D35699" w:rsidP="00C73C64">
            <w:pPr>
              <w:pStyle w:val="Tabletext"/>
              <w:rPr>
                <w:rFonts w:cs="Tahoma"/>
              </w:rPr>
            </w:pPr>
            <w:r>
              <w:rPr>
                <w:rFonts w:cs="Tahoma"/>
              </w:rPr>
              <w:t>S</w:t>
            </w:r>
            <w:r w:rsidR="00B14FF5" w:rsidRPr="00E564DD">
              <w:rPr>
                <w:rFonts w:cs="Tahoma"/>
              </w:rPr>
              <w:t>erious</w:t>
            </w:r>
            <w:r>
              <w:rPr>
                <w:rFonts w:cs="Tahoma"/>
              </w:rPr>
              <w:t xml:space="preserve"> </w:t>
            </w:r>
            <w:r w:rsidRPr="00EA3D9F">
              <w:rPr>
                <w:rFonts w:cs="Tahoma"/>
                <w:vertAlign w:val="superscript"/>
              </w:rPr>
              <w:t>e</w:t>
            </w:r>
          </w:p>
        </w:tc>
        <w:tc>
          <w:tcPr>
            <w:tcW w:w="992" w:type="dxa"/>
          </w:tcPr>
          <w:p w:rsidR="00B14FF5" w:rsidRPr="00E564DD" w:rsidRDefault="00B14FF5" w:rsidP="00C73C64">
            <w:pPr>
              <w:pStyle w:val="Tabletext"/>
              <w:rPr>
                <w:rFonts w:cs="Tahoma"/>
              </w:rPr>
            </w:pPr>
            <w:r w:rsidRPr="00E564DD">
              <w:rPr>
                <w:rFonts w:cs="Tahoma"/>
              </w:rPr>
              <w:t>Not serious</w:t>
            </w:r>
          </w:p>
        </w:tc>
        <w:tc>
          <w:tcPr>
            <w:tcW w:w="1276" w:type="dxa"/>
          </w:tcPr>
          <w:p w:rsidR="00B14FF5" w:rsidRPr="00E564DD" w:rsidRDefault="00B14FF5" w:rsidP="00C73C64">
            <w:pPr>
              <w:pStyle w:val="Tabletext"/>
              <w:rPr>
                <w:rFonts w:cs="Tahoma"/>
              </w:rPr>
            </w:pPr>
            <w:r w:rsidRPr="00E564DD">
              <w:rPr>
                <w:rFonts w:cs="Tahoma"/>
              </w:rPr>
              <w:t>None</w:t>
            </w:r>
          </w:p>
        </w:tc>
        <w:tc>
          <w:tcPr>
            <w:tcW w:w="1417" w:type="dxa"/>
          </w:tcPr>
          <w:p w:rsidR="00B14FF5" w:rsidRPr="00A17B9D" w:rsidRDefault="00A17B9D" w:rsidP="00C73C64">
            <w:pPr>
              <w:pStyle w:val="Tabletext"/>
              <w:rPr>
                <w:rFonts w:cs="Tahoma"/>
                <w:highlight w:val="black"/>
              </w:rPr>
            </w:pPr>
            <w:r>
              <w:rPr>
                <w:rFonts w:cs="Tahoma"/>
                <w:noProof/>
                <w:color w:val="000000"/>
                <w:highlight w:val="black"/>
              </w:rPr>
              <w:t>''''''''' '''''''''''''''''' ''''''''''''''</w:t>
            </w:r>
          </w:p>
        </w:tc>
        <w:tc>
          <w:tcPr>
            <w:tcW w:w="1134" w:type="dxa"/>
          </w:tcPr>
          <w:p w:rsidR="00B14FF5" w:rsidRPr="00A17B9D" w:rsidRDefault="00A17B9D" w:rsidP="00C73C64">
            <w:pPr>
              <w:pStyle w:val="Tabletext"/>
              <w:rPr>
                <w:rFonts w:cs="Tahoma"/>
                <w:highlight w:val="black"/>
              </w:rPr>
            </w:pPr>
            <w:r>
              <w:rPr>
                <w:rFonts w:cs="Tahoma"/>
                <w:noProof/>
                <w:color w:val="000000"/>
                <w:highlight w:val="black"/>
              </w:rPr>
              <w:t>''''''''' '''''''''''''''''' ''''''''''''''''</w:t>
            </w:r>
          </w:p>
        </w:tc>
        <w:tc>
          <w:tcPr>
            <w:tcW w:w="993" w:type="dxa"/>
          </w:tcPr>
          <w:p w:rsidR="00B14FF5" w:rsidRPr="00A17B9D" w:rsidRDefault="00A17B9D" w:rsidP="00C73C64">
            <w:pPr>
              <w:pStyle w:val="Tabletext"/>
              <w:rPr>
                <w:rFonts w:cs="Tahoma"/>
                <w:highlight w:val="black"/>
              </w:rPr>
            </w:pPr>
            <w:r>
              <w:rPr>
                <w:rFonts w:cs="Tahoma"/>
                <w:noProof/>
                <w:color w:val="000000"/>
                <w:highlight w:val="black"/>
              </w:rPr>
              <w:t>'''</w:t>
            </w:r>
          </w:p>
        </w:tc>
        <w:tc>
          <w:tcPr>
            <w:tcW w:w="2188" w:type="dxa"/>
          </w:tcPr>
          <w:p w:rsidR="00B14FF5" w:rsidRPr="00A17B9D" w:rsidRDefault="00A17B9D" w:rsidP="001F1FDD">
            <w:pPr>
              <w:pStyle w:val="Tabletext"/>
              <w:rPr>
                <w:rFonts w:cs="Tahoma"/>
                <w:highlight w:val="black"/>
              </w:rPr>
            </w:pPr>
            <w:r>
              <w:rPr>
                <w:rFonts w:cs="Tahoma"/>
                <w:noProof/>
                <w:color w:val="000000"/>
                <w:highlight w:val="black"/>
              </w:rPr>
              <w:t>'''''''''''''''' '''''''' '''''''''' ''''' '''''''''''''''</w:t>
            </w:r>
            <w:r>
              <w:rPr>
                <w:rFonts w:cs="Tahoma"/>
                <w:noProof/>
                <w:color w:val="000000"/>
                <w:highlight w:val="black"/>
              </w:rPr>
              <w:br/>
              <w:t>''''''''''''''' '''''''''' ''''''''''''''''' ''''' '''''''''' '''''''''''''''''</w:t>
            </w:r>
          </w:p>
        </w:tc>
        <w:tc>
          <w:tcPr>
            <w:tcW w:w="1214" w:type="dxa"/>
          </w:tcPr>
          <w:p w:rsidR="00B14FF5" w:rsidRPr="00B14FF5" w:rsidRDefault="00D35699" w:rsidP="00C73C64">
            <w:pPr>
              <w:pStyle w:val="Tabletext"/>
              <w:rPr>
                <w:rFonts w:eastAsia="Times New Roman" w:cs="Tahoma"/>
                <w:bCs/>
              </w:rPr>
            </w:pPr>
            <w:r w:rsidRPr="00D35699">
              <w:rPr>
                <w:rFonts w:eastAsia="Times New Roman" w:cs="Tahoma"/>
                <w:bCs/>
              </w:rPr>
              <w:t>Moderate</w:t>
            </w:r>
            <w:r w:rsidR="00B14FF5">
              <w:rPr>
                <w:rFonts w:eastAsia="Times New Roman" w:cs="Tahoma"/>
                <w:bCs/>
              </w:rPr>
              <w:br/>
            </w:r>
            <w:r w:rsidR="00476F09"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B14FF5" w:rsidRPr="00B14FF5" w:rsidRDefault="00B14FF5" w:rsidP="00C73C64">
            <w:pPr>
              <w:pStyle w:val="Tabletext"/>
              <w:rPr>
                <w:rFonts w:eastAsia="Times New Roman" w:cs="Tahoma"/>
                <w:bCs/>
              </w:rPr>
            </w:pPr>
            <w:r>
              <w:rPr>
                <w:rFonts w:eastAsia="Times New Roman" w:cs="Tahoma"/>
                <w:bCs/>
              </w:rPr>
              <w:t>I</w:t>
            </w:r>
            <w:r w:rsidRPr="00B14FF5">
              <w:rPr>
                <w:rFonts w:eastAsia="Times New Roman" w:cs="Tahoma"/>
                <w:bCs/>
              </w:rPr>
              <w:t>mportant</w:t>
            </w:r>
          </w:p>
        </w:tc>
      </w:tr>
      <w:tr w:rsidR="00CC3BA4" w:rsidRPr="00E564DD" w:rsidTr="00BC7F74">
        <w:trPr>
          <w:trHeight w:val="319"/>
        </w:trPr>
        <w:tc>
          <w:tcPr>
            <w:tcW w:w="1413" w:type="dxa"/>
          </w:tcPr>
          <w:p w:rsidR="00CC3BA4" w:rsidRPr="00E564DD" w:rsidRDefault="00CC3BA4" w:rsidP="00C73C64">
            <w:pPr>
              <w:pStyle w:val="Tabletext"/>
              <w:rPr>
                <w:rFonts w:cs="Tahoma"/>
              </w:rPr>
            </w:pPr>
            <w:r w:rsidRPr="00E564DD">
              <w:rPr>
                <w:rFonts w:cs="Tahoma"/>
              </w:rPr>
              <w:t xml:space="preserve">Change in </w:t>
            </w:r>
            <w:r>
              <w:rPr>
                <w:rFonts w:cs="Tahoma"/>
              </w:rPr>
              <w:t>haemodynamic parameters</w:t>
            </w:r>
            <w:r>
              <w:rPr>
                <w:rFonts w:cs="Tahoma"/>
              </w:rPr>
              <w:br/>
            </w:r>
            <w:r w:rsidRPr="00E564DD">
              <w:rPr>
                <w:rFonts w:cs="Tahoma"/>
              </w:rPr>
              <w:t xml:space="preserve">(26 weeks) </w:t>
            </w:r>
          </w:p>
        </w:tc>
        <w:tc>
          <w:tcPr>
            <w:tcW w:w="1134" w:type="dxa"/>
          </w:tcPr>
          <w:p w:rsidR="00CC3BA4" w:rsidRPr="00E564DD" w:rsidRDefault="00CC3BA4" w:rsidP="00C73C64">
            <w:pPr>
              <w:pStyle w:val="Tabletext"/>
              <w:rPr>
                <w:rFonts w:cs="Tahoma"/>
              </w:rPr>
            </w:pPr>
            <w:r w:rsidRPr="00E564DD">
              <w:rPr>
                <w:rFonts w:cs="Tahoma"/>
              </w:rPr>
              <w:t>1 RCT</w:t>
            </w:r>
          </w:p>
        </w:tc>
        <w:tc>
          <w:tcPr>
            <w:tcW w:w="912" w:type="dxa"/>
          </w:tcPr>
          <w:p w:rsidR="00CC3BA4" w:rsidRPr="00E564DD" w:rsidRDefault="00CC3BA4" w:rsidP="00C73C64">
            <w:pPr>
              <w:pStyle w:val="Tabletext"/>
              <w:rPr>
                <w:rFonts w:cs="Tahoma"/>
              </w:rPr>
            </w:pPr>
            <w:r>
              <w:rPr>
                <w:rFonts w:cs="Tahoma"/>
              </w:rPr>
              <w:t>Not s</w:t>
            </w:r>
            <w:r w:rsidRPr="00E564DD">
              <w:rPr>
                <w:rFonts w:cs="Tahoma"/>
              </w:rPr>
              <w:t>erious</w:t>
            </w:r>
          </w:p>
        </w:tc>
        <w:tc>
          <w:tcPr>
            <w:tcW w:w="931" w:type="dxa"/>
          </w:tcPr>
          <w:p w:rsidR="00CC3BA4" w:rsidRPr="00E564DD" w:rsidRDefault="00CC3BA4" w:rsidP="00C73C64">
            <w:pPr>
              <w:pStyle w:val="Tabletext"/>
              <w:rPr>
                <w:rFonts w:cs="Tahoma"/>
              </w:rPr>
            </w:pPr>
            <w:r w:rsidRPr="00E564DD">
              <w:rPr>
                <w:rFonts w:cs="Tahoma"/>
              </w:rPr>
              <w:t>Not serious</w:t>
            </w:r>
          </w:p>
        </w:tc>
        <w:tc>
          <w:tcPr>
            <w:tcW w:w="1134" w:type="dxa"/>
          </w:tcPr>
          <w:p w:rsidR="00CC3BA4" w:rsidRPr="00E564DD" w:rsidRDefault="00D35699" w:rsidP="00C73C64">
            <w:pPr>
              <w:pStyle w:val="Tabletext"/>
              <w:rPr>
                <w:rFonts w:cs="Tahoma"/>
              </w:rPr>
            </w:pPr>
            <w:r>
              <w:rPr>
                <w:rFonts w:cs="Tahoma"/>
              </w:rPr>
              <w:t>Very</w:t>
            </w:r>
            <w:r w:rsidRPr="00E564DD">
              <w:rPr>
                <w:rFonts w:cs="Tahoma"/>
              </w:rPr>
              <w:t xml:space="preserve"> </w:t>
            </w:r>
            <w:r w:rsidR="00CC3BA4" w:rsidRPr="00E564DD">
              <w:rPr>
                <w:rFonts w:cs="Tahoma"/>
              </w:rPr>
              <w:t>serious</w:t>
            </w:r>
            <w:r>
              <w:rPr>
                <w:rFonts w:cs="Tahoma"/>
              </w:rPr>
              <w:t xml:space="preserve"> </w:t>
            </w:r>
            <w:r w:rsidRPr="00EA3D9F">
              <w:rPr>
                <w:rFonts w:cs="Tahoma"/>
                <w:vertAlign w:val="superscript"/>
              </w:rPr>
              <w:t>e</w:t>
            </w:r>
          </w:p>
        </w:tc>
        <w:tc>
          <w:tcPr>
            <w:tcW w:w="992" w:type="dxa"/>
          </w:tcPr>
          <w:p w:rsidR="00CC3BA4" w:rsidRPr="00E564DD" w:rsidRDefault="00CC3BA4" w:rsidP="00C73C64">
            <w:pPr>
              <w:pStyle w:val="Tabletext"/>
              <w:rPr>
                <w:rFonts w:cs="Tahoma"/>
              </w:rPr>
            </w:pPr>
            <w:r w:rsidRPr="00E564DD">
              <w:rPr>
                <w:rFonts w:cs="Tahoma"/>
              </w:rPr>
              <w:t>Not serious</w:t>
            </w:r>
          </w:p>
        </w:tc>
        <w:tc>
          <w:tcPr>
            <w:tcW w:w="1276" w:type="dxa"/>
          </w:tcPr>
          <w:p w:rsidR="00CC3BA4" w:rsidRPr="00E564DD" w:rsidRDefault="00CC3BA4" w:rsidP="00C73C64">
            <w:pPr>
              <w:pStyle w:val="Tabletext"/>
              <w:rPr>
                <w:rFonts w:cs="Tahoma"/>
              </w:rPr>
            </w:pPr>
            <w:r w:rsidRPr="00E564DD">
              <w:rPr>
                <w:rFonts w:cs="Tahoma"/>
              </w:rPr>
              <w:t>None</w:t>
            </w:r>
          </w:p>
        </w:tc>
        <w:tc>
          <w:tcPr>
            <w:tcW w:w="1417" w:type="dxa"/>
          </w:tcPr>
          <w:p w:rsidR="00CC3BA4" w:rsidRPr="00A17B9D" w:rsidRDefault="00A17B9D" w:rsidP="00C73C64">
            <w:pPr>
              <w:pStyle w:val="Tabletext"/>
              <w:rPr>
                <w:rFonts w:cs="Tahoma"/>
                <w:highlight w:val="black"/>
              </w:rPr>
            </w:pPr>
            <w:r>
              <w:rPr>
                <w:rFonts w:cs="Tahoma"/>
                <w:noProof/>
                <w:color w:val="000000"/>
                <w:highlight w:val="black"/>
              </w:rPr>
              <w:t>'''''' '''''''''''''''''' '''''''''''''</w:t>
            </w:r>
          </w:p>
        </w:tc>
        <w:tc>
          <w:tcPr>
            <w:tcW w:w="1134" w:type="dxa"/>
          </w:tcPr>
          <w:p w:rsidR="00CC3BA4" w:rsidRPr="00A17B9D" w:rsidRDefault="00A17B9D" w:rsidP="00C73C64">
            <w:pPr>
              <w:pStyle w:val="Tabletext"/>
              <w:rPr>
                <w:rFonts w:cs="Tahoma"/>
                <w:highlight w:val="black"/>
              </w:rPr>
            </w:pPr>
            <w:r>
              <w:rPr>
                <w:rFonts w:cs="Tahoma"/>
                <w:noProof/>
                <w:color w:val="000000"/>
                <w:highlight w:val="black"/>
              </w:rPr>
              <w:t>'''''' '''''''''''''''''' '''''''''''''''</w:t>
            </w:r>
          </w:p>
        </w:tc>
        <w:tc>
          <w:tcPr>
            <w:tcW w:w="993" w:type="dxa"/>
          </w:tcPr>
          <w:p w:rsidR="00CC3BA4" w:rsidRPr="00A17B9D" w:rsidRDefault="00A17B9D" w:rsidP="00C73C64">
            <w:pPr>
              <w:pStyle w:val="Tabletext"/>
              <w:rPr>
                <w:rFonts w:cs="Tahoma"/>
                <w:highlight w:val="black"/>
              </w:rPr>
            </w:pPr>
            <w:r>
              <w:rPr>
                <w:rFonts w:cs="Tahoma"/>
                <w:noProof/>
                <w:color w:val="000000"/>
                <w:highlight w:val="black"/>
              </w:rPr>
              <w:t>'''</w:t>
            </w:r>
          </w:p>
        </w:tc>
        <w:tc>
          <w:tcPr>
            <w:tcW w:w="2188" w:type="dxa"/>
          </w:tcPr>
          <w:p w:rsidR="00CC3BA4" w:rsidRPr="00A17B9D" w:rsidRDefault="00A17B9D" w:rsidP="00796E53">
            <w:pPr>
              <w:pStyle w:val="Tabletext"/>
              <w:rPr>
                <w:rFonts w:cs="Tahoma"/>
                <w:highlight w:val="black"/>
              </w:rPr>
            </w:pPr>
            <w:r>
              <w:rPr>
                <w:rFonts w:cs="Tahoma"/>
                <w:noProof/>
                <w:color w:val="000000"/>
                <w:highlight w:val="black"/>
              </w:rPr>
              <w:t>'''''''''''</w:t>
            </w:r>
            <w:r>
              <w:rPr>
                <w:rFonts w:cs="Tahoma"/>
                <w:noProof/>
                <w:color w:val="000000"/>
                <w:highlight w:val="black"/>
              </w:rPr>
              <w:br/>
              <w:t>'''''''' '''''''''''''' ''''''''''''''''''''''''''''''' ''''''''''''''' ''''' '''''''''''''' '''''''''''''''''''''''''''''''</w:t>
            </w:r>
          </w:p>
        </w:tc>
        <w:tc>
          <w:tcPr>
            <w:tcW w:w="1214" w:type="dxa"/>
          </w:tcPr>
          <w:p w:rsidR="00CC3BA4" w:rsidRPr="008413D5" w:rsidRDefault="00D35699" w:rsidP="00C73C64">
            <w:pPr>
              <w:pStyle w:val="Tabletext"/>
              <w:rPr>
                <w:rFonts w:eastAsia="Times New Roman" w:cs="Tahoma"/>
                <w:bCs/>
              </w:rPr>
            </w:pPr>
            <w:r>
              <w:rPr>
                <w:rFonts w:eastAsia="Times New Roman" w:cs="Tahoma"/>
                <w:bCs/>
              </w:rPr>
              <w:t>Low</w:t>
            </w:r>
            <w:r w:rsidR="00CC3BA4">
              <w:rPr>
                <w:rFonts w:eastAsia="Times New Roman" w:cs="Tahoma"/>
                <w:bCs/>
              </w:rPr>
              <w:br/>
            </w:r>
            <w:r w:rsidR="00CC3BA4"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8413D5" w:rsidRDefault="00CC3BA4" w:rsidP="00C73C64">
            <w:pPr>
              <w:pStyle w:val="Tabletext"/>
              <w:rPr>
                <w:rFonts w:eastAsia="Times New Roman" w:cs="Tahoma"/>
                <w:bCs/>
              </w:rPr>
            </w:pPr>
            <w:r w:rsidRPr="008413D5">
              <w:rPr>
                <w:rFonts w:eastAsia="Times New Roman" w:cs="Tahoma"/>
                <w:bCs/>
              </w:rPr>
              <w:t>Not important</w:t>
            </w:r>
          </w:p>
        </w:tc>
      </w:tr>
    </w:tbl>
    <w:p w:rsidR="00CC3BA4" w:rsidRPr="00AA018C" w:rsidRDefault="00CC3BA4" w:rsidP="00C73C64">
      <w:pPr>
        <w:pStyle w:val="Tablenote"/>
      </w:pPr>
      <w:r w:rsidRPr="00E564DD">
        <w:rPr>
          <w:vertAlign w:val="superscript"/>
        </w:rPr>
        <w:t xml:space="preserve">a </w:t>
      </w:r>
      <w:r w:rsidRPr="00AA018C">
        <w:t>O</w:t>
      </w:r>
      <w:r>
        <w:t>ther considerations such as publication bias and effect size</w:t>
      </w:r>
    </w:p>
    <w:p w:rsidR="00CC3BA4" w:rsidRDefault="00CC3BA4" w:rsidP="00C73C64">
      <w:pPr>
        <w:pStyle w:val="Tablenote"/>
      </w:pPr>
      <w:r>
        <w:rPr>
          <w:vertAlign w:val="superscript"/>
        </w:rPr>
        <w:lastRenderedPageBreak/>
        <w:t xml:space="preserve">b </w:t>
      </w:r>
      <w:r w:rsidRPr="00E564DD">
        <w:t>GRADE W</w:t>
      </w:r>
      <w:r>
        <w:t>orking Group grades of evidence</w:t>
      </w:r>
      <w:r w:rsidR="001D34EE" w:rsidRPr="001D34EE">
        <w:rPr>
          <w:noProof/>
          <w:vertAlign w:val="superscript"/>
        </w:rPr>
        <w:t>1</w:t>
      </w:r>
    </w:p>
    <w:p w:rsidR="00CC3BA4" w:rsidRPr="00FE763B" w:rsidRDefault="00CC3BA4" w:rsidP="00C73C64">
      <w:pPr>
        <w:pStyle w:val="Tablenote"/>
      </w:pPr>
      <w:r w:rsidRPr="00FE763B">
        <w:rPr>
          <w:vertAlign w:val="superscript"/>
        </w:rPr>
        <w:t>c</w:t>
      </w:r>
      <w:r w:rsidRPr="00FE763B">
        <w:t xml:space="preserve"> Randomisation was not stratified by subgroup of interest</w:t>
      </w:r>
    </w:p>
    <w:p w:rsidR="00CC3BA4" w:rsidRDefault="00CC3BA4" w:rsidP="00C73C64">
      <w:pPr>
        <w:pStyle w:val="Tablenote"/>
      </w:pPr>
      <w:r w:rsidRPr="00FE763B">
        <w:rPr>
          <w:vertAlign w:val="superscript"/>
        </w:rPr>
        <w:t>d</w:t>
      </w:r>
      <w:r w:rsidRPr="00FE763B">
        <w:t xml:space="preserve"> Wide 95% CIs that span 1</w:t>
      </w:r>
    </w:p>
    <w:p w:rsidR="00D35699" w:rsidRPr="00D35699" w:rsidRDefault="00D35699" w:rsidP="00C73C64">
      <w:pPr>
        <w:pStyle w:val="Tablenote"/>
      </w:pPr>
      <w:r>
        <w:rPr>
          <w:vertAlign w:val="superscript"/>
        </w:rPr>
        <w:t xml:space="preserve">e </w:t>
      </w:r>
      <w:r>
        <w:t>Surrogate outcome</w:t>
      </w:r>
    </w:p>
    <w:p w:rsidR="00CC3BA4" w:rsidRPr="00E564DD" w:rsidRDefault="00CC3BA4" w:rsidP="00C73C64">
      <w:pPr>
        <w:pStyle w:val="Tablenote"/>
      </w:pPr>
      <w:r w:rsidRPr="00E564DD">
        <w:rPr>
          <w:rFonts w:ascii="Cambria Math" w:hAnsi="Cambria Math" w:cs="Cambria Math"/>
          <w:color w:val="00B050"/>
        </w:rPr>
        <w:t>⨁⨁⨁⨁</w:t>
      </w:r>
      <w:r w:rsidRPr="00E564DD">
        <w:rPr>
          <w:color w:val="00B050"/>
        </w:rPr>
        <w:t xml:space="preserve"> </w:t>
      </w:r>
      <w:r w:rsidRPr="00E564DD">
        <w:rPr>
          <w:b/>
        </w:rPr>
        <w:t>High quality:</w:t>
      </w:r>
      <w:r w:rsidRPr="00E564DD">
        <w:t xml:space="preserve"> We are very confident that the true effect lies close to that of the estimate of effect</w:t>
      </w:r>
    </w:p>
    <w:p w:rsidR="00CC3BA4" w:rsidRPr="00E564DD" w:rsidRDefault="00CC3BA4" w:rsidP="00C73C64">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D35699" w:rsidRPr="00E564DD" w:rsidRDefault="00D35699" w:rsidP="00D35699">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Low quality:</w:t>
      </w:r>
      <w:r w:rsidRPr="00E564DD">
        <w:t xml:space="preserve"> Our confidence in the effect estimate is limited: The true effect may be substantially different from the estimate of the effect</w:t>
      </w:r>
    </w:p>
    <w:p w:rsidR="00146880" w:rsidRDefault="00CC3BA4" w:rsidP="00C73C64">
      <w:pPr>
        <w:pStyle w:val="Tablenote"/>
      </w:pPr>
      <w:r>
        <w:t xml:space="preserve">6MWD = 6-minute </w:t>
      </w:r>
      <w:r w:rsidR="0082368E">
        <w:t>walk distance</w:t>
      </w:r>
      <w:r>
        <w:t>; AR</w:t>
      </w:r>
      <w:r w:rsidR="00B21201">
        <w:t>D</w:t>
      </w:r>
      <w:r>
        <w:t xml:space="preserve"> = absolute risk </w:t>
      </w:r>
      <w:r w:rsidR="00B21201">
        <w:t>difference</w:t>
      </w:r>
      <w:r>
        <w: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064FEF" w:rsidRPr="00F24B06">
        <w:t xml:space="preserve">; </w:t>
      </w:r>
      <w:r>
        <w:t xml:space="preserve">MD = mean difference; </w:t>
      </w:r>
      <w:r w:rsidRPr="00C65B42">
        <w:t xml:space="preserve">PAH = pulmonary arterial hypertension; </w:t>
      </w:r>
      <w:r w:rsidRPr="008D4A39">
        <w:t xml:space="preserve">PVR = pulmonary vascular resistance; </w:t>
      </w:r>
      <w:r>
        <w:t>RCT = randomised controlled trial; RR = relative risk; WHO = World Health Organization</w:t>
      </w:r>
    </w:p>
    <w:p w:rsidR="00CC3BA4" w:rsidRPr="005D4CA0" w:rsidRDefault="00796F18" w:rsidP="00BC5A2B">
      <w:pPr>
        <w:pStyle w:val="Caption"/>
      </w:pPr>
      <w:bookmarkStart w:id="502" w:name="_Ref501368552"/>
      <w:bookmarkStart w:id="503" w:name="_Toc512855551"/>
      <w:r>
        <w:t>Table 4.</w:t>
      </w:r>
      <w:r w:rsidR="00AA722D">
        <w:rPr>
          <w:noProof/>
        </w:rPr>
        <w:t>147</w:t>
      </w:r>
      <w:bookmarkEnd w:id="502"/>
      <w:r>
        <w:tab/>
      </w:r>
      <w:r w:rsidR="00CC3BA4" w:rsidRPr="005D4CA0">
        <w:t xml:space="preserve">Evidence profile table for </w:t>
      </w:r>
      <w:r w:rsidR="00CC3BA4">
        <w:t>PDE-5 inhibitor</w:t>
      </w:r>
      <w:r w:rsidR="00CC3BA4" w:rsidRPr="005D4CA0">
        <w:t xml:space="preserve"> compared to placebo for patients with WHO FC I/II PAH</w:t>
      </w:r>
      <w:bookmarkEnd w:id="503"/>
    </w:p>
    <w:tbl>
      <w:tblPr>
        <w:tblStyle w:val="TableGrid"/>
        <w:tblW w:w="14818" w:type="dxa"/>
        <w:tblLayout w:type="fixed"/>
        <w:tblLook w:val="04A0" w:firstRow="1" w:lastRow="0" w:firstColumn="1" w:lastColumn="0" w:noHBand="0" w:noVBand="1"/>
        <w:tblCaption w:val="Evidence profile table for PDE-5 inhibitor compared to placebo for patients with WHO FC I/II PAH"/>
      </w:tblPr>
      <w:tblGrid>
        <w:gridCol w:w="1413"/>
        <w:gridCol w:w="1074"/>
        <w:gridCol w:w="910"/>
        <w:gridCol w:w="1133"/>
        <w:gridCol w:w="992"/>
        <w:gridCol w:w="1134"/>
        <w:gridCol w:w="1260"/>
        <w:gridCol w:w="1373"/>
        <w:gridCol w:w="1134"/>
        <w:gridCol w:w="993"/>
        <w:gridCol w:w="2108"/>
        <w:gridCol w:w="1294"/>
      </w:tblGrid>
      <w:tr w:rsidR="00476F09" w:rsidRPr="00476F09" w:rsidTr="00BC7F74">
        <w:trPr>
          <w:cnfStyle w:val="100000000000" w:firstRow="1" w:lastRow="0" w:firstColumn="0" w:lastColumn="0" w:oddVBand="0" w:evenVBand="0" w:oddHBand="0" w:evenHBand="0" w:firstRowFirstColumn="0" w:firstRowLastColumn="0" w:lastRowFirstColumn="0" w:lastRowLastColumn="0"/>
          <w:trHeight w:val="788"/>
        </w:trPr>
        <w:tc>
          <w:tcPr>
            <w:tcW w:w="1413" w:type="dxa"/>
          </w:tcPr>
          <w:p w:rsidR="00064FEF" w:rsidRDefault="00476F09" w:rsidP="00476F09">
            <w:pPr>
              <w:pStyle w:val="Tabletext"/>
              <w:rPr>
                <w:b/>
              </w:rPr>
            </w:pPr>
            <w:r w:rsidRPr="00476F09">
              <w:rPr>
                <w:b/>
              </w:rPr>
              <w:t>Outcome</w:t>
            </w:r>
          </w:p>
          <w:p w:rsidR="00476F09" w:rsidRPr="00476F09" w:rsidRDefault="00476F09" w:rsidP="00476F09">
            <w:pPr>
              <w:pStyle w:val="Tabletext"/>
              <w:rPr>
                <w:b/>
              </w:rPr>
            </w:pPr>
            <w:r w:rsidRPr="00476F09">
              <w:rPr>
                <w:b/>
              </w:rPr>
              <w:t>(follow-up)</w:t>
            </w:r>
          </w:p>
        </w:tc>
        <w:tc>
          <w:tcPr>
            <w:tcW w:w="1074" w:type="dxa"/>
          </w:tcPr>
          <w:p w:rsidR="00476F09" w:rsidRPr="00476F09" w:rsidRDefault="00476F09" w:rsidP="00476F09">
            <w:pPr>
              <w:pStyle w:val="Tabletext"/>
              <w:rPr>
                <w:b/>
              </w:rPr>
            </w:pPr>
            <w:r w:rsidRPr="00476F09">
              <w:rPr>
                <w:b/>
              </w:rPr>
              <w:t>No. of studies and study design</w:t>
            </w:r>
          </w:p>
        </w:tc>
        <w:tc>
          <w:tcPr>
            <w:tcW w:w="910" w:type="dxa"/>
          </w:tcPr>
          <w:p w:rsidR="00476F09" w:rsidRPr="00476F09" w:rsidRDefault="00476F09" w:rsidP="00476F09">
            <w:pPr>
              <w:pStyle w:val="Tabletext"/>
              <w:rPr>
                <w:b/>
              </w:rPr>
            </w:pPr>
            <w:r w:rsidRPr="00476F09">
              <w:rPr>
                <w:b/>
              </w:rPr>
              <w:t>Risk of bias</w:t>
            </w:r>
          </w:p>
        </w:tc>
        <w:tc>
          <w:tcPr>
            <w:tcW w:w="1133" w:type="dxa"/>
          </w:tcPr>
          <w:p w:rsidR="00476F09" w:rsidRPr="00476F09" w:rsidRDefault="00476F09" w:rsidP="00476F09">
            <w:pPr>
              <w:pStyle w:val="Tabletext"/>
              <w:rPr>
                <w:b/>
              </w:rPr>
            </w:pPr>
            <w:r w:rsidRPr="00476F09">
              <w:rPr>
                <w:b/>
              </w:rPr>
              <w:t>Inconsis</w:t>
            </w:r>
            <w:r w:rsidR="00BC7F74">
              <w:rPr>
                <w:b/>
              </w:rPr>
              <w:t>-</w:t>
            </w:r>
            <w:r w:rsidRPr="00476F09">
              <w:rPr>
                <w:b/>
              </w:rPr>
              <w:t>tency</w:t>
            </w:r>
          </w:p>
        </w:tc>
        <w:tc>
          <w:tcPr>
            <w:tcW w:w="992" w:type="dxa"/>
          </w:tcPr>
          <w:p w:rsidR="00476F09" w:rsidRPr="00476F09" w:rsidRDefault="00476F09" w:rsidP="00476F09">
            <w:pPr>
              <w:pStyle w:val="Tabletext"/>
              <w:rPr>
                <w:b/>
              </w:rPr>
            </w:pPr>
            <w:r w:rsidRPr="00476F09">
              <w:rPr>
                <w:b/>
              </w:rPr>
              <w:t>Indirect</w:t>
            </w:r>
            <w:r w:rsidR="00BC7F74">
              <w:rPr>
                <w:b/>
              </w:rPr>
              <w:t>-</w:t>
            </w:r>
            <w:r w:rsidRPr="00476F09">
              <w:rPr>
                <w:b/>
              </w:rPr>
              <w:t>ness</w:t>
            </w:r>
          </w:p>
        </w:tc>
        <w:tc>
          <w:tcPr>
            <w:tcW w:w="1134" w:type="dxa"/>
          </w:tcPr>
          <w:p w:rsidR="00476F09" w:rsidRPr="00476F09" w:rsidRDefault="00476F09" w:rsidP="00476F09">
            <w:pPr>
              <w:pStyle w:val="Tabletext"/>
              <w:rPr>
                <w:b/>
              </w:rPr>
            </w:pPr>
            <w:r w:rsidRPr="00476F09">
              <w:rPr>
                <w:b/>
              </w:rPr>
              <w:t>Impre</w:t>
            </w:r>
            <w:r w:rsidR="00BC7F74">
              <w:rPr>
                <w:b/>
              </w:rPr>
              <w:t>-</w:t>
            </w:r>
            <w:r w:rsidRPr="00476F09">
              <w:rPr>
                <w:b/>
              </w:rPr>
              <w:t>cision</w:t>
            </w:r>
          </w:p>
        </w:tc>
        <w:tc>
          <w:tcPr>
            <w:tcW w:w="1260" w:type="dxa"/>
          </w:tcPr>
          <w:p w:rsidR="00476F09" w:rsidRPr="00476F09" w:rsidRDefault="00476F09" w:rsidP="00476F09">
            <w:pPr>
              <w:pStyle w:val="Tabletext"/>
              <w:rPr>
                <w:b/>
              </w:rPr>
            </w:pPr>
            <w:r w:rsidRPr="00476F09">
              <w:rPr>
                <w:b/>
              </w:rPr>
              <w:t>Other conside</w:t>
            </w:r>
            <w:r w:rsidR="00BC7F74">
              <w:rPr>
                <w:b/>
              </w:rPr>
              <w:t>-</w:t>
            </w:r>
            <w:r w:rsidRPr="00476F09">
              <w:rPr>
                <w:b/>
              </w:rPr>
              <w:t>rations</w:t>
            </w:r>
            <w:r w:rsidRPr="00476F09">
              <w:rPr>
                <w:b/>
                <w:vertAlign w:val="superscript"/>
              </w:rPr>
              <w:t>a</w:t>
            </w:r>
          </w:p>
        </w:tc>
        <w:tc>
          <w:tcPr>
            <w:tcW w:w="1373" w:type="dxa"/>
          </w:tcPr>
          <w:p w:rsidR="00476F09" w:rsidRPr="00476F09" w:rsidRDefault="00476F09" w:rsidP="00476F09">
            <w:pPr>
              <w:pStyle w:val="Tabletext"/>
              <w:rPr>
                <w:b/>
              </w:rPr>
            </w:pPr>
            <w:r w:rsidRPr="00476F09">
              <w:rPr>
                <w:b/>
              </w:rPr>
              <w:t>Study event rates (%) with PDE-5 inhibitor</w:t>
            </w:r>
          </w:p>
        </w:tc>
        <w:tc>
          <w:tcPr>
            <w:tcW w:w="1134" w:type="dxa"/>
          </w:tcPr>
          <w:p w:rsidR="00476F09" w:rsidRPr="00476F09" w:rsidRDefault="00476F09" w:rsidP="00476F09">
            <w:pPr>
              <w:pStyle w:val="Tabletext"/>
              <w:rPr>
                <w:b/>
              </w:rPr>
            </w:pPr>
            <w:r w:rsidRPr="00476F09">
              <w:rPr>
                <w:b/>
              </w:rPr>
              <w:t>Study event rates (%) with placebo</w:t>
            </w:r>
          </w:p>
        </w:tc>
        <w:tc>
          <w:tcPr>
            <w:tcW w:w="993" w:type="dxa"/>
          </w:tcPr>
          <w:p w:rsidR="00476F09" w:rsidRPr="00476F09" w:rsidRDefault="00476F09" w:rsidP="00476F09">
            <w:pPr>
              <w:pStyle w:val="Tabletext"/>
              <w:rPr>
                <w:b/>
              </w:rPr>
            </w:pPr>
            <w:r w:rsidRPr="00476F09">
              <w:rPr>
                <w:b/>
              </w:rPr>
              <w:t>Effect measure (95%CI)</w:t>
            </w:r>
          </w:p>
        </w:tc>
        <w:tc>
          <w:tcPr>
            <w:tcW w:w="2108" w:type="dxa"/>
          </w:tcPr>
          <w:p w:rsidR="00476F09" w:rsidRPr="00476F09" w:rsidRDefault="00476F09" w:rsidP="00476F09">
            <w:pPr>
              <w:pStyle w:val="Tabletext"/>
              <w:rPr>
                <w:b/>
              </w:rPr>
            </w:pPr>
            <w:r w:rsidRPr="00476F09">
              <w:rPr>
                <w:b/>
              </w:rPr>
              <w:t>Absolute effect (95%CI)</w:t>
            </w:r>
          </w:p>
        </w:tc>
        <w:tc>
          <w:tcPr>
            <w:tcW w:w="1294" w:type="dxa"/>
          </w:tcPr>
          <w:p w:rsidR="00064FEF" w:rsidRDefault="00064FEF" w:rsidP="00476F09">
            <w:pPr>
              <w:pStyle w:val="Tabletext"/>
              <w:rPr>
                <w:b/>
              </w:rPr>
            </w:pPr>
            <w:r>
              <w:rPr>
                <w:b/>
              </w:rPr>
              <w:t>GRADE</w:t>
            </w:r>
            <w:r w:rsidRPr="00064FEF">
              <w:rPr>
                <w:b/>
                <w:vertAlign w:val="superscript"/>
              </w:rPr>
              <w:t>b</w:t>
            </w:r>
          </w:p>
          <w:p w:rsidR="00476F09" w:rsidRPr="00476F09" w:rsidRDefault="00476F09" w:rsidP="00476F09">
            <w:pPr>
              <w:pStyle w:val="Tabletext"/>
              <w:rPr>
                <w:b/>
              </w:rPr>
            </w:pPr>
            <w:r w:rsidRPr="00476F09">
              <w:rPr>
                <w:b/>
              </w:rPr>
              <w:t>Quality</w:t>
            </w:r>
          </w:p>
          <w:p w:rsidR="00476F09" w:rsidRPr="00476F09" w:rsidRDefault="00476F09" w:rsidP="00476F09">
            <w:pPr>
              <w:pStyle w:val="Tabletext"/>
              <w:rPr>
                <w:b/>
              </w:rPr>
            </w:pPr>
            <w:r w:rsidRPr="00476F09">
              <w:rPr>
                <w:b/>
              </w:rPr>
              <w:t>Importance</w:t>
            </w:r>
          </w:p>
        </w:tc>
      </w:tr>
      <w:tr w:rsidR="00CC3BA4" w:rsidRPr="00E564DD" w:rsidTr="00BC7F74">
        <w:trPr>
          <w:trHeight w:val="319"/>
        </w:trPr>
        <w:tc>
          <w:tcPr>
            <w:tcW w:w="1413" w:type="dxa"/>
          </w:tcPr>
          <w:p w:rsidR="00CC3BA4" w:rsidRPr="00E564DD" w:rsidRDefault="00CC3BA4" w:rsidP="00C73C64">
            <w:pPr>
              <w:pStyle w:val="Tabletext"/>
              <w:rPr>
                <w:rFonts w:cs="Tahoma"/>
              </w:rPr>
            </w:pPr>
            <w:r w:rsidRPr="00E564DD">
              <w:rPr>
                <w:rFonts w:cs="Tahoma"/>
              </w:rPr>
              <w:t>All-cause mortality</w:t>
            </w:r>
            <w:r>
              <w:rPr>
                <w:rFonts w:cs="Tahoma"/>
              </w:rPr>
              <w:br/>
              <w:t>(</w:t>
            </w:r>
            <w:r w:rsidRPr="004412D0">
              <w:rPr>
                <w:rFonts w:cs="Tahoma"/>
              </w:rPr>
              <w:t>48 months</w:t>
            </w:r>
            <w:r>
              <w:rPr>
                <w:rFonts w:cs="Tahoma"/>
              </w:rPr>
              <w:t>)</w:t>
            </w:r>
          </w:p>
        </w:tc>
        <w:tc>
          <w:tcPr>
            <w:tcW w:w="1074" w:type="dxa"/>
          </w:tcPr>
          <w:p w:rsidR="00CC3BA4" w:rsidRPr="00E564DD" w:rsidRDefault="00CC3BA4" w:rsidP="00C73C64">
            <w:pPr>
              <w:pStyle w:val="Tabletext"/>
              <w:rPr>
                <w:rFonts w:cs="Tahoma"/>
              </w:rPr>
            </w:pPr>
            <w:r>
              <w:rPr>
                <w:rFonts w:cs="Tahoma"/>
              </w:rPr>
              <w:t>2</w:t>
            </w:r>
            <w:r w:rsidRPr="00E564DD">
              <w:rPr>
                <w:rFonts w:cs="Tahoma"/>
              </w:rPr>
              <w:t xml:space="preserve"> </w:t>
            </w:r>
            <w:r w:rsidRPr="005F7A66">
              <w:rPr>
                <w:rFonts w:cs="Tahoma"/>
                <w:u w:val="single"/>
              </w:rPr>
              <w:t>cohort</w:t>
            </w:r>
            <w:r>
              <w:rPr>
                <w:rFonts w:cs="Tahoma"/>
              </w:rPr>
              <w:t xml:space="preserve"> studies</w:t>
            </w:r>
          </w:p>
        </w:tc>
        <w:tc>
          <w:tcPr>
            <w:tcW w:w="910" w:type="dxa"/>
          </w:tcPr>
          <w:p w:rsidR="00CC3BA4" w:rsidRPr="00E564DD" w:rsidRDefault="00CC3BA4" w:rsidP="00C73C64">
            <w:pPr>
              <w:pStyle w:val="Tabletext"/>
              <w:rPr>
                <w:rFonts w:cs="Tahoma"/>
              </w:rPr>
            </w:pPr>
            <w:r w:rsidRPr="006316DF">
              <w:rPr>
                <w:rFonts w:cs="Tahoma"/>
              </w:rPr>
              <w:t xml:space="preserve">Serious </w:t>
            </w:r>
            <w:r>
              <w:rPr>
                <w:rFonts w:cs="Tahoma"/>
                <w:vertAlign w:val="superscript"/>
              </w:rPr>
              <w:t>c,d,e</w:t>
            </w:r>
          </w:p>
        </w:tc>
        <w:tc>
          <w:tcPr>
            <w:tcW w:w="1133" w:type="dxa"/>
          </w:tcPr>
          <w:p w:rsidR="00CC3BA4" w:rsidRPr="00E564DD" w:rsidRDefault="00CC3BA4" w:rsidP="00C73C64">
            <w:pPr>
              <w:pStyle w:val="Tabletext"/>
              <w:rPr>
                <w:rFonts w:cs="Tahoma"/>
              </w:rPr>
            </w:pPr>
            <w:r w:rsidRPr="00E564DD">
              <w:rPr>
                <w:rFonts w:cs="Tahoma"/>
              </w:rPr>
              <w:t>Not serious</w:t>
            </w:r>
          </w:p>
        </w:tc>
        <w:tc>
          <w:tcPr>
            <w:tcW w:w="992" w:type="dxa"/>
          </w:tcPr>
          <w:p w:rsidR="00CC3BA4" w:rsidRPr="00E564DD" w:rsidRDefault="00CC3BA4" w:rsidP="00C73C64">
            <w:pPr>
              <w:pStyle w:val="Tabletext"/>
              <w:rPr>
                <w:rFonts w:cs="Tahoma"/>
              </w:rPr>
            </w:pPr>
            <w:r w:rsidRPr="00E564DD">
              <w:rPr>
                <w:rFonts w:cs="Tahoma"/>
              </w:rPr>
              <w:t>Not serious</w:t>
            </w:r>
          </w:p>
        </w:tc>
        <w:tc>
          <w:tcPr>
            <w:tcW w:w="1134" w:type="dxa"/>
          </w:tcPr>
          <w:p w:rsidR="00CC3BA4" w:rsidRPr="00E564DD" w:rsidRDefault="00CC3BA4" w:rsidP="00C73C64">
            <w:pPr>
              <w:pStyle w:val="Tabletext"/>
              <w:rPr>
                <w:rFonts w:cs="Tahoma"/>
              </w:rPr>
            </w:pPr>
            <w:r>
              <w:rPr>
                <w:rFonts w:cs="Tahoma"/>
              </w:rPr>
              <w:t>S</w:t>
            </w:r>
            <w:r w:rsidRPr="00E564DD">
              <w:rPr>
                <w:rFonts w:cs="Tahoma"/>
              </w:rPr>
              <w:t>erious</w:t>
            </w:r>
            <w:r>
              <w:rPr>
                <w:rFonts w:cs="Tahoma"/>
              </w:rPr>
              <w:t xml:space="preserve"> </w:t>
            </w:r>
            <w:r>
              <w:rPr>
                <w:rFonts w:cs="Tahoma"/>
                <w:vertAlign w:val="superscript"/>
              </w:rPr>
              <w:t>f</w:t>
            </w:r>
          </w:p>
        </w:tc>
        <w:tc>
          <w:tcPr>
            <w:tcW w:w="1260" w:type="dxa"/>
          </w:tcPr>
          <w:p w:rsidR="00CC3BA4" w:rsidRPr="00E564DD" w:rsidRDefault="00CC3BA4" w:rsidP="00C73C64">
            <w:pPr>
              <w:pStyle w:val="Tabletext"/>
              <w:rPr>
                <w:rFonts w:cs="Tahoma"/>
              </w:rPr>
            </w:pPr>
            <w:r>
              <w:rPr>
                <w:rFonts w:cs="Tahoma"/>
              </w:rPr>
              <w:t>Strong association</w:t>
            </w:r>
          </w:p>
        </w:tc>
        <w:tc>
          <w:tcPr>
            <w:tcW w:w="1373" w:type="dxa"/>
          </w:tcPr>
          <w:p w:rsidR="00CC3BA4" w:rsidRPr="00E564DD" w:rsidRDefault="00CC3BA4" w:rsidP="00C73C64">
            <w:pPr>
              <w:pStyle w:val="Tabletext"/>
              <w:rPr>
                <w:rFonts w:cs="Tahoma"/>
              </w:rPr>
            </w:pPr>
            <w:r>
              <w:rPr>
                <w:rFonts w:cs="Tahoma"/>
              </w:rPr>
              <w:t>1</w:t>
            </w:r>
            <w:r w:rsidRPr="00E564DD">
              <w:rPr>
                <w:rFonts w:cs="Tahoma"/>
              </w:rPr>
              <w:t>0/</w:t>
            </w:r>
            <w:r>
              <w:rPr>
                <w:rFonts w:cs="Tahoma"/>
              </w:rPr>
              <w:t>10</w:t>
            </w:r>
            <w:r w:rsidRPr="00E564DD">
              <w:rPr>
                <w:rFonts w:cs="Tahoma"/>
              </w:rPr>
              <w:t>0 (</w:t>
            </w:r>
            <w:r>
              <w:rPr>
                <w:rFonts w:cs="Tahoma"/>
              </w:rPr>
              <w:t>1</w:t>
            </w:r>
            <w:r w:rsidRPr="00E564DD">
              <w:rPr>
                <w:rFonts w:cs="Tahoma"/>
              </w:rPr>
              <w:t>0%)</w:t>
            </w:r>
          </w:p>
        </w:tc>
        <w:tc>
          <w:tcPr>
            <w:tcW w:w="1134" w:type="dxa"/>
          </w:tcPr>
          <w:p w:rsidR="00CC3BA4" w:rsidRPr="00E564DD" w:rsidRDefault="00CC3BA4" w:rsidP="00C73C64">
            <w:pPr>
              <w:pStyle w:val="Tabletext"/>
              <w:rPr>
                <w:rFonts w:cs="Tahoma"/>
              </w:rPr>
            </w:pPr>
            <w:r>
              <w:rPr>
                <w:rFonts w:cs="Tahoma"/>
              </w:rPr>
              <w:t>11</w:t>
            </w:r>
            <w:r w:rsidRPr="00E564DD">
              <w:rPr>
                <w:rFonts w:cs="Tahoma"/>
              </w:rPr>
              <w:t>/</w:t>
            </w:r>
            <w:r>
              <w:rPr>
                <w:rFonts w:cs="Tahoma"/>
              </w:rPr>
              <w:t>55</w:t>
            </w:r>
            <w:r w:rsidRPr="00E564DD">
              <w:rPr>
                <w:rFonts w:cs="Tahoma"/>
              </w:rPr>
              <w:t xml:space="preserve"> (</w:t>
            </w:r>
            <w:r>
              <w:rPr>
                <w:rFonts w:cs="Tahoma"/>
              </w:rPr>
              <w:t>20</w:t>
            </w:r>
            <w:r w:rsidRPr="00E564DD">
              <w:rPr>
                <w:rFonts w:cs="Tahoma"/>
              </w:rPr>
              <w:t>%)</w:t>
            </w:r>
          </w:p>
        </w:tc>
        <w:tc>
          <w:tcPr>
            <w:tcW w:w="993" w:type="dxa"/>
          </w:tcPr>
          <w:p w:rsidR="00CC3BA4" w:rsidRPr="00E564DD" w:rsidRDefault="00CC3BA4" w:rsidP="00C73C64">
            <w:pPr>
              <w:pStyle w:val="Tabletext"/>
              <w:rPr>
                <w:rFonts w:cs="Tahoma"/>
              </w:rPr>
            </w:pPr>
            <w:r>
              <w:rPr>
                <w:rFonts w:cs="Tahoma"/>
              </w:rPr>
              <w:t>RR = 0.32 (0.05, 1.90)</w:t>
            </w:r>
          </w:p>
        </w:tc>
        <w:tc>
          <w:tcPr>
            <w:tcW w:w="2108" w:type="dxa"/>
          </w:tcPr>
          <w:p w:rsidR="00CC3BA4" w:rsidRPr="00E564DD" w:rsidRDefault="00CC3BA4" w:rsidP="00C73C64">
            <w:pPr>
              <w:pStyle w:val="Tabletext"/>
              <w:rPr>
                <w:rFonts w:cs="Tahoma"/>
              </w:rPr>
            </w:pPr>
            <w:r>
              <w:rPr>
                <w:rFonts w:cs="Tahoma"/>
              </w:rPr>
              <w:t>136</w:t>
            </w:r>
            <w:r w:rsidRPr="00944F0A">
              <w:rPr>
                <w:rFonts w:cs="Tahoma"/>
              </w:rPr>
              <w:t xml:space="preserve"> fewer per 1,000</w:t>
            </w:r>
            <w:r>
              <w:rPr>
                <w:rFonts w:cs="Tahoma"/>
              </w:rPr>
              <w:br/>
              <w:t>(</w:t>
            </w:r>
            <w:r w:rsidRPr="00944F0A">
              <w:rPr>
                <w:rFonts w:cs="Tahoma"/>
              </w:rPr>
              <w:t xml:space="preserve">from </w:t>
            </w:r>
            <w:r>
              <w:rPr>
                <w:rFonts w:cs="Tahoma"/>
              </w:rPr>
              <w:t>180</w:t>
            </w:r>
            <w:r w:rsidRPr="00944F0A">
              <w:rPr>
                <w:rFonts w:cs="Tahoma"/>
              </w:rPr>
              <w:t xml:space="preserve"> </w:t>
            </w:r>
            <w:r>
              <w:rPr>
                <w:rFonts w:cs="Tahoma"/>
              </w:rPr>
              <w:t>more</w:t>
            </w:r>
            <w:r w:rsidRPr="00944F0A">
              <w:rPr>
                <w:rFonts w:cs="Tahoma"/>
              </w:rPr>
              <w:t xml:space="preserve"> to </w:t>
            </w:r>
            <w:r>
              <w:rPr>
                <w:rFonts w:cs="Tahoma"/>
              </w:rPr>
              <w:t>190 f</w:t>
            </w:r>
            <w:r w:rsidRPr="00944F0A">
              <w:rPr>
                <w:rFonts w:cs="Tahoma"/>
              </w:rPr>
              <w:t>e</w:t>
            </w:r>
            <w:r>
              <w:rPr>
                <w:rFonts w:cs="Tahoma"/>
              </w:rPr>
              <w:t>wer</w:t>
            </w:r>
            <w:r w:rsidRPr="00944F0A">
              <w:rPr>
                <w:rFonts w:cs="Tahoma"/>
              </w:rPr>
              <w:t>)</w:t>
            </w:r>
          </w:p>
        </w:tc>
        <w:tc>
          <w:tcPr>
            <w:tcW w:w="1294" w:type="dxa"/>
          </w:tcPr>
          <w:p w:rsidR="00CC3BA4" w:rsidRDefault="00CC3BA4" w:rsidP="00C73C64">
            <w:pPr>
              <w:pStyle w:val="Tabletext"/>
              <w:rPr>
                <w:rFonts w:ascii="Cambria Math" w:eastAsia="Times New Roman" w:hAnsi="Cambria Math" w:cs="Cambria Math"/>
                <w:bCs/>
              </w:rPr>
            </w:pPr>
            <w:r>
              <w:rPr>
                <w:rFonts w:eastAsia="Times New Roman" w:cs="Cambria Math"/>
                <w:bCs/>
              </w:rPr>
              <w:t>Very low</w:t>
            </w:r>
            <w:r>
              <w:rPr>
                <w:rFonts w:eastAsia="Times New Roman" w:cs="Cambria Math"/>
                <w:bCs/>
              </w:rPr>
              <w:br/>
            </w:r>
            <w:r w:rsidRPr="00E564DD">
              <w:rPr>
                <w:rFonts w:ascii="Cambria Math" w:eastAsia="Times New Roman" w:hAnsi="Cambria Math" w:cs="Cambria Math"/>
                <w:bCs/>
                <w:color w:val="00B050"/>
              </w:rPr>
              <w:t>⨁</w:t>
            </w:r>
            <w:r w:rsidRPr="00E564DD">
              <w:rPr>
                <w:rFonts w:ascii="Cambria Math" w:eastAsia="Times New Roman" w:hAnsi="Cambria Math" w:cs="Cambria Math"/>
                <w:bCs/>
                <w:color w:val="C00000"/>
              </w:rPr>
              <w:t>⨀⨀⨀</w:t>
            </w:r>
          </w:p>
          <w:p w:rsidR="00CC3BA4" w:rsidRPr="00E564DD" w:rsidRDefault="00CC3BA4" w:rsidP="00C73C64">
            <w:pPr>
              <w:pStyle w:val="Tabletext"/>
              <w:rPr>
                <w:rFonts w:eastAsia="Times New Roman" w:cs="Cambria Math"/>
                <w:bCs/>
              </w:rPr>
            </w:pPr>
            <w:r w:rsidRPr="00E564DD">
              <w:rPr>
                <w:rFonts w:cs="Tahoma"/>
              </w:rPr>
              <w:t>Critical</w:t>
            </w:r>
          </w:p>
        </w:tc>
      </w:tr>
      <w:tr w:rsidR="00534ADA" w:rsidRPr="00E564DD" w:rsidTr="00BC7F74">
        <w:trPr>
          <w:trHeight w:val="319"/>
        </w:trPr>
        <w:tc>
          <w:tcPr>
            <w:tcW w:w="1413" w:type="dxa"/>
          </w:tcPr>
          <w:p w:rsidR="00534ADA" w:rsidRPr="00E564DD" w:rsidRDefault="00534ADA" w:rsidP="00534ADA">
            <w:pPr>
              <w:pStyle w:val="Tabletext"/>
              <w:rPr>
                <w:rFonts w:cs="Tahoma"/>
              </w:rPr>
            </w:pPr>
            <w:r w:rsidRPr="00E564DD">
              <w:rPr>
                <w:rFonts w:cs="Tahoma"/>
              </w:rPr>
              <w:t>Improved WHO FC</w:t>
            </w:r>
            <w:r>
              <w:rPr>
                <w:rFonts w:cs="Tahoma"/>
              </w:rPr>
              <w:br/>
            </w:r>
            <w:r w:rsidRPr="00E564DD">
              <w:rPr>
                <w:rFonts w:cs="Tahoma"/>
              </w:rPr>
              <w:t>(12 weeks)</w:t>
            </w:r>
          </w:p>
        </w:tc>
        <w:tc>
          <w:tcPr>
            <w:tcW w:w="1074" w:type="dxa"/>
          </w:tcPr>
          <w:p w:rsidR="00534ADA" w:rsidRPr="00E564DD" w:rsidRDefault="00534ADA" w:rsidP="00534ADA">
            <w:pPr>
              <w:pStyle w:val="Tabletext"/>
              <w:rPr>
                <w:rFonts w:cs="Tahoma"/>
              </w:rPr>
            </w:pPr>
            <w:r w:rsidRPr="00E564DD">
              <w:rPr>
                <w:rFonts w:cs="Tahoma"/>
              </w:rPr>
              <w:t>1 RCT</w:t>
            </w:r>
          </w:p>
        </w:tc>
        <w:tc>
          <w:tcPr>
            <w:tcW w:w="910" w:type="dxa"/>
          </w:tcPr>
          <w:p w:rsidR="00534ADA" w:rsidRPr="00E564DD" w:rsidRDefault="00534ADA" w:rsidP="00534ADA">
            <w:pPr>
              <w:pStyle w:val="Tabletext"/>
              <w:rPr>
                <w:rFonts w:cs="Tahoma"/>
              </w:rPr>
            </w:pPr>
            <w:r w:rsidRPr="00E564DD">
              <w:rPr>
                <w:rFonts w:cs="Tahoma"/>
              </w:rPr>
              <w:t>Not serious</w:t>
            </w:r>
          </w:p>
        </w:tc>
        <w:tc>
          <w:tcPr>
            <w:tcW w:w="1133" w:type="dxa"/>
          </w:tcPr>
          <w:p w:rsidR="00534ADA" w:rsidRPr="00E564DD" w:rsidRDefault="00534ADA" w:rsidP="00534ADA">
            <w:pPr>
              <w:pStyle w:val="Tabletext"/>
              <w:rPr>
                <w:rFonts w:cs="Tahoma"/>
              </w:rPr>
            </w:pPr>
            <w:r w:rsidRPr="00E564DD">
              <w:rPr>
                <w:rFonts w:cs="Tahoma"/>
              </w:rPr>
              <w:t>Not serious</w:t>
            </w:r>
          </w:p>
        </w:tc>
        <w:tc>
          <w:tcPr>
            <w:tcW w:w="992" w:type="dxa"/>
          </w:tcPr>
          <w:p w:rsidR="00534ADA" w:rsidRPr="00E564DD" w:rsidRDefault="00534ADA" w:rsidP="00534ADA">
            <w:pPr>
              <w:pStyle w:val="Tabletext"/>
              <w:rPr>
                <w:rFonts w:cs="Tahoma"/>
              </w:rPr>
            </w:pPr>
            <w:r w:rsidRPr="00E564DD">
              <w:rPr>
                <w:rFonts w:cs="Tahoma"/>
              </w:rPr>
              <w:t>Not serious</w:t>
            </w:r>
          </w:p>
        </w:tc>
        <w:tc>
          <w:tcPr>
            <w:tcW w:w="1134" w:type="dxa"/>
          </w:tcPr>
          <w:p w:rsidR="00534ADA" w:rsidRPr="00E564DD" w:rsidRDefault="00BD743C" w:rsidP="00BD743C">
            <w:pPr>
              <w:pStyle w:val="Tabletext"/>
              <w:rPr>
                <w:rFonts w:cs="Tahoma"/>
              </w:rPr>
            </w:pPr>
            <w:r>
              <w:rPr>
                <w:rFonts w:cs="Tahoma"/>
              </w:rPr>
              <w:t>Very s</w:t>
            </w:r>
            <w:r w:rsidR="00534ADA" w:rsidRPr="00E564DD">
              <w:rPr>
                <w:rFonts w:cs="Tahoma"/>
              </w:rPr>
              <w:t>erious</w:t>
            </w:r>
            <w:r w:rsidR="00534ADA">
              <w:rPr>
                <w:rFonts w:cs="Tahoma"/>
              </w:rPr>
              <w:t xml:space="preserve"> </w:t>
            </w:r>
            <w:r w:rsidR="00534ADA">
              <w:rPr>
                <w:rFonts w:cs="Tahoma"/>
                <w:vertAlign w:val="superscript"/>
              </w:rPr>
              <w:t>f</w:t>
            </w:r>
            <w:r>
              <w:rPr>
                <w:rFonts w:cs="Tahoma"/>
                <w:vertAlign w:val="superscript"/>
              </w:rPr>
              <w:t>,g</w:t>
            </w:r>
          </w:p>
        </w:tc>
        <w:tc>
          <w:tcPr>
            <w:tcW w:w="1260" w:type="dxa"/>
          </w:tcPr>
          <w:p w:rsidR="00534ADA" w:rsidRPr="00E564DD" w:rsidRDefault="00534ADA" w:rsidP="00534ADA">
            <w:pPr>
              <w:pStyle w:val="Tabletext"/>
              <w:rPr>
                <w:rFonts w:cs="Tahoma"/>
              </w:rPr>
            </w:pPr>
            <w:r w:rsidRPr="00E564DD">
              <w:rPr>
                <w:rFonts w:cs="Tahoma"/>
              </w:rPr>
              <w:t>None</w:t>
            </w:r>
          </w:p>
        </w:tc>
        <w:tc>
          <w:tcPr>
            <w:tcW w:w="1373" w:type="dxa"/>
          </w:tcPr>
          <w:p w:rsidR="00534ADA" w:rsidRPr="00E564DD" w:rsidRDefault="00534ADA" w:rsidP="00534ADA">
            <w:pPr>
              <w:pStyle w:val="Tabletext"/>
              <w:rPr>
                <w:rFonts w:cs="Tahoma"/>
              </w:rPr>
            </w:pPr>
            <w:r w:rsidRPr="00E564DD">
              <w:rPr>
                <w:rFonts w:cs="Tahoma"/>
              </w:rPr>
              <w:t>1/22 (5%)</w:t>
            </w:r>
          </w:p>
        </w:tc>
        <w:tc>
          <w:tcPr>
            <w:tcW w:w="1134" w:type="dxa"/>
          </w:tcPr>
          <w:p w:rsidR="00534ADA" w:rsidRPr="00E564DD" w:rsidRDefault="00534ADA" w:rsidP="00534ADA">
            <w:pPr>
              <w:pStyle w:val="Tabletext"/>
              <w:rPr>
                <w:rFonts w:cs="Tahoma"/>
              </w:rPr>
            </w:pPr>
            <w:r w:rsidRPr="00E564DD">
              <w:rPr>
                <w:rFonts w:cs="Tahoma"/>
              </w:rPr>
              <w:t>1/22 (5%)</w:t>
            </w:r>
          </w:p>
        </w:tc>
        <w:tc>
          <w:tcPr>
            <w:tcW w:w="993" w:type="dxa"/>
          </w:tcPr>
          <w:p w:rsidR="00534ADA" w:rsidRPr="00E564DD" w:rsidRDefault="00534ADA" w:rsidP="00534ADA">
            <w:pPr>
              <w:pStyle w:val="Tabletext"/>
              <w:rPr>
                <w:rFonts w:cs="Tahoma"/>
              </w:rPr>
            </w:pPr>
            <w:r>
              <w:rPr>
                <w:rFonts w:cs="Tahoma"/>
              </w:rPr>
              <w:t xml:space="preserve">RR = </w:t>
            </w:r>
            <w:r w:rsidRPr="00E564DD">
              <w:rPr>
                <w:rFonts w:cs="Tahoma"/>
              </w:rPr>
              <w:t xml:space="preserve">1.00 (0.07, </w:t>
            </w:r>
            <w:r>
              <w:rPr>
                <w:rFonts w:cs="Tahoma"/>
              </w:rPr>
              <w:t>15.00</w:t>
            </w:r>
            <w:r w:rsidRPr="00E564DD">
              <w:rPr>
                <w:rFonts w:cs="Tahoma"/>
              </w:rPr>
              <w:t>)</w:t>
            </w:r>
          </w:p>
        </w:tc>
        <w:tc>
          <w:tcPr>
            <w:tcW w:w="2108" w:type="dxa"/>
          </w:tcPr>
          <w:p w:rsidR="00534ADA" w:rsidRPr="00E564DD" w:rsidRDefault="00534ADA" w:rsidP="00534ADA">
            <w:pPr>
              <w:pStyle w:val="Tabletext"/>
              <w:rPr>
                <w:rFonts w:cs="Tahoma"/>
              </w:rPr>
            </w:pPr>
            <w:r>
              <w:rPr>
                <w:rFonts w:cs="Tahoma"/>
              </w:rPr>
              <w:t>0 fewer per 1,000</w:t>
            </w:r>
            <w:r>
              <w:rPr>
                <w:rFonts w:cs="Tahoma"/>
              </w:rPr>
              <w:br/>
              <w:t>(from 42 fewer to 636 more)</w:t>
            </w:r>
          </w:p>
        </w:tc>
        <w:tc>
          <w:tcPr>
            <w:tcW w:w="1294" w:type="dxa"/>
          </w:tcPr>
          <w:p w:rsidR="00534ADA" w:rsidRPr="006316DF" w:rsidRDefault="00534ADA" w:rsidP="00534ADA">
            <w:pPr>
              <w:pStyle w:val="TableText0"/>
              <w:spacing w:before="20" w:after="20"/>
            </w:pPr>
            <w:r>
              <w:t>Low</w:t>
            </w:r>
          </w:p>
          <w:p w:rsidR="00534ADA" w:rsidRPr="006316DF" w:rsidRDefault="00534ADA" w:rsidP="00534ADA">
            <w:pPr>
              <w:pStyle w:val="TableText0"/>
              <w:spacing w:before="20" w:after="20"/>
              <w:rPr>
                <w:rFonts w:cs="Cambria Math"/>
                <w:bCs/>
              </w:rPr>
            </w:pPr>
            <w:r w:rsidRPr="006316DF">
              <w:rPr>
                <w:rFonts w:ascii="Cambria Math" w:hAnsi="Cambria Math" w:cs="Cambria Math"/>
                <w:bCs/>
                <w:color w:val="00B050"/>
              </w:rPr>
              <w:t>⨁⨁</w:t>
            </w:r>
            <w:r w:rsidRPr="006316DF">
              <w:rPr>
                <w:rFonts w:ascii="Cambria Math" w:hAnsi="Cambria Math" w:cs="Cambria Math"/>
                <w:color w:val="C00000"/>
              </w:rPr>
              <w:t>⨀⨀</w:t>
            </w:r>
          </w:p>
          <w:p w:rsidR="00534ADA" w:rsidRPr="00E857A6" w:rsidRDefault="00534ADA" w:rsidP="00534ADA">
            <w:pPr>
              <w:pStyle w:val="Tabletext"/>
              <w:rPr>
                <w:rFonts w:ascii="Cambria Math" w:eastAsia="Times New Roman" w:hAnsi="Cambria Math" w:cs="Cambria Math"/>
                <w:bCs/>
              </w:rPr>
            </w:pPr>
            <w:r w:rsidRPr="006316DF">
              <w:t>Important</w:t>
            </w:r>
          </w:p>
        </w:tc>
      </w:tr>
      <w:tr w:rsidR="00534ADA" w:rsidRPr="00E564DD" w:rsidTr="00BC7F74">
        <w:trPr>
          <w:trHeight w:val="319"/>
        </w:trPr>
        <w:tc>
          <w:tcPr>
            <w:tcW w:w="1413" w:type="dxa"/>
          </w:tcPr>
          <w:p w:rsidR="00534ADA" w:rsidRPr="00E564DD" w:rsidRDefault="00534ADA" w:rsidP="00534ADA">
            <w:pPr>
              <w:pStyle w:val="Tabletext"/>
              <w:rPr>
                <w:rFonts w:cs="Tahoma"/>
              </w:rPr>
            </w:pPr>
            <w:r w:rsidRPr="00E564DD">
              <w:rPr>
                <w:rFonts w:cs="Tahoma"/>
              </w:rPr>
              <w:t>Worsened WHO FC</w:t>
            </w:r>
            <w:r>
              <w:rPr>
                <w:rFonts w:cs="Tahoma"/>
              </w:rPr>
              <w:br/>
            </w:r>
            <w:r w:rsidRPr="00E564DD">
              <w:rPr>
                <w:rFonts w:cs="Tahoma"/>
              </w:rPr>
              <w:t>(12 weeks)</w:t>
            </w:r>
          </w:p>
        </w:tc>
        <w:tc>
          <w:tcPr>
            <w:tcW w:w="1074" w:type="dxa"/>
          </w:tcPr>
          <w:p w:rsidR="00534ADA" w:rsidRPr="00E564DD" w:rsidRDefault="00534ADA" w:rsidP="00534ADA">
            <w:pPr>
              <w:pStyle w:val="Tabletext"/>
              <w:rPr>
                <w:rFonts w:cs="Tahoma"/>
              </w:rPr>
            </w:pPr>
            <w:r w:rsidRPr="00E564DD">
              <w:rPr>
                <w:rFonts w:cs="Tahoma"/>
              </w:rPr>
              <w:t>1 RCT</w:t>
            </w:r>
          </w:p>
        </w:tc>
        <w:tc>
          <w:tcPr>
            <w:tcW w:w="910" w:type="dxa"/>
          </w:tcPr>
          <w:p w:rsidR="00534ADA" w:rsidRPr="00E564DD" w:rsidRDefault="00534ADA" w:rsidP="00534ADA">
            <w:pPr>
              <w:pStyle w:val="Tabletext"/>
              <w:rPr>
                <w:rFonts w:cs="Tahoma"/>
              </w:rPr>
            </w:pPr>
            <w:r w:rsidRPr="00E564DD">
              <w:rPr>
                <w:rFonts w:cs="Tahoma"/>
              </w:rPr>
              <w:t>Not serious</w:t>
            </w:r>
          </w:p>
        </w:tc>
        <w:tc>
          <w:tcPr>
            <w:tcW w:w="1133" w:type="dxa"/>
          </w:tcPr>
          <w:p w:rsidR="00534ADA" w:rsidRPr="00E564DD" w:rsidRDefault="00534ADA" w:rsidP="00534ADA">
            <w:pPr>
              <w:pStyle w:val="Tabletext"/>
              <w:rPr>
                <w:rFonts w:cs="Tahoma"/>
              </w:rPr>
            </w:pPr>
            <w:r w:rsidRPr="00E564DD">
              <w:rPr>
                <w:rFonts w:cs="Tahoma"/>
              </w:rPr>
              <w:t>Not serious</w:t>
            </w:r>
          </w:p>
        </w:tc>
        <w:tc>
          <w:tcPr>
            <w:tcW w:w="992" w:type="dxa"/>
          </w:tcPr>
          <w:p w:rsidR="00534ADA" w:rsidRPr="00E564DD" w:rsidRDefault="00534ADA" w:rsidP="00534ADA">
            <w:pPr>
              <w:pStyle w:val="Tabletext"/>
              <w:rPr>
                <w:rFonts w:cs="Tahoma"/>
              </w:rPr>
            </w:pPr>
            <w:r w:rsidRPr="00E564DD">
              <w:rPr>
                <w:rFonts w:cs="Tahoma"/>
              </w:rPr>
              <w:t>Not serious</w:t>
            </w:r>
          </w:p>
        </w:tc>
        <w:tc>
          <w:tcPr>
            <w:tcW w:w="1134" w:type="dxa"/>
          </w:tcPr>
          <w:p w:rsidR="00534ADA" w:rsidRPr="00534ADA" w:rsidRDefault="00534ADA" w:rsidP="00534ADA">
            <w:pPr>
              <w:pStyle w:val="Tabletext"/>
              <w:rPr>
                <w:rFonts w:cs="Tahoma"/>
                <w:vertAlign w:val="superscript"/>
              </w:rPr>
            </w:pPr>
            <w:r>
              <w:rPr>
                <w:rFonts w:cs="Tahoma"/>
              </w:rPr>
              <w:t>Very</w:t>
            </w:r>
            <w:r w:rsidRPr="00E564DD">
              <w:rPr>
                <w:rFonts w:cs="Tahoma"/>
              </w:rPr>
              <w:t xml:space="preserve"> serious</w:t>
            </w:r>
            <w:r w:rsidR="00BD743C">
              <w:rPr>
                <w:rFonts w:cs="Tahoma"/>
                <w:vertAlign w:val="superscript"/>
              </w:rPr>
              <w:t xml:space="preserve"> g</w:t>
            </w:r>
          </w:p>
        </w:tc>
        <w:tc>
          <w:tcPr>
            <w:tcW w:w="1260" w:type="dxa"/>
          </w:tcPr>
          <w:p w:rsidR="00534ADA" w:rsidRPr="00E564DD" w:rsidRDefault="00534ADA" w:rsidP="00534ADA">
            <w:pPr>
              <w:pStyle w:val="Tabletext"/>
              <w:rPr>
                <w:rFonts w:cs="Tahoma"/>
              </w:rPr>
            </w:pPr>
            <w:r w:rsidRPr="00E564DD">
              <w:rPr>
                <w:rFonts w:cs="Tahoma"/>
              </w:rPr>
              <w:t>None</w:t>
            </w:r>
          </w:p>
        </w:tc>
        <w:tc>
          <w:tcPr>
            <w:tcW w:w="1373" w:type="dxa"/>
          </w:tcPr>
          <w:p w:rsidR="00534ADA" w:rsidRPr="00E564DD" w:rsidRDefault="00534ADA" w:rsidP="00534ADA">
            <w:pPr>
              <w:pStyle w:val="Tabletext"/>
              <w:rPr>
                <w:rFonts w:cs="Tahoma"/>
              </w:rPr>
            </w:pPr>
            <w:r w:rsidRPr="00E564DD">
              <w:rPr>
                <w:rFonts w:cs="Tahoma"/>
              </w:rPr>
              <w:t>0/22 (0%)</w:t>
            </w:r>
          </w:p>
        </w:tc>
        <w:tc>
          <w:tcPr>
            <w:tcW w:w="1134" w:type="dxa"/>
          </w:tcPr>
          <w:p w:rsidR="00534ADA" w:rsidRPr="00E564DD" w:rsidRDefault="00534ADA" w:rsidP="00534ADA">
            <w:pPr>
              <w:pStyle w:val="Tabletext"/>
              <w:rPr>
                <w:rFonts w:cs="Tahoma"/>
              </w:rPr>
            </w:pPr>
            <w:r w:rsidRPr="00E564DD">
              <w:rPr>
                <w:rFonts w:cs="Tahoma"/>
              </w:rPr>
              <w:t>0/22 (0%)</w:t>
            </w:r>
          </w:p>
        </w:tc>
        <w:tc>
          <w:tcPr>
            <w:tcW w:w="993" w:type="dxa"/>
          </w:tcPr>
          <w:p w:rsidR="00534ADA" w:rsidRPr="00E564DD" w:rsidRDefault="00534ADA" w:rsidP="00534ADA">
            <w:pPr>
              <w:pStyle w:val="Tabletext"/>
              <w:rPr>
                <w:rFonts w:cs="Tahoma"/>
              </w:rPr>
            </w:pPr>
            <w:r w:rsidRPr="00E564DD">
              <w:rPr>
                <w:rFonts w:cs="Tahoma"/>
              </w:rPr>
              <w:t>Not estimable</w:t>
            </w:r>
          </w:p>
        </w:tc>
        <w:tc>
          <w:tcPr>
            <w:tcW w:w="2108" w:type="dxa"/>
          </w:tcPr>
          <w:p w:rsidR="00534ADA" w:rsidRPr="00E564DD" w:rsidRDefault="00534ADA" w:rsidP="00534ADA">
            <w:pPr>
              <w:pStyle w:val="Tabletext"/>
              <w:rPr>
                <w:rFonts w:cs="Tahoma"/>
              </w:rPr>
            </w:pPr>
            <w:r w:rsidRPr="00E564DD">
              <w:rPr>
                <w:rFonts w:cs="Tahoma"/>
              </w:rPr>
              <w:t>Not estimable</w:t>
            </w:r>
          </w:p>
        </w:tc>
        <w:tc>
          <w:tcPr>
            <w:tcW w:w="1294" w:type="dxa"/>
          </w:tcPr>
          <w:p w:rsidR="00534ADA" w:rsidRPr="006316DF" w:rsidRDefault="00534ADA" w:rsidP="00534ADA">
            <w:pPr>
              <w:pStyle w:val="TableText0"/>
              <w:spacing w:before="20" w:after="20"/>
            </w:pPr>
            <w:r>
              <w:t>Low</w:t>
            </w:r>
          </w:p>
          <w:p w:rsidR="00534ADA" w:rsidRPr="006316DF" w:rsidRDefault="00534ADA" w:rsidP="00534ADA">
            <w:pPr>
              <w:pStyle w:val="TableText0"/>
              <w:spacing w:before="20" w:after="20"/>
              <w:rPr>
                <w:bCs/>
              </w:rPr>
            </w:pPr>
            <w:r w:rsidRPr="006316DF">
              <w:rPr>
                <w:rFonts w:ascii="Cambria Math" w:hAnsi="Cambria Math" w:cs="Cambria Math"/>
                <w:bCs/>
                <w:color w:val="00B050"/>
              </w:rPr>
              <w:t>⨁⨁</w:t>
            </w:r>
            <w:r w:rsidRPr="006316DF">
              <w:rPr>
                <w:rFonts w:ascii="Cambria Math" w:hAnsi="Cambria Math" w:cs="Cambria Math"/>
                <w:bCs/>
                <w:color w:val="C00000"/>
              </w:rPr>
              <w:t>⨀⨀</w:t>
            </w:r>
          </w:p>
          <w:p w:rsidR="00534ADA" w:rsidRPr="00E564DD" w:rsidRDefault="00534ADA" w:rsidP="00534ADA">
            <w:pPr>
              <w:pStyle w:val="Tabletext"/>
              <w:rPr>
                <w:rFonts w:ascii="Cambria Math" w:eastAsia="Times New Roman" w:hAnsi="Cambria Math" w:cs="Cambria Math"/>
                <w:bCs/>
                <w:color w:val="00B050"/>
              </w:rPr>
            </w:pPr>
            <w:r w:rsidRPr="006316DF">
              <w:t>Important</w:t>
            </w:r>
          </w:p>
        </w:tc>
      </w:tr>
      <w:tr w:rsidR="00534ADA" w:rsidRPr="00E564DD" w:rsidTr="00BC7F74">
        <w:trPr>
          <w:trHeight w:val="319"/>
        </w:trPr>
        <w:tc>
          <w:tcPr>
            <w:tcW w:w="1413" w:type="dxa"/>
          </w:tcPr>
          <w:p w:rsidR="00534ADA" w:rsidRPr="00E564DD" w:rsidRDefault="00534ADA" w:rsidP="00534ADA">
            <w:pPr>
              <w:pStyle w:val="Tabletext"/>
              <w:rPr>
                <w:rFonts w:cs="Tahoma"/>
              </w:rPr>
            </w:pPr>
            <w:r w:rsidRPr="00E564DD">
              <w:rPr>
                <w:rFonts w:cs="Tahoma"/>
              </w:rPr>
              <w:t>Change in 6MWD from baseline</w:t>
            </w:r>
            <w:r>
              <w:rPr>
                <w:rFonts w:cs="Tahoma"/>
              </w:rPr>
              <w:br/>
            </w:r>
            <w:r w:rsidRPr="00E564DD">
              <w:rPr>
                <w:rFonts w:cs="Tahoma"/>
              </w:rPr>
              <w:t xml:space="preserve">(12–16 weeks) </w:t>
            </w:r>
          </w:p>
        </w:tc>
        <w:tc>
          <w:tcPr>
            <w:tcW w:w="1074" w:type="dxa"/>
          </w:tcPr>
          <w:p w:rsidR="00534ADA" w:rsidRPr="00E564DD" w:rsidRDefault="00534ADA" w:rsidP="00534ADA">
            <w:pPr>
              <w:pStyle w:val="Tabletext"/>
              <w:rPr>
                <w:rFonts w:cs="Tahoma"/>
              </w:rPr>
            </w:pPr>
            <w:r w:rsidRPr="00E564DD">
              <w:rPr>
                <w:rFonts w:cs="Tahoma"/>
              </w:rPr>
              <w:t>2 RCTs</w:t>
            </w:r>
          </w:p>
        </w:tc>
        <w:tc>
          <w:tcPr>
            <w:tcW w:w="910" w:type="dxa"/>
          </w:tcPr>
          <w:p w:rsidR="00BD743C" w:rsidRPr="00E564DD" w:rsidRDefault="00534ADA" w:rsidP="00BD743C">
            <w:pPr>
              <w:pStyle w:val="Tabletext"/>
              <w:rPr>
                <w:rFonts w:cs="Tahoma"/>
              </w:rPr>
            </w:pPr>
            <w:r w:rsidRPr="00E564DD">
              <w:rPr>
                <w:rFonts w:cs="Tahoma"/>
              </w:rPr>
              <w:t xml:space="preserve">Serious </w:t>
            </w:r>
            <w:r w:rsidR="00BD743C">
              <w:rPr>
                <w:rFonts w:cs="Tahoma"/>
                <w:vertAlign w:val="superscript"/>
              </w:rPr>
              <w:t>h</w:t>
            </w:r>
          </w:p>
        </w:tc>
        <w:tc>
          <w:tcPr>
            <w:tcW w:w="1133" w:type="dxa"/>
          </w:tcPr>
          <w:p w:rsidR="00534ADA" w:rsidRPr="00E564DD" w:rsidRDefault="00534ADA" w:rsidP="00534ADA">
            <w:pPr>
              <w:pStyle w:val="Tabletext"/>
              <w:rPr>
                <w:rFonts w:cs="Tahoma"/>
              </w:rPr>
            </w:pPr>
            <w:r w:rsidRPr="00E564DD">
              <w:rPr>
                <w:rFonts w:cs="Tahoma"/>
              </w:rPr>
              <w:t>Not serious</w:t>
            </w:r>
          </w:p>
        </w:tc>
        <w:tc>
          <w:tcPr>
            <w:tcW w:w="992" w:type="dxa"/>
          </w:tcPr>
          <w:p w:rsidR="00534ADA" w:rsidRPr="00E564DD" w:rsidRDefault="00534ADA" w:rsidP="00534ADA">
            <w:pPr>
              <w:pStyle w:val="Tabletext"/>
              <w:rPr>
                <w:rFonts w:cs="Tahoma"/>
              </w:rPr>
            </w:pPr>
            <w:r>
              <w:rPr>
                <w:rFonts w:cs="Tahoma"/>
              </w:rPr>
              <w:t>S</w:t>
            </w:r>
            <w:r w:rsidRPr="00E564DD">
              <w:rPr>
                <w:rFonts w:cs="Tahoma"/>
              </w:rPr>
              <w:t>erious</w:t>
            </w:r>
            <w:r>
              <w:rPr>
                <w:rFonts w:cs="Tahoma"/>
              </w:rPr>
              <w:t xml:space="preserve"> </w:t>
            </w:r>
            <w:r>
              <w:rPr>
                <w:rFonts w:cs="Tahoma"/>
                <w:vertAlign w:val="superscript"/>
              </w:rPr>
              <w:t>i</w:t>
            </w:r>
          </w:p>
        </w:tc>
        <w:tc>
          <w:tcPr>
            <w:tcW w:w="1134" w:type="dxa"/>
          </w:tcPr>
          <w:p w:rsidR="00534ADA" w:rsidRPr="00E564DD" w:rsidRDefault="00534ADA" w:rsidP="00534ADA">
            <w:pPr>
              <w:pStyle w:val="Tabletext"/>
              <w:rPr>
                <w:rFonts w:cs="Tahoma"/>
              </w:rPr>
            </w:pPr>
            <w:r w:rsidRPr="00E564DD">
              <w:rPr>
                <w:rFonts w:cs="Tahoma"/>
              </w:rPr>
              <w:t>Not serious</w:t>
            </w:r>
          </w:p>
        </w:tc>
        <w:tc>
          <w:tcPr>
            <w:tcW w:w="1260" w:type="dxa"/>
          </w:tcPr>
          <w:p w:rsidR="00534ADA" w:rsidRPr="00E564DD" w:rsidRDefault="00534ADA" w:rsidP="00534ADA">
            <w:pPr>
              <w:pStyle w:val="Tabletext"/>
              <w:rPr>
                <w:rFonts w:cs="Tahoma"/>
              </w:rPr>
            </w:pPr>
            <w:r w:rsidRPr="00E564DD">
              <w:rPr>
                <w:rFonts w:cs="Tahoma"/>
              </w:rPr>
              <w:t>None</w:t>
            </w:r>
          </w:p>
        </w:tc>
        <w:tc>
          <w:tcPr>
            <w:tcW w:w="1373" w:type="dxa"/>
          </w:tcPr>
          <w:p w:rsidR="00534ADA" w:rsidRPr="00A17B9D" w:rsidRDefault="00A17B9D" w:rsidP="00534ADA">
            <w:pPr>
              <w:pStyle w:val="Tabletext"/>
              <w:rPr>
                <w:rFonts w:cs="Tahoma"/>
                <w:highlight w:val="black"/>
              </w:rPr>
            </w:pPr>
            <w:r>
              <w:rPr>
                <w:rFonts w:cs="Tahoma"/>
                <w:noProof/>
                <w:color w:val="000000"/>
                <w:highlight w:val="black"/>
              </w:rPr>
              <w:t>'''''' ''''''''''''''''''' ''''''''''''''''</w:t>
            </w:r>
          </w:p>
        </w:tc>
        <w:tc>
          <w:tcPr>
            <w:tcW w:w="1134" w:type="dxa"/>
          </w:tcPr>
          <w:p w:rsidR="00534ADA" w:rsidRPr="00E564DD" w:rsidRDefault="00116B52" w:rsidP="00534ADA">
            <w:pPr>
              <w:pStyle w:val="Tabletext"/>
              <w:rPr>
                <w:rFonts w:cs="Tahoma"/>
                <w:highlight w:val="magenta"/>
              </w:rPr>
            </w:pPr>
            <w:r>
              <w:rPr>
                <w:rFonts w:cs="Tahoma"/>
                <w:noProof/>
                <w:color w:val="000000"/>
                <w:highlight w:val="black"/>
              </w:rPr>
              <w:t>''''''</w:t>
            </w:r>
            <w:r w:rsidR="00A17B9D">
              <w:rPr>
                <w:rFonts w:cs="Tahoma"/>
                <w:noProof/>
                <w:color w:val="000000"/>
                <w:highlight w:val="black"/>
              </w:rPr>
              <w:t>' '''''''''''''''''' '''''''''''''</w:t>
            </w:r>
          </w:p>
        </w:tc>
        <w:tc>
          <w:tcPr>
            <w:tcW w:w="993" w:type="dxa"/>
          </w:tcPr>
          <w:p w:rsidR="00534ADA" w:rsidRPr="00A17B9D" w:rsidRDefault="00A17B9D" w:rsidP="00534ADA">
            <w:pPr>
              <w:pStyle w:val="Tabletext"/>
              <w:rPr>
                <w:rFonts w:cs="Tahoma"/>
                <w:highlight w:val="black"/>
              </w:rPr>
            </w:pPr>
            <w:r>
              <w:rPr>
                <w:rFonts w:cs="Tahoma"/>
                <w:noProof/>
                <w:color w:val="000000"/>
                <w:highlight w:val="black"/>
              </w:rPr>
              <w:t>'''</w:t>
            </w:r>
          </w:p>
        </w:tc>
        <w:tc>
          <w:tcPr>
            <w:tcW w:w="2108" w:type="dxa"/>
          </w:tcPr>
          <w:p w:rsidR="00534ADA" w:rsidRPr="00E564DD" w:rsidRDefault="00534ADA" w:rsidP="00534ADA">
            <w:pPr>
              <w:pStyle w:val="Tabletext"/>
              <w:rPr>
                <w:rFonts w:cs="Tahoma"/>
              </w:rPr>
            </w:pPr>
            <w:r w:rsidRPr="00534ADA">
              <w:rPr>
                <w:rFonts w:cs="Tahoma"/>
              </w:rPr>
              <w:t xml:space="preserve">Median MD </w:t>
            </w:r>
            <w:r w:rsidR="00A17B9D">
              <w:rPr>
                <w:rFonts w:cs="Tahoma"/>
                <w:noProof/>
                <w:color w:val="000000"/>
                <w:highlight w:val="black"/>
              </w:rPr>
              <w:t>''''''''''' '''' ''''''''''''''' ''''''''''''''''' '''''''''' '''''''''''''' ''''' '''''''''''</w:t>
            </w:r>
            <w:r w:rsidRPr="00534ADA">
              <w:rPr>
                <w:rFonts w:cs="Tahoma"/>
              </w:rPr>
              <w:t xml:space="preserve"> further)</w:t>
            </w:r>
          </w:p>
        </w:tc>
        <w:tc>
          <w:tcPr>
            <w:tcW w:w="1294" w:type="dxa"/>
          </w:tcPr>
          <w:p w:rsidR="00534ADA" w:rsidRPr="006316DF" w:rsidRDefault="00534ADA" w:rsidP="00534ADA">
            <w:pPr>
              <w:pStyle w:val="TableText0"/>
              <w:spacing w:before="20" w:after="20"/>
            </w:pPr>
            <w:r>
              <w:t>Low</w:t>
            </w:r>
          </w:p>
          <w:p w:rsidR="00534ADA" w:rsidRPr="006316DF" w:rsidRDefault="00534ADA" w:rsidP="00534ADA">
            <w:pPr>
              <w:pStyle w:val="TableText0"/>
              <w:spacing w:before="20" w:after="20"/>
              <w:rPr>
                <w:rFonts w:cs="Cambria Math"/>
                <w:bCs/>
              </w:rPr>
            </w:pPr>
            <w:r w:rsidRPr="006316DF">
              <w:rPr>
                <w:rFonts w:ascii="Cambria Math" w:hAnsi="Cambria Math" w:cs="Cambria Math"/>
                <w:bCs/>
                <w:color w:val="00B050"/>
              </w:rPr>
              <w:t>⨁⨁</w:t>
            </w:r>
            <w:r w:rsidRPr="006316DF">
              <w:rPr>
                <w:rFonts w:ascii="Cambria Math" w:hAnsi="Cambria Math" w:cs="Cambria Math"/>
                <w:color w:val="C00000"/>
              </w:rPr>
              <w:t>⨀</w:t>
            </w:r>
            <w:r w:rsidRPr="006316DF">
              <w:rPr>
                <w:rFonts w:ascii="Cambria Math" w:hAnsi="Cambria Math" w:cs="Cambria Math"/>
                <w:bCs/>
                <w:color w:val="C00000"/>
              </w:rPr>
              <w:t>⨀</w:t>
            </w:r>
          </w:p>
          <w:p w:rsidR="00534ADA" w:rsidRPr="00E564DD" w:rsidRDefault="00534ADA" w:rsidP="00534ADA">
            <w:pPr>
              <w:pStyle w:val="Tabletext"/>
              <w:rPr>
                <w:rFonts w:cs="Tahoma"/>
              </w:rPr>
            </w:pPr>
            <w:r>
              <w:t>I</w:t>
            </w:r>
            <w:r w:rsidRPr="006316DF">
              <w:t>mportant</w:t>
            </w:r>
          </w:p>
        </w:tc>
      </w:tr>
    </w:tbl>
    <w:p w:rsidR="00CC3BA4" w:rsidRPr="00AA018C" w:rsidRDefault="00CC3BA4" w:rsidP="00C73C64">
      <w:pPr>
        <w:pStyle w:val="Tablenote"/>
      </w:pPr>
      <w:r w:rsidRPr="00E564DD">
        <w:rPr>
          <w:vertAlign w:val="superscript"/>
        </w:rPr>
        <w:t xml:space="preserve">a </w:t>
      </w:r>
      <w:r w:rsidRPr="00AA018C">
        <w:t>O</w:t>
      </w:r>
      <w:r>
        <w:t>ther considerations such as publication bias and effect size</w:t>
      </w:r>
    </w:p>
    <w:p w:rsidR="00CC3BA4" w:rsidRDefault="00CC3BA4" w:rsidP="00C73C64">
      <w:pPr>
        <w:pStyle w:val="Tablenote"/>
      </w:pPr>
      <w:r>
        <w:rPr>
          <w:vertAlign w:val="superscript"/>
        </w:rPr>
        <w:t xml:space="preserve">b </w:t>
      </w:r>
      <w:r w:rsidRPr="00E564DD">
        <w:t>GRADE W</w:t>
      </w:r>
      <w:r>
        <w:t>orking Group grades of evidence</w:t>
      </w:r>
      <w:r w:rsidR="001D34EE" w:rsidRPr="001D34EE">
        <w:rPr>
          <w:noProof/>
          <w:vertAlign w:val="superscript"/>
        </w:rPr>
        <w:t>1</w:t>
      </w:r>
    </w:p>
    <w:p w:rsidR="00CC3BA4" w:rsidRDefault="00CC3BA4" w:rsidP="00C73C64">
      <w:pPr>
        <w:pStyle w:val="Tablenote"/>
      </w:pPr>
      <w:r>
        <w:rPr>
          <w:vertAlign w:val="superscript"/>
        </w:rPr>
        <w:t>c</w:t>
      </w:r>
      <w:r w:rsidRPr="00E564DD">
        <w:t xml:space="preserve"> </w:t>
      </w:r>
      <w:r>
        <w:t>Classification of intervention status subject to bias as patients made their own decisions</w:t>
      </w:r>
    </w:p>
    <w:p w:rsidR="00CC3BA4" w:rsidRDefault="00CC3BA4" w:rsidP="00C73C64">
      <w:pPr>
        <w:pStyle w:val="Tablenote"/>
      </w:pPr>
      <w:r>
        <w:rPr>
          <w:vertAlign w:val="superscript"/>
        </w:rPr>
        <w:t>d</w:t>
      </w:r>
      <w:r>
        <w:t xml:space="preserve"> No adjustments were made for potential confounding</w:t>
      </w:r>
    </w:p>
    <w:p w:rsidR="00CC3BA4" w:rsidRDefault="00CC3BA4" w:rsidP="00C73C64">
      <w:pPr>
        <w:pStyle w:val="Tablenote"/>
      </w:pPr>
      <w:r>
        <w:rPr>
          <w:vertAlign w:val="superscript"/>
        </w:rPr>
        <w:t>e</w:t>
      </w:r>
      <w:r>
        <w:t xml:space="preserve"> No baseline characteristics for subgroup of interest</w:t>
      </w:r>
    </w:p>
    <w:p w:rsidR="00CC3BA4" w:rsidRPr="001B5393" w:rsidRDefault="00CC3BA4" w:rsidP="00C73C64">
      <w:pPr>
        <w:pStyle w:val="Tablenote"/>
      </w:pPr>
      <w:r>
        <w:rPr>
          <w:vertAlign w:val="superscript"/>
        </w:rPr>
        <w:t>f</w:t>
      </w:r>
      <w:r>
        <w:t xml:space="preserve"> Wide 95% CIs that span 1</w:t>
      </w:r>
    </w:p>
    <w:p w:rsidR="00BD743C" w:rsidRPr="00BD743C" w:rsidRDefault="00BD743C" w:rsidP="00BD743C">
      <w:pPr>
        <w:pStyle w:val="Tablenote"/>
      </w:pPr>
      <w:r>
        <w:rPr>
          <w:vertAlign w:val="superscript"/>
        </w:rPr>
        <w:lastRenderedPageBreak/>
        <w:t xml:space="preserve">g </w:t>
      </w:r>
      <w:r>
        <w:t>Small study size</w:t>
      </w:r>
    </w:p>
    <w:p w:rsidR="00CC3BA4" w:rsidRDefault="00BD743C" w:rsidP="00C73C64">
      <w:pPr>
        <w:pStyle w:val="Tablenote"/>
      </w:pPr>
      <w:r>
        <w:rPr>
          <w:vertAlign w:val="superscript"/>
        </w:rPr>
        <w:t>h</w:t>
      </w:r>
      <w:r w:rsidR="00CC3BA4" w:rsidRPr="00E564DD">
        <w:t xml:space="preserve"> Randomisation was not stratified by subgroup of interest</w:t>
      </w:r>
    </w:p>
    <w:p w:rsidR="00D35699" w:rsidRPr="00D35699" w:rsidRDefault="00BD743C" w:rsidP="00C73C64">
      <w:pPr>
        <w:pStyle w:val="Tablenote"/>
      </w:pPr>
      <w:r>
        <w:rPr>
          <w:vertAlign w:val="superscript"/>
        </w:rPr>
        <w:t xml:space="preserve">I </w:t>
      </w:r>
      <w:r w:rsidR="00D35699">
        <w:t>Surrogate outcome</w:t>
      </w:r>
    </w:p>
    <w:p w:rsidR="00D35699" w:rsidRPr="00E564DD" w:rsidRDefault="00D35699" w:rsidP="00D35699">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Low quality:</w:t>
      </w:r>
      <w:r w:rsidRPr="00E564DD">
        <w:t xml:space="preserve"> Our confidence in the effect estimate is limited: The true effect may be substantially different from the estimate of the effect</w:t>
      </w:r>
    </w:p>
    <w:p w:rsidR="00CC3BA4" w:rsidRPr="00E564DD" w:rsidRDefault="00CC3BA4" w:rsidP="00C73C64">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Very low quality:</w:t>
      </w:r>
      <w:r w:rsidRPr="00E564DD">
        <w:t xml:space="preserve"> We have very little confidence in the effect estimate: The true effect is likely to be substantially different from the estimate of effect</w:t>
      </w:r>
    </w:p>
    <w:p w:rsidR="00064FEF" w:rsidRPr="00A17B9D" w:rsidRDefault="00CC3BA4" w:rsidP="00C73C64">
      <w:pPr>
        <w:pStyle w:val="Tablenote"/>
      </w:pPr>
      <w:r>
        <w:t xml:space="preserve">6MWD = 6-minute </w:t>
      </w:r>
      <w:r w:rsidR="0082368E">
        <w:t>walk distance</w:t>
      </w:r>
      <w:r>
        <w:t xml:space="preserve">; CI = confidence interval; FC = functional class; </w:t>
      </w:r>
      <w:r w:rsidR="00385E5A">
        <w:t>GRADE = grading of recommendations assessment, development and evaluation</w:t>
      </w:r>
      <w:r w:rsidR="001D34EE" w:rsidRPr="001D34EE">
        <w:rPr>
          <w:noProof/>
          <w:vertAlign w:val="superscript"/>
        </w:rPr>
        <w:t>1</w:t>
      </w:r>
      <w:r w:rsidR="00064FEF" w:rsidRPr="00F24B06">
        <w:t xml:space="preserve">; </w:t>
      </w:r>
      <w:r>
        <w:t xml:space="preserve">MD = mean </w:t>
      </w:r>
      <w:r w:rsidR="00A17B9D">
        <w:rPr>
          <w:noProof/>
          <w:color w:val="000000"/>
          <w:highlight w:val="black"/>
        </w:rPr>
        <w:t>''''''''''''''''''''''' '''''''''''' '''' ''''''''''''''''''''''''' ''''''''''''''''' ''''''''''''''''''''''''''''' '''''''''''''''' ''' '''''''''''''''''''''''''''''''''''''''''''''' '''''''''' ''''' '''''''''''' '''' '''''''''''''''''''''''''''' ''''''''''''''''''''''' ''''''''''' ''''''' '''' ''''''''''''''''''' '''''''''' ''''''''''''' ''' ''''''''''''''' ''''''''''''''''' ''''''''''''''''''''''''''''</w:t>
      </w:r>
    </w:p>
    <w:p w:rsidR="00CC3BA4" w:rsidRPr="00A17B9D" w:rsidRDefault="00A17B9D" w:rsidP="00BC5A2B">
      <w:pPr>
        <w:pStyle w:val="Caption"/>
        <w:rPr>
          <w:highlight w:val="black"/>
        </w:rPr>
      </w:pPr>
      <w:r>
        <w:rPr>
          <w:noProof/>
          <w:color w:val="000000"/>
          <w:highlight w:val="black"/>
        </w:rPr>
        <w:t>''''''''''' ''''''''''''''''''''''''''' ''''''''''''' ''''''''' ''''' '''''' '''''''''''''''''' ''''''''''''''''' '''' '''''''''''''''' ''''' '''''''''''''''' '''''''' '''''''''' ''''' ''''' '''''''</w:t>
      </w:r>
    </w:p>
    <w:tbl>
      <w:tblPr>
        <w:tblStyle w:val="TableGrid"/>
        <w:tblW w:w="14738" w:type="dxa"/>
        <w:tblLayout w:type="fixed"/>
        <w:tblLook w:val="04A0" w:firstRow="1" w:lastRow="0" w:firstColumn="1" w:lastColumn="0" w:noHBand="0" w:noVBand="1"/>
        <w:tblCaption w:val="Evidence profile table for sGC stimulator compared to placebo for patients with WHO FC I/II PAH"/>
      </w:tblPr>
      <w:tblGrid>
        <w:gridCol w:w="1493"/>
        <w:gridCol w:w="1054"/>
        <w:gridCol w:w="771"/>
        <w:gridCol w:w="1072"/>
        <w:gridCol w:w="1134"/>
        <w:gridCol w:w="1038"/>
        <w:gridCol w:w="1230"/>
        <w:gridCol w:w="1417"/>
        <w:gridCol w:w="1134"/>
        <w:gridCol w:w="993"/>
        <w:gridCol w:w="2188"/>
        <w:gridCol w:w="1214"/>
      </w:tblGrid>
      <w:tr w:rsidR="00476F09" w:rsidRPr="00835775" w:rsidTr="00BC7F74">
        <w:trPr>
          <w:cnfStyle w:val="100000000000" w:firstRow="1" w:lastRow="0" w:firstColumn="0" w:lastColumn="0" w:oddVBand="0" w:evenVBand="0" w:oddHBand="0" w:evenHBand="0" w:firstRowFirstColumn="0" w:firstRowLastColumn="0" w:lastRowFirstColumn="0" w:lastRowLastColumn="0"/>
          <w:trHeight w:val="611"/>
        </w:trPr>
        <w:tc>
          <w:tcPr>
            <w:tcW w:w="1493" w:type="dxa"/>
          </w:tcPr>
          <w:p w:rsidR="00476F09" w:rsidRPr="00A17B9D" w:rsidRDefault="00A17B9D" w:rsidP="00476F09">
            <w:pPr>
              <w:pStyle w:val="Tabletext"/>
              <w:rPr>
                <w:b/>
                <w:highlight w:val="black"/>
              </w:rPr>
            </w:pPr>
            <w:r>
              <w:rPr>
                <w:b/>
                <w:noProof/>
                <w:color w:val="000000"/>
                <w:highlight w:val="black"/>
              </w:rPr>
              <w:t>''''''''''''''''' '''''''''''''''''''''''</w:t>
            </w:r>
          </w:p>
        </w:tc>
        <w:tc>
          <w:tcPr>
            <w:tcW w:w="1054" w:type="dxa"/>
          </w:tcPr>
          <w:p w:rsidR="00476F09" w:rsidRPr="00A17B9D" w:rsidRDefault="00A17B9D" w:rsidP="00476F09">
            <w:pPr>
              <w:pStyle w:val="Tabletext"/>
              <w:rPr>
                <w:b/>
                <w:highlight w:val="black"/>
              </w:rPr>
            </w:pPr>
            <w:r>
              <w:rPr>
                <w:b/>
                <w:noProof/>
                <w:color w:val="000000"/>
                <w:highlight w:val="black"/>
              </w:rPr>
              <w:t>''''''' ''''' ''''''''''''''' ''''''' '''''''''''' ''''''''''''''</w:t>
            </w:r>
          </w:p>
        </w:tc>
        <w:tc>
          <w:tcPr>
            <w:tcW w:w="771" w:type="dxa"/>
          </w:tcPr>
          <w:p w:rsidR="00476F09" w:rsidRPr="00A17B9D" w:rsidRDefault="00A17B9D" w:rsidP="00476F09">
            <w:pPr>
              <w:pStyle w:val="Tabletext"/>
              <w:rPr>
                <w:b/>
                <w:highlight w:val="black"/>
              </w:rPr>
            </w:pPr>
            <w:r>
              <w:rPr>
                <w:b/>
                <w:noProof/>
                <w:color w:val="000000"/>
                <w:highlight w:val="black"/>
              </w:rPr>
              <w:t>'''''''''' ''''' ''''''''</w:t>
            </w:r>
          </w:p>
        </w:tc>
        <w:tc>
          <w:tcPr>
            <w:tcW w:w="1072" w:type="dxa"/>
          </w:tcPr>
          <w:p w:rsidR="00476F09" w:rsidRPr="00A17B9D" w:rsidRDefault="00A17B9D" w:rsidP="00476F09">
            <w:pPr>
              <w:pStyle w:val="Tabletext"/>
              <w:rPr>
                <w:b/>
                <w:highlight w:val="black"/>
              </w:rPr>
            </w:pPr>
            <w:r>
              <w:rPr>
                <w:b/>
                <w:noProof/>
                <w:color w:val="000000"/>
                <w:highlight w:val="black"/>
              </w:rPr>
              <w:t>'''''''''''''''''''''''''''''</w:t>
            </w:r>
          </w:p>
        </w:tc>
        <w:tc>
          <w:tcPr>
            <w:tcW w:w="1134" w:type="dxa"/>
          </w:tcPr>
          <w:p w:rsidR="00476F09" w:rsidRPr="00A17B9D" w:rsidRDefault="00A17B9D" w:rsidP="00476F09">
            <w:pPr>
              <w:pStyle w:val="Tabletext"/>
              <w:rPr>
                <w:b/>
                <w:highlight w:val="black"/>
              </w:rPr>
            </w:pPr>
            <w:r>
              <w:rPr>
                <w:b/>
                <w:noProof/>
                <w:color w:val="000000"/>
                <w:highlight w:val="black"/>
              </w:rPr>
              <w:t>'''''''''''''''''''''''''</w:t>
            </w:r>
          </w:p>
        </w:tc>
        <w:tc>
          <w:tcPr>
            <w:tcW w:w="1038" w:type="dxa"/>
          </w:tcPr>
          <w:p w:rsidR="00476F09" w:rsidRPr="00A17B9D" w:rsidRDefault="00A17B9D" w:rsidP="00476F09">
            <w:pPr>
              <w:pStyle w:val="Tabletext"/>
              <w:rPr>
                <w:b/>
                <w:highlight w:val="black"/>
              </w:rPr>
            </w:pPr>
            <w:r>
              <w:rPr>
                <w:b/>
                <w:noProof/>
                <w:color w:val="000000"/>
                <w:highlight w:val="black"/>
              </w:rPr>
              <w:t>''''''''''''''''''''''''''''</w:t>
            </w:r>
          </w:p>
        </w:tc>
        <w:tc>
          <w:tcPr>
            <w:tcW w:w="1230" w:type="dxa"/>
          </w:tcPr>
          <w:p w:rsidR="00476F09" w:rsidRPr="00A17B9D" w:rsidRDefault="00A17B9D" w:rsidP="00476F09">
            <w:pPr>
              <w:pStyle w:val="Tabletext"/>
              <w:rPr>
                <w:b/>
                <w:highlight w:val="black"/>
              </w:rPr>
            </w:pPr>
            <w:r>
              <w:rPr>
                <w:b/>
                <w:noProof/>
                <w:color w:val="000000"/>
                <w:highlight w:val="black"/>
              </w:rPr>
              <w:t>''''''''''' ''''''''''''''''''''''''''''''''''''</w:t>
            </w:r>
          </w:p>
        </w:tc>
        <w:tc>
          <w:tcPr>
            <w:tcW w:w="1417" w:type="dxa"/>
          </w:tcPr>
          <w:p w:rsidR="00476F09" w:rsidRPr="00A17B9D" w:rsidRDefault="00A17B9D" w:rsidP="004A42D5">
            <w:pPr>
              <w:pStyle w:val="Tabletext"/>
              <w:rPr>
                <w:b/>
                <w:highlight w:val="black"/>
              </w:rPr>
            </w:pPr>
            <w:r>
              <w:rPr>
                <w:b/>
                <w:noProof/>
                <w:color w:val="000000"/>
                <w:highlight w:val="black"/>
              </w:rPr>
              <w:t>''''''''''' '''''''''''' '''''''''''' '''''' '''''''' '''''''' ''''''''''''''''''''</w:t>
            </w:r>
          </w:p>
        </w:tc>
        <w:tc>
          <w:tcPr>
            <w:tcW w:w="1134" w:type="dxa"/>
          </w:tcPr>
          <w:p w:rsidR="00476F09" w:rsidRPr="00A17B9D" w:rsidRDefault="00A17B9D" w:rsidP="00476F09">
            <w:pPr>
              <w:pStyle w:val="Tabletext"/>
              <w:rPr>
                <w:b/>
                <w:highlight w:val="black"/>
              </w:rPr>
            </w:pPr>
            <w:r>
              <w:rPr>
                <w:b/>
                <w:noProof/>
                <w:color w:val="000000"/>
                <w:highlight w:val="black"/>
              </w:rPr>
              <w:t>''''''''''''' '''''''''''' '''''''''''' ''''''' ''''''''' '''''''''''''''''</w:t>
            </w:r>
          </w:p>
        </w:tc>
        <w:tc>
          <w:tcPr>
            <w:tcW w:w="993" w:type="dxa"/>
          </w:tcPr>
          <w:p w:rsidR="00476F09" w:rsidRPr="00A17B9D" w:rsidRDefault="00A17B9D" w:rsidP="00476F09">
            <w:pPr>
              <w:pStyle w:val="Tabletext"/>
              <w:rPr>
                <w:b/>
                <w:highlight w:val="black"/>
              </w:rPr>
            </w:pPr>
            <w:r>
              <w:rPr>
                <w:b/>
                <w:noProof/>
                <w:color w:val="000000"/>
                <w:highlight w:val="black"/>
              </w:rPr>
              <w:t>'''''''''''''''' ''''''''''' ''''''''''''''''</w:t>
            </w:r>
          </w:p>
        </w:tc>
        <w:tc>
          <w:tcPr>
            <w:tcW w:w="2188" w:type="dxa"/>
          </w:tcPr>
          <w:p w:rsidR="00476F09" w:rsidRPr="00A17B9D" w:rsidRDefault="00A17B9D" w:rsidP="00476F09">
            <w:pPr>
              <w:pStyle w:val="Tabletext"/>
              <w:rPr>
                <w:b/>
                <w:highlight w:val="black"/>
              </w:rPr>
            </w:pPr>
            <w:r>
              <w:rPr>
                <w:b/>
                <w:noProof/>
                <w:color w:val="000000"/>
                <w:highlight w:val="black"/>
              </w:rPr>
              <w:t>''''''''''''''''' '''''''''''' '''''''''''''''</w:t>
            </w:r>
          </w:p>
        </w:tc>
        <w:tc>
          <w:tcPr>
            <w:tcW w:w="1214" w:type="dxa"/>
          </w:tcPr>
          <w:p w:rsidR="00064FEF" w:rsidRPr="00A17B9D" w:rsidRDefault="00A17B9D" w:rsidP="00476F09">
            <w:pPr>
              <w:pStyle w:val="Tabletext"/>
              <w:rPr>
                <w:b/>
                <w:highlight w:val="black"/>
              </w:rPr>
            </w:pPr>
            <w:r>
              <w:rPr>
                <w:b/>
                <w:noProof/>
                <w:color w:val="000000"/>
                <w:highlight w:val="black"/>
              </w:rPr>
              <w:t>''''''''''''''''</w:t>
            </w:r>
          </w:p>
          <w:p w:rsidR="00476F09" w:rsidRPr="00A17B9D" w:rsidRDefault="00A17B9D" w:rsidP="00476F09">
            <w:pPr>
              <w:pStyle w:val="Tabletext"/>
              <w:rPr>
                <w:b/>
                <w:highlight w:val="black"/>
              </w:rPr>
            </w:pPr>
            <w:r>
              <w:rPr>
                <w:b/>
                <w:noProof/>
                <w:color w:val="000000"/>
                <w:highlight w:val="black"/>
              </w:rPr>
              <w:t>'''''''''''''''</w:t>
            </w:r>
          </w:p>
          <w:p w:rsidR="00476F09" w:rsidRPr="00A17B9D" w:rsidRDefault="00A17B9D" w:rsidP="00476F09">
            <w:pPr>
              <w:pStyle w:val="Tabletext"/>
              <w:rPr>
                <w:b/>
                <w:highlight w:val="black"/>
              </w:rPr>
            </w:pPr>
            <w:r>
              <w:rPr>
                <w:b/>
                <w:noProof/>
                <w:color w:val="000000"/>
                <w:highlight w:val="black"/>
              </w:rPr>
              <w:t>'''''''''''''''''''''''''</w:t>
            </w:r>
          </w:p>
        </w:tc>
      </w:tr>
      <w:tr w:rsidR="00BD743C" w:rsidRPr="00835775" w:rsidTr="00BC7F74">
        <w:trPr>
          <w:trHeight w:val="319"/>
        </w:trPr>
        <w:tc>
          <w:tcPr>
            <w:tcW w:w="1493" w:type="dxa"/>
          </w:tcPr>
          <w:p w:rsidR="00BD743C" w:rsidRPr="00A17B9D" w:rsidRDefault="00A17B9D" w:rsidP="00BD743C">
            <w:pPr>
              <w:pStyle w:val="Tabletext"/>
              <w:rPr>
                <w:rFonts w:cs="Tahoma"/>
                <w:highlight w:val="black"/>
              </w:rPr>
            </w:pPr>
            <w:r>
              <w:rPr>
                <w:rFonts w:cs="Tahoma"/>
                <w:noProof/>
                <w:color w:val="000000"/>
                <w:highlight w:val="black"/>
              </w:rPr>
              <w:t>''''''''''''''''''' ''''''''''''''''''''''''''</w:t>
            </w:r>
            <w:r>
              <w:rPr>
                <w:rFonts w:cs="Tahoma"/>
                <w:noProof/>
                <w:color w:val="000000"/>
                <w:highlight w:val="black"/>
              </w:rPr>
              <w:br/>
              <w:t>''''''''' '''''''''''''''</w:t>
            </w:r>
          </w:p>
        </w:tc>
        <w:tc>
          <w:tcPr>
            <w:tcW w:w="1054" w:type="dxa"/>
          </w:tcPr>
          <w:p w:rsidR="00BD743C" w:rsidRPr="00A17B9D" w:rsidRDefault="00A17B9D" w:rsidP="00BD743C">
            <w:pPr>
              <w:pStyle w:val="Tabletext"/>
              <w:rPr>
                <w:rFonts w:cs="Tahoma"/>
                <w:highlight w:val="black"/>
              </w:rPr>
            </w:pPr>
            <w:r>
              <w:rPr>
                <w:rFonts w:cs="Tahoma"/>
                <w:noProof/>
                <w:color w:val="000000"/>
                <w:highlight w:val="black"/>
              </w:rPr>
              <w:t>''' ''''''''''''</w:t>
            </w:r>
          </w:p>
        </w:tc>
        <w:tc>
          <w:tcPr>
            <w:tcW w:w="771" w:type="dxa"/>
          </w:tcPr>
          <w:p w:rsidR="00BD743C" w:rsidRPr="00A17B9D" w:rsidRDefault="00A17B9D" w:rsidP="00BD743C">
            <w:pPr>
              <w:pStyle w:val="Tabletext"/>
              <w:rPr>
                <w:rFonts w:cs="Tahoma"/>
                <w:highlight w:val="black"/>
              </w:rPr>
            </w:pPr>
            <w:r>
              <w:rPr>
                <w:rFonts w:cs="Tahoma"/>
                <w:noProof/>
                <w:color w:val="000000"/>
                <w:highlight w:val="black"/>
              </w:rPr>
              <w:t>'''''''' '''''''''''''''''</w:t>
            </w:r>
          </w:p>
        </w:tc>
        <w:tc>
          <w:tcPr>
            <w:tcW w:w="1072" w:type="dxa"/>
          </w:tcPr>
          <w:p w:rsidR="00BD743C" w:rsidRPr="00A17B9D" w:rsidRDefault="00A17B9D" w:rsidP="00BD743C">
            <w:pPr>
              <w:pStyle w:val="Tabletext"/>
              <w:rPr>
                <w:rFonts w:cs="Tahoma"/>
                <w:highlight w:val="black"/>
              </w:rPr>
            </w:pPr>
            <w:r>
              <w:rPr>
                <w:rFonts w:cs="Tahoma"/>
                <w:noProof/>
                <w:color w:val="000000"/>
                <w:highlight w:val="black"/>
              </w:rPr>
              <w:t>''''''''' ''''''''''''''''''</w:t>
            </w:r>
          </w:p>
        </w:tc>
        <w:tc>
          <w:tcPr>
            <w:tcW w:w="1134" w:type="dxa"/>
          </w:tcPr>
          <w:p w:rsidR="00BD743C" w:rsidRPr="00A17B9D" w:rsidRDefault="00A17B9D" w:rsidP="00BD743C">
            <w:pPr>
              <w:pStyle w:val="Tabletext"/>
              <w:rPr>
                <w:rFonts w:cs="Tahoma"/>
                <w:highlight w:val="black"/>
              </w:rPr>
            </w:pPr>
            <w:r>
              <w:rPr>
                <w:rFonts w:cs="Tahoma"/>
                <w:noProof/>
                <w:color w:val="000000"/>
                <w:highlight w:val="black"/>
              </w:rPr>
              <w:t>'''''''' '''''''''''''''''</w:t>
            </w:r>
          </w:p>
        </w:tc>
        <w:tc>
          <w:tcPr>
            <w:tcW w:w="1038" w:type="dxa"/>
          </w:tcPr>
          <w:p w:rsidR="00BD743C" w:rsidRPr="00A17B9D" w:rsidRDefault="00A17B9D" w:rsidP="00BD743C">
            <w:pPr>
              <w:pStyle w:val="Tabletext"/>
              <w:rPr>
                <w:rFonts w:cs="Tahoma"/>
                <w:highlight w:val="black"/>
              </w:rPr>
            </w:pPr>
            <w:r>
              <w:rPr>
                <w:rFonts w:cs="Tahoma"/>
                <w:noProof/>
                <w:color w:val="000000"/>
                <w:highlight w:val="black"/>
              </w:rPr>
              <w:t>''''''''''' ''''''''''''''''''' '''</w:t>
            </w:r>
          </w:p>
        </w:tc>
        <w:tc>
          <w:tcPr>
            <w:tcW w:w="1230" w:type="dxa"/>
          </w:tcPr>
          <w:p w:rsidR="00BD743C" w:rsidRPr="00A17B9D" w:rsidRDefault="00A17B9D" w:rsidP="00BD743C">
            <w:pPr>
              <w:pStyle w:val="Tabletext"/>
              <w:rPr>
                <w:rFonts w:cs="Tahoma"/>
                <w:highlight w:val="black"/>
              </w:rPr>
            </w:pPr>
            <w:r>
              <w:rPr>
                <w:rFonts w:cs="Tahoma"/>
                <w:noProof/>
                <w:color w:val="000000"/>
                <w:highlight w:val="black"/>
              </w:rPr>
              <w:t>''''''''''''</w:t>
            </w:r>
          </w:p>
        </w:tc>
        <w:tc>
          <w:tcPr>
            <w:tcW w:w="1417" w:type="dxa"/>
          </w:tcPr>
          <w:p w:rsidR="00BD743C" w:rsidRPr="00A17B9D" w:rsidRDefault="00A17B9D" w:rsidP="00BD743C">
            <w:pPr>
              <w:pStyle w:val="Tabletext"/>
              <w:rPr>
                <w:rFonts w:cs="Tahoma"/>
                <w:highlight w:val="black"/>
              </w:rPr>
            </w:pPr>
            <w:r>
              <w:rPr>
                <w:rFonts w:cs="Tahoma"/>
                <w:noProof/>
                <w:color w:val="000000"/>
                <w:highlight w:val="black"/>
              </w:rPr>
              <w:t>''''''''''' ''''''''''''</w:t>
            </w:r>
          </w:p>
        </w:tc>
        <w:tc>
          <w:tcPr>
            <w:tcW w:w="1134" w:type="dxa"/>
          </w:tcPr>
          <w:p w:rsidR="00BD743C" w:rsidRPr="00A17B9D" w:rsidRDefault="00A17B9D" w:rsidP="00BD743C">
            <w:pPr>
              <w:pStyle w:val="Tabletext"/>
              <w:rPr>
                <w:rFonts w:cs="Tahoma"/>
                <w:highlight w:val="black"/>
              </w:rPr>
            </w:pPr>
            <w:r>
              <w:rPr>
                <w:rFonts w:cs="Tahoma"/>
                <w:noProof/>
                <w:color w:val="000000"/>
                <w:highlight w:val="black"/>
              </w:rPr>
              <w:t>''''''''''' '''''''''''''</w:t>
            </w:r>
          </w:p>
        </w:tc>
        <w:tc>
          <w:tcPr>
            <w:tcW w:w="993" w:type="dxa"/>
          </w:tcPr>
          <w:p w:rsidR="00BD743C" w:rsidRPr="00A17B9D" w:rsidRDefault="00A17B9D" w:rsidP="00BD743C">
            <w:pPr>
              <w:pStyle w:val="Tabletext"/>
              <w:rPr>
                <w:rFonts w:cs="Tahoma"/>
                <w:highlight w:val="black"/>
              </w:rPr>
            </w:pPr>
            <w:r>
              <w:rPr>
                <w:rFonts w:cs="Tahoma"/>
                <w:noProof/>
                <w:color w:val="000000"/>
                <w:highlight w:val="black"/>
              </w:rPr>
              <w:t>'''''''' ''' '''''''''' ''''''''''''''' ''''''''''''''</w:t>
            </w:r>
          </w:p>
        </w:tc>
        <w:tc>
          <w:tcPr>
            <w:tcW w:w="2188" w:type="dxa"/>
          </w:tcPr>
          <w:p w:rsidR="00BD743C" w:rsidRPr="00A17B9D" w:rsidRDefault="00A17B9D" w:rsidP="00BD743C">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BD743C" w:rsidRPr="00A17B9D" w:rsidRDefault="00A17B9D" w:rsidP="00BD743C">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BD743C" w:rsidRPr="00A17B9D" w:rsidRDefault="00A17B9D" w:rsidP="00BD743C">
            <w:pPr>
              <w:pStyle w:val="Tabletext"/>
              <w:rPr>
                <w:rFonts w:cs="Tahoma"/>
                <w:highlight w:val="black"/>
              </w:rPr>
            </w:pPr>
            <w:r>
              <w:rPr>
                <w:rFonts w:cs="Tahoma"/>
                <w:noProof/>
                <w:color w:val="000000"/>
                <w:highlight w:val="black"/>
              </w:rPr>
              <w:t>'''''''''''''''''</w:t>
            </w:r>
          </w:p>
        </w:tc>
      </w:tr>
      <w:tr w:rsidR="00CC3BA4" w:rsidRPr="00835775" w:rsidTr="00BC7F74">
        <w:trPr>
          <w:trHeight w:val="319"/>
        </w:trPr>
        <w:tc>
          <w:tcPr>
            <w:tcW w:w="1493" w:type="dxa"/>
          </w:tcPr>
          <w:p w:rsidR="00CC3BA4" w:rsidRPr="00A17B9D" w:rsidRDefault="00A17B9D" w:rsidP="0060259F">
            <w:pPr>
              <w:pStyle w:val="Tabletext"/>
              <w:rPr>
                <w:rFonts w:cs="Tahoma"/>
                <w:highlight w:val="black"/>
              </w:rPr>
            </w:pPr>
            <w:r>
              <w:rPr>
                <w:rFonts w:cs="Tahoma"/>
                <w:noProof/>
                <w:color w:val="000000"/>
                <w:highlight w:val="black"/>
              </w:rPr>
              <w:t>'''''''''''''''''''''</w:t>
            </w:r>
            <w:r>
              <w:rPr>
                <w:rFonts w:cs="Tahoma"/>
                <w:noProof/>
                <w:color w:val="000000"/>
                <w:highlight w:val="black"/>
              </w:rPr>
              <w:br/>
              <w:t>'''''''' '''''''''''''''''</w:t>
            </w:r>
          </w:p>
        </w:tc>
        <w:tc>
          <w:tcPr>
            <w:tcW w:w="1054"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771"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1072"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1134"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1038" w:type="dxa"/>
          </w:tcPr>
          <w:p w:rsidR="00CC3BA4" w:rsidRPr="00A17B9D" w:rsidRDefault="00A17B9D" w:rsidP="00BD743C">
            <w:pPr>
              <w:pStyle w:val="Tabletext"/>
              <w:rPr>
                <w:rFonts w:cs="Tahoma"/>
                <w:highlight w:val="black"/>
                <w:vertAlign w:val="superscript"/>
              </w:rPr>
            </w:pPr>
            <w:r>
              <w:rPr>
                <w:rFonts w:cs="Tahoma"/>
                <w:noProof/>
                <w:color w:val="000000"/>
                <w:highlight w:val="black"/>
              </w:rPr>
              <w:t>'''''''' '''''''''''''''''</w:t>
            </w:r>
          </w:p>
        </w:tc>
        <w:tc>
          <w:tcPr>
            <w:tcW w:w="1230" w:type="dxa"/>
          </w:tcPr>
          <w:p w:rsidR="00CC3BA4" w:rsidRPr="00A17B9D" w:rsidRDefault="00A17B9D" w:rsidP="00C73C64">
            <w:pPr>
              <w:pStyle w:val="Tabletext"/>
              <w:rPr>
                <w:rFonts w:cs="Tahoma"/>
                <w:highlight w:val="black"/>
              </w:rPr>
            </w:pPr>
            <w:r>
              <w:rPr>
                <w:rFonts w:cs="Tahoma"/>
                <w:noProof/>
                <w:color w:val="000000"/>
                <w:highlight w:val="black"/>
              </w:rPr>
              <w:t>''''''''''''''</w:t>
            </w:r>
          </w:p>
        </w:tc>
        <w:tc>
          <w:tcPr>
            <w:tcW w:w="1417"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1134"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993" w:type="dxa"/>
          </w:tcPr>
          <w:p w:rsidR="00CC3BA4" w:rsidRPr="00A17B9D" w:rsidRDefault="00A17B9D" w:rsidP="0017797D">
            <w:pPr>
              <w:pStyle w:val="Tabletext"/>
              <w:rPr>
                <w:rFonts w:cs="Tahoma"/>
                <w:highlight w:val="black"/>
              </w:rPr>
            </w:pPr>
            <w:r>
              <w:rPr>
                <w:rFonts w:cs="Tahoma"/>
                <w:noProof/>
                <w:color w:val="000000"/>
                <w:highlight w:val="black"/>
              </w:rPr>
              <w:t xml:space="preserve">''''''''''' ''' '''''''''''' </w:t>
            </w:r>
            <w:r>
              <w:rPr>
                <w:rFonts w:cs="Tahoma"/>
                <w:noProof/>
                <w:color w:val="000000"/>
                <w:highlight w:val="black"/>
              </w:rPr>
              <w:br/>
              <w:t>'''''''''''''' '''''''''</w:t>
            </w:r>
          </w:p>
        </w:tc>
        <w:tc>
          <w:tcPr>
            <w:tcW w:w="2188" w:type="dxa"/>
          </w:tcPr>
          <w:p w:rsidR="00CC3BA4" w:rsidRPr="00A17B9D" w:rsidRDefault="00A17B9D" w:rsidP="0060259F">
            <w:pPr>
              <w:pStyle w:val="Tabletext"/>
              <w:rPr>
                <w:rFonts w:cs="Tahoma"/>
                <w:highlight w:val="black"/>
              </w:rPr>
            </w:pPr>
            <w:r>
              <w:rPr>
                <w:rFonts w:cs="Tahoma"/>
                <w:noProof/>
                <w:color w:val="000000"/>
                <w:highlight w:val="black"/>
              </w:rPr>
              <w:t>'''''''''''''''''' '''''''' '''''''''''''</w:t>
            </w:r>
            <w:r>
              <w:rPr>
                <w:rFonts w:cs="Tahoma"/>
                <w:noProof/>
                <w:color w:val="000000"/>
                <w:highlight w:val="black"/>
              </w:rPr>
              <w:br/>
              <w:t>''''''''''''' '''''' ''''''''''''' '''' '''''' '''''''''''''</w:t>
            </w:r>
          </w:p>
        </w:tc>
        <w:tc>
          <w:tcPr>
            <w:tcW w:w="1214" w:type="dxa"/>
          </w:tcPr>
          <w:p w:rsidR="00BD743C" w:rsidRPr="00A17B9D" w:rsidRDefault="00A17B9D" w:rsidP="00BD743C">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A17B9D" w:rsidRDefault="00A17B9D" w:rsidP="00C73C64">
            <w:pPr>
              <w:pStyle w:val="Tabletext"/>
              <w:rPr>
                <w:rFonts w:cs="Tahoma"/>
                <w:highlight w:val="black"/>
              </w:rPr>
            </w:pPr>
            <w:r>
              <w:rPr>
                <w:rFonts w:cs="Tahoma"/>
                <w:noProof/>
                <w:color w:val="000000"/>
                <w:highlight w:val="black"/>
              </w:rPr>
              <w:t>'''''''''''''''</w:t>
            </w:r>
          </w:p>
        </w:tc>
      </w:tr>
      <w:tr w:rsidR="00CC3BA4" w:rsidRPr="00835775" w:rsidTr="00BC7F74">
        <w:trPr>
          <w:trHeight w:val="319"/>
        </w:trPr>
        <w:tc>
          <w:tcPr>
            <w:tcW w:w="1493" w:type="dxa"/>
          </w:tcPr>
          <w:p w:rsidR="00CC3BA4" w:rsidRPr="00A17B9D" w:rsidRDefault="00A17B9D" w:rsidP="00C73C64">
            <w:pPr>
              <w:pStyle w:val="Tabletext"/>
              <w:rPr>
                <w:rFonts w:cs="Tahoma"/>
                <w:highlight w:val="black"/>
              </w:rPr>
            </w:pPr>
            <w:r>
              <w:rPr>
                <w:rFonts w:cs="Tahoma"/>
                <w:noProof/>
                <w:color w:val="000000"/>
                <w:highlight w:val="black"/>
              </w:rPr>
              <w:t>'''''''''''''''''''''''''''''''''' '''''''''' ''''' '''''''''''</w:t>
            </w:r>
            <w:r>
              <w:rPr>
                <w:rFonts w:cs="Tahoma"/>
                <w:noProof/>
                <w:color w:val="000000"/>
                <w:highlight w:val="black"/>
              </w:rPr>
              <w:br/>
              <w:t>'''''''' ''''''''''''''''''</w:t>
            </w:r>
          </w:p>
        </w:tc>
        <w:tc>
          <w:tcPr>
            <w:tcW w:w="1054"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771"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1072"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1134"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1038"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1230" w:type="dxa"/>
          </w:tcPr>
          <w:p w:rsidR="00CC3BA4" w:rsidRPr="00A17B9D" w:rsidRDefault="00A17B9D" w:rsidP="00C73C64">
            <w:pPr>
              <w:pStyle w:val="Tabletext"/>
              <w:rPr>
                <w:rFonts w:cs="Tahoma"/>
                <w:highlight w:val="black"/>
              </w:rPr>
            </w:pPr>
            <w:r>
              <w:rPr>
                <w:rFonts w:cs="Tahoma"/>
                <w:noProof/>
                <w:color w:val="000000"/>
                <w:highlight w:val="black"/>
              </w:rPr>
              <w:t>''''''''''''''</w:t>
            </w:r>
          </w:p>
        </w:tc>
        <w:tc>
          <w:tcPr>
            <w:tcW w:w="1417"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1134"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993"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2188"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1214" w:type="dxa"/>
          </w:tcPr>
          <w:p w:rsidR="00CC3BA4" w:rsidRPr="00A17B9D" w:rsidRDefault="00A17B9D" w:rsidP="00C73C64">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A17B9D" w:rsidRDefault="00A17B9D" w:rsidP="00C73C64">
            <w:pPr>
              <w:pStyle w:val="Tabletext"/>
              <w:rPr>
                <w:rFonts w:ascii="Cambria Math" w:eastAsia="Times New Roman" w:hAnsi="Cambria Math" w:cs="Cambria Math"/>
                <w:bCs/>
                <w:highlight w:val="black"/>
              </w:rPr>
            </w:pPr>
            <w:r>
              <w:rPr>
                <w:rFonts w:cs="Tahoma"/>
                <w:noProof/>
                <w:color w:val="000000"/>
                <w:highlight w:val="black"/>
              </w:rPr>
              <w:t>'''''''''''''''''''''''</w:t>
            </w:r>
          </w:p>
        </w:tc>
      </w:tr>
      <w:tr w:rsidR="00BD743C" w:rsidRPr="00835775" w:rsidTr="00BC7F74">
        <w:trPr>
          <w:trHeight w:val="319"/>
        </w:trPr>
        <w:tc>
          <w:tcPr>
            <w:tcW w:w="1493" w:type="dxa"/>
          </w:tcPr>
          <w:p w:rsidR="00BD743C" w:rsidRPr="00A17B9D" w:rsidRDefault="00A17B9D" w:rsidP="00BD743C">
            <w:pPr>
              <w:pStyle w:val="Tabletext"/>
              <w:rPr>
                <w:rFonts w:cs="Tahoma"/>
                <w:highlight w:val="black"/>
              </w:rPr>
            </w:pPr>
            <w:r>
              <w:rPr>
                <w:rFonts w:cs="Tahoma"/>
                <w:noProof/>
                <w:color w:val="000000"/>
                <w:highlight w:val="black"/>
              </w:rPr>
              <w:t>'''''''''''''''''''' ''''''''''''''' '''''''</w:t>
            </w:r>
            <w:r>
              <w:rPr>
                <w:rFonts w:cs="Tahoma"/>
                <w:noProof/>
                <w:color w:val="000000"/>
                <w:highlight w:val="black"/>
              </w:rPr>
              <w:br/>
              <w:t>'''''''' '''''''''''''''</w:t>
            </w:r>
          </w:p>
        </w:tc>
        <w:tc>
          <w:tcPr>
            <w:tcW w:w="1054" w:type="dxa"/>
          </w:tcPr>
          <w:p w:rsidR="00BD743C" w:rsidRPr="00A17B9D" w:rsidRDefault="00A17B9D" w:rsidP="00BD743C">
            <w:pPr>
              <w:pStyle w:val="Tabletext"/>
              <w:rPr>
                <w:rFonts w:cs="Tahoma"/>
                <w:highlight w:val="black"/>
              </w:rPr>
            </w:pPr>
            <w:r>
              <w:rPr>
                <w:rFonts w:cs="Tahoma"/>
                <w:noProof/>
                <w:color w:val="000000"/>
                <w:highlight w:val="black"/>
              </w:rPr>
              <w:t>''' '''''''''''</w:t>
            </w:r>
          </w:p>
        </w:tc>
        <w:tc>
          <w:tcPr>
            <w:tcW w:w="771" w:type="dxa"/>
          </w:tcPr>
          <w:p w:rsidR="00BD743C" w:rsidRPr="00A17B9D" w:rsidRDefault="00A17B9D" w:rsidP="00BD743C">
            <w:pPr>
              <w:pStyle w:val="Tabletext"/>
              <w:rPr>
                <w:rFonts w:cs="Tahoma"/>
                <w:highlight w:val="black"/>
              </w:rPr>
            </w:pPr>
            <w:r>
              <w:rPr>
                <w:rFonts w:cs="Tahoma"/>
                <w:noProof/>
                <w:color w:val="000000"/>
                <w:highlight w:val="black"/>
              </w:rPr>
              <w:t>''''''''' ''''''''''''''''</w:t>
            </w:r>
          </w:p>
        </w:tc>
        <w:tc>
          <w:tcPr>
            <w:tcW w:w="1072" w:type="dxa"/>
          </w:tcPr>
          <w:p w:rsidR="00BD743C" w:rsidRPr="00A17B9D" w:rsidRDefault="00A17B9D" w:rsidP="00BD743C">
            <w:pPr>
              <w:pStyle w:val="Tabletext"/>
              <w:rPr>
                <w:rFonts w:cs="Tahoma"/>
                <w:highlight w:val="black"/>
              </w:rPr>
            </w:pPr>
            <w:r>
              <w:rPr>
                <w:rFonts w:cs="Tahoma"/>
                <w:noProof/>
                <w:color w:val="000000"/>
                <w:highlight w:val="black"/>
              </w:rPr>
              <w:t>'''''''' '''''''''''''''''</w:t>
            </w:r>
          </w:p>
        </w:tc>
        <w:tc>
          <w:tcPr>
            <w:tcW w:w="1134" w:type="dxa"/>
          </w:tcPr>
          <w:p w:rsidR="00BD743C" w:rsidRPr="00A17B9D" w:rsidRDefault="00A17B9D" w:rsidP="00BD743C">
            <w:pPr>
              <w:pStyle w:val="Tabletext"/>
              <w:rPr>
                <w:rFonts w:cs="Tahoma"/>
                <w:highlight w:val="black"/>
              </w:rPr>
            </w:pPr>
            <w:r>
              <w:rPr>
                <w:rFonts w:cs="Tahoma"/>
                <w:noProof/>
                <w:color w:val="000000"/>
                <w:highlight w:val="black"/>
              </w:rPr>
              <w:t>'''''''' '''''''''''''''''</w:t>
            </w:r>
          </w:p>
        </w:tc>
        <w:tc>
          <w:tcPr>
            <w:tcW w:w="1038" w:type="dxa"/>
          </w:tcPr>
          <w:p w:rsidR="00BD743C" w:rsidRPr="00A17B9D" w:rsidRDefault="00A17B9D" w:rsidP="00BD743C">
            <w:pPr>
              <w:pStyle w:val="Tabletext"/>
              <w:rPr>
                <w:rFonts w:cs="Tahoma"/>
                <w:highlight w:val="black"/>
              </w:rPr>
            </w:pPr>
            <w:r>
              <w:rPr>
                <w:rFonts w:cs="Tahoma"/>
                <w:noProof/>
                <w:color w:val="000000"/>
                <w:highlight w:val="black"/>
              </w:rPr>
              <w:t>'''''''''''''''''''' '''</w:t>
            </w:r>
          </w:p>
        </w:tc>
        <w:tc>
          <w:tcPr>
            <w:tcW w:w="1230" w:type="dxa"/>
          </w:tcPr>
          <w:p w:rsidR="00BD743C" w:rsidRPr="00A17B9D" w:rsidRDefault="00A17B9D" w:rsidP="00BD743C">
            <w:pPr>
              <w:pStyle w:val="Tabletext"/>
              <w:rPr>
                <w:rFonts w:cs="Tahoma"/>
                <w:highlight w:val="black"/>
              </w:rPr>
            </w:pPr>
            <w:r>
              <w:rPr>
                <w:rFonts w:cs="Tahoma"/>
                <w:noProof/>
                <w:color w:val="000000"/>
                <w:highlight w:val="black"/>
              </w:rPr>
              <w:t>''''''''''''</w:t>
            </w:r>
          </w:p>
        </w:tc>
        <w:tc>
          <w:tcPr>
            <w:tcW w:w="1417" w:type="dxa"/>
          </w:tcPr>
          <w:p w:rsidR="00BD743C" w:rsidRPr="00A17B9D" w:rsidRDefault="00A17B9D" w:rsidP="00BD743C">
            <w:pPr>
              <w:pStyle w:val="Tabletext"/>
              <w:rPr>
                <w:rFonts w:cs="Tahoma"/>
                <w:highlight w:val="black"/>
              </w:rPr>
            </w:pPr>
            <w:r>
              <w:rPr>
                <w:rFonts w:cs="Tahoma"/>
                <w:noProof/>
                <w:color w:val="000000"/>
                <w:highlight w:val="black"/>
              </w:rPr>
              <w:t>'''''''''' '''''''''''</w:t>
            </w:r>
          </w:p>
        </w:tc>
        <w:tc>
          <w:tcPr>
            <w:tcW w:w="1134" w:type="dxa"/>
          </w:tcPr>
          <w:p w:rsidR="00BD743C" w:rsidRPr="00A17B9D" w:rsidRDefault="00A17B9D" w:rsidP="00BD743C">
            <w:pPr>
              <w:pStyle w:val="Tabletext"/>
              <w:rPr>
                <w:rFonts w:cs="Tahoma"/>
                <w:highlight w:val="black"/>
              </w:rPr>
            </w:pPr>
            <w:r>
              <w:rPr>
                <w:rFonts w:cs="Tahoma"/>
                <w:noProof/>
                <w:color w:val="000000"/>
                <w:highlight w:val="black"/>
              </w:rPr>
              <w:t>''''''''''' '''''''''''</w:t>
            </w:r>
          </w:p>
        </w:tc>
        <w:tc>
          <w:tcPr>
            <w:tcW w:w="993" w:type="dxa"/>
          </w:tcPr>
          <w:p w:rsidR="00BD743C" w:rsidRPr="00A17B9D" w:rsidRDefault="00A17B9D" w:rsidP="00BD743C">
            <w:pPr>
              <w:pStyle w:val="Tabletext"/>
              <w:rPr>
                <w:rFonts w:cs="Tahoma"/>
                <w:highlight w:val="black"/>
              </w:rPr>
            </w:pPr>
            <w:r>
              <w:rPr>
                <w:rFonts w:cs="Tahoma"/>
                <w:noProof/>
                <w:color w:val="000000"/>
                <w:highlight w:val="black"/>
              </w:rPr>
              <w:t>''''''''' '''' ''''''''''' '''''''''''''' ''''''''''''</w:t>
            </w:r>
          </w:p>
        </w:tc>
        <w:tc>
          <w:tcPr>
            <w:tcW w:w="2188" w:type="dxa"/>
          </w:tcPr>
          <w:p w:rsidR="00BD743C" w:rsidRPr="00A17B9D" w:rsidRDefault="00A17B9D" w:rsidP="00BD743C">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BD743C" w:rsidRPr="00A17B9D" w:rsidRDefault="00A17B9D" w:rsidP="00BD743C">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BD743C" w:rsidRPr="00A17B9D" w:rsidRDefault="00A17B9D" w:rsidP="00BD743C">
            <w:pPr>
              <w:pStyle w:val="Tabletext"/>
              <w:rPr>
                <w:rFonts w:ascii="Cambria Math" w:eastAsia="Times New Roman" w:hAnsi="Cambria Math" w:cs="Cambria Math"/>
                <w:bCs/>
                <w:highlight w:val="black"/>
              </w:rPr>
            </w:pPr>
            <w:r>
              <w:rPr>
                <w:rFonts w:cs="Tahoma"/>
                <w:noProof/>
                <w:color w:val="000000"/>
                <w:highlight w:val="black"/>
              </w:rPr>
              <w:t>''''''''''''''''''''''''</w:t>
            </w:r>
          </w:p>
        </w:tc>
      </w:tr>
      <w:tr w:rsidR="00CC3BA4" w:rsidRPr="00835775" w:rsidTr="00BC7F74">
        <w:trPr>
          <w:trHeight w:val="319"/>
        </w:trPr>
        <w:tc>
          <w:tcPr>
            <w:tcW w:w="1493" w:type="dxa"/>
          </w:tcPr>
          <w:p w:rsidR="00CC3BA4" w:rsidRPr="00A17B9D" w:rsidRDefault="00A17B9D" w:rsidP="00C73C64">
            <w:pPr>
              <w:pStyle w:val="Tabletext"/>
              <w:rPr>
                <w:rFonts w:cs="Tahoma"/>
                <w:highlight w:val="black"/>
              </w:rPr>
            </w:pPr>
            <w:r>
              <w:rPr>
                <w:rFonts w:cs="Tahoma"/>
                <w:noProof/>
                <w:color w:val="000000"/>
                <w:highlight w:val="black"/>
              </w:rPr>
              <w:t>'''''''''''''''''''''' '''''''''''''' '''''''</w:t>
            </w:r>
            <w:r>
              <w:rPr>
                <w:rFonts w:cs="Tahoma"/>
                <w:noProof/>
                <w:color w:val="000000"/>
                <w:highlight w:val="black"/>
              </w:rPr>
              <w:br/>
              <w:t>'''''''' ''''''''''''''''</w:t>
            </w:r>
          </w:p>
        </w:tc>
        <w:tc>
          <w:tcPr>
            <w:tcW w:w="1054"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771"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1072"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1134"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1038"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1230" w:type="dxa"/>
          </w:tcPr>
          <w:p w:rsidR="00CC3BA4" w:rsidRPr="00A17B9D" w:rsidRDefault="00A17B9D" w:rsidP="00C73C64">
            <w:pPr>
              <w:pStyle w:val="Tabletext"/>
              <w:rPr>
                <w:rFonts w:cs="Tahoma"/>
                <w:highlight w:val="black"/>
              </w:rPr>
            </w:pPr>
            <w:r>
              <w:rPr>
                <w:rFonts w:cs="Tahoma"/>
                <w:noProof/>
                <w:color w:val="000000"/>
                <w:highlight w:val="black"/>
              </w:rPr>
              <w:t>'''''''''' '''''''''''''' '''''''''''''''''''''''''''</w:t>
            </w:r>
          </w:p>
        </w:tc>
        <w:tc>
          <w:tcPr>
            <w:tcW w:w="1417"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1134"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993" w:type="dxa"/>
          </w:tcPr>
          <w:p w:rsidR="00CC3BA4" w:rsidRPr="00A17B9D" w:rsidRDefault="00A17B9D" w:rsidP="00C73C64">
            <w:pPr>
              <w:pStyle w:val="Tabletext"/>
              <w:rPr>
                <w:rFonts w:cs="Tahoma"/>
                <w:highlight w:val="black"/>
              </w:rPr>
            </w:pPr>
            <w:r>
              <w:rPr>
                <w:rFonts w:cs="Tahoma"/>
                <w:noProof/>
                <w:color w:val="000000"/>
                <w:highlight w:val="black"/>
              </w:rPr>
              <w:t>'''''''' '''' '''''''''' ''''''''''''' '''''''''''''</w:t>
            </w:r>
          </w:p>
        </w:tc>
        <w:tc>
          <w:tcPr>
            <w:tcW w:w="2188" w:type="dxa"/>
          </w:tcPr>
          <w:p w:rsidR="00CC3BA4" w:rsidRPr="00A17B9D" w:rsidRDefault="00A17B9D" w:rsidP="00C73C64">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CC3BA4" w:rsidRPr="00A17B9D" w:rsidRDefault="00A17B9D" w:rsidP="00C73C64">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A17B9D" w:rsidRDefault="00A17B9D" w:rsidP="00C73C64">
            <w:pPr>
              <w:pStyle w:val="Tabletext"/>
              <w:rPr>
                <w:rFonts w:ascii="Cambria Math" w:eastAsia="Times New Roman" w:hAnsi="Cambria Math" w:cs="Cambria Math"/>
                <w:bCs/>
                <w:color w:val="00B050"/>
                <w:highlight w:val="black"/>
              </w:rPr>
            </w:pPr>
            <w:r>
              <w:rPr>
                <w:rFonts w:cs="Tahoma"/>
                <w:noProof/>
                <w:color w:val="000000"/>
                <w:highlight w:val="black"/>
              </w:rPr>
              <w:t>'''''''''''''''''''''</w:t>
            </w:r>
          </w:p>
        </w:tc>
      </w:tr>
      <w:tr w:rsidR="004A42D5" w:rsidRPr="00835775" w:rsidTr="00BC7F74">
        <w:trPr>
          <w:trHeight w:val="319"/>
        </w:trPr>
        <w:tc>
          <w:tcPr>
            <w:tcW w:w="1493" w:type="dxa"/>
          </w:tcPr>
          <w:p w:rsidR="004A42D5" w:rsidRPr="00A17B9D" w:rsidRDefault="00A17B9D" w:rsidP="004A42D5">
            <w:pPr>
              <w:pStyle w:val="Tabletext"/>
              <w:rPr>
                <w:rFonts w:cs="Tahoma"/>
                <w:highlight w:val="black"/>
              </w:rPr>
            </w:pPr>
            <w:r>
              <w:rPr>
                <w:rFonts w:cs="Tahoma"/>
                <w:noProof/>
                <w:color w:val="000000"/>
                <w:highlight w:val="black"/>
              </w:rPr>
              <w:t>'''''''''''''''''''' ''''' '''''''''''''''' '''''''''''' '''''''''''''''''''</w:t>
            </w:r>
            <w:r>
              <w:rPr>
                <w:rFonts w:cs="Tahoma"/>
                <w:noProof/>
                <w:color w:val="000000"/>
                <w:highlight w:val="black"/>
              </w:rPr>
              <w:br/>
              <w:t xml:space="preserve">'''''''' '''''''''''''''''' </w:t>
            </w:r>
          </w:p>
        </w:tc>
        <w:tc>
          <w:tcPr>
            <w:tcW w:w="1054" w:type="dxa"/>
          </w:tcPr>
          <w:p w:rsidR="004A42D5" w:rsidRPr="00A17B9D" w:rsidRDefault="00A17B9D" w:rsidP="004A42D5">
            <w:pPr>
              <w:pStyle w:val="Tabletext"/>
              <w:rPr>
                <w:rFonts w:cs="Tahoma"/>
                <w:highlight w:val="black"/>
              </w:rPr>
            </w:pPr>
            <w:r>
              <w:rPr>
                <w:rFonts w:cs="Tahoma"/>
                <w:noProof/>
                <w:color w:val="000000"/>
                <w:highlight w:val="black"/>
              </w:rPr>
              <w:t>''' ''''''''''</w:t>
            </w:r>
          </w:p>
        </w:tc>
        <w:tc>
          <w:tcPr>
            <w:tcW w:w="771" w:type="dxa"/>
          </w:tcPr>
          <w:p w:rsidR="004A42D5" w:rsidRPr="00A17B9D" w:rsidRDefault="00A17B9D" w:rsidP="004A42D5">
            <w:pPr>
              <w:pStyle w:val="Tabletext"/>
              <w:rPr>
                <w:rFonts w:cs="Tahoma"/>
                <w:highlight w:val="black"/>
              </w:rPr>
            </w:pPr>
            <w:r>
              <w:rPr>
                <w:rFonts w:cs="Tahoma"/>
                <w:noProof/>
                <w:color w:val="000000"/>
                <w:highlight w:val="black"/>
              </w:rPr>
              <w:t>'''''''' '''''''''''''''''</w:t>
            </w:r>
          </w:p>
        </w:tc>
        <w:tc>
          <w:tcPr>
            <w:tcW w:w="1072" w:type="dxa"/>
          </w:tcPr>
          <w:p w:rsidR="004A42D5" w:rsidRPr="00A17B9D" w:rsidRDefault="00A17B9D" w:rsidP="004A42D5">
            <w:pPr>
              <w:pStyle w:val="Tabletext"/>
              <w:rPr>
                <w:rFonts w:cs="Tahoma"/>
                <w:highlight w:val="black"/>
              </w:rPr>
            </w:pPr>
            <w:r>
              <w:rPr>
                <w:rFonts w:cs="Tahoma"/>
                <w:noProof/>
                <w:color w:val="000000"/>
                <w:highlight w:val="black"/>
              </w:rPr>
              <w:t>''''''''' ''''''''''''''''''</w:t>
            </w:r>
          </w:p>
        </w:tc>
        <w:tc>
          <w:tcPr>
            <w:tcW w:w="1134" w:type="dxa"/>
          </w:tcPr>
          <w:p w:rsidR="004A42D5" w:rsidRPr="00A17B9D" w:rsidRDefault="00A17B9D" w:rsidP="00D35699">
            <w:pPr>
              <w:pStyle w:val="Tabletext"/>
              <w:rPr>
                <w:rFonts w:cs="Tahoma"/>
                <w:highlight w:val="black"/>
              </w:rPr>
            </w:pPr>
            <w:r>
              <w:rPr>
                <w:rFonts w:cs="Tahoma"/>
                <w:noProof/>
                <w:color w:val="000000"/>
                <w:highlight w:val="black"/>
              </w:rPr>
              <w:t>''''''''''''''''' '''</w:t>
            </w:r>
          </w:p>
        </w:tc>
        <w:tc>
          <w:tcPr>
            <w:tcW w:w="1038" w:type="dxa"/>
          </w:tcPr>
          <w:p w:rsidR="004A42D5" w:rsidRPr="00A17B9D" w:rsidRDefault="00A17B9D" w:rsidP="004A42D5">
            <w:pPr>
              <w:pStyle w:val="Tabletext"/>
              <w:rPr>
                <w:rFonts w:cs="Tahoma"/>
                <w:highlight w:val="black"/>
              </w:rPr>
            </w:pPr>
            <w:r>
              <w:rPr>
                <w:rFonts w:cs="Tahoma"/>
                <w:noProof/>
                <w:color w:val="000000"/>
                <w:highlight w:val="black"/>
              </w:rPr>
              <w:t>'''''''' '''''''''''''''''''</w:t>
            </w:r>
          </w:p>
        </w:tc>
        <w:tc>
          <w:tcPr>
            <w:tcW w:w="1230" w:type="dxa"/>
          </w:tcPr>
          <w:p w:rsidR="004A42D5" w:rsidRPr="00A17B9D" w:rsidRDefault="00A17B9D" w:rsidP="004A42D5">
            <w:pPr>
              <w:pStyle w:val="Tabletext"/>
              <w:rPr>
                <w:rFonts w:cs="Tahoma"/>
                <w:highlight w:val="black"/>
              </w:rPr>
            </w:pPr>
            <w:r>
              <w:rPr>
                <w:rFonts w:cs="Tahoma"/>
                <w:noProof/>
                <w:color w:val="000000"/>
                <w:highlight w:val="black"/>
              </w:rPr>
              <w:t>'''''''''''''</w:t>
            </w:r>
          </w:p>
        </w:tc>
        <w:tc>
          <w:tcPr>
            <w:tcW w:w="1417" w:type="dxa"/>
          </w:tcPr>
          <w:p w:rsidR="004A42D5" w:rsidRPr="00A17B9D" w:rsidRDefault="00A17B9D" w:rsidP="004A42D5">
            <w:pPr>
              <w:pStyle w:val="Tabletext"/>
              <w:rPr>
                <w:rFonts w:cs="Tahoma"/>
                <w:highlight w:val="black"/>
              </w:rPr>
            </w:pPr>
            <w:r>
              <w:rPr>
                <w:rFonts w:cs="Tahoma"/>
                <w:noProof/>
                <w:color w:val="000000"/>
                <w:highlight w:val="black"/>
              </w:rPr>
              <w:t>'''''' ''''''''''''''''' ''''''''''''''</w:t>
            </w:r>
          </w:p>
        </w:tc>
        <w:tc>
          <w:tcPr>
            <w:tcW w:w="1134" w:type="dxa"/>
          </w:tcPr>
          <w:p w:rsidR="004A42D5" w:rsidRPr="00A17B9D" w:rsidRDefault="00A17B9D" w:rsidP="004A42D5">
            <w:pPr>
              <w:pStyle w:val="Tabletext"/>
              <w:rPr>
                <w:rFonts w:cs="Tahoma"/>
                <w:highlight w:val="black"/>
              </w:rPr>
            </w:pPr>
            <w:r>
              <w:rPr>
                <w:rFonts w:cs="Tahoma"/>
                <w:noProof/>
                <w:color w:val="000000"/>
                <w:highlight w:val="black"/>
              </w:rPr>
              <w:t>'''''' ''''''''''''''''' '''''''''''''''</w:t>
            </w:r>
          </w:p>
        </w:tc>
        <w:tc>
          <w:tcPr>
            <w:tcW w:w="993" w:type="dxa"/>
          </w:tcPr>
          <w:p w:rsidR="004A42D5" w:rsidRPr="00A17B9D" w:rsidRDefault="00A17B9D" w:rsidP="004A42D5">
            <w:pPr>
              <w:pStyle w:val="Tabletext"/>
              <w:rPr>
                <w:rFonts w:cs="Tahoma"/>
                <w:highlight w:val="black"/>
              </w:rPr>
            </w:pPr>
            <w:r>
              <w:rPr>
                <w:rFonts w:cs="Tahoma"/>
                <w:noProof/>
                <w:color w:val="000000"/>
                <w:highlight w:val="black"/>
              </w:rPr>
              <w:t>'''</w:t>
            </w:r>
          </w:p>
        </w:tc>
        <w:tc>
          <w:tcPr>
            <w:tcW w:w="2188" w:type="dxa"/>
          </w:tcPr>
          <w:p w:rsidR="004A42D5" w:rsidRPr="00A17B9D" w:rsidRDefault="00A17B9D" w:rsidP="00C52089">
            <w:pPr>
              <w:pStyle w:val="Tabletext"/>
              <w:rPr>
                <w:rFonts w:cs="Tahoma"/>
                <w:highlight w:val="black"/>
              </w:rPr>
            </w:pPr>
            <w:r>
              <w:rPr>
                <w:rFonts w:cs="Tahoma"/>
                <w:noProof/>
                <w:color w:val="000000"/>
                <w:highlight w:val="black"/>
              </w:rPr>
              <w:t>'''''''' '''''''''' ''''' ''''''''''''''''</w:t>
            </w:r>
            <w:r>
              <w:rPr>
                <w:rFonts w:cs="Tahoma"/>
                <w:noProof/>
                <w:color w:val="000000"/>
                <w:highlight w:val="black"/>
              </w:rPr>
              <w:br/>
              <w:t>''''''''''''' '''''''''' ''''' '''''''''' '''''''''''''''''</w:t>
            </w:r>
          </w:p>
        </w:tc>
        <w:tc>
          <w:tcPr>
            <w:tcW w:w="1214" w:type="dxa"/>
          </w:tcPr>
          <w:p w:rsidR="004A42D5" w:rsidRPr="00A17B9D" w:rsidRDefault="00A17B9D" w:rsidP="004A42D5">
            <w:pPr>
              <w:pStyle w:val="Tabletext"/>
              <w:rPr>
                <w:rFonts w:ascii="Cambria Math" w:eastAsia="Times New Roman" w:hAnsi="Cambria Math" w:cs="Cambria Math"/>
                <w:bCs/>
              </w:rPr>
            </w:pPr>
            <w:r>
              <w:rPr>
                <w:rFonts w:eastAsia="Times New Roman" w:cs="Tahoma"/>
                <w:bCs/>
                <w:noProof/>
                <w:color w:val="000000"/>
                <w:highlight w:val="black"/>
              </w:rPr>
              <w:t>'''''''''''''''''''''''''</w:t>
            </w:r>
            <w:r>
              <w:rPr>
                <w:rFonts w:eastAsia="Times New Roman" w:cs="Tahoma"/>
                <w:bCs/>
                <w:noProof/>
                <w:color w:val="000000"/>
                <w:highlight w:val="black"/>
              </w:rPr>
              <w:br/>
              <w:t>'''''''''''''''</w:t>
            </w:r>
          </w:p>
          <w:p w:rsidR="004A42D5" w:rsidRPr="00A17B9D" w:rsidRDefault="00A17B9D" w:rsidP="004A42D5">
            <w:pPr>
              <w:pStyle w:val="Tabletext"/>
              <w:rPr>
                <w:rFonts w:eastAsia="Times New Roman" w:cs="Tahoma"/>
                <w:bCs/>
                <w:highlight w:val="black"/>
              </w:rPr>
            </w:pPr>
            <w:r>
              <w:rPr>
                <w:rFonts w:cs="Tahoma"/>
                <w:noProof/>
                <w:color w:val="000000"/>
                <w:highlight w:val="black"/>
              </w:rPr>
              <w:t>'''''''''''''''''''''</w:t>
            </w:r>
          </w:p>
        </w:tc>
      </w:tr>
      <w:tr w:rsidR="004A42D5" w:rsidRPr="00835775" w:rsidTr="00BC7F74">
        <w:trPr>
          <w:trHeight w:val="319"/>
        </w:trPr>
        <w:tc>
          <w:tcPr>
            <w:tcW w:w="1493" w:type="dxa"/>
          </w:tcPr>
          <w:p w:rsidR="004A42D5" w:rsidRPr="00A17B9D" w:rsidRDefault="00A17B9D" w:rsidP="004A42D5">
            <w:pPr>
              <w:pStyle w:val="Tabletext"/>
              <w:rPr>
                <w:rFonts w:cs="Tahoma"/>
                <w:highlight w:val="black"/>
              </w:rPr>
            </w:pPr>
            <w:r>
              <w:rPr>
                <w:rFonts w:cs="Tahoma"/>
                <w:noProof/>
                <w:color w:val="000000"/>
                <w:highlight w:val="black"/>
              </w:rPr>
              <w:lastRenderedPageBreak/>
              <w:t>'''''''''''''''''' ''''' '''''''''' ''''''''''' ''''''''''''''''''</w:t>
            </w:r>
            <w:r>
              <w:rPr>
                <w:rFonts w:cs="Tahoma"/>
                <w:noProof/>
                <w:color w:val="000000"/>
                <w:highlight w:val="black"/>
              </w:rPr>
              <w:br/>
              <w:t>'''''''' ''''''''''''''''''</w:t>
            </w:r>
          </w:p>
        </w:tc>
        <w:tc>
          <w:tcPr>
            <w:tcW w:w="1054" w:type="dxa"/>
          </w:tcPr>
          <w:p w:rsidR="004A42D5" w:rsidRPr="00A17B9D" w:rsidRDefault="00A17B9D" w:rsidP="004A42D5">
            <w:pPr>
              <w:pStyle w:val="Tabletext"/>
              <w:rPr>
                <w:rFonts w:cs="Tahoma"/>
                <w:highlight w:val="black"/>
              </w:rPr>
            </w:pPr>
            <w:r>
              <w:rPr>
                <w:rFonts w:cs="Tahoma"/>
                <w:noProof/>
                <w:color w:val="000000"/>
                <w:highlight w:val="black"/>
              </w:rPr>
              <w:t>'''' '''''''''''</w:t>
            </w:r>
          </w:p>
        </w:tc>
        <w:tc>
          <w:tcPr>
            <w:tcW w:w="771" w:type="dxa"/>
          </w:tcPr>
          <w:p w:rsidR="004A42D5" w:rsidRPr="00A17B9D" w:rsidRDefault="00A17B9D" w:rsidP="004A42D5">
            <w:pPr>
              <w:pStyle w:val="Tabletext"/>
              <w:rPr>
                <w:rFonts w:cs="Tahoma"/>
                <w:highlight w:val="black"/>
              </w:rPr>
            </w:pPr>
            <w:r>
              <w:rPr>
                <w:rFonts w:cs="Tahoma"/>
                <w:noProof/>
                <w:color w:val="000000"/>
                <w:highlight w:val="black"/>
              </w:rPr>
              <w:t>'''''''' ''''''''''''''''''</w:t>
            </w:r>
          </w:p>
        </w:tc>
        <w:tc>
          <w:tcPr>
            <w:tcW w:w="1072" w:type="dxa"/>
          </w:tcPr>
          <w:p w:rsidR="004A42D5" w:rsidRPr="00A17B9D" w:rsidRDefault="00A17B9D" w:rsidP="004A42D5">
            <w:pPr>
              <w:pStyle w:val="Tabletext"/>
              <w:rPr>
                <w:rFonts w:cs="Tahoma"/>
                <w:highlight w:val="black"/>
              </w:rPr>
            </w:pPr>
            <w:r>
              <w:rPr>
                <w:rFonts w:cs="Tahoma"/>
                <w:noProof/>
                <w:color w:val="000000"/>
                <w:highlight w:val="black"/>
              </w:rPr>
              <w:t>''''''''' '''''''''''''''''''</w:t>
            </w:r>
          </w:p>
        </w:tc>
        <w:tc>
          <w:tcPr>
            <w:tcW w:w="1134" w:type="dxa"/>
          </w:tcPr>
          <w:p w:rsidR="004A42D5" w:rsidRPr="00A17B9D" w:rsidRDefault="00A17B9D" w:rsidP="004A42D5">
            <w:pPr>
              <w:pStyle w:val="Tabletext"/>
              <w:rPr>
                <w:rFonts w:cs="Tahoma"/>
                <w:highlight w:val="black"/>
              </w:rPr>
            </w:pPr>
            <w:r>
              <w:rPr>
                <w:rFonts w:cs="Tahoma"/>
                <w:noProof/>
                <w:color w:val="000000"/>
                <w:highlight w:val="black"/>
              </w:rPr>
              <w:t>''''''''' '''''''''''''''''</w:t>
            </w:r>
          </w:p>
        </w:tc>
        <w:tc>
          <w:tcPr>
            <w:tcW w:w="1038" w:type="dxa"/>
          </w:tcPr>
          <w:p w:rsidR="004A42D5" w:rsidRPr="00A17B9D" w:rsidRDefault="00A17B9D" w:rsidP="004A42D5">
            <w:pPr>
              <w:pStyle w:val="Tabletext"/>
              <w:rPr>
                <w:rFonts w:cs="Tahoma"/>
                <w:highlight w:val="black"/>
              </w:rPr>
            </w:pPr>
            <w:r>
              <w:rPr>
                <w:rFonts w:cs="Tahoma"/>
                <w:noProof/>
                <w:color w:val="000000"/>
                <w:highlight w:val="black"/>
              </w:rPr>
              <w:t>'''''''' ''''''''''''''''''</w:t>
            </w:r>
          </w:p>
        </w:tc>
        <w:tc>
          <w:tcPr>
            <w:tcW w:w="1230" w:type="dxa"/>
          </w:tcPr>
          <w:p w:rsidR="004A42D5" w:rsidRPr="00A17B9D" w:rsidRDefault="00A17B9D" w:rsidP="004A42D5">
            <w:pPr>
              <w:pStyle w:val="Tabletext"/>
              <w:rPr>
                <w:rFonts w:cs="Tahoma"/>
                <w:highlight w:val="black"/>
              </w:rPr>
            </w:pPr>
            <w:r>
              <w:rPr>
                <w:rFonts w:cs="Tahoma"/>
                <w:noProof/>
                <w:color w:val="000000"/>
                <w:highlight w:val="black"/>
              </w:rPr>
              <w:t>''''''''''''''</w:t>
            </w:r>
          </w:p>
        </w:tc>
        <w:tc>
          <w:tcPr>
            <w:tcW w:w="1417" w:type="dxa"/>
          </w:tcPr>
          <w:p w:rsidR="004A42D5" w:rsidRPr="00A17B9D" w:rsidRDefault="00A17B9D" w:rsidP="004A42D5">
            <w:pPr>
              <w:pStyle w:val="Tabletext"/>
              <w:rPr>
                <w:rFonts w:cs="Tahoma"/>
                <w:highlight w:val="black"/>
              </w:rPr>
            </w:pPr>
            <w:r>
              <w:rPr>
                <w:rFonts w:cs="Tahoma"/>
                <w:noProof/>
                <w:color w:val="000000"/>
                <w:highlight w:val="black"/>
              </w:rPr>
              <w:t>''''' ''''''''''''''''' '''''''''''''</w:t>
            </w:r>
          </w:p>
        </w:tc>
        <w:tc>
          <w:tcPr>
            <w:tcW w:w="1134" w:type="dxa"/>
          </w:tcPr>
          <w:p w:rsidR="004A42D5" w:rsidRPr="00A17B9D" w:rsidRDefault="00A17B9D" w:rsidP="004A42D5">
            <w:pPr>
              <w:pStyle w:val="Tabletext"/>
              <w:rPr>
                <w:rFonts w:cs="Tahoma"/>
                <w:highlight w:val="black"/>
              </w:rPr>
            </w:pPr>
            <w:r>
              <w:rPr>
                <w:rFonts w:cs="Tahoma"/>
                <w:noProof/>
                <w:color w:val="000000"/>
                <w:highlight w:val="black"/>
              </w:rPr>
              <w:t>'''''' ''''''''''''''''' ''''''''''''''</w:t>
            </w:r>
          </w:p>
        </w:tc>
        <w:tc>
          <w:tcPr>
            <w:tcW w:w="993" w:type="dxa"/>
          </w:tcPr>
          <w:p w:rsidR="004A42D5" w:rsidRPr="00A17B9D" w:rsidRDefault="00A17B9D" w:rsidP="004A42D5">
            <w:pPr>
              <w:pStyle w:val="Tabletext"/>
              <w:rPr>
                <w:rFonts w:cs="Tahoma"/>
                <w:highlight w:val="black"/>
              </w:rPr>
            </w:pPr>
            <w:r>
              <w:rPr>
                <w:rFonts w:cs="Tahoma"/>
                <w:noProof/>
                <w:color w:val="000000"/>
                <w:highlight w:val="black"/>
              </w:rPr>
              <w:t>''</w:t>
            </w:r>
          </w:p>
        </w:tc>
        <w:tc>
          <w:tcPr>
            <w:tcW w:w="2188" w:type="dxa"/>
          </w:tcPr>
          <w:p w:rsidR="004A42D5" w:rsidRPr="00A17B9D" w:rsidRDefault="00A17B9D" w:rsidP="004A42D5">
            <w:pPr>
              <w:pStyle w:val="Tabletext"/>
              <w:rPr>
                <w:rFonts w:cs="Tahoma"/>
                <w:highlight w:val="black"/>
              </w:rPr>
            </w:pPr>
            <w:r>
              <w:rPr>
                <w:rFonts w:cs="Tahoma"/>
                <w:noProof/>
                <w:color w:val="000000"/>
                <w:highlight w:val="black"/>
              </w:rPr>
              <w:t>''''''''''''''''''</w:t>
            </w:r>
            <w:r>
              <w:rPr>
                <w:rFonts w:cs="Tahoma"/>
                <w:noProof/>
                <w:color w:val="000000"/>
                <w:highlight w:val="black"/>
              </w:rPr>
              <w:br/>
              <w:t>''''''''' '''''''''''' '''''''''''''' ''''''''''''''''''''''''''''''''</w:t>
            </w:r>
          </w:p>
          <w:p w:rsidR="004A42D5" w:rsidRPr="00A17B9D" w:rsidRDefault="00A17B9D" w:rsidP="004A42D5">
            <w:pPr>
              <w:pStyle w:val="Tabletext"/>
              <w:rPr>
                <w:rFonts w:cs="Tahoma"/>
                <w:highlight w:val="black"/>
              </w:rPr>
            </w:pPr>
            <w:r>
              <w:rPr>
                <w:rFonts w:cs="Tahoma"/>
                <w:noProof/>
                <w:color w:val="000000"/>
                <w:highlight w:val="black"/>
              </w:rPr>
              <w:t>'''''''''''''</w:t>
            </w:r>
            <w:r>
              <w:rPr>
                <w:rFonts w:cs="Tahoma"/>
                <w:noProof/>
                <w:color w:val="000000"/>
                <w:highlight w:val="black"/>
              </w:rPr>
              <w:br/>
              <w:t>''''''''' '''''''''' '''''''''''''' '''''''''''''''''''''''''''''''</w:t>
            </w:r>
          </w:p>
        </w:tc>
        <w:tc>
          <w:tcPr>
            <w:tcW w:w="1214" w:type="dxa"/>
          </w:tcPr>
          <w:p w:rsidR="004A42D5" w:rsidRPr="00A17B9D" w:rsidRDefault="00A17B9D" w:rsidP="004A42D5">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4A42D5" w:rsidRPr="00A17B9D" w:rsidRDefault="00A17B9D" w:rsidP="004A42D5">
            <w:pPr>
              <w:pStyle w:val="Tabletext"/>
              <w:rPr>
                <w:rFonts w:eastAsia="Times New Roman" w:cs="Tahoma"/>
                <w:bCs/>
                <w:highlight w:val="black"/>
              </w:rPr>
            </w:pPr>
            <w:r>
              <w:rPr>
                <w:rFonts w:cs="Tahoma"/>
                <w:noProof/>
                <w:color w:val="000000"/>
                <w:highlight w:val="black"/>
              </w:rPr>
              <w:t>''''''''''''''''''''''</w:t>
            </w:r>
          </w:p>
        </w:tc>
      </w:tr>
      <w:tr w:rsidR="00CC3BA4" w:rsidRPr="00835775" w:rsidTr="00BC7F74">
        <w:trPr>
          <w:trHeight w:val="948"/>
        </w:trPr>
        <w:tc>
          <w:tcPr>
            <w:tcW w:w="1493" w:type="dxa"/>
          </w:tcPr>
          <w:p w:rsidR="00CC3BA4" w:rsidRPr="00A17B9D" w:rsidRDefault="00A17B9D" w:rsidP="00C73C64">
            <w:pPr>
              <w:pStyle w:val="Tabletext"/>
              <w:rPr>
                <w:rFonts w:cs="Tahoma"/>
                <w:highlight w:val="black"/>
              </w:rPr>
            </w:pPr>
            <w:r>
              <w:rPr>
                <w:rFonts w:cs="Tahoma"/>
                <w:noProof/>
                <w:color w:val="000000"/>
                <w:highlight w:val="black"/>
              </w:rPr>
              <w:t>''''''''''''''''' ''''' '''''''''''''''''''''''''''''''''''''' ''''''''''''''''''''''''''''' '''''''''' '''''''''''''''''''</w:t>
            </w:r>
            <w:r>
              <w:rPr>
                <w:rFonts w:cs="Tahoma"/>
                <w:noProof/>
                <w:color w:val="000000"/>
                <w:highlight w:val="black"/>
              </w:rPr>
              <w:br/>
              <w:t xml:space="preserve">'''''''' ''''''''''''''''' </w:t>
            </w:r>
          </w:p>
        </w:tc>
        <w:tc>
          <w:tcPr>
            <w:tcW w:w="1054"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771"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1072"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1134" w:type="dxa"/>
          </w:tcPr>
          <w:p w:rsidR="00CC3BA4" w:rsidRPr="00A17B9D" w:rsidRDefault="00A17B9D" w:rsidP="00D35699">
            <w:pPr>
              <w:pStyle w:val="Tabletext"/>
              <w:rPr>
                <w:rFonts w:cs="Tahoma"/>
                <w:highlight w:val="black"/>
              </w:rPr>
            </w:pPr>
            <w:r>
              <w:rPr>
                <w:rFonts w:cs="Tahoma"/>
                <w:noProof/>
                <w:color w:val="000000"/>
                <w:highlight w:val="black"/>
              </w:rPr>
              <w:t>'''''''''''' '''''''''''''''' ''''</w:t>
            </w:r>
          </w:p>
        </w:tc>
        <w:tc>
          <w:tcPr>
            <w:tcW w:w="1038"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1230" w:type="dxa"/>
          </w:tcPr>
          <w:p w:rsidR="00CC3BA4" w:rsidRPr="00A17B9D" w:rsidRDefault="00A17B9D" w:rsidP="00C73C64">
            <w:pPr>
              <w:pStyle w:val="Tabletext"/>
              <w:rPr>
                <w:rFonts w:cs="Tahoma"/>
                <w:highlight w:val="black"/>
              </w:rPr>
            </w:pPr>
            <w:r>
              <w:rPr>
                <w:rFonts w:cs="Tahoma"/>
                <w:noProof/>
                <w:color w:val="000000"/>
                <w:highlight w:val="black"/>
              </w:rPr>
              <w:t>'''''''''''''''' '''''''''''''''''''''''''''</w:t>
            </w:r>
          </w:p>
        </w:tc>
        <w:tc>
          <w:tcPr>
            <w:tcW w:w="1417" w:type="dxa"/>
          </w:tcPr>
          <w:p w:rsidR="00CC3BA4" w:rsidRPr="00A17B9D" w:rsidRDefault="00A17B9D" w:rsidP="00C73C64">
            <w:pPr>
              <w:pStyle w:val="Tabletext"/>
              <w:rPr>
                <w:rFonts w:cs="Tahoma"/>
                <w:highlight w:val="black"/>
              </w:rPr>
            </w:pPr>
            <w:r>
              <w:rPr>
                <w:rFonts w:cs="Tahoma"/>
                <w:noProof/>
                <w:color w:val="000000"/>
                <w:highlight w:val="black"/>
              </w:rPr>
              <w:t>''''''' ''''''''''''''''''' '''''''''''''''</w:t>
            </w:r>
          </w:p>
        </w:tc>
        <w:tc>
          <w:tcPr>
            <w:tcW w:w="1134" w:type="dxa"/>
          </w:tcPr>
          <w:p w:rsidR="00CC3BA4" w:rsidRPr="00A17B9D" w:rsidRDefault="00A17B9D" w:rsidP="00C73C64">
            <w:pPr>
              <w:pStyle w:val="Tabletext"/>
              <w:rPr>
                <w:rFonts w:cs="Tahoma"/>
                <w:highlight w:val="black"/>
              </w:rPr>
            </w:pPr>
            <w:r>
              <w:rPr>
                <w:rFonts w:cs="Tahoma"/>
                <w:noProof/>
                <w:color w:val="000000"/>
                <w:highlight w:val="black"/>
              </w:rPr>
              <w:t>'''''' ''''''''''''''''' ''''''''''''''''</w:t>
            </w:r>
          </w:p>
        </w:tc>
        <w:tc>
          <w:tcPr>
            <w:tcW w:w="993" w:type="dxa"/>
          </w:tcPr>
          <w:p w:rsidR="00CC3BA4" w:rsidRPr="00A17B9D" w:rsidRDefault="00A17B9D" w:rsidP="00C73C64">
            <w:pPr>
              <w:pStyle w:val="Tabletext"/>
              <w:rPr>
                <w:rFonts w:cs="Tahoma"/>
                <w:highlight w:val="black"/>
              </w:rPr>
            </w:pPr>
            <w:r>
              <w:rPr>
                <w:rFonts w:cs="Tahoma"/>
                <w:noProof/>
                <w:color w:val="000000"/>
                <w:highlight w:val="black"/>
              </w:rPr>
              <w:t>''</w:t>
            </w:r>
          </w:p>
        </w:tc>
        <w:tc>
          <w:tcPr>
            <w:tcW w:w="2188" w:type="dxa"/>
          </w:tcPr>
          <w:p w:rsidR="00CC3BA4" w:rsidRPr="00A17B9D" w:rsidRDefault="00A17B9D" w:rsidP="00063B4C">
            <w:pPr>
              <w:pStyle w:val="Tabletext"/>
              <w:rPr>
                <w:rFonts w:cs="Tahoma"/>
                <w:highlight w:val="black"/>
              </w:rPr>
            </w:pPr>
            <w:r>
              <w:rPr>
                <w:rFonts w:cs="Tahoma"/>
                <w:noProof/>
                <w:color w:val="000000"/>
                <w:highlight w:val="black"/>
              </w:rPr>
              <w:t>'''''''''''</w:t>
            </w:r>
            <w:r>
              <w:rPr>
                <w:rFonts w:cs="Tahoma"/>
                <w:noProof/>
                <w:color w:val="000000"/>
                <w:highlight w:val="black"/>
              </w:rPr>
              <w:br/>
              <w:t>''''''''' ''''''''''''''' '''''''''''''''''''''''''''''''</w:t>
            </w:r>
          </w:p>
        </w:tc>
        <w:tc>
          <w:tcPr>
            <w:tcW w:w="1214" w:type="dxa"/>
          </w:tcPr>
          <w:p w:rsidR="00CC3BA4" w:rsidRPr="00A17B9D" w:rsidRDefault="00A17B9D" w:rsidP="00C73C64">
            <w:pPr>
              <w:pStyle w:val="Tabletext"/>
              <w:rPr>
                <w:rFonts w:eastAsia="Times New Roman" w:cs="Tahoma"/>
                <w:bCs/>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A17B9D" w:rsidRDefault="00A17B9D" w:rsidP="00C73C64">
            <w:pPr>
              <w:pStyle w:val="Tabletext"/>
              <w:rPr>
                <w:rFonts w:eastAsia="Times New Roman" w:cs="Tahoma"/>
                <w:bCs/>
                <w:highlight w:val="black"/>
              </w:rPr>
            </w:pPr>
            <w:r>
              <w:rPr>
                <w:rFonts w:eastAsia="Times New Roman" w:cs="Tahoma"/>
                <w:bCs/>
                <w:noProof/>
                <w:color w:val="000000"/>
                <w:highlight w:val="black"/>
              </w:rPr>
              <w:t>''''''''' ''''''''''''''''''''</w:t>
            </w:r>
          </w:p>
        </w:tc>
      </w:tr>
    </w:tbl>
    <w:p w:rsidR="00CC3BA4" w:rsidRPr="00A17B9D" w:rsidRDefault="00A17B9D" w:rsidP="00476F09">
      <w:pPr>
        <w:pStyle w:val="Tablenote"/>
        <w:rPr>
          <w:highlight w:val="black"/>
        </w:rPr>
      </w:pPr>
      <w:r>
        <w:rPr>
          <w:noProof/>
          <w:color w:val="000000"/>
          <w:highlight w:val="black"/>
          <w:vertAlign w:val="superscript"/>
        </w:rPr>
        <w:t>''' '''''''''''' ''''''''''''''''''''''''''''''''' '''''''''''' ''''''' ''''''''''''''''''''''''''' ''''''''''' '''''''' '''''''''''''' ''''''''''</w:t>
      </w:r>
    </w:p>
    <w:p w:rsidR="00BD743C" w:rsidRPr="00A17B9D" w:rsidRDefault="00A17B9D" w:rsidP="00476F09">
      <w:pPr>
        <w:pStyle w:val="Tablenote"/>
        <w:rPr>
          <w:highlight w:val="black"/>
        </w:rPr>
      </w:pPr>
      <w:r>
        <w:rPr>
          <w:noProof/>
          <w:color w:val="000000"/>
          <w:highlight w:val="black"/>
          <w:vertAlign w:val="superscript"/>
        </w:rPr>
        <w:t>''' ''''''''''''''''''' '''''''''''''''''''' ''''''''''''''' '''''''''''''''' ''''' '''''''''''''''''''''''''</w:t>
      </w:r>
    </w:p>
    <w:p w:rsidR="00CC3BA4" w:rsidRPr="00A17B9D" w:rsidRDefault="00A17B9D" w:rsidP="00476F09">
      <w:pPr>
        <w:pStyle w:val="Tablenote"/>
        <w:rPr>
          <w:highlight w:val="black"/>
        </w:rPr>
      </w:pPr>
      <w:r>
        <w:rPr>
          <w:noProof/>
          <w:color w:val="000000"/>
          <w:highlight w:val="black"/>
          <w:vertAlign w:val="superscript"/>
        </w:rPr>
        <w:t>''' '''''''''''''' '''''''''''' '''''''' '''''''' '''''''''''' '''</w:t>
      </w:r>
    </w:p>
    <w:p w:rsidR="00D35699" w:rsidRPr="00A17B9D" w:rsidRDefault="00A17B9D" w:rsidP="00476F09">
      <w:pPr>
        <w:pStyle w:val="Tablenote"/>
        <w:rPr>
          <w:highlight w:val="black"/>
        </w:rPr>
      </w:pPr>
      <w:r>
        <w:rPr>
          <w:noProof/>
          <w:color w:val="000000"/>
          <w:highlight w:val="black"/>
          <w:vertAlign w:val="superscript"/>
        </w:rPr>
        <w:t>''' ''''''''''''''''''''''''' ''''''''''''''''''''''</w:t>
      </w:r>
    </w:p>
    <w:p w:rsidR="000211A3" w:rsidRPr="00A17B9D" w:rsidRDefault="00A17B9D" w:rsidP="000211A3">
      <w:pPr>
        <w:pStyle w:val="Tablenote"/>
        <w:rPr>
          <w:highlight w:val="black"/>
        </w:rPr>
      </w:pPr>
      <w:r>
        <w:rPr>
          <w:noProof/>
          <w:color w:val="000000"/>
          <w:highlight w:val="black"/>
          <w:vertAlign w:val="superscript"/>
        </w:rPr>
        <w:t>''' ''''''''''''''''' '''''''''''''' ''''''''''''''''' ''''''''''''' '''''''''' ''''''''''''' ''''' '''''''''''' '''' ''''''''''''''''' ''''''''''''' ''''''''''''''''''''''' '''''''''''''' '''''''''''</w:t>
      </w:r>
    </w:p>
    <w:p w:rsidR="000211A3" w:rsidRPr="00A17B9D" w:rsidRDefault="00A17B9D" w:rsidP="000211A3">
      <w:pPr>
        <w:pStyle w:val="Tablenote"/>
        <w:rPr>
          <w:highlight w:val="black"/>
        </w:rPr>
      </w:pPr>
      <w:r>
        <w:rPr>
          <w:noProof/>
          <w:color w:val="000000"/>
          <w:highlight w:val="black"/>
          <w:vertAlign w:val="superscript"/>
        </w:rPr>
        <w:t>'' '''''''''''' '''''''''' ''''''''''''''''' '''''''''''''' '''''''''''' ''' '''' '''''''''''' '''' '''''''''''''''' '''''''''''''' ''''''''''''''''''' ''''''''''''''' ''''''''''''</w:t>
      </w:r>
    </w:p>
    <w:p w:rsidR="00CC3BA4" w:rsidRPr="00A17B9D" w:rsidRDefault="00A17B9D" w:rsidP="00476F09">
      <w:pPr>
        <w:pStyle w:val="Tablenote"/>
      </w:pPr>
      <w:r>
        <w:rPr>
          <w:rFonts w:ascii="Cambria Math" w:hAnsi="Cambria Math" w:cs="Cambria Math"/>
          <w:noProof/>
          <w:color w:val="000000"/>
          <w:highlight w:val="black"/>
        </w:rPr>
        <w:t>''''''''''''''</w:t>
      </w:r>
      <w:r>
        <w:rPr>
          <w:noProof/>
          <w:color w:val="000000"/>
          <w:highlight w:val="black"/>
        </w:rPr>
        <w:t xml:space="preserve"> </w:t>
      </w:r>
      <w:r>
        <w:rPr>
          <w:b/>
          <w:noProof/>
          <w:color w:val="000000"/>
          <w:highlight w:val="black"/>
        </w:rPr>
        <w:t>'''''''''' ''''''''''''''</w:t>
      </w:r>
      <w:r>
        <w:rPr>
          <w:noProof/>
          <w:color w:val="000000"/>
          <w:highlight w:val="black"/>
        </w:rPr>
        <w:t xml:space="preserve"> '''''''' '''''''' ''''''''''' ''''''''''''''''''''''' '''''''''' '''''''' ''''''''' '''''''''''''' ''''''' '''''''''''' ''''' ''''''''' ''''' '''''''' '''''''''''''''''''''' ''''' '''''''''''''</w:t>
      </w:r>
    </w:p>
    <w:p w:rsidR="00114427" w:rsidRPr="00A17B9D" w:rsidRDefault="00A17B9D" w:rsidP="00114427">
      <w:pPr>
        <w:pStyle w:val="Tablenote"/>
      </w:pPr>
      <w:r>
        <w:rPr>
          <w:rFonts w:ascii="Cambria Math" w:hAnsi="Cambria Math" w:cs="Cambria Math"/>
          <w:noProof/>
          <w:color w:val="000000"/>
          <w:highlight w:val="black"/>
        </w:rPr>
        <w:t>''''''''''''''</w:t>
      </w:r>
      <w:r>
        <w:rPr>
          <w:rFonts w:cs="Cambria Math"/>
          <w:noProof/>
          <w:color w:val="000000"/>
          <w:highlight w:val="black"/>
        </w:rPr>
        <w:t xml:space="preserve"> </w:t>
      </w:r>
      <w:r>
        <w:rPr>
          <w:b/>
          <w:noProof/>
          <w:color w:val="000000"/>
          <w:highlight w:val="black"/>
        </w:rPr>
        <w:t>''''''''''''''''''' ''''''''''''''</w:t>
      </w:r>
      <w:r>
        <w:rPr>
          <w:noProof/>
          <w:color w:val="000000"/>
          <w:highlight w:val="black"/>
        </w:rPr>
        <w:t xml:space="preserve"> ''''''' ''''''''' '''''''''''''''''''''''''' '''''''''''''''''''' '''' '''''''' '''''''''''''' ''''''''''''''''''''''' ''''''''' '''''''''' ''''''''''''' '''' ''''''''''' ''''' '''''' '''''''''''' '''' ''''''' '''''''''''''''''''''' '''''' '''''''' '''''''''''''''' ''''''''' '''''''''''' '''' ''' ''''''''''''''''''''''' ''''''''' ''' '''' '''''''''''''''''''''''''' '''''''''''''''''''''</w:t>
      </w:r>
    </w:p>
    <w:p w:rsidR="0079256B" w:rsidRPr="00A17B9D" w:rsidRDefault="00A17B9D" w:rsidP="0079256B">
      <w:pPr>
        <w:pStyle w:val="Tablenote"/>
      </w:pPr>
      <w:r>
        <w:rPr>
          <w:rFonts w:ascii="Cambria Math" w:hAnsi="Cambria Math" w:cs="Cambria Math"/>
          <w:noProof/>
          <w:color w:val="000000"/>
          <w:highlight w:val="black"/>
        </w:rPr>
        <w:t>''''''''''''''''</w:t>
      </w:r>
      <w:r>
        <w:rPr>
          <w:rFonts w:cs="Cambria Math"/>
          <w:noProof/>
          <w:color w:val="000000"/>
          <w:highlight w:val="black"/>
        </w:rPr>
        <w:t xml:space="preserve"> </w:t>
      </w:r>
      <w:r>
        <w:rPr>
          <w:b/>
          <w:noProof/>
          <w:color w:val="000000"/>
          <w:highlight w:val="black"/>
        </w:rPr>
        <w:t>'''''''''' ''''''''''''''</w:t>
      </w:r>
      <w:r>
        <w:rPr>
          <w:noProof/>
          <w:color w:val="000000"/>
          <w:highlight w:val="black"/>
        </w:rPr>
        <w:t xml:space="preserve"> ''''''''' ''''''''''''''''''''''''' ''''' '''''''' ''''''''''''' ''''''''''''''''''' '''' ''''''''''''''''' ''''''''' ''''''''' ''''''''''''' '''''''''' '''''' ''''''''''''''''''''''''''''' ''''''''''''''''''' '''''''''' ''''''''' '''''''''''''''''' ''''' ''''''' '''''''''''''</w:t>
      </w:r>
    </w:p>
    <w:p w:rsidR="00064FEF" w:rsidRPr="00A17B9D" w:rsidRDefault="00A17B9D" w:rsidP="00476F09">
      <w:pPr>
        <w:pStyle w:val="Tablenote"/>
        <w:rPr>
          <w:highlight w:val="black"/>
        </w:rPr>
      </w:pPr>
      <w:r>
        <w:rPr>
          <w:noProof/>
          <w:color w:val="000000"/>
          <w:highlight w:val="black"/>
        </w:rPr>
        <w:t>'''''''''''''''' '''' ''''''''''''''''''''''' ''''''''''' '''''''''''''''''''''' ''''''''''''' '''' '''''''''''''''''''' '''''''' ''''''''''''''''''''''''' '''''' '''' '''''''''''''''''''''''''' '''''''''''''''''''' ''''''''''''''' ''' '''''''''''''''''''' ''' ''''''''''''''''''''''''''' '''''''' ''' '''''''''''''''''''''''' ''''''''''''' ''''''''''''''''' ''' ''''''''''''''''' '''''' ''''''''''''''''''''''''''''''''''''''''''''' ''''''''''''''''''''''''''''''' ''''''''''''''''''''''''''''''''' '''''''''' ''''''''''''''''''''''''''''' '''''''''' ''' '''''''''''' ''''''''' '''''''''''''''''''''''''' '''''''''''''''''''''''''''''''' '''''''' ''' '''''''''''' ''''''''''''''''''''''' '''''''''''' ''' ''''''''''''''''''''''''' '''''''''''''''' ''''''''''''''''''''''''''''''''''' '''''''''''' ''' '''''''''''''''''''''''''' '''''''''''''''''''''' '''''''''''''''''''''''' ''''''''' ''' ''''''''''''''''' ''''' ''''''''' '''''''''''' '''' '''''''''''''''''''''''''''' ''''''''''''''''''''''''' ''''''''''' ''''''''' ''' '''''''''''''''''' ''''''''' '''''''''''' ''' '''''''''''''''''' ''''''''''''''''''''' ''''''''''''''''''' '''''''''''' ''' '''''''''''''' ''''''''''''''' ''''''''''''''''''''''''''''</w:t>
      </w:r>
    </w:p>
    <w:p w:rsidR="00CC3BA4" w:rsidRDefault="00CC3BA4" w:rsidP="00BF48DF">
      <w:pPr>
        <w:pStyle w:val="Heading3"/>
        <w:numPr>
          <w:ilvl w:val="0"/>
          <w:numId w:val="0"/>
        </w:numPr>
      </w:pPr>
      <w:bookmarkStart w:id="504" w:name="_Toc512855404"/>
      <w:r>
        <w:lastRenderedPageBreak/>
        <w:t>Question 3</w:t>
      </w:r>
      <w:bookmarkEnd w:id="504"/>
    </w:p>
    <w:p w:rsidR="00CC3BA4" w:rsidRPr="006632FB" w:rsidRDefault="00CC3BA4" w:rsidP="00BF48DF">
      <w:pPr>
        <w:pStyle w:val="Heading4"/>
      </w:pPr>
      <w:r w:rsidRPr="006632FB">
        <w:t>ERA in addition to PDE-5</w:t>
      </w:r>
      <w:r>
        <w:t xml:space="preserve"> </w:t>
      </w:r>
      <w:r w:rsidRPr="006632FB">
        <w:t>i</w:t>
      </w:r>
      <w:r>
        <w:t>nhibitor</w:t>
      </w:r>
    </w:p>
    <w:p w:rsidR="00CC3BA4" w:rsidRPr="005D4CA0" w:rsidRDefault="00796F18" w:rsidP="00BC5A2B">
      <w:pPr>
        <w:pStyle w:val="Caption"/>
      </w:pPr>
      <w:bookmarkStart w:id="505" w:name="_Ref505765493"/>
      <w:bookmarkStart w:id="506" w:name="_Toc512855553"/>
      <w:r>
        <w:t>Table 4.</w:t>
      </w:r>
      <w:r w:rsidR="00AA722D">
        <w:rPr>
          <w:noProof/>
        </w:rPr>
        <w:t>149</w:t>
      </w:r>
      <w:bookmarkEnd w:id="505"/>
      <w:r>
        <w:tab/>
      </w:r>
      <w:r w:rsidR="00CC3BA4" w:rsidRPr="005D4CA0">
        <w:t xml:space="preserve">Evidence profile table for </w:t>
      </w:r>
      <w:r w:rsidR="00CC3BA4">
        <w:t xml:space="preserve">effectiveness of </w:t>
      </w:r>
      <w:r w:rsidR="00CC3BA4" w:rsidRPr="005D4CA0">
        <w:t xml:space="preserve">ERA </w:t>
      </w:r>
      <w:r w:rsidR="00C52089">
        <w:t>plus</w:t>
      </w:r>
      <w:r w:rsidR="00CC3BA4">
        <w:t xml:space="preserve"> PDE-5 inhibitor combination therapy </w:t>
      </w:r>
      <w:r w:rsidR="00CC3BA4" w:rsidRPr="005D4CA0">
        <w:t xml:space="preserve">compared to </w:t>
      </w:r>
      <w:r w:rsidR="00CC3BA4">
        <w:t>PDE-5 inhibitor</w:t>
      </w:r>
      <w:r w:rsidR="00CC3BA4" w:rsidRPr="005D4CA0">
        <w:t xml:space="preserve"> </w:t>
      </w:r>
      <w:r w:rsidR="00CC3BA4">
        <w:t xml:space="preserve">monotherapy </w:t>
      </w:r>
      <w:r w:rsidR="00CC3BA4" w:rsidRPr="005D4CA0">
        <w:t xml:space="preserve">for </w:t>
      </w:r>
      <w:r w:rsidR="00CC3BA4">
        <w:t>all PAH patients</w:t>
      </w:r>
      <w:bookmarkEnd w:id="506"/>
    </w:p>
    <w:tbl>
      <w:tblPr>
        <w:tblStyle w:val="TableGrid"/>
        <w:tblW w:w="14596" w:type="dxa"/>
        <w:tblLayout w:type="fixed"/>
        <w:tblLook w:val="04A0" w:firstRow="1" w:lastRow="0" w:firstColumn="1" w:lastColumn="0" w:noHBand="0" w:noVBand="1"/>
        <w:tblCaption w:val="Evidence profile table for effectiveness of ERA plus PDE-5 inhibitor combination therapy compared to PDE-5 inhibitor monotherapy for all PAH patients"/>
      </w:tblPr>
      <w:tblGrid>
        <w:gridCol w:w="1493"/>
        <w:gridCol w:w="1054"/>
        <w:gridCol w:w="771"/>
        <w:gridCol w:w="1072"/>
        <w:gridCol w:w="992"/>
        <w:gridCol w:w="992"/>
        <w:gridCol w:w="1276"/>
        <w:gridCol w:w="1417"/>
        <w:gridCol w:w="1134"/>
        <w:gridCol w:w="993"/>
        <w:gridCol w:w="2188"/>
        <w:gridCol w:w="1214"/>
      </w:tblGrid>
      <w:tr w:rsidR="00F13836" w:rsidRPr="004A42D5" w:rsidTr="001363C5">
        <w:trPr>
          <w:cnfStyle w:val="100000000000" w:firstRow="1" w:lastRow="0" w:firstColumn="0" w:lastColumn="0" w:oddVBand="0" w:evenVBand="0" w:oddHBand="0" w:evenHBand="0" w:firstRowFirstColumn="0" w:firstRowLastColumn="0" w:lastRowFirstColumn="0" w:lastRowLastColumn="0"/>
          <w:trHeight w:val="569"/>
        </w:trPr>
        <w:tc>
          <w:tcPr>
            <w:tcW w:w="1493" w:type="dxa"/>
          </w:tcPr>
          <w:p w:rsidR="00476F09" w:rsidRPr="004A42D5" w:rsidRDefault="00476F09" w:rsidP="004A42D5">
            <w:pPr>
              <w:pStyle w:val="Tabletext"/>
              <w:rPr>
                <w:b/>
              </w:rPr>
            </w:pPr>
            <w:r w:rsidRPr="004A42D5">
              <w:rPr>
                <w:b/>
              </w:rPr>
              <w:t>Outcome (follow-up)</w:t>
            </w:r>
          </w:p>
        </w:tc>
        <w:tc>
          <w:tcPr>
            <w:tcW w:w="1054" w:type="dxa"/>
          </w:tcPr>
          <w:p w:rsidR="00476F09" w:rsidRPr="004A42D5" w:rsidRDefault="00476F09" w:rsidP="004A42D5">
            <w:pPr>
              <w:pStyle w:val="Tabletext"/>
              <w:rPr>
                <w:b/>
              </w:rPr>
            </w:pPr>
            <w:r w:rsidRPr="004A42D5">
              <w:rPr>
                <w:b/>
              </w:rPr>
              <w:t>No. of studies and study design</w:t>
            </w:r>
          </w:p>
        </w:tc>
        <w:tc>
          <w:tcPr>
            <w:tcW w:w="771" w:type="dxa"/>
          </w:tcPr>
          <w:p w:rsidR="00476F09" w:rsidRPr="004A42D5" w:rsidRDefault="00476F09" w:rsidP="004A42D5">
            <w:pPr>
              <w:pStyle w:val="Tabletext"/>
              <w:rPr>
                <w:b/>
              </w:rPr>
            </w:pPr>
            <w:r w:rsidRPr="004A42D5">
              <w:rPr>
                <w:b/>
              </w:rPr>
              <w:t>Risk of bias</w:t>
            </w:r>
          </w:p>
        </w:tc>
        <w:tc>
          <w:tcPr>
            <w:tcW w:w="1072" w:type="dxa"/>
          </w:tcPr>
          <w:p w:rsidR="00476F09" w:rsidRPr="004A42D5" w:rsidRDefault="00476F09" w:rsidP="004A42D5">
            <w:pPr>
              <w:pStyle w:val="Tabletext"/>
              <w:rPr>
                <w:b/>
              </w:rPr>
            </w:pPr>
            <w:r w:rsidRPr="004A42D5">
              <w:rPr>
                <w:b/>
              </w:rPr>
              <w:t>Incon</w:t>
            </w:r>
            <w:r w:rsidR="001363C5">
              <w:rPr>
                <w:b/>
              </w:rPr>
              <w:t>-</w:t>
            </w:r>
            <w:r w:rsidRPr="004A42D5">
              <w:rPr>
                <w:b/>
              </w:rPr>
              <w:t>sistency</w:t>
            </w:r>
          </w:p>
        </w:tc>
        <w:tc>
          <w:tcPr>
            <w:tcW w:w="992" w:type="dxa"/>
          </w:tcPr>
          <w:p w:rsidR="00476F09" w:rsidRPr="004A42D5" w:rsidRDefault="00476F09" w:rsidP="004A42D5">
            <w:pPr>
              <w:pStyle w:val="Tabletext"/>
              <w:rPr>
                <w:b/>
              </w:rPr>
            </w:pPr>
            <w:r w:rsidRPr="004A42D5">
              <w:rPr>
                <w:b/>
              </w:rPr>
              <w:t>Indirect</w:t>
            </w:r>
            <w:r w:rsidR="001363C5">
              <w:rPr>
                <w:b/>
              </w:rPr>
              <w:t>-</w:t>
            </w:r>
            <w:r w:rsidRPr="004A42D5">
              <w:rPr>
                <w:b/>
              </w:rPr>
              <w:t>ness</w:t>
            </w:r>
          </w:p>
        </w:tc>
        <w:tc>
          <w:tcPr>
            <w:tcW w:w="992" w:type="dxa"/>
          </w:tcPr>
          <w:p w:rsidR="00476F09" w:rsidRPr="004A42D5" w:rsidRDefault="00476F09" w:rsidP="004A42D5">
            <w:pPr>
              <w:pStyle w:val="Tabletext"/>
              <w:rPr>
                <w:b/>
              </w:rPr>
            </w:pPr>
            <w:r w:rsidRPr="004A42D5">
              <w:rPr>
                <w:b/>
              </w:rPr>
              <w:t>Impre</w:t>
            </w:r>
            <w:r w:rsidR="001363C5">
              <w:rPr>
                <w:b/>
              </w:rPr>
              <w:t>-</w:t>
            </w:r>
            <w:r w:rsidRPr="004A42D5">
              <w:rPr>
                <w:b/>
              </w:rPr>
              <w:t>cision</w:t>
            </w:r>
          </w:p>
        </w:tc>
        <w:tc>
          <w:tcPr>
            <w:tcW w:w="1276" w:type="dxa"/>
          </w:tcPr>
          <w:p w:rsidR="00476F09" w:rsidRPr="004A42D5" w:rsidRDefault="00476F09" w:rsidP="004A42D5">
            <w:pPr>
              <w:pStyle w:val="Tabletext"/>
              <w:rPr>
                <w:b/>
              </w:rPr>
            </w:pPr>
            <w:r w:rsidRPr="004A42D5">
              <w:rPr>
                <w:b/>
              </w:rPr>
              <w:t>Other considerations</w:t>
            </w:r>
            <w:r w:rsidRPr="004A42D5">
              <w:rPr>
                <w:b/>
                <w:vertAlign w:val="superscript"/>
              </w:rPr>
              <w:t>a</w:t>
            </w:r>
          </w:p>
        </w:tc>
        <w:tc>
          <w:tcPr>
            <w:tcW w:w="1417" w:type="dxa"/>
          </w:tcPr>
          <w:p w:rsidR="00476F09" w:rsidRPr="004A42D5" w:rsidRDefault="00476F09" w:rsidP="004A42D5">
            <w:pPr>
              <w:pStyle w:val="Tabletext"/>
              <w:rPr>
                <w:b/>
              </w:rPr>
            </w:pPr>
            <w:r w:rsidRPr="004A42D5">
              <w:rPr>
                <w:b/>
              </w:rPr>
              <w:t>Study event rates (%) with ERA + PDE-5i</w:t>
            </w:r>
          </w:p>
        </w:tc>
        <w:tc>
          <w:tcPr>
            <w:tcW w:w="1134" w:type="dxa"/>
          </w:tcPr>
          <w:p w:rsidR="00476F09" w:rsidRPr="004A42D5" w:rsidRDefault="00476F09" w:rsidP="004A42D5">
            <w:pPr>
              <w:pStyle w:val="Tabletext"/>
              <w:rPr>
                <w:b/>
              </w:rPr>
            </w:pPr>
            <w:r w:rsidRPr="004A42D5">
              <w:rPr>
                <w:b/>
              </w:rPr>
              <w:t>Study event rates (%) with PDE-5i</w:t>
            </w:r>
          </w:p>
        </w:tc>
        <w:tc>
          <w:tcPr>
            <w:tcW w:w="993" w:type="dxa"/>
          </w:tcPr>
          <w:p w:rsidR="00476F09" w:rsidRPr="004A42D5" w:rsidRDefault="00476F09" w:rsidP="004A42D5">
            <w:pPr>
              <w:pStyle w:val="Tabletext"/>
              <w:rPr>
                <w:b/>
              </w:rPr>
            </w:pPr>
            <w:r w:rsidRPr="004A42D5">
              <w:rPr>
                <w:b/>
              </w:rPr>
              <w:t>Effect measure (95%CI)</w:t>
            </w:r>
          </w:p>
        </w:tc>
        <w:tc>
          <w:tcPr>
            <w:tcW w:w="2188" w:type="dxa"/>
          </w:tcPr>
          <w:p w:rsidR="00476F09" w:rsidRPr="004A42D5" w:rsidRDefault="00476F09" w:rsidP="004A42D5">
            <w:pPr>
              <w:pStyle w:val="Tabletext"/>
              <w:rPr>
                <w:b/>
              </w:rPr>
            </w:pPr>
            <w:r w:rsidRPr="004A42D5">
              <w:rPr>
                <w:b/>
              </w:rPr>
              <w:t>Absolute effect (95%CI)</w:t>
            </w:r>
          </w:p>
        </w:tc>
        <w:tc>
          <w:tcPr>
            <w:tcW w:w="1214" w:type="dxa"/>
          </w:tcPr>
          <w:p w:rsidR="00BD489D" w:rsidRDefault="00BD489D" w:rsidP="004A42D5">
            <w:pPr>
              <w:pStyle w:val="Tabletext"/>
              <w:rPr>
                <w:b/>
              </w:rPr>
            </w:pPr>
            <w:r>
              <w:rPr>
                <w:b/>
              </w:rPr>
              <w:t>GRADE</w:t>
            </w:r>
            <w:r w:rsidRPr="00BD489D">
              <w:rPr>
                <w:b/>
                <w:vertAlign w:val="superscript"/>
              </w:rPr>
              <w:t>b</w:t>
            </w:r>
          </w:p>
          <w:p w:rsidR="00476F09" w:rsidRPr="004A42D5" w:rsidRDefault="00476F09" w:rsidP="004A42D5">
            <w:pPr>
              <w:pStyle w:val="Tabletext"/>
              <w:rPr>
                <w:b/>
                <w:vertAlign w:val="superscript"/>
              </w:rPr>
            </w:pPr>
            <w:r w:rsidRPr="004A42D5">
              <w:rPr>
                <w:b/>
              </w:rPr>
              <w:t>Quality</w:t>
            </w:r>
          </w:p>
          <w:p w:rsidR="00476F09" w:rsidRPr="004A42D5" w:rsidRDefault="00476F09" w:rsidP="004A42D5">
            <w:pPr>
              <w:pStyle w:val="Tabletext"/>
              <w:rPr>
                <w:b/>
              </w:rPr>
            </w:pPr>
            <w:r w:rsidRPr="004A42D5">
              <w:rPr>
                <w:b/>
              </w:rPr>
              <w:t>Importance</w:t>
            </w:r>
          </w:p>
        </w:tc>
      </w:tr>
      <w:tr w:rsidR="00CC3BA4" w:rsidRPr="00D36FBC" w:rsidTr="001363C5">
        <w:trPr>
          <w:trHeight w:val="319"/>
        </w:trPr>
        <w:tc>
          <w:tcPr>
            <w:tcW w:w="1493" w:type="dxa"/>
          </w:tcPr>
          <w:p w:rsidR="00CC3BA4" w:rsidRPr="00D36FBC" w:rsidRDefault="00CC3BA4" w:rsidP="000801F8">
            <w:pPr>
              <w:pStyle w:val="Tabletext"/>
              <w:rPr>
                <w:rFonts w:cs="Tahoma"/>
              </w:rPr>
            </w:pPr>
            <w:r w:rsidRPr="00D36FBC">
              <w:rPr>
                <w:rFonts w:cs="Tahoma"/>
              </w:rPr>
              <w:t>Clinical worsening</w:t>
            </w:r>
            <w:r>
              <w:rPr>
                <w:rFonts w:cs="Tahoma"/>
              </w:rPr>
              <w:br/>
            </w:r>
            <w:r w:rsidRPr="00D36FBC">
              <w:rPr>
                <w:rFonts w:cs="Tahoma"/>
              </w:rPr>
              <w:t>(26–1</w:t>
            </w:r>
            <w:r w:rsidR="000801F8">
              <w:rPr>
                <w:rFonts w:cs="Tahoma"/>
              </w:rPr>
              <w:t>69</w:t>
            </w:r>
            <w:r w:rsidRPr="00D36FBC">
              <w:rPr>
                <w:rFonts w:cs="Tahoma"/>
              </w:rPr>
              <w:t xml:space="preserve"> weeks)</w:t>
            </w:r>
          </w:p>
        </w:tc>
        <w:tc>
          <w:tcPr>
            <w:tcW w:w="1054" w:type="dxa"/>
          </w:tcPr>
          <w:p w:rsidR="00CC3BA4" w:rsidRPr="00D36FBC" w:rsidRDefault="00CC3BA4" w:rsidP="004A42D5">
            <w:pPr>
              <w:pStyle w:val="Tabletext"/>
              <w:rPr>
                <w:rFonts w:cs="Tahoma"/>
              </w:rPr>
            </w:pPr>
            <w:r w:rsidRPr="00D36FBC">
              <w:rPr>
                <w:rFonts w:cs="Tahoma"/>
              </w:rPr>
              <w:t>4 RCTs</w:t>
            </w:r>
          </w:p>
        </w:tc>
        <w:tc>
          <w:tcPr>
            <w:tcW w:w="771" w:type="dxa"/>
          </w:tcPr>
          <w:p w:rsidR="00CC3BA4" w:rsidRPr="00D36FBC" w:rsidRDefault="00CC3BA4" w:rsidP="004A42D5">
            <w:pPr>
              <w:pStyle w:val="Tabletext"/>
              <w:rPr>
                <w:rFonts w:cs="Tahoma"/>
              </w:rPr>
            </w:pPr>
            <w:r w:rsidRPr="00D36FBC">
              <w:rPr>
                <w:rFonts w:cs="Tahoma"/>
              </w:rPr>
              <w:t>Not serious</w:t>
            </w:r>
          </w:p>
        </w:tc>
        <w:tc>
          <w:tcPr>
            <w:tcW w:w="1072" w:type="dxa"/>
          </w:tcPr>
          <w:p w:rsidR="00CC3BA4" w:rsidRPr="00D36FBC" w:rsidRDefault="00CC3BA4" w:rsidP="004A42D5">
            <w:pPr>
              <w:pStyle w:val="Tabletext"/>
              <w:rPr>
                <w:rFonts w:cs="Tahoma"/>
              </w:rPr>
            </w:pPr>
            <w:r w:rsidRPr="00D36FBC">
              <w:rPr>
                <w:rFonts w:cs="Tahoma"/>
              </w:rPr>
              <w:t>Not serious</w:t>
            </w:r>
          </w:p>
        </w:tc>
        <w:tc>
          <w:tcPr>
            <w:tcW w:w="992" w:type="dxa"/>
          </w:tcPr>
          <w:p w:rsidR="00CC3BA4" w:rsidRPr="00D36FBC" w:rsidRDefault="00CC3BA4" w:rsidP="004A42D5">
            <w:pPr>
              <w:pStyle w:val="Tabletext"/>
              <w:rPr>
                <w:rFonts w:cs="Tahoma"/>
              </w:rPr>
            </w:pPr>
            <w:r w:rsidRPr="00D36FBC">
              <w:rPr>
                <w:rFonts w:cs="Tahoma"/>
              </w:rPr>
              <w:t>Not serious</w:t>
            </w:r>
          </w:p>
        </w:tc>
        <w:tc>
          <w:tcPr>
            <w:tcW w:w="992" w:type="dxa"/>
          </w:tcPr>
          <w:p w:rsidR="00CC3BA4" w:rsidRPr="00D36FBC" w:rsidRDefault="00CC3BA4" w:rsidP="004A42D5">
            <w:pPr>
              <w:pStyle w:val="Tabletext"/>
              <w:rPr>
                <w:rFonts w:cs="Tahoma"/>
              </w:rPr>
            </w:pPr>
            <w:r w:rsidRPr="00D36FBC">
              <w:rPr>
                <w:rFonts w:cs="Tahoma"/>
              </w:rPr>
              <w:t>Not serious</w:t>
            </w:r>
          </w:p>
        </w:tc>
        <w:tc>
          <w:tcPr>
            <w:tcW w:w="1276" w:type="dxa"/>
          </w:tcPr>
          <w:p w:rsidR="00CC3BA4" w:rsidRPr="00D36FBC" w:rsidRDefault="00CC3BA4" w:rsidP="004A42D5">
            <w:pPr>
              <w:pStyle w:val="Tabletext"/>
              <w:rPr>
                <w:rFonts w:cs="Tahoma"/>
              </w:rPr>
            </w:pPr>
            <w:r w:rsidRPr="00D36FBC">
              <w:rPr>
                <w:rFonts w:cs="Tahoma"/>
              </w:rPr>
              <w:t>Strong association</w:t>
            </w:r>
          </w:p>
        </w:tc>
        <w:tc>
          <w:tcPr>
            <w:tcW w:w="1417" w:type="dxa"/>
          </w:tcPr>
          <w:p w:rsidR="00CC3BA4" w:rsidRPr="00A17B9D" w:rsidRDefault="00A17B9D" w:rsidP="00362678">
            <w:pPr>
              <w:pStyle w:val="Tabletext"/>
              <w:rPr>
                <w:highlight w:val="black"/>
              </w:rPr>
            </w:pPr>
            <w:r>
              <w:rPr>
                <w:noProof/>
                <w:color w:val="000000"/>
                <w:highlight w:val="black"/>
              </w:rPr>
              <w:t>''''''''''''''''''' ''''''''''''''''''</w:t>
            </w:r>
            <w:r w:rsidR="00CC3BA4" w:rsidRPr="00A17B9D">
              <w:rPr>
                <w:highlight w:val="black"/>
              </w:rPr>
              <w:t xml:space="preserve"> </w:t>
            </w:r>
          </w:p>
        </w:tc>
        <w:tc>
          <w:tcPr>
            <w:tcW w:w="1134" w:type="dxa"/>
          </w:tcPr>
          <w:p w:rsidR="00CC3BA4" w:rsidRPr="00A17B9D" w:rsidRDefault="00A17B9D" w:rsidP="00362678">
            <w:pPr>
              <w:pStyle w:val="Tabletext"/>
              <w:rPr>
                <w:highlight w:val="black"/>
              </w:rPr>
            </w:pPr>
            <w:r>
              <w:rPr>
                <w:noProof/>
                <w:color w:val="000000"/>
                <w:highlight w:val="black"/>
              </w:rPr>
              <w:t>''''''''''''''''''' ''''''''''''''''''</w:t>
            </w:r>
            <w:r w:rsidR="00CC3BA4" w:rsidRPr="00A17B9D">
              <w:rPr>
                <w:highlight w:val="black"/>
              </w:rPr>
              <w:t xml:space="preserve"> </w:t>
            </w:r>
          </w:p>
        </w:tc>
        <w:tc>
          <w:tcPr>
            <w:tcW w:w="993" w:type="dxa"/>
          </w:tcPr>
          <w:p w:rsidR="00CC3BA4" w:rsidRPr="00A17B9D" w:rsidRDefault="00A17B9D" w:rsidP="00362678">
            <w:pPr>
              <w:pStyle w:val="Tabletext"/>
              <w:rPr>
                <w:highlight w:val="black"/>
              </w:rPr>
            </w:pPr>
            <w:r>
              <w:rPr>
                <w:noProof/>
                <w:color w:val="000000"/>
                <w:highlight w:val="black"/>
              </w:rPr>
              <w:t>''''''''' ''' '''''''''''' '''''''''''''' '''''''''''</w:t>
            </w:r>
          </w:p>
        </w:tc>
        <w:tc>
          <w:tcPr>
            <w:tcW w:w="2188" w:type="dxa"/>
          </w:tcPr>
          <w:p w:rsidR="00CC3BA4" w:rsidRPr="00A17B9D" w:rsidRDefault="00A17B9D" w:rsidP="004A42D5">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CC3BA4" w:rsidRDefault="00CC3BA4" w:rsidP="004A42D5">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D36FBC" w:rsidRDefault="00CC3BA4" w:rsidP="004A42D5">
            <w:pPr>
              <w:pStyle w:val="Tabletext"/>
              <w:rPr>
                <w:rFonts w:cs="Tahoma"/>
              </w:rPr>
            </w:pPr>
            <w:r w:rsidRPr="00E564DD">
              <w:rPr>
                <w:rFonts w:cs="Tahoma"/>
              </w:rPr>
              <w:t>Critical</w:t>
            </w:r>
          </w:p>
        </w:tc>
      </w:tr>
      <w:tr w:rsidR="00CC3BA4" w:rsidRPr="00D36FBC" w:rsidTr="001363C5">
        <w:trPr>
          <w:trHeight w:val="319"/>
        </w:trPr>
        <w:tc>
          <w:tcPr>
            <w:tcW w:w="1493" w:type="dxa"/>
          </w:tcPr>
          <w:p w:rsidR="00CC3BA4" w:rsidRPr="00D36FBC" w:rsidRDefault="00CC3BA4" w:rsidP="000801F8">
            <w:pPr>
              <w:pStyle w:val="Tabletext"/>
              <w:rPr>
                <w:rFonts w:cs="Tahoma"/>
              </w:rPr>
            </w:pPr>
            <w:r w:rsidRPr="00D36FBC">
              <w:rPr>
                <w:rFonts w:cs="Tahoma"/>
              </w:rPr>
              <w:t>Mortality</w:t>
            </w:r>
            <w:r>
              <w:rPr>
                <w:rFonts w:cs="Tahoma"/>
              </w:rPr>
              <w:br/>
            </w:r>
            <w:r w:rsidRPr="00D36FBC">
              <w:rPr>
                <w:rFonts w:cs="Tahoma"/>
              </w:rPr>
              <w:t>(26–1</w:t>
            </w:r>
            <w:r w:rsidR="000801F8">
              <w:rPr>
                <w:rFonts w:cs="Tahoma"/>
              </w:rPr>
              <w:t>69</w:t>
            </w:r>
            <w:r w:rsidRPr="00D36FBC">
              <w:rPr>
                <w:rFonts w:cs="Tahoma"/>
              </w:rPr>
              <w:t xml:space="preserve"> weeks)</w:t>
            </w:r>
          </w:p>
        </w:tc>
        <w:tc>
          <w:tcPr>
            <w:tcW w:w="1054" w:type="dxa"/>
          </w:tcPr>
          <w:p w:rsidR="00CC3BA4" w:rsidRPr="00D36FBC" w:rsidRDefault="00CC3BA4" w:rsidP="004A42D5">
            <w:pPr>
              <w:pStyle w:val="Tabletext"/>
              <w:rPr>
                <w:rFonts w:cs="Tahoma"/>
              </w:rPr>
            </w:pPr>
            <w:r w:rsidRPr="00D36FBC">
              <w:rPr>
                <w:rFonts w:cs="Tahoma"/>
              </w:rPr>
              <w:t>4 RCTs</w:t>
            </w:r>
          </w:p>
        </w:tc>
        <w:tc>
          <w:tcPr>
            <w:tcW w:w="771" w:type="dxa"/>
          </w:tcPr>
          <w:p w:rsidR="00CC3BA4" w:rsidRPr="00D36FBC" w:rsidRDefault="00CC3BA4" w:rsidP="004A42D5">
            <w:pPr>
              <w:pStyle w:val="Tabletext"/>
              <w:rPr>
                <w:rFonts w:cs="Tahoma"/>
              </w:rPr>
            </w:pPr>
            <w:r w:rsidRPr="00D36FBC">
              <w:rPr>
                <w:rFonts w:cs="Tahoma"/>
              </w:rPr>
              <w:t>Not serious</w:t>
            </w:r>
          </w:p>
        </w:tc>
        <w:tc>
          <w:tcPr>
            <w:tcW w:w="1072" w:type="dxa"/>
          </w:tcPr>
          <w:p w:rsidR="00CC3BA4" w:rsidRPr="00D36FBC" w:rsidRDefault="00CC3BA4" w:rsidP="004A42D5">
            <w:pPr>
              <w:pStyle w:val="Tabletext"/>
              <w:rPr>
                <w:rFonts w:cs="Tahoma"/>
              </w:rPr>
            </w:pPr>
            <w:r w:rsidRPr="00D36FBC">
              <w:rPr>
                <w:rFonts w:cs="Tahoma"/>
              </w:rPr>
              <w:t xml:space="preserve">Serious </w:t>
            </w:r>
            <w:r w:rsidRPr="00D36FBC">
              <w:rPr>
                <w:rFonts w:cs="Tahoma"/>
                <w:vertAlign w:val="superscript"/>
              </w:rPr>
              <w:t>c</w:t>
            </w:r>
          </w:p>
        </w:tc>
        <w:tc>
          <w:tcPr>
            <w:tcW w:w="992" w:type="dxa"/>
          </w:tcPr>
          <w:p w:rsidR="00CC3BA4" w:rsidRPr="00D36FBC" w:rsidRDefault="00CC3BA4" w:rsidP="004A42D5">
            <w:pPr>
              <w:pStyle w:val="Tabletext"/>
              <w:rPr>
                <w:rFonts w:cs="Tahoma"/>
              </w:rPr>
            </w:pPr>
            <w:r w:rsidRPr="00D36FBC">
              <w:rPr>
                <w:rFonts w:cs="Tahoma"/>
              </w:rPr>
              <w:t>Not serious</w:t>
            </w:r>
          </w:p>
        </w:tc>
        <w:tc>
          <w:tcPr>
            <w:tcW w:w="992" w:type="dxa"/>
          </w:tcPr>
          <w:p w:rsidR="00CC3BA4" w:rsidRPr="00D36FBC" w:rsidRDefault="00CC3BA4" w:rsidP="004A42D5">
            <w:pPr>
              <w:pStyle w:val="Tabletext"/>
              <w:rPr>
                <w:rFonts w:cs="Tahoma"/>
              </w:rPr>
            </w:pPr>
            <w:r>
              <w:rPr>
                <w:rFonts w:cs="Tahoma"/>
              </w:rPr>
              <w:t>Not serious</w:t>
            </w:r>
          </w:p>
        </w:tc>
        <w:tc>
          <w:tcPr>
            <w:tcW w:w="1276" w:type="dxa"/>
          </w:tcPr>
          <w:p w:rsidR="00CC3BA4" w:rsidRPr="00D36FBC" w:rsidRDefault="00CC3BA4" w:rsidP="004A42D5">
            <w:pPr>
              <w:pStyle w:val="Tabletext"/>
              <w:rPr>
                <w:rFonts w:cs="Tahoma"/>
              </w:rPr>
            </w:pPr>
            <w:r w:rsidRPr="00D36FBC">
              <w:rPr>
                <w:rFonts w:cs="Tahoma"/>
              </w:rPr>
              <w:t>None</w:t>
            </w:r>
          </w:p>
        </w:tc>
        <w:tc>
          <w:tcPr>
            <w:tcW w:w="1417" w:type="dxa"/>
          </w:tcPr>
          <w:p w:rsidR="00CC3BA4" w:rsidRPr="00A17B9D" w:rsidRDefault="00A17B9D" w:rsidP="00EE4DF7">
            <w:pPr>
              <w:pStyle w:val="Tabletext"/>
              <w:rPr>
                <w:highlight w:val="black"/>
              </w:rPr>
            </w:pPr>
            <w:r>
              <w:rPr>
                <w:noProof/>
                <w:color w:val="000000"/>
                <w:highlight w:val="black"/>
              </w:rPr>
              <w:t>'''''''''''''''' ''''''''''''''''''''</w:t>
            </w:r>
            <w:r w:rsidR="00CC3BA4" w:rsidRPr="00A17B9D">
              <w:rPr>
                <w:highlight w:val="black"/>
              </w:rPr>
              <w:t xml:space="preserve"> </w:t>
            </w:r>
          </w:p>
        </w:tc>
        <w:tc>
          <w:tcPr>
            <w:tcW w:w="1134" w:type="dxa"/>
          </w:tcPr>
          <w:p w:rsidR="00CC3BA4" w:rsidRPr="00A17B9D" w:rsidRDefault="00A17B9D" w:rsidP="00EE4DF7">
            <w:pPr>
              <w:pStyle w:val="Tabletext"/>
              <w:rPr>
                <w:highlight w:val="black"/>
              </w:rPr>
            </w:pPr>
            <w:r>
              <w:rPr>
                <w:noProof/>
                <w:color w:val="000000"/>
                <w:highlight w:val="black"/>
              </w:rPr>
              <w:t>'''''''''''''''' '''''''''''''''''</w:t>
            </w:r>
            <w:r w:rsidR="00CC3BA4" w:rsidRPr="00A17B9D">
              <w:rPr>
                <w:highlight w:val="black"/>
              </w:rPr>
              <w:t xml:space="preserve"> </w:t>
            </w:r>
          </w:p>
        </w:tc>
        <w:tc>
          <w:tcPr>
            <w:tcW w:w="993" w:type="dxa"/>
          </w:tcPr>
          <w:p w:rsidR="00CC3BA4" w:rsidRPr="00A17B9D" w:rsidRDefault="00A17B9D" w:rsidP="009F446F">
            <w:pPr>
              <w:pStyle w:val="Tabletext"/>
              <w:rPr>
                <w:highlight w:val="black"/>
              </w:rPr>
            </w:pPr>
            <w:r>
              <w:rPr>
                <w:noProof/>
                <w:color w:val="000000"/>
                <w:highlight w:val="black"/>
              </w:rPr>
              <w:t>'''''''' '''' '''''''''' ''''''''''''' '''''''''''''</w:t>
            </w:r>
          </w:p>
        </w:tc>
        <w:tc>
          <w:tcPr>
            <w:tcW w:w="2188" w:type="dxa"/>
          </w:tcPr>
          <w:p w:rsidR="00CC3BA4" w:rsidRPr="00A17B9D" w:rsidRDefault="00A17B9D" w:rsidP="00EE4DF7">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CC3BA4" w:rsidRDefault="00CC3BA4" w:rsidP="004A42D5">
            <w:pPr>
              <w:pStyle w:val="Tabletext"/>
              <w:rPr>
                <w:rFonts w:ascii="Cambria Math" w:eastAsia="Times New Roman" w:hAnsi="Cambria Math" w:cs="Cambria Math"/>
                <w:bCs/>
              </w:rPr>
            </w:pPr>
            <w:r>
              <w:rPr>
                <w:rFonts w:eastAsia="Times New Roman" w:cs="Cambria Math"/>
                <w:bCs/>
              </w:rPr>
              <w:t>Moderate</w:t>
            </w:r>
            <w:r>
              <w:rPr>
                <w:rFonts w:eastAsia="Times New Roman" w:cs="Cambria Math"/>
                <w:bCs/>
              </w:rPr>
              <w:br/>
            </w:r>
            <w:r w:rsidRPr="00E564DD">
              <w:rPr>
                <w:rFonts w:ascii="Cambria Math" w:eastAsia="Times New Roman" w:hAnsi="Cambria Math" w:cs="Cambria Math"/>
                <w:bCs/>
                <w:color w:val="00B050"/>
              </w:rPr>
              <w:t>⨁⨁⨁</w:t>
            </w:r>
            <w:r w:rsidRPr="00E564DD">
              <w:rPr>
                <w:rFonts w:ascii="Cambria Math" w:eastAsia="Times New Roman" w:hAnsi="Cambria Math" w:cs="Cambria Math"/>
                <w:bCs/>
                <w:color w:val="C00000"/>
              </w:rPr>
              <w:t>⨀</w:t>
            </w:r>
          </w:p>
          <w:p w:rsidR="00CC3BA4" w:rsidRPr="00D36FBC" w:rsidRDefault="00CC3BA4" w:rsidP="004A42D5">
            <w:pPr>
              <w:pStyle w:val="Tabletext"/>
              <w:rPr>
                <w:rFonts w:cs="Tahoma"/>
              </w:rPr>
            </w:pPr>
            <w:r w:rsidRPr="00E564DD">
              <w:rPr>
                <w:rFonts w:cs="Tahoma"/>
              </w:rPr>
              <w:t>Critical</w:t>
            </w:r>
          </w:p>
        </w:tc>
      </w:tr>
      <w:tr w:rsidR="00CC3BA4" w:rsidRPr="00D36FBC" w:rsidTr="001363C5">
        <w:trPr>
          <w:trHeight w:val="319"/>
        </w:trPr>
        <w:tc>
          <w:tcPr>
            <w:tcW w:w="1493" w:type="dxa"/>
          </w:tcPr>
          <w:p w:rsidR="00CC3BA4" w:rsidRPr="00D36FBC" w:rsidRDefault="00CC3BA4" w:rsidP="00C84392">
            <w:pPr>
              <w:pStyle w:val="Tabletext"/>
              <w:rPr>
                <w:rFonts w:cs="Tahoma"/>
              </w:rPr>
            </w:pPr>
            <w:r w:rsidRPr="00D36FBC">
              <w:rPr>
                <w:rFonts w:cs="Tahoma"/>
              </w:rPr>
              <w:t>Hospitalisation</w:t>
            </w:r>
            <w:r w:rsidR="00086A04">
              <w:rPr>
                <w:rFonts w:cs="Tahoma"/>
              </w:rPr>
              <w:t xml:space="preserve"> </w:t>
            </w:r>
            <w:r w:rsidR="00C84392">
              <w:rPr>
                <w:rFonts w:cs="Tahoma"/>
              </w:rPr>
              <w:t>due to PAH</w:t>
            </w:r>
            <w:r>
              <w:rPr>
                <w:rFonts w:cs="Tahoma"/>
              </w:rPr>
              <w:br/>
            </w:r>
            <w:r w:rsidRPr="00D36FBC">
              <w:rPr>
                <w:rFonts w:cs="Tahoma"/>
              </w:rPr>
              <w:t>(74–104 weeks)</w:t>
            </w:r>
          </w:p>
        </w:tc>
        <w:tc>
          <w:tcPr>
            <w:tcW w:w="1054" w:type="dxa"/>
          </w:tcPr>
          <w:p w:rsidR="00CC3BA4" w:rsidRPr="00D36FBC" w:rsidRDefault="00CC3BA4" w:rsidP="004A42D5">
            <w:pPr>
              <w:pStyle w:val="Tabletext"/>
              <w:rPr>
                <w:rFonts w:cs="Tahoma"/>
              </w:rPr>
            </w:pPr>
            <w:r w:rsidRPr="00D36FBC">
              <w:rPr>
                <w:rFonts w:cs="Tahoma"/>
              </w:rPr>
              <w:t>2 RCTs</w:t>
            </w:r>
          </w:p>
        </w:tc>
        <w:tc>
          <w:tcPr>
            <w:tcW w:w="771" w:type="dxa"/>
          </w:tcPr>
          <w:p w:rsidR="00CC3BA4" w:rsidRPr="00D36FBC" w:rsidRDefault="00CC3BA4" w:rsidP="004A42D5">
            <w:pPr>
              <w:pStyle w:val="Tabletext"/>
              <w:rPr>
                <w:rFonts w:cs="Tahoma"/>
              </w:rPr>
            </w:pPr>
            <w:r w:rsidRPr="00D36FBC">
              <w:rPr>
                <w:rFonts w:cs="Tahoma"/>
              </w:rPr>
              <w:t>Not serious</w:t>
            </w:r>
          </w:p>
        </w:tc>
        <w:tc>
          <w:tcPr>
            <w:tcW w:w="1072" w:type="dxa"/>
          </w:tcPr>
          <w:p w:rsidR="00CC3BA4" w:rsidRPr="00D36FBC" w:rsidRDefault="00CC3BA4" w:rsidP="004A42D5">
            <w:pPr>
              <w:pStyle w:val="Tabletext"/>
              <w:rPr>
                <w:rFonts w:cs="Tahoma"/>
              </w:rPr>
            </w:pPr>
            <w:r>
              <w:rPr>
                <w:rFonts w:cs="Tahoma"/>
              </w:rPr>
              <w:t>Not serious</w:t>
            </w:r>
          </w:p>
        </w:tc>
        <w:tc>
          <w:tcPr>
            <w:tcW w:w="992" w:type="dxa"/>
          </w:tcPr>
          <w:p w:rsidR="00CC3BA4" w:rsidRPr="00D36FBC" w:rsidRDefault="00CC3BA4" w:rsidP="004A42D5">
            <w:pPr>
              <w:pStyle w:val="Tabletext"/>
              <w:rPr>
                <w:rFonts w:cs="Tahoma"/>
              </w:rPr>
            </w:pPr>
            <w:r w:rsidRPr="00D36FBC">
              <w:rPr>
                <w:rFonts w:cs="Tahoma"/>
              </w:rPr>
              <w:t>Not serious</w:t>
            </w:r>
          </w:p>
        </w:tc>
        <w:tc>
          <w:tcPr>
            <w:tcW w:w="992" w:type="dxa"/>
          </w:tcPr>
          <w:p w:rsidR="00CC3BA4" w:rsidRPr="00D36FBC" w:rsidRDefault="00CC3BA4" w:rsidP="004A42D5">
            <w:pPr>
              <w:pStyle w:val="Tabletext"/>
              <w:rPr>
                <w:rFonts w:cs="Tahoma"/>
              </w:rPr>
            </w:pPr>
            <w:r w:rsidRPr="00D36FBC">
              <w:rPr>
                <w:rFonts w:cs="Tahoma"/>
              </w:rPr>
              <w:t>Not serious</w:t>
            </w:r>
          </w:p>
        </w:tc>
        <w:tc>
          <w:tcPr>
            <w:tcW w:w="1276" w:type="dxa"/>
          </w:tcPr>
          <w:p w:rsidR="00CC3BA4" w:rsidRPr="00D36FBC" w:rsidRDefault="00F42EBF" w:rsidP="004A42D5">
            <w:pPr>
              <w:pStyle w:val="Tabletext"/>
              <w:rPr>
                <w:rFonts w:cs="Tahoma"/>
              </w:rPr>
            </w:pPr>
            <w:r>
              <w:rPr>
                <w:rFonts w:cs="Tahoma"/>
              </w:rPr>
              <w:t>Strong association</w:t>
            </w:r>
          </w:p>
        </w:tc>
        <w:tc>
          <w:tcPr>
            <w:tcW w:w="1417" w:type="dxa"/>
          </w:tcPr>
          <w:p w:rsidR="00CC3BA4" w:rsidRPr="00362678" w:rsidRDefault="00CC3BA4" w:rsidP="00EE4DF7">
            <w:pPr>
              <w:pStyle w:val="Tabletext"/>
              <w:rPr>
                <w:highlight w:val="cyan"/>
              </w:rPr>
            </w:pPr>
            <w:r w:rsidRPr="00362678">
              <w:t>5</w:t>
            </w:r>
            <w:r w:rsidR="009F446F">
              <w:t>9</w:t>
            </w:r>
            <w:r w:rsidRPr="00362678">
              <w:t>/</w:t>
            </w:r>
            <w:r w:rsidR="009F446F">
              <w:t>456</w:t>
            </w:r>
            <w:r w:rsidRPr="00362678">
              <w:t xml:space="preserve"> (</w:t>
            </w:r>
            <w:r w:rsidR="00EE4DF7">
              <w:t>12</w:t>
            </w:r>
            <w:r w:rsidRPr="00362678">
              <w:t>.</w:t>
            </w:r>
            <w:r w:rsidR="00EE4DF7">
              <w:t>9</w:t>
            </w:r>
            <w:r w:rsidRPr="00362678">
              <w:t xml:space="preserve">%) </w:t>
            </w:r>
          </w:p>
        </w:tc>
        <w:tc>
          <w:tcPr>
            <w:tcW w:w="1134" w:type="dxa"/>
          </w:tcPr>
          <w:p w:rsidR="00CC3BA4" w:rsidRPr="00362678" w:rsidRDefault="00EE4DF7" w:rsidP="00EE4DF7">
            <w:pPr>
              <w:pStyle w:val="Tabletext"/>
              <w:rPr>
                <w:highlight w:val="cyan"/>
              </w:rPr>
            </w:pPr>
            <w:r>
              <w:rPr>
                <w:rStyle w:val="cell-value"/>
              </w:rPr>
              <w:t>7</w:t>
            </w:r>
            <w:r w:rsidR="00CC3BA4" w:rsidRPr="00362678">
              <w:rPr>
                <w:rStyle w:val="cell-value"/>
              </w:rPr>
              <w:t>1/</w:t>
            </w:r>
            <w:r>
              <w:rPr>
                <w:rStyle w:val="cell-value"/>
              </w:rPr>
              <w:t>305</w:t>
            </w:r>
            <w:r w:rsidR="00CC3BA4" w:rsidRPr="00362678">
              <w:rPr>
                <w:rStyle w:val="cell-value"/>
              </w:rPr>
              <w:t xml:space="preserve"> (</w:t>
            </w:r>
            <w:r>
              <w:rPr>
                <w:rStyle w:val="cell-value"/>
              </w:rPr>
              <w:t>2</w:t>
            </w:r>
            <w:r w:rsidR="00CC3BA4" w:rsidRPr="00362678">
              <w:rPr>
                <w:rStyle w:val="cell-value"/>
              </w:rPr>
              <w:t>3.</w:t>
            </w:r>
            <w:r>
              <w:rPr>
                <w:rStyle w:val="cell-value"/>
              </w:rPr>
              <w:t>3</w:t>
            </w:r>
            <w:r w:rsidR="00CC3BA4" w:rsidRPr="00362678">
              <w:rPr>
                <w:rStyle w:val="cell-value"/>
              </w:rPr>
              <w:t xml:space="preserve">%) </w:t>
            </w:r>
          </w:p>
        </w:tc>
        <w:tc>
          <w:tcPr>
            <w:tcW w:w="993" w:type="dxa"/>
          </w:tcPr>
          <w:p w:rsidR="00CC3BA4" w:rsidRPr="00362678" w:rsidRDefault="00CC3BA4" w:rsidP="00EE4DF7">
            <w:pPr>
              <w:pStyle w:val="Tabletext"/>
              <w:rPr>
                <w:highlight w:val="cyan"/>
              </w:rPr>
            </w:pPr>
            <w:r w:rsidRPr="00362678">
              <w:rPr>
                <w:rStyle w:val="block"/>
              </w:rPr>
              <w:t>RR = 0.</w:t>
            </w:r>
            <w:r w:rsidR="00EE4DF7">
              <w:rPr>
                <w:rStyle w:val="block"/>
              </w:rPr>
              <w:t>67</w:t>
            </w:r>
            <w:r w:rsidRPr="00362678">
              <w:rPr>
                <w:rStyle w:val="block"/>
              </w:rPr>
              <w:t xml:space="preserve"> </w:t>
            </w:r>
            <w:r w:rsidRPr="00362678">
              <w:rPr>
                <w:rStyle w:val="cell"/>
              </w:rPr>
              <w:t>(0.</w:t>
            </w:r>
            <w:r w:rsidR="00EE4DF7">
              <w:rPr>
                <w:rStyle w:val="cell"/>
              </w:rPr>
              <w:t>4</w:t>
            </w:r>
            <w:r w:rsidRPr="00362678">
              <w:rPr>
                <w:rStyle w:val="cell"/>
              </w:rPr>
              <w:t>5, 0</w:t>
            </w:r>
            <w:r w:rsidR="00EE4DF7">
              <w:rPr>
                <w:rStyle w:val="cell"/>
              </w:rPr>
              <w:t>.9</w:t>
            </w:r>
            <w:r w:rsidRPr="00362678">
              <w:rPr>
                <w:rStyle w:val="cell"/>
              </w:rPr>
              <w:t>8)</w:t>
            </w:r>
            <w:r w:rsidRPr="00362678">
              <w:t xml:space="preserve"> </w:t>
            </w:r>
          </w:p>
        </w:tc>
        <w:tc>
          <w:tcPr>
            <w:tcW w:w="2188" w:type="dxa"/>
          </w:tcPr>
          <w:p w:rsidR="00CC3BA4" w:rsidRPr="00D36FBC" w:rsidRDefault="00EE4DF7" w:rsidP="00EE4DF7">
            <w:pPr>
              <w:pStyle w:val="Tabletext"/>
              <w:rPr>
                <w:rFonts w:cs="Tahoma"/>
                <w:highlight w:val="cyan"/>
              </w:rPr>
            </w:pPr>
            <w:r>
              <w:rPr>
                <w:rFonts w:cs="Tahoma"/>
              </w:rPr>
              <w:t>77</w:t>
            </w:r>
            <w:r w:rsidR="00CC3BA4" w:rsidRPr="00944F0A">
              <w:rPr>
                <w:rFonts w:cs="Tahoma"/>
              </w:rPr>
              <w:t xml:space="preserve"> fewer per 1,000</w:t>
            </w:r>
            <w:r w:rsidR="00CC3BA4">
              <w:rPr>
                <w:rFonts w:cs="Tahoma"/>
              </w:rPr>
              <w:br/>
              <w:t>(</w:t>
            </w:r>
            <w:r w:rsidR="00CC3BA4" w:rsidRPr="00944F0A">
              <w:rPr>
                <w:rFonts w:cs="Tahoma"/>
              </w:rPr>
              <w:t xml:space="preserve">from </w:t>
            </w:r>
            <w:r>
              <w:rPr>
                <w:rFonts w:cs="Tahoma"/>
              </w:rPr>
              <w:t>5</w:t>
            </w:r>
            <w:r w:rsidR="00767852">
              <w:rPr>
                <w:rFonts w:cs="Tahoma"/>
              </w:rPr>
              <w:t xml:space="preserve"> fewer</w:t>
            </w:r>
            <w:r w:rsidR="00CC3BA4" w:rsidRPr="00944F0A">
              <w:rPr>
                <w:rFonts w:cs="Tahoma"/>
              </w:rPr>
              <w:t xml:space="preserve"> to </w:t>
            </w:r>
            <w:r w:rsidR="00CC3BA4">
              <w:rPr>
                <w:rFonts w:cs="Tahoma"/>
              </w:rPr>
              <w:t>1</w:t>
            </w:r>
            <w:r>
              <w:rPr>
                <w:rFonts w:cs="Tahoma"/>
              </w:rPr>
              <w:t>28</w:t>
            </w:r>
            <w:r w:rsidR="00CC3BA4">
              <w:rPr>
                <w:rFonts w:cs="Tahoma"/>
              </w:rPr>
              <w:t xml:space="preserve"> f</w:t>
            </w:r>
            <w:r w:rsidR="00CC3BA4" w:rsidRPr="00944F0A">
              <w:rPr>
                <w:rFonts w:cs="Tahoma"/>
              </w:rPr>
              <w:t>e</w:t>
            </w:r>
            <w:r w:rsidR="00CC3BA4">
              <w:rPr>
                <w:rFonts w:cs="Tahoma"/>
              </w:rPr>
              <w:t>wer</w:t>
            </w:r>
            <w:r w:rsidR="00CC3BA4" w:rsidRPr="00944F0A">
              <w:rPr>
                <w:rFonts w:cs="Tahoma"/>
              </w:rPr>
              <w:t>)</w:t>
            </w:r>
          </w:p>
        </w:tc>
        <w:tc>
          <w:tcPr>
            <w:tcW w:w="1214" w:type="dxa"/>
          </w:tcPr>
          <w:p w:rsidR="00CC3BA4" w:rsidRDefault="00CC3BA4" w:rsidP="004A42D5">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D36FBC" w:rsidRDefault="00CC3BA4" w:rsidP="004A42D5">
            <w:pPr>
              <w:pStyle w:val="Tabletext"/>
              <w:rPr>
                <w:rFonts w:eastAsia="Times New Roman" w:cs="Cambria Math"/>
                <w:bCs/>
                <w:color w:val="00B050"/>
              </w:rPr>
            </w:pPr>
            <w:r w:rsidRPr="00E564DD">
              <w:rPr>
                <w:rFonts w:cs="Tahoma"/>
              </w:rPr>
              <w:t>Important</w:t>
            </w:r>
          </w:p>
        </w:tc>
      </w:tr>
      <w:tr w:rsidR="00CC3BA4" w:rsidRPr="00D36FBC" w:rsidTr="001363C5">
        <w:trPr>
          <w:trHeight w:val="319"/>
        </w:trPr>
        <w:tc>
          <w:tcPr>
            <w:tcW w:w="1493" w:type="dxa"/>
          </w:tcPr>
          <w:p w:rsidR="00CC3BA4" w:rsidRPr="00D36FBC" w:rsidRDefault="00CC3BA4" w:rsidP="004A42D5">
            <w:pPr>
              <w:pStyle w:val="Tabletext"/>
              <w:rPr>
                <w:rFonts w:cs="Tahoma"/>
              </w:rPr>
            </w:pPr>
            <w:r w:rsidRPr="00D36FBC">
              <w:rPr>
                <w:rFonts w:cs="Tahoma"/>
              </w:rPr>
              <w:t>Improved WHO FC</w:t>
            </w:r>
            <w:r>
              <w:rPr>
                <w:rFonts w:cs="Tahoma"/>
              </w:rPr>
              <w:br/>
            </w:r>
            <w:r w:rsidRPr="00D36FBC">
              <w:rPr>
                <w:rFonts w:cs="Tahoma"/>
              </w:rPr>
              <w:t>(12 weeks)</w:t>
            </w:r>
          </w:p>
        </w:tc>
        <w:tc>
          <w:tcPr>
            <w:tcW w:w="1054" w:type="dxa"/>
          </w:tcPr>
          <w:p w:rsidR="00CC3BA4" w:rsidRPr="00D36FBC" w:rsidRDefault="00CC3BA4" w:rsidP="004A42D5">
            <w:pPr>
              <w:pStyle w:val="Tabletext"/>
              <w:rPr>
                <w:rFonts w:cs="Tahoma"/>
              </w:rPr>
            </w:pPr>
            <w:r w:rsidRPr="00D36FBC">
              <w:rPr>
                <w:rFonts w:cs="Tahoma"/>
              </w:rPr>
              <w:t>2 RCTs</w:t>
            </w:r>
          </w:p>
        </w:tc>
        <w:tc>
          <w:tcPr>
            <w:tcW w:w="771" w:type="dxa"/>
          </w:tcPr>
          <w:p w:rsidR="00CC3BA4" w:rsidRPr="00D36FBC" w:rsidRDefault="00CC3BA4" w:rsidP="004A42D5">
            <w:pPr>
              <w:pStyle w:val="Tabletext"/>
              <w:rPr>
                <w:rFonts w:cs="Tahoma"/>
              </w:rPr>
            </w:pPr>
            <w:r w:rsidRPr="00D36FBC">
              <w:rPr>
                <w:rFonts w:cs="Tahoma"/>
              </w:rPr>
              <w:t>Not serious</w:t>
            </w:r>
          </w:p>
        </w:tc>
        <w:tc>
          <w:tcPr>
            <w:tcW w:w="1072" w:type="dxa"/>
          </w:tcPr>
          <w:p w:rsidR="00CC3BA4" w:rsidRPr="00D36FBC" w:rsidRDefault="00CC3BA4" w:rsidP="004A42D5">
            <w:pPr>
              <w:pStyle w:val="Tabletext"/>
              <w:rPr>
                <w:rFonts w:cs="Tahoma"/>
              </w:rPr>
            </w:pPr>
            <w:r w:rsidRPr="00D36FBC">
              <w:rPr>
                <w:rFonts w:cs="Tahoma"/>
              </w:rPr>
              <w:t>Not serious</w:t>
            </w:r>
          </w:p>
        </w:tc>
        <w:tc>
          <w:tcPr>
            <w:tcW w:w="992" w:type="dxa"/>
          </w:tcPr>
          <w:p w:rsidR="00CC3BA4" w:rsidRPr="00D36FBC" w:rsidRDefault="00CC3BA4" w:rsidP="004A42D5">
            <w:pPr>
              <w:pStyle w:val="Tabletext"/>
              <w:rPr>
                <w:rFonts w:cs="Tahoma"/>
              </w:rPr>
            </w:pPr>
            <w:r w:rsidRPr="00D36FBC">
              <w:rPr>
                <w:rFonts w:cs="Tahoma"/>
              </w:rPr>
              <w:t>Not serious</w:t>
            </w:r>
          </w:p>
        </w:tc>
        <w:tc>
          <w:tcPr>
            <w:tcW w:w="992" w:type="dxa"/>
          </w:tcPr>
          <w:p w:rsidR="00CC3BA4" w:rsidRPr="00D36FBC" w:rsidRDefault="00CC3BA4" w:rsidP="004A42D5">
            <w:pPr>
              <w:pStyle w:val="Tabletext"/>
              <w:rPr>
                <w:rFonts w:cs="Tahoma"/>
              </w:rPr>
            </w:pPr>
            <w:r w:rsidRPr="00D36FBC">
              <w:rPr>
                <w:rFonts w:cs="Tahoma"/>
              </w:rPr>
              <w:t>Not serious</w:t>
            </w:r>
          </w:p>
        </w:tc>
        <w:tc>
          <w:tcPr>
            <w:tcW w:w="1276" w:type="dxa"/>
          </w:tcPr>
          <w:p w:rsidR="00CC3BA4" w:rsidRPr="00D36FBC" w:rsidRDefault="00CC3BA4" w:rsidP="004A42D5">
            <w:pPr>
              <w:pStyle w:val="Tabletext"/>
              <w:rPr>
                <w:rFonts w:cs="Tahoma"/>
              </w:rPr>
            </w:pPr>
            <w:r w:rsidRPr="00D36FBC">
              <w:rPr>
                <w:rFonts w:cs="Tahoma"/>
              </w:rPr>
              <w:t>None</w:t>
            </w:r>
          </w:p>
        </w:tc>
        <w:tc>
          <w:tcPr>
            <w:tcW w:w="1417" w:type="dxa"/>
          </w:tcPr>
          <w:p w:rsidR="00CC3BA4" w:rsidRPr="00362678" w:rsidRDefault="00CC3BA4" w:rsidP="00362678">
            <w:pPr>
              <w:pStyle w:val="Tabletext"/>
            </w:pPr>
            <w:r w:rsidRPr="00362678">
              <w:t xml:space="preserve">119/411 (29.0%) </w:t>
            </w:r>
          </w:p>
        </w:tc>
        <w:tc>
          <w:tcPr>
            <w:tcW w:w="1134" w:type="dxa"/>
          </w:tcPr>
          <w:p w:rsidR="00CC3BA4" w:rsidRPr="00362678" w:rsidRDefault="00CC3BA4" w:rsidP="00362678">
            <w:pPr>
              <w:pStyle w:val="Tabletext"/>
            </w:pPr>
            <w:r w:rsidRPr="00362678">
              <w:rPr>
                <w:rStyle w:val="cell-value"/>
              </w:rPr>
              <w:t xml:space="preserve">67/295 (22.7%) </w:t>
            </w:r>
          </w:p>
        </w:tc>
        <w:tc>
          <w:tcPr>
            <w:tcW w:w="993" w:type="dxa"/>
          </w:tcPr>
          <w:p w:rsidR="00CC3BA4" w:rsidRPr="00362678" w:rsidRDefault="00CC3BA4" w:rsidP="00362678">
            <w:pPr>
              <w:pStyle w:val="Tabletext"/>
            </w:pPr>
            <w:r w:rsidRPr="00362678">
              <w:rPr>
                <w:rStyle w:val="block"/>
              </w:rPr>
              <w:t xml:space="preserve">RR = 1.10 </w:t>
            </w:r>
            <w:r w:rsidRPr="00362678">
              <w:rPr>
                <w:rStyle w:val="cell"/>
              </w:rPr>
              <w:t>(0.85, 1.42)</w:t>
            </w:r>
            <w:r w:rsidRPr="00362678">
              <w:t xml:space="preserve"> </w:t>
            </w:r>
          </w:p>
        </w:tc>
        <w:tc>
          <w:tcPr>
            <w:tcW w:w="2188" w:type="dxa"/>
          </w:tcPr>
          <w:p w:rsidR="00CC3BA4" w:rsidRPr="00D36FBC" w:rsidRDefault="00CC3BA4" w:rsidP="004A42D5">
            <w:pPr>
              <w:pStyle w:val="Tabletext"/>
              <w:rPr>
                <w:rFonts w:cs="Tahoma"/>
              </w:rPr>
            </w:pPr>
            <w:r>
              <w:rPr>
                <w:rFonts w:cs="Tahoma"/>
              </w:rPr>
              <w:t>23</w:t>
            </w:r>
            <w:r w:rsidRPr="00944F0A">
              <w:rPr>
                <w:rFonts w:cs="Tahoma"/>
              </w:rPr>
              <w:t xml:space="preserve"> </w:t>
            </w:r>
            <w:r>
              <w:rPr>
                <w:rFonts w:cs="Tahoma"/>
              </w:rPr>
              <w:t>more</w:t>
            </w:r>
            <w:r w:rsidRPr="00944F0A">
              <w:rPr>
                <w:rFonts w:cs="Tahoma"/>
              </w:rPr>
              <w:t xml:space="preserve"> per 1,000</w:t>
            </w:r>
            <w:r>
              <w:rPr>
                <w:rFonts w:cs="Tahoma"/>
              </w:rPr>
              <w:br/>
              <w:t>(</w:t>
            </w:r>
            <w:r w:rsidRPr="00944F0A">
              <w:rPr>
                <w:rFonts w:cs="Tahoma"/>
              </w:rPr>
              <w:t xml:space="preserve">from </w:t>
            </w:r>
            <w:r>
              <w:rPr>
                <w:rFonts w:cs="Tahoma"/>
              </w:rPr>
              <w:t>34</w:t>
            </w:r>
            <w:r w:rsidRPr="00944F0A">
              <w:rPr>
                <w:rFonts w:cs="Tahoma"/>
              </w:rPr>
              <w:t xml:space="preserve"> </w:t>
            </w:r>
            <w:r>
              <w:rPr>
                <w:rFonts w:cs="Tahoma"/>
              </w:rPr>
              <w:t>fewer</w:t>
            </w:r>
            <w:r w:rsidRPr="00944F0A">
              <w:rPr>
                <w:rFonts w:cs="Tahoma"/>
              </w:rPr>
              <w:t xml:space="preserve"> to </w:t>
            </w:r>
            <w:r>
              <w:rPr>
                <w:rFonts w:cs="Tahoma"/>
              </w:rPr>
              <w:t>95 more</w:t>
            </w:r>
            <w:r w:rsidRPr="00944F0A">
              <w:rPr>
                <w:rFonts w:cs="Tahoma"/>
              </w:rPr>
              <w:t>)</w:t>
            </w:r>
          </w:p>
        </w:tc>
        <w:tc>
          <w:tcPr>
            <w:tcW w:w="1214" w:type="dxa"/>
          </w:tcPr>
          <w:p w:rsidR="00CC3BA4" w:rsidRDefault="00CC3BA4" w:rsidP="004A42D5">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D36FBC" w:rsidRDefault="00CC3BA4" w:rsidP="004A42D5">
            <w:pPr>
              <w:pStyle w:val="Tabletext"/>
              <w:rPr>
                <w:rFonts w:eastAsia="Times New Roman" w:cs="Cambria Math"/>
                <w:bCs/>
                <w:color w:val="00B050"/>
              </w:rPr>
            </w:pPr>
            <w:r w:rsidRPr="00E564DD">
              <w:rPr>
                <w:rFonts w:cs="Tahoma"/>
              </w:rPr>
              <w:t>Important</w:t>
            </w:r>
          </w:p>
        </w:tc>
      </w:tr>
      <w:tr w:rsidR="00CC3BA4" w:rsidRPr="00D36FBC" w:rsidTr="001363C5">
        <w:trPr>
          <w:trHeight w:val="319"/>
        </w:trPr>
        <w:tc>
          <w:tcPr>
            <w:tcW w:w="1493" w:type="dxa"/>
          </w:tcPr>
          <w:p w:rsidR="00CC3BA4" w:rsidRPr="00D36FBC" w:rsidRDefault="00CC3BA4" w:rsidP="004A42D5">
            <w:pPr>
              <w:pStyle w:val="Tabletext"/>
              <w:rPr>
                <w:rFonts w:cs="Tahoma"/>
              </w:rPr>
            </w:pPr>
            <w:r w:rsidRPr="00D36FBC">
              <w:rPr>
                <w:rFonts w:cs="Tahoma"/>
              </w:rPr>
              <w:t>Worsened WHO FC</w:t>
            </w:r>
            <w:r>
              <w:rPr>
                <w:rFonts w:cs="Tahoma"/>
              </w:rPr>
              <w:br/>
            </w:r>
            <w:r w:rsidRPr="00D36FBC">
              <w:rPr>
                <w:rFonts w:cs="Tahoma"/>
              </w:rPr>
              <w:t>(12 weeks)</w:t>
            </w:r>
          </w:p>
        </w:tc>
        <w:tc>
          <w:tcPr>
            <w:tcW w:w="1054" w:type="dxa"/>
          </w:tcPr>
          <w:p w:rsidR="00CC3BA4" w:rsidRPr="00D36FBC" w:rsidRDefault="00CC3BA4" w:rsidP="004A42D5">
            <w:pPr>
              <w:pStyle w:val="Tabletext"/>
              <w:rPr>
                <w:rFonts w:cs="Tahoma"/>
              </w:rPr>
            </w:pPr>
            <w:r w:rsidRPr="00D36FBC">
              <w:rPr>
                <w:rFonts w:cs="Tahoma"/>
              </w:rPr>
              <w:t>2 RCTs</w:t>
            </w:r>
          </w:p>
        </w:tc>
        <w:tc>
          <w:tcPr>
            <w:tcW w:w="771" w:type="dxa"/>
          </w:tcPr>
          <w:p w:rsidR="00CC3BA4" w:rsidRPr="00D36FBC" w:rsidRDefault="00CC3BA4" w:rsidP="004A42D5">
            <w:pPr>
              <w:pStyle w:val="Tabletext"/>
              <w:rPr>
                <w:rFonts w:cs="Tahoma"/>
              </w:rPr>
            </w:pPr>
            <w:r w:rsidRPr="00D36FBC">
              <w:rPr>
                <w:rFonts w:cs="Tahoma"/>
              </w:rPr>
              <w:t>Not serious</w:t>
            </w:r>
          </w:p>
        </w:tc>
        <w:tc>
          <w:tcPr>
            <w:tcW w:w="1072" w:type="dxa"/>
          </w:tcPr>
          <w:p w:rsidR="00CC3BA4" w:rsidRPr="00D36FBC" w:rsidRDefault="00CC3BA4" w:rsidP="004A42D5">
            <w:pPr>
              <w:pStyle w:val="Tabletext"/>
              <w:rPr>
                <w:rFonts w:cs="Tahoma"/>
              </w:rPr>
            </w:pPr>
            <w:r w:rsidRPr="00D36FBC">
              <w:rPr>
                <w:rFonts w:cs="Tahoma"/>
              </w:rPr>
              <w:t>Not serious</w:t>
            </w:r>
          </w:p>
        </w:tc>
        <w:tc>
          <w:tcPr>
            <w:tcW w:w="992" w:type="dxa"/>
          </w:tcPr>
          <w:p w:rsidR="00CC3BA4" w:rsidRPr="00D36FBC" w:rsidRDefault="00CC3BA4" w:rsidP="004A42D5">
            <w:pPr>
              <w:pStyle w:val="Tabletext"/>
              <w:rPr>
                <w:rFonts w:cs="Tahoma"/>
              </w:rPr>
            </w:pPr>
            <w:r w:rsidRPr="00D36FBC">
              <w:rPr>
                <w:rFonts w:cs="Tahoma"/>
              </w:rPr>
              <w:t>Not serious</w:t>
            </w:r>
          </w:p>
        </w:tc>
        <w:tc>
          <w:tcPr>
            <w:tcW w:w="992" w:type="dxa"/>
          </w:tcPr>
          <w:p w:rsidR="00CC3BA4" w:rsidRPr="00D36FBC" w:rsidRDefault="00CC3BA4" w:rsidP="004A42D5">
            <w:pPr>
              <w:pStyle w:val="Tabletext"/>
              <w:rPr>
                <w:rFonts w:cs="Tahoma"/>
              </w:rPr>
            </w:pPr>
            <w:r w:rsidRPr="00D36FBC">
              <w:rPr>
                <w:rFonts w:cs="Tahoma"/>
              </w:rPr>
              <w:t>Not serious</w:t>
            </w:r>
          </w:p>
        </w:tc>
        <w:tc>
          <w:tcPr>
            <w:tcW w:w="1276" w:type="dxa"/>
          </w:tcPr>
          <w:p w:rsidR="00CC3BA4" w:rsidRPr="00D36FBC" w:rsidRDefault="00CC3BA4" w:rsidP="004A42D5">
            <w:pPr>
              <w:pStyle w:val="Tabletext"/>
              <w:rPr>
                <w:rFonts w:cs="Tahoma"/>
              </w:rPr>
            </w:pPr>
            <w:r w:rsidRPr="00D36FBC">
              <w:rPr>
                <w:rFonts w:cs="Tahoma"/>
              </w:rPr>
              <w:t>None</w:t>
            </w:r>
          </w:p>
        </w:tc>
        <w:tc>
          <w:tcPr>
            <w:tcW w:w="1417" w:type="dxa"/>
          </w:tcPr>
          <w:p w:rsidR="00CC3BA4" w:rsidRPr="00362678" w:rsidRDefault="00CC3BA4" w:rsidP="00362678">
            <w:pPr>
              <w:pStyle w:val="Tabletext"/>
            </w:pPr>
            <w:r w:rsidRPr="00362678">
              <w:t xml:space="preserve">25/411 (6.1%) </w:t>
            </w:r>
          </w:p>
        </w:tc>
        <w:tc>
          <w:tcPr>
            <w:tcW w:w="1134" w:type="dxa"/>
          </w:tcPr>
          <w:p w:rsidR="00CC3BA4" w:rsidRPr="00362678" w:rsidRDefault="00CC3BA4" w:rsidP="00362678">
            <w:pPr>
              <w:pStyle w:val="Tabletext"/>
            </w:pPr>
            <w:r w:rsidRPr="00362678">
              <w:rPr>
                <w:rStyle w:val="cell-value"/>
              </w:rPr>
              <w:t xml:space="preserve">24/295 (8.1%) </w:t>
            </w:r>
          </w:p>
        </w:tc>
        <w:tc>
          <w:tcPr>
            <w:tcW w:w="993" w:type="dxa"/>
          </w:tcPr>
          <w:p w:rsidR="00CC3BA4" w:rsidRPr="00362678" w:rsidRDefault="00CC3BA4" w:rsidP="00362678">
            <w:pPr>
              <w:pStyle w:val="Tabletext"/>
            </w:pPr>
            <w:r w:rsidRPr="00362678">
              <w:rPr>
                <w:rStyle w:val="block"/>
              </w:rPr>
              <w:t xml:space="preserve">RR = 1.00 </w:t>
            </w:r>
            <w:r w:rsidRPr="00362678">
              <w:rPr>
                <w:rStyle w:val="cell"/>
              </w:rPr>
              <w:t>(0.58, 1.73)</w:t>
            </w:r>
            <w:r w:rsidRPr="00362678">
              <w:t xml:space="preserve"> </w:t>
            </w:r>
          </w:p>
        </w:tc>
        <w:tc>
          <w:tcPr>
            <w:tcW w:w="2188" w:type="dxa"/>
          </w:tcPr>
          <w:p w:rsidR="00CC3BA4" w:rsidRPr="00D36FBC" w:rsidRDefault="00CC3BA4" w:rsidP="004A42D5">
            <w:pPr>
              <w:pStyle w:val="Tabletext"/>
              <w:rPr>
                <w:rFonts w:cs="Tahoma"/>
              </w:rPr>
            </w:pPr>
            <w:r>
              <w:rPr>
                <w:rFonts w:cs="Tahoma"/>
              </w:rPr>
              <w:t>0</w:t>
            </w:r>
            <w:r w:rsidRPr="00944F0A">
              <w:rPr>
                <w:rFonts w:cs="Tahoma"/>
              </w:rPr>
              <w:t xml:space="preserve"> fewer per 1,000</w:t>
            </w:r>
            <w:r>
              <w:rPr>
                <w:rFonts w:cs="Tahoma"/>
              </w:rPr>
              <w:br/>
              <w:t>(</w:t>
            </w:r>
            <w:r w:rsidRPr="00944F0A">
              <w:rPr>
                <w:rFonts w:cs="Tahoma"/>
              </w:rPr>
              <w:t xml:space="preserve">from </w:t>
            </w:r>
            <w:r>
              <w:rPr>
                <w:rFonts w:cs="Tahoma"/>
              </w:rPr>
              <w:t>34</w:t>
            </w:r>
            <w:r w:rsidRPr="00944F0A">
              <w:rPr>
                <w:rFonts w:cs="Tahoma"/>
              </w:rPr>
              <w:t xml:space="preserve"> </w:t>
            </w:r>
            <w:r>
              <w:rPr>
                <w:rFonts w:cs="Tahoma"/>
              </w:rPr>
              <w:t>fewer</w:t>
            </w:r>
            <w:r w:rsidRPr="00944F0A">
              <w:rPr>
                <w:rFonts w:cs="Tahoma"/>
              </w:rPr>
              <w:t xml:space="preserve"> to </w:t>
            </w:r>
            <w:r>
              <w:rPr>
                <w:rFonts w:cs="Tahoma"/>
              </w:rPr>
              <w:t>55 more</w:t>
            </w:r>
            <w:r w:rsidRPr="00944F0A">
              <w:rPr>
                <w:rFonts w:cs="Tahoma"/>
              </w:rPr>
              <w:t>)</w:t>
            </w:r>
          </w:p>
        </w:tc>
        <w:tc>
          <w:tcPr>
            <w:tcW w:w="1214" w:type="dxa"/>
          </w:tcPr>
          <w:p w:rsidR="00CC3BA4" w:rsidRDefault="00CC3BA4" w:rsidP="004A42D5">
            <w:pPr>
              <w:pStyle w:val="Tabletext"/>
              <w:rPr>
                <w:rFonts w:ascii="Cambria Math" w:eastAsia="Times New Roman" w:hAnsi="Cambria Math" w:cs="Cambria Math"/>
                <w:bCs/>
              </w:rPr>
            </w:pPr>
            <w:r>
              <w:rPr>
                <w:rFonts w:eastAsia="Times New Roman" w:cs="Tahoma"/>
                <w:bCs/>
              </w:rPr>
              <w:t>High</w:t>
            </w:r>
            <w:r>
              <w:rPr>
                <w:rFonts w:eastAsia="Times New Roman" w:cs="Tahoma"/>
                <w:bCs/>
              </w:rPr>
              <w:br/>
            </w:r>
            <w:r w:rsidRPr="00E564DD">
              <w:rPr>
                <w:rFonts w:ascii="Cambria Math" w:eastAsia="Times New Roman" w:hAnsi="Cambria Math" w:cs="Cambria Math"/>
                <w:bCs/>
                <w:color w:val="00B050"/>
              </w:rPr>
              <w:t>⨁⨁⨁</w:t>
            </w:r>
            <w:r w:rsidRPr="00D36FBC">
              <w:rPr>
                <w:rFonts w:ascii="Cambria Math" w:eastAsia="Times New Roman" w:hAnsi="Cambria Math" w:cs="Cambria Math"/>
                <w:bCs/>
                <w:color w:val="00B050"/>
              </w:rPr>
              <w:t>⨁</w:t>
            </w:r>
          </w:p>
          <w:p w:rsidR="00CC3BA4" w:rsidRPr="00D36FBC" w:rsidRDefault="00CC3BA4" w:rsidP="004A42D5">
            <w:pPr>
              <w:pStyle w:val="Tabletext"/>
              <w:rPr>
                <w:rFonts w:eastAsia="Times New Roman" w:cs="Cambria Math"/>
                <w:bCs/>
                <w:color w:val="00B050"/>
              </w:rPr>
            </w:pPr>
            <w:r>
              <w:rPr>
                <w:rFonts w:cs="Tahoma"/>
              </w:rPr>
              <w:t>I</w:t>
            </w:r>
            <w:r w:rsidRPr="00E564DD">
              <w:rPr>
                <w:rFonts w:cs="Tahoma"/>
              </w:rPr>
              <w:t>mportant</w:t>
            </w:r>
          </w:p>
        </w:tc>
      </w:tr>
      <w:tr w:rsidR="00CC3BA4" w:rsidRPr="00D36FBC" w:rsidTr="001363C5">
        <w:trPr>
          <w:trHeight w:val="319"/>
        </w:trPr>
        <w:tc>
          <w:tcPr>
            <w:tcW w:w="1493" w:type="dxa"/>
          </w:tcPr>
          <w:p w:rsidR="00CC3BA4" w:rsidRPr="00D36FBC" w:rsidRDefault="00CC3BA4" w:rsidP="004A42D5">
            <w:pPr>
              <w:pStyle w:val="Tabletext"/>
              <w:rPr>
                <w:rFonts w:cs="Tahoma"/>
              </w:rPr>
            </w:pPr>
            <w:r w:rsidRPr="00D36FBC">
              <w:rPr>
                <w:rFonts w:cs="Tahoma"/>
              </w:rPr>
              <w:t>Change in 6MWD from baseline</w:t>
            </w:r>
            <w:r>
              <w:rPr>
                <w:rFonts w:cs="Tahoma"/>
              </w:rPr>
              <w:br/>
            </w:r>
            <w:r w:rsidRPr="00D36FBC">
              <w:rPr>
                <w:rFonts w:cs="Tahoma"/>
              </w:rPr>
              <w:t xml:space="preserve">(26 weeks) </w:t>
            </w:r>
          </w:p>
        </w:tc>
        <w:tc>
          <w:tcPr>
            <w:tcW w:w="1054" w:type="dxa"/>
          </w:tcPr>
          <w:p w:rsidR="00CC3BA4" w:rsidRPr="00D36FBC" w:rsidRDefault="00E85CDD" w:rsidP="004A42D5">
            <w:pPr>
              <w:pStyle w:val="Tabletext"/>
              <w:rPr>
                <w:rFonts w:cs="Tahoma"/>
              </w:rPr>
            </w:pPr>
            <w:r>
              <w:rPr>
                <w:rFonts w:cs="Tahoma"/>
              </w:rPr>
              <w:t>4</w:t>
            </w:r>
            <w:r w:rsidR="00CC3BA4" w:rsidRPr="00D36FBC">
              <w:rPr>
                <w:rFonts w:cs="Tahoma"/>
              </w:rPr>
              <w:t xml:space="preserve"> RCT</w:t>
            </w:r>
            <w:r>
              <w:rPr>
                <w:rFonts w:cs="Tahoma"/>
              </w:rPr>
              <w:t>s</w:t>
            </w:r>
          </w:p>
        </w:tc>
        <w:tc>
          <w:tcPr>
            <w:tcW w:w="771" w:type="dxa"/>
          </w:tcPr>
          <w:p w:rsidR="00CC3BA4" w:rsidRPr="00D36FBC" w:rsidRDefault="00CC3BA4" w:rsidP="004A42D5">
            <w:pPr>
              <w:pStyle w:val="Tabletext"/>
              <w:rPr>
                <w:rFonts w:cs="Tahoma"/>
              </w:rPr>
            </w:pPr>
            <w:r w:rsidRPr="00D36FBC">
              <w:rPr>
                <w:rFonts w:cs="Tahoma"/>
              </w:rPr>
              <w:t>Not serious</w:t>
            </w:r>
          </w:p>
        </w:tc>
        <w:tc>
          <w:tcPr>
            <w:tcW w:w="1072" w:type="dxa"/>
          </w:tcPr>
          <w:p w:rsidR="00CC3BA4" w:rsidRPr="00D36FBC" w:rsidRDefault="00CC3BA4" w:rsidP="004A42D5">
            <w:pPr>
              <w:pStyle w:val="Tabletext"/>
              <w:rPr>
                <w:rFonts w:cs="Tahoma"/>
              </w:rPr>
            </w:pPr>
            <w:r w:rsidRPr="00D36FBC">
              <w:rPr>
                <w:rFonts w:cs="Tahoma"/>
              </w:rPr>
              <w:t>Not serious</w:t>
            </w:r>
          </w:p>
        </w:tc>
        <w:tc>
          <w:tcPr>
            <w:tcW w:w="992" w:type="dxa"/>
          </w:tcPr>
          <w:p w:rsidR="00CC3BA4" w:rsidRPr="00D36FBC" w:rsidRDefault="00114427" w:rsidP="004A42D5">
            <w:pPr>
              <w:pStyle w:val="Tabletext"/>
              <w:rPr>
                <w:rFonts w:cs="Tahoma"/>
              </w:rPr>
            </w:pPr>
            <w:r>
              <w:rPr>
                <w:rFonts w:cs="Tahoma"/>
              </w:rPr>
              <w:t>S</w:t>
            </w:r>
            <w:r w:rsidR="00CC3BA4" w:rsidRPr="00D36FBC">
              <w:rPr>
                <w:rFonts w:cs="Tahoma"/>
              </w:rPr>
              <w:t>erious</w:t>
            </w:r>
            <w:r>
              <w:rPr>
                <w:rFonts w:cs="Tahoma"/>
              </w:rPr>
              <w:t xml:space="preserve"> </w:t>
            </w:r>
            <w:r w:rsidRPr="00EA3D9F">
              <w:rPr>
                <w:rFonts w:cs="Tahoma"/>
                <w:vertAlign w:val="superscript"/>
              </w:rPr>
              <w:t>d</w:t>
            </w:r>
          </w:p>
        </w:tc>
        <w:tc>
          <w:tcPr>
            <w:tcW w:w="992" w:type="dxa"/>
          </w:tcPr>
          <w:p w:rsidR="00CC3BA4" w:rsidRPr="00B179F1" w:rsidRDefault="00B179F1" w:rsidP="004A42D5">
            <w:pPr>
              <w:pStyle w:val="Tabletext"/>
              <w:rPr>
                <w:rFonts w:cs="Tahoma"/>
                <w:vertAlign w:val="superscript"/>
              </w:rPr>
            </w:pPr>
            <w:r>
              <w:rPr>
                <w:rFonts w:cs="Tahoma"/>
              </w:rPr>
              <w:t>S</w:t>
            </w:r>
            <w:r w:rsidR="00CC3BA4" w:rsidRPr="00D36FBC">
              <w:rPr>
                <w:rFonts w:cs="Tahoma"/>
              </w:rPr>
              <w:t>erious</w:t>
            </w:r>
            <w:r>
              <w:rPr>
                <w:rFonts w:cs="Tahoma"/>
                <w:vertAlign w:val="superscript"/>
              </w:rPr>
              <w:t xml:space="preserve"> e</w:t>
            </w:r>
          </w:p>
        </w:tc>
        <w:tc>
          <w:tcPr>
            <w:tcW w:w="1276" w:type="dxa"/>
          </w:tcPr>
          <w:p w:rsidR="00CC3BA4" w:rsidRPr="00D36FBC" w:rsidRDefault="00CC3BA4" w:rsidP="004A42D5">
            <w:pPr>
              <w:pStyle w:val="Tabletext"/>
              <w:rPr>
                <w:rFonts w:cs="Tahoma"/>
              </w:rPr>
            </w:pPr>
            <w:r w:rsidRPr="00D36FBC">
              <w:rPr>
                <w:rFonts w:cs="Tahoma"/>
              </w:rPr>
              <w:t>None</w:t>
            </w:r>
          </w:p>
        </w:tc>
        <w:tc>
          <w:tcPr>
            <w:tcW w:w="1417" w:type="dxa"/>
          </w:tcPr>
          <w:p w:rsidR="00CC3BA4" w:rsidRPr="00BD743C" w:rsidRDefault="00CC3BA4" w:rsidP="00362678">
            <w:pPr>
              <w:pStyle w:val="Tabletext"/>
            </w:pPr>
            <w:r w:rsidRPr="00BD743C">
              <w:t>581 patients tested</w:t>
            </w:r>
          </w:p>
        </w:tc>
        <w:tc>
          <w:tcPr>
            <w:tcW w:w="1134" w:type="dxa"/>
          </w:tcPr>
          <w:p w:rsidR="00CC3BA4" w:rsidRPr="00BD743C" w:rsidRDefault="00CC3BA4" w:rsidP="00362678">
            <w:pPr>
              <w:pStyle w:val="Tabletext"/>
            </w:pPr>
            <w:r w:rsidRPr="00BD743C">
              <w:rPr>
                <w:rStyle w:val="cell-value"/>
              </w:rPr>
              <w:t>465</w:t>
            </w:r>
            <w:r w:rsidRPr="00BD743C">
              <w:t xml:space="preserve"> patients tested</w:t>
            </w:r>
          </w:p>
        </w:tc>
        <w:tc>
          <w:tcPr>
            <w:tcW w:w="993" w:type="dxa"/>
          </w:tcPr>
          <w:p w:rsidR="00CC3BA4" w:rsidRPr="00BD743C" w:rsidRDefault="00CC3BA4" w:rsidP="00362678">
            <w:pPr>
              <w:pStyle w:val="Tabletext"/>
            </w:pPr>
            <w:r w:rsidRPr="00BD743C">
              <w:t>-</w:t>
            </w:r>
          </w:p>
        </w:tc>
        <w:tc>
          <w:tcPr>
            <w:tcW w:w="2188" w:type="dxa"/>
          </w:tcPr>
          <w:p w:rsidR="00CC3BA4" w:rsidRPr="00BD743C" w:rsidRDefault="00CC3BA4" w:rsidP="001F1FDD">
            <w:pPr>
              <w:pStyle w:val="Tabletext"/>
              <w:rPr>
                <w:rFonts w:cs="Tahoma"/>
              </w:rPr>
            </w:pPr>
            <w:r w:rsidRPr="00BD743C">
              <w:rPr>
                <w:rFonts w:cs="Tahoma"/>
              </w:rPr>
              <w:t>M</w:t>
            </w:r>
            <w:r w:rsidR="000A7CB9" w:rsidRPr="00BD743C">
              <w:rPr>
                <w:rFonts w:cs="Tahoma"/>
              </w:rPr>
              <w:t xml:space="preserve">edian </w:t>
            </w:r>
            <w:r w:rsidR="001F1FDD" w:rsidRPr="00BD743C">
              <w:rPr>
                <w:rFonts w:cs="Tahoma"/>
              </w:rPr>
              <w:t>MD</w:t>
            </w:r>
            <w:r w:rsidRPr="00BD743C">
              <w:rPr>
                <w:rFonts w:cs="Tahoma"/>
              </w:rPr>
              <w:t xml:space="preserve"> 23.8 m further</w:t>
            </w:r>
            <w:r w:rsidRPr="00BD743C">
              <w:rPr>
                <w:rFonts w:cs="Tahoma"/>
              </w:rPr>
              <w:br/>
              <w:t>(range 17.3 m less to 26.3 m further)</w:t>
            </w:r>
          </w:p>
        </w:tc>
        <w:tc>
          <w:tcPr>
            <w:tcW w:w="1214" w:type="dxa"/>
          </w:tcPr>
          <w:p w:rsidR="00CC3BA4" w:rsidRDefault="00B179F1" w:rsidP="004A42D5">
            <w:pPr>
              <w:pStyle w:val="Tabletext"/>
              <w:rPr>
                <w:rFonts w:ascii="Cambria Math" w:eastAsia="Times New Roman" w:hAnsi="Cambria Math" w:cs="Cambria Math"/>
                <w:bCs/>
              </w:rPr>
            </w:pPr>
            <w:r>
              <w:rPr>
                <w:rFonts w:eastAsia="Times New Roman" w:cs="Tahoma"/>
                <w:bCs/>
              </w:rPr>
              <w:t>Low</w:t>
            </w:r>
            <w:r w:rsidR="00CC3BA4">
              <w:rPr>
                <w:rFonts w:eastAsia="Times New Roman" w:cs="Tahoma"/>
                <w:bCs/>
              </w:rPr>
              <w:br/>
            </w:r>
            <w:r w:rsidR="00CC3BA4">
              <w:rPr>
                <w:rFonts w:ascii="Cambria Math" w:eastAsia="Times New Roman" w:hAnsi="Cambria Math" w:cs="Cambria Math"/>
                <w:bCs/>
                <w:color w:val="00B050"/>
              </w:rPr>
              <w:t>⨁⨁</w:t>
            </w:r>
            <w:r w:rsidRPr="00FA1124">
              <w:rPr>
                <w:rFonts w:ascii="Cambria Math" w:hAnsi="Cambria Math" w:cs="Cambria Math"/>
                <w:color w:val="C00000"/>
              </w:rPr>
              <w:t>⨀</w:t>
            </w:r>
            <w:r w:rsidR="00114427" w:rsidRPr="00E564DD">
              <w:rPr>
                <w:rFonts w:ascii="Cambria Math" w:eastAsia="Times New Roman" w:hAnsi="Cambria Math" w:cs="Cambria Math"/>
                <w:bCs/>
                <w:color w:val="C00000"/>
              </w:rPr>
              <w:t>⨀</w:t>
            </w:r>
          </w:p>
          <w:p w:rsidR="00CC3BA4" w:rsidRPr="00D36FBC" w:rsidRDefault="00B14FF5" w:rsidP="004A42D5">
            <w:pPr>
              <w:pStyle w:val="Tabletext"/>
              <w:rPr>
                <w:rFonts w:cs="Tahoma"/>
              </w:rPr>
            </w:pPr>
            <w:r>
              <w:rPr>
                <w:rFonts w:cs="Tahoma"/>
              </w:rPr>
              <w:t>I</w:t>
            </w:r>
            <w:r w:rsidR="00CC3BA4" w:rsidRPr="00E564DD">
              <w:rPr>
                <w:rFonts w:cs="Tahoma"/>
              </w:rPr>
              <w:t>mportant</w:t>
            </w:r>
          </w:p>
        </w:tc>
      </w:tr>
      <w:tr w:rsidR="00CC3BA4" w:rsidRPr="00D36FBC" w:rsidTr="001363C5">
        <w:trPr>
          <w:trHeight w:val="319"/>
        </w:trPr>
        <w:tc>
          <w:tcPr>
            <w:tcW w:w="1493" w:type="dxa"/>
          </w:tcPr>
          <w:p w:rsidR="00CC3BA4" w:rsidRPr="00D36FBC" w:rsidRDefault="00CC3BA4" w:rsidP="004A42D5">
            <w:pPr>
              <w:pStyle w:val="Tabletext"/>
              <w:rPr>
                <w:rFonts w:cs="Tahoma"/>
              </w:rPr>
            </w:pPr>
            <w:r w:rsidRPr="00D36FBC">
              <w:rPr>
                <w:rFonts w:cs="Tahoma"/>
              </w:rPr>
              <w:lastRenderedPageBreak/>
              <w:t xml:space="preserve">Change in QoL from baseline (26 weeks) </w:t>
            </w:r>
          </w:p>
        </w:tc>
        <w:tc>
          <w:tcPr>
            <w:tcW w:w="1054" w:type="dxa"/>
          </w:tcPr>
          <w:p w:rsidR="00CC3BA4" w:rsidRPr="00D36FBC" w:rsidRDefault="00CC3BA4" w:rsidP="004A42D5">
            <w:pPr>
              <w:pStyle w:val="Tabletext"/>
              <w:rPr>
                <w:rFonts w:cs="Tahoma"/>
              </w:rPr>
            </w:pPr>
            <w:r w:rsidRPr="00D36FBC">
              <w:rPr>
                <w:rFonts w:cs="Tahoma"/>
              </w:rPr>
              <w:t>1 RCT</w:t>
            </w:r>
          </w:p>
        </w:tc>
        <w:tc>
          <w:tcPr>
            <w:tcW w:w="771" w:type="dxa"/>
          </w:tcPr>
          <w:p w:rsidR="00CC3BA4" w:rsidRPr="00D36FBC" w:rsidRDefault="00CC3BA4" w:rsidP="004A42D5">
            <w:pPr>
              <w:pStyle w:val="Tabletext"/>
              <w:rPr>
                <w:rFonts w:cs="Tahoma"/>
              </w:rPr>
            </w:pPr>
            <w:r w:rsidRPr="00D36FBC">
              <w:rPr>
                <w:rFonts w:cs="Tahoma"/>
              </w:rPr>
              <w:t>Not serious</w:t>
            </w:r>
          </w:p>
        </w:tc>
        <w:tc>
          <w:tcPr>
            <w:tcW w:w="1072" w:type="dxa"/>
          </w:tcPr>
          <w:p w:rsidR="00CC3BA4" w:rsidRPr="00D36FBC" w:rsidRDefault="00CC3BA4" w:rsidP="004A42D5">
            <w:pPr>
              <w:pStyle w:val="Tabletext"/>
              <w:rPr>
                <w:rFonts w:cs="Tahoma"/>
              </w:rPr>
            </w:pPr>
            <w:r w:rsidRPr="00D36FBC">
              <w:rPr>
                <w:rFonts w:cs="Tahoma"/>
              </w:rPr>
              <w:t>Not serious</w:t>
            </w:r>
          </w:p>
        </w:tc>
        <w:tc>
          <w:tcPr>
            <w:tcW w:w="992" w:type="dxa"/>
          </w:tcPr>
          <w:p w:rsidR="00CC3BA4" w:rsidRPr="00D36FBC" w:rsidRDefault="00CC3BA4" w:rsidP="004A42D5">
            <w:pPr>
              <w:pStyle w:val="Tabletext"/>
              <w:rPr>
                <w:rFonts w:cs="Tahoma"/>
              </w:rPr>
            </w:pPr>
            <w:r w:rsidRPr="00D36FBC">
              <w:rPr>
                <w:rFonts w:cs="Tahoma"/>
              </w:rPr>
              <w:t>Not serious</w:t>
            </w:r>
          </w:p>
        </w:tc>
        <w:tc>
          <w:tcPr>
            <w:tcW w:w="992" w:type="dxa"/>
          </w:tcPr>
          <w:p w:rsidR="00CC3BA4" w:rsidRPr="00D36FBC" w:rsidRDefault="00CC3BA4" w:rsidP="004A42D5">
            <w:pPr>
              <w:pStyle w:val="Tabletext"/>
              <w:rPr>
                <w:rFonts w:cs="Tahoma"/>
              </w:rPr>
            </w:pPr>
            <w:r w:rsidRPr="00D36FBC">
              <w:rPr>
                <w:rFonts w:cs="Tahoma"/>
              </w:rPr>
              <w:t>Not serious</w:t>
            </w:r>
          </w:p>
        </w:tc>
        <w:tc>
          <w:tcPr>
            <w:tcW w:w="1276" w:type="dxa"/>
          </w:tcPr>
          <w:p w:rsidR="00CC3BA4" w:rsidRPr="00D36FBC" w:rsidRDefault="00CC3BA4" w:rsidP="004A42D5">
            <w:pPr>
              <w:pStyle w:val="Tabletext"/>
              <w:rPr>
                <w:rFonts w:cs="Tahoma"/>
              </w:rPr>
            </w:pPr>
            <w:r w:rsidRPr="00D36FBC">
              <w:rPr>
                <w:rFonts w:cs="Tahoma"/>
              </w:rPr>
              <w:t>None</w:t>
            </w:r>
          </w:p>
        </w:tc>
        <w:tc>
          <w:tcPr>
            <w:tcW w:w="1417" w:type="dxa"/>
          </w:tcPr>
          <w:p w:rsidR="00CC3BA4" w:rsidRPr="008B0C36" w:rsidRDefault="00CC3BA4" w:rsidP="00362678">
            <w:pPr>
              <w:pStyle w:val="Tabletext"/>
            </w:pPr>
            <w:r w:rsidRPr="008B0C36">
              <w:t>150 patients tested</w:t>
            </w:r>
          </w:p>
        </w:tc>
        <w:tc>
          <w:tcPr>
            <w:tcW w:w="1134" w:type="dxa"/>
          </w:tcPr>
          <w:p w:rsidR="00CC3BA4" w:rsidRPr="008B0C36" w:rsidRDefault="00CC3BA4" w:rsidP="00362678">
            <w:pPr>
              <w:pStyle w:val="Tabletext"/>
            </w:pPr>
            <w:r w:rsidRPr="008B0C36">
              <w:rPr>
                <w:rStyle w:val="cell-value"/>
              </w:rPr>
              <w:t>149</w:t>
            </w:r>
            <w:r w:rsidRPr="008B0C36">
              <w:t xml:space="preserve"> patients tested</w:t>
            </w:r>
          </w:p>
        </w:tc>
        <w:tc>
          <w:tcPr>
            <w:tcW w:w="993" w:type="dxa"/>
          </w:tcPr>
          <w:p w:rsidR="00CC3BA4" w:rsidRPr="008B0C36" w:rsidRDefault="00CC3BA4" w:rsidP="00362678">
            <w:pPr>
              <w:pStyle w:val="Tabletext"/>
            </w:pPr>
            <w:r w:rsidRPr="008B0C36">
              <w:t>-</w:t>
            </w:r>
          </w:p>
        </w:tc>
        <w:tc>
          <w:tcPr>
            <w:tcW w:w="2188" w:type="dxa"/>
          </w:tcPr>
          <w:p w:rsidR="00CC3BA4" w:rsidRPr="008B0C36" w:rsidRDefault="00CC3BA4" w:rsidP="004A42D5">
            <w:pPr>
              <w:pStyle w:val="Tabletext"/>
              <w:rPr>
                <w:rFonts w:cs="Tahoma"/>
              </w:rPr>
            </w:pPr>
            <w:r w:rsidRPr="008B0C36">
              <w:rPr>
                <w:rFonts w:cs="Tahoma"/>
              </w:rPr>
              <w:t>SF-36</w:t>
            </w:r>
            <w:r w:rsidR="00AD2B3C" w:rsidRPr="008B0C36">
              <w:rPr>
                <w:rFonts w:cs="Tahoma"/>
              </w:rPr>
              <w:t xml:space="preserve"> physical component</w:t>
            </w:r>
            <w:r w:rsidR="00B63B1D" w:rsidRPr="00B63B1D">
              <w:rPr>
                <w:rFonts w:cs="Tahoma"/>
                <w:vertAlign w:val="superscript"/>
              </w:rPr>
              <w:t>f</w:t>
            </w:r>
            <w:r w:rsidRPr="008B0C36">
              <w:rPr>
                <w:rFonts w:cs="Tahoma"/>
              </w:rPr>
              <w:br/>
              <w:t>Median 1.4 points improvement</w:t>
            </w:r>
            <w:r w:rsidRPr="008B0C36">
              <w:rPr>
                <w:rFonts w:cs="Tahoma"/>
              </w:rPr>
              <w:br/>
              <w:t>(0 to 2.9 points)</w:t>
            </w:r>
          </w:p>
        </w:tc>
        <w:tc>
          <w:tcPr>
            <w:tcW w:w="1214" w:type="dxa"/>
          </w:tcPr>
          <w:p w:rsidR="00CC3BA4" w:rsidRPr="005334F8" w:rsidRDefault="00CC3BA4" w:rsidP="004A42D5">
            <w:pPr>
              <w:pStyle w:val="Tabletext"/>
              <w:rPr>
                <w:rFonts w:eastAsia="Times New Roman" w:cs="Tahoma"/>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D36FBC" w:rsidRDefault="00B14FF5" w:rsidP="004A42D5">
            <w:pPr>
              <w:pStyle w:val="Tabletext"/>
              <w:rPr>
                <w:rFonts w:eastAsia="Times New Roman" w:cs="Cambria Math"/>
                <w:bCs/>
                <w:color w:val="00B050"/>
              </w:rPr>
            </w:pPr>
            <w:r>
              <w:rPr>
                <w:rFonts w:eastAsia="Times New Roman" w:cs="Tahoma"/>
                <w:bCs/>
              </w:rPr>
              <w:t>I</w:t>
            </w:r>
            <w:r w:rsidR="00CC3BA4" w:rsidRPr="005334F8">
              <w:rPr>
                <w:rFonts w:eastAsia="Times New Roman" w:cs="Tahoma"/>
                <w:bCs/>
              </w:rPr>
              <w:t>mportant</w:t>
            </w:r>
          </w:p>
        </w:tc>
      </w:tr>
    </w:tbl>
    <w:p w:rsidR="00CC3BA4" w:rsidRPr="00AA018C" w:rsidRDefault="00CC3BA4" w:rsidP="004A42D5">
      <w:pPr>
        <w:pStyle w:val="Tablenote"/>
      </w:pPr>
      <w:r w:rsidRPr="00E564DD">
        <w:rPr>
          <w:vertAlign w:val="superscript"/>
        </w:rPr>
        <w:t xml:space="preserve">a </w:t>
      </w:r>
      <w:r w:rsidRPr="00AA018C">
        <w:t>O</w:t>
      </w:r>
      <w:r>
        <w:t>ther considerations such as publication bias and effect size</w:t>
      </w:r>
    </w:p>
    <w:p w:rsidR="00CC3BA4" w:rsidRDefault="00CC3BA4" w:rsidP="004A42D5">
      <w:pPr>
        <w:pStyle w:val="Tablenote"/>
      </w:pPr>
      <w:r>
        <w:rPr>
          <w:vertAlign w:val="superscript"/>
        </w:rPr>
        <w:t xml:space="preserve">b </w:t>
      </w:r>
      <w:r w:rsidRPr="00E564DD">
        <w:t>GRADE W</w:t>
      </w:r>
      <w:r>
        <w:t>orking Group grades of evidence</w:t>
      </w:r>
      <w:r w:rsidR="001D34EE" w:rsidRPr="001D34EE">
        <w:rPr>
          <w:noProof/>
          <w:vertAlign w:val="superscript"/>
        </w:rPr>
        <w:t>1</w:t>
      </w:r>
    </w:p>
    <w:p w:rsidR="00CC3BA4" w:rsidRDefault="00CC3BA4" w:rsidP="004A42D5">
      <w:pPr>
        <w:pStyle w:val="Tablenote"/>
      </w:pPr>
      <w:r>
        <w:rPr>
          <w:vertAlign w:val="superscript"/>
        </w:rPr>
        <w:t>c</w:t>
      </w:r>
      <w:r>
        <w:t xml:space="preserve"> T</w:t>
      </w:r>
      <w:r w:rsidRPr="00CA02C0">
        <w:t>rials show results trending in opposite directions</w:t>
      </w:r>
    </w:p>
    <w:p w:rsidR="00114427" w:rsidRDefault="00114427" w:rsidP="004A42D5">
      <w:pPr>
        <w:pStyle w:val="Tablenote"/>
      </w:pPr>
      <w:r>
        <w:rPr>
          <w:vertAlign w:val="superscript"/>
        </w:rPr>
        <w:t xml:space="preserve">d </w:t>
      </w:r>
      <w:r>
        <w:t>Surrogate outcome</w:t>
      </w:r>
    </w:p>
    <w:p w:rsidR="00B179F1" w:rsidRDefault="00B179F1" w:rsidP="004A42D5">
      <w:pPr>
        <w:pStyle w:val="Tablenote"/>
      </w:pPr>
      <w:r>
        <w:rPr>
          <w:vertAlign w:val="superscript"/>
        </w:rPr>
        <w:t xml:space="preserve">e </w:t>
      </w:r>
      <w:r>
        <w:t>Wide range</w:t>
      </w:r>
    </w:p>
    <w:p w:rsidR="00B63B1D" w:rsidRDefault="00B63B1D" w:rsidP="00B63B1D">
      <w:pPr>
        <w:pStyle w:val="Tablenote"/>
      </w:pPr>
      <w:r>
        <w:rPr>
          <w:vertAlign w:val="superscript"/>
        </w:rPr>
        <w:t>f</w:t>
      </w:r>
      <w:r>
        <w:t xml:space="preserve"> </w:t>
      </w:r>
      <w:r w:rsidRPr="00384D2C">
        <w:t xml:space="preserve">SF-36 </w:t>
      </w:r>
      <w:r>
        <w:t xml:space="preserve">physical component summary scores range from 0 to 100. A higher </w:t>
      </w:r>
      <w:r w:rsidRPr="00384D2C">
        <w:t xml:space="preserve">score </w:t>
      </w:r>
      <w:r>
        <w:t>indicates</w:t>
      </w:r>
      <w:r w:rsidRPr="00384D2C">
        <w:t xml:space="preserve"> better QoL. </w:t>
      </w:r>
    </w:p>
    <w:p w:rsidR="00CC3BA4" w:rsidRPr="00E564DD" w:rsidRDefault="00CC3BA4" w:rsidP="004A42D5">
      <w:pPr>
        <w:pStyle w:val="Tablenote"/>
      </w:pPr>
      <w:r w:rsidRPr="00E564DD">
        <w:rPr>
          <w:rFonts w:ascii="Cambria Math" w:hAnsi="Cambria Math" w:cs="Cambria Math"/>
          <w:color w:val="00B050"/>
        </w:rPr>
        <w:t>⨁⨁⨁⨁</w:t>
      </w:r>
      <w:r w:rsidRPr="00E564DD">
        <w:rPr>
          <w:color w:val="00B050"/>
        </w:rPr>
        <w:t xml:space="preserve"> </w:t>
      </w:r>
      <w:r w:rsidRPr="00E564DD">
        <w:rPr>
          <w:b/>
        </w:rPr>
        <w:t>High quality:</w:t>
      </w:r>
      <w:r w:rsidRPr="00E564DD">
        <w:t xml:space="preserve"> We are very confident that the true effect lies close to that of the estimate of effect</w:t>
      </w:r>
    </w:p>
    <w:p w:rsidR="00CC3BA4" w:rsidRPr="00E564DD" w:rsidRDefault="00CC3BA4" w:rsidP="004A42D5">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B179F1" w:rsidRPr="00E564DD" w:rsidRDefault="00B179F1" w:rsidP="00B179F1">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Low quality:</w:t>
      </w:r>
      <w:r w:rsidRPr="00E564DD">
        <w:t xml:space="preserve"> Our confidence in the effect estimate is limited: The true effect may be substantially different from the estimate of the effect</w:t>
      </w:r>
    </w:p>
    <w:p w:rsidR="00BD489D" w:rsidRDefault="00CC3BA4" w:rsidP="004A42D5">
      <w:pPr>
        <w:pStyle w:val="Tablenote"/>
      </w:pPr>
      <w:r>
        <w:t xml:space="preserve">6MWD = 6-minute </w:t>
      </w:r>
      <w:r w:rsidR="0082368E">
        <w:t>walk distance</w:t>
      </w:r>
      <w:r>
        <w: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BD489D" w:rsidRPr="00F24B06">
        <w:t xml:space="preserve">; </w:t>
      </w:r>
      <w:r>
        <w:t xml:space="preserve">MD = mean difference; </w:t>
      </w:r>
      <w:r w:rsidRPr="00C65B42">
        <w:t xml:space="preserve">PAH = pulmonary arterial hypertension; </w:t>
      </w:r>
      <w:r w:rsidRPr="009B5AB3">
        <w:t>PDE-5</w:t>
      </w:r>
      <w:r w:rsidR="00BD489D">
        <w:t>i</w:t>
      </w:r>
      <w:r w:rsidRPr="009B5AB3">
        <w:t xml:space="preserve"> = phosphodiesterase type-5</w:t>
      </w:r>
      <w:r w:rsidR="00BD489D">
        <w:t xml:space="preserve"> inhibitor</w:t>
      </w:r>
      <w:r>
        <w:t>;</w:t>
      </w:r>
      <w:r w:rsidRPr="009B5AB3">
        <w:t xml:space="preserve"> </w:t>
      </w:r>
      <w:r>
        <w:t>QoL = quality of life; RCT = randomised controlled trial; RR = relative risk; SF-36 = short form 36; WHO = World Health Organization</w:t>
      </w:r>
    </w:p>
    <w:p w:rsidR="00CC3BA4" w:rsidRPr="005D4CA0" w:rsidRDefault="00796F18" w:rsidP="00BC5A2B">
      <w:pPr>
        <w:pStyle w:val="Caption"/>
      </w:pPr>
      <w:bookmarkStart w:id="507" w:name="_Toc512855554"/>
      <w:r>
        <w:t>Table 4.</w:t>
      </w:r>
      <w:r w:rsidR="00AA722D">
        <w:rPr>
          <w:noProof/>
        </w:rPr>
        <w:t>150</w:t>
      </w:r>
      <w:r>
        <w:tab/>
      </w:r>
      <w:r w:rsidR="00CC3BA4" w:rsidRPr="005D4CA0">
        <w:t xml:space="preserve">Evidence profile table for </w:t>
      </w:r>
      <w:r w:rsidR="00CC3BA4">
        <w:t xml:space="preserve">effectiveness of </w:t>
      </w:r>
      <w:r w:rsidR="00CC3BA4" w:rsidRPr="005D4CA0">
        <w:t xml:space="preserve">ERA </w:t>
      </w:r>
      <w:r w:rsidR="00AD2B3C">
        <w:t>plus</w:t>
      </w:r>
      <w:r w:rsidR="00CC3BA4">
        <w:t xml:space="preserve"> PDE-5 inhibitor combination therapy </w:t>
      </w:r>
      <w:r w:rsidR="00CC3BA4" w:rsidRPr="005D4CA0">
        <w:t xml:space="preserve">compared to </w:t>
      </w:r>
      <w:r w:rsidR="00CC3BA4">
        <w:t>PDE-5 inhibitor</w:t>
      </w:r>
      <w:r w:rsidR="00CC3BA4" w:rsidRPr="005D4CA0">
        <w:t xml:space="preserve"> </w:t>
      </w:r>
      <w:r w:rsidR="00CC3BA4">
        <w:t xml:space="preserve">monotherapy </w:t>
      </w:r>
      <w:r w:rsidR="00CC3BA4" w:rsidRPr="005D4CA0">
        <w:t xml:space="preserve">for </w:t>
      </w:r>
      <w:r w:rsidR="00CC3BA4">
        <w:t>patients with WHO FC III/IV PAH</w:t>
      </w:r>
      <w:bookmarkEnd w:id="507"/>
    </w:p>
    <w:tbl>
      <w:tblPr>
        <w:tblStyle w:val="TableGrid"/>
        <w:tblW w:w="14596" w:type="dxa"/>
        <w:tblLayout w:type="fixed"/>
        <w:tblLook w:val="04A0" w:firstRow="1" w:lastRow="0" w:firstColumn="1" w:lastColumn="0" w:noHBand="0" w:noVBand="1"/>
        <w:tblCaption w:val="Evidence profile table for effectiveness of ERA plus PDE-5 inhibitor combination therapy compared to PDE-5 inhibitor monotherapy for patients with WHO FC III/IV PAH"/>
      </w:tblPr>
      <w:tblGrid>
        <w:gridCol w:w="1493"/>
        <w:gridCol w:w="1054"/>
        <w:gridCol w:w="771"/>
        <w:gridCol w:w="1072"/>
        <w:gridCol w:w="992"/>
        <w:gridCol w:w="992"/>
        <w:gridCol w:w="1276"/>
        <w:gridCol w:w="1417"/>
        <w:gridCol w:w="1134"/>
        <w:gridCol w:w="993"/>
        <w:gridCol w:w="2188"/>
        <w:gridCol w:w="1214"/>
      </w:tblGrid>
      <w:tr w:rsidR="00F13836" w:rsidRPr="004A42D5" w:rsidTr="001363C5">
        <w:trPr>
          <w:cnfStyle w:val="100000000000" w:firstRow="1" w:lastRow="0" w:firstColumn="0" w:lastColumn="0" w:oddVBand="0" w:evenVBand="0" w:oddHBand="0" w:evenHBand="0" w:firstRowFirstColumn="0" w:firstRowLastColumn="0" w:lastRowFirstColumn="0" w:lastRowLastColumn="0"/>
          <w:trHeight w:val="450"/>
        </w:trPr>
        <w:tc>
          <w:tcPr>
            <w:tcW w:w="1493" w:type="dxa"/>
          </w:tcPr>
          <w:p w:rsidR="00476F09" w:rsidRPr="004A42D5" w:rsidRDefault="00476F09" w:rsidP="004A42D5">
            <w:pPr>
              <w:pStyle w:val="Tabletext"/>
              <w:rPr>
                <w:b/>
              </w:rPr>
            </w:pPr>
            <w:r w:rsidRPr="004A42D5">
              <w:rPr>
                <w:b/>
              </w:rPr>
              <w:t>Outcome (follow-up)</w:t>
            </w:r>
          </w:p>
        </w:tc>
        <w:tc>
          <w:tcPr>
            <w:tcW w:w="1054" w:type="dxa"/>
          </w:tcPr>
          <w:p w:rsidR="00476F09" w:rsidRPr="004A42D5" w:rsidRDefault="00476F09" w:rsidP="004A42D5">
            <w:pPr>
              <w:pStyle w:val="Tabletext"/>
              <w:rPr>
                <w:b/>
              </w:rPr>
            </w:pPr>
            <w:r w:rsidRPr="004A42D5">
              <w:rPr>
                <w:b/>
              </w:rPr>
              <w:t>No. of studies and study design</w:t>
            </w:r>
          </w:p>
        </w:tc>
        <w:tc>
          <w:tcPr>
            <w:tcW w:w="771" w:type="dxa"/>
          </w:tcPr>
          <w:p w:rsidR="00476F09" w:rsidRPr="004A42D5" w:rsidRDefault="00476F09" w:rsidP="004A42D5">
            <w:pPr>
              <w:pStyle w:val="Tabletext"/>
              <w:rPr>
                <w:b/>
              </w:rPr>
            </w:pPr>
            <w:r w:rsidRPr="004A42D5">
              <w:rPr>
                <w:b/>
              </w:rPr>
              <w:t>Risk of bias</w:t>
            </w:r>
          </w:p>
        </w:tc>
        <w:tc>
          <w:tcPr>
            <w:tcW w:w="1072" w:type="dxa"/>
          </w:tcPr>
          <w:p w:rsidR="00476F09" w:rsidRPr="004A42D5" w:rsidRDefault="00476F09" w:rsidP="004A42D5">
            <w:pPr>
              <w:pStyle w:val="Tabletext"/>
              <w:rPr>
                <w:b/>
              </w:rPr>
            </w:pPr>
            <w:r w:rsidRPr="004A42D5">
              <w:rPr>
                <w:b/>
              </w:rPr>
              <w:t>Incon</w:t>
            </w:r>
            <w:r w:rsidR="001363C5">
              <w:rPr>
                <w:b/>
              </w:rPr>
              <w:t>-</w:t>
            </w:r>
            <w:r w:rsidRPr="004A42D5">
              <w:rPr>
                <w:b/>
              </w:rPr>
              <w:t>sistency</w:t>
            </w:r>
          </w:p>
        </w:tc>
        <w:tc>
          <w:tcPr>
            <w:tcW w:w="992" w:type="dxa"/>
          </w:tcPr>
          <w:p w:rsidR="00476F09" w:rsidRPr="004A42D5" w:rsidRDefault="00476F09" w:rsidP="004A42D5">
            <w:pPr>
              <w:pStyle w:val="Tabletext"/>
              <w:rPr>
                <w:b/>
              </w:rPr>
            </w:pPr>
            <w:r w:rsidRPr="004A42D5">
              <w:rPr>
                <w:b/>
              </w:rPr>
              <w:t>Indirect</w:t>
            </w:r>
            <w:r w:rsidR="001363C5">
              <w:rPr>
                <w:b/>
              </w:rPr>
              <w:t>-</w:t>
            </w:r>
            <w:r w:rsidRPr="004A42D5">
              <w:rPr>
                <w:b/>
              </w:rPr>
              <w:t>ness</w:t>
            </w:r>
          </w:p>
        </w:tc>
        <w:tc>
          <w:tcPr>
            <w:tcW w:w="992" w:type="dxa"/>
          </w:tcPr>
          <w:p w:rsidR="00476F09" w:rsidRPr="004A42D5" w:rsidRDefault="00476F09" w:rsidP="004A42D5">
            <w:pPr>
              <w:pStyle w:val="Tabletext"/>
              <w:rPr>
                <w:b/>
              </w:rPr>
            </w:pPr>
            <w:r w:rsidRPr="004A42D5">
              <w:rPr>
                <w:b/>
              </w:rPr>
              <w:t>Impre</w:t>
            </w:r>
            <w:r w:rsidR="001363C5">
              <w:rPr>
                <w:b/>
              </w:rPr>
              <w:t>-</w:t>
            </w:r>
            <w:r w:rsidRPr="004A42D5">
              <w:rPr>
                <w:b/>
              </w:rPr>
              <w:t>cision</w:t>
            </w:r>
          </w:p>
        </w:tc>
        <w:tc>
          <w:tcPr>
            <w:tcW w:w="1276" w:type="dxa"/>
          </w:tcPr>
          <w:p w:rsidR="00476F09" w:rsidRPr="004A42D5" w:rsidRDefault="00476F09" w:rsidP="004A42D5">
            <w:pPr>
              <w:pStyle w:val="Tabletext"/>
              <w:rPr>
                <w:b/>
              </w:rPr>
            </w:pPr>
            <w:r w:rsidRPr="004A42D5">
              <w:rPr>
                <w:b/>
              </w:rPr>
              <w:t>Other conside</w:t>
            </w:r>
            <w:r w:rsidR="001363C5">
              <w:rPr>
                <w:b/>
              </w:rPr>
              <w:t>-</w:t>
            </w:r>
            <w:r w:rsidRPr="004A42D5">
              <w:rPr>
                <w:b/>
              </w:rPr>
              <w:t>rations</w:t>
            </w:r>
            <w:r w:rsidRPr="004A42D5">
              <w:rPr>
                <w:b/>
                <w:vertAlign w:val="superscript"/>
              </w:rPr>
              <w:t>a</w:t>
            </w:r>
          </w:p>
        </w:tc>
        <w:tc>
          <w:tcPr>
            <w:tcW w:w="1417" w:type="dxa"/>
          </w:tcPr>
          <w:p w:rsidR="00476F09" w:rsidRPr="004A42D5" w:rsidRDefault="00476F09" w:rsidP="004A42D5">
            <w:pPr>
              <w:pStyle w:val="Tabletext"/>
              <w:rPr>
                <w:b/>
              </w:rPr>
            </w:pPr>
            <w:r w:rsidRPr="004A42D5">
              <w:rPr>
                <w:b/>
              </w:rPr>
              <w:t>Study event rates (%) with ERA + PDE-5i</w:t>
            </w:r>
          </w:p>
        </w:tc>
        <w:tc>
          <w:tcPr>
            <w:tcW w:w="1134" w:type="dxa"/>
          </w:tcPr>
          <w:p w:rsidR="00476F09" w:rsidRPr="004A42D5" w:rsidRDefault="00476F09" w:rsidP="004A42D5">
            <w:pPr>
              <w:pStyle w:val="Tabletext"/>
              <w:rPr>
                <w:b/>
              </w:rPr>
            </w:pPr>
            <w:r w:rsidRPr="004A42D5">
              <w:rPr>
                <w:b/>
              </w:rPr>
              <w:t>Study event rates (%) with PDE-5i</w:t>
            </w:r>
          </w:p>
        </w:tc>
        <w:tc>
          <w:tcPr>
            <w:tcW w:w="993" w:type="dxa"/>
          </w:tcPr>
          <w:p w:rsidR="00476F09" w:rsidRPr="004A42D5" w:rsidRDefault="00476F09" w:rsidP="004A42D5">
            <w:pPr>
              <w:pStyle w:val="Tabletext"/>
              <w:rPr>
                <w:b/>
              </w:rPr>
            </w:pPr>
            <w:r w:rsidRPr="004A42D5">
              <w:rPr>
                <w:b/>
              </w:rPr>
              <w:t>Effect measure (95%CI)</w:t>
            </w:r>
          </w:p>
        </w:tc>
        <w:tc>
          <w:tcPr>
            <w:tcW w:w="2188" w:type="dxa"/>
          </w:tcPr>
          <w:p w:rsidR="00476F09" w:rsidRPr="004A42D5" w:rsidRDefault="00476F09" w:rsidP="004A42D5">
            <w:pPr>
              <w:pStyle w:val="Tabletext"/>
              <w:rPr>
                <w:b/>
              </w:rPr>
            </w:pPr>
            <w:r w:rsidRPr="004A42D5">
              <w:rPr>
                <w:b/>
              </w:rPr>
              <w:t>Absolute effect (95%CI)</w:t>
            </w:r>
          </w:p>
        </w:tc>
        <w:tc>
          <w:tcPr>
            <w:tcW w:w="1214" w:type="dxa"/>
          </w:tcPr>
          <w:p w:rsidR="00BD489D" w:rsidRDefault="00BD489D" w:rsidP="004A42D5">
            <w:pPr>
              <w:pStyle w:val="Tabletext"/>
              <w:rPr>
                <w:b/>
              </w:rPr>
            </w:pPr>
            <w:r>
              <w:rPr>
                <w:b/>
              </w:rPr>
              <w:t>GRADE</w:t>
            </w:r>
            <w:r w:rsidRPr="00BD489D">
              <w:rPr>
                <w:b/>
                <w:vertAlign w:val="superscript"/>
              </w:rPr>
              <w:t>b</w:t>
            </w:r>
          </w:p>
          <w:p w:rsidR="00476F09" w:rsidRPr="004A42D5" w:rsidRDefault="00476F09" w:rsidP="004A42D5">
            <w:pPr>
              <w:pStyle w:val="Tabletext"/>
              <w:rPr>
                <w:b/>
                <w:vertAlign w:val="superscript"/>
              </w:rPr>
            </w:pPr>
            <w:r w:rsidRPr="004A42D5">
              <w:rPr>
                <w:b/>
              </w:rPr>
              <w:t>Quality</w:t>
            </w:r>
          </w:p>
          <w:p w:rsidR="00476F09" w:rsidRPr="004A42D5" w:rsidRDefault="00476F09" w:rsidP="004A42D5">
            <w:pPr>
              <w:pStyle w:val="Tabletext"/>
              <w:rPr>
                <w:b/>
              </w:rPr>
            </w:pPr>
            <w:r w:rsidRPr="004A42D5">
              <w:rPr>
                <w:b/>
              </w:rPr>
              <w:t>Importance</w:t>
            </w:r>
          </w:p>
        </w:tc>
      </w:tr>
      <w:tr w:rsidR="00CC3BA4" w:rsidRPr="00D36FBC" w:rsidTr="001363C5">
        <w:trPr>
          <w:trHeight w:val="319"/>
        </w:trPr>
        <w:tc>
          <w:tcPr>
            <w:tcW w:w="1493" w:type="dxa"/>
          </w:tcPr>
          <w:p w:rsidR="00CC3BA4" w:rsidRPr="00D36FBC" w:rsidRDefault="00CC3BA4" w:rsidP="000801F8">
            <w:pPr>
              <w:pStyle w:val="Tabletext"/>
              <w:rPr>
                <w:rFonts w:cs="Tahoma"/>
              </w:rPr>
            </w:pPr>
            <w:r w:rsidRPr="00D36FBC">
              <w:rPr>
                <w:rFonts w:cs="Tahoma"/>
              </w:rPr>
              <w:t>Clinical worsening</w:t>
            </w:r>
            <w:r>
              <w:rPr>
                <w:rFonts w:cs="Tahoma"/>
              </w:rPr>
              <w:br/>
            </w:r>
            <w:r w:rsidRPr="00D36FBC">
              <w:rPr>
                <w:rFonts w:cs="Tahoma"/>
              </w:rPr>
              <w:t>(</w:t>
            </w:r>
            <w:r>
              <w:rPr>
                <w:rFonts w:cs="Tahoma"/>
              </w:rPr>
              <w:t>104</w:t>
            </w:r>
            <w:r w:rsidRPr="00D36FBC">
              <w:rPr>
                <w:rFonts w:cs="Tahoma"/>
              </w:rPr>
              <w:t>–1</w:t>
            </w:r>
            <w:r w:rsidR="000801F8">
              <w:rPr>
                <w:rFonts w:cs="Tahoma"/>
              </w:rPr>
              <w:t>69</w:t>
            </w:r>
            <w:r w:rsidRPr="00D36FBC">
              <w:rPr>
                <w:rFonts w:cs="Tahoma"/>
              </w:rPr>
              <w:t xml:space="preserve"> weeks)</w:t>
            </w:r>
          </w:p>
        </w:tc>
        <w:tc>
          <w:tcPr>
            <w:tcW w:w="1054" w:type="dxa"/>
          </w:tcPr>
          <w:p w:rsidR="00CC3BA4" w:rsidRPr="00D36FBC" w:rsidRDefault="00CC3BA4" w:rsidP="004A42D5">
            <w:pPr>
              <w:pStyle w:val="Tabletext"/>
              <w:rPr>
                <w:rFonts w:cs="Tahoma"/>
              </w:rPr>
            </w:pPr>
            <w:r>
              <w:rPr>
                <w:rFonts w:cs="Tahoma"/>
              </w:rPr>
              <w:t>2</w:t>
            </w:r>
            <w:r w:rsidRPr="00D36FBC">
              <w:rPr>
                <w:rFonts w:cs="Tahoma"/>
              </w:rPr>
              <w:t xml:space="preserve"> RCTs</w:t>
            </w:r>
          </w:p>
        </w:tc>
        <w:tc>
          <w:tcPr>
            <w:tcW w:w="771" w:type="dxa"/>
          </w:tcPr>
          <w:p w:rsidR="00CC3BA4" w:rsidRPr="00D36FBC" w:rsidRDefault="00CC3BA4" w:rsidP="004A42D5">
            <w:pPr>
              <w:pStyle w:val="Tabletext"/>
              <w:rPr>
                <w:rFonts w:cs="Tahoma"/>
              </w:rPr>
            </w:pPr>
            <w:r w:rsidRPr="00D36FBC">
              <w:rPr>
                <w:rFonts w:cs="Tahoma"/>
              </w:rPr>
              <w:t>Not serious</w:t>
            </w:r>
          </w:p>
        </w:tc>
        <w:tc>
          <w:tcPr>
            <w:tcW w:w="1072" w:type="dxa"/>
          </w:tcPr>
          <w:p w:rsidR="00CC3BA4" w:rsidRPr="00D36FBC" w:rsidRDefault="00CC3BA4" w:rsidP="004A42D5">
            <w:pPr>
              <w:pStyle w:val="Tabletext"/>
              <w:rPr>
                <w:rFonts w:cs="Tahoma"/>
              </w:rPr>
            </w:pPr>
            <w:r w:rsidRPr="00D36FBC">
              <w:rPr>
                <w:rFonts w:cs="Tahoma"/>
              </w:rPr>
              <w:t>Not serious</w:t>
            </w:r>
          </w:p>
        </w:tc>
        <w:tc>
          <w:tcPr>
            <w:tcW w:w="992" w:type="dxa"/>
          </w:tcPr>
          <w:p w:rsidR="00CC3BA4" w:rsidRPr="00D36FBC" w:rsidRDefault="00CC3BA4" w:rsidP="004A42D5">
            <w:pPr>
              <w:pStyle w:val="Tabletext"/>
              <w:rPr>
                <w:rFonts w:cs="Tahoma"/>
              </w:rPr>
            </w:pPr>
            <w:r w:rsidRPr="00D36FBC">
              <w:rPr>
                <w:rFonts w:cs="Tahoma"/>
              </w:rPr>
              <w:t>Not serious</w:t>
            </w:r>
          </w:p>
        </w:tc>
        <w:tc>
          <w:tcPr>
            <w:tcW w:w="992" w:type="dxa"/>
          </w:tcPr>
          <w:p w:rsidR="00CC3BA4" w:rsidRPr="00D36FBC" w:rsidRDefault="00CC3BA4" w:rsidP="004A42D5">
            <w:pPr>
              <w:pStyle w:val="Tabletext"/>
              <w:rPr>
                <w:rFonts w:cs="Tahoma"/>
              </w:rPr>
            </w:pPr>
            <w:r w:rsidRPr="00D36FBC">
              <w:rPr>
                <w:rFonts w:cs="Tahoma"/>
              </w:rPr>
              <w:t>Not serious</w:t>
            </w:r>
          </w:p>
        </w:tc>
        <w:tc>
          <w:tcPr>
            <w:tcW w:w="1276" w:type="dxa"/>
          </w:tcPr>
          <w:p w:rsidR="00CC3BA4" w:rsidRPr="00D36FBC" w:rsidRDefault="00CC3BA4" w:rsidP="004A42D5">
            <w:pPr>
              <w:pStyle w:val="Tabletext"/>
              <w:rPr>
                <w:rFonts w:cs="Tahoma"/>
              </w:rPr>
            </w:pPr>
            <w:r w:rsidRPr="00D36FBC">
              <w:rPr>
                <w:rFonts w:cs="Tahoma"/>
              </w:rPr>
              <w:t>Strong association</w:t>
            </w:r>
          </w:p>
        </w:tc>
        <w:tc>
          <w:tcPr>
            <w:tcW w:w="1417" w:type="dxa"/>
          </w:tcPr>
          <w:p w:rsidR="00CC3BA4" w:rsidRPr="00A17B9D" w:rsidRDefault="00A17B9D" w:rsidP="004A42D5">
            <w:pPr>
              <w:pStyle w:val="Tabletext"/>
              <w:rPr>
                <w:rFonts w:cs="Tahoma"/>
                <w:highlight w:val="black"/>
              </w:rPr>
            </w:pPr>
            <w:r>
              <w:rPr>
                <w:noProof/>
                <w:color w:val="000000"/>
                <w:highlight w:val="black"/>
              </w:rPr>
              <w:t>''''''''''''''''''' ''''''''''''''''''''</w:t>
            </w:r>
          </w:p>
        </w:tc>
        <w:tc>
          <w:tcPr>
            <w:tcW w:w="1134" w:type="dxa"/>
          </w:tcPr>
          <w:p w:rsidR="00CC3BA4" w:rsidRPr="00A17B9D" w:rsidRDefault="00A17B9D" w:rsidP="004A42D5">
            <w:pPr>
              <w:pStyle w:val="Tabletext"/>
              <w:rPr>
                <w:rFonts w:cs="Tahoma"/>
                <w:highlight w:val="black"/>
              </w:rPr>
            </w:pPr>
            <w:r>
              <w:rPr>
                <w:noProof/>
                <w:color w:val="000000"/>
                <w:highlight w:val="black"/>
              </w:rPr>
              <w:t>''''''''''''''''''' '''''''''''''''''''</w:t>
            </w:r>
          </w:p>
        </w:tc>
        <w:tc>
          <w:tcPr>
            <w:tcW w:w="993" w:type="dxa"/>
          </w:tcPr>
          <w:p w:rsidR="00CC3BA4" w:rsidRPr="00A17B9D" w:rsidRDefault="00A17B9D" w:rsidP="004A42D5">
            <w:pPr>
              <w:pStyle w:val="Tabletext"/>
              <w:rPr>
                <w:rFonts w:cs="Tahoma"/>
                <w:highlight w:val="black"/>
              </w:rPr>
            </w:pPr>
            <w:r>
              <w:rPr>
                <w:noProof/>
                <w:color w:val="000000"/>
                <w:highlight w:val="black"/>
              </w:rPr>
              <w:t>''''''''' ''' ''''''''''' ''''''''''''''' ''''''''''''</w:t>
            </w:r>
          </w:p>
        </w:tc>
        <w:tc>
          <w:tcPr>
            <w:tcW w:w="2188" w:type="dxa"/>
          </w:tcPr>
          <w:p w:rsidR="00CC3BA4" w:rsidRPr="00A17B9D" w:rsidRDefault="00A17B9D" w:rsidP="004A42D5">
            <w:pPr>
              <w:pStyle w:val="Tabletext"/>
              <w:rPr>
                <w:rFonts w:cs="Tahoma"/>
                <w:highlight w:val="black"/>
              </w:rPr>
            </w:pPr>
            <w:r>
              <w:rPr>
                <w:noProof/>
                <w:color w:val="000000"/>
                <w:highlight w:val="black"/>
              </w:rPr>
              <w:t>'''''''' '''''''''''''' ''''''''' ''''''''''''''</w:t>
            </w:r>
            <w:r>
              <w:rPr>
                <w:noProof/>
                <w:color w:val="000000"/>
                <w:highlight w:val="black"/>
              </w:rPr>
              <w:br/>
              <w:t>'''''''''''''' '''' ''''''''''''' ''''' ''''''''' ''''''''''''''</w:t>
            </w:r>
          </w:p>
        </w:tc>
        <w:tc>
          <w:tcPr>
            <w:tcW w:w="1214" w:type="dxa"/>
          </w:tcPr>
          <w:p w:rsidR="00CC3BA4" w:rsidRDefault="00CC3BA4" w:rsidP="004A42D5">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D36FBC" w:rsidRDefault="00CC3BA4" w:rsidP="004A42D5">
            <w:pPr>
              <w:pStyle w:val="Tabletext"/>
              <w:rPr>
                <w:rFonts w:cs="Tahoma"/>
              </w:rPr>
            </w:pPr>
            <w:r w:rsidRPr="00E564DD">
              <w:rPr>
                <w:rFonts w:cs="Tahoma"/>
              </w:rPr>
              <w:t>Critical</w:t>
            </w:r>
          </w:p>
        </w:tc>
      </w:tr>
      <w:tr w:rsidR="00CC3BA4" w:rsidRPr="00D36FBC" w:rsidTr="001363C5">
        <w:trPr>
          <w:trHeight w:val="319"/>
        </w:trPr>
        <w:tc>
          <w:tcPr>
            <w:tcW w:w="1493" w:type="dxa"/>
          </w:tcPr>
          <w:p w:rsidR="00CC3BA4" w:rsidRPr="00D36FBC" w:rsidRDefault="00CC3BA4" w:rsidP="004A42D5">
            <w:pPr>
              <w:pStyle w:val="Tabletext"/>
              <w:rPr>
                <w:rFonts w:cs="Tahoma"/>
              </w:rPr>
            </w:pPr>
            <w:r w:rsidRPr="00D36FBC">
              <w:rPr>
                <w:rFonts w:cs="Tahoma"/>
              </w:rPr>
              <w:t>Mortality</w:t>
            </w:r>
            <w:r>
              <w:rPr>
                <w:rFonts w:cs="Tahoma"/>
              </w:rPr>
              <w:br/>
            </w:r>
            <w:r w:rsidRPr="00D36FBC">
              <w:rPr>
                <w:rFonts w:cs="Tahoma"/>
              </w:rPr>
              <w:t>(</w:t>
            </w:r>
            <w:r>
              <w:rPr>
                <w:rFonts w:cs="Tahoma"/>
              </w:rPr>
              <w:t>1</w:t>
            </w:r>
            <w:r w:rsidRPr="00D36FBC">
              <w:rPr>
                <w:rFonts w:cs="Tahoma"/>
              </w:rPr>
              <w:t>2</w:t>
            </w:r>
            <w:r>
              <w:rPr>
                <w:rFonts w:cs="Tahoma"/>
              </w:rPr>
              <w:t>9</w:t>
            </w:r>
            <w:r w:rsidRPr="00D36FBC">
              <w:rPr>
                <w:rFonts w:cs="Tahoma"/>
              </w:rPr>
              <w:t xml:space="preserve"> weeks)</w:t>
            </w:r>
          </w:p>
        </w:tc>
        <w:tc>
          <w:tcPr>
            <w:tcW w:w="1054" w:type="dxa"/>
          </w:tcPr>
          <w:p w:rsidR="00CC3BA4" w:rsidRPr="00D36FBC" w:rsidRDefault="00CC3BA4" w:rsidP="004A42D5">
            <w:pPr>
              <w:pStyle w:val="Tabletext"/>
              <w:rPr>
                <w:rFonts w:cs="Tahoma"/>
              </w:rPr>
            </w:pPr>
            <w:r>
              <w:rPr>
                <w:rFonts w:cs="Tahoma"/>
              </w:rPr>
              <w:t>1</w:t>
            </w:r>
            <w:r w:rsidRPr="00D36FBC">
              <w:rPr>
                <w:rFonts w:cs="Tahoma"/>
              </w:rPr>
              <w:t xml:space="preserve"> RCT</w:t>
            </w:r>
          </w:p>
        </w:tc>
        <w:tc>
          <w:tcPr>
            <w:tcW w:w="771" w:type="dxa"/>
          </w:tcPr>
          <w:p w:rsidR="00CC3BA4" w:rsidRPr="00D36FBC" w:rsidRDefault="00CC3BA4" w:rsidP="004A42D5">
            <w:pPr>
              <w:pStyle w:val="Tabletext"/>
              <w:rPr>
                <w:rFonts w:cs="Tahoma"/>
              </w:rPr>
            </w:pPr>
            <w:r w:rsidRPr="00D36FBC">
              <w:rPr>
                <w:rFonts w:cs="Tahoma"/>
              </w:rPr>
              <w:t>Not serious</w:t>
            </w:r>
          </w:p>
        </w:tc>
        <w:tc>
          <w:tcPr>
            <w:tcW w:w="1072" w:type="dxa"/>
          </w:tcPr>
          <w:p w:rsidR="00CC3BA4" w:rsidRPr="00D36FBC" w:rsidRDefault="00CC3BA4" w:rsidP="004A42D5">
            <w:pPr>
              <w:pStyle w:val="Tabletext"/>
              <w:rPr>
                <w:rFonts w:cs="Tahoma"/>
              </w:rPr>
            </w:pPr>
            <w:r w:rsidRPr="00D36FBC">
              <w:rPr>
                <w:rFonts w:cs="Tahoma"/>
              </w:rPr>
              <w:t>Not serious</w:t>
            </w:r>
          </w:p>
        </w:tc>
        <w:tc>
          <w:tcPr>
            <w:tcW w:w="992" w:type="dxa"/>
          </w:tcPr>
          <w:p w:rsidR="00CC3BA4" w:rsidRPr="00D36FBC" w:rsidRDefault="00CC3BA4" w:rsidP="004A42D5">
            <w:pPr>
              <w:pStyle w:val="Tabletext"/>
              <w:rPr>
                <w:rFonts w:cs="Tahoma"/>
              </w:rPr>
            </w:pPr>
            <w:r w:rsidRPr="00D36FBC">
              <w:rPr>
                <w:rFonts w:cs="Tahoma"/>
              </w:rPr>
              <w:t>Not serious</w:t>
            </w:r>
          </w:p>
        </w:tc>
        <w:tc>
          <w:tcPr>
            <w:tcW w:w="992" w:type="dxa"/>
          </w:tcPr>
          <w:p w:rsidR="00CC3BA4" w:rsidRPr="00D36FBC" w:rsidRDefault="00CC3BA4" w:rsidP="004A42D5">
            <w:pPr>
              <w:pStyle w:val="Tabletext"/>
              <w:rPr>
                <w:rFonts w:cs="Tahoma"/>
              </w:rPr>
            </w:pPr>
            <w:r>
              <w:rPr>
                <w:rFonts w:cs="Tahoma"/>
              </w:rPr>
              <w:t>Not s</w:t>
            </w:r>
            <w:r w:rsidRPr="00D36FBC">
              <w:rPr>
                <w:rFonts w:cs="Tahoma"/>
              </w:rPr>
              <w:t>erious</w:t>
            </w:r>
          </w:p>
        </w:tc>
        <w:tc>
          <w:tcPr>
            <w:tcW w:w="1276" w:type="dxa"/>
          </w:tcPr>
          <w:p w:rsidR="00CC3BA4" w:rsidRPr="00D36FBC" w:rsidRDefault="00CC3BA4" w:rsidP="004A42D5">
            <w:pPr>
              <w:pStyle w:val="Tabletext"/>
              <w:rPr>
                <w:rFonts w:cs="Tahoma"/>
              </w:rPr>
            </w:pPr>
            <w:r w:rsidRPr="00D36FBC">
              <w:rPr>
                <w:rFonts w:cs="Tahoma"/>
              </w:rPr>
              <w:t>None</w:t>
            </w:r>
          </w:p>
        </w:tc>
        <w:tc>
          <w:tcPr>
            <w:tcW w:w="1417" w:type="dxa"/>
          </w:tcPr>
          <w:p w:rsidR="00CC3BA4" w:rsidRPr="00A17B9D" w:rsidRDefault="00A17B9D" w:rsidP="004A42D5">
            <w:pPr>
              <w:pStyle w:val="Tabletext"/>
              <w:rPr>
                <w:rFonts w:cs="Tahoma"/>
                <w:highlight w:val="black"/>
              </w:rPr>
            </w:pPr>
            <w:r>
              <w:rPr>
                <w:rFonts w:cs="Tahoma"/>
                <w:noProof/>
                <w:color w:val="000000"/>
                <w:highlight w:val="black"/>
              </w:rPr>
              <w:t>''''''''''' '''''''''''''''''''</w:t>
            </w:r>
          </w:p>
        </w:tc>
        <w:tc>
          <w:tcPr>
            <w:tcW w:w="1134" w:type="dxa"/>
          </w:tcPr>
          <w:p w:rsidR="00CC3BA4" w:rsidRPr="00116B52" w:rsidRDefault="00116B52" w:rsidP="004A42D5">
            <w:pPr>
              <w:pStyle w:val="Tabletext"/>
              <w:rPr>
                <w:rFonts w:cs="Tahoma"/>
                <w:highlight w:val="black"/>
              </w:rPr>
            </w:pPr>
            <w:r>
              <w:rPr>
                <w:rFonts w:cs="Tahoma"/>
                <w:noProof/>
                <w:color w:val="000000"/>
                <w:highlight w:val="black"/>
              </w:rPr>
              <w:t>''''''''''''' '''''''''''''''''''''</w:t>
            </w:r>
          </w:p>
        </w:tc>
        <w:tc>
          <w:tcPr>
            <w:tcW w:w="993" w:type="dxa"/>
          </w:tcPr>
          <w:p w:rsidR="00CC3BA4" w:rsidRPr="00A17B9D" w:rsidRDefault="00A17B9D" w:rsidP="004A42D5">
            <w:pPr>
              <w:pStyle w:val="Tabletext"/>
              <w:rPr>
                <w:rFonts w:cs="Tahoma"/>
                <w:highlight w:val="black"/>
              </w:rPr>
            </w:pPr>
            <w:r>
              <w:rPr>
                <w:rFonts w:cs="Tahoma"/>
                <w:noProof/>
                <w:color w:val="000000"/>
                <w:highlight w:val="black"/>
              </w:rPr>
              <w:t>'''''''' ''' ''''''''' ''''''''''''''' ''''''''''''</w:t>
            </w:r>
          </w:p>
        </w:tc>
        <w:tc>
          <w:tcPr>
            <w:tcW w:w="2188" w:type="dxa"/>
          </w:tcPr>
          <w:p w:rsidR="00CC3BA4" w:rsidRPr="00A17B9D" w:rsidRDefault="00A17B9D" w:rsidP="004A42D5">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CC3BA4" w:rsidRDefault="00CC3BA4" w:rsidP="004A42D5">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D36FBC" w:rsidRDefault="00CC3BA4" w:rsidP="004A42D5">
            <w:pPr>
              <w:pStyle w:val="Tabletext"/>
              <w:rPr>
                <w:rFonts w:cs="Tahoma"/>
              </w:rPr>
            </w:pPr>
            <w:r>
              <w:rPr>
                <w:rFonts w:cs="Tahoma"/>
              </w:rPr>
              <w:t>Critical</w:t>
            </w:r>
          </w:p>
        </w:tc>
      </w:tr>
    </w:tbl>
    <w:p w:rsidR="00CC3BA4" w:rsidRPr="00AA018C" w:rsidRDefault="00CC3BA4" w:rsidP="004A42D5">
      <w:pPr>
        <w:pStyle w:val="Tablenote"/>
      </w:pPr>
      <w:r w:rsidRPr="00E564DD">
        <w:rPr>
          <w:vertAlign w:val="superscript"/>
        </w:rPr>
        <w:t xml:space="preserve">a </w:t>
      </w:r>
      <w:r w:rsidRPr="00AA018C">
        <w:t>O</w:t>
      </w:r>
      <w:r>
        <w:t>ther considerations such as publication bias and effect size</w:t>
      </w:r>
    </w:p>
    <w:p w:rsidR="00CC3BA4" w:rsidRDefault="00CC3BA4" w:rsidP="004A42D5">
      <w:pPr>
        <w:pStyle w:val="Tablenote"/>
      </w:pPr>
      <w:r>
        <w:rPr>
          <w:vertAlign w:val="superscript"/>
        </w:rPr>
        <w:lastRenderedPageBreak/>
        <w:t xml:space="preserve">b </w:t>
      </w:r>
      <w:r w:rsidRPr="00E564DD">
        <w:t>GRADE W</w:t>
      </w:r>
      <w:r>
        <w:t>orking Group grades of evidence</w:t>
      </w:r>
      <w:r w:rsidR="001D34EE" w:rsidRPr="001D34EE">
        <w:rPr>
          <w:noProof/>
          <w:vertAlign w:val="superscript"/>
        </w:rPr>
        <w:t>1</w:t>
      </w:r>
    </w:p>
    <w:p w:rsidR="00CC3BA4" w:rsidRPr="00E564DD" w:rsidRDefault="00CC3BA4" w:rsidP="004A42D5">
      <w:pPr>
        <w:pStyle w:val="Tablenote"/>
      </w:pPr>
      <w:r w:rsidRPr="00E564DD">
        <w:rPr>
          <w:rFonts w:ascii="Cambria Math" w:hAnsi="Cambria Math" w:cs="Cambria Math"/>
          <w:color w:val="00B050"/>
        </w:rPr>
        <w:t>⨁⨁⨁⨁</w:t>
      </w:r>
      <w:r w:rsidRPr="00E564DD">
        <w:rPr>
          <w:color w:val="00B050"/>
        </w:rPr>
        <w:t xml:space="preserve"> </w:t>
      </w:r>
      <w:r w:rsidRPr="00E564DD">
        <w:rPr>
          <w:b/>
        </w:rPr>
        <w:t>High quality:</w:t>
      </w:r>
      <w:r w:rsidRPr="00E564DD">
        <w:t xml:space="preserve"> We are very confident that the true effect lies close to that of the estimate of effect</w:t>
      </w:r>
    </w:p>
    <w:p w:rsidR="00BD489D" w:rsidRDefault="00CC3BA4" w:rsidP="004A42D5">
      <w:pPr>
        <w:pStyle w:val="Tablenote"/>
      </w:pPr>
      <w:r>
        <w:t>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BD489D" w:rsidRPr="00F24B06">
        <w:t xml:space="preserve">; </w:t>
      </w:r>
      <w:r w:rsidRPr="00C65B42">
        <w:t xml:space="preserve">HR = hazard ratio; PAH = pulmonary arterial hypertension; </w:t>
      </w:r>
      <w:r w:rsidRPr="009B5AB3">
        <w:t>PDE-5</w:t>
      </w:r>
      <w:r w:rsidR="00BD489D">
        <w:t>i</w:t>
      </w:r>
      <w:r w:rsidRPr="009B5AB3">
        <w:t xml:space="preserve"> = phosphodiesterase type-5</w:t>
      </w:r>
      <w:r w:rsidR="00BD489D">
        <w:t xml:space="preserve"> inhibitor</w:t>
      </w:r>
      <w:r>
        <w:t>;</w:t>
      </w:r>
      <w:r w:rsidRPr="009B5AB3">
        <w:t xml:space="preserve"> </w:t>
      </w:r>
      <w:r>
        <w:t>RCT = randomised controlled trial; RR = relative risk; WHO = World Health Organization</w:t>
      </w:r>
    </w:p>
    <w:p w:rsidR="00CC3BA4" w:rsidRPr="005D4CA0" w:rsidRDefault="00796F18" w:rsidP="00BC5A2B">
      <w:pPr>
        <w:pStyle w:val="Caption"/>
      </w:pPr>
      <w:bookmarkStart w:id="508" w:name="_Ref505771544"/>
      <w:bookmarkStart w:id="509" w:name="_Toc512855555"/>
      <w:r>
        <w:t>Table 4.</w:t>
      </w:r>
      <w:r w:rsidR="00AA722D">
        <w:rPr>
          <w:noProof/>
        </w:rPr>
        <w:t>151</w:t>
      </w:r>
      <w:bookmarkEnd w:id="508"/>
      <w:r>
        <w:tab/>
      </w:r>
      <w:r w:rsidR="00CC3BA4" w:rsidRPr="005D4CA0">
        <w:t xml:space="preserve">Evidence profile table for </w:t>
      </w:r>
      <w:r w:rsidR="00CC3BA4">
        <w:t xml:space="preserve">effectiveness of </w:t>
      </w:r>
      <w:r w:rsidR="00CC3BA4" w:rsidRPr="005D4CA0">
        <w:t xml:space="preserve">ERA </w:t>
      </w:r>
      <w:r w:rsidR="00AD2B3C">
        <w:t>plus</w:t>
      </w:r>
      <w:r w:rsidR="00CC3BA4">
        <w:t xml:space="preserve"> PDE-5 inhibitor combination therapy </w:t>
      </w:r>
      <w:r w:rsidR="00CC3BA4" w:rsidRPr="005D4CA0">
        <w:t xml:space="preserve">compared to </w:t>
      </w:r>
      <w:r w:rsidR="00CC3BA4">
        <w:t>PDE-5 inhibitor</w:t>
      </w:r>
      <w:r w:rsidR="00CC3BA4" w:rsidRPr="005D4CA0">
        <w:t xml:space="preserve"> </w:t>
      </w:r>
      <w:r w:rsidR="00CC3BA4">
        <w:t xml:space="preserve">monotherapy </w:t>
      </w:r>
      <w:r w:rsidR="00CC3BA4" w:rsidRPr="005D4CA0">
        <w:t xml:space="preserve">for </w:t>
      </w:r>
      <w:r w:rsidR="00CC3BA4">
        <w:t>patients</w:t>
      </w:r>
      <w:r w:rsidR="00CC3BA4" w:rsidRPr="00272494">
        <w:t xml:space="preserve"> with different PAH aetiologies</w:t>
      </w:r>
      <w:bookmarkEnd w:id="509"/>
    </w:p>
    <w:tbl>
      <w:tblPr>
        <w:tblStyle w:val="TableGrid"/>
        <w:tblW w:w="14596" w:type="dxa"/>
        <w:tblLayout w:type="fixed"/>
        <w:tblLook w:val="04A0" w:firstRow="1" w:lastRow="0" w:firstColumn="1" w:lastColumn="0" w:noHBand="0" w:noVBand="1"/>
        <w:tblCaption w:val="Evidence profile table for effectiveness of ERA plus PDE-5 inhibitor combination therapy compared to PDE-5 inhibitor monotherapy for patients with different PAH aetiologies"/>
      </w:tblPr>
      <w:tblGrid>
        <w:gridCol w:w="1493"/>
        <w:gridCol w:w="1054"/>
        <w:gridCol w:w="771"/>
        <w:gridCol w:w="1072"/>
        <w:gridCol w:w="995"/>
        <w:gridCol w:w="1035"/>
        <w:gridCol w:w="1230"/>
        <w:gridCol w:w="1417"/>
        <w:gridCol w:w="1134"/>
        <w:gridCol w:w="993"/>
        <w:gridCol w:w="2188"/>
        <w:gridCol w:w="1214"/>
      </w:tblGrid>
      <w:tr w:rsidR="004A42D5" w:rsidRPr="004A42D5" w:rsidTr="001363C5">
        <w:trPr>
          <w:cnfStyle w:val="100000000000" w:firstRow="1" w:lastRow="0" w:firstColumn="0" w:lastColumn="0" w:oddVBand="0" w:evenVBand="0" w:oddHBand="0" w:evenHBand="0" w:firstRowFirstColumn="0" w:firstRowLastColumn="0" w:lastRowFirstColumn="0" w:lastRowLastColumn="0"/>
          <w:trHeight w:val="519"/>
        </w:trPr>
        <w:tc>
          <w:tcPr>
            <w:tcW w:w="1493" w:type="dxa"/>
          </w:tcPr>
          <w:p w:rsidR="00476F09" w:rsidRPr="004A42D5" w:rsidRDefault="00476F09" w:rsidP="004A42D5">
            <w:pPr>
              <w:pStyle w:val="Tabletext"/>
              <w:rPr>
                <w:b/>
              </w:rPr>
            </w:pPr>
            <w:r w:rsidRPr="004A42D5">
              <w:rPr>
                <w:b/>
              </w:rPr>
              <w:t>Outcome (follow-up)</w:t>
            </w:r>
          </w:p>
        </w:tc>
        <w:tc>
          <w:tcPr>
            <w:tcW w:w="1054" w:type="dxa"/>
          </w:tcPr>
          <w:p w:rsidR="00476F09" w:rsidRPr="004A42D5" w:rsidRDefault="00476F09" w:rsidP="004A42D5">
            <w:pPr>
              <w:pStyle w:val="Tabletext"/>
              <w:rPr>
                <w:b/>
              </w:rPr>
            </w:pPr>
            <w:r w:rsidRPr="004A42D5">
              <w:rPr>
                <w:b/>
              </w:rPr>
              <w:t>No. of studies and study design</w:t>
            </w:r>
          </w:p>
        </w:tc>
        <w:tc>
          <w:tcPr>
            <w:tcW w:w="771" w:type="dxa"/>
          </w:tcPr>
          <w:p w:rsidR="00476F09" w:rsidRPr="004A42D5" w:rsidRDefault="00476F09" w:rsidP="004A42D5">
            <w:pPr>
              <w:pStyle w:val="Tabletext"/>
              <w:rPr>
                <w:b/>
              </w:rPr>
            </w:pPr>
            <w:r w:rsidRPr="004A42D5">
              <w:rPr>
                <w:b/>
              </w:rPr>
              <w:t>Risk of bias</w:t>
            </w:r>
          </w:p>
        </w:tc>
        <w:tc>
          <w:tcPr>
            <w:tcW w:w="1072" w:type="dxa"/>
          </w:tcPr>
          <w:p w:rsidR="00476F09" w:rsidRPr="004A42D5" w:rsidRDefault="00476F09" w:rsidP="004A42D5">
            <w:pPr>
              <w:pStyle w:val="Tabletext"/>
              <w:rPr>
                <w:b/>
              </w:rPr>
            </w:pPr>
            <w:r w:rsidRPr="004A42D5">
              <w:rPr>
                <w:b/>
              </w:rPr>
              <w:t>Inconsis</w:t>
            </w:r>
            <w:r w:rsidR="001363C5">
              <w:rPr>
                <w:b/>
              </w:rPr>
              <w:t>-</w:t>
            </w:r>
            <w:r w:rsidRPr="004A42D5">
              <w:rPr>
                <w:b/>
              </w:rPr>
              <w:t>tency</w:t>
            </w:r>
          </w:p>
        </w:tc>
        <w:tc>
          <w:tcPr>
            <w:tcW w:w="995" w:type="dxa"/>
          </w:tcPr>
          <w:p w:rsidR="00476F09" w:rsidRPr="004A42D5" w:rsidRDefault="00476F09" w:rsidP="004A42D5">
            <w:pPr>
              <w:pStyle w:val="Tabletext"/>
              <w:rPr>
                <w:b/>
              </w:rPr>
            </w:pPr>
            <w:r w:rsidRPr="004A42D5">
              <w:rPr>
                <w:b/>
              </w:rPr>
              <w:t>Indirect</w:t>
            </w:r>
            <w:r w:rsidR="001363C5">
              <w:rPr>
                <w:b/>
              </w:rPr>
              <w:t>-</w:t>
            </w:r>
            <w:r w:rsidRPr="004A42D5">
              <w:rPr>
                <w:b/>
              </w:rPr>
              <w:t>ness</w:t>
            </w:r>
          </w:p>
        </w:tc>
        <w:tc>
          <w:tcPr>
            <w:tcW w:w="1035" w:type="dxa"/>
          </w:tcPr>
          <w:p w:rsidR="00476F09" w:rsidRPr="004A42D5" w:rsidRDefault="00476F09" w:rsidP="004A42D5">
            <w:pPr>
              <w:pStyle w:val="Tabletext"/>
              <w:rPr>
                <w:b/>
              </w:rPr>
            </w:pPr>
            <w:r w:rsidRPr="004A42D5">
              <w:rPr>
                <w:b/>
              </w:rPr>
              <w:t>Impre</w:t>
            </w:r>
            <w:r w:rsidR="001363C5">
              <w:rPr>
                <w:b/>
              </w:rPr>
              <w:t>-</w:t>
            </w:r>
            <w:r w:rsidRPr="004A42D5">
              <w:rPr>
                <w:b/>
              </w:rPr>
              <w:t>cision</w:t>
            </w:r>
          </w:p>
        </w:tc>
        <w:tc>
          <w:tcPr>
            <w:tcW w:w="1230" w:type="dxa"/>
          </w:tcPr>
          <w:p w:rsidR="00476F09" w:rsidRPr="004A42D5" w:rsidRDefault="00476F09" w:rsidP="004A42D5">
            <w:pPr>
              <w:pStyle w:val="Tabletext"/>
              <w:rPr>
                <w:b/>
              </w:rPr>
            </w:pPr>
            <w:r w:rsidRPr="004A42D5">
              <w:rPr>
                <w:b/>
              </w:rPr>
              <w:t>Other conside</w:t>
            </w:r>
            <w:r w:rsidR="001363C5">
              <w:rPr>
                <w:b/>
              </w:rPr>
              <w:t>-</w:t>
            </w:r>
            <w:r w:rsidRPr="004A42D5">
              <w:rPr>
                <w:b/>
              </w:rPr>
              <w:t>rations</w:t>
            </w:r>
            <w:r w:rsidRPr="004A42D5">
              <w:rPr>
                <w:b/>
                <w:vertAlign w:val="superscript"/>
              </w:rPr>
              <w:t>a</w:t>
            </w:r>
          </w:p>
        </w:tc>
        <w:tc>
          <w:tcPr>
            <w:tcW w:w="1417" w:type="dxa"/>
          </w:tcPr>
          <w:p w:rsidR="00476F09" w:rsidRPr="004A42D5" w:rsidRDefault="00476F09" w:rsidP="004A42D5">
            <w:pPr>
              <w:pStyle w:val="Tabletext"/>
              <w:rPr>
                <w:b/>
              </w:rPr>
            </w:pPr>
            <w:r w:rsidRPr="004A42D5">
              <w:rPr>
                <w:b/>
              </w:rPr>
              <w:t>Study event rates (%) with ERA + PDE-5i</w:t>
            </w:r>
          </w:p>
        </w:tc>
        <w:tc>
          <w:tcPr>
            <w:tcW w:w="1134" w:type="dxa"/>
          </w:tcPr>
          <w:p w:rsidR="00476F09" w:rsidRPr="004A42D5" w:rsidRDefault="00476F09" w:rsidP="004A42D5">
            <w:pPr>
              <w:pStyle w:val="Tabletext"/>
              <w:rPr>
                <w:b/>
              </w:rPr>
            </w:pPr>
            <w:r w:rsidRPr="004A42D5">
              <w:rPr>
                <w:b/>
              </w:rPr>
              <w:t>Study event rates (%) with PDE-5i</w:t>
            </w:r>
          </w:p>
        </w:tc>
        <w:tc>
          <w:tcPr>
            <w:tcW w:w="993" w:type="dxa"/>
          </w:tcPr>
          <w:p w:rsidR="00476F09" w:rsidRPr="004A42D5" w:rsidRDefault="00476F09" w:rsidP="004A42D5">
            <w:pPr>
              <w:pStyle w:val="Tabletext"/>
              <w:rPr>
                <w:b/>
              </w:rPr>
            </w:pPr>
            <w:r w:rsidRPr="004A42D5">
              <w:rPr>
                <w:b/>
              </w:rPr>
              <w:t>Effect measure (95%CI)</w:t>
            </w:r>
          </w:p>
        </w:tc>
        <w:tc>
          <w:tcPr>
            <w:tcW w:w="2188" w:type="dxa"/>
          </w:tcPr>
          <w:p w:rsidR="00476F09" w:rsidRPr="004A42D5" w:rsidRDefault="00476F09" w:rsidP="004A42D5">
            <w:pPr>
              <w:pStyle w:val="Tabletext"/>
              <w:rPr>
                <w:b/>
              </w:rPr>
            </w:pPr>
            <w:r w:rsidRPr="004A42D5">
              <w:rPr>
                <w:b/>
              </w:rPr>
              <w:t>Absolute effect (95%CI)</w:t>
            </w:r>
          </w:p>
        </w:tc>
        <w:tc>
          <w:tcPr>
            <w:tcW w:w="1214" w:type="dxa"/>
          </w:tcPr>
          <w:p w:rsidR="00BD489D" w:rsidRDefault="00BD489D" w:rsidP="004A42D5">
            <w:pPr>
              <w:pStyle w:val="Tabletext"/>
              <w:rPr>
                <w:b/>
              </w:rPr>
            </w:pPr>
            <w:r>
              <w:rPr>
                <w:b/>
              </w:rPr>
              <w:t>GRADE</w:t>
            </w:r>
            <w:r w:rsidRPr="00BD489D">
              <w:rPr>
                <w:b/>
                <w:vertAlign w:val="superscript"/>
              </w:rPr>
              <w:t>b</w:t>
            </w:r>
          </w:p>
          <w:p w:rsidR="00476F09" w:rsidRPr="004A42D5" w:rsidRDefault="00476F09" w:rsidP="004A42D5">
            <w:pPr>
              <w:pStyle w:val="Tabletext"/>
              <w:rPr>
                <w:b/>
                <w:vertAlign w:val="superscript"/>
              </w:rPr>
            </w:pPr>
            <w:r w:rsidRPr="004A42D5">
              <w:rPr>
                <w:b/>
              </w:rPr>
              <w:t>Quality</w:t>
            </w:r>
          </w:p>
          <w:p w:rsidR="00476F09" w:rsidRPr="004A42D5" w:rsidRDefault="00476F09" w:rsidP="004A42D5">
            <w:pPr>
              <w:pStyle w:val="Tabletext"/>
              <w:rPr>
                <w:b/>
              </w:rPr>
            </w:pPr>
            <w:r w:rsidRPr="004A42D5">
              <w:rPr>
                <w:b/>
              </w:rPr>
              <w:t>Importance</w:t>
            </w:r>
          </w:p>
        </w:tc>
      </w:tr>
      <w:tr w:rsidR="00CC3BA4" w:rsidRPr="00D36FBC" w:rsidTr="001363C5">
        <w:trPr>
          <w:trHeight w:val="319"/>
        </w:trPr>
        <w:tc>
          <w:tcPr>
            <w:tcW w:w="1493" w:type="dxa"/>
          </w:tcPr>
          <w:p w:rsidR="00CC3BA4" w:rsidRPr="00D36FBC" w:rsidRDefault="00CC3BA4" w:rsidP="004A42D5">
            <w:pPr>
              <w:pStyle w:val="Tabletext"/>
              <w:rPr>
                <w:rFonts w:cs="Tahoma"/>
              </w:rPr>
            </w:pPr>
            <w:r w:rsidRPr="00D36FBC">
              <w:rPr>
                <w:rFonts w:cs="Tahoma"/>
              </w:rPr>
              <w:t xml:space="preserve">Clinical worsening </w:t>
            </w:r>
            <w:r>
              <w:rPr>
                <w:rFonts w:cs="Tahoma"/>
              </w:rPr>
              <w:t>in IPAH/HPAH</w:t>
            </w:r>
            <w:r>
              <w:rPr>
                <w:rFonts w:cs="Tahoma"/>
              </w:rPr>
              <w:br/>
              <w:t>(</w:t>
            </w:r>
            <w:r w:rsidR="000801F8">
              <w:rPr>
                <w:rFonts w:cs="Tahoma"/>
              </w:rPr>
              <w:t>169</w:t>
            </w:r>
            <w:r w:rsidRPr="00D36FBC">
              <w:rPr>
                <w:rFonts w:cs="Tahoma"/>
              </w:rPr>
              <w:t xml:space="preserve"> weeks)</w:t>
            </w:r>
          </w:p>
        </w:tc>
        <w:tc>
          <w:tcPr>
            <w:tcW w:w="1054" w:type="dxa"/>
          </w:tcPr>
          <w:p w:rsidR="00CC3BA4" w:rsidRPr="00D36FBC" w:rsidRDefault="00CC3BA4" w:rsidP="004A42D5">
            <w:pPr>
              <w:pStyle w:val="Tabletext"/>
              <w:rPr>
                <w:rFonts w:cs="Tahoma"/>
              </w:rPr>
            </w:pPr>
            <w:r>
              <w:rPr>
                <w:rFonts w:cs="Tahoma"/>
              </w:rPr>
              <w:t>1</w:t>
            </w:r>
            <w:r w:rsidRPr="00D36FBC">
              <w:rPr>
                <w:rFonts w:cs="Tahoma"/>
              </w:rPr>
              <w:t xml:space="preserve"> RCT</w:t>
            </w:r>
          </w:p>
        </w:tc>
        <w:tc>
          <w:tcPr>
            <w:tcW w:w="771" w:type="dxa"/>
          </w:tcPr>
          <w:p w:rsidR="00CC3BA4" w:rsidRPr="00D36FBC" w:rsidRDefault="00CC3BA4" w:rsidP="004A42D5">
            <w:pPr>
              <w:pStyle w:val="Tabletext"/>
              <w:rPr>
                <w:rFonts w:cs="Tahoma"/>
              </w:rPr>
            </w:pPr>
            <w:r w:rsidRPr="00D36FBC">
              <w:rPr>
                <w:rFonts w:cs="Tahoma"/>
              </w:rPr>
              <w:t>Not serious</w:t>
            </w:r>
          </w:p>
        </w:tc>
        <w:tc>
          <w:tcPr>
            <w:tcW w:w="1072" w:type="dxa"/>
          </w:tcPr>
          <w:p w:rsidR="00CC3BA4" w:rsidRPr="00D36FBC" w:rsidRDefault="00CC3BA4" w:rsidP="004A42D5">
            <w:pPr>
              <w:pStyle w:val="Tabletext"/>
              <w:rPr>
                <w:rFonts w:cs="Tahoma"/>
              </w:rPr>
            </w:pPr>
            <w:r w:rsidRPr="00D36FBC">
              <w:rPr>
                <w:rFonts w:cs="Tahoma"/>
              </w:rPr>
              <w:t>Not serious</w:t>
            </w:r>
          </w:p>
        </w:tc>
        <w:tc>
          <w:tcPr>
            <w:tcW w:w="995" w:type="dxa"/>
          </w:tcPr>
          <w:p w:rsidR="00CC3BA4" w:rsidRPr="00D36FBC" w:rsidRDefault="00CC3BA4" w:rsidP="004A42D5">
            <w:pPr>
              <w:pStyle w:val="Tabletext"/>
              <w:rPr>
                <w:rFonts w:cs="Tahoma"/>
              </w:rPr>
            </w:pPr>
            <w:r w:rsidRPr="00D36FBC">
              <w:rPr>
                <w:rFonts w:cs="Tahoma"/>
              </w:rPr>
              <w:t>Not serious</w:t>
            </w:r>
          </w:p>
        </w:tc>
        <w:tc>
          <w:tcPr>
            <w:tcW w:w="1035" w:type="dxa"/>
          </w:tcPr>
          <w:p w:rsidR="00CC3BA4" w:rsidRPr="00D36FBC" w:rsidRDefault="00CC3BA4" w:rsidP="004A42D5">
            <w:pPr>
              <w:pStyle w:val="Tabletext"/>
              <w:rPr>
                <w:rFonts w:cs="Tahoma"/>
              </w:rPr>
            </w:pPr>
            <w:r w:rsidRPr="00D36FBC">
              <w:rPr>
                <w:rFonts w:cs="Tahoma"/>
              </w:rPr>
              <w:t>Not serious</w:t>
            </w:r>
          </w:p>
        </w:tc>
        <w:tc>
          <w:tcPr>
            <w:tcW w:w="1230" w:type="dxa"/>
          </w:tcPr>
          <w:p w:rsidR="00CC3BA4" w:rsidRPr="00D36FBC" w:rsidRDefault="00CC3BA4" w:rsidP="004A42D5">
            <w:pPr>
              <w:pStyle w:val="Tabletext"/>
              <w:rPr>
                <w:rFonts w:cs="Tahoma"/>
              </w:rPr>
            </w:pPr>
            <w:r>
              <w:rPr>
                <w:rFonts w:cs="Tahoma"/>
              </w:rPr>
              <w:t>None</w:t>
            </w:r>
          </w:p>
        </w:tc>
        <w:tc>
          <w:tcPr>
            <w:tcW w:w="1417" w:type="dxa"/>
          </w:tcPr>
          <w:p w:rsidR="00CC3BA4" w:rsidRPr="00466E66" w:rsidRDefault="00CC3BA4" w:rsidP="004A42D5">
            <w:pPr>
              <w:pStyle w:val="Tabletext"/>
            </w:pPr>
            <w:r>
              <w:t>44/107 (41.1%)</w:t>
            </w:r>
          </w:p>
        </w:tc>
        <w:tc>
          <w:tcPr>
            <w:tcW w:w="1134" w:type="dxa"/>
          </w:tcPr>
          <w:p w:rsidR="00CC3BA4" w:rsidRPr="00D36FBC" w:rsidRDefault="00CC3BA4" w:rsidP="004A42D5">
            <w:pPr>
              <w:pStyle w:val="Tabletext"/>
              <w:rPr>
                <w:rFonts w:cs="Tahoma"/>
                <w:highlight w:val="cyan"/>
              </w:rPr>
            </w:pPr>
            <w:r w:rsidRPr="00272494">
              <w:t>60/119 (50.4%)</w:t>
            </w:r>
          </w:p>
        </w:tc>
        <w:tc>
          <w:tcPr>
            <w:tcW w:w="993" w:type="dxa"/>
          </w:tcPr>
          <w:p w:rsidR="00CC3BA4" w:rsidRPr="00D36FBC" w:rsidRDefault="00CC3BA4" w:rsidP="004A42D5">
            <w:pPr>
              <w:pStyle w:val="Tabletext"/>
              <w:rPr>
                <w:rFonts w:cs="Tahoma"/>
                <w:highlight w:val="cyan"/>
              </w:rPr>
            </w:pPr>
            <w:r w:rsidRPr="00272494">
              <w:t xml:space="preserve">HR </w:t>
            </w:r>
            <w:r>
              <w:t xml:space="preserve">= </w:t>
            </w:r>
            <w:r w:rsidRPr="00272494">
              <w:t>0.82</w:t>
            </w:r>
            <w:r>
              <w:t xml:space="preserve"> </w:t>
            </w:r>
            <w:r w:rsidRPr="00272494">
              <w:t>(0.55</w:t>
            </w:r>
            <w:r>
              <w:t>,</w:t>
            </w:r>
            <w:r w:rsidRPr="00272494">
              <w:t xml:space="preserve"> 1.21)</w:t>
            </w:r>
          </w:p>
        </w:tc>
        <w:tc>
          <w:tcPr>
            <w:tcW w:w="2188" w:type="dxa"/>
          </w:tcPr>
          <w:p w:rsidR="00CC3BA4" w:rsidRPr="00D36FBC" w:rsidRDefault="00CC3BA4" w:rsidP="004A42D5">
            <w:pPr>
              <w:pStyle w:val="Tabletext"/>
              <w:rPr>
                <w:rFonts w:cs="Tahoma"/>
                <w:highlight w:val="cyan"/>
              </w:rPr>
            </w:pPr>
            <w:r w:rsidRPr="00272494">
              <w:rPr>
                <w:rFonts w:cs="Tahoma"/>
              </w:rPr>
              <w:t>67 fewer per 1,000</w:t>
            </w:r>
            <w:r>
              <w:rPr>
                <w:rFonts w:cs="Tahoma"/>
              </w:rPr>
              <w:br/>
            </w:r>
            <w:r w:rsidRPr="00272494">
              <w:rPr>
                <w:rFonts w:cs="Tahoma"/>
              </w:rPr>
              <w:t>(from 68 more to 184 fewer)</w:t>
            </w:r>
          </w:p>
        </w:tc>
        <w:tc>
          <w:tcPr>
            <w:tcW w:w="1214" w:type="dxa"/>
          </w:tcPr>
          <w:p w:rsidR="00CC3BA4" w:rsidRDefault="00CC3BA4" w:rsidP="004A42D5">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D36FBC" w:rsidRDefault="00CC3BA4" w:rsidP="004A42D5">
            <w:pPr>
              <w:pStyle w:val="Tabletext"/>
              <w:rPr>
                <w:rFonts w:cs="Tahoma"/>
              </w:rPr>
            </w:pPr>
            <w:r w:rsidRPr="00E564DD">
              <w:rPr>
                <w:rFonts w:cs="Tahoma"/>
              </w:rPr>
              <w:t>Critical</w:t>
            </w:r>
          </w:p>
        </w:tc>
      </w:tr>
      <w:tr w:rsidR="00CC3BA4" w:rsidRPr="00D36FBC" w:rsidTr="001363C5">
        <w:trPr>
          <w:trHeight w:val="319"/>
        </w:trPr>
        <w:tc>
          <w:tcPr>
            <w:tcW w:w="1493" w:type="dxa"/>
          </w:tcPr>
          <w:p w:rsidR="00CC3BA4" w:rsidRPr="00D36FBC" w:rsidRDefault="00CC3BA4" w:rsidP="000801F8">
            <w:pPr>
              <w:pStyle w:val="Tabletext"/>
              <w:rPr>
                <w:rFonts w:cs="Tahoma"/>
              </w:rPr>
            </w:pPr>
            <w:r w:rsidRPr="00D36FBC">
              <w:rPr>
                <w:rFonts w:cs="Tahoma"/>
              </w:rPr>
              <w:t xml:space="preserve">Clinical worsening </w:t>
            </w:r>
            <w:r>
              <w:rPr>
                <w:rFonts w:cs="Tahoma"/>
              </w:rPr>
              <w:t>in PAH CTD</w:t>
            </w:r>
            <w:r>
              <w:rPr>
                <w:rFonts w:cs="Tahoma"/>
              </w:rPr>
              <w:br/>
              <w:t>(74−</w:t>
            </w:r>
            <w:r w:rsidRPr="00D36FBC">
              <w:rPr>
                <w:rFonts w:cs="Tahoma"/>
              </w:rPr>
              <w:t>1</w:t>
            </w:r>
            <w:r w:rsidR="000801F8">
              <w:rPr>
                <w:rFonts w:cs="Tahoma"/>
              </w:rPr>
              <w:t>69</w:t>
            </w:r>
            <w:r w:rsidRPr="00D36FBC">
              <w:rPr>
                <w:rFonts w:cs="Tahoma"/>
              </w:rPr>
              <w:t xml:space="preserve"> weeks)</w:t>
            </w:r>
          </w:p>
        </w:tc>
        <w:tc>
          <w:tcPr>
            <w:tcW w:w="1054" w:type="dxa"/>
          </w:tcPr>
          <w:p w:rsidR="00CC3BA4" w:rsidRPr="00D36FBC" w:rsidRDefault="00CC3BA4" w:rsidP="004A42D5">
            <w:pPr>
              <w:pStyle w:val="Tabletext"/>
              <w:rPr>
                <w:rFonts w:cs="Tahoma"/>
              </w:rPr>
            </w:pPr>
            <w:r>
              <w:rPr>
                <w:rFonts w:cs="Tahoma"/>
              </w:rPr>
              <w:t>2</w:t>
            </w:r>
            <w:r w:rsidRPr="00D36FBC">
              <w:rPr>
                <w:rFonts w:cs="Tahoma"/>
              </w:rPr>
              <w:t xml:space="preserve"> RCTs</w:t>
            </w:r>
          </w:p>
        </w:tc>
        <w:tc>
          <w:tcPr>
            <w:tcW w:w="771" w:type="dxa"/>
          </w:tcPr>
          <w:p w:rsidR="00CC3BA4" w:rsidRPr="00D36FBC" w:rsidRDefault="00CC3BA4" w:rsidP="004A42D5">
            <w:pPr>
              <w:pStyle w:val="Tabletext"/>
              <w:rPr>
                <w:rFonts w:cs="Tahoma"/>
              </w:rPr>
            </w:pPr>
            <w:r w:rsidRPr="00D36FBC">
              <w:rPr>
                <w:rFonts w:cs="Tahoma"/>
              </w:rPr>
              <w:t>Not serious</w:t>
            </w:r>
          </w:p>
        </w:tc>
        <w:tc>
          <w:tcPr>
            <w:tcW w:w="1072" w:type="dxa"/>
          </w:tcPr>
          <w:p w:rsidR="00CC3BA4" w:rsidRPr="00D36FBC" w:rsidRDefault="00CC3BA4" w:rsidP="004A42D5">
            <w:pPr>
              <w:pStyle w:val="Tabletext"/>
              <w:rPr>
                <w:rFonts w:cs="Tahoma"/>
              </w:rPr>
            </w:pPr>
            <w:r w:rsidRPr="00D36FBC">
              <w:rPr>
                <w:rFonts w:cs="Tahoma"/>
              </w:rPr>
              <w:t>Not serious</w:t>
            </w:r>
          </w:p>
        </w:tc>
        <w:tc>
          <w:tcPr>
            <w:tcW w:w="995" w:type="dxa"/>
          </w:tcPr>
          <w:p w:rsidR="00CC3BA4" w:rsidRPr="00D36FBC" w:rsidRDefault="00CC3BA4" w:rsidP="004A42D5">
            <w:pPr>
              <w:pStyle w:val="Tabletext"/>
              <w:rPr>
                <w:rFonts w:cs="Tahoma"/>
              </w:rPr>
            </w:pPr>
            <w:r w:rsidRPr="00D36FBC">
              <w:rPr>
                <w:rFonts w:cs="Tahoma"/>
              </w:rPr>
              <w:t>Not serious</w:t>
            </w:r>
          </w:p>
        </w:tc>
        <w:tc>
          <w:tcPr>
            <w:tcW w:w="1035" w:type="dxa"/>
          </w:tcPr>
          <w:p w:rsidR="00CC3BA4" w:rsidRPr="00D36FBC" w:rsidRDefault="00CC3BA4" w:rsidP="004A42D5">
            <w:pPr>
              <w:pStyle w:val="Tabletext"/>
              <w:rPr>
                <w:rFonts w:cs="Tahoma"/>
              </w:rPr>
            </w:pPr>
            <w:r>
              <w:rPr>
                <w:rFonts w:cs="Tahoma"/>
              </w:rPr>
              <w:t>Not serious</w:t>
            </w:r>
          </w:p>
        </w:tc>
        <w:tc>
          <w:tcPr>
            <w:tcW w:w="1230" w:type="dxa"/>
          </w:tcPr>
          <w:p w:rsidR="00CC3BA4" w:rsidRPr="00D36FBC" w:rsidRDefault="00CC3BA4" w:rsidP="004A42D5">
            <w:pPr>
              <w:pStyle w:val="Tabletext"/>
              <w:rPr>
                <w:rFonts w:cs="Tahoma"/>
              </w:rPr>
            </w:pPr>
            <w:r>
              <w:rPr>
                <w:rFonts w:cs="Tahoma"/>
              </w:rPr>
              <w:t>Strong association</w:t>
            </w:r>
          </w:p>
        </w:tc>
        <w:tc>
          <w:tcPr>
            <w:tcW w:w="1417" w:type="dxa"/>
          </w:tcPr>
          <w:p w:rsidR="00CC3BA4" w:rsidRPr="00466E66" w:rsidRDefault="00CC3BA4" w:rsidP="004A42D5">
            <w:pPr>
              <w:pStyle w:val="Tabletext"/>
              <w:rPr>
                <w:rFonts w:cs="Tahoma"/>
              </w:rPr>
            </w:pPr>
            <w:r>
              <w:rPr>
                <w:rFonts w:cs="Tahoma"/>
              </w:rPr>
              <w:t>2/146 (28.8%)</w:t>
            </w:r>
          </w:p>
        </w:tc>
        <w:tc>
          <w:tcPr>
            <w:tcW w:w="1134" w:type="dxa"/>
          </w:tcPr>
          <w:p w:rsidR="00CC3BA4" w:rsidRPr="001D2AD7" w:rsidRDefault="00CC3BA4" w:rsidP="004A42D5">
            <w:pPr>
              <w:pStyle w:val="Tabletext"/>
              <w:rPr>
                <w:rFonts w:cs="Tahoma"/>
                <w:highlight w:val="cyan"/>
              </w:rPr>
            </w:pPr>
            <w:r w:rsidRPr="00466E66">
              <w:rPr>
                <w:rFonts w:cs="Tahoma"/>
              </w:rPr>
              <w:t>-/85</w:t>
            </w:r>
          </w:p>
        </w:tc>
        <w:tc>
          <w:tcPr>
            <w:tcW w:w="993" w:type="dxa"/>
          </w:tcPr>
          <w:p w:rsidR="00CC3BA4" w:rsidRPr="001D2AD7" w:rsidRDefault="00CC3BA4" w:rsidP="004A42D5">
            <w:pPr>
              <w:pStyle w:val="Tabletext"/>
              <w:rPr>
                <w:rFonts w:cs="Tahoma"/>
                <w:highlight w:val="cyan"/>
              </w:rPr>
            </w:pPr>
            <w:r w:rsidRPr="00787827">
              <w:rPr>
                <w:rFonts w:cs="Tahoma"/>
              </w:rPr>
              <w:t xml:space="preserve">HR = 0.59 </w:t>
            </w:r>
            <w:r>
              <w:rPr>
                <w:rFonts w:cs="Tahoma"/>
              </w:rPr>
              <w:t>(</w:t>
            </w:r>
            <w:r w:rsidRPr="00787827">
              <w:rPr>
                <w:rFonts w:cs="Tahoma"/>
              </w:rPr>
              <w:t>0.12, 1.07</w:t>
            </w:r>
            <w:r w:rsidR="004D2553">
              <w:rPr>
                <w:rFonts w:cs="Tahoma"/>
              </w:rPr>
              <w:t>)</w:t>
            </w:r>
          </w:p>
        </w:tc>
        <w:tc>
          <w:tcPr>
            <w:tcW w:w="2188" w:type="dxa"/>
          </w:tcPr>
          <w:p w:rsidR="00CC3BA4" w:rsidRPr="00D36FBC" w:rsidRDefault="00CC3BA4" w:rsidP="004A42D5">
            <w:pPr>
              <w:pStyle w:val="Tabletext"/>
              <w:rPr>
                <w:rFonts w:cs="Tahoma"/>
                <w:highlight w:val="cyan"/>
              </w:rPr>
            </w:pPr>
            <w:r>
              <w:rPr>
                <w:rFonts w:cs="Tahoma"/>
              </w:rPr>
              <w:t>Not estimable</w:t>
            </w:r>
          </w:p>
        </w:tc>
        <w:tc>
          <w:tcPr>
            <w:tcW w:w="1214" w:type="dxa"/>
          </w:tcPr>
          <w:p w:rsidR="00CC3BA4" w:rsidRDefault="00CC3BA4" w:rsidP="004A42D5">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D36FBC" w:rsidRDefault="00CC3BA4" w:rsidP="004A42D5">
            <w:pPr>
              <w:pStyle w:val="Tabletext"/>
              <w:rPr>
                <w:rFonts w:cs="Tahoma"/>
              </w:rPr>
            </w:pPr>
            <w:r w:rsidRPr="00E564DD">
              <w:rPr>
                <w:rFonts w:cs="Tahoma"/>
              </w:rPr>
              <w:t>Critical</w:t>
            </w:r>
          </w:p>
        </w:tc>
      </w:tr>
      <w:tr w:rsidR="00CC3BA4" w:rsidRPr="00D36FBC" w:rsidTr="001363C5">
        <w:trPr>
          <w:trHeight w:val="319"/>
        </w:trPr>
        <w:tc>
          <w:tcPr>
            <w:tcW w:w="1493" w:type="dxa"/>
          </w:tcPr>
          <w:p w:rsidR="00CC3BA4" w:rsidRPr="00D36FBC" w:rsidRDefault="00CC3BA4" w:rsidP="000801F8">
            <w:pPr>
              <w:pStyle w:val="Tabletext"/>
              <w:rPr>
                <w:rFonts w:cs="Tahoma"/>
              </w:rPr>
            </w:pPr>
            <w:r w:rsidRPr="00D36FBC">
              <w:rPr>
                <w:rFonts w:cs="Tahoma"/>
              </w:rPr>
              <w:t xml:space="preserve">Clinical worsening </w:t>
            </w:r>
            <w:r>
              <w:rPr>
                <w:rFonts w:cs="Tahoma"/>
              </w:rPr>
              <w:t>in PAH-CHD</w:t>
            </w:r>
            <w:r>
              <w:rPr>
                <w:rFonts w:cs="Tahoma"/>
              </w:rPr>
              <w:br/>
              <w:t>(</w:t>
            </w:r>
            <w:r w:rsidRPr="00D36FBC">
              <w:rPr>
                <w:rFonts w:cs="Tahoma"/>
              </w:rPr>
              <w:t>1</w:t>
            </w:r>
            <w:r w:rsidR="000801F8">
              <w:rPr>
                <w:rFonts w:cs="Tahoma"/>
              </w:rPr>
              <w:t>69</w:t>
            </w:r>
            <w:r w:rsidRPr="00D36FBC">
              <w:rPr>
                <w:rFonts w:cs="Tahoma"/>
              </w:rPr>
              <w:t xml:space="preserve"> weeks)</w:t>
            </w:r>
          </w:p>
        </w:tc>
        <w:tc>
          <w:tcPr>
            <w:tcW w:w="1054" w:type="dxa"/>
          </w:tcPr>
          <w:p w:rsidR="00CC3BA4" w:rsidRPr="00D36FBC" w:rsidRDefault="00CC3BA4" w:rsidP="004A42D5">
            <w:pPr>
              <w:pStyle w:val="Tabletext"/>
              <w:rPr>
                <w:rFonts w:cs="Tahoma"/>
              </w:rPr>
            </w:pPr>
            <w:r>
              <w:rPr>
                <w:rFonts w:cs="Tahoma"/>
              </w:rPr>
              <w:t>1</w:t>
            </w:r>
            <w:r w:rsidRPr="00D36FBC">
              <w:rPr>
                <w:rFonts w:cs="Tahoma"/>
              </w:rPr>
              <w:t xml:space="preserve"> RCT</w:t>
            </w:r>
          </w:p>
        </w:tc>
        <w:tc>
          <w:tcPr>
            <w:tcW w:w="771" w:type="dxa"/>
          </w:tcPr>
          <w:p w:rsidR="00CC3BA4" w:rsidRPr="00D36FBC" w:rsidRDefault="00CC3BA4" w:rsidP="004A42D5">
            <w:pPr>
              <w:pStyle w:val="Tabletext"/>
              <w:rPr>
                <w:rFonts w:cs="Tahoma"/>
              </w:rPr>
            </w:pPr>
            <w:r w:rsidRPr="00D36FBC">
              <w:rPr>
                <w:rFonts w:cs="Tahoma"/>
              </w:rPr>
              <w:t>Not serious</w:t>
            </w:r>
          </w:p>
        </w:tc>
        <w:tc>
          <w:tcPr>
            <w:tcW w:w="1072" w:type="dxa"/>
          </w:tcPr>
          <w:p w:rsidR="00CC3BA4" w:rsidRPr="00D36FBC" w:rsidRDefault="00CC3BA4" w:rsidP="004A42D5">
            <w:pPr>
              <w:pStyle w:val="Tabletext"/>
              <w:rPr>
                <w:rFonts w:cs="Tahoma"/>
              </w:rPr>
            </w:pPr>
            <w:r w:rsidRPr="00D36FBC">
              <w:rPr>
                <w:rFonts w:cs="Tahoma"/>
              </w:rPr>
              <w:t>Not serious</w:t>
            </w:r>
          </w:p>
        </w:tc>
        <w:tc>
          <w:tcPr>
            <w:tcW w:w="995" w:type="dxa"/>
          </w:tcPr>
          <w:p w:rsidR="00CC3BA4" w:rsidRPr="00D36FBC" w:rsidRDefault="00CC3BA4" w:rsidP="004A42D5">
            <w:pPr>
              <w:pStyle w:val="Tabletext"/>
              <w:rPr>
                <w:rFonts w:cs="Tahoma"/>
              </w:rPr>
            </w:pPr>
            <w:r w:rsidRPr="00D36FBC">
              <w:rPr>
                <w:rFonts w:cs="Tahoma"/>
              </w:rPr>
              <w:t>Not serious</w:t>
            </w:r>
          </w:p>
        </w:tc>
        <w:tc>
          <w:tcPr>
            <w:tcW w:w="1035" w:type="dxa"/>
          </w:tcPr>
          <w:p w:rsidR="00CC3BA4" w:rsidRPr="00D36FBC" w:rsidRDefault="0079256B" w:rsidP="0079256B">
            <w:pPr>
              <w:pStyle w:val="Tabletext"/>
              <w:rPr>
                <w:rFonts w:cs="Tahoma"/>
              </w:rPr>
            </w:pPr>
            <w:r>
              <w:rPr>
                <w:rFonts w:cs="Tahoma"/>
              </w:rPr>
              <w:t>Very s</w:t>
            </w:r>
            <w:r w:rsidR="00CC3BA4">
              <w:rPr>
                <w:rFonts w:cs="Tahoma"/>
              </w:rPr>
              <w:t>erio</w:t>
            </w:r>
            <w:r w:rsidR="00CC3BA4" w:rsidRPr="00D36FBC">
              <w:rPr>
                <w:rFonts w:cs="Tahoma"/>
              </w:rPr>
              <w:t>us</w:t>
            </w:r>
            <w:r w:rsidR="00CC3BA4">
              <w:rPr>
                <w:rFonts w:cs="Tahoma"/>
              </w:rPr>
              <w:t xml:space="preserve"> </w:t>
            </w:r>
            <w:r w:rsidR="00CC3BA4" w:rsidRPr="00466E66">
              <w:rPr>
                <w:rFonts w:cs="Tahoma"/>
                <w:vertAlign w:val="superscript"/>
              </w:rPr>
              <w:t>c</w:t>
            </w:r>
          </w:p>
        </w:tc>
        <w:tc>
          <w:tcPr>
            <w:tcW w:w="1230" w:type="dxa"/>
          </w:tcPr>
          <w:p w:rsidR="00CC3BA4" w:rsidRPr="00D36FBC" w:rsidRDefault="008B0C36" w:rsidP="004A42D5">
            <w:pPr>
              <w:pStyle w:val="Tabletext"/>
              <w:rPr>
                <w:rFonts w:cs="Tahoma"/>
              </w:rPr>
            </w:pPr>
            <w:r>
              <w:rPr>
                <w:rFonts w:cs="Tahoma"/>
              </w:rPr>
              <w:t>None</w:t>
            </w:r>
          </w:p>
        </w:tc>
        <w:tc>
          <w:tcPr>
            <w:tcW w:w="1417" w:type="dxa"/>
          </w:tcPr>
          <w:p w:rsidR="00CC3BA4" w:rsidRPr="00466E66" w:rsidRDefault="00CC3BA4" w:rsidP="004A42D5">
            <w:pPr>
              <w:pStyle w:val="Tabletext"/>
              <w:rPr>
                <w:rFonts w:cs="Tahoma"/>
              </w:rPr>
            </w:pPr>
            <w:r>
              <w:rPr>
                <w:rFonts w:cs="Tahoma"/>
              </w:rPr>
              <w:t>2/9 (22.2%)</w:t>
            </w:r>
          </w:p>
        </w:tc>
        <w:tc>
          <w:tcPr>
            <w:tcW w:w="1134" w:type="dxa"/>
          </w:tcPr>
          <w:p w:rsidR="00CC3BA4" w:rsidRPr="001D2AD7" w:rsidRDefault="00CC3BA4" w:rsidP="004A42D5">
            <w:pPr>
              <w:pStyle w:val="Tabletext"/>
              <w:rPr>
                <w:rFonts w:cs="Tahoma"/>
                <w:highlight w:val="cyan"/>
              </w:rPr>
            </w:pPr>
            <w:r w:rsidRPr="00466E66">
              <w:rPr>
                <w:rFonts w:cs="Tahoma"/>
              </w:rPr>
              <w:t>4/11 (36.4%)</w:t>
            </w:r>
          </w:p>
        </w:tc>
        <w:tc>
          <w:tcPr>
            <w:tcW w:w="993" w:type="dxa"/>
          </w:tcPr>
          <w:p w:rsidR="00CC3BA4" w:rsidRPr="001D2AD7" w:rsidRDefault="00CC3BA4" w:rsidP="004A42D5">
            <w:pPr>
              <w:pStyle w:val="Tabletext"/>
              <w:rPr>
                <w:rFonts w:cs="Tahoma"/>
                <w:highlight w:val="cyan"/>
              </w:rPr>
            </w:pPr>
            <w:r w:rsidRPr="00466E66">
              <w:rPr>
                <w:rFonts w:cs="Tahoma"/>
              </w:rPr>
              <w:t xml:space="preserve">HR </w:t>
            </w:r>
            <w:r>
              <w:rPr>
                <w:rFonts w:cs="Tahoma"/>
              </w:rPr>
              <w:t xml:space="preserve">= </w:t>
            </w:r>
            <w:r w:rsidRPr="00466E66">
              <w:rPr>
                <w:rFonts w:cs="Tahoma"/>
              </w:rPr>
              <w:t>0.57</w:t>
            </w:r>
            <w:r>
              <w:rPr>
                <w:rFonts w:cs="Tahoma"/>
              </w:rPr>
              <w:t xml:space="preserve"> </w:t>
            </w:r>
            <w:r w:rsidRPr="00466E66">
              <w:rPr>
                <w:rFonts w:cs="Tahoma"/>
              </w:rPr>
              <w:t>(0.10</w:t>
            </w:r>
            <w:r>
              <w:rPr>
                <w:rFonts w:cs="Tahoma"/>
              </w:rPr>
              <w:t>,</w:t>
            </w:r>
            <w:r w:rsidRPr="00466E66">
              <w:rPr>
                <w:rFonts w:cs="Tahoma"/>
              </w:rPr>
              <w:t xml:space="preserve"> 3.17)</w:t>
            </w:r>
          </w:p>
        </w:tc>
        <w:tc>
          <w:tcPr>
            <w:tcW w:w="2188" w:type="dxa"/>
          </w:tcPr>
          <w:p w:rsidR="00CC3BA4" w:rsidRPr="00D36FBC" w:rsidRDefault="00CC3BA4" w:rsidP="004A42D5">
            <w:pPr>
              <w:pStyle w:val="Tabletext"/>
              <w:rPr>
                <w:rFonts w:cs="Tahoma"/>
                <w:highlight w:val="cyan"/>
              </w:rPr>
            </w:pPr>
            <w:r w:rsidRPr="00466E66">
              <w:rPr>
                <w:rFonts w:cs="Tahoma"/>
              </w:rPr>
              <w:t>137 fewer per 1,000</w:t>
            </w:r>
            <w:r>
              <w:rPr>
                <w:rFonts w:cs="Tahoma"/>
              </w:rPr>
              <w:br/>
            </w:r>
            <w:r w:rsidRPr="00466E66">
              <w:rPr>
                <w:rFonts w:cs="Tahoma"/>
              </w:rPr>
              <w:t>(from 319 fewer to 398 more)</w:t>
            </w:r>
          </w:p>
        </w:tc>
        <w:tc>
          <w:tcPr>
            <w:tcW w:w="1214" w:type="dxa"/>
          </w:tcPr>
          <w:p w:rsidR="008B0C36" w:rsidRDefault="00BD743C" w:rsidP="008B0C36">
            <w:pPr>
              <w:pStyle w:val="Tabletext"/>
              <w:rPr>
                <w:rFonts w:ascii="Cambria Math" w:eastAsia="Times New Roman" w:hAnsi="Cambria Math" w:cs="Cambria Math"/>
                <w:bCs/>
              </w:rPr>
            </w:pPr>
            <w:r>
              <w:rPr>
                <w:rFonts w:eastAsia="Times New Roman" w:cs="Tahoma"/>
                <w:bCs/>
              </w:rPr>
              <w:t>Low</w:t>
            </w:r>
            <w:r w:rsidR="008B0C36">
              <w:rPr>
                <w:rFonts w:eastAsia="Times New Roman" w:cs="Tahoma"/>
                <w:bCs/>
              </w:rPr>
              <w:br/>
            </w:r>
            <w:r w:rsidR="008B0C36">
              <w:rPr>
                <w:rFonts w:ascii="Cambria Math" w:eastAsia="Times New Roman" w:hAnsi="Cambria Math" w:cs="Cambria Math"/>
                <w:bCs/>
                <w:color w:val="00B050"/>
              </w:rPr>
              <w:t>⨁⨁</w:t>
            </w:r>
            <w:r w:rsidRPr="00E564DD">
              <w:rPr>
                <w:rFonts w:ascii="Cambria Math" w:eastAsia="Times New Roman" w:hAnsi="Cambria Math" w:cs="Cambria Math"/>
                <w:bCs/>
                <w:color w:val="C00000"/>
              </w:rPr>
              <w:t>⨀</w:t>
            </w:r>
            <w:r w:rsidR="008B0C36" w:rsidRPr="00E564DD">
              <w:rPr>
                <w:rFonts w:ascii="Cambria Math" w:eastAsia="Times New Roman" w:hAnsi="Cambria Math" w:cs="Cambria Math"/>
                <w:bCs/>
                <w:color w:val="C00000"/>
              </w:rPr>
              <w:t>⨀</w:t>
            </w:r>
          </w:p>
          <w:p w:rsidR="00CC3BA4" w:rsidRPr="00D36FBC" w:rsidRDefault="00CC3BA4" w:rsidP="004A42D5">
            <w:pPr>
              <w:pStyle w:val="Tabletext"/>
              <w:rPr>
                <w:rFonts w:eastAsia="Times New Roman" w:cs="Cambria Math"/>
                <w:bCs/>
                <w:color w:val="00B050"/>
              </w:rPr>
            </w:pPr>
            <w:r w:rsidRPr="00E564DD">
              <w:rPr>
                <w:rFonts w:cs="Tahoma"/>
              </w:rPr>
              <w:t>Critical</w:t>
            </w:r>
          </w:p>
        </w:tc>
      </w:tr>
    </w:tbl>
    <w:p w:rsidR="00CC3BA4" w:rsidRPr="00AA018C" w:rsidRDefault="00CC3BA4" w:rsidP="004A42D5">
      <w:pPr>
        <w:pStyle w:val="Tablenote"/>
      </w:pPr>
      <w:r w:rsidRPr="00E564DD">
        <w:rPr>
          <w:vertAlign w:val="superscript"/>
        </w:rPr>
        <w:t xml:space="preserve">a </w:t>
      </w:r>
      <w:r w:rsidRPr="00AA018C">
        <w:t>O</w:t>
      </w:r>
      <w:r>
        <w:t>ther considerations such as publication bias and effect size</w:t>
      </w:r>
    </w:p>
    <w:p w:rsidR="00CC3BA4" w:rsidRDefault="00CC3BA4" w:rsidP="004A42D5">
      <w:pPr>
        <w:pStyle w:val="Tablenote"/>
      </w:pPr>
      <w:r>
        <w:rPr>
          <w:vertAlign w:val="superscript"/>
        </w:rPr>
        <w:t xml:space="preserve">b </w:t>
      </w:r>
      <w:r w:rsidRPr="00E564DD">
        <w:t>GRADE W</w:t>
      </w:r>
      <w:r>
        <w:t>orking Group grades of evidence</w:t>
      </w:r>
      <w:r w:rsidR="001D34EE" w:rsidRPr="001D34EE">
        <w:rPr>
          <w:noProof/>
          <w:vertAlign w:val="superscript"/>
        </w:rPr>
        <w:t>1</w:t>
      </w:r>
    </w:p>
    <w:p w:rsidR="00CC3BA4" w:rsidRPr="00E564DD" w:rsidRDefault="00CC3BA4" w:rsidP="004A42D5">
      <w:pPr>
        <w:pStyle w:val="Tablenote"/>
      </w:pPr>
      <w:r>
        <w:rPr>
          <w:vertAlign w:val="superscript"/>
        </w:rPr>
        <w:t>c</w:t>
      </w:r>
      <w:r w:rsidRPr="00E564DD">
        <w:t xml:space="preserve"> </w:t>
      </w:r>
      <w:r>
        <w:t>Wide 95% CIs span 1</w:t>
      </w:r>
    </w:p>
    <w:p w:rsidR="00CC3BA4" w:rsidRPr="00E564DD" w:rsidRDefault="00CC3BA4" w:rsidP="004A42D5">
      <w:pPr>
        <w:pStyle w:val="Tablenote"/>
      </w:pPr>
      <w:r w:rsidRPr="00E564DD">
        <w:rPr>
          <w:rFonts w:ascii="Cambria Math" w:hAnsi="Cambria Math" w:cs="Cambria Math"/>
          <w:color w:val="00B050"/>
        </w:rPr>
        <w:t>⨁⨁⨁⨁</w:t>
      </w:r>
      <w:r w:rsidRPr="00E564DD">
        <w:rPr>
          <w:color w:val="00B050"/>
        </w:rPr>
        <w:t xml:space="preserve"> </w:t>
      </w:r>
      <w:r w:rsidRPr="00E564DD">
        <w:rPr>
          <w:b/>
        </w:rPr>
        <w:t>High quality:</w:t>
      </w:r>
      <w:r w:rsidRPr="00E564DD">
        <w:t xml:space="preserve"> We are very confident that the true effect lies close to that of the estimate of effect</w:t>
      </w:r>
    </w:p>
    <w:p w:rsidR="0079256B" w:rsidRPr="00E564DD" w:rsidRDefault="0079256B" w:rsidP="0079256B">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Low quality:</w:t>
      </w:r>
      <w:r w:rsidRPr="00E564DD">
        <w:t xml:space="preserve"> Our confidence in the effect estimate is limited: The true effect may be substantially different from the estimate of the effect</w:t>
      </w:r>
    </w:p>
    <w:p w:rsidR="00BD489D" w:rsidRDefault="00CC3BA4" w:rsidP="004A42D5">
      <w:pPr>
        <w:pStyle w:val="Tablenote"/>
      </w:pPr>
      <w:r>
        <w:t>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BD489D" w:rsidRPr="00F24B06">
        <w:t xml:space="preserve">; </w:t>
      </w:r>
      <w:r w:rsidR="00BD489D" w:rsidRPr="00C65B42">
        <w:t xml:space="preserve">HPAH = heritable PAH; </w:t>
      </w:r>
      <w:r w:rsidRPr="00C65B42">
        <w:t xml:space="preserve">HR = hazard ratio; IPAH = idiopathic PAH; PAH = pulmonary arterial hypertension; </w:t>
      </w:r>
      <w:r w:rsidR="00BD489D">
        <w:t>PAH-</w:t>
      </w:r>
      <w:r w:rsidR="00BD489D" w:rsidRPr="00822C52">
        <w:t xml:space="preserve">CHD = </w:t>
      </w:r>
      <w:r w:rsidR="00BD489D">
        <w:t xml:space="preserve">PAH associated with </w:t>
      </w:r>
      <w:r w:rsidR="00BD489D" w:rsidRPr="00822C52">
        <w:t xml:space="preserve">congenital heart disease; </w:t>
      </w:r>
      <w:r w:rsidR="00BD489D">
        <w:t>PAH-</w:t>
      </w:r>
      <w:r w:rsidR="00BD489D" w:rsidRPr="00822C52">
        <w:t xml:space="preserve">CTD = </w:t>
      </w:r>
      <w:r w:rsidR="00BD489D">
        <w:t xml:space="preserve">PAH associated with </w:t>
      </w:r>
      <w:r w:rsidR="00BD489D" w:rsidRPr="00822C52">
        <w:t xml:space="preserve">connective tissue disease; </w:t>
      </w:r>
      <w:r w:rsidRPr="009B5AB3">
        <w:t>PDE-5</w:t>
      </w:r>
      <w:r w:rsidR="00BD489D">
        <w:t>i</w:t>
      </w:r>
      <w:r w:rsidRPr="009B5AB3">
        <w:t xml:space="preserve"> = phosphodiesterase type-5</w:t>
      </w:r>
      <w:r w:rsidR="00BD489D">
        <w:t xml:space="preserve"> inhibitor</w:t>
      </w:r>
      <w:r>
        <w:t>;</w:t>
      </w:r>
      <w:r w:rsidRPr="009B5AB3">
        <w:t xml:space="preserve"> </w:t>
      </w:r>
      <w:r>
        <w:t>RCT = randomised controlled trial</w:t>
      </w:r>
    </w:p>
    <w:p w:rsidR="00CC3BA4" w:rsidRPr="005D4CA0" w:rsidRDefault="00796F18" w:rsidP="00BC5A2B">
      <w:pPr>
        <w:pStyle w:val="Caption"/>
      </w:pPr>
      <w:bookmarkStart w:id="510" w:name="_Ref505771575"/>
      <w:bookmarkStart w:id="511" w:name="_Toc512855556"/>
      <w:r>
        <w:lastRenderedPageBreak/>
        <w:t>Table 4.</w:t>
      </w:r>
      <w:r w:rsidR="00AA722D">
        <w:rPr>
          <w:noProof/>
        </w:rPr>
        <w:t>152</w:t>
      </w:r>
      <w:bookmarkEnd w:id="510"/>
      <w:r>
        <w:tab/>
      </w:r>
      <w:r w:rsidR="00CC3BA4" w:rsidRPr="005D4CA0">
        <w:t xml:space="preserve">Evidence profile table for </w:t>
      </w:r>
      <w:r w:rsidR="00CC3BA4">
        <w:t xml:space="preserve">comparative safety of </w:t>
      </w:r>
      <w:r w:rsidR="00CC3BA4" w:rsidRPr="005D4CA0">
        <w:t xml:space="preserve">ERA </w:t>
      </w:r>
      <w:r w:rsidR="00AD2B3C">
        <w:t>plus</w:t>
      </w:r>
      <w:r w:rsidR="00CC3BA4">
        <w:t xml:space="preserve"> PDE-5 inhibitor combination therapy </w:t>
      </w:r>
      <w:r w:rsidR="00CC3BA4" w:rsidRPr="005D4CA0">
        <w:t xml:space="preserve">compared to </w:t>
      </w:r>
      <w:r w:rsidR="00CC3BA4">
        <w:t>PDE-5 inhibitor</w:t>
      </w:r>
      <w:r w:rsidR="00CC3BA4" w:rsidRPr="005D4CA0">
        <w:t xml:space="preserve"> </w:t>
      </w:r>
      <w:r w:rsidR="00CC3BA4">
        <w:t xml:space="preserve">monotherapy </w:t>
      </w:r>
      <w:r w:rsidR="00CC3BA4" w:rsidRPr="005D4CA0">
        <w:t xml:space="preserve">for </w:t>
      </w:r>
      <w:r w:rsidR="00CC3BA4">
        <w:t>all PAH patients</w:t>
      </w:r>
      <w:bookmarkEnd w:id="511"/>
    </w:p>
    <w:tbl>
      <w:tblPr>
        <w:tblStyle w:val="TableGrid"/>
        <w:tblW w:w="14596" w:type="dxa"/>
        <w:tblLayout w:type="fixed"/>
        <w:tblLook w:val="04A0" w:firstRow="1" w:lastRow="0" w:firstColumn="1" w:lastColumn="0" w:noHBand="0" w:noVBand="1"/>
        <w:tblCaption w:val="Evidence profile table for comparative safety of ERA plus PDE-5 inhibitor combination therapy compared to PDE-5 inhibitor monotherapy for all PAH patients"/>
      </w:tblPr>
      <w:tblGrid>
        <w:gridCol w:w="1493"/>
        <w:gridCol w:w="1054"/>
        <w:gridCol w:w="771"/>
        <w:gridCol w:w="1072"/>
        <w:gridCol w:w="992"/>
        <w:gridCol w:w="992"/>
        <w:gridCol w:w="1276"/>
        <w:gridCol w:w="1417"/>
        <w:gridCol w:w="1134"/>
        <w:gridCol w:w="993"/>
        <w:gridCol w:w="2188"/>
        <w:gridCol w:w="1214"/>
      </w:tblGrid>
      <w:tr w:rsidR="00F13836" w:rsidRPr="004A42D5" w:rsidTr="001363C5">
        <w:trPr>
          <w:cnfStyle w:val="100000000000" w:firstRow="1" w:lastRow="0" w:firstColumn="0" w:lastColumn="0" w:oddVBand="0" w:evenVBand="0" w:oddHBand="0" w:evenHBand="0" w:firstRowFirstColumn="0" w:firstRowLastColumn="0" w:lastRowFirstColumn="0" w:lastRowLastColumn="0"/>
          <w:trHeight w:val="321"/>
        </w:trPr>
        <w:tc>
          <w:tcPr>
            <w:tcW w:w="1493" w:type="dxa"/>
          </w:tcPr>
          <w:p w:rsidR="00476F09" w:rsidRPr="004A42D5" w:rsidRDefault="00476F09" w:rsidP="004A42D5">
            <w:pPr>
              <w:pStyle w:val="Tabletext"/>
              <w:rPr>
                <w:b/>
              </w:rPr>
            </w:pPr>
            <w:r w:rsidRPr="004A42D5">
              <w:rPr>
                <w:b/>
              </w:rPr>
              <w:t>Outcome (follow-up)</w:t>
            </w:r>
          </w:p>
        </w:tc>
        <w:tc>
          <w:tcPr>
            <w:tcW w:w="1054" w:type="dxa"/>
          </w:tcPr>
          <w:p w:rsidR="00476F09" w:rsidRPr="004A42D5" w:rsidRDefault="00476F09" w:rsidP="004A42D5">
            <w:pPr>
              <w:pStyle w:val="Tabletext"/>
              <w:rPr>
                <w:b/>
              </w:rPr>
            </w:pPr>
            <w:r w:rsidRPr="004A42D5">
              <w:rPr>
                <w:b/>
              </w:rPr>
              <w:t>No. of studies and study design</w:t>
            </w:r>
          </w:p>
        </w:tc>
        <w:tc>
          <w:tcPr>
            <w:tcW w:w="771" w:type="dxa"/>
          </w:tcPr>
          <w:p w:rsidR="00476F09" w:rsidRPr="004A42D5" w:rsidRDefault="00476F09" w:rsidP="004A42D5">
            <w:pPr>
              <w:pStyle w:val="Tabletext"/>
              <w:rPr>
                <w:b/>
              </w:rPr>
            </w:pPr>
            <w:r w:rsidRPr="004A42D5">
              <w:rPr>
                <w:b/>
              </w:rPr>
              <w:t>Risk of bias</w:t>
            </w:r>
          </w:p>
        </w:tc>
        <w:tc>
          <w:tcPr>
            <w:tcW w:w="1072" w:type="dxa"/>
          </w:tcPr>
          <w:p w:rsidR="00476F09" w:rsidRPr="004A42D5" w:rsidRDefault="00476F09" w:rsidP="004A42D5">
            <w:pPr>
              <w:pStyle w:val="Tabletext"/>
              <w:rPr>
                <w:b/>
              </w:rPr>
            </w:pPr>
            <w:r w:rsidRPr="004A42D5">
              <w:rPr>
                <w:b/>
              </w:rPr>
              <w:t>Inconsis</w:t>
            </w:r>
            <w:r w:rsidR="001363C5">
              <w:rPr>
                <w:b/>
              </w:rPr>
              <w:t>-</w:t>
            </w:r>
            <w:r w:rsidRPr="004A42D5">
              <w:rPr>
                <w:b/>
              </w:rPr>
              <w:t>tency</w:t>
            </w:r>
          </w:p>
        </w:tc>
        <w:tc>
          <w:tcPr>
            <w:tcW w:w="992" w:type="dxa"/>
          </w:tcPr>
          <w:p w:rsidR="00476F09" w:rsidRPr="004A42D5" w:rsidRDefault="00476F09" w:rsidP="004A42D5">
            <w:pPr>
              <w:pStyle w:val="Tabletext"/>
              <w:rPr>
                <w:b/>
              </w:rPr>
            </w:pPr>
            <w:r w:rsidRPr="004A42D5">
              <w:rPr>
                <w:b/>
              </w:rPr>
              <w:t>Indirect</w:t>
            </w:r>
            <w:r w:rsidR="001363C5">
              <w:rPr>
                <w:b/>
              </w:rPr>
              <w:t>-</w:t>
            </w:r>
            <w:r w:rsidRPr="004A42D5">
              <w:rPr>
                <w:b/>
              </w:rPr>
              <w:t>ness</w:t>
            </w:r>
          </w:p>
        </w:tc>
        <w:tc>
          <w:tcPr>
            <w:tcW w:w="992" w:type="dxa"/>
          </w:tcPr>
          <w:p w:rsidR="00476F09" w:rsidRPr="004A42D5" w:rsidRDefault="00476F09" w:rsidP="004A42D5">
            <w:pPr>
              <w:pStyle w:val="Tabletext"/>
              <w:rPr>
                <w:b/>
              </w:rPr>
            </w:pPr>
            <w:r w:rsidRPr="004A42D5">
              <w:rPr>
                <w:b/>
              </w:rPr>
              <w:t>Impre</w:t>
            </w:r>
            <w:r w:rsidR="001363C5">
              <w:rPr>
                <w:b/>
              </w:rPr>
              <w:t>-</w:t>
            </w:r>
            <w:r w:rsidRPr="004A42D5">
              <w:rPr>
                <w:b/>
              </w:rPr>
              <w:t>cision</w:t>
            </w:r>
          </w:p>
        </w:tc>
        <w:tc>
          <w:tcPr>
            <w:tcW w:w="1276" w:type="dxa"/>
          </w:tcPr>
          <w:p w:rsidR="00476F09" w:rsidRPr="004A42D5" w:rsidRDefault="00476F09" w:rsidP="004A42D5">
            <w:pPr>
              <w:pStyle w:val="Tabletext"/>
              <w:rPr>
                <w:b/>
              </w:rPr>
            </w:pPr>
            <w:r w:rsidRPr="004A42D5">
              <w:rPr>
                <w:b/>
              </w:rPr>
              <w:t>Other conside</w:t>
            </w:r>
            <w:r w:rsidR="001363C5">
              <w:rPr>
                <w:b/>
              </w:rPr>
              <w:t>-</w:t>
            </w:r>
            <w:r w:rsidRPr="004A42D5">
              <w:rPr>
                <w:b/>
              </w:rPr>
              <w:t>rations</w:t>
            </w:r>
            <w:r w:rsidRPr="004A42D5">
              <w:rPr>
                <w:b/>
                <w:vertAlign w:val="superscript"/>
              </w:rPr>
              <w:t>a</w:t>
            </w:r>
          </w:p>
        </w:tc>
        <w:tc>
          <w:tcPr>
            <w:tcW w:w="1417" w:type="dxa"/>
          </w:tcPr>
          <w:p w:rsidR="00476F09" w:rsidRPr="004A42D5" w:rsidRDefault="00476F09" w:rsidP="004A42D5">
            <w:pPr>
              <w:pStyle w:val="Tabletext"/>
              <w:rPr>
                <w:b/>
              </w:rPr>
            </w:pPr>
            <w:r w:rsidRPr="004A42D5">
              <w:rPr>
                <w:b/>
              </w:rPr>
              <w:t>Study event rates (%) with ERA + PDE-5i</w:t>
            </w:r>
          </w:p>
        </w:tc>
        <w:tc>
          <w:tcPr>
            <w:tcW w:w="1134" w:type="dxa"/>
          </w:tcPr>
          <w:p w:rsidR="00476F09" w:rsidRPr="004A42D5" w:rsidRDefault="00476F09" w:rsidP="004A42D5">
            <w:pPr>
              <w:pStyle w:val="Tabletext"/>
              <w:rPr>
                <w:b/>
              </w:rPr>
            </w:pPr>
            <w:r w:rsidRPr="004A42D5">
              <w:rPr>
                <w:b/>
              </w:rPr>
              <w:t>Study event rates (%) with PDE-5i</w:t>
            </w:r>
          </w:p>
        </w:tc>
        <w:tc>
          <w:tcPr>
            <w:tcW w:w="993" w:type="dxa"/>
          </w:tcPr>
          <w:p w:rsidR="00476F09" w:rsidRPr="004A42D5" w:rsidRDefault="00476F09" w:rsidP="004A42D5">
            <w:pPr>
              <w:pStyle w:val="Tabletext"/>
              <w:rPr>
                <w:b/>
              </w:rPr>
            </w:pPr>
            <w:r w:rsidRPr="004A42D5">
              <w:rPr>
                <w:b/>
              </w:rPr>
              <w:t>Effect measure (95%CI)</w:t>
            </w:r>
          </w:p>
        </w:tc>
        <w:tc>
          <w:tcPr>
            <w:tcW w:w="2188" w:type="dxa"/>
          </w:tcPr>
          <w:p w:rsidR="00476F09" w:rsidRPr="004A42D5" w:rsidRDefault="00476F09" w:rsidP="004A42D5">
            <w:pPr>
              <w:pStyle w:val="Tabletext"/>
              <w:rPr>
                <w:b/>
              </w:rPr>
            </w:pPr>
            <w:r w:rsidRPr="004A42D5">
              <w:rPr>
                <w:b/>
              </w:rPr>
              <w:t>Absolute effect (95%CI)</w:t>
            </w:r>
          </w:p>
        </w:tc>
        <w:tc>
          <w:tcPr>
            <w:tcW w:w="1214" w:type="dxa"/>
          </w:tcPr>
          <w:p w:rsidR="00BD489D" w:rsidRDefault="00BD489D" w:rsidP="004A42D5">
            <w:pPr>
              <w:pStyle w:val="Tabletext"/>
              <w:rPr>
                <w:b/>
              </w:rPr>
            </w:pPr>
            <w:r>
              <w:rPr>
                <w:b/>
              </w:rPr>
              <w:t>GRADE</w:t>
            </w:r>
            <w:r w:rsidRPr="00BD489D">
              <w:rPr>
                <w:b/>
                <w:vertAlign w:val="superscript"/>
              </w:rPr>
              <w:t>b</w:t>
            </w:r>
          </w:p>
          <w:p w:rsidR="00476F09" w:rsidRPr="004A42D5" w:rsidRDefault="00476F09" w:rsidP="004A42D5">
            <w:pPr>
              <w:pStyle w:val="Tabletext"/>
              <w:rPr>
                <w:b/>
                <w:vertAlign w:val="superscript"/>
              </w:rPr>
            </w:pPr>
            <w:r w:rsidRPr="004A42D5">
              <w:rPr>
                <w:b/>
              </w:rPr>
              <w:t>Quality</w:t>
            </w:r>
          </w:p>
          <w:p w:rsidR="00476F09" w:rsidRPr="004A42D5" w:rsidRDefault="00476F09" w:rsidP="004A42D5">
            <w:pPr>
              <w:pStyle w:val="Tabletext"/>
              <w:rPr>
                <w:b/>
              </w:rPr>
            </w:pPr>
            <w:r w:rsidRPr="004A42D5">
              <w:rPr>
                <w:b/>
              </w:rPr>
              <w:t>Importance</w:t>
            </w:r>
          </w:p>
        </w:tc>
      </w:tr>
      <w:tr w:rsidR="00CC3BA4" w:rsidRPr="00E564DD" w:rsidTr="001363C5">
        <w:trPr>
          <w:trHeight w:val="319"/>
        </w:trPr>
        <w:tc>
          <w:tcPr>
            <w:tcW w:w="1493" w:type="dxa"/>
          </w:tcPr>
          <w:p w:rsidR="00CC3BA4" w:rsidRPr="00E564DD" w:rsidRDefault="00CC3BA4" w:rsidP="004A42D5">
            <w:pPr>
              <w:pStyle w:val="Tabletext"/>
              <w:rPr>
                <w:rFonts w:cs="Tahoma"/>
              </w:rPr>
            </w:pPr>
            <w:r>
              <w:rPr>
                <w:rFonts w:cs="Tahoma"/>
              </w:rPr>
              <w:t>Any AE</w:t>
            </w:r>
            <w:r>
              <w:rPr>
                <w:rFonts w:cs="Tahoma"/>
              </w:rPr>
              <w:br/>
              <w:t>(104 weeks)</w:t>
            </w:r>
          </w:p>
        </w:tc>
        <w:tc>
          <w:tcPr>
            <w:tcW w:w="1054" w:type="dxa"/>
          </w:tcPr>
          <w:p w:rsidR="00CC3BA4" w:rsidRPr="00E564DD" w:rsidRDefault="00CC3BA4" w:rsidP="004A42D5">
            <w:pPr>
              <w:pStyle w:val="Tabletext"/>
              <w:rPr>
                <w:rFonts w:cs="Tahoma"/>
              </w:rPr>
            </w:pPr>
            <w:r>
              <w:rPr>
                <w:rFonts w:cs="Tahoma"/>
              </w:rPr>
              <w:t>1</w:t>
            </w:r>
            <w:r w:rsidRPr="00E564DD">
              <w:rPr>
                <w:rFonts w:cs="Tahoma"/>
              </w:rPr>
              <w:t xml:space="preserve"> RCT</w:t>
            </w:r>
          </w:p>
        </w:tc>
        <w:tc>
          <w:tcPr>
            <w:tcW w:w="771" w:type="dxa"/>
          </w:tcPr>
          <w:p w:rsidR="00CC3BA4" w:rsidRPr="00E564DD" w:rsidRDefault="00CC3BA4" w:rsidP="004A42D5">
            <w:pPr>
              <w:pStyle w:val="Tabletext"/>
              <w:rPr>
                <w:rFonts w:cs="Tahoma"/>
              </w:rPr>
            </w:pPr>
            <w:r w:rsidRPr="00E564DD">
              <w:rPr>
                <w:rFonts w:cs="Tahoma"/>
              </w:rPr>
              <w:t>Not serious</w:t>
            </w:r>
          </w:p>
        </w:tc>
        <w:tc>
          <w:tcPr>
            <w:tcW w:w="1072" w:type="dxa"/>
          </w:tcPr>
          <w:p w:rsidR="00CC3BA4" w:rsidRPr="00E564DD" w:rsidRDefault="00CC3BA4" w:rsidP="004A42D5">
            <w:pPr>
              <w:pStyle w:val="Tabletext"/>
              <w:rPr>
                <w:rFonts w:cs="Tahoma"/>
              </w:rPr>
            </w:pPr>
            <w:r w:rsidRPr="00E564DD">
              <w:rPr>
                <w:rFonts w:cs="Tahoma"/>
              </w:rPr>
              <w:t>Not serious</w:t>
            </w:r>
          </w:p>
        </w:tc>
        <w:tc>
          <w:tcPr>
            <w:tcW w:w="992" w:type="dxa"/>
          </w:tcPr>
          <w:p w:rsidR="00CC3BA4" w:rsidRPr="00E564DD" w:rsidRDefault="00CC3BA4" w:rsidP="004A42D5">
            <w:pPr>
              <w:pStyle w:val="Tabletext"/>
              <w:rPr>
                <w:rFonts w:cs="Tahoma"/>
              </w:rPr>
            </w:pPr>
            <w:r w:rsidRPr="00E564DD">
              <w:rPr>
                <w:rFonts w:cs="Tahoma"/>
              </w:rPr>
              <w:t>Not serious</w:t>
            </w:r>
          </w:p>
        </w:tc>
        <w:tc>
          <w:tcPr>
            <w:tcW w:w="992" w:type="dxa"/>
          </w:tcPr>
          <w:p w:rsidR="00CC3BA4" w:rsidRPr="00E564DD" w:rsidRDefault="00CC3BA4" w:rsidP="004A42D5">
            <w:pPr>
              <w:pStyle w:val="Tabletext"/>
              <w:rPr>
                <w:rFonts w:cs="Tahoma"/>
              </w:rPr>
            </w:pPr>
            <w:r w:rsidRPr="00E564DD">
              <w:rPr>
                <w:rFonts w:cs="Tahoma"/>
              </w:rPr>
              <w:t>Not serious</w:t>
            </w:r>
          </w:p>
        </w:tc>
        <w:tc>
          <w:tcPr>
            <w:tcW w:w="1276" w:type="dxa"/>
          </w:tcPr>
          <w:p w:rsidR="00CC3BA4" w:rsidRPr="00E564DD" w:rsidRDefault="00CC3BA4" w:rsidP="004A42D5">
            <w:pPr>
              <w:pStyle w:val="Tabletext"/>
              <w:rPr>
                <w:rFonts w:cs="Tahoma"/>
              </w:rPr>
            </w:pPr>
            <w:r w:rsidRPr="00E564DD">
              <w:rPr>
                <w:rFonts w:cs="Tahoma"/>
              </w:rPr>
              <w:t>None</w:t>
            </w:r>
          </w:p>
        </w:tc>
        <w:tc>
          <w:tcPr>
            <w:tcW w:w="1417" w:type="dxa"/>
          </w:tcPr>
          <w:p w:rsidR="00CC3BA4" w:rsidRPr="00456F1B" w:rsidRDefault="00CC3BA4" w:rsidP="004A42D5">
            <w:pPr>
              <w:pStyle w:val="Tabletext"/>
              <w:rPr>
                <w:rFonts w:cs="Tahoma"/>
                <w:highlight w:val="cyan"/>
              </w:rPr>
            </w:pPr>
            <w:r w:rsidRPr="00456F1B">
              <w:rPr>
                <w:rFonts w:eastAsia="Times New Roman"/>
              </w:rPr>
              <w:t xml:space="preserve">144/159 (90.6%) </w:t>
            </w:r>
          </w:p>
        </w:tc>
        <w:tc>
          <w:tcPr>
            <w:tcW w:w="1134" w:type="dxa"/>
          </w:tcPr>
          <w:p w:rsidR="00CC3BA4" w:rsidRPr="00362678" w:rsidRDefault="00CC3BA4" w:rsidP="00362678">
            <w:pPr>
              <w:pStyle w:val="Tabletext"/>
              <w:rPr>
                <w:highlight w:val="cyan"/>
              </w:rPr>
            </w:pPr>
            <w:r w:rsidRPr="00362678">
              <w:rPr>
                <w:rStyle w:val="cell-value"/>
              </w:rPr>
              <w:t xml:space="preserve">159/174 (91.4%) </w:t>
            </w:r>
          </w:p>
        </w:tc>
        <w:tc>
          <w:tcPr>
            <w:tcW w:w="993" w:type="dxa"/>
          </w:tcPr>
          <w:p w:rsidR="00CC3BA4" w:rsidRPr="00362678" w:rsidRDefault="00CC3BA4" w:rsidP="00362678">
            <w:pPr>
              <w:pStyle w:val="Tabletext"/>
              <w:rPr>
                <w:highlight w:val="cyan"/>
              </w:rPr>
            </w:pPr>
            <w:r w:rsidRPr="00362678">
              <w:rPr>
                <w:rStyle w:val="block"/>
              </w:rPr>
              <w:t xml:space="preserve">RR = 0.99 </w:t>
            </w:r>
            <w:r w:rsidRPr="00362678">
              <w:rPr>
                <w:rStyle w:val="cell"/>
              </w:rPr>
              <w:t>(0.93, 1.06)</w:t>
            </w:r>
            <w:r w:rsidRPr="00362678">
              <w:t xml:space="preserve"> </w:t>
            </w:r>
          </w:p>
        </w:tc>
        <w:tc>
          <w:tcPr>
            <w:tcW w:w="2188" w:type="dxa"/>
          </w:tcPr>
          <w:p w:rsidR="00CC3BA4" w:rsidRPr="00456F1B" w:rsidRDefault="00CC3BA4" w:rsidP="004A42D5">
            <w:pPr>
              <w:pStyle w:val="Tabletext"/>
              <w:rPr>
                <w:rFonts w:cs="Tahoma"/>
                <w:highlight w:val="cyan"/>
              </w:rPr>
            </w:pPr>
            <w:r w:rsidRPr="00456F1B">
              <w:rPr>
                <w:rFonts w:eastAsia="Times New Roman"/>
                <w:bCs/>
              </w:rPr>
              <w:t>9 fewer per 1,000</w:t>
            </w:r>
            <w:r w:rsidRPr="00456F1B">
              <w:rPr>
                <w:rFonts w:eastAsia="Times New Roman"/>
              </w:rPr>
              <w:br/>
              <w:t xml:space="preserve">(from 55 more to 64 fewer) </w:t>
            </w:r>
          </w:p>
        </w:tc>
        <w:tc>
          <w:tcPr>
            <w:tcW w:w="1214" w:type="dxa"/>
          </w:tcPr>
          <w:p w:rsidR="00CC3BA4" w:rsidRDefault="00CC3BA4" w:rsidP="004A42D5">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E564DD" w:rsidRDefault="00CC3BA4" w:rsidP="004A42D5">
            <w:pPr>
              <w:pStyle w:val="Tabletext"/>
              <w:rPr>
                <w:rFonts w:cs="Tahoma"/>
              </w:rPr>
            </w:pPr>
            <w:r w:rsidRPr="00E564DD">
              <w:rPr>
                <w:rFonts w:cs="Tahoma"/>
              </w:rPr>
              <w:t>Important</w:t>
            </w:r>
          </w:p>
        </w:tc>
      </w:tr>
      <w:tr w:rsidR="00CC3BA4" w:rsidRPr="00E564DD" w:rsidTr="001363C5">
        <w:trPr>
          <w:trHeight w:val="319"/>
        </w:trPr>
        <w:tc>
          <w:tcPr>
            <w:tcW w:w="1493" w:type="dxa"/>
          </w:tcPr>
          <w:p w:rsidR="00CC3BA4" w:rsidRPr="00E564DD" w:rsidRDefault="00CC3BA4" w:rsidP="004A42D5">
            <w:pPr>
              <w:pStyle w:val="Tabletext"/>
              <w:rPr>
                <w:rFonts w:cs="Tahoma"/>
              </w:rPr>
            </w:pPr>
            <w:r>
              <w:rPr>
                <w:rFonts w:cs="Tahoma"/>
              </w:rPr>
              <w:t>Serious AEs</w:t>
            </w:r>
            <w:r>
              <w:rPr>
                <w:rFonts w:cs="Tahoma"/>
              </w:rPr>
              <w:br/>
              <w:t>(24−104 weeks)</w:t>
            </w:r>
          </w:p>
        </w:tc>
        <w:tc>
          <w:tcPr>
            <w:tcW w:w="1054" w:type="dxa"/>
          </w:tcPr>
          <w:p w:rsidR="00CC3BA4" w:rsidRPr="00E564DD" w:rsidRDefault="00CC3BA4" w:rsidP="004A42D5">
            <w:pPr>
              <w:pStyle w:val="Tabletext"/>
              <w:rPr>
                <w:rFonts w:cs="Tahoma"/>
              </w:rPr>
            </w:pPr>
            <w:r>
              <w:rPr>
                <w:rFonts w:cs="Tahoma"/>
              </w:rPr>
              <w:t>2</w:t>
            </w:r>
            <w:r w:rsidRPr="00E564DD">
              <w:rPr>
                <w:rFonts w:cs="Tahoma"/>
              </w:rPr>
              <w:t xml:space="preserve"> RCTs</w:t>
            </w:r>
          </w:p>
        </w:tc>
        <w:tc>
          <w:tcPr>
            <w:tcW w:w="771" w:type="dxa"/>
          </w:tcPr>
          <w:p w:rsidR="00CC3BA4" w:rsidRPr="00E564DD" w:rsidRDefault="00CC3BA4" w:rsidP="004A42D5">
            <w:pPr>
              <w:pStyle w:val="Tabletext"/>
              <w:rPr>
                <w:rFonts w:cs="Tahoma"/>
              </w:rPr>
            </w:pPr>
            <w:r w:rsidRPr="00E564DD">
              <w:rPr>
                <w:rFonts w:cs="Tahoma"/>
              </w:rPr>
              <w:t>Not serious</w:t>
            </w:r>
          </w:p>
        </w:tc>
        <w:tc>
          <w:tcPr>
            <w:tcW w:w="1072" w:type="dxa"/>
          </w:tcPr>
          <w:p w:rsidR="00CC3BA4" w:rsidRPr="00E564DD" w:rsidRDefault="00CC3BA4" w:rsidP="004A42D5">
            <w:pPr>
              <w:pStyle w:val="Tabletext"/>
              <w:rPr>
                <w:rFonts w:cs="Tahoma"/>
              </w:rPr>
            </w:pPr>
            <w:r w:rsidRPr="00E564DD">
              <w:rPr>
                <w:rFonts w:cs="Tahoma"/>
              </w:rPr>
              <w:t>Not serious</w:t>
            </w:r>
          </w:p>
        </w:tc>
        <w:tc>
          <w:tcPr>
            <w:tcW w:w="992" w:type="dxa"/>
          </w:tcPr>
          <w:p w:rsidR="00CC3BA4" w:rsidRPr="00E564DD" w:rsidRDefault="00CC3BA4" w:rsidP="004A42D5">
            <w:pPr>
              <w:pStyle w:val="Tabletext"/>
              <w:rPr>
                <w:rFonts w:cs="Tahoma"/>
              </w:rPr>
            </w:pPr>
            <w:r w:rsidRPr="00E564DD">
              <w:rPr>
                <w:rFonts w:cs="Tahoma"/>
              </w:rPr>
              <w:t>Not serious</w:t>
            </w:r>
          </w:p>
        </w:tc>
        <w:tc>
          <w:tcPr>
            <w:tcW w:w="992" w:type="dxa"/>
          </w:tcPr>
          <w:p w:rsidR="00CC3BA4" w:rsidRPr="00E564DD" w:rsidRDefault="00CC3BA4" w:rsidP="004A42D5">
            <w:pPr>
              <w:pStyle w:val="Tabletext"/>
              <w:rPr>
                <w:rFonts w:cs="Tahoma"/>
              </w:rPr>
            </w:pPr>
            <w:r w:rsidRPr="00E564DD">
              <w:rPr>
                <w:rFonts w:cs="Tahoma"/>
              </w:rPr>
              <w:t>Not serious</w:t>
            </w:r>
          </w:p>
        </w:tc>
        <w:tc>
          <w:tcPr>
            <w:tcW w:w="1276" w:type="dxa"/>
          </w:tcPr>
          <w:p w:rsidR="00CC3BA4" w:rsidRPr="00E564DD" w:rsidRDefault="00CC3BA4" w:rsidP="004A42D5">
            <w:pPr>
              <w:pStyle w:val="Tabletext"/>
              <w:rPr>
                <w:rFonts w:cs="Tahoma"/>
              </w:rPr>
            </w:pPr>
            <w:r>
              <w:rPr>
                <w:rFonts w:cs="Tahoma"/>
              </w:rPr>
              <w:t>None</w:t>
            </w:r>
          </w:p>
        </w:tc>
        <w:tc>
          <w:tcPr>
            <w:tcW w:w="1417" w:type="dxa"/>
          </w:tcPr>
          <w:p w:rsidR="00CC3BA4" w:rsidRPr="00456F1B" w:rsidRDefault="00CC3BA4" w:rsidP="004A42D5">
            <w:pPr>
              <w:pStyle w:val="Tabletext"/>
              <w:rPr>
                <w:rFonts w:cs="Tahoma"/>
                <w:highlight w:val="cyan"/>
              </w:rPr>
            </w:pPr>
            <w:r w:rsidRPr="00456F1B">
              <w:rPr>
                <w:rFonts w:eastAsia="Times New Roman"/>
              </w:rPr>
              <w:t xml:space="preserve">165/411 (40.1%) </w:t>
            </w:r>
          </w:p>
        </w:tc>
        <w:tc>
          <w:tcPr>
            <w:tcW w:w="1134" w:type="dxa"/>
          </w:tcPr>
          <w:p w:rsidR="00CC3BA4" w:rsidRPr="00362678" w:rsidRDefault="00CC3BA4" w:rsidP="00362678">
            <w:pPr>
              <w:pStyle w:val="Tabletext"/>
              <w:rPr>
                <w:highlight w:val="cyan"/>
              </w:rPr>
            </w:pPr>
            <w:r w:rsidRPr="00362678">
              <w:rPr>
                <w:rStyle w:val="cell-value"/>
              </w:rPr>
              <w:t xml:space="preserve">152/294 (51.7%) </w:t>
            </w:r>
          </w:p>
        </w:tc>
        <w:tc>
          <w:tcPr>
            <w:tcW w:w="993" w:type="dxa"/>
          </w:tcPr>
          <w:p w:rsidR="00CC3BA4" w:rsidRPr="00362678" w:rsidRDefault="00CC3BA4" w:rsidP="00362678">
            <w:pPr>
              <w:pStyle w:val="Tabletext"/>
              <w:rPr>
                <w:highlight w:val="cyan"/>
              </w:rPr>
            </w:pPr>
            <w:r w:rsidRPr="00362678">
              <w:rPr>
                <w:rStyle w:val="block"/>
              </w:rPr>
              <w:t xml:space="preserve">RR = 0.82 </w:t>
            </w:r>
            <w:r w:rsidRPr="00362678">
              <w:rPr>
                <w:rStyle w:val="cell"/>
              </w:rPr>
              <w:t>(0.69, 0.96)</w:t>
            </w:r>
            <w:r w:rsidRPr="00362678">
              <w:t xml:space="preserve"> </w:t>
            </w:r>
          </w:p>
        </w:tc>
        <w:tc>
          <w:tcPr>
            <w:tcW w:w="2188" w:type="dxa"/>
          </w:tcPr>
          <w:p w:rsidR="00CC3BA4" w:rsidRPr="00456F1B" w:rsidRDefault="00CC3BA4" w:rsidP="004A42D5">
            <w:pPr>
              <w:pStyle w:val="Tabletext"/>
              <w:rPr>
                <w:rFonts w:cs="Tahoma"/>
                <w:highlight w:val="cyan"/>
              </w:rPr>
            </w:pPr>
            <w:r w:rsidRPr="00456F1B">
              <w:rPr>
                <w:rFonts w:eastAsia="Times New Roman"/>
                <w:bCs/>
              </w:rPr>
              <w:t>93 fewer per 1,000</w:t>
            </w:r>
            <w:r w:rsidRPr="00456F1B">
              <w:rPr>
                <w:rFonts w:eastAsia="Times New Roman"/>
              </w:rPr>
              <w:br/>
              <w:t xml:space="preserve">(from 21 fewer to 160 fewer) </w:t>
            </w:r>
          </w:p>
        </w:tc>
        <w:tc>
          <w:tcPr>
            <w:tcW w:w="1214" w:type="dxa"/>
          </w:tcPr>
          <w:p w:rsidR="00CC3BA4" w:rsidRDefault="00CC3BA4" w:rsidP="004A42D5">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E564DD" w:rsidRDefault="00CC3BA4" w:rsidP="004A42D5">
            <w:pPr>
              <w:pStyle w:val="Tabletext"/>
              <w:rPr>
                <w:rFonts w:cs="Tahoma"/>
              </w:rPr>
            </w:pPr>
            <w:r w:rsidRPr="00E564DD">
              <w:rPr>
                <w:rFonts w:cs="Tahoma"/>
              </w:rPr>
              <w:t>Important</w:t>
            </w:r>
          </w:p>
        </w:tc>
      </w:tr>
      <w:tr w:rsidR="00CC3BA4" w:rsidRPr="00E564DD" w:rsidTr="001363C5">
        <w:trPr>
          <w:trHeight w:val="319"/>
        </w:trPr>
        <w:tc>
          <w:tcPr>
            <w:tcW w:w="1493" w:type="dxa"/>
          </w:tcPr>
          <w:p w:rsidR="00CC3BA4" w:rsidRPr="00E564DD" w:rsidRDefault="00CC3BA4" w:rsidP="004A42D5">
            <w:pPr>
              <w:pStyle w:val="Tabletext"/>
              <w:rPr>
                <w:rFonts w:cs="Tahoma"/>
              </w:rPr>
            </w:pPr>
            <w:r>
              <w:rPr>
                <w:rFonts w:cs="Tahoma"/>
              </w:rPr>
              <w:t>AEs leading to treatment discontinuation</w:t>
            </w:r>
            <w:r>
              <w:rPr>
                <w:rFonts w:cs="Tahoma"/>
              </w:rPr>
              <w:br/>
              <w:t>(24−104 weeks)</w:t>
            </w:r>
          </w:p>
        </w:tc>
        <w:tc>
          <w:tcPr>
            <w:tcW w:w="1054" w:type="dxa"/>
          </w:tcPr>
          <w:p w:rsidR="00CC3BA4" w:rsidRPr="00E564DD" w:rsidRDefault="00CC3BA4" w:rsidP="004A42D5">
            <w:pPr>
              <w:pStyle w:val="Tabletext"/>
              <w:rPr>
                <w:rFonts w:cs="Tahoma"/>
              </w:rPr>
            </w:pPr>
            <w:r>
              <w:rPr>
                <w:rFonts w:cs="Tahoma"/>
              </w:rPr>
              <w:t>2</w:t>
            </w:r>
            <w:r w:rsidRPr="00E564DD">
              <w:rPr>
                <w:rFonts w:cs="Tahoma"/>
              </w:rPr>
              <w:t xml:space="preserve"> RCTs</w:t>
            </w:r>
          </w:p>
        </w:tc>
        <w:tc>
          <w:tcPr>
            <w:tcW w:w="771" w:type="dxa"/>
          </w:tcPr>
          <w:p w:rsidR="00CC3BA4" w:rsidRPr="00E564DD" w:rsidRDefault="00CC3BA4" w:rsidP="004A42D5">
            <w:pPr>
              <w:pStyle w:val="Tabletext"/>
              <w:rPr>
                <w:rFonts w:cs="Tahoma"/>
              </w:rPr>
            </w:pPr>
            <w:r w:rsidRPr="00E564DD">
              <w:rPr>
                <w:rFonts w:cs="Tahoma"/>
              </w:rPr>
              <w:t>Not serious</w:t>
            </w:r>
          </w:p>
        </w:tc>
        <w:tc>
          <w:tcPr>
            <w:tcW w:w="1072" w:type="dxa"/>
          </w:tcPr>
          <w:p w:rsidR="00CC3BA4" w:rsidRPr="00E564DD" w:rsidRDefault="00CC3BA4" w:rsidP="004A42D5">
            <w:pPr>
              <w:pStyle w:val="Tabletext"/>
              <w:rPr>
                <w:rFonts w:cs="Tahoma"/>
              </w:rPr>
            </w:pPr>
            <w:r w:rsidRPr="00E564DD">
              <w:rPr>
                <w:rFonts w:cs="Tahoma"/>
              </w:rPr>
              <w:t>Not serious</w:t>
            </w:r>
          </w:p>
        </w:tc>
        <w:tc>
          <w:tcPr>
            <w:tcW w:w="992" w:type="dxa"/>
          </w:tcPr>
          <w:p w:rsidR="00CC3BA4" w:rsidRPr="00E564DD" w:rsidRDefault="00CC3BA4" w:rsidP="004A42D5">
            <w:pPr>
              <w:pStyle w:val="Tabletext"/>
              <w:rPr>
                <w:rFonts w:cs="Tahoma"/>
              </w:rPr>
            </w:pPr>
            <w:r w:rsidRPr="00E564DD">
              <w:rPr>
                <w:rFonts w:cs="Tahoma"/>
              </w:rPr>
              <w:t>Not serious</w:t>
            </w:r>
          </w:p>
        </w:tc>
        <w:tc>
          <w:tcPr>
            <w:tcW w:w="992" w:type="dxa"/>
          </w:tcPr>
          <w:p w:rsidR="00CC3BA4" w:rsidRPr="00E564DD" w:rsidRDefault="00CC3BA4" w:rsidP="004A42D5">
            <w:pPr>
              <w:pStyle w:val="Tabletext"/>
              <w:rPr>
                <w:rFonts w:cs="Tahoma"/>
              </w:rPr>
            </w:pPr>
            <w:r w:rsidRPr="00E564DD">
              <w:rPr>
                <w:rFonts w:cs="Tahoma"/>
              </w:rPr>
              <w:t>Not serious</w:t>
            </w:r>
          </w:p>
        </w:tc>
        <w:tc>
          <w:tcPr>
            <w:tcW w:w="1276" w:type="dxa"/>
          </w:tcPr>
          <w:p w:rsidR="00CC3BA4" w:rsidRPr="00E564DD" w:rsidRDefault="00CC3BA4" w:rsidP="004A42D5">
            <w:pPr>
              <w:pStyle w:val="Tabletext"/>
              <w:rPr>
                <w:rFonts w:cs="Tahoma"/>
              </w:rPr>
            </w:pPr>
            <w:r>
              <w:rPr>
                <w:rFonts w:cs="Tahoma"/>
              </w:rPr>
              <w:t>None</w:t>
            </w:r>
          </w:p>
        </w:tc>
        <w:tc>
          <w:tcPr>
            <w:tcW w:w="1417" w:type="dxa"/>
          </w:tcPr>
          <w:p w:rsidR="00CC3BA4" w:rsidRPr="00456F1B" w:rsidRDefault="00CC3BA4" w:rsidP="004A42D5">
            <w:pPr>
              <w:pStyle w:val="Tabletext"/>
              <w:rPr>
                <w:rFonts w:cs="Tahoma"/>
                <w:highlight w:val="cyan"/>
              </w:rPr>
            </w:pPr>
            <w:r w:rsidRPr="00456F1B">
              <w:rPr>
                <w:rFonts w:eastAsia="Times New Roman"/>
              </w:rPr>
              <w:t xml:space="preserve">70/411 (17.0%) </w:t>
            </w:r>
          </w:p>
        </w:tc>
        <w:tc>
          <w:tcPr>
            <w:tcW w:w="1134" w:type="dxa"/>
          </w:tcPr>
          <w:p w:rsidR="00CC3BA4" w:rsidRPr="00362678" w:rsidRDefault="00CC3BA4" w:rsidP="00362678">
            <w:pPr>
              <w:pStyle w:val="Tabletext"/>
              <w:rPr>
                <w:highlight w:val="cyan"/>
              </w:rPr>
            </w:pPr>
            <w:r w:rsidRPr="00362678">
              <w:rPr>
                <w:rStyle w:val="cell-value"/>
              </w:rPr>
              <w:t xml:space="preserve">36/294 (12.2%) </w:t>
            </w:r>
          </w:p>
        </w:tc>
        <w:tc>
          <w:tcPr>
            <w:tcW w:w="993" w:type="dxa"/>
          </w:tcPr>
          <w:p w:rsidR="00CC3BA4" w:rsidRPr="00362678" w:rsidRDefault="00CC3BA4" w:rsidP="00362678">
            <w:pPr>
              <w:pStyle w:val="Tabletext"/>
              <w:rPr>
                <w:highlight w:val="cyan"/>
              </w:rPr>
            </w:pPr>
            <w:r w:rsidRPr="00362678">
              <w:rPr>
                <w:rStyle w:val="block"/>
              </w:rPr>
              <w:t xml:space="preserve">RR = 1.47 </w:t>
            </w:r>
            <w:r w:rsidRPr="00362678">
              <w:rPr>
                <w:rStyle w:val="cell"/>
              </w:rPr>
              <w:t>(0.81, 2.66)</w:t>
            </w:r>
            <w:r w:rsidRPr="00362678">
              <w:t xml:space="preserve"> </w:t>
            </w:r>
          </w:p>
        </w:tc>
        <w:tc>
          <w:tcPr>
            <w:tcW w:w="2188" w:type="dxa"/>
          </w:tcPr>
          <w:p w:rsidR="00CC3BA4" w:rsidRPr="00456F1B" w:rsidRDefault="00CC3BA4" w:rsidP="004A42D5">
            <w:pPr>
              <w:pStyle w:val="Tabletext"/>
              <w:rPr>
                <w:rFonts w:cs="Tahoma"/>
                <w:highlight w:val="cyan"/>
              </w:rPr>
            </w:pPr>
            <w:r w:rsidRPr="00456F1B">
              <w:rPr>
                <w:rFonts w:eastAsia="Times New Roman"/>
                <w:bCs/>
              </w:rPr>
              <w:t>58 more per 1,000</w:t>
            </w:r>
            <w:r w:rsidRPr="00456F1B">
              <w:rPr>
                <w:rFonts w:eastAsia="Times New Roman"/>
              </w:rPr>
              <w:br/>
              <w:t xml:space="preserve">(from 23 fewer to 203 more) </w:t>
            </w:r>
          </w:p>
        </w:tc>
        <w:tc>
          <w:tcPr>
            <w:tcW w:w="1214" w:type="dxa"/>
          </w:tcPr>
          <w:p w:rsidR="00CC3BA4" w:rsidRDefault="00CC3BA4" w:rsidP="004A42D5">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7E63F8" w:rsidRDefault="00CC3BA4" w:rsidP="004A42D5">
            <w:pPr>
              <w:pStyle w:val="Tabletext"/>
              <w:rPr>
                <w:rFonts w:ascii="Cambria Math" w:eastAsia="Times New Roman" w:hAnsi="Cambria Math" w:cs="Cambria Math"/>
                <w:bCs/>
                <w:color w:val="00B050"/>
              </w:rPr>
            </w:pPr>
            <w:r w:rsidRPr="00E564DD">
              <w:rPr>
                <w:rFonts w:cs="Tahoma"/>
              </w:rPr>
              <w:t>Important</w:t>
            </w:r>
          </w:p>
        </w:tc>
      </w:tr>
      <w:tr w:rsidR="007C71D5" w:rsidRPr="00E564DD" w:rsidTr="001363C5">
        <w:trPr>
          <w:trHeight w:val="319"/>
        </w:trPr>
        <w:tc>
          <w:tcPr>
            <w:tcW w:w="1493" w:type="dxa"/>
          </w:tcPr>
          <w:p w:rsidR="007C71D5" w:rsidRPr="00E564DD" w:rsidRDefault="007C71D5" w:rsidP="002B03AB">
            <w:pPr>
              <w:pStyle w:val="Tabletext"/>
              <w:rPr>
                <w:rFonts w:cs="Tahoma"/>
              </w:rPr>
            </w:pPr>
            <w:r>
              <w:rPr>
                <w:rFonts w:cs="Tahoma"/>
              </w:rPr>
              <w:t>Abnormal liver function AEs</w:t>
            </w:r>
            <w:r>
              <w:rPr>
                <w:rFonts w:cs="Tahoma"/>
              </w:rPr>
              <w:br/>
              <w:t>(12 weeks)</w:t>
            </w:r>
          </w:p>
        </w:tc>
        <w:tc>
          <w:tcPr>
            <w:tcW w:w="1054" w:type="dxa"/>
          </w:tcPr>
          <w:p w:rsidR="007C71D5" w:rsidRPr="00E564DD" w:rsidRDefault="007C71D5" w:rsidP="002B03AB">
            <w:pPr>
              <w:pStyle w:val="Tabletext"/>
              <w:rPr>
                <w:rFonts w:cs="Tahoma"/>
              </w:rPr>
            </w:pPr>
            <w:r>
              <w:rPr>
                <w:rFonts w:cs="Tahoma"/>
              </w:rPr>
              <w:t>1</w:t>
            </w:r>
            <w:r w:rsidRPr="00E564DD">
              <w:rPr>
                <w:rFonts w:cs="Tahoma"/>
              </w:rPr>
              <w:t xml:space="preserve"> RCT</w:t>
            </w:r>
          </w:p>
        </w:tc>
        <w:tc>
          <w:tcPr>
            <w:tcW w:w="771" w:type="dxa"/>
          </w:tcPr>
          <w:p w:rsidR="007C71D5" w:rsidRPr="00E564DD" w:rsidRDefault="007C71D5" w:rsidP="002B03AB">
            <w:pPr>
              <w:pStyle w:val="Tabletext"/>
              <w:rPr>
                <w:rFonts w:cs="Tahoma"/>
              </w:rPr>
            </w:pPr>
            <w:r w:rsidRPr="00E564DD">
              <w:rPr>
                <w:rFonts w:cs="Tahoma"/>
              </w:rPr>
              <w:t>Not serious</w:t>
            </w:r>
          </w:p>
        </w:tc>
        <w:tc>
          <w:tcPr>
            <w:tcW w:w="1072" w:type="dxa"/>
          </w:tcPr>
          <w:p w:rsidR="007C71D5" w:rsidRPr="00E564DD" w:rsidRDefault="007C71D5" w:rsidP="002B03AB">
            <w:pPr>
              <w:pStyle w:val="Tabletext"/>
              <w:rPr>
                <w:rFonts w:cs="Tahoma"/>
              </w:rPr>
            </w:pPr>
            <w:r w:rsidRPr="00E564DD">
              <w:rPr>
                <w:rFonts w:cs="Tahoma"/>
              </w:rPr>
              <w:t>Not serious</w:t>
            </w:r>
          </w:p>
        </w:tc>
        <w:tc>
          <w:tcPr>
            <w:tcW w:w="992" w:type="dxa"/>
          </w:tcPr>
          <w:p w:rsidR="007C71D5" w:rsidRPr="0079256B" w:rsidRDefault="0079256B" w:rsidP="002B03AB">
            <w:pPr>
              <w:pStyle w:val="Tabletext"/>
              <w:rPr>
                <w:rFonts w:cs="Tahoma"/>
                <w:vertAlign w:val="superscript"/>
              </w:rPr>
            </w:pPr>
            <w:r>
              <w:rPr>
                <w:rFonts w:cs="Tahoma"/>
              </w:rPr>
              <w:t>S</w:t>
            </w:r>
            <w:r w:rsidR="007C71D5" w:rsidRPr="00E564DD">
              <w:rPr>
                <w:rFonts w:cs="Tahoma"/>
              </w:rPr>
              <w:t>erious</w:t>
            </w:r>
            <w:r>
              <w:rPr>
                <w:rFonts w:cs="Tahoma"/>
                <w:vertAlign w:val="superscript"/>
              </w:rPr>
              <w:t xml:space="preserve"> c</w:t>
            </w:r>
          </w:p>
        </w:tc>
        <w:tc>
          <w:tcPr>
            <w:tcW w:w="992" w:type="dxa"/>
          </w:tcPr>
          <w:p w:rsidR="007C71D5" w:rsidRPr="00E564DD" w:rsidRDefault="007C71D5" w:rsidP="002B03AB">
            <w:pPr>
              <w:pStyle w:val="Tabletext"/>
              <w:rPr>
                <w:rFonts w:cs="Tahoma"/>
              </w:rPr>
            </w:pPr>
            <w:r w:rsidRPr="00E564DD">
              <w:rPr>
                <w:rFonts w:cs="Tahoma"/>
              </w:rPr>
              <w:t>Not serious</w:t>
            </w:r>
          </w:p>
        </w:tc>
        <w:tc>
          <w:tcPr>
            <w:tcW w:w="1276" w:type="dxa"/>
          </w:tcPr>
          <w:p w:rsidR="007C71D5" w:rsidRPr="00E564DD" w:rsidRDefault="007C71D5" w:rsidP="002B03AB">
            <w:pPr>
              <w:pStyle w:val="Tabletext"/>
              <w:rPr>
                <w:rFonts w:cs="Tahoma"/>
              </w:rPr>
            </w:pPr>
            <w:r>
              <w:rPr>
                <w:rFonts w:cs="Tahoma"/>
              </w:rPr>
              <w:t>Strong association</w:t>
            </w:r>
          </w:p>
        </w:tc>
        <w:tc>
          <w:tcPr>
            <w:tcW w:w="1417" w:type="dxa"/>
          </w:tcPr>
          <w:p w:rsidR="007C71D5" w:rsidRPr="00A17B9D" w:rsidRDefault="00A17B9D" w:rsidP="002B03AB">
            <w:pPr>
              <w:pStyle w:val="Tabletext"/>
              <w:rPr>
                <w:rFonts w:cs="Tahoma"/>
                <w:highlight w:val="black"/>
              </w:rPr>
            </w:pPr>
            <w:r>
              <w:rPr>
                <w:rFonts w:eastAsia="Times New Roman"/>
                <w:noProof/>
                <w:color w:val="000000"/>
                <w:highlight w:val="black"/>
              </w:rPr>
              <w:t>'''''''''''''''' '''''''''''''''</w:t>
            </w:r>
            <w:r w:rsidR="007C71D5" w:rsidRPr="00A17B9D">
              <w:rPr>
                <w:rFonts w:eastAsia="Times New Roman"/>
                <w:highlight w:val="black"/>
              </w:rPr>
              <w:t xml:space="preserve"> </w:t>
            </w:r>
          </w:p>
        </w:tc>
        <w:tc>
          <w:tcPr>
            <w:tcW w:w="1134" w:type="dxa"/>
          </w:tcPr>
          <w:p w:rsidR="007C71D5" w:rsidRPr="00A17B9D" w:rsidRDefault="00A17B9D" w:rsidP="002B03AB">
            <w:pPr>
              <w:pStyle w:val="Tabletext"/>
              <w:rPr>
                <w:highlight w:val="black"/>
              </w:rPr>
            </w:pPr>
            <w:r>
              <w:rPr>
                <w:rStyle w:val="cell-value"/>
                <w:noProof/>
                <w:color w:val="000000"/>
                <w:highlight w:val="black"/>
              </w:rPr>
              <w:t>''''''''''''''''' ''''''''''''''''''</w:t>
            </w:r>
            <w:r w:rsidR="007C71D5" w:rsidRPr="00A17B9D">
              <w:rPr>
                <w:rStyle w:val="cell-value"/>
                <w:highlight w:val="black"/>
              </w:rPr>
              <w:t xml:space="preserve"> </w:t>
            </w:r>
          </w:p>
        </w:tc>
        <w:tc>
          <w:tcPr>
            <w:tcW w:w="993" w:type="dxa"/>
          </w:tcPr>
          <w:p w:rsidR="007C71D5" w:rsidRPr="00A17B9D" w:rsidRDefault="00A17B9D" w:rsidP="002B03AB">
            <w:pPr>
              <w:pStyle w:val="Tabletext"/>
              <w:rPr>
                <w:highlight w:val="black"/>
              </w:rPr>
            </w:pPr>
            <w:r>
              <w:rPr>
                <w:rStyle w:val="block"/>
                <w:noProof/>
                <w:color w:val="000000"/>
                <w:highlight w:val="black"/>
              </w:rPr>
              <w:t>''''''' ''' '''''''''' ''''''''''''' '''''''''''''</w:t>
            </w:r>
            <w:r w:rsidR="007C71D5" w:rsidRPr="00A17B9D">
              <w:rPr>
                <w:highlight w:val="black"/>
              </w:rPr>
              <w:t xml:space="preserve"> </w:t>
            </w:r>
          </w:p>
        </w:tc>
        <w:tc>
          <w:tcPr>
            <w:tcW w:w="2188" w:type="dxa"/>
          </w:tcPr>
          <w:p w:rsidR="007C71D5" w:rsidRPr="00A17B9D" w:rsidRDefault="00A17B9D" w:rsidP="002B03AB">
            <w:pPr>
              <w:pStyle w:val="Tabletext"/>
              <w:rPr>
                <w:rFonts w:cs="Tahoma"/>
                <w:highlight w:val="black"/>
              </w:rPr>
            </w:pPr>
            <w:r>
              <w:rPr>
                <w:rFonts w:eastAsia="Times New Roman"/>
                <w:bCs/>
                <w:noProof/>
                <w:color w:val="000000"/>
                <w:highlight w:val="black"/>
              </w:rPr>
              <w:t>'''''' '''''''''''''' '''''''' '''''''''''''</w:t>
            </w:r>
            <w:r>
              <w:rPr>
                <w:rFonts w:eastAsia="Times New Roman"/>
                <w:bCs/>
                <w:noProof/>
                <w:color w:val="000000"/>
                <w:highlight w:val="black"/>
              </w:rPr>
              <w:br/>
              <w:t>''''''''''''' '''''' ''''''''''''' '''' '''''''''' ''''''''''''''</w:t>
            </w:r>
            <w:r w:rsidR="007C71D5" w:rsidRPr="00A17B9D">
              <w:rPr>
                <w:rFonts w:eastAsia="Times New Roman"/>
                <w:highlight w:val="black"/>
              </w:rPr>
              <w:t xml:space="preserve"> </w:t>
            </w:r>
          </w:p>
        </w:tc>
        <w:tc>
          <w:tcPr>
            <w:tcW w:w="1214" w:type="dxa"/>
          </w:tcPr>
          <w:p w:rsidR="007C71D5" w:rsidRDefault="007C71D5" w:rsidP="002B03AB">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7C71D5" w:rsidRPr="007E5698" w:rsidRDefault="007C71D5" w:rsidP="002B03AB">
            <w:pPr>
              <w:pStyle w:val="Tabletext"/>
              <w:rPr>
                <w:rFonts w:ascii="Cambria Math" w:eastAsia="Times New Roman" w:hAnsi="Cambria Math" w:cs="Cambria Math"/>
                <w:bCs/>
                <w:color w:val="00B050"/>
              </w:rPr>
            </w:pPr>
            <w:r w:rsidRPr="00E564DD">
              <w:rPr>
                <w:rFonts w:cs="Tahoma"/>
              </w:rPr>
              <w:t>Important</w:t>
            </w:r>
          </w:p>
        </w:tc>
      </w:tr>
      <w:tr w:rsidR="007C71D5" w:rsidRPr="00E564DD" w:rsidTr="001363C5">
        <w:trPr>
          <w:trHeight w:val="319"/>
        </w:trPr>
        <w:tc>
          <w:tcPr>
            <w:tcW w:w="1493" w:type="dxa"/>
          </w:tcPr>
          <w:p w:rsidR="007C71D5" w:rsidRPr="00E564DD" w:rsidRDefault="007C71D5" w:rsidP="002B03AB">
            <w:pPr>
              <w:pStyle w:val="Tabletext"/>
              <w:rPr>
                <w:rFonts w:cs="Tahoma"/>
              </w:rPr>
            </w:pPr>
            <w:r w:rsidRPr="007C71D5">
              <w:rPr>
                <w:rFonts w:cs="Tahoma"/>
              </w:rPr>
              <w:t>Haemoglobin decrease-related AEs</w:t>
            </w:r>
            <w:r>
              <w:rPr>
                <w:rFonts w:cs="Tahoma"/>
              </w:rPr>
              <w:br/>
              <w:t>(12 weeks)</w:t>
            </w:r>
          </w:p>
        </w:tc>
        <w:tc>
          <w:tcPr>
            <w:tcW w:w="1054" w:type="dxa"/>
          </w:tcPr>
          <w:p w:rsidR="007C71D5" w:rsidRPr="00E564DD" w:rsidRDefault="007C71D5" w:rsidP="002B03AB">
            <w:pPr>
              <w:pStyle w:val="Tabletext"/>
              <w:rPr>
                <w:rFonts w:cs="Tahoma"/>
              </w:rPr>
            </w:pPr>
            <w:r>
              <w:rPr>
                <w:rFonts w:cs="Tahoma"/>
              </w:rPr>
              <w:t>1</w:t>
            </w:r>
            <w:r w:rsidRPr="00E564DD">
              <w:rPr>
                <w:rFonts w:cs="Tahoma"/>
              </w:rPr>
              <w:t xml:space="preserve"> RCT</w:t>
            </w:r>
          </w:p>
        </w:tc>
        <w:tc>
          <w:tcPr>
            <w:tcW w:w="771" w:type="dxa"/>
          </w:tcPr>
          <w:p w:rsidR="007C71D5" w:rsidRPr="00E564DD" w:rsidRDefault="007C71D5" w:rsidP="002B03AB">
            <w:pPr>
              <w:pStyle w:val="Tabletext"/>
              <w:rPr>
                <w:rFonts w:cs="Tahoma"/>
              </w:rPr>
            </w:pPr>
            <w:r w:rsidRPr="00E564DD">
              <w:rPr>
                <w:rFonts w:cs="Tahoma"/>
              </w:rPr>
              <w:t>Not serious</w:t>
            </w:r>
          </w:p>
        </w:tc>
        <w:tc>
          <w:tcPr>
            <w:tcW w:w="1072" w:type="dxa"/>
          </w:tcPr>
          <w:p w:rsidR="007C71D5" w:rsidRPr="00E564DD" w:rsidRDefault="007C71D5" w:rsidP="002B03AB">
            <w:pPr>
              <w:pStyle w:val="Tabletext"/>
              <w:rPr>
                <w:rFonts w:cs="Tahoma"/>
              </w:rPr>
            </w:pPr>
            <w:r w:rsidRPr="00E564DD">
              <w:rPr>
                <w:rFonts w:cs="Tahoma"/>
              </w:rPr>
              <w:t>Not serious</w:t>
            </w:r>
          </w:p>
        </w:tc>
        <w:tc>
          <w:tcPr>
            <w:tcW w:w="992" w:type="dxa"/>
          </w:tcPr>
          <w:p w:rsidR="007C71D5" w:rsidRPr="0079256B" w:rsidRDefault="0079256B" w:rsidP="002B03AB">
            <w:pPr>
              <w:pStyle w:val="Tabletext"/>
              <w:rPr>
                <w:rFonts w:cs="Tahoma"/>
                <w:vertAlign w:val="superscript"/>
              </w:rPr>
            </w:pPr>
            <w:r>
              <w:rPr>
                <w:rFonts w:cs="Tahoma"/>
              </w:rPr>
              <w:t>S</w:t>
            </w:r>
            <w:r w:rsidR="007C71D5" w:rsidRPr="00E564DD">
              <w:rPr>
                <w:rFonts w:cs="Tahoma"/>
              </w:rPr>
              <w:t>erious</w:t>
            </w:r>
            <w:r>
              <w:rPr>
                <w:rFonts w:cs="Tahoma"/>
                <w:vertAlign w:val="superscript"/>
              </w:rPr>
              <w:t xml:space="preserve"> c</w:t>
            </w:r>
          </w:p>
        </w:tc>
        <w:tc>
          <w:tcPr>
            <w:tcW w:w="992" w:type="dxa"/>
          </w:tcPr>
          <w:p w:rsidR="007C71D5" w:rsidRPr="00E564DD" w:rsidRDefault="007C71D5" w:rsidP="002B03AB">
            <w:pPr>
              <w:pStyle w:val="Tabletext"/>
              <w:rPr>
                <w:rFonts w:cs="Tahoma"/>
              </w:rPr>
            </w:pPr>
            <w:r w:rsidRPr="00E564DD">
              <w:rPr>
                <w:rFonts w:cs="Tahoma"/>
              </w:rPr>
              <w:t>Not serious</w:t>
            </w:r>
          </w:p>
        </w:tc>
        <w:tc>
          <w:tcPr>
            <w:tcW w:w="1276" w:type="dxa"/>
          </w:tcPr>
          <w:p w:rsidR="007C71D5" w:rsidRPr="00E564DD" w:rsidRDefault="007C71D5" w:rsidP="002B03AB">
            <w:pPr>
              <w:pStyle w:val="Tabletext"/>
              <w:rPr>
                <w:rFonts w:cs="Tahoma"/>
              </w:rPr>
            </w:pPr>
            <w:r>
              <w:rPr>
                <w:rFonts w:cs="Tahoma"/>
              </w:rPr>
              <w:t>Strong association</w:t>
            </w:r>
          </w:p>
        </w:tc>
        <w:tc>
          <w:tcPr>
            <w:tcW w:w="1417" w:type="dxa"/>
          </w:tcPr>
          <w:p w:rsidR="007C71D5" w:rsidRPr="00A17B9D" w:rsidRDefault="00A17B9D" w:rsidP="007C71D5">
            <w:pPr>
              <w:pStyle w:val="Tabletext"/>
              <w:rPr>
                <w:rFonts w:cs="Tahoma"/>
                <w:highlight w:val="black"/>
              </w:rPr>
            </w:pPr>
            <w:r>
              <w:rPr>
                <w:rFonts w:eastAsia="Times New Roman"/>
                <w:noProof/>
                <w:color w:val="000000"/>
                <w:highlight w:val="black"/>
              </w:rPr>
              <w:t>''''''''''''''' '''''''''''''''''</w:t>
            </w:r>
            <w:r w:rsidR="007C71D5" w:rsidRPr="00A17B9D">
              <w:rPr>
                <w:rFonts w:eastAsia="Times New Roman"/>
                <w:highlight w:val="black"/>
              </w:rPr>
              <w:t xml:space="preserve"> </w:t>
            </w:r>
          </w:p>
        </w:tc>
        <w:tc>
          <w:tcPr>
            <w:tcW w:w="1134" w:type="dxa"/>
          </w:tcPr>
          <w:p w:rsidR="007C71D5" w:rsidRPr="00A17B9D" w:rsidRDefault="00A17B9D" w:rsidP="007C71D5">
            <w:pPr>
              <w:pStyle w:val="Tabletext"/>
              <w:rPr>
                <w:highlight w:val="black"/>
              </w:rPr>
            </w:pPr>
            <w:r>
              <w:rPr>
                <w:rStyle w:val="cell-value"/>
                <w:noProof/>
                <w:color w:val="000000"/>
                <w:highlight w:val="black"/>
              </w:rPr>
              <w:t>'''''''''''''''''' '''''''''''''''''</w:t>
            </w:r>
            <w:r w:rsidR="007C71D5" w:rsidRPr="00A17B9D">
              <w:rPr>
                <w:rStyle w:val="cell-value"/>
                <w:highlight w:val="black"/>
              </w:rPr>
              <w:t xml:space="preserve"> </w:t>
            </w:r>
          </w:p>
        </w:tc>
        <w:tc>
          <w:tcPr>
            <w:tcW w:w="993" w:type="dxa"/>
          </w:tcPr>
          <w:p w:rsidR="007C71D5" w:rsidRPr="00A17B9D" w:rsidRDefault="00A17B9D" w:rsidP="007C71D5">
            <w:pPr>
              <w:pStyle w:val="Tabletext"/>
              <w:rPr>
                <w:highlight w:val="black"/>
              </w:rPr>
            </w:pPr>
            <w:r>
              <w:rPr>
                <w:rStyle w:val="block"/>
                <w:noProof/>
                <w:color w:val="000000"/>
                <w:highlight w:val="black"/>
              </w:rPr>
              <w:t>''''''' ''' '''''''''' ''''''''''''' ''''''''''''</w:t>
            </w:r>
            <w:r w:rsidR="007C71D5" w:rsidRPr="00A17B9D">
              <w:rPr>
                <w:highlight w:val="black"/>
              </w:rPr>
              <w:t xml:space="preserve"> </w:t>
            </w:r>
          </w:p>
        </w:tc>
        <w:tc>
          <w:tcPr>
            <w:tcW w:w="2188" w:type="dxa"/>
          </w:tcPr>
          <w:p w:rsidR="007C71D5" w:rsidRPr="00A17B9D" w:rsidRDefault="00A17B9D" w:rsidP="007C71D5">
            <w:pPr>
              <w:pStyle w:val="Tabletext"/>
              <w:rPr>
                <w:rFonts w:cs="Tahoma"/>
                <w:highlight w:val="black"/>
              </w:rPr>
            </w:pPr>
            <w:r>
              <w:rPr>
                <w:rFonts w:eastAsia="Times New Roman"/>
                <w:bCs/>
                <w:noProof/>
                <w:color w:val="000000"/>
                <w:highlight w:val="black"/>
              </w:rPr>
              <w:t>''''''''' ''''''''''' ''''''''' ''''''''''''''</w:t>
            </w:r>
            <w:r>
              <w:rPr>
                <w:rFonts w:eastAsia="Times New Roman"/>
                <w:bCs/>
                <w:noProof/>
                <w:color w:val="000000"/>
                <w:highlight w:val="black"/>
              </w:rPr>
              <w:br/>
              <w:t>'''''''''''' '''''' '''''''''''' '''' ''''''''' '''''''''''''</w:t>
            </w:r>
            <w:r w:rsidR="007C71D5" w:rsidRPr="00A17B9D">
              <w:rPr>
                <w:rFonts w:eastAsia="Times New Roman"/>
                <w:highlight w:val="black"/>
              </w:rPr>
              <w:t xml:space="preserve"> </w:t>
            </w:r>
          </w:p>
        </w:tc>
        <w:tc>
          <w:tcPr>
            <w:tcW w:w="1214" w:type="dxa"/>
          </w:tcPr>
          <w:p w:rsidR="007C71D5" w:rsidRDefault="007C71D5" w:rsidP="002B03AB">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7C71D5" w:rsidRPr="007E5698" w:rsidRDefault="007C71D5" w:rsidP="002B03AB">
            <w:pPr>
              <w:pStyle w:val="Tabletext"/>
              <w:rPr>
                <w:rFonts w:ascii="Cambria Math" w:eastAsia="Times New Roman" w:hAnsi="Cambria Math" w:cs="Cambria Math"/>
                <w:bCs/>
                <w:color w:val="00B050"/>
              </w:rPr>
            </w:pPr>
            <w:r w:rsidRPr="00E564DD">
              <w:rPr>
                <w:rFonts w:cs="Tahoma"/>
              </w:rPr>
              <w:t>Important</w:t>
            </w:r>
          </w:p>
        </w:tc>
      </w:tr>
    </w:tbl>
    <w:p w:rsidR="00CC3BA4" w:rsidRPr="00AA018C" w:rsidRDefault="00CC3BA4" w:rsidP="004A42D5">
      <w:pPr>
        <w:pStyle w:val="Tablenote"/>
      </w:pPr>
      <w:r w:rsidRPr="00E564DD">
        <w:rPr>
          <w:vertAlign w:val="superscript"/>
        </w:rPr>
        <w:t xml:space="preserve">a </w:t>
      </w:r>
      <w:r w:rsidRPr="00AA018C">
        <w:t>O</w:t>
      </w:r>
      <w:r>
        <w:t>ther considerations such as publication bias and effect size</w:t>
      </w:r>
    </w:p>
    <w:p w:rsidR="00CC3BA4" w:rsidRDefault="00CC3BA4" w:rsidP="004A42D5">
      <w:pPr>
        <w:pStyle w:val="Tablenote"/>
      </w:pPr>
      <w:r>
        <w:rPr>
          <w:vertAlign w:val="superscript"/>
        </w:rPr>
        <w:t xml:space="preserve">b </w:t>
      </w:r>
      <w:r w:rsidRPr="00E564DD">
        <w:t>GRADE W</w:t>
      </w:r>
      <w:r>
        <w:t>orking Group grades of evidence</w:t>
      </w:r>
      <w:r w:rsidR="001D34EE" w:rsidRPr="001D34EE">
        <w:rPr>
          <w:noProof/>
          <w:vertAlign w:val="superscript"/>
        </w:rPr>
        <w:t>1</w:t>
      </w:r>
    </w:p>
    <w:p w:rsidR="0079256B" w:rsidRPr="0079256B" w:rsidRDefault="0079256B" w:rsidP="004A42D5">
      <w:pPr>
        <w:pStyle w:val="Tablenote"/>
      </w:pPr>
      <w:r>
        <w:rPr>
          <w:vertAlign w:val="superscript"/>
        </w:rPr>
        <w:t xml:space="preserve">c </w:t>
      </w:r>
      <w:r>
        <w:t>Surrogate outcome</w:t>
      </w:r>
    </w:p>
    <w:p w:rsidR="00CC3BA4" w:rsidRPr="00E564DD" w:rsidRDefault="00CC3BA4" w:rsidP="004A42D5">
      <w:pPr>
        <w:pStyle w:val="Tablenote"/>
      </w:pPr>
      <w:r w:rsidRPr="00E564DD">
        <w:rPr>
          <w:rFonts w:ascii="Cambria Math" w:hAnsi="Cambria Math" w:cs="Cambria Math"/>
          <w:color w:val="00B050"/>
        </w:rPr>
        <w:t>⨁⨁⨁⨁</w:t>
      </w:r>
      <w:r w:rsidRPr="00E564DD">
        <w:rPr>
          <w:color w:val="00B050"/>
        </w:rPr>
        <w:t xml:space="preserve"> </w:t>
      </w:r>
      <w:r w:rsidRPr="00E564DD">
        <w:rPr>
          <w:b/>
        </w:rPr>
        <w:t>High quality:</w:t>
      </w:r>
      <w:r w:rsidRPr="00E564DD">
        <w:t xml:space="preserve"> We are very confident that the true effect lies close to that of the estimate of effect</w:t>
      </w:r>
    </w:p>
    <w:p w:rsidR="00BD489D" w:rsidRDefault="00CC3BA4" w:rsidP="004A42D5">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w:t>
      </w:r>
      <w:r w:rsidR="00385E5A">
        <w:t>GRADE = grading of recommendations assessment, development and evaluation</w:t>
      </w:r>
      <w:r w:rsidR="001D34EE" w:rsidRPr="001D34EE">
        <w:rPr>
          <w:noProof/>
          <w:vertAlign w:val="superscript"/>
        </w:rPr>
        <w:t>1</w:t>
      </w:r>
      <w:r w:rsidR="00BD489D" w:rsidRPr="00F24B06">
        <w:t xml:space="preserve">; </w:t>
      </w:r>
      <w:r w:rsidRPr="00C65B42">
        <w:t xml:space="preserve">PAH = pulmonary arterial hypertension; </w:t>
      </w:r>
      <w:r w:rsidRPr="009B5AB3">
        <w:t>PDE-5</w:t>
      </w:r>
      <w:r w:rsidR="00C871F2">
        <w:t>i</w:t>
      </w:r>
      <w:r w:rsidRPr="009B5AB3">
        <w:t xml:space="preserve"> = phosphodiesterase type-5</w:t>
      </w:r>
      <w:r w:rsidR="00C871F2">
        <w:t xml:space="preserve"> inhibitor</w:t>
      </w:r>
      <w:r>
        <w:t>;</w:t>
      </w:r>
      <w:r w:rsidRPr="009B5AB3">
        <w:t xml:space="preserve"> </w:t>
      </w:r>
      <w:r>
        <w:t>RCT = randomised controlled trial; RR = relative risk</w:t>
      </w:r>
    </w:p>
    <w:p w:rsidR="00CC3BA4" w:rsidRPr="005D4CA0" w:rsidRDefault="00796F18" w:rsidP="00BC5A2B">
      <w:pPr>
        <w:pStyle w:val="Caption"/>
      </w:pPr>
      <w:bookmarkStart w:id="512" w:name="_Ref505765521"/>
      <w:bookmarkStart w:id="513" w:name="_Toc512855557"/>
      <w:r>
        <w:lastRenderedPageBreak/>
        <w:t>Table 4.</w:t>
      </w:r>
      <w:r w:rsidR="00AA722D">
        <w:rPr>
          <w:noProof/>
        </w:rPr>
        <w:t>153</w:t>
      </w:r>
      <w:bookmarkEnd w:id="512"/>
      <w:r>
        <w:tab/>
      </w:r>
      <w:r w:rsidR="00CC3BA4" w:rsidRPr="005D4CA0">
        <w:t xml:space="preserve">Evidence profile table for </w:t>
      </w:r>
      <w:r w:rsidR="00CC3BA4">
        <w:t xml:space="preserve">comparative safety of </w:t>
      </w:r>
      <w:r w:rsidR="00CC3BA4" w:rsidRPr="005D4CA0">
        <w:t xml:space="preserve">ERA </w:t>
      </w:r>
      <w:r w:rsidR="00CC3BA4">
        <w:t xml:space="preserve">+ PDE-5 inhibitor combination therapy </w:t>
      </w:r>
      <w:r w:rsidR="00CC3BA4" w:rsidRPr="005D4CA0">
        <w:t xml:space="preserve">compared to </w:t>
      </w:r>
      <w:r w:rsidR="00CC3BA4">
        <w:t>PDE-5 inhibitor</w:t>
      </w:r>
      <w:r w:rsidR="00CC3BA4" w:rsidRPr="005D4CA0">
        <w:t xml:space="preserve"> </w:t>
      </w:r>
      <w:r w:rsidR="00CC3BA4">
        <w:t xml:space="preserve">monotherapy </w:t>
      </w:r>
      <w:r w:rsidR="00CC3BA4" w:rsidRPr="005D4CA0">
        <w:t xml:space="preserve">for </w:t>
      </w:r>
      <w:r w:rsidR="00CC3BA4">
        <w:t>patients with different PAH aetiologies</w:t>
      </w:r>
      <w:bookmarkEnd w:id="513"/>
    </w:p>
    <w:tbl>
      <w:tblPr>
        <w:tblStyle w:val="TableGrid"/>
        <w:tblW w:w="14596" w:type="dxa"/>
        <w:tblLayout w:type="fixed"/>
        <w:tblLook w:val="04A0" w:firstRow="1" w:lastRow="0" w:firstColumn="1" w:lastColumn="0" w:noHBand="0" w:noVBand="1"/>
        <w:tblCaption w:val="Evidence profile table for comparative safety of ERA + PDE-5 inhibitor combination therapy compared to PDE-5 inhibitor monotherapy for patients with different PAH aetiologies"/>
      </w:tblPr>
      <w:tblGrid>
        <w:gridCol w:w="1493"/>
        <w:gridCol w:w="1054"/>
        <w:gridCol w:w="771"/>
        <w:gridCol w:w="1072"/>
        <w:gridCol w:w="992"/>
        <w:gridCol w:w="992"/>
        <w:gridCol w:w="1276"/>
        <w:gridCol w:w="1417"/>
        <w:gridCol w:w="1134"/>
        <w:gridCol w:w="993"/>
        <w:gridCol w:w="2188"/>
        <w:gridCol w:w="1214"/>
      </w:tblGrid>
      <w:tr w:rsidR="00F13836" w:rsidRPr="004A42D5" w:rsidTr="001363C5">
        <w:trPr>
          <w:cnfStyle w:val="100000000000" w:firstRow="1" w:lastRow="0" w:firstColumn="0" w:lastColumn="0" w:oddVBand="0" w:evenVBand="0" w:oddHBand="0" w:evenHBand="0" w:firstRowFirstColumn="0" w:firstRowLastColumn="0" w:lastRowFirstColumn="0" w:lastRowLastColumn="0"/>
          <w:trHeight w:val="473"/>
        </w:trPr>
        <w:tc>
          <w:tcPr>
            <w:tcW w:w="1493" w:type="dxa"/>
          </w:tcPr>
          <w:p w:rsidR="00476F09" w:rsidRPr="004A42D5" w:rsidRDefault="00476F09" w:rsidP="004A42D5">
            <w:pPr>
              <w:pStyle w:val="Tabletext"/>
              <w:rPr>
                <w:b/>
              </w:rPr>
            </w:pPr>
            <w:r w:rsidRPr="004A42D5">
              <w:rPr>
                <w:b/>
              </w:rPr>
              <w:t>Outcome (follow-up)</w:t>
            </w:r>
          </w:p>
        </w:tc>
        <w:tc>
          <w:tcPr>
            <w:tcW w:w="1054" w:type="dxa"/>
          </w:tcPr>
          <w:p w:rsidR="00476F09" w:rsidRPr="004A42D5" w:rsidRDefault="00476F09" w:rsidP="004A42D5">
            <w:pPr>
              <w:pStyle w:val="Tabletext"/>
              <w:rPr>
                <w:b/>
              </w:rPr>
            </w:pPr>
            <w:r w:rsidRPr="004A42D5">
              <w:rPr>
                <w:b/>
              </w:rPr>
              <w:t>No. of studies and study design</w:t>
            </w:r>
          </w:p>
        </w:tc>
        <w:tc>
          <w:tcPr>
            <w:tcW w:w="771" w:type="dxa"/>
          </w:tcPr>
          <w:p w:rsidR="00476F09" w:rsidRPr="004A42D5" w:rsidRDefault="00476F09" w:rsidP="004A42D5">
            <w:pPr>
              <w:pStyle w:val="Tabletext"/>
              <w:rPr>
                <w:b/>
              </w:rPr>
            </w:pPr>
            <w:r w:rsidRPr="004A42D5">
              <w:rPr>
                <w:b/>
              </w:rPr>
              <w:t>Risk of bias</w:t>
            </w:r>
          </w:p>
        </w:tc>
        <w:tc>
          <w:tcPr>
            <w:tcW w:w="1072" w:type="dxa"/>
          </w:tcPr>
          <w:p w:rsidR="00476F09" w:rsidRPr="004A42D5" w:rsidRDefault="00476F09" w:rsidP="004A42D5">
            <w:pPr>
              <w:pStyle w:val="Tabletext"/>
              <w:rPr>
                <w:b/>
              </w:rPr>
            </w:pPr>
            <w:r w:rsidRPr="004A42D5">
              <w:rPr>
                <w:b/>
              </w:rPr>
              <w:t>Inconsis</w:t>
            </w:r>
            <w:r w:rsidR="001363C5">
              <w:rPr>
                <w:b/>
              </w:rPr>
              <w:t>-</w:t>
            </w:r>
            <w:r w:rsidRPr="004A42D5">
              <w:rPr>
                <w:b/>
              </w:rPr>
              <w:t>tency</w:t>
            </w:r>
          </w:p>
        </w:tc>
        <w:tc>
          <w:tcPr>
            <w:tcW w:w="992" w:type="dxa"/>
          </w:tcPr>
          <w:p w:rsidR="00476F09" w:rsidRPr="004A42D5" w:rsidRDefault="00476F09" w:rsidP="004A42D5">
            <w:pPr>
              <w:pStyle w:val="Tabletext"/>
              <w:rPr>
                <w:b/>
              </w:rPr>
            </w:pPr>
            <w:r w:rsidRPr="004A42D5">
              <w:rPr>
                <w:b/>
              </w:rPr>
              <w:t>Indirect</w:t>
            </w:r>
            <w:r w:rsidR="001363C5">
              <w:rPr>
                <w:b/>
              </w:rPr>
              <w:t>-</w:t>
            </w:r>
            <w:r w:rsidRPr="004A42D5">
              <w:rPr>
                <w:b/>
              </w:rPr>
              <w:t>ness</w:t>
            </w:r>
          </w:p>
        </w:tc>
        <w:tc>
          <w:tcPr>
            <w:tcW w:w="992" w:type="dxa"/>
          </w:tcPr>
          <w:p w:rsidR="00476F09" w:rsidRPr="004A42D5" w:rsidRDefault="00476F09" w:rsidP="004A42D5">
            <w:pPr>
              <w:pStyle w:val="Tabletext"/>
              <w:rPr>
                <w:b/>
              </w:rPr>
            </w:pPr>
            <w:r w:rsidRPr="004A42D5">
              <w:rPr>
                <w:b/>
              </w:rPr>
              <w:t>Impre</w:t>
            </w:r>
            <w:r w:rsidR="001363C5">
              <w:rPr>
                <w:b/>
              </w:rPr>
              <w:t>-</w:t>
            </w:r>
            <w:r w:rsidRPr="004A42D5">
              <w:rPr>
                <w:b/>
              </w:rPr>
              <w:t>cision</w:t>
            </w:r>
          </w:p>
        </w:tc>
        <w:tc>
          <w:tcPr>
            <w:tcW w:w="1276" w:type="dxa"/>
          </w:tcPr>
          <w:p w:rsidR="00476F09" w:rsidRPr="004A42D5" w:rsidRDefault="00476F09" w:rsidP="004A42D5">
            <w:pPr>
              <w:pStyle w:val="Tabletext"/>
              <w:rPr>
                <w:b/>
              </w:rPr>
            </w:pPr>
            <w:r w:rsidRPr="004A42D5">
              <w:rPr>
                <w:b/>
              </w:rPr>
              <w:t>Other conside</w:t>
            </w:r>
            <w:r w:rsidR="001363C5">
              <w:rPr>
                <w:b/>
              </w:rPr>
              <w:t>-</w:t>
            </w:r>
            <w:r w:rsidRPr="004A42D5">
              <w:rPr>
                <w:b/>
              </w:rPr>
              <w:t>rations</w:t>
            </w:r>
            <w:r w:rsidRPr="004A42D5">
              <w:rPr>
                <w:b/>
                <w:vertAlign w:val="superscript"/>
              </w:rPr>
              <w:t>a</w:t>
            </w:r>
          </w:p>
        </w:tc>
        <w:tc>
          <w:tcPr>
            <w:tcW w:w="1417" w:type="dxa"/>
          </w:tcPr>
          <w:p w:rsidR="00476F09" w:rsidRPr="004A42D5" w:rsidRDefault="00476F09" w:rsidP="004A42D5">
            <w:pPr>
              <w:pStyle w:val="Tabletext"/>
              <w:rPr>
                <w:b/>
              </w:rPr>
            </w:pPr>
            <w:r w:rsidRPr="004A42D5">
              <w:rPr>
                <w:b/>
              </w:rPr>
              <w:t>Study event rates (%) with ERA + PDE-5i</w:t>
            </w:r>
          </w:p>
        </w:tc>
        <w:tc>
          <w:tcPr>
            <w:tcW w:w="1134" w:type="dxa"/>
          </w:tcPr>
          <w:p w:rsidR="00476F09" w:rsidRPr="004A42D5" w:rsidRDefault="00476F09" w:rsidP="004A42D5">
            <w:pPr>
              <w:pStyle w:val="Tabletext"/>
              <w:rPr>
                <w:b/>
              </w:rPr>
            </w:pPr>
            <w:r w:rsidRPr="004A42D5">
              <w:rPr>
                <w:b/>
              </w:rPr>
              <w:t>Study event rates (%) with PDE-5i</w:t>
            </w:r>
          </w:p>
        </w:tc>
        <w:tc>
          <w:tcPr>
            <w:tcW w:w="993" w:type="dxa"/>
          </w:tcPr>
          <w:p w:rsidR="00476F09" w:rsidRPr="004A42D5" w:rsidRDefault="00476F09" w:rsidP="004A42D5">
            <w:pPr>
              <w:pStyle w:val="Tabletext"/>
              <w:rPr>
                <w:b/>
              </w:rPr>
            </w:pPr>
            <w:r w:rsidRPr="004A42D5">
              <w:rPr>
                <w:b/>
              </w:rPr>
              <w:t>Effect measure (95%CI)</w:t>
            </w:r>
          </w:p>
        </w:tc>
        <w:tc>
          <w:tcPr>
            <w:tcW w:w="2188" w:type="dxa"/>
          </w:tcPr>
          <w:p w:rsidR="00476F09" w:rsidRPr="004A42D5" w:rsidRDefault="00476F09" w:rsidP="004A42D5">
            <w:pPr>
              <w:pStyle w:val="Tabletext"/>
              <w:rPr>
                <w:b/>
              </w:rPr>
            </w:pPr>
            <w:r w:rsidRPr="004A42D5">
              <w:rPr>
                <w:b/>
              </w:rPr>
              <w:t>Absolute effect (95%CI)</w:t>
            </w:r>
          </w:p>
        </w:tc>
        <w:tc>
          <w:tcPr>
            <w:tcW w:w="1214" w:type="dxa"/>
          </w:tcPr>
          <w:p w:rsidR="00C871F2" w:rsidRDefault="00C871F2" w:rsidP="004A42D5">
            <w:pPr>
              <w:pStyle w:val="Tabletext"/>
              <w:rPr>
                <w:b/>
              </w:rPr>
            </w:pPr>
            <w:r>
              <w:rPr>
                <w:b/>
              </w:rPr>
              <w:t>GRADE</w:t>
            </w:r>
            <w:r w:rsidRPr="00C871F2">
              <w:rPr>
                <w:b/>
                <w:vertAlign w:val="superscript"/>
              </w:rPr>
              <w:t>b</w:t>
            </w:r>
          </w:p>
          <w:p w:rsidR="00476F09" w:rsidRPr="004A42D5" w:rsidRDefault="00476F09" w:rsidP="004A42D5">
            <w:pPr>
              <w:pStyle w:val="Tabletext"/>
              <w:rPr>
                <w:b/>
                <w:vertAlign w:val="superscript"/>
              </w:rPr>
            </w:pPr>
            <w:r w:rsidRPr="004A42D5">
              <w:rPr>
                <w:b/>
              </w:rPr>
              <w:t>Quality</w:t>
            </w:r>
          </w:p>
          <w:p w:rsidR="00476F09" w:rsidRPr="004A42D5" w:rsidRDefault="00476F09" w:rsidP="004A42D5">
            <w:pPr>
              <w:pStyle w:val="Tabletext"/>
              <w:rPr>
                <w:b/>
              </w:rPr>
            </w:pPr>
            <w:r w:rsidRPr="004A42D5">
              <w:rPr>
                <w:b/>
              </w:rPr>
              <w:t>Importance</w:t>
            </w:r>
          </w:p>
        </w:tc>
      </w:tr>
      <w:tr w:rsidR="00CC3BA4" w:rsidRPr="00E564DD" w:rsidTr="001363C5">
        <w:trPr>
          <w:trHeight w:val="319"/>
        </w:trPr>
        <w:tc>
          <w:tcPr>
            <w:tcW w:w="1493" w:type="dxa"/>
          </w:tcPr>
          <w:p w:rsidR="00CC3BA4" w:rsidRPr="00E564DD" w:rsidRDefault="00CC3BA4" w:rsidP="004A42D5">
            <w:pPr>
              <w:pStyle w:val="Tabletext"/>
              <w:rPr>
                <w:rFonts w:cs="Tahoma"/>
              </w:rPr>
            </w:pPr>
            <w:r>
              <w:rPr>
                <w:rFonts w:cs="Tahoma"/>
              </w:rPr>
              <w:t>Any AE in IPAH/HPAH</w:t>
            </w:r>
            <w:r>
              <w:rPr>
                <w:rFonts w:cs="Tahoma"/>
              </w:rPr>
              <w:br/>
              <w:t>(</w:t>
            </w:r>
            <w:r w:rsidRPr="00D36FBC">
              <w:rPr>
                <w:rFonts w:cs="Tahoma"/>
              </w:rPr>
              <w:t>2</w:t>
            </w:r>
            <w:r>
              <w:rPr>
                <w:rFonts w:cs="Tahoma"/>
              </w:rPr>
              <w:t>4</w:t>
            </w:r>
            <w:r w:rsidRPr="00D36FBC">
              <w:rPr>
                <w:rFonts w:cs="Tahoma"/>
              </w:rPr>
              <w:t xml:space="preserve"> weeks)</w:t>
            </w:r>
          </w:p>
        </w:tc>
        <w:tc>
          <w:tcPr>
            <w:tcW w:w="1054" w:type="dxa"/>
          </w:tcPr>
          <w:p w:rsidR="00CC3BA4" w:rsidRPr="00E564DD" w:rsidRDefault="00CC3BA4" w:rsidP="004A42D5">
            <w:pPr>
              <w:pStyle w:val="Tabletext"/>
              <w:rPr>
                <w:rFonts w:cs="Tahoma"/>
              </w:rPr>
            </w:pPr>
            <w:r>
              <w:rPr>
                <w:rFonts w:cs="Tahoma"/>
              </w:rPr>
              <w:t>1</w:t>
            </w:r>
            <w:r w:rsidRPr="00E564DD">
              <w:rPr>
                <w:rFonts w:cs="Tahoma"/>
              </w:rPr>
              <w:t xml:space="preserve"> RCT</w:t>
            </w:r>
          </w:p>
        </w:tc>
        <w:tc>
          <w:tcPr>
            <w:tcW w:w="771" w:type="dxa"/>
          </w:tcPr>
          <w:p w:rsidR="00CC3BA4" w:rsidRPr="00E564DD" w:rsidRDefault="00CC3BA4" w:rsidP="004A42D5">
            <w:pPr>
              <w:pStyle w:val="Tabletext"/>
              <w:rPr>
                <w:rFonts w:cs="Tahoma"/>
              </w:rPr>
            </w:pPr>
            <w:r w:rsidRPr="00E564DD">
              <w:rPr>
                <w:rFonts w:cs="Tahoma"/>
              </w:rPr>
              <w:t>Not serious</w:t>
            </w:r>
          </w:p>
        </w:tc>
        <w:tc>
          <w:tcPr>
            <w:tcW w:w="1072" w:type="dxa"/>
          </w:tcPr>
          <w:p w:rsidR="00CC3BA4" w:rsidRPr="00E564DD" w:rsidRDefault="00CC3BA4" w:rsidP="004A42D5">
            <w:pPr>
              <w:pStyle w:val="Tabletext"/>
              <w:rPr>
                <w:rFonts w:cs="Tahoma"/>
              </w:rPr>
            </w:pPr>
            <w:r w:rsidRPr="00E564DD">
              <w:rPr>
                <w:rFonts w:cs="Tahoma"/>
              </w:rPr>
              <w:t>Not serious</w:t>
            </w:r>
          </w:p>
        </w:tc>
        <w:tc>
          <w:tcPr>
            <w:tcW w:w="992" w:type="dxa"/>
          </w:tcPr>
          <w:p w:rsidR="00CC3BA4" w:rsidRPr="00E564DD" w:rsidRDefault="00CC3BA4" w:rsidP="004A42D5">
            <w:pPr>
              <w:pStyle w:val="Tabletext"/>
              <w:rPr>
                <w:rFonts w:cs="Tahoma"/>
              </w:rPr>
            </w:pPr>
            <w:r w:rsidRPr="00E564DD">
              <w:rPr>
                <w:rFonts w:cs="Tahoma"/>
              </w:rPr>
              <w:t>Not serious</w:t>
            </w:r>
          </w:p>
        </w:tc>
        <w:tc>
          <w:tcPr>
            <w:tcW w:w="992" w:type="dxa"/>
          </w:tcPr>
          <w:p w:rsidR="00CC3BA4" w:rsidRPr="00E564DD" w:rsidRDefault="00CC3BA4" w:rsidP="004A42D5">
            <w:pPr>
              <w:pStyle w:val="Tabletext"/>
              <w:rPr>
                <w:rFonts w:cs="Tahoma"/>
              </w:rPr>
            </w:pPr>
            <w:r w:rsidRPr="00E564DD">
              <w:rPr>
                <w:rFonts w:cs="Tahoma"/>
              </w:rPr>
              <w:t>Not serious</w:t>
            </w:r>
          </w:p>
        </w:tc>
        <w:tc>
          <w:tcPr>
            <w:tcW w:w="1276" w:type="dxa"/>
          </w:tcPr>
          <w:p w:rsidR="00CC3BA4" w:rsidRPr="00E564DD" w:rsidRDefault="00CC3BA4" w:rsidP="004A42D5">
            <w:pPr>
              <w:pStyle w:val="Tabletext"/>
              <w:rPr>
                <w:rFonts w:cs="Tahoma"/>
              </w:rPr>
            </w:pPr>
            <w:r w:rsidRPr="00E564DD">
              <w:rPr>
                <w:rFonts w:cs="Tahoma"/>
              </w:rPr>
              <w:t>None</w:t>
            </w:r>
          </w:p>
        </w:tc>
        <w:tc>
          <w:tcPr>
            <w:tcW w:w="1417" w:type="dxa"/>
          </w:tcPr>
          <w:p w:rsidR="00CC3BA4" w:rsidRPr="00A971CA" w:rsidRDefault="00CC3BA4" w:rsidP="004A42D5">
            <w:pPr>
              <w:pStyle w:val="Tabletext"/>
              <w:rPr>
                <w:rFonts w:cs="Tahoma"/>
              </w:rPr>
            </w:pPr>
            <w:r>
              <w:rPr>
                <w:rFonts w:cs="Tahoma"/>
              </w:rPr>
              <w:t>130/134 (97.0%)</w:t>
            </w:r>
          </w:p>
        </w:tc>
        <w:tc>
          <w:tcPr>
            <w:tcW w:w="1134" w:type="dxa"/>
          </w:tcPr>
          <w:p w:rsidR="00CC3BA4" w:rsidRPr="00456F1B" w:rsidRDefault="00CC3BA4" w:rsidP="004A42D5">
            <w:pPr>
              <w:pStyle w:val="Tabletext"/>
              <w:rPr>
                <w:rFonts w:cs="Tahoma"/>
                <w:highlight w:val="cyan"/>
              </w:rPr>
            </w:pPr>
            <w:r w:rsidRPr="00A971CA">
              <w:rPr>
                <w:rFonts w:cs="Tahoma"/>
              </w:rPr>
              <w:t>65/70 (92.9%)</w:t>
            </w:r>
          </w:p>
        </w:tc>
        <w:tc>
          <w:tcPr>
            <w:tcW w:w="993" w:type="dxa"/>
          </w:tcPr>
          <w:p w:rsidR="00CC3BA4" w:rsidRPr="00A971CA" w:rsidRDefault="00CC3BA4" w:rsidP="004A42D5">
            <w:pPr>
              <w:pStyle w:val="Tabletext"/>
              <w:rPr>
                <w:rFonts w:cs="Tahoma"/>
              </w:rPr>
            </w:pPr>
            <w:r w:rsidRPr="00A971CA">
              <w:rPr>
                <w:rFonts w:cs="Tahoma"/>
              </w:rPr>
              <w:t xml:space="preserve">RR </w:t>
            </w:r>
            <w:r>
              <w:rPr>
                <w:rFonts w:cs="Tahoma"/>
              </w:rPr>
              <w:t xml:space="preserve">= </w:t>
            </w:r>
            <w:r w:rsidRPr="00A971CA">
              <w:rPr>
                <w:rFonts w:cs="Tahoma"/>
              </w:rPr>
              <w:t>1.04</w:t>
            </w:r>
            <w:r>
              <w:rPr>
                <w:rFonts w:cs="Tahoma"/>
              </w:rPr>
              <w:t xml:space="preserve"> </w:t>
            </w:r>
            <w:r w:rsidRPr="00A971CA">
              <w:rPr>
                <w:rFonts w:cs="Tahoma"/>
              </w:rPr>
              <w:t>(0.97</w:t>
            </w:r>
            <w:r>
              <w:rPr>
                <w:rFonts w:cs="Tahoma"/>
              </w:rPr>
              <w:t>,</w:t>
            </w:r>
            <w:r w:rsidRPr="00A971CA">
              <w:rPr>
                <w:rFonts w:cs="Tahoma"/>
              </w:rPr>
              <w:t xml:space="preserve"> </w:t>
            </w:r>
            <w:r>
              <w:rPr>
                <w:rFonts w:cs="Tahoma"/>
              </w:rPr>
              <w:t>1.12)</w:t>
            </w:r>
          </w:p>
        </w:tc>
        <w:tc>
          <w:tcPr>
            <w:tcW w:w="2188" w:type="dxa"/>
          </w:tcPr>
          <w:p w:rsidR="00CC3BA4" w:rsidRPr="00456F1B" w:rsidRDefault="00CC3BA4" w:rsidP="004A42D5">
            <w:pPr>
              <w:pStyle w:val="Tabletext"/>
              <w:rPr>
                <w:rFonts w:cs="Tahoma"/>
                <w:highlight w:val="cyan"/>
              </w:rPr>
            </w:pPr>
            <w:r w:rsidRPr="00A971CA">
              <w:rPr>
                <w:rFonts w:cs="Tahoma"/>
              </w:rPr>
              <w:t>37 more per 1,000</w:t>
            </w:r>
            <w:r>
              <w:rPr>
                <w:rFonts w:cs="Tahoma"/>
              </w:rPr>
              <w:br/>
            </w:r>
            <w:r w:rsidRPr="00A971CA">
              <w:rPr>
                <w:rFonts w:cs="Tahoma"/>
              </w:rPr>
              <w:t>(from 28 fewer to 111 more)</w:t>
            </w:r>
          </w:p>
        </w:tc>
        <w:tc>
          <w:tcPr>
            <w:tcW w:w="1214" w:type="dxa"/>
          </w:tcPr>
          <w:p w:rsidR="00CC3BA4" w:rsidRDefault="00CC3BA4" w:rsidP="004A42D5">
            <w:pPr>
              <w:pStyle w:val="Tabletext"/>
              <w:rPr>
                <w:rFonts w:ascii="Cambria Math" w:eastAsia="Times New Roman" w:hAnsi="Cambria Math" w:cs="Cambria Math"/>
                <w:bCs/>
              </w:rPr>
            </w:pPr>
            <w:r>
              <w:rPr>
                <w:rFonts w:eastAsia="Times New Roman" w:cs="Tahoma"/>
                <w:bCs/>
              </w:rPr>
              <w:t>High</w:t>
            </w:r>
            <w:r>
              <w:rPr>
                <w:rFonts w:eastAsia="Times New Roman" w:cs="Tahoma"/>
                <w:bCs/>
              </w:rPr>
              <w:br/>
            </w:r>
            <w:r w:rsidRPr="00E564DD">
              <w:rPr>
                <w:rFonts w:ascii="Cambria Math" w:eastAsia="Times New Roman" w:hAnsi="Cambria Math" w:cs="Cambria Math"/>
                <w:bCs/>
                <w:color w:val="00B050"/>
              </w:rPr>
              <w:t>⨁⨁⨁</w:t>
            </w:r>
            <w:r w:rsidRPr="00D36FBC">
              <w:rPr>
                <w:rFonts w:ascii="Cambria Math" w:eastAsia="Times New Roman" w:hAnsi="Cambria Math" w:cs="Cambria Math"/>
                <w:bCs/>
                <w:color w:val="00B050"/>
              </w:rPr>
              <w:t>⨁</w:t>
            </w:r>
          </w:p>
          <w:p w:rsidR="00CC3BA4" w:rsidRPr="00E564DD" w:rsidRDefault="00CC3BA4" w:rsidP="004A42D5">
            <w:pPr>
              <w:pStyle w:val="Tabletext"/>
              <w:rPr>
                <w:rFonts w:cs="Tahoma"/>
              </w:rPr>
            </w:pPr>
            <w:r>
              <w:rPr>
                <w:rFonts w:cs="Tahoma"/>
              </w:rPr>
              <w:t>I</w:t>
            </w:r>
            <w:r w:rsidRPr="00E564DD">
              <w:rPr>
                <w:rFonts w:cs="Tahoma"/>
              </w:rPr>
              <w:t>mportant</w:t>
            </w:r>
          </w:p>
        </w:tc>
      </w:tr>
      <w:tr w:rsidR="00CC3BA4" w:rsidRPr="00E564DD" w:rsidTr="001363C5">
        <w:trPr>
          <w:trHeight w:val="319"/>
        </w:trPr>
        <w:tc>
          <w:tcPr>
            <w:tcW w:w="1493" w:type="dxa"/>
          </w:tcPr>
          <w:p w:rsidR="00CC3BA4" w:rsidRPr="00E564DD" w:rsidRDefault="00CC3BA4" w:rsidP="004A42D5">
            <w:pPr>
              <w:pStyle w:val="Tabletext"/>
              <w:rPr>
                <w:rFonts w:cs="Tahoma"/>
              </w:rPr>
            </w:pPr>
            <w:r>
              <w:rPr>
                <w:rFonts w:cs="Tahoma"/>
              </w:rPr>
              <w:t>Any AE in PAH-CTD</w:t>
            </w:r>
            <w:r>
              <w:rPr>
                <w:rFonts w:cs="Tahoma"/>
              </w:rPr>
              <w:br/>
              <w:t>(</w:t>
            </w:r>
            <w:r w:rsidRPr="00D36FBC">
              <w:rPr>
                <w:rFonts w:cs="Tahoma"/>
              </w:rPr>
              <w:t>2</w:t>
            </w:r>
            <w:r>
              <w:rPr>
                <w:rFonts w:cs="Tahoma"/>
              </w:rPr>
              <w:t>4</w:t>
            </w:r>
            <w:r w:rsidRPr="00D36FBC">
              <w:rPr>
                <w:rFonts w:cs="Tahoma"/>
              </w:rPr>
              <w:t xml:space="preserve"> weeks)</w:t>
            </w:r>
          </w:p>
        </w:tc>
        <w:tc>
          <w:tcPr>
            <w:tcW w:w="1054" w:type="dxa"/>
          </w:tcPr>
          <w:p w:rsidR="00CC3BA4" w:rsidRPr="00E564DD" w:rsidRDefault="00CC3BA4" w:rsidP="004A42D5">
            <w:pPr>
              <w:pStyle w:val="Tabletext"/>
              <w:rPr>
                <w:rFonts w:cs="Tahoma"/>
              </w:rPr>
            </w:pPr>
            <w:r>
              <w:rPr>
                <w:rFonts w:cs="Tahoma"/>
              </w:rPr>
              <w:t>1</w:t>
            </w:r>
            <w:r w:rsidRPr="00E564DD">
              <w:rPr>
                <w:rFonts w:cs="Tahoma"/>
              </w:rPr>
              <w:t xml:space="preserve"> RCT</w:t>
            </w:r>
          </w:p>
        </w:tc>
        <w:tc>
          <w:tcPr>
            <w:tcW w:w="771" w:type="dxa"/>
          </w:tcPr>
          <w:p w:rsidR="00CC3BA4" w:rsidRPr="00E564DD" w:rsidRDefault="00CC3BA4" w:rsidP="004A42D5">
            <w:pPr>
              <w:pStyle w:val="Tabletext"/>
              <w:rPr>
                <w:rFonts w:cs="Tahoma"/>
              </w:rPr>
            </w:pPr>
            <w:r w:rsidRPr="00E564DD">
              <w:rPr>
                <w:rFonts w:cs="Tahoma"/>
              </w:rPr>
              <w:t>Not serious</w:t>
            </w:r>
          </w:p>
        </w:tc>
        <w:tc>
          <w:tcPr>
            <w:tcW w:w="1072" w:type="dxa"/>
          </w:tcPr>
          <w:p w:rsidR="00CC3BA4" w:rsidRPr="00E564DD" w:rsidRDefault="00CC3BA4" w:rsidP="004A42D5">
            <w:pPr>
              <w:pStyle w:val="Tabletext"/>
              <w:rPr>
                <w:rFonts w:cs="Tahoma"/>
              </w:rPr>
            </w:pPr>
            <w:r w:rsidRPr="00E564DD">
              <w:rPr>
                <w:rFonts w:cs="Tahoma"/>
              </w:rPr>
              <w:t>Not serious</w:t>
            </w:r>
          </w:p>
        </w:tc>
        <w:tc>
          <w:tcPr>
            <w:tcW w:w="992" w:type="dxa"/>
          </w:tcPr>
          <w:p w:rsidR="00CC3BA4" w:rsidRPr="00E564DD" w:rsidRDefault="00CC3BA4" w:rsidP="004A42D5">
            <w:pPr>
              <w:pStyle w:val="Tabletext"/>
              <w:rPr>
                <w:rFonts w:cs="Tahoma"/>
              </w:rPr>
            </w:pPr>
            <w:r w:rsidRPr="00E564DD">
              <w:rPr>
                <w:rFonts w:cs="Tahoma"/>
              </w:rPr>
              <w:t>Not serious</w:t>
            </w:r>
          </w:p>
        </w:tc>
        <w:tc>
          <w:tcPr>
            <w:tcW w:w="992" w:type="dxa"/>
          </w:tcPr>
          <w:p w:rsidR="00CC3BA4" w:rsidRPr="00E564DD" w:rsidRDefault="00CC3BA4" w:rsidP="004A42D5">
            <w:pPr>
              <w:pStyle w:val="Tabletext"/>
              <w:rPr>
                <w:rFonts w:cs="Tahoma"/>
              </w:rPr>
            </w:pPr>
            <w:r w:rsidRPr="00E564DD">
              <w:rPr>
                <w:rFonts w:cs="Tahoma"/>
              </w:rPr>
              <w:t>Not serious</w:t>
            </w:r>
          </w:p>
        </w:tc>
        <w:tc>
          <w:tcPr>
            <w:tcW w:w="1276" w:type="dxa"/>
          </w:tcPr>
          <w:p w:rsidR="00CC3BA4" w:rsidRPr="00E564DD" w:rsidRDefault="00CC3BA4" w:rsidP="004A42D5">
            <w:pPr>
              <w:pStyle w:val="Tabletext"/>
              <w:rPr>
                <w:rFonts w:cs="Tahoma"/>
              </w:rPr>
            </w:pPr>
            <w:r w:rsidRPr="00E564DD">
              <w:rPr>
                <w:rFonts w:cs="Tahoma"/>
              </w:rPr>
              <w:t>None</w:t>
            </w:r>
          </w:p>
        </w:tc>
        <w:tc>
          <w:tcPr>
            <w:tcW w:w="1417" w:type="dxa"/>
          </w:tcPr>
          <w:p w:rsidR="00CC3BA4" w:rsidRPr="00C80652" w:rsidRDefault="00CC3BA4" w:rsidP="004A42D5">
            <w:pPr>
              <w:pStyle w:val="Tabletext"/>
              <w:rPr>
                <w:rFonts w:eastAsia="Times New Roman"/>
              </w:rPr>
            </w:pPr>
            <w:r w:rsidRPr="00A971CA">
              <w:rPr>
                <w:rFonts w:eastAsia="Times New Roman"/>
              </w:rPr>
              <w:t>102/103 (99.0%)</w:t>
            </w:r>
          </w:p>
        </w:tc>
        <w:tc>
          <w:tcPr>
            <w:tcW w:w="1134" w:type="dxa"/>
          </w:tcPr>
          <w:p w:rsidR="00CC3BA4" w:rsidRPr="00C80652" w:rsidRDefault="00CC3BA4" w:rsidP="004A42D5">
            <w:pPr>
              <w:pStyle w:val="Tabletext"/>
              <w:rPr>
                <w:rFonts w:eastAsia="Times New Roman"/>
              </w:rPr>
            </w:pPr>
            <w:r w:rsidRPr="00A971CA">
              <w:rPr>
                <w:rFonts w:eastAsia="Times New Roman"/>
              </w:rPr>
              <w:t>39/40 (97.5%)</w:t>
            </w:r>
          </w:p>
        </w:tc>
        <w:tc>
          <w:tcPr>
            <w:tcW w:w="993" w:type="dxa"/>
          </w:tcPr>
          <w:p w:rsidR="00CC3BA4" w:rsidRPr="00A971CA" w:rsidRDefault="00CC3BA4" w:rsidP="004A42D5">
            <w:pPr>
              <w:pStyle w:val="Tabletext"/>
              <w:rPr>
                <w:rFonts w:eastAsia="Times New Roman"/>
              </w:rPr>
            </w:pPr>
            <w:r w:rsidRPr="00A971CA">
              <w:rPr>
                <w:rFonts w:eastAsia="Times New Roman"/>
              </w:rPr>
              <w:t xml:space="preserve">RR </w:t>
            </w:r>
            <w:r>
              <w:rPr>
                <w:rFonts w:eastAsia="Times New Roman"/>
              </w:rPr>
              <w:t xml:space="preserve">= </w:t>
            </w:r>
            <w:r w:rsidRPr="00A971CA">
              <w:rPr>
                <w:rFonts w:eastAsia="Times New Roman"/>
              </w:rPr>
              <w:t>1.02</w:t>
            </w:r>
            <w:r>
              <w:rPr>
                <w:rFonts w:eastAsia="Times New Roman"/>
              </w:rPr>
              <w:t xml:space="preserve"> </w:t>
            </w:r>
            <w:r w:rsidRPr="00A971CA">
              <w:rPr>
                <w:rFonts w:eastAsia="Times New Roman"/>
              </w:rPr>
              <w:t>(0.96</w:t>
            </w:r>
            <w:r>
              <w:rPr>
                <w:rFonts w:eastAsia="Times New Roman"/>
              </w:rPr>
              <w:t>,</w:t>
            </w:r>
            <w:r w:rsidRPr="00A971CA">
              <w:rPr>
                <w:rFonts w:eastAsia="Times New Roman"/>
              </w:rPr>
              <w:t xml:space="preserve"> 1.07)</w:t>
            </w:r>
          </w:p>
        </w:tc>
        <w:tc>
          <w:tcPr>
            <w:tcW w:w="2188" w:type="dxa"/>
          </w:tcPr>
          <w:p w:rsidR="00CC3BA4" w:rsidRPr="00C80652" w:rsidRDefault="00CC3BA4" w:rsidP="004A42D5">
            <w:pPr>
              <w:pStyle w:val="Tabletext"/>
              <w:rPr>
                <w:rFonts w:eastAsia="Times New Roman"/>
                <w:bCs/>
              </w:rPr>
            </w:pPr>
            <w:r w:rsidRPr="00A971CA">
              <w:rPr>
                <w:rFonts w:eastAsia="Times New Roman"/>
              </w:rPr>
              <w:t>20 more per 1,000</w:t>
            </w:r>
            <w:r>
              <w:rPr>
                <w:rFonts w:eastAsia="Times New Roman"/>
              </w:rPr>
              <w:br/>
            </w:r>
            <w:r w:rsidRPr="00A971CA">
              <w:rPr>
                <w:rFonts w:eastAsia="Times New Roman"/>
              </w:rPr>
              <w:t>(from 39 fewer to 68 more)</w:t>
            </w:r>
          </w:p>
        </w:tc>
        <w:tc>
          <w:tcPr>
            <w:tcW w:w="1214" w:type="dxa"/>
          </w:tcPr>
          <w:p w:rsidR="00CC3BA4" w:rsidRDefault="00CC3BA4" w:rsidP="004A42D5">
            <w:pPr>
              <w:pStyle w:val="Tabletext"/>
              <w:rPr>
                <w:rFonts w:ascii="Cambria Math" w:eastAsia="Times New Roman" w:hAnsi="Cambria Math" w:cs="Cambria Math"/>
                <w:bCs/>
              </w:rPr>
            </w:pPr>
            <w:r>
              <w:rPr>
                <w:rFonts w:eastAsia="Times New Roman" w:cs="Tahoma"/>
                <w:bCs/>
              </w:rPr>
              <w:t>High</w:t>
            </w:r>
            <w:r>
              <w:rPr>
                <w:rFonts w:eastAsia="Times New Roman" w:cs="Tahoma"/>
                <w:bCs/>
              </w:rPr>
              <w:br/>
            </w:r>
            <w:r w:rsidRPr="00E564DD">
              <w:rPr>
                <w:rFonts w:ascii="Cambria Math" w:eastAsia="Times New Roman" w:hAnsi="Cambria Math" w:cs="Cambria Math"/>
                <w:bCs/>
                <w:color w:val="00B050"/>
              </w:rPr>
              <w:t>⨁⨁⨁</w:t>
            </w:r>
            <w:r w:rsidRPr="00D36FBC">
              <w:rPr>
                <w:rFonts w:ascii="Cambria Math" w:eastAsia="Times New Roman" w:hAnsi="Cambria Math" w:cs="Cambria Math"/>
                <w:bCs/>
                <w:color w:val="00B050"/>
              </w:rPr>
              <w:t>⨁</w:t>
            </w:r>
          </w:p>
          <w:p w:rsidR="00CC3BA4" w:rsidRPr="00C80652" w:rsidRDefault="00CC3BA4" w:rsidP="004A42D5">
            <w:pPr>
              <w:pStyle w:val="Tabletext"/>
              <w:rPr>
                <w:rFonts w:ascii="Cambria Math" w:eastAsia="Times New Roman" w:hAnsi="Cambria Math" w:cs="Cambria Math"/>
                <w:bCs/>
                <w:color w:val="00B050"/>
              </w:rPr>
            </w:pPr>
            <w:r>
              <w:rPr>
                <w:rFonts w:cs="Tahoma"/>
              </w:rPr>
              <w:t>I</w:t>
            </w:r>
            <w:r w:rsidRPr="00E564DD">
              <w:rPr>
                <w:rFonts w:cs="Tahoma"/>
              </w:rPr>
              <w:t>mportant</w:t>
            </w:r>
          </w:p>
        </w:tc>
      </w:tr>
      <w:tr w:rsidR="00CC3BA4" w:rsidRPr="00E564DD" w:rsidTr="001363C5">
        <w:trPr>
          <w:trHeight w:val="319"/>
        </w:trPr>
        <w:tc>
          <w:tcPr>
            <w:tcW w:w="1493" w:type="dxa"/>
          </w:tcPr>
          <w:p w:rsidR="00CC3BA4" w:rsidRPr="00E564DD" w:rsidRDefault="00CC3BA4" w:rsidP="004A42D5">
            <w:pPr>
              <w:pStyle w:val="Tabletext"/>
              <w:rPr>
                <w:rFonts w:cs="Tahoma"/>
              </w:rPr>
            </w:pPr>
            <w:r>
              <w:rPr>
                <w:rFonts w:cs="Tahoma"/>
              </w:rPr>
              <w:t>Serious AEs in IPAH/HPAH</w:t>
            </w:r>
            <w:r>
              <w:rPr>
                <w:rFonts w:cs="Tahoma"/>
              </w:rPr>
              <w:br/>
              <w:t>(</w:t>
            </w:r>
            <w:r w:rsidRPr="00D36FBC">
              <w:rPr>
                <w:rFonts w:cs="Tahoma"/>
              </w:rPr>
              <w:t>2</w:t>
            </w:r>
            <w:r>
              <w:rPr>
                <w:rFonts w:cs="Tahoma"/>
              </w:rPr>
              <w:t>4</w:t>
            </w:r>
            <w:r w:rsidRPr="00D36FBC">
              <w:rPr>
                <w:rFonts w:cs="Tahoma"/>
              </w:rPr>
              <w:t xml:space="preserve"> weeks)</w:t>
            </w:r>
          </w:p>
        </w:tc>
        <w:tc>
          <w:tcPr>
            <w:tcW w:w="1054" w:type="dxa"/>
          </w:tcPr>
          <w:p w:rsidR="00CC3BA4" w:rsidRPr="00E564DD" w:rsidRDefault="00CC3BA4" w:rsidP="004A42D5">
            <w:pPr>
              <w:pStyle w:val="Tabletext"/>
              <w:rPr>
                <w:rFonts w:cs="Tahoma"/>
              </w:rPr>
            </w:pPr>
            <w:r>
              <w:rPr>
                <w:rFonts w:cs="Tahoma"/>
              </w:rPr>
              <w:t>1 RCT</w:t>
            </w:r>
          </w:p>
        </w:tc>
        <w:tc>
          <w:tcPr>
            <w:tcW w:w="771" w:type="dxa"/>
          </w:tcPr>
          <w:p w:rsidR="00CC3BA4" w:rsidRPr="00E564DD" w:rsidRDefault="00CC3BA4" w:rsidP="004A42D5">
            <w:pPr>
              <w:pStyle w:val="Tabletext"/>
              <w:rPr>
                <w:rFonts w:cs="Tahoma"/>
              </w:rPr>
            </w:pPr>
            <w:r w:rsidRPr="00E564DD">
              <w:rPr>
                <w:rFonts w:cs="Tahoma"/>
              </w:rPr>
              <w:t>Not serious</w:t>
            </w:r>
          </w:p>
        </w:tc>
        <w:tc>
          <w:tcPr>
            <w:tcW w:w="1072" w:type="dxa"/>
          </w:tcPr>
          <w:p w:rsidR="00CC3BA4" w:rsidRPr="00E564DD" w:rsidRDefault="00CC3BA4" w:rsidP="004A42D5">
            <w:pPr>
              <w:pStyle w:val="Tabletext"/>
              <w:rPr>
                <w:rFonts w:cs="Tahoma"/>
              </w:rPr>
            </w:pPr>
            <w:r w:rsidRPr="00E564DD">
              <w:rPr>
                <w:rFonts w:cs="Tahoma"/>
              </w:rPr>
              <w:t>Not serious</w:t>
            </w:r>
          </w:p>
        </w:tc>
        <w:tc>
          <w:tcPr>
            <w:tcW w:w="992" w:type="dxa"/>
          </w:tcPr>
          <w:p w:rsidR="00CC3BA4" w:rsidRPr="00E564DD" w:rsidRDefault="00CC3BA4" w:rsidP="004A42D5">
            <w:pPr>
              <w:pStyle w:val="Tabletext"/>
              <w:rPr>
                <w:rFonts w:cs="Tahoma"/>
              </w:rPr>
            </w:pPr>
            <w:r w:rsidRPr="00E564DD">
              <w:rPr>
                <w:rFonts w:cs="Tahoma"/>
              </w:rPr>
              <w:t>Not serious</w:t>
            </w:r>
          </w:p>
        </w:tc>
        <w:tc>
          <w:tcPr>
            <w:tcW w:w="992" w:type="dxa"/>
          </w:tcPr>
          <w:p w:rsidR="00CC3BA4" w:rsidRPr="00E564DD" w:rsidRDefault="00CC3BA4" w:rsidP="004A42D5">
            <w:pPr>
              <w:pStyle w:val="Tabletext"/>
              <w:rPr>
                <w:rFonts w:cs="Tahoma"/>
              </w:rPr>
            </w:pPr>
            <w:r w:rsidRPr="00E564DD">
              <w:rPr>
                <w:rFonts w:cs="Tahoma"/>
              </w:rPr>
              <w:t>Not serious</w:t>
            </w:r>
          </w:p>
        </w:tc>
        <w:tc>
          <w:tcPr>
            <w:tcW w:w="1276" w:type="dxa"/>
          </w:tcPr>
          <w:p w:rsidR="00CC3BA4" w:rsidRPr="00E564DD" w:rsidRDefault="00CC3BA4" w:rsidP="004A42D5">
            <w:pPr>
              <w:pStyle w:val="Tabletext"/>
              <w:rPr>
                <w:rFonts w:cs="Tahoma"/>
              </w:rPr>
            </w:pPr>
            <w:r>
              <w:rPr>
                <w:rFonts w:cs="Tahoma"/>
              </w:rPr>
              <w:t>None</w:t>
            </w:r>
          </w:p>
        </w:tc>
        <w:tc>
          <w:tcPr>
            <w:tcW w:w="1417" w:type="dxa"/>
          </w:tcPr>
          <w:p w:rsidR="00CC3BA4" w:rsidRPr="00A971CA" w:rsidRDefault="00CC3BA4" w:rsidP="004A42D5">
            <w:pPr>
              <w:pStyle w:val="Tabletext"/>
              <w:rPr>
                <w:rFonts w:cs="Tahoma"/>
              </w:rPr>
            </w:pPr>
            <w:r>
              <w:rPr>
                <w:rFonts w:cs="Tahoma"/>
              </w:rPr>
              <w:t>44/134 (32.8%)</w:t>
            </w:r>
          </w:p>
        </w:tc>
        <w:tc>
          <w:tcPr>
            <w:tcW w:w="1134" w:type="dxa"/>
          </w:tcPr>
          <w:p w:rsidR="00CC3BA4" w:rsidRPr="00456F1B" w:rsidRDefault="00CC3BA4" w:rsidP="004A42D5">
            <w:pPr>
              <w:pStyle w:val="Tabletext"/>
              <w:rPr>
                <w:rFonts w:cs="Tahoma"/>
                <w:highlight w:val="cyan"/>
              </w:rPr>
            </w:pPr>
            <w:r w:rsidRPr="00A971CA">
              <w:rPr>
                <w:rFonts w:cs="Tahoma"/>
              </w:rPr>
              <w:t>27/70 (38.6%)</w:t>
            </w:r>
          </w:p>
        </w:tc>
        <w:tc>
          <w:tcPr>
            <w:tcW w:w="993" w:type="dxa"/>
          </w:tcPr>
          <w:p w:rsidR="00CC3BA4" w:rsidRPr="00A971CA" w:rsidRDefault="00CC3BA4" w:rsidP="004A42D5">
            <w:pPr>
              <w:pStyle w:val="Tabletext"/>
              <w:rPr>
                <w:rFonts w:cs="Tahoma"/>
              </w:rPr>
            </w:pPr>
            <w:r w:rsidRPr="00A971CA">
              <w:rPr>
                <w:rFonts w:cs="Tahoma"/>
              </w:rPr>
              <w:t xml:space="preserve">RR </w:t>
            </w:r>
            <w:r>
              <w:rPr>
                <w:rFonts w:cs="Tahoma"/>
              </w:rPr>
              <w:t xml:space="preserve">= </w:t>
            </w:r>
            <w:r w:rsidRPr="00A971CA">
              <w:rPr>
                <w:rFonts w:cs="Tahoma"/>
              </w:rPr>
              <w:t>0.85</w:t>
            </w:r>
            <w:r>
              <w:rPr>
                <w:rFonts w:cs="Tahoma"/>
              </w:rPr>
              <w:t xml:space="preserve"> (0.58, 1.25)</w:t>
            </w:r>
          </w:p>
        </w:tc>
        <w:tc>
          <w:tcPr>
            <w:tcW w:w="2188" w:type="dxa"/>
          </w:tcPr>
          <w:p w:rsidR="00CC3BA4" w:rsidRPr="00456F1B" w:rsidRDefault="00CC3BA4" w:rsidP="004A42D5">
            <w:pPr>
              <w:pStyle w:val="Tabletext"/>
              <w:rPr>
                <w:rFonts w:cs="Tahoma"/>
                <w:highlight w:val="cyan"/>
              </w:rPr>
            </w:pPr>
            <w:r w:rsidRPr="00A971CA">
              <w:rPr>
                <w:rFonts w:cs="Tahoma"/>
              </w:rPr>
              <w:t>58 fewer per 1,000</w:t>
            </w:r>
            <w:r>
              <w:rPr>
                <w:rFonts w:cs="Tahoma"/>
              </w:rPr>
              <w:br/>
            </w:r>
            <w:r w:rsidRPr="00A971CA">
              <w:rPr>
                <w:rFonts w:cs="Tahoma"/>
              </w:rPr>
              <w:t>(from 96 more to 162 fewer)</w:t>
            </w:r>
          </w:p>
        </w:tc>
        <w:tc>
          <w:tcPr>
            <w:tcW w:w="1214" w:type="dxa"/>
          </w:tcPr>
          <w:p w:rsidR="00CC3BA4" w:rsidRDefault="00CC3BA4" w:rsidP="004A42D5">
            <w:pPr>
              <w:pStyle w:val="Tabletext"/>
              <w:rPr>
                <w:rFonts w:ascii="Cambria Math" w:eastAsia="Times New Roman" w:hAnsi="Cambria Math" w:cs="Cambria Math"/>
                <w:bCs/>
              </w:rPr>
            </w:pPr>
            <w:r>
              <w:rPr>
                <w:rFonts w:eastAsia="Times New Roman" w:cs="Tahoma"/>
                <w:bCs/>
              </w:rPr>
              <w:t>High</w:t>
            </w:r>
            <w:r>
              <w:rPr>
                <w:rFonts w:eastAsia="Times New Roman" w:cs="Tahoma"/>
                <w:bCs/>
              </w:rPr>
              <w:br/>
            </w:r>
            <w:r w:rsidRPr="00E564DD">
              <w:rPr>
                <w:rFonts w:ascii="Cambria Math" w:eastAsia="Times New Roman" w:hAnsi="Cambria Math" w:cs="Cambria Math"/>
                <w:bCs/>
                <w:color w:val="00B050"/>
              </w:rPr>
              <w:t>⨁⨁⨁</w:t>
            </w:r>
            <w:r w:rsidRPr="00D36FBC">
              <w:rPr>
                <w:rFonts w:ascii="Cambria Math" w:eastAsia="Times New Roman" w:hAnsi="Cambria Math" w:cs="Cambria Math"/>
                <w:bCs/>
                <w:color w:val="00B050"/>
              </w:rPr>
              <w:t>⨁</w:t>
            </w:r>
          </w:p>
          <w:p w:rsidR="00CC3BA4" w:rsidRPr="00E564DD" w:rsidRDefault="00CC3BA4" w:rsidP="004A42D5">
            <w:pPr>
              <w:pStyle w:val="Tabletext"/>
              <w:rPr>
                <w:rFonts w:cs="Tahoma"/>
              </w:rPr>
            </w:pPr>
            <w:r>
              <w:rPr>
                <w:rFonts w:cs="Tahoma"/>
              </w:rPr>
              <w:t>I</w:t>
            </w:r>
            <w:r w:rsidRPr="00E564DD">
              <w:rPr>
                <w:rFonts w:cs="Tahoma"/>
              </w:rPr>
              <w:t>mportant</w:t>
            </w:r>
          </w:p>
        </w:tc>
      </w:tr>
      <w:tr w:rsidR="00CC3BA4" w:rsidRPr="00E564DD" w:rsidTr="001363C5">
        <w:trPr>
          <w:trHeight w:val="319"/>
        </w:trPr>
        <w:tc>
          <w:tcPr>
            <w:tcW w:w="1493" w:type="dxa"/>
          </w:tcPr>
          <w:p w:rsidR="00CC3BA4" w:rsidRPr="00E564DD" w:rsidRDefault="00CC3BA4" w:rsidP="004A42D5">
            <w:pPr>
              <w:pStyle w:val="Tabletext"/>
              <w:rPr>
                <w:rFonts w:cs="Tahoma"/>
              </w:rPr>
            </w:pPr>
            <w:r>
              <w:rPr>
                <w:rFonts w:cs="Tahoma"/>
              </w:rPr>
              <w:t>Serious AEs in PAH-CTD</w:t>
            </w:r>
            <w:r>
              <w:rPr>
                <w:rFonts w:cs="Tahoma"/>
              </w:rPr>
              <w:br/>
              <w:t>(</w:t>
            </w:r>
            <w:r w:rsidRPr="00D36FBC">
              <w:rPr>
                <w:rFonts w:cs="Tahoma"/>
              </w:rPr>
              <w:t>2</w:t>
            </w:r>
            <w:r>
              <w:rPr>
                <w:rFonts w:cs="Tahoma"/>
              </w:rPr>
              <w:t>4</w:t>
            </w:r>
            <w:r w:rsidRPr="00D36FBC">
              <w:rPr>
                <w:rFonts w:cs="Tahoma"/>
              </w:rPr>
              <w:t xml:space="preserve"> weeks)</w:t>
            </w:r>
          </w:p>
        </w:tc>
        <w:tc>
          <w:tcPr>
            <w:tcW w:w="1054" w:type="dxa"/>
          </w:tcPr>
          <w:p w:rsidR="00CC3BA4" w:rsidRPr="00E564DD" w:rsidRDefault="00CC3BA4" w:rsidP="004A42D5">
            <w:pPr>
              <w:pStyle w:val="Tabletext"/>
              <w:rPr>
                <w:rFonts w:cs="Tahoma"/>
              </w:rPr>
            </w:pPr>
            <w:r>
              <w:rPr>
                <w:rFonts w:cs="Tahoma"/>
              </w:rPr>
              <w:t>1</w:t>
            </w:r>
            <w:r w:rsidRPr="00E564DD">
              <w:rPr>
                <w:rFonts w:cs="Tahoma"/>
              </w:rPr>
              <w:t xml:space="preserve"> RCT</w:t>
            </w:r>
          </w:p>
        </w:tc>
        <w:tc>
          <w:tcPr>
            <w:tcW w:w="771" w:type="dxa"/>
          </w:tcPr>
          <w:p w:rsidR="00CC3BA4" w:rsidRPr="00E564DD" w:rsidRDefault="00CC3BA4" w:rsidP="004A42D5">
            <w:pPr>
              <w:pStyle w:val="Tabletext"/>
              <w:rPr>
                <w:rFonts w:cs="Tahoma"/>
              </w:rPr>
            </w:pPr>
            <w:r w:rsidRPr="00E564DD">
              <w:rPr>
                <w:rFonts w:cs="Tahoma"/>
              </w:rPr>
              <w:t>Not serious</w:t>
            </w:r>
          </w:p>
        </w:tc>
        <w:tc>
          <w:tcPr>
            <w:tcW w:w="1072" w:type="dxa"/>
          </w:tcPr>
          <w:p w:rsidR="00CC3BA4" w:rsidRPr="00E564DD" w:rsidRDefault="00CC3BA4" w:rsidP="004A42D5">
            <w:pPr>
              <w:pStyle w:val="Tabletext"/>
              <w:rPr>
                <w:rFonts w:cs="Tahoma"/>
              </w:rPr>
            </w:pPr>
            <w:r w:rsidRPr="00E564DD">
              <w:rPr>
                <w:rFonts w:cs="Tahoma"/>
              </w:rPr>
              <w:t>Not serious</w:t>
            </w:r>
          </w:p>
        </w:tc>
        <w:tc>
          <w:tcPr>
            <w:tcW w:w="992" w:type="dxa"/>
          </w:tcPr>
          <w:p w:rsidR="00CC3BA4" w:rsidRPr="00E564DD" w:rsidRDefault="00CC3BA4" w:rsidP="004A42D5">
            <w:pPr>
              <w:pStyle w:val="Tabletext"/>
              <w:rPr>
                <w:rFonts w:cs="Tahoma"/>
              </w:rPr>
            </w:pPr>
            <w:r w:rsidRPr="00E564DD">
              <w:rPr>
                <w:rFonts w:cs="Tahoma"/>
              </w:rPr>
              <w:t>Not serious</w:t>
            </w:r>
          </w:p>
        </w:tc>
        <w:tc>
          <w:tcPr>
            <w:tcW w:w="992" w:type="dxa"/>
          </w:tcPr>
          <w:p w:rsidR="00CC3BA4" w:rsidRPr="00E564DD" w:rsidRDefault="00CC3BA4" w:rsidP="004A42D5">
            <w:pPr>
              <w:pStyle w:val="Tabletext"/>
              <w:rPr>
                <w:rFonts w:cs="Tahoma"/>
              </w:rPr>
            </w:pPr>
            <w:r w:rsidRPr="00E564DD">
              <w:rPr>
                <w:rFonts w:cs="Tahoma"/>
              </w:rPr>
              <w:t>Not serious</w:t>
            </w:r>
          </w:p>
        </w:tc>
        <w:tc>
          <w:tcPr>
            <w:tcW w:w="1276" w:type="dxa"/>
          </w:tcPr>
          <w:p w:rsidR="00CC3BA4" w:rsidRPr="00E564DD" w:rsidRDefault="00CC3BA4" w:rsidP="004A42D5">
            <w:pPr>
              <w:pStyle w:val="Tabletext"/>
              <w:rPr>
                <w:rFonts w:cs="Tahoma"/>
              </w:rPr>
            </w:pPr>
            <w:r>
              <w:rPr>
                <w:rFonts w:cs="Tahoma"/>
              </w:rPr>
              <w:t>None</w:t>
            </w:r>
          </w:p>
        </w:tc>
        <w:tc>
          <w:tcPr>
            <w:tcW w:w="1417" w:type="dxa"/>
          </w:tcPr>
          <w:p w:rsidR="00CC3BA4" w:rsidRPr="000C5F99" w:rsidRDefault="00CC3BA4" w:rsidP="004A42D5">
            <w:pPr>
              <w:pStyle w:val="Tabletext"/>
              <w:rPr>
                <w:rFonts w:cs="Tahoma"/>
              </w:rPr>
            </w:pPr>
            <w:r>
              <w:rPr>
                <w:rFonts w:cs="Tahoma"/>
              </w:rPr>
              <w:t>45/103 (43.7%)</w:t>
            </w:r>
          </w:p>
        </w:tc>
        <w:tc>
          <w:tcPr>
            <w:tcW w:w="1134" w:type="dxa"/>
          </w:tcPr>
          <w:p w:rsidR="00CC3BA4" w:rsidRPr="00456F1B" w:rsidRDefault="00CC3BA4" w:rsidP="004A42D5">
            <w:pPr>
              <w:pStyle w:val="Tabletext"/>
              <w:rPr>
                <w:rFonts w:cs="Tahoma"/>
                <w:highlight w:val="cyan"/>
              </w:rPr>
            </w:pPr>
            <w:r w:rsidRPr="000C5F99">
              <w:rPr>
                <w:rFonts w:cs="Tahoma"/>
              </w:rPr>
              <w:t>20/40 (50.0%)</w:t>
            </w:r>
          </w:p>
        </w:tc>
        <w:tc>
          <w:tcPr>
            <w:tcW w:w="993" w:type="dxa"/>
          </w:tcPr>
          <w:p w:rsidR="00CC3BA4" w:rsidRPr="00456F1B" w:rsidRDefault="00CC3BA4" w:rsidP="00AD2B3C">
            <w:pPr>
              <w:pStyle w:val="Tabletext"/>
              <w:rPr>
                <w:rFonts w:cs="Tahoma"/>
                <w:highlight w:val="cyan"/>
              </w:rPr>
            </w:pPr>
            <w:r w:rsidRPr="000C5F99">
              <w:rPr>
                <w:rFonts w:cs="Tahoma"/>
              </w:rPr>
              <w:t xml:space="preserve">RR </w:t>
            </w:r>
            <w:r>
              <w:rPr>
                <w:rFonts w:cs="Tahoma"/>
              </w:rPr>
              <w:t xml:space="preserve">= </w:t>
            </w:r>
            <w:r w:rsidRPr="000C5F99">
              <w:rPr>
                <w:rFonts w:cs="Tahoma"/>
              </w:rPr>
              <w:t>0.87</w:t>
            </w:r>
            <w:r>
              <w:rPr>
                <w:rFonts w:cs="Tahoma"/>
              </w:rPr>
              <w:t xml:space="preserve"> </w:t>
            </w:r>
            <w:r w:rsidRPr="000C5F99">
              <w:rPr>
                <w:rFonts w:cs="Tahoma"/>
              </w:rPr>
              <w:t>(0.60</w:t>
            </w:r>
            <w:r>
              <w:rPr>
                <w:rFonts w:cs="Tahoma"/>
              </w:rPr>
              <w:t>,</w:t>
            </w:r>
            <w:r w:rsidRPr="000C5F99">
              <w:rPr>
                <w:rFonts w:cs="Tahoma"/>
              </w:rPr>
              <w:t xml:space="preserve"> 1</w:t>
            </w:r>
            <w:r w:rsidR="00AD2B3C">
              <w:rPr>
                <w:rFonts w:cs="Tahoma"/>
              </w:rPr>
              <w:t>.28</w:t>
            </w:r>
            <w:r w:rsidRPr="000C5F99">
              <w:rPr>
                <w:rFonts w:cs="Tahoma"/>
              </w:rPr>
              <w:t>)</w:t>
            </w:r>
          </w:p>
        </w:tc>
        <w:tc>
          <w:tcPr>
            <w:tcW w:w="2188" w:type="dxa"/>
          </w:tcPr>
          <w:p w:rsidR="00CC3BA4" w:rsidRPr="00456F1B" w:rsidRDefault="00CC3BA4" w:rsidP="004D2553">
            <w:pPr>
              <w:pStyle w:val="Tabletext"/>
              <w:rPr>
                <w:rFonts w:cs="Tahoma"/>
                <w:highlight w:val="cyan"/>
              </w:rPr>
            </w:pPr>
            <w:r w:rsidRPr="000C5F99">
              <w:rPr>
                <w:rFonts w:cs="Tahoma"/>
              </w:rPr>
              <w:t>65 fewer per 1,000</w:t>
            </w:r>
            <w:r>
              <w:rPr>
                <w:rFonts w:cs="Tahoma"/>
              </w:rPr>
              <w:br/>
            </w:r>
            <w:r w:rsidRPr="000C5F99">
              <w:rPr>
                <w:rFonts w:cs="Tahoma"/>
              </w:rPr>
              <w:t xml:space="preserve">(from </w:t>
            </w:r>
            <w:r w:rsidR="004D2553">
              <w:rPr>
                <w:rFonts w:cs="Tahoma"/>
              </w:rPr>
              <w:t>140</w:t>
            </w:r>
            <w:r w:rsidR="004D2553" w:rsidRPr="000C5F99">
              <w:rPr>
                <w:rFonts w:cs="Tahoma"/>
              </w:rPr>
              <w:t xml:space="preserve"> more</w:t>
            </w:r>
            <w:r w:rsidR="004D2553">
              <w:rPr>
                <w:rFonts w:cs="Tahoma"/>
              </w:rPr>
              <w:t xml:space="preserve"> </w:t>
            </w:r>
            <w:r w:rsidRPr="000C5F99">
              <w:rPr>
                <w:rFonts w:cs="Tahoma"/>
              </w:rPr>
              <w:t>to</w:t>
            </w:r>
            <w:r w:rsidR="00EA3D9F">
              <w:rPr>
                <w:rFonts w:cs="Tahoma"/>
              </w:rPr>
              <w:t xml:space="preserve"> </w:t>
            </w:r>
            <w:r w:rsidR="004D2553">
              <w:rPr>
                <w:rFonts w:cs="Tahoma"/>
              </w:rPr>
              <w:t>20</w:t>
            </w:r>
            <w:r w:rsidR="004D2553" w:rsidRPr="000C5F99">
              <w:rPr>
                <w:rFonts w:cs="Tahoma"/>
              </w:rPr>
              <w:t>0 fewer</w:t>
            </w:r>
            <w:r w:rsidRPr="000C5F99">
              <w:rPr>
                <w:rFonts w:cs="Tahoma"/>
              </w:rPr>
              <w:t>)</w:t>
            </w:r>
          </w:p>
        </w:tc>
        <w:tc>
          <w:tcPr>
            <w:tcW w:w="1214" w:type="dxa"/>
          </w:tcPr>
          <w:p w:rsidR="00CC3BA4" w:rsidRDefault="00CC3BA4" w:rsidP="004A42D5">
            <w:pPr>
              <w:pStyle w:val="Tabletext"/>
              <w:rPr>
                <w:rFonts w:ascii="Cambria Math" w:eastAsia="Times New Roman" w:hAnsi="Cambria Math" w:cs="Cambria Math"/>
                <w:bCs/>
              </w:rPr>
            </w:pPr>
            <w:r>
              <w:rPr>
                <w:rFonts w:eastAsia="Times New Roman" w:cs="Tahoma"/>
                <w:bCs/>
              </w:rPr>
              <w:t>High</w:t>
            </w:r>
            <w:r>
              <w:rPr>
                <w:rFonts w:eastAsia="Times New Roman" w:cs="Tahoma"/>
                <w:bCs/>
              </w:rPr>
              <w:br/>
            </w:r>
            <w:r w:rsidRPr="00E564DD">
              <w:rPr>
                <w:rFonts w:ascii="Cambria Math" w:eastAsia="Times New Roman" w:hAnsi="Cambria Math" w:cs="Cambria Math"/>
                <w:bCs/>
                <w:color w:val="00B050"/>
              </w:rPr>
              <w:t>⨁⨁⨁</w:t>
            </w:r>
            <w:r w:rsidRPr="00D36FBC">
              <w:rPr>
                <w:rFonts w:ascii="Cambria Math" w:eastAsia="Times New Roman" w:hAnsi="Cambria Math" w:cs="Cambria Math"/>
                <w:bCs/>
                <w:color w:val="00B050"/>
              </w:rPr>
              <w:t>⨁</w:t>
            </w:r>
          </w:p>
          <w:p w:rsidR="00CC3BA4" w:rsidRPr="00E564DD" w:rsidRDefault="00CC3BA4" w:rsidP="004A42D5">
            <w:pPr>
              <w:pStyle w:val="Tabletext"/>
              <w:rPr>
                <w:rFonts w:cs="Tahoma"/>
              </w:rPr>
            </w:pPr>
            <w:r>
              <w:rPr>
                <w:rFonts w:cs="Tahoma"/>
              </w:rPr>
              <w:t>I</w:t>
            </w:r>
            <w:r w:rsidRPr="00E564DD">
              <w:rPr>
                <w:rFonts w:cs="Tahoma"/>
              </w:rPr>
              <w:t>mportant</w:t>
            </w:r>
          </w:p>
        </w:tc>
      </w:tr>
      <w:tr w:rsidR="00CC3BA4" w:rsidRPr="00E564DD" w:rsidTr="001363C5">
        <w:trPr>
          <w:trHeight w:val="319"/>
        </w:trPr>
        <w:tc>
          <w:tcPr>
            <w:tcW w:w="1493" w:type="dxa"/>
          </w:tcPr>
          <w:p w:rsidR="00CC3BA4" w:rsidRPr="00E564DD" w:rsidRDefault="00CC3BA4" w:rsidP="004A42D5">
            <w:pPr>
              <w:pStyle w:val="Tabletext"/>
              <w:rPr>
                <w:rFonts w:cs="Tahoma"/>
              </w:rPr>
            </w:pPr>
            <w:r>
              <w:rPr>
                <w:rFonts w:cs="Tahoma"/>
              </w:rPr>
              <w:t>AEs leading to treatment discontinuation in IPAH/HPAH</w:t>
            </w:r>
            <w:r>
              <w:rPr>
                <w:rFonts w:cs="Tahoma"/>
              </w:rPr>
              <w:br/>
              <w:t>(</w:t>
            </w:r>
            <w:r w:rsidRPr="00D36FBC">
              <w:rPr>
                <w:rFonts w:cs="Tahoma"/>
              </w:rPr>
              <w:t>2</w:t>
            </w:r>
            <w:r>
              <w:rPr>
                <w:rFonts w:cs="Tahoma"/>
              </w:rPr>
              <w:t>4</w:t>
            </w:r>
            <w:r w:rsidRPr="00D36FBC">
              <w:rPr>
                <w:rFonts w:cs="Tahoma"/>
              </w:rPr>
              <w:t xml:space="preserve"> weeks)</w:t>
            </w:r>
          </w:p>
        </w:tc>
        <w:tc>
          <w:tcPr>
            <w:tcW w:w="1054" w:type="dxa"/>
          </w:tcPr>
          <w:p w:rsidR="00CC3BA4" w:rsidRPr="00E564DD" w:rsidRDefault="00CC3BA4" w:rsidP="004A42D5">
            <w:pPr>
              <w:pStyle w:val="Tabletext"/>
              <w:rPr>
                <w:rFonts w:cs="Tahoma"/>
              </w:rPr>
            </w:pPr>
            <w:r>
              <w:rPr>
                <w:rFonts w:cs="Tahoma"/>
              </w:rPr>
              <w:t>1</w:t>
            </w:r>
            <w:r w:rsidRPr="00E564DD">
              <w:rPr>
                <w:rFonts w:cs="Tahoma"/>
              </w:rPr>
              <w:t xml:space="preserve"> RCT</w:t>
            </w:r>
          </w:p>
        </w:tc>
        <w:tc>
          <w:tcPr>
            <w:tcW w:w="771" w:type="dxa"/>
          </w:tcPr>
          <w:p w:rsidR="00CC3BA4" w:rsidRPr="00E564DD" w:rsidRDefault="00CC3BA4" w:rsidP="004A42D5">
            <w:pPr>
              <w:pStyle w:val="Tabletext"/>
              <w:rPr>
                <w:rFonts w:cs="Tahoma"/>
              </w:rPr>
            </w:pPr>
            <w:r w:rsidRPr="00E564DD">
              <w:rPr>
                <w:rFonts w:cs="Tahoma"/>
              </w:rPr>
              <w:t>Not serious</w:t>
            </w:r>
          </w:p>
        </w:tc>
        <w:tc>
          <w:tcPr>
            <w:tcW w:w="1072" w:type="dxa"/>
          </w:tcPr>
          <w:p w:rsidR="00CC3BA4" w:rsidRPr="00E564DD" w:rsidRDefault="00CC3BA4" w:rsidP="004A42D5">
            <w:pPr>
              <w:pStyle w:val="Tabletext"/>
              <w:rPr>
                <w:rFonts w:cs="Tahoma"/>
              </w:rPr>
            </w:pPr>
            <w:r w:rsidRPr="00E564DD">
              <w:rPr>
                <w:rFonts w:cs="Tahoma"/>
              </w:rPr>
              <w:t>Not serious</w:t>
            </w:r>
          </w:p>
        </w:tc>
        <w:tc>
          <w:tcPr>
            <w:tcW w:w="992" w:type="dxa"/>
          </w:tcPr>
          <w:p w:rsidR="00CC3BA4" w:rsidRPr="00E564DD" w:rsidRDefault="00CC3BA4" w:rsidP="004A42D5">
            <w:pPr>
              <w:pStyle w:val="Tabletext"/>
              <w:rPr>
                <w:rFonts w:cs="Tahoma"/>
              </w:rPr>
            </w:pPr>
            <w:r w:rsidRPr="00E564DD">
              <w:rPr>
                <w:rFonts w:cs="Tahoma"/>
              </w:rPr>
              <w:t>Not serious</w:t>
            </w:r>
          </w:p>
        </w:tc>
        <w:tc>
          <w:tcPr>
            <w:tcW w:w="992" w:type="dxa"/>
          </w:tcPr>
          <w:p w:rsidR="00CC3BA4" w:rsidRPr="00EA3D9F" w:rsidRDefault="00EA3D9F" w:rsidP="004A42D5">
            <w:pPr>
              <w:pStyle w:val="Tabletext"/>
              <w:rPr>
                <w:rFonts w:cs="Tahoma"/>
                <w:vertAlign w:val="superscript"/>
              </w:rPr>
            </w:pPr>
            <w:r>
              <w:rPr>
                <w:rFonts w:cs="Tahoma"/>
              </w:rPr>
              <w:t>S</w:t>
            </w:r>
            <w:r w:rsidR="00CC3BA4" w:rsidRPr="00E564DD">
              <w:rPr>
                <w:rFonts w:cs="Tahoma"/>
              </w:rPr>
              <w:t>erious</w:t>
            </w:r>
            <w:r>
              <w:rPr>
                <w:rFonts w:cs="Tahoma"/>
                <w:vertAlign w:val="superscript"/>
              </w:rPr>
              <w:t xml:space="preserve"> c</w:t>
            </w:r>
          </w:p>
        </w:tc>
        <w:tc>
          <w:tcPr>
            <w:tcW w:w="1276" w:type="dxa"/>
          </w:tcPr>
          <w:p w:rsidR="00CC3BA4" w:rsidRPr="00E564DD" w:rsidRDefault="00CC3BA4" w:rsidP="004A42D5">
            <w:pPr>
              <w:pStyle w:val="Tabletext"/>
              <w:rPr>
                <w:rFonts w:cs="Tahoma"/>
              </w:rPr>
            </w:pPr>
            <w:r>
              <w:rPr>
                <w:rFonts w:cs="Tahoma"/>
              </w:rPr>
              <w:t>None</w:t>
            </w:r>
          </w:p>
        </w:tc>
        <w:tc>
          <w:tcPr>
            <w:tcW w:w="1417" w:type="dxa"/>
          </w:tcPr>
          <w:p w:rsidR="00CC3BA4" w:rsidRPr="000C5F99" w:rsidRDefault="00CC3BA4" w:rsidP="004A42D5">
            <w:pPr>
              <w:pStyle w:val="Tabletext"/>
              <w:rPr>
                <w:rFonts w:cs="Tahoma"/>
              </w:rPr>
            </w:pPr>
            <w:r>
              <w:rPr>
                <w:rFonts w:cs="Tahoma"/>
              </w:rPr>
              <w:t>15/134 (11.2%)</w:t>
            </w:r>
          </w:p>
        </w:tc>
        <w:tc>
          <w:tcPr>
            <w:tcW w:w="1134" w:type="dxa"/>
          </w:tcPr>
          <w:p w:rsidR="00CC3BA4" w:rsidRPr="00456F1B" w:rsidRDefault="00CC3BA4" w:rsidP="004A42D5">
            <w:pPr>
              <w:pStyle w:val="Tabletext"/>
              <w:rPr>
                <w:rFonts w:cs="Tahoma"/>
                <w:highlight w:val="cyan"/>
              </w:rPr>
            </w:pPr>
            <w:r w:rsidRPr="000C5F99">
              <w:rPr>
                <w:rFonts w:cs="Tahoma"/>
              </w:rPr>
              <w:t>8/70 (11.4%)</w:t>
            </w:r>
          </w:p>
        </w:tc>
        <w:tc>
          <w:tcPr>
            <w:tcW w:w="993" w:type="dxa"/>
          </w:tcPr>
          <w:p w:rsidR="00CC3BA4" w:rsidRPr="00456F1B" w:rsidRDefault="00CC3BA4" w:rsidP="004A42D5">
            <w:pPr>
              <w:pStyle w:val="Tabletext"/>
              <w:rPr>
                <w:rFonts w:cs="Tahoma"/>
                <w:highlight w:val="cyan"/>
              </w:rPr>
            </w:pPr>
            <w:r w:rsidRPr="000C5F99">
              <w:rPr>
                <w:rFonts w:cs="Tahoma"/>
              </w:rPr>
              <w:t xml:space="preserve">RR </w:t>
            </w:r>
            <w:r>
              <w:rPr>
                <w:rFonts w:cs="Tahoma"/>
              </w:rPr>
              <w:t xml:space="preserve">= </w:t>
            </w:r>
            <w:r w:rsidRPr="000C5F99">
              <w:rPr>
                <w:rFonts w:cs="Tahoma"/>
              </w:rPr>
              <w:t>0.98</w:t>
            </w:r>
            <w:r>
              <w:rPr>
                <w:rFonts w:cs="Tahoma"/>
              </w:rPr>
              <w:t xml:space="preserve"> </w:t>
            </w:r>
            <w:r w:rsidRPr="000C5F99">
              <w:rPr>
                <w:rFonts w:cs="Tahoma"/>
              </w:rPr>
              <w:t>(0.44</w:t>
            </w:r>
            <w:r>
              <w:rPr>
                <w:rFonts w:cs="Tahoma"/>
              </w:rPr>
              <w:t>,</w:t>
            </w:r>
            <w:r w:rsidRPr="000C5F99">
              <w:rPr>
                <w:rFonts w:cs="Tahoma"/>
              </w:rPr>
              <w:t xml:space="preserve"> 2.20)</w:t>
            </w:r>
          </w:p>
        </w:tc>
        <w:tc>
          <w:tcPr>
            <w:tcW w:w="2188" w:type="dxa"/>
          </w:tcPr>
          <w:p w:rsidR="00CC3BA4" w:rsidRPr="00456F1B" w:rsidRDefault="00CC3BA4" w:rsidP="004A42D5">
            <w:pPr>
              <w:pStyle w:val="Tabletext"/>
              <w:rPr>
                <w:rFonts w:cs="Tahoma"/>
                <w:highlight w:val="cyan"/>
              </w:rPr>
            </w:pPr>
            <w:r w:rsidRPr="000C5F99">
              <w:rPr>
                <w:rFonts w:cs="Tahoma"/>
              </w:rPr>
              <w:t>2 fewer per 1,000</w:t>
            </w:r>
            <w:r>
              <w:rPr>
                <w:rFonts w:cs="Tahoma"/>
              </w:rPr>
              <w:br/>
            </w:r>
            <w:r w:rsidRPr="000C5F99">
              <w:rPr>
                <w:rFonts w:cs="Tahoma"/>
              </w:rPr>
              <w:t>(from 64 fewer to 137 more)</w:t>
            </w:r>
          </w:p>
        </w:tc>
        <w:tc>
          <w:tcPr>
            <w:tcW w:w="1214" w:type="dxa"/>
          </w:tcPr>
          <w:p w:rsidR="00CC3BA4" w:rsidRDefault="00EA3D9F" w:rsidP="004A42D5">
            <w:pPr>
              <w:pStyle w:val="Tabletext"/>
              <w:rPr>
                <w:rFonts w:ascii="Cambria Math" w:eastAsia="Times New Roman" w:hAnsi="Cambria Math" w:cs="Cambria Math"/>
                <w:bCs/>
              </w:rPr>
            </w:pPr>
            <w:r>
              <w:rPr>
                <w:rFonts w:eastAsia="Times New Roman" w:cs="Tahoma"/>
                <w:bCs/>
              </w:rPr>
              <w:t>Moderate</w:t>
            </w:r>
            <w:r w:rsidR="00CC3BA4">
              <w:rPr>
                <w:rFonts w:eastAsia="Times New Roman" w:cs="Tahoma"/>
                <w:bCs/>
              </w:rPr>
              <w:br/>
            </w:r>
            <w:r w:rsidR="00CC3BA4" w:rsidRPr="00E564DD">
              <w:rPr>
                <w:rFonts w:ascii="Cambria Math" w:eastAsia="Times New Roman" w:hAnsi="Cambria Math" w:cs="Cambria Math"/>
                <w:bCs/>
                <w:color w:val="00B050"/>
              </w:rPr>
              <w:t>⨁⨁⨁</w:t>
            </w:r>
            <w:r w:rsidRPr="00E564DD">
              <w:rPr>
                <w:rFonts w:ascii="Cambria Math" w:hAnsi="Cambria Math" w:cs="Cambria Math"/>
                <w:color w:val="C00000"/>
              </w:rPr>
              <w:t>⨀</w:t>
            </w:r>
          </w:p>
          <w:p w:rsidR="00CC3BA4" w:rsidRPr="007E63F8" w:rsidRDefault="00CC3BA4" w:rsidP="004A42D5">
            <w:pPr>
              <w:pStyle w:val="Tabletext"/>
              <w:rPr>
                <w:rFonts w:ascii="Cambria Math" w:eastAsia="Times New Roman" w:hAnsi="Cambria Math" w:cs="Cambria Math"/>
                <w:bCs/>
                <w:color w:val="00B050"/>
              </w:rPr>
            </w:pPr>
            <w:r>
              <w:rPr>
                <w:rFonts w:cs="Tahoma"/>
              </w:rPr>
              <w:t>I</w:t>
            </w:r>
            <w:r w:rsidRPr="00E564DD">
              <w:rPr>
                <w:rFonts w:cs="Tahoma"/>
              </w:rPr>
              <w:t>mportant</w:t>
            </w:r>
          </w:p>
        </w:tc>
      </w:tr>
      <w:tr w:rsidR="00A25B65" w:rsidRPr="00E564DD" w:rsidTr="001363C5">
        <w:trPr>
          <w:trHeight w:val="844"/>
        </w:trPr>
        <w:tc>
          <w:tcPr>
            <w:tcW w:w="1493" w:type="dxa"/>
          </w:tcPr>
          <w:p w:rsidR="00A25B65" w:rsidRPr="00E564DD" w:rsidRDefault="00A25B65" w:rsidP="00A25B65">
            <w:pPr>
              <w:pStyle w:val="Tabletext"/>
              <w:rPr>
                <w:rFonts w:cs="Tahoma"/>
              </w:rPr>
            </w:pPr>
            <w:r>
              <w:rPr>
                <w:rFonts w:cs="Tahoma"/>
              </w:rPr>
              <w:t>AEs leading to treatment discontinuation in PAH-CTD</w:t>
            </w:r>
            <w:r>
              <w:rPr>
                <w:rFonts w:cs="Tahoma"/>
              </w:rPr>
              <w:br/>
              <w:t>(</w:t>
            </w:r>
            <w:r w:rsidRPr="00D36FBC">
              <w:rPr>
                <w:rFonts w:cs="Tahoma"/>
              </w:rPr>
              <w:t>2</w:t>
            </w:r>
            <w:r>
              <w:rPr>
                <w:rFonts w:cs="Tahoma"/>
              </w:rPr>
              <w:t>4</w:t>
            </w:r>
            <w:r w:rsidRPr="00D36FBC">
              <w:rPr>
                <w:rFonts w:cs="Tahoma"/>
              </w:rPr>
              <w:t xml:space="preserve"> weeks)</w:t>
            </w:r>
          </w:p>
        </w:tc>
        <w:tc>
          <w:tcPr>
            <w:tcW w:w="1054" w:type="dxa"/>
          </w:tcPr>
          <w:p w:rsidR="00A25B65" w:rsidRPr="00E564DD" w:rsidRDefault="00A25B65" w:rsidP="00A25B65">
            <w:pPr>
              <w:pStyle w:val="Tabletext"/>
              <w:rPr>
                <w:rFonts w:cs="Tahoma"/>
              </w:rPr>
            </w:pPr>
            <w:r>
              <w:rPr>
                <w:rFonts w:cs="Tahoma"/>
              </w:rPr>
              <w:t>1</w:t>
            </w:r>
            <w:r w:rsidRPr="00E564DD">
              <w:rPr>
                <w:rFonts w:cs="Tahoma"/>
              </w:rPr>
              <w:t xml:space="preserve"> RCT</w:t>
            </w:r>
          </w:p>
        </w:tc>
        <w:tc>
          <w:tcPr>
            <w:tcW w:w="771" w:type="dxa"/>
          </w:tcPr>
          <w:p w:rsidR="00A25B65" w:rsidRPr="00E564DD" w:rsidRDefault="00A25B65" w:rsidP="00A25B65">
            <w:pPr>
              <w:pStyle w:val="Tabletext"/>
              <w:rPr>
                <w:rFonts w:cs="Tahoma"/>
              </w:rPr>
            </w:pPr>
            <w:r w:rsidRPr="00E564DD">
              <w:rPr>
                <w:rFonts w:cs="Tahoma"/>
              </w:rPr>
              <w:t>Not serious</w:t>
            </w:r>
          </w:p>
        </w:tc>
        <w:tc>
          <w:tcPr>
            <w:tcW w:w="1072" w:type="dxa"/>
          </w:tcPr>
          <w:p w:rsidR="00A25B65" w:rsidRPr="00E564DD" w:rsidRDefault="00A25B65" w:rsidP="00A25B65">
            <w:pPr>
              <w:pStyle w:val="Tabletext"/>
              <w:rPr>
                <w:rFonts w:cs="Tahoma"/>
              </w:rPr>
            </w:pPr>
            <w:r w:rsidRPr="00E564DD">
              <w:rPr>
                <w:rFonts w:cs="Tahoma"/>
              </w:rPr>
              <w:t>Not serious</w:t>
            </w:r>
          </w:p>
        </w:tc>
        <w:tc>
          <w:tcPr>
            <w:tcW w:w="992" w:type="dxa"/>
          </w:tcPr>
          <w:p w:rsidR="00A25B65" w:rsidRPr="00E564DD" w:rsidRDefault="00A25B65" w:rsidP="00A25B65">
            <w:pPr>
              <w:pStyle w:val="Tabletext"/>
              <w:rPr>
                <w:rFonts w:cs="Tahoma"/>
              </w:rPr>
            </w:pPr>
            <w:r w:rsidRPr="00E564DD">
              <w:rPr>
                <w:rFonts w:cs="Tahoma"/>
              </w:rPr>
              <w:t>Not serious</w:t>
            </w:r>
          </w:p>
        </w:tc>
        <w:tc>
          <w:tcPr>
            <w:tcW w:w="992" w:type="dxa"/>
          </w:tcPr>
          <w:p w:rsidR="00A25B65" w:rsidRPr="00E564DD" w:rsidRDefault="00A25B65" w:rsidP="00A25B65">
            <w:pPr>
              <w:pStyle w:val="Tabletext"/>
              <w:rPr>
                <w:rFonts w:cs="Tahoma"/>
              </w:rPr>
            </w:pPr>
            <w:r>
              <w:rPr>
                <w:rFonts w:cs="Tahoma"/>
              </w:rPr>
              <w:t>S</w:t>
            </w:r>
            <w:r w:rsidRPr="00E564DD">
              <w:rPr>
                <w:rFonts w:cs="Tahoma"/>
              </w:rPr>
              <w:t>erious</w:t>
            </w:r>
            <w:r>
              <w:rPr>
                <w:rFonts w:cs="Tahoma"/>
                <w:vertAlign w:val="superscript"/>
              </w:rPr>
              <w:t xml:space="preserve"> c</w:t>
            </w:r>
          </w:p>
        </w:tc>
        <w:tc>
          <w:tcPr>
            <w:tcW w:w="1276" w:type="dxa"/>
          </w:tcPr>
          <w:p w:rsidR="00A25B65" w:rsidRPr="00E564DD" w:rsidRDefault="00A25B65" w:rsidP="00A25B65">
            <w:pPr>
              <w:pStyle w:val="Tabletext"/>
              <w:rPr>
                <w:rFonts w:cs="Tahoma"/>
              </w:rPr>
            </w:pPr>
            <w:r>
              <w:rPr>
                <w:rFonts w:cs="Tahoma"/>
              </w:rPr>
              <w:t>None</w:t>
            </w:r>
          </w:p>
        </w:tc>
        <w:tc>
          <w:tcPr>
            <w:tcW w:w="1417" w:type="dxa"/>
          </w:tcPr>
          <w:p w:rsidR="00A25B65" w:rsidRPr="00456F1B" w:rsidRDefault="00A25B65" w:rsidP="00A25B65">
            <w:pPr>
              <w:pStyle w:val="Tabletext"/>
              <w:rPr>
                <w:rFonts w:cs="Tahoma"/>
              </w:rPr>
            </w:pPr>
            <w:r>
              <w:rPr>
                <w:rFonts w:cs="Tahoma"/>
              </w:rPr>
              <w:t>14/103 (13.6%)</w:t>
            </w:r>
          </w:p>
        </w:tc>
        <w:tc>
          <w:tcPr>
            <w:tcW w:w="1134" w:type="dxa"/>
          </w:tcPr>
          <w:p w:rsidR="00A25B65" w:rsidRPr="00456F1B" w:rsidRDefault="00A25B65" w:rsidP="00A25B65">
            <w:pPr>
              <w:pStyle w:val="Tabletext"/>
              <w:rPr>
                <w:rFonts w:cs="Tahoma"/>
              </w:rPr>
            </w:pPr>
            <w:r w:rsidRPr="000C5F99">
              <w:rPr>
                <w:rFonts w:cs="Tahoma"/>
              </w:rPr>
              <w:t>6/40 (15.0%)</w:t>
            </w:r>
          </w:p>
        </w:tc>
        <w:tc>
          <w:tcPr>
            <w:tcW w:w="993" w:type="dxa"/>
          </w:tcPr>
          <w:p w:rsidR="00A25B65" w:rsidRPr="00456F1B" w:rsidRDefault="00A25B65" w:rsidP="00A25B65">
            <w:pPr>
              <w:pStyle w:val="Tabletext"/>
              <w:rPr>
                <w:rFonts w:cs="Tahoma"/>
              </w:rPr>
            </w:pPr>
            <w:r w:rsidRPr="000C5F99">
              <w:rPr>
                <w:rFonts w:cs="Tahoma"/>
              </w:rPr>
              <w:t>RR</w:t>
            </w:r>
            <w:r>
              <w:rPr>
                <w:rFonts w:cs="Tahoma"/>
              </w:rPr>
              <w:t xml:space="preserve"> =</w:t>
            </w:r>
            <w:r w:rsidRPr="000C5F99">
              <w:rPr>
                <w:rFonts w:cs="Tahoma"/>
              </w:rPr>
              <w:t xml:space="preserve"> 0.91</w:t>
            </w:r>
            <w:r>
              <w:rPr>
                <w:rFonts w:cs="Tahoma"/>
              </w:rPr>
              <w:t xml:space="preserve"> </w:t>
            </w:r>
            <w:r w:rsidRPr="000C5F99">
              <w:rPr>
                <w:rFonts w:cs="Tahoma"/>
              </w:rPr>
              <w:t>(0.37</w:t>
            </w:r>
            <w:r>
              <w:rPr>
                <w:rFonts w:cs="Tahoma"/>
              </w:rPr>
              <w:t>,</w:t>
            </w:r>
            <w:r w:rsidRPr="000C5F99">
              <w:rPr>
                <w:rFonts w:cs="Tahoma"/>
              </w:rPr>
              <w:t xml:space="preserve"> 2.19)</w:t>
            </w:r>
          </w:p>
        </w:tc>
        <w:tc>
          <w:tcPr>
            <w:tcW w:w="2188" w:type="dxa"/>
          </w:tcPr>
          <w:p w:rsidR="00A25B65" w:rsidRPr="00456F1B" w:rsidRDefault="00A25B65" w:rsidP="00A25B65">
            <w:pPr>
              <w:pStyle w:val="Tabletext"/>
              <w:rPr>
                <w:rFonts w:cs="Tahoma"/>
              </w:rPr>
            </w:pPr>
            <w:r w:rsidRPr="000C5F99">
              <w:rPr>
                <w:rFonts w:cs="Tahoma"/>
              </w:rPr>
              <w:t>13 fewer per 1,000</w:t>
            </w:r>
            <w:r>
              <w:rPr>
                <w:rFonts w:cs="Tahoma"/>
              </w:rPr>
              <w:br/>
            </w:r>
            <w:r w:rsidRPr="000C5F99">
              <w:rPr>
                <w:rFonts w:cs="Tahoma"/>
              </w:rPr>
              <w:t>(from 95 fewer to 179 more)</w:t>
            </w:r>
          </w:p>
        </w:tc>
        <w:tc>
          <w:tcPr>
            <w:tcW w:w="1214" w:type="dxa"/>
          </w:tcPr>
          <w:p w:rsidR="00A25B65" w:rsidRDefault="00A25B65" w:rsidP="00A25B65">
            <w:pPr>
              <w:pStyle w:val="Tabletext"/>
              <w:rPr>
                <w:rFonts w:ascii="Cambria Math" w:eastAsia="Times New Roman" w:hAnsi="Cambria Math" w:cs="Cambria Math"/>
                <w:bCs/>
              </w:rPr>
            </w:pPr>
            <w:r>
              <w:rPr>
                <w:rFonts w:eastAsia="Times New Roman" w:cs="Tahoma"/>
                <w:bCs/>
              </w:rPr>
              <w:t>Moderate</w:t>
            </w:r>
            <w:r>
              <w:rPr>
                <w:rFonts w:eastAsia="Times New Roman" w:cs="Tahoma"/>
                <w:bCs/>
              </w:rPr>
              <w:br/>
            </w:r>
            <w:r w:rsidRPr="00E564DD">
              <w:rPr>
                <w:rFonts w:ascii="Cambria Math" w:eastAsia="Times New Roman" w:hAnsi="Cambria Math" w:cs="Cambria Math"/>
                <w:bCs/>
                <w:color w:val="00B050"/>
              </w:rPr>
              <w:t>⨁⨁⨁</w:t>
            </w:r>
            <w:r w:rsidRPr="00E564DD">
              <w:rPr>
                <w:rFonts w:ascii="Cambria Math" w:hAnsi="Cambria Math" w:cs="Cambria Math"/>
                <w:color w:val="C00000"/>
              </w:rPr>
              <w:t>⨀</w:t>
            </w:r>
          </w:p>
          <w:p w:rsidR="00A25B65" w:rsidRPr="007E5698" w:rsidRDefault="00A25B65" w:rsidP="00A25B65">
            <w:pPr>
              <w:pStyle w:val="Tabletext"/>
              <w:rPr>
                <w:rFonts w:ascii="Cambria Math" w:eastAsia="Times New Roman" w:hAnsi="Cambria Math" w:cs="Cambria Math"/>
                <w:bCs/>
                <w:color w:val="00B050"/>
              </w:rPr>
            </w:pPr>
            <w:r>
              <w:rPr>
                <w:rFonts w:cs="Tahoma"/>
              </w:rPr>
              <w:t>I</w:t>
            </w:r>
            <w:r w:rsidRPr="00E564DD">
              <w:rPr>
                <w:rFonts w:cs="Tahoma"/>
              </w:rPr>
              <w:t>mportant</w:t>
            </w:r>
          </w:p>
        </w:tc>
      </w:tr>
    </w:tbl>
    <w:p w:rsidR="00CC3BA4" w:rsidRPr="00AA018C" w:rsidRDefault="00CC3BA4" w:rsidP="004A42D5">
      <w:pPr>
        <w:pStyle w:val="Tablenote"/>
      </w:pPr>
      <w:r w:rsidRPr="00E564DD">
        <w:rPr>
          <w:vertAlign w:val="superscript"/>
        </w:rPr>
        <w:t xml:space="preserve">a </w:t>
      </w:r>
      <w:r w:rsidRPr="00AA018C">
        <w:t>O</w:t>
      </w:r>
      <w:r>
        <w:t>ther considerations such as publication bias and effect size</w:t>
      </w:r>
    </w:p>
    <w:p w:rsidR="00CC3BA4" w:rsidRDefault="00CC3BA4" w:rsidP="004A42D5">
      <w:pPr>
        <w:pStyle w:val="Tablenote"/>
      </w:pPr>
      <w:r>
        <w:rPr>
          <w:vertAlign w:val="superscript"/>
        </w:rPr>
        <w:t xml:space="preserve">b </w:t>
      </w:r>
      <w:r w:rsidRPr="00E564DD">
        <w:t>GRADE W</w:t>
      </w:r>
      <w:r>
        <w:t>orking Group grades of evidence</w:t>
      </w:r>
      <w:r w:rsidR="001D34EE" w:rsidRPr="001D34EE">
        <w:rPr>
          <w:noProof/>
          <w:vertAlign w:val="superscript"/>
        </w:rPr>
        <w:t>1</w:t>
      </w:r>
    </w:p>
    <w:p w:rsidR="00EA3D9F" w:rsidRPr="00EA3D9F" w:rsidRDefault="00EA3D9F" w:rsidP="004A42D5">
      <w:pPr>
        <w:pStyle w:val="Tablenote"/>
        <w:rPr>
          <w:vertAlign w:val="superscript"/>
        </w:rPr>
      </w:pPr>
      <w:r>
        <w:rPr>
          <w:vertAlign w:val="superscript"/>
        </w:rPr>
        <w:t xml:space="preserve">c </w:t>
      </w:r>
      <w:r>
        <w:t>W</w:t>
      </w:r>
      <w:r w:rsidRPr="00EA3D9F">
        <w:t>ide 95% CIs</w:t>
      </w:r>
    </w:p>
    <w:p w:rsidR="00CC3BA4" w:rsidRPr="00E564DD" w:rsidRDefault="00CC3BA4" w:rsidP="004A42D5">
      <w:pPr>
        <w:pStyle w:val="Tablenote"/>
      </w:pPr>
      <w:r w:rsidRPr="00E564DD">
        <w:rPr>
          <w:rFonts w:ascii="Cambria Math" w:hAnsi="Cambria Math" w:cs="Cambria Math"/>
          <w:color w:val="00B050"/>
        </w:rPr>
        <w:t>⨁⨁⨁⨁</w:t>
      </w:r>
      <w:r w:rsidRPr="00E564DD">
        <w:rPr>
          <w:color w:val="00B050"/>
        </w:rPr>
        <w:t xml:space="preserve"> </w:t>
      </w:r>
      <w:r w:rsidRPr="00E564DD">
        <w:rPr>
          <w:b/>
        </w:rPr>
        <w:t>High quality:</w:t>
      </w:r>
      <w:r w:rsidRPr="00E564DD">
        <w:t xml:space="preserve"> We are very confident that the true effect lies close to that of the estimate of effect</w:t>
      </w:r>
    </w:p>
    <w:p w:rsidR="00A25B65" w:rsidRPr="00E564DD" w:rsidRDefault="00A25B65" w:rsidP="00A25B65">
      <w:pPr>
        <w:pStyle w:val="Tablenote"/>
      </w:pPr>
      <w:r w:rsidRPr="00E564DD">
        <w:rPr>
          <w:rFonts w:ascii="Cambria Math" w:hAnsi="Cambria Math" w:cs="Cambria Math"/>
          <w:color w:val="00B050"/>
        </w:rPr>
        <w:lastRenderedPageBreak/>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C871F2" w:rsidRDefault="00CC3BA4" w:rsidP="004A42D5">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w:t>
      </w:r>
      <w:r w:rsidR="00385E5A">
        <w:t>GRADE = grading of recommendations assessment, development and evaluation</w:t>
      </w:r>
      <w:r w:rsidR="001D34EE" w:rsidRPr="001D34EE">
        <w:rPr>
          <w:noProof/>
          <w:vertAlign w:val="superscript"/>
        </w:rPr>
        <w:t>1</w:t>
      </w:r>
      <w:r w:rsidR="00C871F2" w:rsidRPr="00F24B06">
        <w:t xml:space="preserve">; </w:t>
      </w:r>
      <w:r w:rsidRPr="00C65B42">
        <w:t xml:space="preserve">HPAH = heritable PAH; IPAH = idiopathic PAH; PAH = pulmonary arterial hypertension; </w:t>
      </w:r>
      <w:r w:rsidR="00C871F2">
        <w:t>PAH-</w:t>
      </w:r>
      <w:r w:rsidR="00C871F2" w:rsidRPr="00822C52">
        <w:t xml:space="preserve">CTD = </w:t>
      </w:r>
      <w:r w:rsidR="00C871F2">
        <w:t xml:space="preserve">PAH associated with </w:t>
      </w:r>
      <w:r w:rsidR="00C871F2" w:rsidRPr="00822C52">
        <w:t xml:space="preserve">connective tissue disease; </w:t>
      </w:r>
      <w:r w:rsidRPr="009B5AB3">
        <w:t>PDE-5</w:t>
      </w:r>
      <w:r w:rsidR="00C871F2">
        <w:t>i</w:t>
      </w:r>
      <w:r w:rsidRPr="009B5AB3">
        <w:t xml:space="preserve"> = phosphodiesterase type-5</w:t>
      </w:r>
      <w:r w:rsidR="00C871F2">
        <w:t xml:space="preserve"> inhibitor</w:t>
      </w:r>
      <w:r>
        <w:t>;</w:t>
      </w:r>
      <w:r w:rsidRPr="009B5AB3">
        <w:t xml:space="preserve"> </w:t>
      </w:r>
      <w:r>
        <w:t>RCT = randomised controlled trial; RR = relative risk</w:t>
      </w:r>
    </w:p>
    <w:p w:rsidR="00CC3BA4" w:rsidRPr="006632FB" w:rsidRDefault="00CC3BA4" w:rsidP="00BF48DF">
      <w:pPr>
        <w:pStyle w:val="Heading4"/>
      </w:pPr>
      <w:r w:rsidRPr="006632FB">
        <w:t xml:space="preserve">ERA in addition to </w:t>
      </w:r>
      <w:r w:rsidR="0017012F" w:rsidRPr="0017012F">
        <w:t>prostanoid</w:t>
      </w:r>
    </w:p>
    <w:p w:rsidR="00CC3BA4" w:rsidRPr="005D4CA0" w:rsidRDefault="00796F18" w:rsidP="00BC5A2B">
      <w:pPr>
        <w:pStyle w:val="Caption"/>
      </w:pPr>
      <w:bookmarkStart w:id="514" w:name="_Ref505775056"/>
      <w:bookmarkStart w:id="515" w:name="_Toc512855558"/>
      <w:r>
        <w:t>Table 4.</w:t>
      </w:r>
      <w:r w:rsidR="00AA722D">
        <w:rPr>
          <w:noProof/>
        </w:rPr>
        <w:t>154</w:t>
      </w:r>
      <w:bookmarkEnd w:id="514"/>
      <w:r>
        <w:tab/>
      </w:r>
      <w:r w:rsidR="00CC3BA4" w:rsidRPr="005D4CA0">
        <w:t xml:space="preserve">Evidence profile table for </w:t>
      </w:r>
      <w:r w:rsidR="00CC3BA4">
        <w:t xml:space="preserve">effectiveness of </w:t>
      </w:r>
      <w:r w:rsidR="00CC3BA4" w:rsidRPr="005D4CA0">
        <w:t xml:space="preserve">ERA </w:t>
      </w:r>
      <w:r w:rsidR="007E6052">
        <w:t>plus</w:t>
      </w:r>
      <w:r w:rsidR="00CC3BA4">
        <w:t xml:space="preserve"> </w:t>
      </w:r>
      <w:r w:rsidR="0017012F">
        <w:t>prostanoid</w:t>
      </w:r>
      <w:r w:rsidR="00CC3BA4">
        <w:t xml:space="preserve"> combination therapy </w:t>
      </w:r>
      <w:r w:rsidR="00CC3BA4" w:rsidRPr="005D4CA0">
        <w:t xml:space="preserve">compared to </w:t>
      </w:r>
      <w:r w:rsidR="0017012F">
        <w:t>prostanoid</w:t>
      </w:r>
      <w:r w:rsidR="00CC3BA4" w:rsidRPr="005D4CA0">
        <w:t xml:space="preserve"> </w:t>
      </w:r>
      <w:r w:rsidR="00CC3BA4">
        <w:t xml:space="preserve">monotherapy </w:t>
      </w:r>
      <w:r w:rsidR="00CC3BA4" w:rsidRPr="005D4CA0">
        <w:t xml:space="preserve">for </w:t>
      </w:r>
      <w:r w:rsidR="00CC3BA4">
        <w:t>patients with WHO FC III/IV PAH</w:t>
      </w:r>
      <w:bookmarkEnd w:id="515"/>
    </w:p>
    <w:tbl>
      <w:tblPr>
        <w:tblStyle w:val="TableGrid"/>
        <w:tblW w:w="14848" w:type="dxa"/>
        <w:tblLayout w:type="fixed"/>
        <w:tblLook w:val="04A0" w:firstRow="1" w:lastRow="0" w:firstColumn="1" w:lastColumn="0" w:noHBand="0" w:noVBand="1"/>
        <w:tblCaption w:val="Evidence profile table for effectiveness of ERA plus prostanoid combination therapy compared to prostanoid monotherapy for patients with WHO FC III/IV PAH"/>
      </w:tblPr>
      <w:tblGrid>
        <w:gridCol w:w="1191"/>
        <w:gridCol w:w="1356"/>
        <w:gridCol w:w="912"/>
        <w:gridCol w:w="1134"/>
        <w:gridCol w:w="1276"/>
        <w:gridCol w:w="1276"/>
        <w:gridCol w:w="1417"/>
        <w:gridCol w:w="1276"/>
        <w:gridCol w:w="1134"/>
        <w:gridCol w:w="992"/>
        <w:gridCol w:w="1750"/>
        <w:gridCol w:w="1134"/>
      </w:tblGrid>
      <w:tr w:rsidR="00F13836" w:rsidRPr="00192560" w:rsidTr="00115AB1">
        <w:trPr>
          <w:cnfStyle w:val="100000000000" w:firstRow="1" w:lastRow="0" w:firstColumn="0" w:lastColumn="0" w:oddVBand="0" w:evenVBand="0" w:oddHBand="0" w:evenHBand="0" w:firstRowFirstColumn="0" w:firstRowLastColumn="0" w:lastRowFirstColumn="0" w:lastRowLastColumn="0"/>
          <w:trHeight w:val="541"/>
        </w:trPr>
        <w:tc>
          <w:tcPr>
            <w:tcW w:w="1191" w:type="dxa"/>
          </w:tcPr>
          <w:p w:rsidR="00476F09" w:rsidRPr="00192560" w:rsidRDefault="00476F09" w:rsidP="004A42D5">
            <w:pPr>
              <w:pStyle w:val="Tabletext"/>
              <w:rPr>
                <w:b/>
                <w:sz w:val="18"/>
                <w:szCs w:val="18"/>
              </w:rPr>
            </w:pPr>
            <w:r w:rsidRPr="00192560">
              <w:rPr>
                <w:b/>
                <w:sz w:val="18"/>
                <w:szCs w:val="18"/>
              </w:rPr>
              <w:t>Outcome (follow-up)</w:t>
            </w:r>
          </w:p>
        </w:tc>
        <w:tc>
          <w:tcPr>
            <w:tcW w:w="1356" w:type="dxa"/>
          </w:tcPr>
          <w:p w:rsidR="00476F09" w:rsidRPr="00192560" w:rsidRDefault="00476F09" w:rsidP="004A42D5">
            <w:pPr>
              <w:pStyle w:val="Tabletext"/>
              <w:rPr>
                <w:b/>
                <w:sz w:val="18"/>
                <w:szCs w:val="18"/>
              </w:rPr>
            </w:pPr>
            <w:r w:rsidRPr="00192560">
              <w:rPr>
                <w:b/>
                <w:sz w:val="18"/>
                <w:szCs w:val="18"/>
              </w:rPr>
              <w:t>No. of studies and study design</w:t>
            </w:r>
          </w:p>
        </w:tc>
        <w:tc>
          <w:tcPr>
            <w:tcW w:w="912" w:type="dxa"/>
          </w:tcPr>
          <w:p w:rsidR="00476F09" w:rsidRPr="00192560" w:rsidRDefault="00476F09" w:rsidP="004A42D5">
            <w:pPr>
              <w:pStyle w:val="Tabletext"/>
              <w:rPr>
                <w:b/>
                <w:sz w:val="18"/>
                <w:szCs w:val="18"/>
              </w:rPr>
            </w:pPr>
            <w:r w:rsidRPr="00192560">
              <w:rPr>
                <w:b/>
                <w:sz w:val="18"/>
                <w:szCs w:val="18"/>
              </w:rPr>
              <w:t>Risk of bias</w:t>
            </w:r>
          </w:p>
        </w:tc>
        <w:tc>
          <w:tcPr>
            <w:tcW w:w="1134" w:type="dxa"/>
          </w:tcPr>
          <w:p w:rsidR="00476F09" w:rsidRPr="00192560" w:rsidRDefault="00476F09" w:rsidP="004A42D5">
            <w:pPr>
              <w:pStyle w:val="Tabletext"/>
              <w:rPr>
                <w:b/>
                <w:sz w:val="18"/>
                <w:szCs w:val="18"/>
              </w:rPr>
            </w:pPr>
            <w:r w:rsidRPr="00192560">
              <w:rPr>
                <w:b/>
                <w:sz w:val="18"/>
                <w:szCs w:val="18"/>
              </w:rPr>
              <w:t>Inconsis</w:t>
            </w:r>
            <w:r w:rsidR="00115AB1">
              <w:rPr>
                <w:b/>
                <w:sz w:val="18"/>
                <w:szCs w:val="18"/>
              </w:rPr>
              <w:t>-</w:t>
            </w:r>
            <w:r w:rsidRPr="00192560">
              <w:rPr>
                <w:b/>
                <w:sz w:val="18"/>
                <w:szCs w:val="18"/>
              </w:rPr>
              <w:t>tency</w:t>
            </w:r>
          </w:p>
        </w:tc>
        <w:tc>
          <w:tcPr>
            <w:tcW w:w="1276" w:type="dxa"/>
          </w:tcPr>
          <w:p w:rsidR="00476F09" w:rsidRPr="00192560" w:rsidRDefault="00476F09" w:rsidP="004A42D5">
            <w:pPr>
              <w:pStyle w:val="Tabletext"/>
              <w:rPr>
                <w:b/>
                <w:sz w:val="18"/>
                <w:szCs w:val="18"/>
              </w:rPr>
            </w:pPr>
            <w:r w:rsidRPr="00192560">
              <w:rPr>
                <w:b/>
                <w:sz w:val="18"/>
                <w:szCs w:val="18"/>
              </w:rPr>
              <w:t>Indirectness</w:t>
            </w:r>
          </w:p>
        </w:tc>
        <w:tc>
          <w:tcPr>
            <w:tcW w:w="1276" w:type="dxa"/>
          </w:tcPr>
          <w:p w:rsidR="00476F09" w:rsidRPr="00192560" w:rsidRDefault="00476F09" w:rsidP="004A42D5">
            <w:pPr>
              <w:pStyle w:val="Tabletext"/>
              <w:rPr>
                <w:b/>
                <w:sz w:val="18"/>
                <w:szCs w:val="18"/>
              </w:rPr>
            </w:pPr>
            <w:r w:rsidRPr="00192560">
              <w:rPr>
                <w:b/>
                <w:sz w:val="18"/>
                <w:szCs w:val="18"/>
              </w:rPr>
              <w:t>Imprecision</w:t>
            </w:r>
          </w:p>
        </w:tc>
        <w:tc>
          <w:tcPr>
            <w:tcW w:w="1417" w:type="dxa"/>
          </w:tcPr>
          <w:p w:rsidR="00476F09" w:rsidRPr="00192560" w:rsidRDefault="00476F09" w:rsidP="004A42D5">
            <w:pPr>
              <w:pStyle w:val="Tabletext"/>
              <w:rPr>
                <w:b/>
                <w:sz w:val="18"/>
                <w:szCs w:val="18"/>
              </w:rPr>
            </w:pPr>
            <w:r w:rsidRPr="00192560">
              <w:rPr>
                <w:b/>
                <w:sz w:val="18"/>
                <w:szCs w:val="18"/>
              </w:rPr>
              <w:t>Other considerations</w:t>
            </w:r>
            <w:r w:rsidRPr="00192560">
              <w:rPr>
                <w:b/>
                <w:sz w:val="18"/>
                <w:szCs w:val="18"/>
                <w:vertAlign w:val="superscript"/>
              </w:rPr>
              <w:t>a</w:t>
            </w:r>
          </w:p>
        </w:tc>
        <w:tc>
          <w:tcPr>
            <w:tcW w:w="1276" w:type="dxa"/>
          </w:tcPr>
          <w:p w:rsidR="00476F09" w:rsidRPr="00192560" w:rsidRDefault="00476F09" w:rsidP="00F13836">
            <w:pPr>
              <w:pStyle w:val="Tabletext"/>
              <w:ind w:right="-57"/>
              <w:rPr>
                <w:b/>
                <w:sz w:val="18"/>
                <w:szCs w:val="18"/>
              </w:rPr>
            </w:pPr>
            <w:r w:rsidRPr="00192560">
              <w:rPr>
                <w:b/>
                <w:sz w:val="18"/>
                <w:szCs w:val="18"/>
              </w:rPr>
              <w:t>Study event rates (%) with ERA + prostanoid</w:t>
            </w:r>
          </w:p>
        </w:tc>
        <w:tc>
          <w:tcPr>
            <w:tcW w:w="1134" w:type="dxa"/>
          </w:tcPr>
          <w:p w:rsidR="00476F09" w:rsidRPr="00192560" w:rsidRDefault="00476F09" w:rsidP="004A42D5">
            <w:pPr>
              <w:pStyle w:val="Tabletext"/>
              <w:rPr>
                <w:b/>
                <w:sz w:val="18"/>
                <w:szCs w:val="18"/>
              </w:rPr>
            </w:pPr>
            <w:r w:rsidRPr="00192560">
              <w:rPr>
                <w:b/>
                <w:sz w:val="18"/>
                <w:szCs w:val="18"/>
              </w:rPr>
              <w:t>Study event rates (%) with prostanoid</w:t>
            </w:r>
          </w:p>
        </w:tc>
        <w:tc>
          <w:tcPr>
            <w:tcW w:w="992" w:type="dxa"/>
          </w:tcPr>
          <w:p w:rsidR="00476F09" w:rsidRPr="00192560" w:rsidRDefault="00476F09" w:rsidP="004A42D5">
            <w:pPr>
              <w:pStyle w:val="Tabletext"/>
              <w:rPr>
                <w:b/>
                <w:sz w:val="18"/>
                <w:szCs w:val="18"/>
              </w:rPr>
            </w:pPr>
            <w:r w:rsidRPr="00192560">
              <w:rPr>
                <w:b/>
                <w:sz w:val="18"/>
                <w:szCs w:val="18"/>
              </w:rPr>
              <w:t>Effect measure (95%CI)</w:t>
            </w:r>
          </w:p>
        </w:tc>
        <w:tc>
          <w:tcPr>
            <w:tcW w:w="1750" w:type="dxa"/>
          </w:tcPr>
          <w:p w:rsidR="00476F09" w:rsidRPr="00192560" w:rsidRDefault="00476F09" w:rsidP="004A42D5">
            <w:pPr>
              <w:pStyle w:val="Tabletext"/>
              <w:rPr>
                <w:b/>
                <w:sz w:val="18"/>
                <w:szCs w:val="18"/>
              </w:rPr>
            </w:pPr>
            <w:r w:rsidRPr="00192560">
              <w:rPr>
                <w:b/>
                <w:sz w:val="18"/>
                <w:szCs w:val="18"/>
              </w:rPr>
              <w:t>Absolute effect (95%CI)</w:t>
            </w:r>
          </w:p>
        </w:tc>
        <w:tc>
          <w:tcPr>
            <w:tcW w:w="1134" w:type="dxa"/>
          </w:tcPr>
          <w:p w:rsidR="00C871F2" w:rsidRPr="00192560" w:rsidRDefault="00C871F2" w:rsidP="004A42D5">
            <w:pPr>
              <w:pStyle w:val="Tabletext"/>
              <w:rPr>
                <w:b/>
                <w:sz w:val="18"/>
                <w:szCs w:val="18"/>
              </w:rPr>
            </w:pPr>
            <w:r w:rsidRPr="00192560">
              <w:rPr>
                <w:b/>
                <w:sz w:val="18"/>
                <w:szCs w:val="18"/>
              </w:rPr>
              <w:t>GRADE</w:t>
            </w:r>
            <w:r w:rsidRPr="00192560">
              <w:rPr>
                <w:b/>
                <w:sz w:val="18"/>
                <w:szCs w:val="18"/>
                <w:vertAlign w:val="superscript"/>
              </w:rPr>
              <w:t>b</w:t>
            </w:r>
          </w:p>
          <w:p w:rsidR="00476F09" w:rsidRPr="00192560" w:rsidRDefault="00476F09" w:rsidP="004A42D5">
            <w:pPr>
              <w:pStyle w:val="Tabletext"/>
              <w:rPr>
                <w:b/>
                <w:sz w:val="18"/>
                <w:szCs w:val="18"/>
                <w:vertAlign w:val="superscript"/>
              </w:rPr>
            </w:pPr>
            <w:r w:rsidRPr="00192560">
              <w:rPr>
                <w:b/>
                <w:sz w:val="18"/>
                <w:szCs w:val="18"/>
              </w:rPr>
              <w:t>Quality</w:t>
            </w:r>
          </w:p>
          <w:p w:rsidR="00476F09" w:rsidRPr="00192560" w:rsidRDefault="00476F09" w:rsidP="004A42D5">
            <w:pPr>
              <w:pStyle w:val="Tabletext"/>
              <w:rPr>
                <w:b/>
                <w:sz w:val="18"/>
                <w:szCs w:val="18"/>
              </w:rPr>
            </w:pPr>
            <w:r w:rsidRPr="00192560">
              <w:rPr>
                <w:b/>
                <w:sz w:val="18"/>
                <w:szCs w:val="18"/>
              </w:rPr>
              <w:t>Importance</w:t>
            </w:r>
          </w:p>
        </w:tc>
      </w:tr>
      <w:tr w:rsidR="00CC3BA4" w:rsidRPr="00D36FBC" w:rsidTr="00115AB1">
        <w:trPr>
          <w:trHeight w:val="319"/>
        </w:trPr>
        <w:tc>
          <w:tcPr>
            <w:tcW w:w="1191" w:type="dxa"/>
          </w:tcPr>
          <w:p w:rsidR="00CC3BA4" w:rsidRPr="00D36FBC" w:rsidRDefault="0079256B" w:rsidP="0079256B">
            <w:pPr>
              <w:pStyle w:val="Tabletext"/>
              <w:rPr>
                <w:rFonts w:cs="Tahoma"/>
              </w:rPr>
            </w:pPr>
            <w:r>
              <w:rPr>
                <w:rFonts w:cs="Tahoma"/>
              </w:rPr>
              <w:t>All-cause m</w:t>
            </w:r>
            <w:r w:rsidR="00CC3BA4" w:rsidRPr="007E6052">
              <w:rPr>
                <w:rFonts w:cs="Tahoma"/>
              </w:rPr>
              <w:t>ortality</w:t>
            </w:r>
            <w:r w:rsidR="00CC3BA4" w:rsidRPr="007E6052">
              <w:rPr>
                <w:rFonts w:cs="Tahoma"/>
              </w:rPr>
              <w:br/>
              <w:t>(16 weeks)</w:t>
            </w:r>
          </w:p>
        </w:tc>
        <w:tc>
          <w:tcPr>
            <w:tcW w:w="1356" w:type="dxa"/>
          </w:tcPr>
          <w:p w:rsidR="00CC3BA4" w:rsidRPr="00D36FBC" w:rsidRDefault="00CC3BA4" w:rsidP="004A42D5">
            <w:pPr>
              <w:pStyle w:val="Tabletext"/>
              <w:rPr>
                <w:rFonts w:cs="Tahoma"/>
              </w:rPr>
            </w:pPr>
            <w:r>
              <w:rPr>
                <w:rFonts w:cs="Tahoma"/>
              </w:rPr>
              <w:t>1</w:t>
            </w:r>
            <w:r w:rsidRPr="00D36FBC">
              <w:rPr>
                <w:rFonts w:cs="Tahoma"/>
              </w:rPr>
              <w:t xml:space="preserve"> RCT</w:t>
            </w:r>
          </w:p>
        </w:tc>
        <w:tc>
          <w:tcPr>
            <w:tcW w:w="912" w:type="dxa"/>
          </w:tcPr>
          <w:p w:rsidR="00CC3BA4" w:rsidRPr="00D36FBC" w:rsidRDefault="00CC3BA4" w:rsidP="004A42D5">
            <w:pPr>
              <w:pStyle w:val="Tabletext"/>
              <w:rPr>
                <w:rFonts w:cs="Tahoma"/>
              </w:rPr>
            </w:pPr>
            <w:r w:rsidRPr="00D36FBC">
              <w:rPr>
                <w:rFonts w:cs="Tahoma"/>
              </w:rPr>
              <w:t>Not serious</w:t>
            </w:r>
          </w:p>
        </w:tc>
        <w:tc>
          <w:tcPr>
            <w:tcW w:w="1134" w:type="dxa"/>
          </w:tcPr>
          <w:p w:rsidR="00CC3BA4" w:rsidRPr="00D36FBC" w:rsidRDefault="00CC3BA4" w:rsidP="004A42D5">
            <w:pPr>
              <w:pStyle w:val="Tabletext"/>
              <w:rPr>
                <w:rFonts w:cs="Tahoma"/>
              </w:rPr>
            </w:pPr>
            <w:r w:rsidRPr="00D36FBC">
              <w:rPr>
                <w:rFonts w:cs="Tahoma"/>
              </w:rPr>
              <w:t>Not serious</w:t>
            </w:r>
          </w:p>
        </w:tc>
        <w:tc>
          <w:tcPr>
            <w:tcW w:w="1276" w:type="dxa"/>
          </w:tcPr>
          <w:p w:rsidR="00CC3BA4" w:rsidRPr="00D36FBC" w:rsidRDefault="00CC3BA4" w:rsidP="004A42D5">
            <w:pPr>
              <w:pStyle w:val="Tabletext"/>
              <w:rPr>
                <w:rFonts w:cs="Tahoma"/>
              </w:rPr>
            </w:pPr>
            <w:r w:rsidRPr="00D36FBC">
              <w:rPr>
                <w:rFonts w:cs="Tahoma"/>
              </w:rPr>
              <w:t>Not serious</w:t>
            </w:r>
          </w:p>
        </w:tc>
        <w:tc>
          <w:tcPr>
            <w:tcW w:w="1276" w:type="dxa"/>
          </w:tcPr>
          <w:p w:rsidR="00CC3BA4" w:rsidRPr="0079256B" w:rsidRDefault="0079256B" w:rsidP="0079256B">
            <w:pPr>
              <w:pStyle w:val="Tabletext"/>
              <w:rPr>
                <w:rFonts w:cs="Tahoma"/>
                <w:vertAlign w:val="superscript"/>
              </w:rPr>
            </w:pPr>
            <w:r>
              <w:rPr>
                <w:rFonts w:cs="Tahoma"/>
              </w:rPr>
              <w:t>Very s</w:t>
            </w:r>
            <w:r w:rsidR="00CC3BA4" w:rsidRPr="00D36FBC">
              <w:rPr>
                <w:rFonts w:cs="Tahoma"/>
              </w:rPr>
              <w:t>erious</w:t>
            </w:r>
            <w:r>
              <w:rPr>
                <w:rFonts w:cs="Tahoma"/>
                <w:vertAlign w:val="superscript"/>
              </w:rPr>
              <w:t xml:space="preserve"> c</w:t>
            </w:r>
          </w:p>
        </w:tc>
        <w:tc>
          <w:tcPr>
            <w:tcW w:w="1417" w:type="dxa"/>
          </w:tcPr>
          <w:p w:rsidR="00CC3BA4" w:rsidRPr="00D36FBC" w:rsidRDefault="00CC3BA4" w:rsidP="004A42D5">
            <w:pPr>
              <w:pStyle w:val="Tabletext"/>
              <w:rPr>
                <w:rFonts w:cs="Tahoma"/>
              </w:rPr>
            </w:pPr>
            <w:r w:rsidRPr="00D36FBC">
              <w:rPr>
                <w:rFonts w:cs="Tahoma"/>
              </w:rPr>
              <w:t>None</w:t>
            </w:r>
          </w:p>
        </w:tc>
        <w:tc>
          <w:tcPr>
            <w:tcW w:w="1276" w:type="dxa"/>
          </w:tcPr>
          <w:p w:rsidR="00CC3BA4" w:rsidRPr="002E6544" w:rsidRDefault="00CC3BA4" w:rsidP="004A42D5">
            <w:pPr>
              <w:pStyle w:val="Tabletext"/>
              <w:rPr>
                <w:rFonts w:cs="Tahoma"/>
              </w:rPr>
            </w:pPr>
            <w:r>
              <w:rPr>
                <w:rFonts w:cs="Tahoma"/>
              </w:rPr>
              <w:t>3/22 (13.6%)</w:t>
            </w:r>
          </w:p>
        </w:tc>
        <w:tc>
          <w:tcPr>
            <w:tcW w:w="1134" w:type="dxa"/>
          </w:tcPr>
          <w:p w:rsidR="00CC3BA4" w:rsidRPr="001D2AD7" w:rsidRDefault="00CC3BA4" w:rsidP="004A42D5">
            <w:pPr>
              <w:pStyle w:val="Tabletext"/>
              <w:rPr>
                <w:rFonts w:cs="Tahoma"/>
                <w:highlight w:val="cyan"/>
              </w:rPr>
            </w:pPr>
            <w:r w:rsidRPr="002E6544">
              <w:rPr>
                <w:rFonts w:cs="Tahoma"/>
              </w:rPr>
              <w:t>0/11 (0.0%)</w:t>
            </w:r>
          </w:p>
        </w:tc>
        <w:tc>
          <w:tcPr>
            <w:tcW w:w="992" w:type="dxa"/>
          </w:tcPr>
          <w:p w:rsidR="00CC3BA4" w:rsidRPr="001D2AD7" w:rsidRDefault="00B21201" w:rsidP="00645E4A">
            <w:pPr>
              <w:pStyle w:val="Tabletext"/>
              <w:rPr>
                <w:rFonts w:cs="Tahoma"/>
                <w:highlight w:val="cyan"/>
              </w:rPr>
            </w:pPr>
            <w:r>
              <w:rPr>
                <w:rFonts w:cs="Tahoma"/>
              </w:rPr>
              <w:t>ARD</w:t>
            </w:r>
            <w:r w:rsidR="00CC3BA4" w:rsidRPr="002E6544">
              <w:rPr>
                <w:rFonts w:cs="Tahoma"/>
              </w:rPr>
              <w:t xml:space="preserve"> </w:t>
            </w:r>
            <w:r w:rsidR="00CC3BA4">
              <w:rPr>
                <w:rFonts w:cs="Tahoma"/>
              </w:rPr>
              <w:t xml:space="preserve">= </w:t>
            </w:r>
            <w:r w:rsidR="00CC3BA4" w:rsidRPr="002E6544">
              <w:rPr>
                <w:rFonts w:cs="Tahoma"/>
              </w:rPr>
              <w:t>13.6%</w:t>
            </w:r>
            <w:r w:rsidR="00CC3BA4">
              <w:rPr>
                <w:rFonts w:cs="Tahoma"/>
              </w:rPr>
              <w:t xml:space="preserve"> (</w:t>
            </w:r>
            <w:r w:rsidR="00CC3BA4" w:rsidRPr="002E6544">
              <w:rPr>
                <w:rFonts w:cs="Tahoma"/>
              </w:rPr>
              <w:t>−</w:t>
            </w:r>
            <w:r w:rsidR="00645E4A" w:rsidRPr="002E6544">
              <w:rPr>
                <w:rFonts w:cs="Tahoma"/>
              </w:rPr>
              <w:t>0.70</w:t>
            </w:r>
            <w:r w:rsidR="00645E4A">
              <w:rPr>
                <w:rFonts w:cs="Tahoma"/>
              </w:rPr>
              <w:t xml:space="preserve">, </w:t>
            </w:r>
            <w:r w:rsidR="00CC3BA4" w:rsidRPr="002E6544">
              <w:rPr>
                <w:rFonts w:cs="Tahoma"/>
              </w:rPr>
              <w:t>28.0)</w:t>
            </w:r>
          </w:p>
        </w:tc>
        <w:tc>
          <w:tcPr>
            <w:tcW w:w="1750" w:type="dxa"/>
          </w:tcPr>
          <w:p w:rsidR="00CC3BA4" w:rsidRPr="00D36FBC" w:rsidRDefault="00CC3BA4" w:rsidP="002A15D3">
            <w:pPr>
              <w:pStyle w:val="Tabletext"/>
              <w:rPr>
                <w:rFonts w:cs="Tahoma"/>
                <w:highlight w:val="cyan"/>
              </w:rPr>
            </w:pPr>
            <w:r w:rsidRPr="002E6544">
              <w:rPr>
                <w:rFonts w:cs="Tahoma"/>
              </w:rPr>
              <w:t xml:space="preserve">136 </w:t>
            </w:r>
            <w:r w:rsidR="002A15D3">
              <w:rPr>
                <w:rFonts w:cs="Tahoma"/>
              </w:rPr>
              <w:t>more</w:t>
            </w:r>
            <w:r w:rsidR="002A15D3" w:rsidRPr="002E6544">
              <w:rPr>
                <w:rFonts w:cs="Tahoma"/>
              </w:rPr>
              <w:t xml:space="preserve"> </w:t>
            </w:r>
            <w:r w:rsidRPr="002E6544">
              <w:rPr>
                <w:rFonts w:cs="Tahoma"/>
              </w:rPr>
              <w:t>per 1,000</w:t>
            </w:r>
            <w:r>
              <w:rPr>
                <w:rFonts w:cs="Tahoma"/>
              </w:rPr>
              <w:br/>
            </w:r>
            <w:r w:rsidRPr="002E6544">
              <w:rPr>
                <w:rFonts w:cs="Tahoma"/>
              </w:rPr>
              <w:t xml:space="preserve">(from </w:t>
            </w:r>
            <w:r w:rsidR="00BE59C4" w:rsidRPr="002E6544">
              <w:rPr>
                <w:rFonts w:cs="Tahoma"/>
              </w:rPr>
              <w:t xml:space="preserve">7 </w:t>
            </w:r>
            <w:r w:rsidR="002A15D3">
              <w:rPr>
                <w:rFonts w:cs="Tahoma"/>
              </w:rPr>
              <w:t>fewer</w:t>
            </w:r>
            <w:r w:rsidR="002A15D3" w:rsidRPr="002E6544">
              <w:rPr>
                <w:rFonts w:cs="Tahoma"/>
              </w:rPr>
              <w:t xml:space="preserve"> </w:t>
            </w:r>
            <w:r w:rsidR="00BE59C4" w:rsidRPr="002E6544">
              <w:rPr>
                <w:rFonts w:cs="Tahoma"/>
              </w:rPr>
              <w:t xml:space="preserve">to </w:t>
            </w:r>
            <w:r w:rsidRPr="002E6544">
              <w:rPr>
                <w:rFonts w:cs="Tahoma"/>
              </w:rPr>
              <w:t xml:space="preserve">280 </w:t>
            </w:r>
            <w:r w:rsidR="002A15D3">
              <w:rPr>
                <w:rFonts w:cs="Tahoma"/>
              </w:rPr>
              <w:t>more</w:t>
            </w:r>
            <w:r w:rsidRPr="002E6544">
              <w:rPr>
                <w:rFonts w:cs="Tahoma"/>
              </w:rPr>
              <w:t>)</w:t>
            </w:r>
          </w:p>
        </w:tc>
        <w:tc>
          <w:tcPr>
            <w:tcW w:w="1134" w:type="dxa"/>
          </w:tcPr>
          <w:p w:rsidR="0079256B" w:rsidRPr="00B14FF5" w:rsidRDefault="0079256B" w:rsidP="0079256B">
            <w:pPr>
              <w:pStyle w:val="Tabletext"/>
              <w:rPr>
                <w:rFonts w:eastAsia="Times New Roman" w:cs="Tahoma"/>
                <w:bCs/>
              </w:rPr>
            </w:pPr>
            <w:r>
              <w:rPr>
                <w:rFonts w:eastAsia="Times New Roman" w:cs="Tahoma"/>
                <w:bCs/>
              </w:rPr>
              <w:t>Low</w:t>
            </w:r>
            <w:r>
              <w:rPr>
                <w:rFonts w:eastAsia="Times New Roman" w:cs="Tahoma"/>
                <w:bCs/>
              </w:rPr>
              <w:br/>
            </w:r>
            <w:r w:rsidRPr="00E564DD">
              <w:rPr>
                <w:rFonts w:ascii="Cambria Math" w:hAnsi="Cambria Math" w:cs="Cambria Math"/>
                <w:color w:val="00B050"/>
              </w:rPr>
              <w:t>⨁⨁</w:t>
            </w:r>
            <w:r w:rsidRPr="00E564DD">
              <w:rPr>
                <w:rFonts w:ascii="Cambria Math" w:hAnsi="Cambria Math" w:cs="Cambria Math"/>
                <w:color w:val="C00000"/>
              </w:rPr>
              <w:t>⨀⨀</w:t>
            </w:r>
          </w:p>
          <w:p w:rsidR="00CC3BA4" w:rsidRPr="00D36FBC" w:rsidRDefault="00CC3BA4" w:rsidP="004A42D5">
            <w:pPr>
              <w:pStyle w:val="Tabletext"/>
              <w:rPr>
                <w:rFonts w:cs="Tahoma"/>
              </w:rPr>
            </w:pPr>
            <w:r w:rsidRPr="00E564DD">
              <w:rPr>
                <w:rFonts w:cs="Tahoma"/>
              </w:rPr>
              <w:t>Critical</w:t>
            </w:r>
          </w:p>
        </w:tc>
      </w:tr>
      <w:tr w:rsidR="00CC3BA4" w:rsidRPr="00D36FBC" w:rsidTr="00115AB1">
        <w:trPr>
          <w:trHeight w:val="319"/>
        </w:trPr>
        <w:tc>
          <w:tcPr>
            <w:tcW w:w="1191" w:type="dxa"/>
          </w:tcPr>
          <w:p w:rsidR="00CC3BA4" w:rsidRPr="00D36FBC" w:rsidRDefault="00CC3BA4" w:rsidP="004A42D5">
            <w:pPr>
              <w:pStyle w:val="Tabletext"/>
              <w:rPr>
                <w:rFonts w:cs="Tahoma"/>
              </w:rPr>
            </w:pPr>
            <w:r w:rsidRPr="00D36FBC">
              <w:rPr>
                <w:rFonts w:cs="Tahoma"/>
              </w:rPr>
              <w:t>Improved WHO FC</w:t>
            </w:r>
            <w:r>
              <w:rPr>
                <w:rFonts w:cs="Tahoma"/>
              </w:rPr>
              <w:br/>
            </w:r>
            <w:r w:rsidRPr="00D36FBC">
              <w:rPr>
                <w:rFonts w:cs="Tahoma"/>
              </w:rPr>
              <w:t>(12 weeks)</w:t>
            </w:r>
          </w:p>
        </w:tc>
        <w:tc>
          <w:tcPr>
            <w:tcW w:w="1356" w:type="dxa"/>
          </w:tcPr>
          <w:p w:rsidR="00CC3BA4" w:rsidRPr="00D36FBC" w:rsidRDefault="00CC3BA4" w:rsidP="004A42D5">
            <w:pPr>
              <w:pStyle w:val="Tabletext"/>
              <w:rPr>
                <w:rFonts w:cs="Tahoma"/>
              </w:rPr>
            </w:pPr>
            <w:r>
              <w:rPr>
                <w:rFonts w:cs="Tahoma"/>
              </w:rPr>
              <w:t>1</w:t>
            </w:r>
            <w:r w:rsidRPr="00D36FBC">
              <w:rPr>
                <w:rFonts w:cs="Tahoma"/>
              </w:rPr>
              <w:t xml:space="preserve"> RCT</w:t>
            </w:r>
          </w:p>
        </w:tc>
        <w:tc>
          <w:tcPr>
            <w:tcW w:w="912" w:type="dxa"/>
          </w:tcPr>
          <w:p w:rsidR="00CC3BA4" w:rsidRPr="00D36FBC" w:rsidRDefault="00CC3BA4" w:rsidP="004A42D5">
            <w:pPr>
              <w:pStyle w:val="Tabletext"/>
              <w:rPr>
                <w:rFonts w:cs="Tahoma"/>
              </w:rPr>
            </w:pPr>
            <w:r w:rsidRPr="00D36FBC">
              <w:rPr>
                <w:rFonts w:cs="Tahoma"/>
              </w:rPr>
              <w:t>Not serious</w:t>
            </w:r>
          </w:p>
        </w:tc>
        <w:tc>
          <w:tcPr>
            <w:tcW w:w="1134" w:type="dxa"/>
          </w:tcPr>
          <w:p w:rsidR="00CC3BA4" w:rsidRPr="00D36FBC" w:rsidRDefault="00CC3BA4" w:rsidP="004A42D5">
            <w:pPr>
              <w:pStyle w:val="Tabletext"/>
              <w:rPr>
                <w:rFonts w:cs="Tahoma"/>
              </w:rPr>
            </w:pPr>
            <w:r w:rsidRPr="00D36FBC">
              <w:rPr>
                <w:rFonts w:cs="Tahoma"/>
              </w:rPr>
              <w:t>Not serious</w:t>
            </w:r>
          </w:p>
        </w:tc>
        <w:tc>
          <w:tcPr>
            <w:tcW w:w="1276" w:type="dxa"/>
          </w:tcPr>
          <w:p w:rsidR="00CC3BA4" w:rsidRPr="00D36FBC" w:rsidRDefault="00CC3BA4" w:rsidP="004A42D5">
            <w:pPr>
              <w:pStyle w:val="Tabletext"/>
              <w:rPr>
                <w:rFonts w:cs="Tahoma"/>
              </w:rPr>
            </w:pPr>
            <w:r w:rsidRPr="00D36FBC">
              <w:rPr>
                <w:rFonts w:cs="Tahoma"/>
              </w:rPr>
              <w:t>Not serious</w:t>
            </w:r>
          </w:p>
        </w:tc>
        <w:tc>
          <w:tcPr>
            <w:tcW w:w="1276" w:type="dxa"/>
          </w:tcPr>
          <w:p w:rsidR="00CC3BA4" w:rsidRPr="00A25B65" w:rsidRDefault="0079256B" w:rsidP="0079256B">
            <w:pPr>
              <w:pStyle w:val="Tabletext"/>
              <w:rPr>
                <w:rFonts w:cs="Tahoma"/>
                <w:vertAlign w:val="superscript"/>
              </w:rPr>
            </w:pPr>
            <w:r>
              <w:rPr>
                <w:rFonts w:cs="Tahoma"/>
              </w:rPr>
              <w:t>Very s</w:t>
            </w:r>
            <w:r w:rsidR="00CC3BA4" w:rsidRPr="00D36FBC">
              <w:rPr>
                <w:rFonts w:cs="Tahoma"/>
              </w:rPr>
              <w:t>erious</w:t>
            </w:r>
            <w:r w:rsidR="00A25B65">
              <w:rPr>
                <w:rFonts w:cs="Tahoma"/>
                <w:vertAlign w:val="superscript"/>
              </w:rPr>
              <w:t xml:space="preserve"> c</w:t>
            </w:r>
            <w:r>
              <w:rPr>
                <w:rFonts w:cs="Tahoma"/>
                <w:vertAlign w:val="superscript"/>
              </w:rPr>
              <w:t>,d</w:t>
            </w:r>
          </w:p>
        </w:tc>
        <w:tc>
          <w:tcPr>
            <w:tcW w:w="1417" w:type="dxa"/>
          </w:tcPr>
          <w:p w:rsidR="00CC3BA4" w:rsidRPr="00D36FBC" w:rsidRDefault="00CC3BA4" w:rsidP="004A42D5">
            <w:pPr>
              <w:pStyle w:val="Tabletext"/>
              <w:rPr>
                <w:rFonts w:cs="Tahoma"/>
              </w:rPr>
            </w:pPr>
            <w:r w:rsidRPr="00D36FBC">
              <w:rPr>
                <w:rFonts w:cs="Tahoma"/>
              </w:rPr>
              <w:t>None</w:t>
            </w:r>
          </w:p>
        </w:tc>
        <w:tc>
          <w:tcPr>
            <w:tcW w:w="1276" w:type="dxa"/>
          </w:tcPr>
          <w:p w:rsidR="00CC3BA4" w:rsidRPr="00456F1B" w:rsidRDefault="00CC3BA4" w:rsidP="004A42D5">
            <w:pPr>
              <w:pStyle w:val="Tabletext"/>
              <w:rPr>
                <w:rFonts w:cs="Tahoma"/>
              </w:rPr>
            </w:pPr>
            <w:r>
              <w:rPr>
                <w:rFonts w:cs="Tahoma"/>
              </w:rPr>
              <w:t>13/22 (59.1%)</w:t>
            </w:r>
          </w:p>
        </w:tc>
        <w:tc>
          <w:tcPr>
            <w:tcW w:w="1134" w:type="dxa"/>
          </w:tcPr>
          <w:p w:rsidR="00CC3BA4" w:rsidRPr="00456F1B" w:rsidRDefault="00CC3BA4" w:rsidP="004A42D5">
            <w:pPr>
              <w:pStyle w:val="Tabletext"/>
              <w:rPr>
                <w:rFonts w:cs="Tahoma"/>
              </w:rPr>
            </w:pPr>
            <w:r w:rsidRPr="002E6544">
              <w:rPr>
                <w:rFonts w:cs="Tahoma"/>
              </w:rPr>
              <w:t>5/11 (45.5%)</w:t>
            </w:r>
          </w:p>
        </w:tc>
        <w:tc>
          <w:tcPr>
            <w:tcW w:w="992" w:type="dxa"/>
          </w:tcPr>
          <w:p w:rsidR="00CC3BA4" w:rsidRPr="00456F1B" w:rsidRDefault="00CC3BA4" w:rsidP="004A42D5">
            <w:pPr>
              <w:pStyle w:val="Tabletext"/>
              <w:rPr>
                <w:rFonts w:cs="Tahoma"/>
              </w:rPr>
            </w:pPr>
            <w:r w:rsidRPr="002E6544">
              <w:rPr>
                <w:rFonts w:cs="Tahoma"/>
              </w:rPr>
              <w:t xml:space="preserve">RR </w:t>
            </w:r>
            <w:r>
              <w:rPr>
                <w:rFonts w:cs="Tahoma"/>
              </w:rPr>
              <w:t xml:space="preserve">= </w:t>
            </w:r>
            <w:r w:rsidRPr="002E6544">
              <w:rPr>
                <w:rFonts w:cs="Tahoma"/>
              </w:rPr>
              <w:t>1.30</w:t>
            </w:r>
            <w:r>
              <w:rPr>
                <w:rFonts w:cs="Tahoma"/>
              </w:rPr>
              <w:t xml:space="preserve"> </w:t>
            </w:r>
            <w:r w:rsidRPr="002E6544">
              <w:rPr>
                <w:rFonts w:cs="Tahoma"/>
              </w:rPr>
              <w:t>(0.62</w:t>
            </w:r>
            <w:r>
              <w:rPr>
                <w:rFonts w:cs="Tahoma"/>
              </w:rPr>
              <w:t>,</w:t>
            </w:r>
            <w:r w:rsidRPr="002E6544">
              <w:rPr>
                <w:rFonts w:cs="Tahoma"/>
              </w:rPr>
              <w:t xml:space="preserve"> 2.71)</w:t>
            </w:r>
          </w:p>
        </w:tc>
        <w:tc>
          <w:tcPr>
            <w:tcW w:w="1750" w:type="dxa"/>
          </w:tcPr>
          <w:p w:rsidR="00CC3BA4" w:rsidRPr="00D36FBC" w:rsidRDefault="00CC3BA4" w:rsidP="004A42D5">
            <w:pPr>
              <w:pStyle w:val="Tabletext"/>
              <w:rPr>
                <w:rFonts w:cs="Tahoma"/>
              </w:rPr>
            </w:pPr>
            <w:r w:rsidRPr="002E6544">
              <w:rPr>
                <w:rFonts w:cs="Tahoma"/>
              </w:rPr>
              <w:t>136 more per 1,000</w:t>
            </w:r>
            <w:r>
              <w:rPr>
                <w:rFonts w:cs="Tahoma"/>
              </w:rPr>
              <w:br/>
            </w:r>
            <w:r w:rsidRPr="002E6544">
              <w:rPr>
                <w:rFonts w:cs="Tahoma"/>
              </w:rPr>
              <w:t>(from 173 fewer to 777 more)</w:t>
            </w:r>
          </w:p>
        </w:tc>
        <w:tc>
          <w:tcPr>
            <w:tcW w:w="1134" w:type="dxa"/>
          </w:tcPr>
          <w:p w:rsidR="0079256B" w:rsidRDefault="0079256B" w:rsidP="0079256B">
            <w:pPr>
              <w:pStyle w:val="Tabletext"/>
              <w:rPr>
                <w:rFonts w:ascii="Cambria Math" w:eastAsia="Times New Roman" w:hAnsi="Cambria Math" w:cs="Cambria Math"/>
                <w:bCs/>
              </w:rPr>
            </w:pPr>
            <w:r>
              <w:rPr>
                <w:rFonts w:eastAsia="Times New Roman" w:cs="Tahoma"/>
                <w:bCs/>
              </w:rPr>
              <w:t>Very low</w:t>
            </w:r>
            <w:r>
              <w:rPr>
                <w:rFonts w:eastAsia="Times New Roman" w:cs="Tahoma"/>
                <w:bCs/>
              </w:rPr>
              <w:br/>
            </w:r>
            <w:r w:rsidRPr="00E564DD">
              <w:rPr>
                <w:rFonts w:ascii="Cambria Math" w:eastAsia="Times New Roman" w:hAnsi="Cambria Math" w:cs="Cambria Math"/>
                <w:bCs/>
                <w:color w:val="00B050"/>
              </w:rPr>
              <w:t>⨁</w:t>
            </w:r>
            <w:r w:rsidRPr="00E564DD">
              <w:rPr>
                <w:rFonts w:ascii="Cambria Math" w:hAnsi="Cambria Math" w:cs="Cambria Math"/>
                <w:color w:val="C00000"/>
              </w:rPr>
              <w:t>⨀⨀</w:t>
            </w:r>
            <w:r w:rsidRPr="00E564DD">
              <w:rPr>
                <w:rFonts w:ascii="Cambria Math" w:eastAsia="Times New Roman" w:hAnsi="Cambria Math" w:cs="Cambria Math"/>
                <w:bCs/>
                <w:color w:val="FF0000"/>
              </w:rPr>
              <w:t>⨀</w:t>
            </w:r>
          </w:p>
          <w:p w:rsidR="00CC3BA4" w:rsidRPr="00D36FBC" w:rsidRDefault="00CC3BA4" w:rsidP="004A42D5">
            <w:pPr>
              <w:pStyle w:val="Tabletext"/>
              <w:rPr>
                <w:rFonts w:eastAsia="Times New Roman" w:cs="Cambria Math"/>
                <w:bCs/>
                <w:color w:val="00B050"/>
              </w:rPr>
            </w:pPr>
            <w:r>
              <w:rPr>
                <w:rFonts w:cs="Tahoma"/>
              </w:rPr>
              <w:t>Important</w:t>
            </w:r>
          </w:p>
        </w:tc>
      </w:tr>
      <w:tr w:rsidR="00B14FF5" w:rsidRPr="00D36FBC" w:rsidTr="00115AB1">
        <w:trPr>
          <w:trHeight w:val="319"/>
        </w:trPr>
        <w:tc>
          <w:tcPr>
            <w:tcW w:w="1191" w:type="dxa"/>
          </w:tcPr>
          <w:p w:rsidR="00B14FF5" w:rsidRPr="00D36FBC" w:rsidRDefault="00B14FF5" w:rsidP="004A42D5">
            <w:pPr>
              <w:pStyle w:val="Tabletext"/>
              <w:rPr>
                <w:rFonts w:cs="Tahoma"/>
              </w:rPr>
            </w:pPr>
            <w:r w:rsidRPr="00D36FBC">
              <w:rPr>
                <w:rFonts w:cs="Tahoma"/>
              </w:rPr>
              <w:t>Change in 6MWD from baseline</w:t>
            </w:r>
            <w:r>
              <w:rPr>
                <w:rFonts w:cs="Tahoma"/>
              </w:rPr>
              <w:br/>
            </w:r>
            <w:r w:rsidRPr="00D36FBC">
              <w:rPr>
                <w:rFonts w:cs="Tahoma"/>
              </w:rPr>
              <w:t>(</w:t>
            </w:r>
            <w:r>
              <w:rPr>
                <w:rFonts w:cs="Tahoma"/>
              </w:rPr>
              <w:t>1</w:t>
            </w:r>
            <w:r w:rsidRPr="00D36FBC">
              <w:rPr>
                <w:rFonts w:cs="Tahoma"/>
              </w:rPr>
              <w:t>2</w:t>
            </w:r>
            <w:r>
              <w:rPr>
                <w:rFonts w:cs="Tahoma"/>
              </w:rPr>
              <w:t>−1</w:t>
            </w:r>
            <w:r w:rsidRPr="00D36FBC">
              <w:rPr>
                <w:rFonts w:cs="Tahoma"/>
              </w:rPr>
              <w:t xml:space="preserve">6 weeks) </w:t>
            </w:r>
          </w:p>
        </w:tc>
        <w:tc>
          <w:tcPr>
            <w:tcW w:w="1356" w:type="dxa"/>
          </w:tcPr>
          <w:p w:rsidR="00B14FF5" w:rsidRPr="00D36FBC" w:rsidRDefault="00B14FF5" w:rsidP="004A42D5">
            <w:pPr>
              <w:pStyle w:val="Tabletext"/>
              <w:rPr>
                <w:rFonts w:cs="Tahoma"/>
              </w:rPr>
            </w:pPr>
            <w:r>
              <w:rPr>
                <w:rFonts w:cs="Tahoma"/>
              </w:rPr>
              <w:t>2</w:t>
            </w:r>
            <w:r w:rsidRPr="00D36FBC">
              <w:rPr>
                <w:rFonts w:cs="Tahoma"/>
              </w:rPr>
              <w:t xml:space="preserve"> RCT</w:t>
            </w:r>
            <w:r>
              <w:rPr>
                <w:rFonts w:cs="Tahoma"/>
              </w:rPr>
              <w:t>s</w:t>
            </w:r>
          </w:p>
        </w:tc>
        <w:tc>
          <w:tcPr>
            <w:tcW w:w="912" w:type="dxa"/>
          </w:tcPr>
          <w:p w:rsidR="00B14FF5" w:rsidRPr="00A25B65" w:rsidRDefault="00A25B65" w:rsidP="0079256B">
            <w:pPr>
              <w:pStyle w:val="Tabletext"/>
              <w:rPr>
                <w:rFonts w:cs="Tahoma"/>
                <w:vertAlign w:val="superscript"/>
              </w:rPr>
            </w:pPr>
            <w:r>
              <w:rPr>
                <w:rFonts w:cs="Tahoma"/>
              </w:rPr>
              <w:t>Serious</w:t>
            </w:r>
            <w:r>
              <w:rPr>
                <w:rFonts w:cs="Tahoma"/>
                <w:vertAlign w:val="superscript"/>
              </w:rPr>
              <w:t xml:space="preserve"> </w:t>
            </w:r>
            <w:r w:rsidR="0079256B">
              <w:rPr>
                <w:rFonts w:cs="Tahoma"/>
                <w:vertAlign w:val="superscript"/>
              </w:rPr>
              <w:t>e</w:t>
            </w:r>
          </w:p>
        </w:tc>
        <w:tc>
          <w:tcPr>
            <w:tcW w:w="1134" w:type="dxa"/>
          </w:tcPr>
          <w:p w:rsidR="00B14FF5" w:rsidRPr="00A25B65" w:rsidRDefault="00B14FF5" w:rsidP="00A25B65">
            <w:pPr>
              <w:pStyle w:val="Tabletext"/>
              <w:rPr>
                <w:rFonts w:cs="Tahoma"/>
                <w:vertAlign w:val="superscript"/>
              </w:rPr>
            </w:pPr>
            <w:r>
              <w:rPr>
                <w:rFonts w:cs="Tahoma"/>
              </w:rPr>
              <w:t>S</w:t>
            </w:r>
            <w:r w:rsidRPr="00D36FBC">
              <w:rPr>
                <w:rFonts w:cs="Tahoma"/>
              </w:rPr>
              <w:t>erious</w:t>
            </w:r>
            <w:r w:rsidR="0079256B">
              <w:rPr>
                <w:rFonts w:cs="Tahoma"/>
                <w:vertAlign w:val="superscript"/>
              </w:rPr>
              <w:t xml:space="preserve"> f</w:t>
            </w:r>
          </w:p>
        </w:tc>
        <w:tc>
          <w:tcPr>
            <w:tcW w:w="1276" w:type="dxa"/>
          </w:tcPr>
          <w:p w:rsidR="00B14FF5" w:rsidRPr="00A25B65" w:rsidRDefault="00114427" w:rsidP="00A25B65">
            <w:pPr>
              <w:pStyle w:val="Tabletext"/>
              <w:rPr>
                <w:rFonts w:cs="Tahoma"/>
                <w:vertAlign w:val="superscript"/>
              </w:rPr>
            </w:pPr>
            <w:r>
              <w:rPr>
                <w:rFonts w:cs="Tahoma"/>
              </w:rPr>
              <w:t>S</w:t>
            </w:r>
            <w:r w:rsidR="00B14FF5" w:rsidRPr="00D36FBC">
              <w:rPr>
                <w:rFonts w:cs="Tahoma"/>
              </w:rPr>
              <w:t>erious</w:t>
            </w:r>
            <w:r w:rsidR="0079256B">
              <w:rPr>
                <w:rFonts w:cs="Tahoma"/>
                <w:vertAlign w:val="superscript"/>
              </w:rPr>
              <w:t xml:space="preserve"> f</w:t>
            </w:r>
          </w:p>
        </w:tc>
        <w:tc>
          <w:tcPr>
            <w:tcW w:w="1276" w:type="dxa"/>
          </w:tcPr>
          <w:p w:rsidR="00B14FF5" w:rsidRPr="0079256B" w:rsidRDefault="0079256B" w:rsidP="0079256B">
            <w:pPr>
              <w:pStyle w:val="Tabletext"/>
              <w:rPr>
                <w:rFonts w:cs="Tahoma"/>
                <w:vertAlign w:val="superscript"/>
              </w:rPr>
            </w:pPr>
            <w:r>
              <w:rPr>
                <w:rFonts w:cs="Tahoma"/>
              </w:rPr>
              <w:t>Very s</w:t>
            </w:r>
            <w:r w:rsidR="00B14FF5" w:rsidRPr="00D36FBC">
              <w:rPr>
                <w:rFonts w:cs="Tahoma"/>
              </w:rPr>
              <w:t>erious</w:t>
            </w:r>
            <w:r>
              <w:rPr>
                <w:rFonts w:cs="Tahoma"/>
                <w:vertAlign w:val="superscript"/>
              </w:rPr>
              <w:t xml:space="preserve"> c</w:t>
            </w:r>
          </w:p>
        </w:tc>
        <w:tc>
          <w:tcPr>
            <w:tcW w:w="1417" w:type="dxa"/>
          </w:tcPr>
          <w:p w:rsidR="00B14FF5" w:rsidRPr="00D36FBC" w:rsidRDefault="00B14FF5" w:rsidP="004A42D5">
            <w:pPr>
              <w:pStyle w:val="Tabletext"/>
              <w:rPr>
                <w:rFonts w:cs="Tahoma"/>
              </w:rPr>
            </w:pPr>
            <w:r w:rsidRPr="00D36FBC">
              <w:rPr>
                <w:rFonts w:cs="Tahoma"/>
              </w:rPr>
              <w:t>None</w:t>
            </w:r>
          </w:p>
        </w:tc>
        <w:tc>
          <w:tcPr>
            <w:tcW w:w="1276" w:type="dxa"/>
          </w:tcPr>
          <w:p w:rsidR="00B14FF5" w:rsidRPr="006A0576" w:rsidRDefault="00B14FF5" w:rsidP="006A0576">
            <w:pPr>
              <w:pStyle w:val="Tabletext"/>
            </w:pPr>
            <w:r w:rsidRPr="006A0576">
              <w:t>30 patients tested</w:t>
            </w:r>
          </w:p>
        </w:tc>
        <w:tc>
          <w:tcPr>
            <w:tcW w:w="1134" w:type="dxa"/>
          </w:tcPr>
          <w:p w:rsidR="00B14FF5" w:rsidRPr="006A0576" w:rsidRDefault="00B14FF5" w:rsidP="006A0576">
            <w:pPr>
              <w:pStyle w:val="Tabletext"/>
            </w:pPr>
            <w:r w:rsidRPr="006A0576">
              <w:rPr>
                <w:rStyle w:val="cell-value"/>
              </w:rPr>
              <w:t>17</w:t>
            </w:r>
            <w:r w:rsidRPr="006A0576">
              <w:t xml:space="preserve"> patients tested</w:t>
            </w:r>
          </w:p>
        </w:tc>
        <w:tc>
          <w:tcPr>
            <w:tcW w:w="992" w:type="dxa"/>
          </w:tcPr>
          <w:p w:rsidR="00B14FF5" w:rsidRPr="001D2AD7" w:rsidRDefault="00B14FF5" w:rsidP="004A42D5">
            <w:pPr>
              <w:pStyle w:val="Tabletext"/>
              <w:rPr>
                <w:rFonts w:cs="Tahoma"/>
              </w:rPr>
            </w:pPr>
            <w:r>
              <w:rPr>
                <w:rFonts w:cs="Tahoma"/>
              </w:rPr>
              <w:t>-</w:t>
            </w:r>
          </w:p>
        </w:tc>
        <w:tc>
          <w:tcPr>
            <w:tcW w:w="1750" w:type="dxa"/>
          </w:tcPr>
          <w:p w:rsidR="00B14FF5" w:rsidRPr="00B14FF5" w:rsidRDefault="00B14FF5" w:rsidP="004A42D5">
            <w:pPr>
              <w:pStyle w:val="Tabletext"/>
              <w:rPr>
                <w:rFonts w:cs="Tahoma"/>
              </w:rPr>
            </w:pPr>
            <w:r w:rsidRPr="00B14FF5">
              <w:rPr>
                <w:rFonts w:cs="Tahoma"/>
              </w:rPr>
              <w:t>MD 64.8 m further</w:t>
            </w:r>
            <w:r w:rsidRPr="00B14FF5">
              <w:rPr>
                <w:rFonts w:cs="Tahoma"/>
              </w:rPr>
              <w:br/>
              <w:t>(range 6.0 m less to 123.6 m further)</w:t>
            </w:r>
          </w:p>
        </w:tc>
        <w:tc>
          <w:tcPr>
            <w:tcW w:w="1134" w:type="dxa"/>
          </w:tcPr>
          <w:p w:rsidR="00B14FF5" w:rsidRPr="00B14FF5" w:rsidRDefault="00114427" w:rsidP="004A42D5">
            <w:pPr>
              <w:pStyle w:val="Tabletext"/>
              <w:rPr>
                <w:rFonts w:eastAsia="Times New Roman" w:cs="Tahoma"/>
                <w:bCs/>
              </w:rPr>
            </w:pPr>
            <w:r>
              <w:rPr>
                <w:rFonts w:eastAsia="Times New Roman" w:cs="Tahoma"/>
                <w:bCs/>
              </w:rPr>
              <w:t>Very l</w:t>
            </w:r>
            <w:r w:rsidR="00B14FF5">
              <w:rPr>
                <w:rFonts w:eastAsia="Times New Roman" w:cs="Tahoma"/>
                <w:bCs/>
              </w:rPr>
              <w:t>ow</w:t>
            </w:r>
            <w:r w:rsidR="00B14FF5">
              <w:rPr>
                <w:rFonts w:eastAsia="Times New Roman" w:cs="Tahoma"/>
                <w:bCs/>
              </w:rPr>
              <w:br/>
            </w:r>
            <w:r w:rsidR="00F13836" w:rsidRPr="00E564DD">
              <w:rPr>
                <w:rFonts w:ascii="Cambria Math" w:hAnsi="Cambria Math" w:cs="Cambria Math"/>
                <w:color w:val="00B050"/>
              </w:rPr>
              <w:t>⨁</w:t>
            </w:r>
            <w:r w:rsidRPr="00E564DD">
              <w:rPr>
                <w:rFonts w:ascii="Cambria Math" w:hAnsi="Cambria Math" w:cs="Cambria Math"/>
                <w:color w:val="C00000"/>
              </w:rPr>
              <w:t>⨀</w:t>
            </w:r>
            <w:r w:rsidR="00F13836" w:rsidRPr="00E564DD">
              <w:rPr>
                <w:rFonts w:ascii="Cambria Math" w:hAnsi="Cambria Math" w:cs="Cambria Math"/>
                <w:color w:val="C00000"/>
              </w:rPr>
              <w:t>⨀⨀</w:t>
            </w:r>
          </w:p>
          <w:p w:rsidR="00B14FF5" w:rsidRPr="00B14FF5" w:rsidRDefault="00B14FF5" w:rsidP="004A42D5">
            <w:pPr>
              <w:pStyle w:val="Tabletext"/>
              <w:rPr>
                <w:rFonts w:eastAsia="Times New Roman" w:cs="Tahoma"/>
                <w:bCs/>
              </w:rPr>
            </w:pPr>
            <w:r>
              <w:rPr>
                <w:rFonts w:eastAsia="Times New Roman" w:cs="Tahoma"/>
                <w:bCs/>
              </w:rPr>
              <w:t>I</w:t>
            </w:r>
            <w:r w:rsidRPr="00B14FF5">
              <w:rPr>
                <w:rFonts w:eastAsia="Times New Roman" w:cs="Tahoma"/>
                <w:bCs/>
              </w:rPr>
              <w:t>mportant</w:t>
            </w:r>
          </w:p>
        </w:tc>
      </w:tr>
      <w:tr w:rsidR="0079256B" w:rsidRPr="00D36FBC" w:rsidTr="00115AB1">
        <w:trPr>
          <w:trHeight w:val="319"/>
        </w:trPr>
        <w:tc>
          <w:tcPr>
            <w:tcW w:w="1191" w:type="dxa"/>
          </w:tcPr>
          <w:p w:rsidR="0079256B" w:rsidRPr="00D36FBC" w:rsidRDefault="0079256B" w:rsidP="0079256B">
            <w:pPr>
              <w:pStyle w:val="Tabletext"/>
              <w:rPr>
                <w:rFonts w:cs="Tahoma"/>
              </w:rPr>
            </w:pPr>
            <w:r w:rsidRPr="00D36FBC">
              <w:rPr>
                <w:rFonts w:cs="Tahoma"/>
              </w:rPr>
              <w:t>Change in QoL from baseline</w:t>
            </w:r>
            <w:r>
              <w:rPr>
                <w:rFonts w:cs="Tahoma"/>
              </w:rPr>
              <w:br/>
            </w:r>
            <w:r w:rsidRPr="00D36FBC">
              <w:rPr>
                <w:rFonts w:cs="Tahoma"/>
              </w:rPr>
              <w:t>(</w:t>
            </w:r>
            <w:r>
              <w:rPr>
                <w:rFonts w:cs="Tahoma"/>
              </w:rPr>
              <w:t>1</w:t>
            </w:r>
            <w:r w:rsidRPr="00D36FBC">
              <w:rPr>
                <w:rFonts w:cs="Tahoma"/>
              </w:rPr>
              <w:t xml:space="preserve">2 weeks) </w:t>
            </w:r>
          </w:p>
        </w:tc>
        <w:tc>
          <w:tcPr>
            <w:tcW w:w="1356" w:type="dxa"/>
          </w:tcPr>
          <w:p w:rsidR="0079256B" w:rsidRPr="00D36FBC" w:rsidRDefault="0079256B" w:rsidP="0079256B">
            <w:pPr>
              <w:pStyle w:val="Tabletext"/>
              <w:rPr>
                <w:rFonts w:cs="Tahoma"/>
              </w:rPr>
            </w:pPr>
            <w:r w:rsidRPr="00D36FBC">
              <w:rPr>
                <w:rFonts w:cs="Tahoma"/>
              </w:rPr>
              <w:t>1 RCT</w:t>
            </w:r>
          </w:p>
        </w:tc>
        <w:tc>
          <w:tcPr>
            <w:tcW w:w="912" w:type="dxa"/>
          </w:tcPr>
          <w:p w:rsidR="0079256B" w:rsidRPr="00A25B65" w:rsidRDefault="0079256B" w:rsidP="0079256B">
            <w:pPr>
              <w:pStyle w:val="Tabletext"/>
              <w:rPr>
                <w:rFonts w:cs="Tahoma"/>
                <w:vertAlign w:val="superscript"/>
              </w:rPr>
            </w:pPr>
            <w:r>
              <w:rPr>
                <w:rFonts w:cs="Tahoma"/>
              </w:rPr>
              <w:t xml:space="preserve">Very </w:t>
            </w:r>
            <w:r w:rsidRPr="00A25B65">
              <w:rPr>
                <w:rFonts w:cs="Tahoma"/>
              </w:rPr>
              <w:t>serious</w:t>
            </w:r>
            <w:r>
              <w:rPr>
                <w:rFonts w:cs="Tahoma"/>
                <w:vertAlign w:val="superscript"/>
              </w:rPr>
              <w:t xml:space="preserve"> e</w:t>
            </w:r>
          </w:p>
        </w:tc>
        <w:tc>
          <w:tcPr>
            <w:tcW w:w="1134" w:type="dxa"/>
          </w:tcPr>
          <w:p w:rsidR="0079256B" w:rsidRPr="00D36FBC" w:rsidRDefault="0079256B" w:rsidP="0079256B">
            <w:pPr>
              <w:pStyle w:val="Tabletext"/>
              <w:rPr>
                <w:rFonts w:cs="Tahoma"/>
              </w:rPr>
            </w:pPr>
            <w:r w:rsidRPr="00D36FBC">
              <w:rPr>
                <w:rFonts w:cs="Tahoma"/>
              </w:rPr>
              <w:t>Not serious</w:t>
            </w:r>
          </w:p>
        </w:tc>
        <w:tc>
          <w:tcPr>
            <w:tcW w:w="1276" w:type="dxa"/>
          </w:tcPr>
          <w:p w:rsidR="0079256B" w:rsidRPr="00D36FBC" w:rsidRDefault="0079256B" w:rsidP="0079256B">
            <w:pPr>
              <w:pStyle w:val="Tabletext"/>
              <w:rPr>
                <w:rFonts w:cs="Tahoma"/>
              </w:rPr>
            </w:pPr>
            <w:r w:rsidRPr="00D36FBC">
              <w:rPr>
                <w:rFonts w:cs="Tahoma"/>
              </w:rPr>
              <w:t>Not serious</w:t>
            </w:r>
          </w:p>
        </w:tc>
        <w:tc>
          <w:tcPr>
            <w:tcW w:w="1276" w:type="dxa"/>
          </w:tcPr>
          <w:p w:rsidR="0079256B" w:rsidRPr="00D36FBC" w:rsidRDefault="0079256B" w:rsidP="0079256B">
            <w:pPr>
              <w:pStyle w:val="Tabletext"/>
              <w:rPr>
                <w:rFonts w:cs="Tahoma"/>
              </w:rPr>
            </w:pPr>
            <w:r>
              <w:rPr>
                <w:rFonts w:cs="Tahoma"/>
              </w:rPr>
              <w:t>Very s</w:t>
            </w:r>
            <w:r w:rsidRPr="00D36FBC">
              <w:rPr>
                <w:rFonts w:cs="Tahoma"/>
              </w:rPr>
              <w:t>erious</w:t>
            </w:r>
            <w:r>
              <w:rPr>
                <w:rFonts w:cs="Tahoma"/>
                <w:vertAlign w:val="superscript"/>
              </w:rPr>
              <w:t xml:space="preserve"> c</w:t>
            </w:r>
          </w:p>
        </w:tc>
        <w:tc>
          <w:tcPr>
            <w:tcW w:w="1417" w:type="dxa"/>
          </w:tcPr>
          <w:p w:rsidR="0079256B" w:rsidRPr="00D36FBC" w:rsidRDefault="0079256B" w:rsidP="0079256B">
            <w:pPr>
              <w:pStyle w:val="Tabletext"/>
              <w:rPr>
                <w:rFonts w:cs="Tahoma"/>
              </w:rPr>
            </w:pPr>
            <w:r w:rsidRPr="00D36FBC">
              <w:rPr>
                <w:rFonts w:cs="Tahoma"/>
              </w:rPr>
              <w:t>None</w:t>
            </w:r>
          </w:p>
        </w:tc>
        <w:tc>
          <w:tcPr>
            <w:tcW w:w="1276" w:type="dxa"/>
          </w:tcPr>
          <w:p w:rsidR="0079256B" w:rsidRPr="006A0576" w:rsidRDefault="0079256B" w:rsidP="0079256B">
            <w:pPr>
              <w:pStyle w:val="Tabletext"/>
            </w:pPr>
            <w:r w:rsidRPr="006A0576">
              <w:t>150 patients tested</w:t>
            </w:r>
          </w:p>
        </w:tc>
        <w:tc>
          <w:tcPr>
            <w:tcW w:w="1134" w:type="dxa"/>
          </w:tcPr>
          <w:p w:rsidR="0079256B" w:rsidRPr="006A0576" w:rsidRDefault="0079256B" w:rsidP="0079256B">
            <w:pPr>
              <w:pStyle w:val="Tabletext"/>
            </w:pPr>
            <w:r w:rsidRPr="006A0576">
              <w:rPr>
                <w:rStyle w:val="cell-value"/>
              </w:rPr>
              <w:t>149</w:t>
            </w:r>
            <w:r w:rsidRPr="006A0576">
              <w:t xml:space="preserve"> patients tested</w:t>
            </w:r>
          </w:p>
        </w:tc>
        <w:tc>
          <w:tcPr>
            <w:tcW w:w="992" w:type="dxa"/>
          </w:tcPr>
          <w:p w:rsidR="0079256B" w:rsidRPr="001D2AD7" w:rsidRDefault="0079256B" w:rsidP="0079256B">
            <w:pPr>
              <w:pStyle w:val="Tabletext"/>
              <w:rPr>
                <w:rFonts w:cs="Tahoma"/>
              </w:rPr>
            </w:pPr>
            <w:r>
              <w:rPr>
                <w:rFonts w:cs="Tahoma"/>
              </w:rPr>
              <w:t>-</w:t>
            </w:r>
          </w:p>
        </w:tc>
        <w:tc>
          <w:tcPr>
            <w:tcW w:w="1750" w:type="dxa"/>
          </w:tcPr>
          <w:p w:rsidR="0079256B" w:rsidRPr="00B14FF5" w:rsidRDefault="0079256B" w:rsidP="0079256B">
            <w:pPr>
              <w:pStyle w:val="Tabletext"/>
              <w:rPr>
                <w:rFonts w:cs="Tahoma"/>
              </w:rPr>
            </w:pPr>
            <w:r>
              <w:rPr>
                <w:rFonts w:cs="Tahoma"/>
              </w:rPr>
              <w:t>MLHF</w:t>
            </w:r>
            <w:r w:rsidRPr="00B63B1D">
              <w:rPr>
                <w:rFonts w:cs="Tahoma"/>
                <w:vertAlign w:val="superscript"/>
              </w:rPr>
              <w:t>g</w:t>
            </w:r>
            <w:r>
              <w:rPr>
                <w:rFonts w:cs="Tahoma"/>
              </w:rPr>
              <w:br/>
            </w:r>
            <w:r w:rsidRPr="00B14FF5">
              <w:rPr>
                <w:rFonts w:cs="Tahoma"/>
              </w:rPr>
              <w:t>MD 35.34 points improvement</w:t>
            </w:r>
          </w:p>
        </w:tc>
        <w:tc>
          <w:tcPr>
            <w:tcW w:w="1134" w:type="dxa"/>
          </w:tcPr>
          <w:p w:rsidR="0079256B" w:rsidRDefault="0079256B" w:rsidP="0079256B">
            <w:pPr>
              <w:pStyle w:val="Tabletext"/>
              <w:rPr>
                <w:rFonts w:ascii="Cambria Math" w:eastAsia="Times New Roman" w:hAnsi="Cambria Math" w:cs="Cambria Math"/>
                <w:bCs/>
              </w:rPr>
            </w:pPr>
            <w:r>
              <w:rPr>
                <w:rFonts w:eastAsia="Times New Roman" w:cs="Tahoma"/>
                <w:bCs/>
              </w:rPr>
              <w:t>Very low</w:t>
            </w:r>
            <w:r>
              <w:rPr>
                <w:rFonts w:eastAsia="Times New Roman" w:cs="Tahoma"/>
                <w:bCs/>
              </w:rPr>
              <w:br/>
            </w:r>
            <w:r w:rsidRPr="00E564DD">
              <w:rPr>
                <w:rFonts w:ascii="Cambria Math" w:eastAsia="Times New Roman" w:hAnsi="Cambria Math" w:cs="Cambria Math"/>
                <w:bCs/>
                <w:color w:val="00B050"/>
              </w:rPr>
              <w:t>⨁</w:t>
            </w:r>
            <w:r w:rsidRPr="00E564DD">
              <w:rPr>
                <w:rFonts w:ascii="Cambria Math" w:hAnsi="Cambria Math" w:cs="Cambria Math"/>
                <w:color w:val="C00000"/>
              </w:rPr>
              <w:t>⨀⨀</w:t>
            </w:r>
            <w:r w:rsidRPr="00E564DD">
              <w:rPr>
                <w:rFonts w:ascii="Cambria Math" w:eastAsia="Times New Roman" w:hAnsi="Cambria Math" w:cs="Cambria Math"/>
                <w:bCs/>
                <w:color w:val="FF0000"/>
              </w:rPr>
              <w:t>⨀</w:t>
            </w:r>
          </w:p>
          <w:p w:rsidR="0079256B" w:rsidRPr="00B14FF5" w:rsidRDefault="0079256B" w:rsidP="0079256B">
            <w:pPr>
              <w:pStyle w:val="Tabletext"/>
              <w:rPr>
                <w:rFonts w:eastAsia="Times New Roman" w:cs="Tahoma"/>
                <w:bCs/>
              </w:rPr>
            </w:pPr>
            <w:r>
              <w:rPr>
                <w:rFonts w:eastAsia="Times New Roman" w:cs="Tahoma"/>
                <w:bCs/>
              </w:rPr>
              <w:t>I</w:t>
            </w:r>
            <w:r w:rsidRPr="005334F8">
              <w:rPr>
                <w:rFonts w:eastAsia="Times New Roman" w:cs="Tahoma"/>
                <w:bCs/>
              </w:rPr>
              <w:t>mportant</w:t>
            </w:r>
          </w:p>
        </w:tc>
      </w:tr>
      <w:tr w:rsidR="0079256B" w:rsidRPr="00E564DD" w:rsidTr="00115AB1">
        <w:trPr>
          <w:trHeight w:val="319"/>
        </w:trPr>
        <w:tc>
          <w:tcPr>
            <w:tcW w:w="1191" w:type="dxa"/>
          </w:tcPr>
          <w:p w:rsidR="0079256B" w:rsidRPr="00092BB4" w:rsidRDefault="0079256B" w:rsidP="0079256B">
            <w:pPr>
              <w:pStyle w:val="Tabletext"/>
              <w:rPr>
                <w:rFonts w:cs="Tahoma"/>
              </w:rPr>
            </w:pPr>
            <w:r w:rsidRPr="00092BB4">
              <w:rPr>
                <w:rFonts w:cs="Tahoma"/>
              </w:rPr>
              <w:lastRenderedPageBreak/>
              <w:t>Change in haemodynamic parameters from baseline</w:t>
            </w:r>
            <w:r>
              <w:rPr>
                <w:rFonts w:cs="Tahoma"/>
              </w:rPr>
              <w:br/>
            </w:r>
            <w:r w:rsidRPr="00092BB4">
              <w:rPr>
                <w:rFonts w:cs="Tahoma"/>
              </w:rPr>
              <w:t>(12</w:t>
            </w:r>
            <w:r>
              <w:rPr>
                <w:rFonts w:cs="Tahoma"/>
              </w:rPr>
              <w:t>−16</w:t>
            </w:r>
            <w:r w:rsidRPr="00092BB4">
              <w:rPr>
                <w:rFonts w:cs="Tahoma"/>
              </w:rPr>
              <w:t xml:space="preserve"> weeks) </w:t>
            </w:r>
          </w:p>
        </w:tc>
        <w:tc>
          <w:tcPr>
            <w:tcW w:w="1356" w:type="dxa"/>
          </w:tcPr>
          <w:p w:rsidR="0079256B" w:rsidRPr="00092BB4" w:rsidRDefault="0079256B" w:rsidP="0079256B">
            <w:pPr>
              <w:pStyle w:val="Tabletext"/>
              <w:rPr>
                <w:rFonts w:cs="Tahoma"/>
              </w:rPr>
            </w:pPr>
            <w:r>
              <w:rPr>
                <w:rFonts w:cs="Tahoma"/>
              </w:rPr>
              <w:t>2 RCTs</w:t>
            </w:r>
          </w:p>
        </w:tc>
        <w:tc>
          <w:tcPr>
            <w:tcW w:w="912" w:type="dxa"/>
          </w:tcPr>
          <w:p w:rsidR="0079256B" w:rsidRPr="00A25B65" w:rsidRDefault="0079256B" w:rsidP="0079256B">
            <w:pPr>
              <w:pStyle w:val="Tabletext"/>
              <w:rPr>
                <w:rFonts w:cs="Tahoma"/>
                <w:vertAlign w:val="superscript"/>
              </w:rPr>
            </w:pPr>
            <w:r>
              <w:rPr>
                <w:rFonts w:cs="Tahoma"/>
              </w:rPr>
              <w:t>S</w:t>
            </w:r>
            <w:r w:rsidRPr="00092BB4">
              <w:rPr>
                <w:rFonts w:cs="Tahoma"/>
              </w:rPr>
              <w:t>erious</w:t>
            </w:r>
            <w:r>
              <w:rPr>
                <w:rFonts w:cs="Tahoma"/>
                <w:vertAlign w:val="superscript"/>
              </w:rPr>
              <w:t xml:space="preserve"> e</w:t>
            </w:r>
          </w:p>
        </w:tc>
        <w:tc>
          <w:tcPr>
            <w:tcW w:w="1134" w:type="dxa"/>
          </w:tcPr>
          <w:p w:rsidR="0079256B" w:rsidRPr="00092BB4" w:rsidRDefault="0079256B" w:rsidP="0079256B">
            <w:pPr>
              <w:pStyle w:val="Tabletext"/>
              <w:rPr>
                <w:rFonts w:cs="Tahoma"/>
              </w:rPr>
            </w:pPr>
            <w:r w:rsidRPr="00092BB4">
              <w:rPr>
                <w:rFonts w:cs="Tahoma"/>
              </w:rPr>
              <w:t>Not serious</w:t>
            </w:r>
          </w:p>
        </w:tc>
        <w:tc>
          <w:tcPr>
            <w:tcW w:w="1276" w:type="dxa"/>
          </w:tcPr>
          <w:p w:rsidR="0079256B" w:rsidRPr="00A25B65" w:rsidRDefault="0079256B" w:rsidP="0079256B">
            <w:pPr>
              <w:pStyle w:val="Tabletext"/>
              <w:rPr>
                <w:rFonts w:cs="Tahoma"/>
                <w:vertAlign w:val="superscript"/>
              </w:rPr>
            </w:pPr>
            <w:r>
              <w:rPr>
                <w:rFonts w:cs="Tahoma"/>
              </w:rPr>
              <w:t>Very</w:t>
            </w:r>
            <w:r w:rsidRPr="00092BB4">
              <w:rPr>
                <w:rFonts w:cs="Tahoma"/>
              </w:rPr>
              <w:t xml:space="preserve"> serious</w:t>
            </w:r>
            <w:r>
              <w:rPr>
                <w:rFonts w:cs="Tahoma"/>
                <w:vertAlign w:val="superscript"/>
              </w:rPr>
              <w:t xml:space="preserve"> g</w:t>
            </w:r>
          </w:p>
        </w:tc>
        <w:tc>
          <w:tcPr>
            <w:tcW w:w="1276" w:type="dxa"/>
          </w:tcPr>
          <w:p w:rsidR="0079256B" w:rsidRPr="00092BB4" w:rsidRDefault="0079256B" w:rsidP="0079256B">
            <w:pPr>
              <w:pStyle w:val="Tabletext"/>
              <w:rPr>
                <w:rFonts w:cs="Tahoma"/>
              </w:rPr>
            </w:pPr>
            <w:r>
              <w:rPr>
                <w:rFonts w:cs="Tahoma"/>
              </w:rPr>
              <w:t>Very s</w:t>
            </w:r>
            <w:r w:rsidRPr="00D36FBC">
              <w:rPr>
                <w:rFonts w:cs="Tahoma"/>
              </w:rPr>
              <w:t>erious</w:t>
            </w:r>
            <w:r>
              <w:rPr>
                <w:rFonts w:cs="Tahoma"/>
                <w:vertAlign w:val="superscript"/>
              </w:rPr>
              <w:t xml:space="preserve"> c</w:t>
            </w:r>
          </w:p>
        </w:tc>
        <w:tc>
          <w:tcPr>
            <w:tcW w:w="1417" w:type="dxa"/>
          </w:tcPr>
          <w:p w:rsidR="0079256B" w:rsidRPr="00092BB4" w:rsidRDefault="0079256B" w:rsidP="0079256B">
            <w:pPr>
              <w:pStyle w:val="Tabletext"/>
              <w:rPr>
                <w:rFonts w:cs="Tahoma"/>
              </w:rPr>
            </w:pPr>
            <w:r>
              <w:rPr>
                <w:rFonts w:cs="Tahoma"/>
              </w:rPr>
              <w:t>None</w:t>
            </w:r>
          </w:p>
        </w:tc>
        <w:tc>
          <w:tcPr>
            <w:tcW w:w="1276" w:type="dxa"/>
          </w:tcPr>
          <w:p w:rsidR="0079256B" w:rsidRPr="00092BB4" w:rsidRDefault="0079256B" w:rsidP="0079256B">
            <w:pPr>
              <w:pStyle w:val="Tabletext"/>
              <w:rPr>
                <w:rFonts w:eastAsia="Times New Roman"/>
              </w:rPr>
            </w:pPr>
            <w:r>
              <w:rPr>
                <w:rFonts w:eastAsia="Times New Roman"/>
              </w:rPr>
              <w:t>30</w:t>
            </w:r>
            <w:r w:rsidRPr="00092BB4">
              <w:rPr>
                <w:rFonts w:eastAsia="Times New Roman"/>
              </w:rPr>
              <w:t xml:space="preserve"> patients tested</w:t>
            </w:r>
          </w:p>
        </w:tc>
        <w:tc>
          <w:tcPr>
            <w:tcW w:w="1134" w:type="dxa"/>
          </w:tcPr>
          <w:p w:rsidR="0079256B" w:rsidRPr="00092BB4" w:rsidRDefault="0079256B" w:rsidP="0079256B">
            <w:pPr>
              <w:pStyle w:val="Tabletext"/>
              <w:rPr>
                <w:rFonts w:eastAsia="Times New Roman"/>
              </w:rPr>
            </w:pPr>
            <w:r>
              <w:rPr>
                <w:rFonts w:eastAsia="Times New Roman"/>
              </w:rPr>
              <w:t>17</w:t>
            </w:r>
            <w:r w:rsidRPr="00092BB4">
              <w:rPr>
                <w:rFonts w:eastAsia="Times New Roman"/>
              </w:rPr>
              <w:t xml:space="preserve"> patients tested</w:t>
            </w:r>
          </w:p>
        </w:tc>
        <w:tc>
          <w:tcPr>
            <w:tcW w:w="992" w:type="dxa"/>
          </w:tcPr>
          <w:p w:rsidR="0079256B" w:rsidRPr="00092BB4" w:rsidRDefault="0079256B" w:rsidP="0079256B">
            <w:pPr>
              <w:pStyle w:val="Tabletext"/>
              <w:rPr>
                <w:rFonts w:eastAsia="Times New Roman"/>
                <w:bCs/>
              </w:rPr>
            </w:pPr>
            <w:r w:rsidRPr="00092BB4">
              <w:rPr>
                <w:rFonts w:eastAsia="Times New Roman"/>
                <w:bCs/>
              </w:rPr>
              <w:t>-</w:t>
            </w:r>
          </w:p>
        </w:tc>
        <w:tc>
          <w:tcPr>
            <w:tcW w:w="1750" w:type="dxa"/>
          </w:tcPr>
          <w:p w:rsidR="0079256B" w:rsidRDefault="0079256B" w:rsidP="0079256B">
            <w:pPr>
              <w:pStyle w:val="Tabletext"/>
              <w:rPr>
                <w:rFonts w:cs="Tahoma"/>
              </w:rPr>
            </w:pPr>
            <w:r>
              <w:rPr>
                <w:rFonts w:cs="Tahoma"/>
              </w:rPr>
              <w:t>CAI</w:t>
            </w:r>
            <w:r>
              <w:rPr>
                <w:rFonts w:cs="Tahoma"/>
              </w:rPr>
              <w:br/>
            </w:r>
            <w:r w:rsidRPr="004B3FD7">
              <w:rPr>
                <w:rFonts w:cs="Tahoma"/>
              </w:rPr>
              <w:t>M</w:t>
            </w:r>
            <w:r>
              <w:rPr>
                <w:rFonts w:cs="Tahoma"/>
              </w:rPr>
              <w:t>edian MD</w:t>
            </w:r>
            <w:r w:rsidRPr="004B3FD7">
              <w:rPr>
                <w:rFonts w:cs="Tahoma"/>
              </w:rPr>
              <w:t xml:space="preserve"> </w:t>
            </w:r>
            <w:r>
              <w:rPr>
                <w:rFonts w:cs="Tahoma"/>
              </w:rPr>
              <w:t>13</w:t>
            </w:r>
            <w:r w:rsidRPr="004B3FD7">
              <w:rPr>
                <w:rFonts w:cs="Tahoma"/>
              </w:rPr>
              <w:t>.</w:t>
            </w:r>
            <w:r>
              <w:rPr>
                <w:rFonts w:cs="Tahoma"/>
              </w:rPr>
              <w:t>9</w:t>
            </w:r>
            <w:r w:rsidRPr="004B3FD7">
              <w:rPr>
                <w:rFonts w:cs="Tahoma"/>
              </w:rPr>
              <w:t>% improvement</w:t>
            </w:r>
            <w:r>
              <w:rPr>
                <w:rFonts w:cs="Tahoma"/>
              </w:rPr>
              <w:t xml:space="preserve"> (range 10.8−17)</w:t>
            </w:r>
          </w:p>
          <w:p w:rsidR="0079256B" w:rsidRDefault="0079256B" w:rsidP="0079256B">
            <w:pPr>
              <w:pStyle w:val="Tabletext"/>
              <w:rPr>
                <w:rFonts w:cs="Tahoma"/>
              </w:rPr>
            </w:pPr>
            <w:r w:rsidRPr="00092BB4">
              <w:rPr>
                <w:rFonts w:cs="Tahoma"/>
              </w:rPr>
              <w:t>PVR</w:t>
            </w:r>
            <w:r w:rsidRPr="00092BB4">
              <w:rPr>
                <w:rFonts w:cs="Tahoma"/>
              </w:rPr>
              <w:br/>
              <w:t>M</w:t>
            </w:r>
            <w:r>
              <w:rPr>
                <w:rFonts w:cs="Tahoma"/>
              </w:rPr>
              <w:t>edian MD</w:t>
            </w:r>
            <w:r w:rsidRPr="00092BB4">
              <w:rPr>
                <w:rFonts w:cs="Tahoma"/>
              </w:rPr>
              <w:t xml:space="preserve"> </w:t>
            </w:r>
            <w:r>
              <w:rPr>
                <w:rFonts w:cs="Tahoma"/>
              </w:rPr>
              <w:t>12.5</w:t>
            </w:r>
            <w:r w:rsidRPr="00092BB4">
              <w:rPr>
                <w:rFonts w:cs="Tahoma"/>
              </w:rPr>
              <w:t>% improvement</w:t>
            </w:r>
            <w:r>
              <w:rPr>
                <w:rFonts w:cs="Tahoma"/>
              </w:rPr>
              <w:t xml:space="preserve"> (range 9.5−21.5)</w:t>
            </w:r>
          </w:p>
          <w:p w:rsidR="0079256B" w:rsidRPr="00092BB4" w:rsidRDefault="0079256B" w:rsidP="0079256B">
            <w:pPr>
              <w:pStyle w:val="Tabletext"/>
              <w:rPr>
                <w:rFonts w:cs="Tahoma"/>
              </w:rPr>
            </w:pPr>
            <w:r>
              <w:rPr>
                <w:rFonts w:cs="Tahoma"/>
              </w:rPr>
              <w:t>mPAP</w:t>
            </w:r>
            <w:r>
              <w:rPr>
                <w:rFonts w:cs="Tahoma"/>
              </w:rPr>
              <w:br/>
            </w:r>
            <w:r w:rsidRPr="004B3FD7">
              <w:rPr>
                <w:rFonts w:cs="Tahoma"/>
              </w:rPr>
              <w:t>M</w:t>
            </w:r>
            <w:r>
              <w:rPr>
                <w:rFonts w:cs="Tahoma"/>
              </w:rPr>
              <w:t>edian MD</w:t>
            </w:r>
            <w:r w:rsidRPr="004B3FD7">
              <w:rPr>
                <w:rFonts w:cs="Tahoma"/>
              </w:rPr>
              <w:t xml:space="preserve"> </w:t>
            </w:r>
            <w:r>
              <w:rPr>
                <w:rFonts w:cs="Tahoma"/>
              </w:rPr>
              <w:t>1</w:t>
            </w:r>
            <w:r w:rsidRPr="004B3FD7">
              <w:rPr>
                <w:rFonts w:cs="Tahoma"/>
              </w:rPr>
              <w:t>6.</w:t>
            </w:r>
            <w:r>
              <w:rPr>
                <w:rFonts w:cs="Tahoma"/>
              </w:rPr>
              <w:t>6</w:t>
            </w:r>
            <w:r w:rsidRPr="004B3FD7">
              <w:rPr>
                <w:rFonts w:cs="Tahoma"/>
              </w:rPr>
              <w:t>% improvement</w:t>
            </w:r>
            <w:r>
              <w:rPr>
                <w:rFonts w:cs="Tahoma"/>
              </w:rPr>
              <w:t xml:space="preserve"> (range 6.8−26.3)</w:t>
            </w:r>
          </w:p>
        </w:tc>
        <w:tc>
          <w:tcPr>
            <w:tcW w:w="1134" w:type="dxa"/>
          </w:tcPr>
          <w:p w:rsidR="0079256B" w:rsidRDefault="0079256B" w:rsidP="0079256B">
            <w:pPr>
              <w:pStyle w:val="Tabletext"/>
              <w:rPr>
                <w:rFonts w:ascii="Cambria Math" w:eastAsia="Times New Roman" w:hAnsi="Cambria Math" w:cs="Cambria Math"/>
                <w:bCs/>
              </w:rPr>
            </w:pPr>
            <w:r>
              <w:rPr>
                <w:rFonts w:eastAsia="Times New Roman" w:cs="Tahoma"/>
                <w:bCs/>
              </w:rPr>
              <w:t>Very low</w:t>
            </w:r>
            <w:r>
              <w:rPr>
                <w:rFonts w:eastAsia="Times New Roman" w:cs="Tahoma"/>
                <w:bCs/>
              </w:rPr>
              <w:br/>
            </w:r>
            <w:r w:rsidRPr="00E564DD">
              <w:rPr>
                <w:rFonts w:ascii="Cambria Math" w:eastAsia="Times New Roman" w:hAnsi="Cambria Math" w:cs="Cambria Math"/>
                <w:bCs/>
                <w:color w:val="00B050"/>
              </w:rPr>
              <w:t>⨁</w:t>
            </w:r>
            <w:r w:rsidRPr="00E564DD">
              <w:rPr>
                <w:rFonts w:ascii="Cambria Math" w:hAnsi="Cambria Math" w:cs="Cambria Math"/>
                <w:color w:val="C00000"/>
              </w:rPr>
              <w:t>⨀⨀</w:t>
            </w:r>
            <w:r w:rsidRPr="00E564DD">
              <w:rPr>
                <w:rFonts w:ascii="Cambria Math" w:eastAsia="Times New Roman" w:hAnsi="Cambria Math" w:cs="Cambria Math"/>
                <w:bCs/>
                <w:color w:val="FF0000"/>
              </w:rPr>
              <w:t>⨀</w:t>
            </w:r>
          </w:p>
          <w:p w:rsidR="0079256B" w:rsidRPr="005334F8" w:rsidRDefault="0079256B" w:rsidP="0079256B">
            <w:pPr>
              <w:pStyle w:val="Tabletext"/>
              <w:rPr>
                <w:rFonts w:eastAsia="Times New Roman" w:cs="Tahoma"/>
                <w:bCs/>
              </w:rPr>
            </w:pPr>
            <w:r>
              <w:rPr>
                <w:rFonts w:cs="Tahoma"/>
              </w:rPr>
              <w:t>Not i</w:t>
            </w:r>
            <w:r w:rsidRPr="00E564DD">
              <w:rPr>
                <w:rFonts w:cs="Tahoma"/>
              </w:rPr>
              <w:t>mportant</w:t>
            </w:r>
          </w:p>
        </w:tc>
      </w:tr>
      <w:tr w:rsidR="0079256B" w:rsidRPr="00E564DD" w:rsidTr="00115AB1">
        <w:trPr>
          <w:trHeight w:val="319"/>
        </w:trPr>
        <w:tc>
          <w:tcPr>
            <w:tcW w:w="1191" w:type="dxa"/>
          </w:tcPr>
          <w:p w:rsidR="0079256B" w:rsidRPr="00092BB4" w:rsidRDefault="0079256B" w:rsidP="0079256B">
            <w:pPr>
              <w:pStyle w:val="Tabletext"/>
              <w:rPr>
                <w:rFonts w:cs="Tahoma"/>
              </w:rPr>
            </w:pPr>
            <w:r w:rsidRPr="00092BB4">
              <w:rPr>
                <w:rFonts w:cs="Tahoma"/>
              </w:rPr>
              <w:t>Change in haemodynamic parameters</w:t>
            </w:r>
            <w:r>
              <w:rPr>
                <w:rFonts w:cs="Tahoma"/>
              </w:rPr>
              <w:t xml:space="preserve"> from baseline</w:t>
            </w:r>
            <w:r>
              <w:rPr>
                <w:rFonts w:cs="Tahoma"/>
              </w:rPr>
              <w:br/>
              <w:t>(16</w:t>
            </w:r>
            <w:r w:rsidRPr="00092BB4">
              <w:rPr>
                <w:rFonts w:cs="Tahoma"/>
              </w:rPr>
              <w:t xml:space="preserve"> weeks) </w:t>
            </w:r>
          </w:p>
        </w:tc>
        <w:tc>
          <w:tcPr>
            <w:tcW w:w="1356" w:type="dxa"/>
          </w:tcPr>
          <w:p w:rsidR="0079256B" w:rsidRPr="00092BB4" w:rsidRDefault="0079256B" w:rsidP="0079256B">
            <w:pPr>
              <w:pStyle w:val="Tabletext"/>
              <w:rPr>
                <w:rFonts w:cs="Tahoma"/>
              </w:rPr>
            </w:pPr>
            <w:r>
              <w:rPr>
                <w:rFonts w:cs="Tahoma"/>
              </w:rPr>
              <w:t>1 RCT</w:t>
            </w:r>
          </w:p>
        </w:tc>
        <w:tc>
          <w:tcPr>
            <w:tcW w:w="912" w:type="dxa"/>
          </w:tcPr>
          <w:p w:rsidR="0079256B" w:rsidRPr="00092BB4" w:rsidRDefault="0079256B" w:rsidP="0079256B">
            <w:pPr>
              <w:pStyle w:val="Tabletext"/>
              <w:rPr>
                <w:rFonts w:cs="Tahoma"/>
              </w:rPr>
            </w:pPr>
            <w:r w:rsidRPr="00092BB4">
              <w:rPr>
                <w:rFonts w:cs="Tahoma"/>
              </w:rPr>
              <w:t>Not serious</w:t>
            </w:r>
          </w:p>
        </w:tc>
        <w:tc>
          <w:tcPr>
            <w:tcW w:w="1134" w:type="dxa"/>
          </w:tcPr>
          <w:p w:rsidR="0079256B" w:rsidRPr="00092BB4" w:rsidRDefault="0079256B" w:rsidP="0079256B">
            <w:pPr>
              <w:pStyle w:val="Tabletext"/>
              <w:rPr>
                <w:rFonts w:cs="Tahoma"/>
              </w:rPr>
            </w:pPr>
            <w:r w:rsidRPr="00092BB4">
              <w:rPr>
                <w:rFonts w:cs="Tahoma"/>
              </w:rPr>
              <w:t>Not serious</w:t>
            </w:r>
          </w:p>
        </w:tc>
        <w:tc>
          <w:tcPr>
            <w:tcW w:w="1276" w:type="dxa"/>
          </w:tcPr>
          <w:p w:rsidR="0079256B" w:rsidRPr="00A25B65" w:rsidRDefault="0079256B" w:rsidP="0079256B">
            <w:pPr>
              <w:pStyle w:val="Tabletext"/>
              <w:ind w:right="-57"/>
              <w:rPr>
                <w:rFonts w:cs="Tahoma"/>
                <w:vertAlign w:val="superscript"/>
              </w:rPr>
            </w:pPr>
            <w:r>
              <w:rPr>
                <w:rFonts w:cs="Tahoma"/>
              </w:rPr>
              <w:t>Very</w:t>
            </w:r>
            <w:r w:rsidRPr="00092BB4">
              <w:rPr>
                <w:rFonts w:cs="Tahoma"/>
              </w:rPr>
              <w:t xml:space="preserve"> serious</w:t>
            </w:r>
            <w:r>
              <w:rPr>
                <w:rFonts w:cs="Tahoma"/>
                <w:vertAlign w:val="superscript"/>
              </w:rPr>
              <w:t>g</w:t>
            </w:r>
          </w:p>
        </w:tc>
        <w:tc>
          <w:tcPr>
            <w:tcW w:w="1276" w:type="dxa"/>
          </w:tcPr>
          <w:p w:rsidR="0079256B" w:rsidRPr="00092BB4" w:rsidRDefault="0079256B" w:rsidP="0079256B">
            <w:pPr>
              <w:pStyle w:val="Tabletext"/>
              <w:rPr>
                <w:rFonts w:cs="Tahoma"/>
              </w:rPr>
            </w:pPr>
            <w:r>
              <w:rPr>
                <w:rFonts w:cs="Tahoma"/>
              </w:rPr>
              <w:t>Very s</w:t>
            </w:r>
            <w:r w:rsidRPr="00D36FBC">
              <w:rPr>
                <w:rFonts w:cs="Tahoma"/>
              </w:rPr>
              <w:t>erious</w:t>
            </w:r>
            <w:r>
              <w:rPr>
                <w:rFonts w:cs="Tahoma"/>
                <w:vertAlign w:val="superscript"/>
              </w:rPr>
              <w:t xml:space="preserve"> c</w:t>
            </w:r>
          </w:p>
        </w:tc>
        <w:tc>
          <w:tcPr>
            <w:tcW w:w="1417" w:type="dxa"/>
          </w:tcPr>
          <w:p w:rsidR="0079256B" w:rsidRPr="00092BB4" w:rsidRDefault="0079256B" w:rsidP="0079256B">
            <w:pPr>
              <w:pStyle w:val="Tabletext"/>
              <w:rPr>
                <w:rFonts w:cs="Tahoma"/>
              </w:rPr>
            </w:pPr>
            <w:r w:rsidRPr="00092BB4">
              <w:rPr>
                <w:rFonts w:cs="Tahoma"/>
              </w:rPr>
              <w:t>Strong association</w:t>
            </w:r>
          </w:p>
        </w:tc>
        <w:tc>
          <w:tcPr>
            <w:tcW w:w="1276" w:type="dxa"/>
          </w:tcPr>
          <w:p w:rsidR="0079256B" w:rsidRPr="00092BB4" w:rsidRDefault="0079256B" w:rsidP="0079256B">
            <w:pPr>
              <w:pStyle w:val="Tabletext"/>
              <w:rPr>
                <w:rFonts w:eastAsia="Times New Roman"/>
              </w:rPr>
            </w:pPr>
            <w:r>
              <w:rPr>
                <w:rFonts w:eastAsia="Times New Roman"/>
              </w:rPr>
              <w:t>22</w:t>
            </w:r>
            <w:r w:rsidRPr="00092BB4">
              <w:rPr>
                <w:rFonts w:eastAsia="Times New Roman"/>
              </w:rPr>
              <w:t xml:space="preserve"> patients tested</w:t>
            </w:r>
          </w:p>
        </w:tc>
        <w:tc>
          <w:tcPr>
            <w:tcW w:w="1134" w:type="dxa"/>
          </w:tcPr>
          <w:p w:rsidR="0079256B" w:rsidRPr="00092BB4" w:rsidRDefault="0079256B" w:rsidP="0079256B">
            <w:pPr>
              <w:pStyle w:val="Tabletext"/>
              <w:rPr>
                <w:rFonts w:eastAsia="Times New Roman"/>
              </w:rPr>
            </w:pPr>
            <w:r>
              <w:rPr>
                <w:rFonts w:eastAsia="Times New Roman"/>
              </w:rPr>
              <w:t>11</w:t>
            </w:r>
            <w:r w:rsidRPr="00092BB4">
              <w:rPr>
                <w:rFonts w:eastAsia="Times New Roman"/>
              </w:rPr>
              <w:t xml:space="preserve"> patients tested</w:t>
            </w:r>
          </w:p>
        </w:tc>
        <w:tc>
          <w:tcPr>
            <w:tcW w:w="992" w:type="dxa"/>
          </w:tcPr>
          <w:p w:rsidR="0079256B" w:rsidRPr="00092BB4" w:rsidRDefault="0079256B" w:rsidP="0079256B">
            <w:pPr>
              <w:pStyle w:val="Tabletext"/>
              <w:rPr>
                <w:rFonts w:eastAsia="Times New Roman"/>
                <w:bCs/>
              </w:rPr>
            </w:pPr>
            <w:r w:rsidRPr="00092BB4">
              <w:rPr>
                <w:rFonts w:eastAsia="Times New Roman"/>
                <w:bCs/>
              </w:rPr>
              <w:t>-</w:t>
            </w:r>
          </w:p>
        </w:tc>
        <w:tc>
          <w:tcPr>
            <w:tcW w:w="1750" w:type="dxa"/>
          </w:tcPr>
          <w:p w:rsidR="0079256B" w:rsidRDefault="0079256B" w:rsidP="0079256B">
            <w:pPr>
              <w:pStyle w:val="Tabletext"/>
              <w:rPr>
                <w:rFonts w:cs="Tahoma"/>
              </w:rPr>
            </w:pPr>
            <w:r>
              <w:rPr>
                <w:rFonts w:cs="Tahoma"/>
              </w:rPr>
              <w:t>mRAP</w:t>
            </w:r>
            <w:r w:rsidRPr="00092BB4">
              <w:rPr>
                <w:rFonts w:cs="Tahoma"/>
              </w:rPr>
              <w:br/>
              <w:t>MD 2.</w:t>
            </w:r>
            <w:r>
              <w:rPr>
                <w:rFonts w:cs="Tahoma"/>
              </w:rPr>
              <w:t>2 mmHg</w:t>
            </w:r>
            <w:r w:rsidRPr="00092BB4">
              <w:rPr>
                <w:rFonts w:cs="Tahoma"/>
              </w:rPr>
              <w:t xml:space="preserve"> improvement</w:t>
            </w:r>
          </w:p>
          <w:p w:rsidR="0079256B" w:rsidRPr="00092BB4" w:rsidRDefault="0079256B" w:rsidP="0079256B">
            <w:pPr>
              <w:pStyle w:val="Tabletext"/>
              <w:rPr>
                <w:rFonts w:cs="Tahoma"/>
              </w:rPr>
            </w:pPr>
            <w:r>
              <w:rPr>
                <w:rFonts w:cs="Tahoma"/>
              </w:rPr>
              <w:t>TP</w:t>
            </w:r>
            <w:r w:rsidRPr="00092BB4">
              <w:rPr>
                <w:rFonts w:cs="Tahoma"/>
              </w:rPr>
              <w:t>R</w:t>
            </w:r>
            <w:r>
              <w:rPr>
                <w:rFonts w:cs="Tahoma"/>
              </w:rPr>
              <w:br/>
            </w:r>
            <w:r w:rsidRPr="00092BB4">
              <w:rPr>
                <w:rFonts w:cs="Tahoma"/>
              </w:rPr>
              <w:t xml:space="preserve">MD </w:t>
            </w:r>
            <w:r>
              <w:rPr>
                <w:rFonts w:cs="Tahoma"/>
              </w:rPr>
              <w:t>13</w:t>
            </w:r>
            <w:r w:rsidRPr="00092BB4">
              <w:rPr>
                <w:rFonts w:cs="Tahoma"/>
              </w:rPr>
              <w:t>.7% improvement</w:t>
            </w:r>
          </w:p>
        </w:tc>
        <w:tc>
          <w:tcPr>
            <w:tcW w:w="1134" w:type="dxa"/>
          </w:tcPr>
          <w:p w:rsidR="0079256B" w:rsidRDefault="0079256B" w:rsidP="0079256B">
            <w:pPr>
              <w:pStyle w:val="Tabletext"/>
              <w:rPr>
                <w:rFonts w:ascii="Cambria Math" w:eastAsia="Times New Roman" w:hAnsi="Cambria Math" w:cs="Cambria Math"/>
                <w:bCs/>
              </w:rPr>
            </w:pPr>
            <w:r>
              <w:rPr>
                <w:rFonts w:eastAsia="Times New Roman" w:cs="Tahoma"/>
                <w:bCs/>
              </w:rPr>
              <w:t>Very low</w:t>
            </w:r>
            <w:r>
              <w:rPr>
                <w:rFonts w:eastAsia="Times New Roman" w:cs="Tahoma"/>
                <w:bCs/>
              </w:rPr>
              <w:br/>
            </w:r>
            <w:r w:rsidRPr="00E564DD">
              <w:rPr>
                <w:rFonts w:ascii="Cambria Math" w:eastAsia="Times New Roman" w:hAnsi="Cambria Math" w:cs="Cambria Math"/>
                <w:bCs/>
                <w:color w:val="00B050"/>
              </w:rPr>
              <w:t>⨁</w:t>
            </w:r>
            <w:r w:rsidRPr="00E564DD">
              <w:rPr>
                <w:rFonts w:ascii="Cambria Math" w:hAnsi="Cambria Math" w:cs="Cambria Math"/>
                <w:color w:val="C00000"/>
              </w:rPr>
              <w:t>⨀⨀</w:t>
            </w:r>
            <w:r w:rsidRPr="00E564DD">
              <w:rPr>
                <w:rFonts w:ascii="Cambria Math" w:eastAsia="Times New Roman" w:hAnsi="Cambria Math" w:cs="Cambria Math"/>
                <w:bCs/>
                <w:color w:val="FF0000"/>
              </w:rPr>
              <w:t>⨀</w:t>
            </w:r>
          </w:p>
          <w:p w:rsidR="0079256B" w:rsidRPr="005334F8" w:rsidRDefault="0079256B" w:rsidP="0079256B">
            <w:pPr>
              <w:pStyle w:val="Tabletext"/>
              <w:rPr>
                <w:rFonts w:eastAsia="Times New Roman" w:cs="Tahoma"/>
                <w:bCs/>
              </w:rPr>
            </w:pPr>
            <w:r>
              <w:rPr>
                <w:rFonts w:cs="Tahoma"/>
              </w:rPr>
              <w:t>Not i</w:t>
            </w:r>
            <w:r w:rsidRPr="00E564DD">
              <w:rPr>
                <w:rFonts w:cs="Tahoma"/>
              </w:rPr>
              <w:t>mportant</w:t>
            </w:r>
          </w:p>
        </w:tc>
      </w:tr>
    </w:tbl>
    <w:p w:rsidR="00CC3BA4" w:rsidRPr="00AA018C" w:rsidRDefault="00CC3BA4" w:rsidP="00F13836">
      <w:pPr>
        <w:pStyle w:val="Tablenote"/>
      </w:pPr>
      <w:r w:rsidRPr="00E564DD">
        <w:rPr>
          <w:vertAlign w:val="superscript"/>
        </w:rPr>
        <w:t xml:space="preserve">a </w:t>
      </w:r>
      <w:r w:rsidRPr="00AA018C">
        <w:t>O</w:t>
      </w:r>
      <w:r>
        <w:t>ther considerations such as publication bias and effect size</w:t>
      </w:r>
    </w:p>
    <w:p w:rsidR="00CC3BA4" w:rsidRDefault="00CC3BA4" w:rsidP="00F13836">
      <w:pPr>
        <w:pStyle w:val="Tablenote"/>
      </w:pPr>
      <w:r>
        <w:rPr>
          <w:vertAlign w:val="superscript"/>
        </w:rPr>
        <w:t xml:space="preserve">b </w:t>
      </w:r>
      <w:r w:rsidRPr="00E564DD">
        <w:t>GRADE W</w:t>
      </w:r>
      <w:r>
        <w:t>orking Group grades of evidence</w:t>
      </w:r>
      <w:r w:rsidR="001D34EE" w:rsidRPr="001D34EE">
        <w:rPr>
          <w:noProof/>
          <w:vertAlign w:val="superscript"/>
        </w:rPr>
        <w:t>1</w:t>
      </w:r>
    </w:p>
    <w:p w:rsidR="0079256B" w:rsidRPr="0079256B" w:rsidRDefault="0079256B" w:rsidP="00F13836">
      <w:pPr>
        <w:pStyle w:val="Tablenote"/>
      </w:pPr>
      <w:r>
        <w:rPr>
          <w:vertAlign w:val="superscript"/>
        </w:rPr>
        <w:t xml:space="preserve">c </w:t>
      </w:r>
      <w:r>
        <w:t>Small study size</w:t>
      </w:r>
    </w:p>
    <w:p w:rsidR="00A25B65" w:rsidRPr="00A25B65" w:rsidRDefault="0079256B" w:rsidP="00F13836">
      <w:pPr>
        <w:pStyle w:val="Tablenote"/>
      </w:pPr>
      <w:r>
        <w:rPr>
          <w:vertAlign w:val="superscript"/>
        </w:rPr>
        <w:t>d</w:t>
      </w:r>
      <w:r w:rsidR="00A25B65">
        <w:rPr>
          <w:vertAlign w:val="superscript"/>
        </w:rPr>
        <w:t xml:space="preserve"> </w:t>
      </w:r>
      <w:r w:rsidR="00A25B65">
        <w:t>Wide 95% CIs</w:t>
      </w:r>
    </w:p>
    <w:p w:rsidR="00CC3BA4" w:rsidRDefault="0079256B" w:rsidP="00F13836">
      <w:pPr>
        <w:pStyle w:val="Tablenote"/>
      </w:pPr>
      <w:r>
        <w:rPr>
          <w:vertAlign w:val="superscript"/>
        </w:rPr>
        <w:t>e</w:t>
      </w:r>
      <w:r w:rsidR="00CC3BA4" w:rsidRPr="00E564DD">
        <w:t xml:space="preserve"> </w:t>
      </w:r>
      <w:r w:rsidR="00CC3BA4">
        <w:t>One RCT had a high risk of bias</w:t>
      </w:r>
    </w:p>
    <w:p w:rsidR="00CC3BA4" w:rsidRDefault="0079256B" w:rsidP="00F13836">
      <w:pPr>
        <w:pStyle w:val="Tablenote"/>
      </w:pPr>
      <w:r>
        <w:rPr>
          <w:vertAlign w:val="superscript"/>
        </w:rPr>
        <w:t>f</w:t>
      </w:r>
      <w:r w:rsidR="00CC3BA4">
        <w:t xml:space="preserve"> T</w:t>
      </w:r>
      <w:r w:rsidR="00CC3BA4" w:rsidRPr="00CA02C0">
        <w:t>rials show results trending in opposite directions</w:t>
      </w:r>
    </w:p>
    <w:p w:rsidR="00114427" w:rsidRDefault="0079256B" w:rsidP="00F13836">
      <w:pPr>
        <w:pStyle w:val="Tablenote"/>
      </w:pPr>
      <w:r>
        <w:rPr>
          <w:vertAlign w:val="superscript"/>
        </w:rPr>
        <w:t>g</w:t>
      </w:r>
      <w:r w:rsidR="00114427">
        <w:rPr>
          <w:vertAlign w:val="superscript"/>
        </w:rPr>
        <w:t xml:space="preserve"> </w:t>
      </w:r>
      <w:r w:rsidR="00114427">
        <w:t>Surrogate outcome</w:t>
      </w:r>
    </w:p>
    <w:p w:rsidR="00B63B1D" w:rsidRDefault="0079256B" w:rsidP="00B63B1D">
      <w:pPr>
        <w:pStyle w:val="Tablenote"/>
      </w:pPr>
      <w:r>
        <w:rPr>
          <w:vertAlign w:val="superscript"/>
        </w:rPr>
        <w:t>h</w:t>
      </w:r>
      <w:r w:rsidR="00B63B1D">
        <w:t xml:space="preserve"> MLHF total scores range from 0 to 105. A higher score indicates </w:t>
      </w:r>
      <w:r w:rsidR="00B63B1D" w:rsidRPr="000054CF">
        <w:t>poorer QoL</w:t>
      </w:r>
      <w:r w:rsidR="00B63B1D">
        <w:t xml:space="preserve">. </w:t>
      </w:r>
    </w:p>
    <w:p w:rsidR="00CC3BA4" w:rsidRPr="00E564DD" w:rsidRDefault="00CC3BA4" w:rsidP="00F13836">
      <w:pPr>
        <w:pStyle w:val="Tablenote"/>
      </w:pPr>
      <w:r w:rsidRPr="00E564DD">
        <w:rPr>
          <w:rFonts w:ascii="Cambria Math" w:hAnsi="Cambria Math" w:cs="Cambria Math"/>
          <w:color w:val="00B050"/>
        </w:rPr>
        <w:t>⨁⨁⨁⨁</w:t>
      </w:r>
      <w:r w:rsidRPr="00E564DD">
        <w:rPr>
          <w:color w:val="00B050"/>
        </w:rPr>
        <w:t xml:space="preserve"> </w:t>
      </w:r>
      <w:r w:rsidRPr="00E564DD">
        <w:rPr>
          <w:b/>
        </w:rPr>
        <w:t>High quality:</w:t>
      </w:r>
      <w:r w:rsidRPr="00E564DD">
        <w:t xml:space="preserve"> We are very confident that the true effect lies close to that of the estimate of effect</w:t>
      </w:r>
    </w:p>
    <w:p w:rsidR="00C05257" w:rsidRPr="00E564DD" w:rsidRDefault="00C05257" w:rsidP="00C05257">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CC3BA4" w:rsidRPr="00E564DD" w:rsidRDefault="00CC3BA4" w:rsidP="00F13836">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Low quality:</w:t>
      </w:r>
      <w:r w:rsidRPr="00E564DD">
        <w:t xml:space="preserve"> Our confidence in the effect estimate is limited: The true effect may be substantially different from the estimate of the effect</w:t>
      </w:r>
    </w:p>
    <w:p w:rsidR="0084434D" w:rsidRPr="00E564DD" w:rsidRDefault="0084434D" w:rsidP="0084434D">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Very low quality:</w:t>
      </w:r>
      <w:r w:rsidRPr="00E564DD">
        <w:t xml:space="preserve"> We have very little confidence in the effect estimate: The true effect is likely to be substantially different from the estimate of effect</w:t>
      </w:r>
    </w:p>
    <w:p w:rsidR="00C871F2" w:rsidRDefault="00CC3BA4" w:rsidP="00F13836">
      <w:pPr>
        <w:pStyle w:val="Tablenote"/>
      </w:pPr>
      <w:r>
        <w:t xml:space="preserve">6MWD = 6-minute </w:t>
      </w:r>
      <w:r w:rsidR="0082368E">
        <w:t>walk distance</w:t>
      </w:r>
      <w:r w:rsidR="00B21201">
        <w:t>; ARD</w:t>
      </w:r>
      <w:r>
        <w:t xml:space="preserve"> = absolute risk </w:t>
      </w:r>
      <w:r w:rsidR="00B21201">
        <w:t>difference</w:t>
      </w:r>
      <w:r>
        <w:t>; CAI = cardiac index;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C871F2" w:rsidRPr="00F24B06">
        <w:t xml:space="preserve">; </w:t>
      </w:r>
      <w:r>
        <w:t xml:space="preserve">MD = mean difference; </w:t>
      </w:r>
      <w:r w:rsidR="00DF4187">
        <w:t xml:space="preserve">MLHF = Minnesota living with heart failure; </w:t>
      </w:r>
      <w:r>
        <w:t xml:space="preserve">mPAP = mean pulmonary arterial </w:t>
      </w:r>
      <w:r>
        <w:lastRenderedPageBreak/>
        <w:t xml:space="preserve">pressure; mRAP = mean right atrial pressure; </w:t>
      </w:r>
      <w:r w:rsidRPr="00C65B42">
        <w:t xml:space="preserve">PAH = pulmonary arterial hypertension; </w:t>
      </w:r>
      <w:r w:rsidRPr="009123E2">
        <w:t>PVR</w:t>
      </w:r>
      <w:r>
        <w:t xml:space="preserve"> = p</w:t>
      </w:r>
      <w:r w:rsidRPr="009123E2">
        <w:t xml:space="preserve">ulmonary </w:t>
      </w:r>
      <w:r>
        <w:t>v</w:t>
      </w:r>
      <w:r w:rsidRPr="009123E2">
        <w:t xml:space="preserve">ascular </w:t>
      </w:r>
      <w:r>
        <w:t>r</w:t>
      </w:r>
      <w:r w:rsidRPr="009123E2">
        <w:t>esistance</w:t>
      </w:r>
      <w:r>
        <w:t>; QoL = quality of life; RCT = randomised controlled trial; RR = relative risk; TPR = total pulmonary pressure; WHO = World Health Organization</w:t>
      </w:r>
    </w:p>
    <w:p w:rsidR="00CC3BA4" w:rsidRPr="005D4CA0" w:rsidRDefault="00796F18" w:rsidP="00BC5A2B">
      <w:pPr>
        <w:pStyle w:val="Caption"/>
      </w:pPr>
      <w:bookmarkStart w:id="516" w:name="_Ref505775060"/>
      <w:bookmarkStart w:id="517" w:name="_Toc512855559"/>
      <w:r>
        <w:t>Table 4.</w:t>
      </w:r>
      <w:r w:rsidR="00AA722D">
        <w:rPr>
          <w:noProof/>
        </w:rPr>
        <w:t>155</w:t>
      </w:r>
      <w:bookmarkEnd w:id="516"/>
      <w:r>
        <w:tab/>
      </w:r>
      <w:r w:rsidR="00CC3BA4" w:rsidRPr="005D4CA0">
        <w:t xml:space="preserve">Evidence profile table for </w:t>
      </w:r>
      <w:r w:rsidR="00CC3BA4">
        <w:t xml:space="preserve">comparative safety of </w:t>
      </w:r>
      <w:r w:rsidR="00CC3BA4" w:rsidRPr="005D4CA0">
        <w:t xml:space="preserve">ERA </w:t>
      </w:r>
      <w:r w:rsidR="00CC3BA4">
        <w:t xml:space="preserve">+ </w:t>
      </w:r>
      <w:r w:rsidR="0017012F">
        <w:t>prostanoid</w:t>
      </w:r>
      <w:r w:rsidR="00CC3BA4">
        <w:t xml:space="preserve"> combination therapy </w:t>
      </w:r>
      <w:r w:rsidR="00CC3BA4" w:rsidRPr="005D4CA0">
        <w:t xml:space="preserve">compared to </w:t>
      </w:r>
      <w:r w:rsidR="0017012F">
        <w:t>prostanoid</w:t>
      </w:r>
      <w:r w:rsidR="00CC3BA4" w:rsidRPr="005D4CA0">
        <w:t xml:space="preserve"> </w:t>
      </w:r>
      <w:r w:rsidR="00CC3BA4">
        <w:t xml:space="preserve">monotherapy </w:t>
      </w:r>
      <w:r w:rsidR="00CC3BA4" w:rsidRPr="005D4CA0">
        <w:t xml:space="preserve">for </w:t>
      </w:r>
      <w:r w:rsidR="00CC3BA4">
        <w:t>patients</w:t>
      </w:r>
      <w:r w:rsidR="00CC3BA4" w:rsidRPr="00CA02C0">
        <w:t xml:space="preserve"> with WHO FC III/IV PAH</w:t>
      </w:r>
      <w:bookmarkEnd w:id="517"/>
    </w:p>
    <w:tbl>
      <w:tblPr>
        <w:tblStyle w:val="TableGrid"/>
        <w:tblW w:w="14706" w:type="dxa"/>
        <w:tblLayout w:type="fixed"/>
        <w:tblLook w:val="04A0" w:firstRow="1" w:lastRow="0" w:firstColumn="1" w:lastColumn="0" w:noHBand="0" w:noVBand="1"/>
        <w:tblCaption w:val="Evidence profile table for comparative safety of ERA + prostanoid combination therapy compared to prostanoid monotherapy for patients with WHO FC III/IV PAH"/>
      </w:tblPr>
      <w:tblGrid>
        <w:gridCol w:w="1493"/>
        <w:gridCol w:w="1054"/>
        <w:gridCol w:w="771"/>
        <w:gridCol w:w="1072"/>
        <w:gridCol w:w="992"/>
        <w:gridCol w:w="1134"/>
        <w:gridCol w:w="1244"/>
        <w:gridCol w:w="1417"/>
        <w:gridCol w:w="1134"/>
        <w:gridCol w:w="993"/>
        <w:gridCol w:w="2078"/>
        <w:gridCol w:w="1324"/>
      </w:tblGrid>
      <w:tr w:rsidR="00F13836" w:rsidRPr="00F13836" w:rsidTr="00115AB1">
        <w:trPr>
          <w:cnfStyle w:val="100000000000" w:firstRow="1" w:lastRow="0" w:firstColumn="0" w:lastColumn="0" w:oddVBand="0" w:evenVBand="0" w:oddHBand="0" w:evenHBand="0" w:firstRowFirstColumn="0" w:firstRowLastColumn="0" w:lastRowFirstColumn="0" w:lastRowLastColumn="0"/>
          <w:trHeight w:val="499"/>
        </w:trPr>
        <w:tc>
          <w:tcPr>
            <w:tcW w:w="1493" w:type="dxa"/>
          </w:tcPr>
          <w:p w:rsidR="00476F09" w:rsidRPr="00F13836" w:rsidRDefault="00476F09" w:rsidP="00F13836">
            <w:pPr>
              <w:pStyle w:val="Tabletext"/>
              <w:rPr>
                <w:b/>
              </w:rPr>
            </w:pPr>
            <w:r w:rsidRPr="00F13836">
              <w:rPr>
                <w:b/>
              </w:rPr>
              <w:t>Outcome (follow-up)</w:t>
            </w:r>
          </w:p>
        </w:tc>
        <w:tc>
          <w:tcPr>
            <w:tcW w:w="1054" w:type="dxa"/>
          </w:tcPr>
          <w:p w:rsidR="00476F09" w:rsidRPr="00F13836" w:rsidRDefault="00476F09" w:rsidP="00F13836">
            <w:pPr>
              <w:pStyle w:val="Tabletext"/>
              <w:rPr>
                <w:b/>
              </w:rPr>
            </w:pPr>
            <w:r w:rsidRPr="00F13836">
              <w:rPr>
                <w:b/>
              </w:rPr>
              <w:t>No. of studies and study design</w:t>
            </w:r>
          </w:p>
        </w:tc>
        <w:tc>
          <w:tcPr>
            <w:tcW w:w="771" w:type="dxa"/>
          </w:tcPr>
          <w:p w:rsidR="00476F09" w:rsidRPr="00F13836" w:rsidRDefault="00476F09" w:rsidP="00F13836">
            <w:pPr>
              <w:pStyle w:val="Tabletext"/>
              <w:rPr>
                <w:b/>
              </w:rPr>
            </w:pPr>
            <w:r w:rsidRPr="00F13836">
              <w:rPr>
                <w:b/>
              </w:rPr>
              <w:t>Risk of bias</w:t>
            </w:r>
          </w:p>
        </w:tc>
        <w:tc>
          <w:tcPr>
            <w:tcW w:w="1072" w:type="dxa"/>
          </w:tcPr>
          <w:p w:rsidR="00476F09" w:rsidRPr="00F13836" w:rsidRDefault="00476F09" w:rsidP="00F13836">
            <w:pPr>
              <w:pStyle w:val="Tabletext"/>
              <w:rPr>
                <w:b/>
              </w:rPr>
            </w:pPr>
            <w:r w:rsidRPr="00F13836">
              <w:rPr>
                <w:b/>
              </w:rPr>
              <w:t>Inconsis</w:t>
            </w:r>
            <w:r w:rsidR="00115AB1">
              <w:rPr>
                <w:b/>
              </w:rPr>
              <w:t>-</w:t>
            </w:r>
            <w:r w:rsidRPr="00F13836">
              <w:rPr>
                <w:b/>
              </w:rPr>
              <w:t>tency</w:t>
            </w:r>
          </w:p>
        </w:tc>
        <w:tc>
          <w:tcPr>
            <w:tcW w:w="992" w:type="dxa"/>
          </w:tcPr>
          <w:p w:rsidR="00476F09" w:rsidRPr="00F13836" w:rsidRDefault="00476F09" w:rsidP="00F13836">
            <w:pPr>
              <w:pStyle w:val="Tabletext"/>
              <w:rPr>
                <w:b/>
              </w:rPr>
            </w:pPr>
            <w:r w:rsidRPr="00F13836">
              <w:rPr>
                <w:b/>
              </w:rPr>
              <w:t>Indirect</w:t>
            </w:r>
            <w:r w:rsidR="00115AB1">
              <w:rPr>
                <w:b/>
              </w:rPr>
              <w:t>-</w:t>
            </w:r>
            <w:r w:rsidRPr="00F13836">
              <w:rPr>
                <w:b/>
              </w:rPr>
              <w:t>ness</w:t>
            </w:r>
          </w:p>
        </w:tc>
        <w:tc>
          <w:tcPr>
            <w:tcW w:w="1134" w:type="dxa"/>
          </w:tcPr>
          <w:p w:rsidR="00476F09" w:rsidRPr="00F13836" w:rsidRDefault="00476F09" w:rsidP="00F13836">
            <w:pPr>
              <w:pStyle w:val="Tabletext"/>
              <w:rPr>
                <w:b/>
              </w:rPr>
            </w:pPr>
            <w:r w:rsidRPr="00F13836">
              <w:rPr>
                <w:b/>
              </w:rPr>
              <w:t>Impre</w:t>
            </w:r>
            <w:r w:rsidR="00115AB1">
              <w:rPr>
                <w:b/>
              </w:rPr>
              <w:t>-</w:t>
            </w:r>
            <w:r w:rsidRPr="00F13836">
              <w:rPr>
                <w:b/>
              </w:rPr>
              <w:t>cision</w:t>
            </w:r>
          </w:p>
        </w:tc>
        <w:tc>
          <w:tcPr>
            <w:tcW w:w="1244" w:type="dxa"/>
          </w:tcPr>
          <w:p w:rsidR="00476F09" w:rsidRPr="00F13836" w:rsidRDefault="00476F09" w:rsidP="00F13836">
            <w:pPr>
              <w:pStyle w:val="Tabletext"/>
              <w:rPr>
                <w:b/>
              </w:rPr>
            </w:pPr>
            <w:r w:rsidRPr="00F13836">
              <w:rPr>
                <w:b/>
              </w:rPr>
              <w:t>Other conside</w:t>
            </w:r>
            <w:r w:rsidR="00115AB1">
              <w:rPr>
                <w:b/>
              </w:rPr>
              <w:t>-</w:t>
            </w:r>
            <w:r w:rsidRPr="00F13836">
              <w:rPr>
                <w:b/>
              </w:rPr>
              <w:t>rations</w:t>
            </w:r>
            <w:r w:rsidRPr="00F13836">
              <w:rPr>
                <w:b/>
                <w:vertAlign w:val="superscript"/>
              </w:rPr>
              <w:t>a</w:t>
            </w:r>
          </w:p>
        </w:tc>
        <w:tc>
          <w:tcPr>
            <w:tcW w:w="1417" w:type="dxa"/>
          </w:tcPr>
          <w:p w:rsidR="00476F09" w:rsidRPr="00F13836" w:rsidRDefault="00476F09" w:rsidP="00F13836">
            <w:pPr>
              <w:pStyle w:val="Tabletext"/>
              <w:rPr>
                <w:b/>
              </w:rPr>
            </w:pPr>
            <w:r w:rsidRPr="00F13836">
              <w:rPr>
                <w:b/>
              </w:rPr>
              <w:t>Study event rates (%) with ERA + prostanoid</w:t>
            </w:r>
          </w:p>
        </w:tc>
        <w:tc>
          <w:tcPr>
            <w:tcW w:w="1134" w:type="dxa"/>
          </w:tcPr>
          <w:p w:rsidR="00476F09" w:rsidRPr="00F13836" w:rsidRDefault="00476F09" w:rsidP="00F13836">
            <w:pPr>
              <w:pStyle w:val="Tabletext"/>
              <w:rPr>
                <w:b/>
              </w:rPr>
            </w:pPr>
            <w:r w:rsidRPr="00F13836">
              <w:rPr>
                <w:b/>
              </w:rPr>
              <w:t>Study event rates (%) with prostanoid</w:t>
            </w:r>
          </w:p>
        </w:tc>
        <w:tc>
          <w:tcPr>
            <w:tcW w:w="993" w:type="dxa"/>
          </w:tcPr>
          <w:p w:rsidR="00476F09" w:rsidRPr="00F13836" w:rsidRDefault="00476F09" w:rsidP="00F13836">
            <w:pPr>
              <w:pStyle w:val="Tabletext"/>
              <w:rPr>
                <w:b/>
              </w:rPr>
            </w:pPr>
            <w:r w:rsidRPr="00F13836">
              <w:rPr>
                <w:b/>
              </w:rPr>
              <w:t>Effect measure (95%CI)</w:t>
            </w:r>
          </w:p>
        </w:tc>
        <w:tc>
          <w:tcPr>
            <w:tcW w:w="2078" w:type="dxa"/>
          </w:tcPr>
          <w:p w:rsidR="00476F09" w:rsidRPr="00F13836" w:rsidRDefault="00476F09" w:rsidP="00F13836">
            <w:pPr>
              <w:pStyle w:val="Tabletext"/>
              <w:rPr>
                <w:b/>
              </w:rPr>
            </w:pPr>
            <w:r w:rsidRPr="00F13836">
              <w:rPr>
                <w:b/>
              </w:rPr>
              <w:t>Absolute effect (95%CI)</w:t>
            </w:r>
          </w:p>
        </w:tc>
        <w:tc>
          <w:tcPr>
            <w:tcW w:w="1324" w:type="dxa"/>
          </w:tcPr>
          <w:p w:rsidR="00C871F2" w:rsidRDefault="00C871F2" w:rsidP="00F13836">
            <w:pPr>
              <w:pStyle w:val="Tabletext"/>
              <w:rPr>
                <w:b/>
              </w:rPr>
            </w:pPr>
            <w:r>
              <w:rPr>
                <w:b/>
              </w:rPr>
              <w:t>GRADE</w:t>
            </w:r>
            <w:r w:rsidRPr="00C871F2">
              <w:rPr>
                <w:b/>
                <w:vertAlign w:val="superscript"/>
              </w:rPr>
              <w:t>b</w:t>
            </w:r>
          </w:p>
          <w:p w:rsidR="00476F09" w:rsidRPr="00F13836" w:rsidRDefault="00476F09" w:rsidP="00F13836">
            <w:pPr>
              <w:pStyle w:val="Tabletext"/>
              <w:rPr>
                <w:b/>
                <w:vertAlign w:val="superscript"/>
              </w:rPr>
            </w:pPr>
            <w:r w:rsidRPr="00F13836">
              <w:rPr>
                <w:b/>
              </w:rPr>
              <w:t>Quality</w:t>
            </w:r>
          </w:p>
          <w:p w:rsidR="00476F09" w:rsidRPr="00F13836" w:rsidRDefault="00476F09" w:rsidP="00F13836">
            <w:pPr>
              <w:pStyle w:val="Tabletext"/>
              <w:rPr>
                <w:b/>
              </w:rPr>
            </w:pPr>
            <w:r w:rsidRPr="00F13836">
              <w:rPr>
                <w:b/>
              </w:rPr>
              <w:t>Importance</w:t>
            </w:r>
          </w:p>
        </w:tc>
      </w:tr>
      <w:tr w:rsidR="00CC3BA4" w:rsidRPr="00E564DD" w:rsidTr="00115AB1">
        <w:trPr>
          <w:trHeight w:val="319"/>
        </w:trPr>
        <w:tc>
          <w:tcPr>
            <w:tcW w:w="1493" w:type="dxa"/>
          </w:tcPr>
          <w:p w:rsidR="00CC3BA4" w:rsidRPr="00E564DD" w:rsidRDefault="00CC3BA4" w:rsidP="00F13836">
            <w:pPr>
              <w:pStyle w:val="Tabletext"/>
              <w:rPr>
                <w:rFonts w:cs="Tahoma"/>
              </w:rPr>
            </w:pPr>
            <w:r>
              <w:rPr>
                <w:rFonts w:cs="Tahoma"/>
              </w:rPr>
              <w:t>Any AE</w:t>
            </w:r>
            <w:r>
              <w:rPr>
                <w:rFonts w:cs="Tahoma"/>
              </w:rPr>
              <w:br/>
              <w:t>(12 weeks)</w:t>
            </w:r>
          </w:p>
        </w:tc>
        <w:tc>
          <w:tcPr>
            <w:tcW w:w="1054" w:type="dxa"/>
          </w:tcPr>
          <w:p w:rsidR="00CC3BA4" w:rsidRPr="00E564DD" w:rsidRDefault="00CC3BA4" w:rsidP="00F13836">
            <w:pPr>
              <w:pStyle w:val="Tabletext"/>
              <w:rPr>
                <w:rFonts w:cs="Tahoma"/>
              </w:rPr>
            </w:pPr>
            <w:r>
              <w:rPr>
                <w:rFonts w:cs="Tahoma"/>
              </w:rPr>
              <w:t>1</w:t>
            </w:r>
            <w:r w:rsidRPr="00E564DD">
              <w:rPr>
                <w:rFonts w:cs="Tahoma"/>
              </w:rPr>
              <w:t xml:space="preserve"> RCT</w:t>
            </w:r>
          </w:p>
        </w:tc>
        <w:tc>
          <w:tcPr>
            <w:tcW w:w="771" w:type="dxa"/>
          </w:tcPr>
          <w:p w:rsidR="00CC3BA4" w:rsidRPr="00E564DD" w:rsidRDefault="00CC3BA4" w:rsidP="00F13836">
            <w:pPr>
              <w:pStyle w:val="Tabletext"/>
              <w:rPr>
                <w:rFonts w:cs="Tahoma"/>
              </w:rPr>
            </w:pPr>
            <w:r w:rsidRPr="00E564DD">
              <w:rPr>
                <w:rFonts w:cs="Tahoma"/>
              </w:rPr>
              <w:t>Not serious</w:t>
            </w:r>
          </w:p>
        </w:tc>
        <w:tc>
          <w:tcPr>
            <w:tcW w:w="1072" w:type="dxa"/>
          </w:tcPr>
          <w:p w:rsidR="00CC3BA4" w:rsidRPr="00E564DD" w:rsidRDefault="00CC3BA4" w:rsidP="00F13836">
            <w:pPr>
              <w:pStyle w:val="Tabletext"/>
              <w:rPr>
                <w:rFonts w:cs="Tahoma"/>
              </w:rPr>
            </w:pPr>
            <w:r w:rsidRPr="00E564DD">
              <w:rPr>
                <w:rFonts w:cs="Tahoma"/>
              </w:rPr>
              <w:t>Not serious</w:t>
            </w:r>
          </w:p>
        </w:tc>
        <w:tc>
          <w:tcPr>
            <w:tcW w:w="992" w:type="dxa"/>
          </w:tcPr>
          <w:p w:rsidR="00CC3BA4" w:rsidRPr="00E564DD" w:rsidRDefault="00CC3BA4" w:rsidP="00F13836">
            <w:pPr>
              <w:pStyle w:val="Tabletext"/>
              <w:rPr>
                <w:rFonts w:cs="Tahoma"/>
              </w:rPr>
            </w:pPr>
            <w:r w:rsidRPr="00E564DD">
              <w:rPr>
                <w:rFonts w:cs="Tahoma"/>
              </w:rPr>
              <w:t>Not serious</w:t>
            </w:r>
          </w:p>
        </w:tc>
        <w:tc>
          <w:tcPr>
            <w:tcW w:w="1134" w:type="dxa"/>
          </w:tcPr>
          <w:p w:rsidR="00CC3BA4" w:rsidRPr="00872747" w:rsidRDefault="00872747" w:rsidP="00872747">
            <w:pPr>
              <w:pStyle w:val="Tabletext"/>
              <w:rPr>
                <w:rFonts w:cs="Tahoma"/>
                <w:vertAlign w:val="superscript"/>
              </w:rPr>
            </w:pPr>
            <w:r>
              <w:rPr>
                <w:rFonts w:cs="Tahoma"/>
              </w:rPr>
              <w:t>Very serious</w:t>
            </w:r>
            <w:r>
              <w:rPr>
                <w:rFonts w:cs="Tahoma"/>
                <w:vertAlign w:val="superscript"/>
              </w:rPr>
              <w:t xml:space="preserve"> c</w:t>
            </w:r>
          </w:p>
        </w:tc>
        <w:tc>
          <w:tcPr>
            <w:tcW w:w="1244" w:type="dxa"/>
          </w:tcPr>
          <w:p w:rsidR="00CC3BA4" w:rsidRPr="00E564DD" w:rsidRDefault="00CC3BA4" w:rsidP="00F13836">
            <w:pPr>
              <w:pStyle w:val="Tabletext"/>
              <w:rPr>
                <w:rFonts w:cs="Tahoma"/>
              </w:rPr>
            </w:pPr>
            <w:r w:rsidRPr="00E564DD">
              <w:rPr>
                <w:rFonts w:cs="Tahoma"/>
              </w:rPr>
              <w:t>None</w:t>
            </w:r>
          </w:p>
        </w:tc>
        <w:tc>
          <w:tcPr>
            <w:tcW w:w="1417" w:type="dxa"/>
          </w:tcPr>
          <w:p w:rsidR="00CC3BA4" w:rsidRPr="00CA608E" w:rsidRDefault="00CC3BA4" w:rsidP="00F13836">
            <w:pPr>
              <w:pStyle w:val="Tabletext"/>
              <w:rPr>
                <w:rFonts w:cs="Tahoma"/>
              </w:rPr>
            </w:pPr>
            <w:r>
              <w:rPr>
                <w:rFonts w:cs="Tahoma"/>
              </w:rPr>
              <w:t>7/8 (87.5%)</w:t>
            </w:r>
          </w:p>
        </w:tc>
        <w:tc>
          <w:tcPr>
            <w:tcW w:w="1134" w:type="dxa"/>
          </w:tcPr>
          <w:p w:rsidR="00CC3BA4" w:rsidRPr="00456F1B" w:rsidRDefault="00CC3BA4" w:rsidP="00F13836">
            <w:pPr>
              <w:pStyle w:val="Tabletext"/>
              <w:rPr>
                <w:rFonts w:cs="Tahoma"/>
                <w:highlight w:val="cyan"/>
              </w:rPr>
            </w:pPr>
            <w:r w:rsidRPr="00CA608E">
              <w:rPr>
                <w:rFonts w:cs="Tahoma"/>
              </w:rPr>
              <w:t>5/6 (83.3%)</w:t>
            </w:r>
          </w:p>
        </w:tc>
        <w:tc>
          <w:tcPr>
            <w:tcW w:w="993" w:type="dxa"/>
          </w:tcPr>
          <w:p w:rsidR="00CC3BA4" w:rsidRPr="00456F1B" w:rsidRDefault="00CC3BA4" w:rsidP="00F13836">
            <w:pPr>
              <w:pStyle w:val="Tabletext"/>
              <w:rPr>
                <w:rFonts w:cs="Tahoma"/>
                <w:highlight w:val="cyan"/>
              </w:rPr>
            </w:pPr>
            <w:r w:rsidRPr="00CA608E">
              <w:rPr>
                <w:rFonts w:cs="Tahoma"/>
              </w:rPr>
              <w:t xml:space="preserve">RR </w:t>
            </w:r>
            <w:r>
              <w:rPr>
                <w:rFonts w:cs="Tahoma"/>
              </w:rPr>
              <w:t xml:space="preserve">= </w:t>
            </w:r>
            <w:r w:rsidRPr="00CA608E">
              <w:rPr>
                <w:rFonts w:cs="Tahoma"/>
              </w:rPr>
              <w:t>1.05</w:t>
            </w:r>
            <w:r>
              <w:rPr>
                <w:rFonts w:cs="Tahoma"/>
              </w:rPr>
              <w:t xml:space="preserve"> </w:t>
            </w:r>
            <w:r w:rsidRPr="00CA608E">
              <w:rPr>
                <w:rFonts w:cs="Tahoma"/>
              </w:rPr>
              <w:t>(0.67</w:t>
            </w:r>
            <w:r>
              <w:rPr>
                <w:rFonts w:cs="Tahoma"/>
              </w:rPr>
              <w:t>,</w:t>
            </w:r>
            <w:r w:rsidRPr="00CA608E">
              <w:rPr>
                <w:rFonts w:cs="Tahoma"/>
              </w:rPr>
              <w:t xml:space="preserve"> 1.64)</w:t>
            </w:r>
          </w:p>
        </w:tc>
        <w:tc>
          <w:tcPr>
            <w:tcW w:w="2078" w:type="dxa"/>
          </w:tcPr>
          <w:p w:rsidR="00CC3BA4" w:rsidRPr="00456F1B" w:rsidRDefault="00CC3BA4" w:rsidP="00F13836">
            <w:pPr>
              <w:pStyle w:val="Tabletext"/>
              <w:rPr>
                <w:rFonts w:cs="Tahoma"/>
                <w:highlight w:val="cyan"/>
              </w:rPr>
            </w:pPr>
            <w:r w:rsidRPr="00CA608E">
              <w:rPr>
                <w:rFonts w:cs="Tahoma"/>
              </w:rPr>
              <w:t>42 more per 1,000</w:t>
            </w:r>
            <w:r>
              <w:rPr>
                <w:rFonts w:cs="Tahoma"/>
              </w:rPr>
              <w:br/>
            </w:r>
            <w:r w:rsidRPr="00CA608E">
              <w:rPr>
                <w:rFonts w:cs="Tahoma"/>
              </w:rPr>
              <w:t>(from 275 fewer to 533 more)</w:t>
            </w:r>
          </w:p>
        </w:tc>
        <w:tc>
          <w:tcPr>
            <w:tcW w:w="1324" w:type="dxa"/>
          </w:tcPr>
          <w:p w:rsidR="00872747" w:rsidRDefault="00872747" w:rsidP="00872747">
            <w:pPr>
              <w:pStyle w:val="Tabletext"/>
              <w:rPr>
                <w:rFonts w:ascii="Cambria Math" w:eastAsia="Times New Roman" w:hAnsi="Cambria Math" w:cs="Cambria Math"/>
                <w:bCs/>
              </w:rPr>
            </w:pPr>
            <w:r>
              <w:rPr>
                <w:rFonts w:eastAsia="Times New Roman" w:cs="Tahoma"/>
                <w:bCs/>
              </w:rPr>
              <w:t>Low</w:t>
            </w:r>
            <w:r>
              <w:rPr>
                <w:rFonts w:eastAsia="Times New Roman" w:cs="Tahoma"/>
                <w:bCs/>
              </w:rPr>
              <w:br/>
            </w: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E564DD" w:rsidRDefault="00CC3BA4" w:rsidP="00F13836">
            <w:pPr>
              <w:pStyle w:val="Tabletext"/>
              <w:rPr>
                <w:rFonts w:cs="Tahoma"/>
              </w:rPr>
            </w:pPr>
            <w:r>
              <w:rPr>
                <w:rFonts w:cs="Tahoma"/>
              </w:rPr>
              <w:t>Important</w:t>
            </w:r>
          </w:p>
        </w:tc>
      </w:tr>
      <w:tr w:rsidR="00CC3BA4" w:rsidRPr="00E564DD" w:rsidTr="00115AB1">
        <w:trPr>
          <w:trHeight w:val="319"/>
        </w:trPr>
        <w:tc>
          <w:tcPr>
            <w:tcW w:w="1493" w:type="dxa"/>
          </w:tcPr>
          <w:p w:rsidR="00CC3BA4" w:rsidRPr="00E564DD" w:rsidRDefault="00CC3BA4" w:rsidP="00F13836">
            <w:pPr>
              <w:pStyle w:val="Tabletext"/>
              <w:rPr>
                <w:rFonts w:cs="Tahoma"/>
              </w:rPr>
            </w:pPr>
            <w:r>
              <w:rPr>
                <w:rFonts w:cs="Tahoma"/>
              </w:rPr>
              <w:t>Serious AEs</w:t>
            </w:r>
            <w:r>
              <w:rPr>
                <w:rFonts w:cs="Tahoma"/>
              </w:rPr>
              <w:br/>
              <w:t>(12 weeks)</w:t>
            </w:r>
          </w:p>
        </w:tc>
        <w:tc>
          <w:tcPr>
            <w:tcW w:w="1054" w:type="dxa"/>
          </w:tcPr>
          <w:p w:rsidR="00CC3BA4" w:rsidRPr="00E564DD" w:rsidRDefault="006A0576" w:rsidP="006A0576">
            <w:pPr>
              <w:pStyle w:val="Tabletext"/>
              <w:rPr>
                <w:rFonts w:cs="Tahoma"/>
              </w:rPr>
            </w:pPr>
            <w:r>
              <w:rPr>
                <w:rFonts w:cs="Tahoma"/>
              </w:rPr>
              <w:t>1</w:t>
            </w:r>
            <w:r w:rsidR="00CC3BA4" w:rsidRPr="00E564DD">
              <w:rPr>
                <w:rFonts w:cs="Tahoma"/>
              </w:rPr>
              <w:t xml:space="preserve"> RCT</w:t>
            </w:r>
          </w:p>
        </w:tc>
        <w:tc>
          <w:tcPr>
            <w:tcW w:w="771" w:type="dxa"/>
          </w:tcPr>
          <w:p w:rsidR="00CC3BA4" w:rsidRPr="00E564DD" w:rsidRDefault="00CC3BA4" w:rsidP="00F13836">
            <w:pPr>
              <w:pStyle w:val="Tabletext"/>
              <w:rPr>
                <w:rFonts w:cs="Tahoma"/>
              </w:rPr>
            </w:pPr>
            <w:r w:rsidRPr="00D36FBC">
              <w:rPr>
                <w:rFonts w:cs="Tahoma"/>
              </w:rPr>
              <w:t xml:space="preserve">Serious </w:t>
            </w:r>
            <w:r w:rsidR="00872747">
              <w:rPr>
                <w:rFonts w:cs="Tahoma"/>
                <w:vertAlign w:val="superscript"/>
              </w:rPr>
              <w:t>d</w:t>
            </w:r>
          </w:p>
        </w:tc>
        <w:tc>
          <w:tcPr>
            <w:tcW w:w="1072" w:type="dxa"/>
          </w:tcPr>
          <w:p w:rsidR="00CC3BA4" w:rsidRPr="00E564DD" w:rsidRDefault="00CC3BA4" w:rsidP="00F13836">
            <w:pPr>
              <w:pStyle w:val="Tabletext"/>
              <w:rPr>
                <w:rFonts w:cs="Tahoma"/>
              </w:rPr>
            </w:pPr>
            <w:r w:rsidRPr="00E564DD">
              <w:rPr>
                <w:rFonts w:cs="Tahoma"/>
              </w:rPr>
              <w:t>Not serious</w:t>
            </w:r>
          </w:p>
        </w:tc>
        <w:tc>
          <w:tcPr>
            <w:tcW w:w="992" w:type="dxa"/>
          </w:tcPr>
          <w:p w:rsidR="00CC3BA4" w:rsidRPr="00E564DD" w:rsidRDefault="00CC3BA4" w:rsidP="00F13836">
            <w:pPr>
              <w:pStyle w:val="Tabletext"/>
              <w:rPr>
                <w:rFonts w:cs="Tahoma"/>
              </w:rPr>
            </w:pPr>
            <w:r w:rsidRPr="00E564DD">
              <w:rPr>
                <w:rFonts w:cs="Tahoma"/>
              </w:rPr>
              <w:t>Not serious</w:t>
            </w:r>
          </w:p>
        </w:tc>
        <w:tc>
          <w:tcPr>
            <w:tcW w:w="1134" w:type="dxa"/>
          </w:tcPr>
          <w:p w:rsidR="00CC3BA4" w:rsidRPr="00C05257" w:rsidRDefault="00872747" w:rsidP="00872747">
            <w:pPr>
              <w:pStyle w:val="Tabletext"/>
              <w:rPr>
                <w:rFonts w:cs="Tahoma"/>
                <w:vertAlign w:val="superscript"/>
              </w:rPr>
            </w:pPr>
            <w:r>
              <w:rPr>
                <w:rFonts w:cs="Tahoma"/>
              </w:rPr>
              <w:t>Very s</w:t>
            </w:r>
            <w:r w:rsidR="00CC3BA4" w:rsidRPr="00E564DD">
              <w:rPr>
                <w:rFonts w:cs="Tahoma"/>
              </w:rPr>
              <w:t>erious</w:t>
            </w:r>
            <w:r>
              <w:rPr>
                <w:rFonts w:cs="Tahoma"/>
                <w:vertAlign w:val="superscript"/>
              </w:rPr>
              <w:t xml:space="preserve"> c,e</w:t>
            </w:r>
          </w:p>
        </w:tc>
        <w:tc>
          <w:tcPr>
            <w:tcW w:w="1244" w:type="dxa"/>
          </w:tcPr>
          <w:p w:rsidR="00CC3BA4" w:rsidRPr="00E564DD" w:rsidRDefault="00CC3BA4" w:rsidP="00F13836">
            <w:pPr>
              <w:pStyle w:val="Tabletext"/>
              <w:rPr>
                <w:rFonts w:cs="Tahoma"/>
              </w:rPr>
            </w:pPr>
            <w:r>
              <w:rPr>
                <w:rFonts w:cs="Tahoma"/>
              </w:rPr>
              <w:t>None</w:t>
            </w:r>
          </w:p>
        </w:tc>
        <w:tc>
          <w:tcPr>
            <w:tcW w:w="1417" w:type="dxa"/>
          </w:tcPr>
          <w:p w:rsidR="00CC3BA4" w:rsidRPr="00CA608E" w:rsidRDefault="00CC3BA4" w:rsidP="00F13836">
            <w:pPr>
              <w:pStyle w:val="Tabletext"/>
              <w:rPr>
                <w:rFonts w:cs="Tahoma"/>
              </w:rPr>
            </w:pPr>
            <w:r>
              <w:rPr>
                <w:rFonts w:cs="Tahoma"/>
              </w:rPr>
              <w:t>3/22 (13.6%)</w:t>
            </w:r>
          </w:p>
        </w:tc>
        <w:tc>
          <w:tcPr>
            <w:tcW w:w="1134" w:type="dxa"/>
          </w:tcPr>
          <w:p w:rsidR="00CC3BA4" w:rsidRPr="00456F1B" w:rsidRDefault="00CC3BA4" w:rsidP="00F13836">
            <w:pPr>
              <w:pStyle w:val="Tabletext"/>
              <w:rPr>
                <w:rFonts w:cs="Tahoma"/>
                <w:highlight w:val="cyan"/>
              </w:rPr>
            </w:pPr>
            <w:r w:rsidRPr="00CA608E">
              <w:rPr>
                <w:rFonts w:cs="Tahoma"/>
              </w:rPr>
              <w:t>2/11 (18.2%)</w:t>
            </w:r>
          </w:p>
        </w:tc>
        <w:tc>
          <w:tcPr>
            <w:tcW w:w="993" w:type="dxa"/>
          </w:tcPr>
          <w:p w:rsidR="00CC3BA4" w:rsidRPr="00456F1B" w:rsidRDefault="00CC3BA4" w:rsidP="00F13836">
            <w:pPr>
              <w:pStyle w:val="Tabletext"/>
              <w:rPr>
                <w:rFonts w:cs="Tahoma"/>
                <w:highlight w:val="cyan"/>
              </w:rPr>
            </w:pPr>
            <w:r w:rsidRPr="00CA608E">
              <w:rPr>
                <w:rFonts w:cs="Tahoma"/>
              </w:rPr>
              <w:t xml:space="preserve">RR </w:t>
            </w:r>
            <w:r>
              <w:rPr>
                <w:rFonts w:cs="Tahoma"/>
              </w:rPr>
              <w:t xml:space="preserve">= </w:t>
            </w:r>
            <w:r w:rsidRPr="00CA608E">
              <w:rPr>
                <w:rFonts w:cs="Tahoma"/>
              </w:rPr>
              <w:t>0.75</w:t>
            </w:r>
            <w:r>
              <w:rPr>
                <w:rFonts w:cs="Tahoma"/>
              </w:rPr>
              <w:t xml:space="preserve"> </w:t>
            </w:r>
            <w:r w:rsidRPr="00CA608E">
              <w:rPr>
                <w:rFonts w:cs="Tahoma"/>
              </w:rPr>
              <w:t>(0.15</w:t>
            </w:r>
            <w:r>
              <w:rPr>
                <w:rFonts w:cs="Tahoma"/>
              </w:rPr>
              <w:t>,</w:t>
            </w:r>
            <w:r w:rsidRPr="00CA608E">
              <w:rPr>
                <w:rFonts w:cs="Tahoma"/>
              </w:rPr>
              <w:t xml:space="preserve"> </w:t>
            </w:r>
            <w:r>
              <w:rPr>
                <w:rFonts w:cs="Tahoma"/>
              </w:rPr>
              <w:t>3</w:t>
            </w:r>
            <w:r w:rsidRPr="00CA608E">
              <w:rPr>
                <w:rFonts w:cs="Tahoma"/>
              </w:rPr>
              <w:t>.85)</w:t>
            </w:r>
          </w:p>
        </w:tc>
        <w:tc>
          <w:tcPr>
            <w:tcW w:w="2078" w:type="dxa"/>
          </w:tcPr>
          <w:p w:rsidR="00CC3BA4" w:rsidRPr="00456F1B" w:rsidRDefault="00CC3BA4" w:rsidP="00F13836">
            <w:pPr>
              <w:pStyle w:val="Tabletext"/>
              <w:rPr>
                <w:rFonts w:cs="Tahoma"/>
                <w:highlight w:val="cyan"/>
              </w:rPr>
            </w:pPr>
            <w:r w:rsidRPr="00CA608E">
              <w:rPr>
                <w:rFonts w:cs="Tahoma"/>
              </w:rPr>
              <w:t>45 fewer per 1,000</w:t>
            </w:r>
            <w:r>
              <w:rPr>
                <w:rFonts w:cs="Tahoma"/>
              </w:rPr>
              <w:br/>
            </w:r>
            <w:r w:rsidRPr="00CA608E">
              <w:rPr>
                <w:rFonts w:cs="Tahoma"/>
              </w:rPr>
              <w:t>(from 155 fewer to 518 more)</w:t>
            </w:r>
          </w:p>
        </w:tc>
        <w:tc>
          <w:tcPr>
            <w:tcW w:w="1324" w:type="dxa"/>
          </w:tcPr>
          <w:p w:rsidR="00872747" w:rsidRDefault="00872747" w:rsidP="00872747">
            <w:pPr>
              <w:pStyle w:val="Tabletext"/>
              <w:rPr>
                <w:rFonts w:ascii="Cambria Math" w:eastAsia="Times New Roman" w:hAnsi="Cambria Math" w:cs="Cambria Math"/>
                <w:bCs/>
              </w:rPr>
            </w:pPr>
            <w:r>
              <w:rPr>
                <w:rFonts w:eastAsia="Times New Roman" w:cs="Tahoma"/>
                <w:bCs/>
              </w:rPr>
              <w:t>Very low</w:t>
            </w:r>
            <w:r>
              <w:rPr>
                <w:rFonts w:eastAsia="Times New Roman" w:cs="Tahoma"/>
                <w:bCs/>
              </w:rPr>
              <w:br/>
            </w:r>
            <w:r w:rsidRPr="00E564DD">
              <w:rPr>
                <w:rFonts w:ascii="Cambria Math" w:eastAsia="Times New Roman" w:hAnsi="Cambria Math" w:cs="Cambria Math"/>
                <w:bCs/>
                <w:color w:val="00B050"/>
              </w:rPr>
              <w:t>⨁</w:t>
            </w:r>
            <w:r w:rsidRPr="00E564DD">
              <w:rPr>
                <w:rFonts w:ascii="Cambria Math" w:hAnsi="Cambria Math" w:cs="Cambria Math"/>
                <w:color w:val="C00000"/>
              </w:rPr>
              <w:t>⨀⨀</w:t>
            </w:r>
            <w:r w:rsidRPr="00E564DD">
              <w:rPr>
                <w:rFonts w:ascii="Cambria Math" w:eastAsia="Times New Roman" w:hAnsi="Cambria Math" w:cs="Cambria Math"/>
                <w:bCs/>
                <w:color w:val="FF0000"/>
              </w:rPr>
              <w:t>⨀</w:t>
            </w:r>
          </w:p>
          <w:p w:rsidR="00CC3BA4" w:rsidRPr="00E564DD" w:rsidRDefault="00CC3BA4" w:rsidP="00F13836">
            <w:pPr>
              <w:pStyle w:val="Tabletext"/>
              <w:rPr>
                <w:rFonts w:cs="Tahoma"/>
              </w:rPr>
            </w:pPr>
            <w:r>
              <w:rPr>
                <w:rFonts w:cs="Tahoma"/>
              </w:rPr>
              <w:t>I</w:t>
            </w:r>
            <w:r w:rsidRPr="00E564DD">
              <w:rPr>
                <w:rFonts w:cs="Tahoma"/>
              </w:rPr>
              <w:t>mportant</w:t>
            </w:r>
          </w:p>
        </w:tc>
      </w:tr>
      <w:tr w:rsidR="00CC3BA4" w:rsidRPr="00E564DD" w:rsidTr="00115AB1">
        <w:trPr>
          <w:trHeight w:val="747"/>
        </w:trPr>
        <w:tc>
          <w:tcPr>
            <w:tcW w:w="1493" w:type="dxa"/>
          </w:tcPr>
          <w:p w:rsidR="00CC3BA4" w:rsidRPr="00E564DD" w:rsidRDefault="00CC3BA4" w:rsidP="00F13836">
            <w:pPr>
              <w:pStyle w:val="Tabletext"/>
              <w:rPr>
                <w:rFonts w:cs="Tahoma"/>
              </w:rPr>
            </w:pPr>
            <w:r>
              <w:rPr>
                <w:rFonts w:cs="Tahoma"/>
              </w:rPr>
              <w:t>AEs leading to treatment discontinuation</w:t>
            </w:r>
            <w:r>
              <w:rPr>
                <w:rFonts w:cs="Tahoma"/>
              </w:rPr>
              <w:br/>
              <w:t>(12 weeks)</w:t>
            </w:r>
          </w:p>
        </w:tc>
        <w:tc>
          <w:tcPr>
            <w:tcW w:w="1054" w:type="dxa"/>
          </w:tcPr>
          <w:p w:rsidR="00CC3BA4" w:rsidRPr="00E564DD" w:rsidRDefault="006A0576" w:rsidP="006A0576">
            <w:pPr>
              <w:pStyle w:val="Tabletext"/>
              <w:rPr>
                <w:rFonts w:cs="Tahoma"/>
              </w:rPr>
            </w:pPr>
            <w:r>
              <w:rPr>
                <w:rFonts w:cs="Tahoma"/>
              </w:rPr>
              <w:t>1</w:t>
            </w:r>
            <w:r w:rsidR="00CC3BA4" w:rsidRPr="00E564DD">
              <w:rPr>
                <w:rFonts w:cs="Tahoma"/>
              </w:rPr>
              <w:t xml:space="preserve"> RCT</w:t>
            </w:r>
          </w:p>
        </w:tc>
        <w:tc>
          <w:tcPr>
            <w:tcW w:w="771" w:type="dxa"/>
          </w:tcPr>
          <w:p w:rsidR="00CC3BA4" w:rsidRPr="00E564DD" w:rsidRDefault="00CC3BA4" w:rsidP="00F13836">
            <w:pPr>
              <w:pStyle w:val="Tabletext"/>
              <w:rPr>
                <w:rFonts w:cs="Tahoma"/>
              </w:rPr>
            </w:pPr>
            <w:r w:rsidRPr="00D36FBC">
              <w:rPr>
                <w:rFonts w:cs="Tahoma"/>
              </w:rPr>
              <w:t xml:space="preserve">Serious </w:t>
            </w:r>
            <w:r w:rsidR="00872747">
              <w:rPr>
                <w:rFonts w:cs="Tahoma"/>
                <w:vertAlign w:val="superscript"/>
              </w:rPr>
              <w:t>d</w:t>
            </w:r>
          </w:p>
        </w:tc>
        <w:tc>
          <w:tcPr>
            <w:tcW w:w="1072" w:type="dxa"/>
          </w:tcPr>
          <w:p w:rsidR="00CC3BA4" w:rsidRPr="00E564DD" w:rsidRDefault="00CC3BA4" w:rsidP="00F13836">
            <w:pPr>
              <w:pStyle w:val="Tabletext"/>
              <w:rPr>
                <w:rFonts w:cs="Tahoma"/>
              </w:rPr>
            </w:pPr>
            <w:r w:rsidRPr="00E564DD">
              <w:rPr>
                <w:rFonts w:cs="Tahoma"/>
              </w:rPr>
              <w:t>Not serious</w:t>
            </w:r>
          </w:p>
        </w:tc>
        <w:tc>
          <w:tcPr>
            <w:tcW w:w="992" w:type="dxa"/>
          </w:tcPr>
          <w:p w:rsidR="00CC3BA4" w:rsidRPr="00E564DD" w:rsidRDefault="00CC3BA4" w:rsidP="00F13836">
            <w:pPr>
              <w:pStyle w:val="Tabletext"/>
              <w:rPr>
                <w:rFonts w:cs="Tahoma"/>
              </w:rPr>
            </w:pPr>
            <w:r w:rsidRPr="00E564DD">
              <w:rPr>
                <w:rFonts w:cs="Tahoma"/>
              </w:rPr>
              <w:t>Not serious</w:t>
            </w:r>
          </w:p>
        </w:tc>
        <w:tc>
          <w:tcPr>
            <w:tcW w:w="1134" w:type="dxa"/>
          </w:tcPr>
          <w:p w:rsidR="00CC3BA4" w:rsidRPr="00872747" w:rsidRDefault="00872747" w:rsidP="00872747">
            <w:pPr>
              <w:pStyle w:val="Tabletext"/>
              <w:rPr>
                <w:rFonts w:cs="Tahoma"/>
                <w:vertAlign w:val="superscript"/>
              </w:rPr>
            </w:pPr>
            <w:r>
              <w:rPr>
                <w:rFonts w:cs="Tahoma"/>
              </w:rPr>
              <w:t>Very serious</w:t>
            </w:r>
            <w:r>
              <w:rPr>
                <w:rFonts w:cs="Tahoma"/>
                <w:vertAlign w:val="superscript"/>
              </w:rPr>
              <w:t xml:space="preserve"> c</w:t>
            </w:r>
          </w:p>
        </w:tc>
        <w:tc>
          <w:tcPr>
            <w:tcW w:w="1244" w:type="dxa"/>
          </w:tcPr>
          <w:p w:rsidR="00CC3BA4" w:rsidRPr="00E564DD" w:rsidRDefault="00CC3BA4" w:rsidP="00F13836">
            <w:pPr>
              <w:pStyle w:val="Tabletext"/>
              <w:rPr>
                <w:rFonts w:cs="Tahoma"/>
              </w:rPr>
            </w:pPr>
            <w:r>
              <w:rPr>
                <w:rFonts w:cs="Tahoma"/>
              </w:rPr>
              <w:t>None</w:t>
            </w:r>
          </w:p>
        </w:tc>
        <w:tc>
          <w:tcPr>
            <w:tcW w:w="1417" w:type="dxa"/>
          </w:tcPr>
          <w:p w:rsidR="00CC3BA4" w:rsidRPr="00CA608E" w:rsidRDefault="00CC3BA4" w:rsidP="00F13836">
            <w:pPr>
              <w:pStyle w:val="Tabletext"/>
              <w:rPr>
                <w:rFonts w:cs="Tahoma"/>
              </w:rPr>
            </w:pPr>
            <w:r>
              <w:rPr>
                <w:rFonts w:cs="Tahoma"/>
              </w:rPr>
              <w:t>1/22 (4.5%)</w:t>
            </w:r>
          </w:p>
        </w:tc>
        <w:tc>
          <w:tcPr>
            <w:tcW w:w="1134" w:type="dxa"/>
          </w:tcPr>
          <w:p w:rsidR="00CC3BA4" w:rsidRPr="00456F1B" w:rsidRDefault="00CC3BA4" w:rsidP="00F13836">
            <w:pPr>
              <w:pStyle w:val="Tabletext"/>
              <w:rPr>
                <w:rFonts w:cs="Tahoma"/>
                <w:highlight w:val="cyan"/>
              </w:rPr>
            </w:pPr>
            <w:r w:rsidRPr="00CA608E">
              <w:rPr>
                <w:rFonts w:cs="Tahoma"/>
              </w:rPr>
              <w:t>1/11 (9.1%)</w:t>
            </w:r>
          </w:p>
        </w:tc>
        <w:tc>
          <w:tcPr>
            <w:tcW w:w="993" w:type="dxa"/>
          </w:tcPr>
          <w:p w:rsidR="00CC3BA4" w:rsidRPr="00456F1B" w:rsidRDefault="00CC3BA4" w:rsidP="00F13836">
            <w:pPr>
              <w:pStyle w:val="Tabletext"/>
              <w:rPr>
                <w:rFonts w:cs="Tahoma"/>
                <w:highlight w:val="cyan"/>
              </w:rPr>
            </w:pPr>
            <w:r w:rsidRPr="00CA608E">
              <w:rPr>
                <w:rFonts w:cs="Tahoma"/>
              </w:rPr>
              <w:t xml:space="preserve">RR </w:t>
            </w:r>
            <w:r>
              <w:rPr>
                <w:rFonts w:cs="Tahoma"/>
              </w:rPr>
              <w:t xml:space="preserve">= </w:t>
            </w:r>
            <w:r w:rsidRPr="00CA608E">
              <w:rPr>
                <w:rFonts w:cs="Tahoma"/>
              </w:rPr>
              <w:t>0.50</w:t>
            </w:r>
            <w:r>
              <w:rPr>
                <w:rFonts w:cs="Tahoma"/>
              </w:rPr>
              <w:t xml:space="preserve"> </w:t>
            </w:r>
            <w:r w:rsidRPr="00CA608E">
              <w:rPr>
                <w:rFonts w:cs="Tahoma"/>
              </w:rPr>
              <w:t>(0.03</w:t>
            </w:r>
            <w:r>
              <w:rPr>
                <w:rFonts w:cs="Tahoma"/>
              </w:rPr>
              <w:t xml:space="preserve">, </w:t>
            </w:r>
            <w:r w:rsidRPr="00CA608E">
              <w:rPr>
                <w:rFonts w:cs="Tahoma"/>
              </w:rPr>
              <w:t>7.26)</w:t>
            </w:r>
          </w:p>
        </w:tc>
        <w:tc>
          <w:tcPr>
            <w:tcW w:w="2078" w:type="dxa"/>
          </w:tcPr>
          <w:p w:rsidR="00CC3BA4" w:rsidRPr="00456F1B" w:rsidRDefault="00CC3BA4" w:rsidP="00F13836">
            <w:pPr>
              <w:pStyle w:val="Tabletext"/>
              <w:rPr>
                <w:rFonts w:cs="Tahoma"/>
                <w:highlight w:val="cyan"/>
              </w:rPr>
            </w:pPr>
            <w:r w:rsidRPr="00CA608E">
              <w:rPr>
                <w:rFonts w:cs="Tahoma"/>
              </w:rPr>
              <w:t>45 fewer per 1,000</w:t>
            </w:r>
            <w:r>
              <w:rPr>
                <w:rFonts w:cs="Tahoma"/>
              </w:rPr>
              <w:br/>
            </w:r>
            <w:r w:rsidRPr="00CA608E">
              <w:rPr>
                <w:rFonts w:cs="Tahoma"/>
              </w:rPr>
              <w:t>(from 88 fewer to 569 more)</w:t>
            </w:r>
          </w:p>
        </w:tc>
        <w:tc>
          <w:tcPr>
            <w:tcW w:w="1324" w:type="dxa"/>
          </w:tcPr>
          <w:p w:rsidR="00872747" w:rsidRDefault="00872747" w:rsidP="00872747">
            <w:pPr>
              <w:pStyle w:val="Tabletext"/>
              <w:rPr>
                <w:rFonts w:ascii="Cambria Math" w:eastAsia="Times New Roman" w:hAnsi="Cambria Math" w:cs="Cambria Math"/>
                <w:bCs/>
              </w:rPr>
            </w:pPr>
            <w:r>
              <w:rPr>
                <w:rFonts w:eastAsia="Times New Roman" w:cs="Tahoma"/>
                <w:bCs/>
              </w:rPr>
              <w:t>Very low</w:t>
            </w:r>
            <w:r>
              <w:rPr>
                <w:rFonts w:eastAsia="Times New Roman" w:cs="Tahoma"/>
                <w:bCs/>
              </w:rPr>
              <w:br/>
            </w:r>
            <w:r w:rsidRPr="00E564DD">
              <w:rPr>
                <w:rFonts w:ascii="Cambria Math" w:eastAsia="Times New Roman" w:hAnsi="Cambria Math" w:cs="Cambria Math"/>
                <w:bCs/>
                <w:color w:val="00B050"/>
              </w:rPr>
              <w:t>⨁</w:t>
            </w:r>
            <w:r w:rsidRPr="00E564DD">
              <w:rPr>
                <w:rFonts w:ascii="Cambria Math" w:hAnsi="Cambria Math" w:cs="Cambria Math"/>
                <w:color w:val="C00000"/>
              </w:rPr>
              <w:t>⨀⨀</w:t>
            </w:r>
            <w:r w:rsidRPr="00E564DD">
              <w:rPr>
                <w:rFonts w:ascii="Cambria Math" w:eastAsia="Times New Roman" w:hAnsi="Cambria Math" w:cs="Cambria Math"/>
                <w:bCs/>
                <w:color w:val="FF0000"/>
              </w:rPr>
              <w:t>⨀</w:t>
            </w:r>
          </w:p>
          <w:p w:rsidR="00CC3BA4" w:rsidRPr="007E63F8" w:rsidRDefault="00CC3BA4" w:rsidP="00F13836">
            <w:pPr>
              <w:pStyle w:val="Tabletext"/>
              <w:rPr>
                <w:rFonts w:ascii="Cambria Math" w:eastAsia="Times New Roman" w:hAnsi="Cambria Math" w:cs="Cambria Math"/>
                <w:bCs/>
                <w:color w:val="00B050"/>
              </w:rPr>
            </w:pPr>
            <w:r>
              <w:rPr>
                <w:rFonts w:cs="Tahoma"/>
              </w:rPr>
              <w:t>I</w:t>
            </w:r>
            <w:r w:rsidRPr="00E564DD">
              <w:rPr>
                <w:rFonts w:cs="Tahoma"/>
              </w:rPr>
              <w:t>mportant</w:t>
            </w:r>
          </w:p>
        </w:tc>
      </w:tr>
    </w:tbl>
    <w:p w:rsidR="00CC3BA4" w:rsidRPr="00AA018C" w:rsidRDefault="00CC3BA4" w:rsidP="00F13836">
      <w:pPr>
        <w:pStyle w:val="Tablenote"/>
      </w:pPr>
      <w:r w:rsidRPr="00E564DD">
        <w:rPr>
          <w:vertAlign w:val="superscript"/>
        </w:rPr>
        <w:t xml:space="preserve">a </w:t>
      </w:r>
      <w:r w:rsidRPr="00AA018C">
        <w:t>O</w:t>
      </w:r>
      <w:r>
        <w:t>ther considerations such as publication bias and effect size</w:t>
      </w:r>
    </w:p>
    <w:p w:rsidR="00CC3BA4" w:rsidRDefault="00CC3BA4" w:rsidP="00F13836">
      <w:pPr>
        <w:pStyle w:val="Tablenote"/>
      </w:pPr>
      <w:r>
        <w:rPr>
          <w:vertAlign w:val="superscript"/>
        </w:rPr>
        <w:t xml:space="preserve">b </w:t>
      </w:r>
      <w:r w:rsidRPr="00E564DD">
        <w:t>GRADE W</w:t>
      </w:r>
      <w:r>
        <w:t>orking Group grades of evidence</w:t>
      </w:r>
      <w:r w:rsidR="001D34EE" w:rsidRPr="001D34EE">
        <w:rPr>
          <w:noProof/>
          <w:vertAlign w:val="superscript"/>
        </w:rPr>
        <w:t>1</w:t>
      </w:r>
    </w:p>
    <w:p w:rsidR="00872747" w:rsidRPr="00872747" w:rsidRDefault="00872747" w:rsidP="00F13836">
      <w:pPr>
        <w:pStyle w:val="Tablenote"/>
      </w:pPr>
      <w:r>
        <w:rPr>
          <w:vertAlign w:val="superscript"/>
        </w:rPr>
        <w:t xml:space="preserve">c </w:t>
      </w:r>
      <w:r>
        <w:t>Small study size</w:t>
      </w:r>
    </w:p>
    <w:p w:rsidR="00CC3BA4" w:rsidRDefault="00872747" w:rsidP="00F13836">
      <w:pPr>
        <w:pStyle w:val="Tablenote"/>
      </w:pPr>
      <w:r>
        <w:rPr>
          <w:vertAlign w:val="superscript"/>
        </w:rPr>
        <w:t>d</w:t>
      </w:r>
      <w:r w:rsidR="00CC3BA4" w:rsidRPr="00E564DD">
        <w:t xml:space="preserve"> </w:t>
      </w:r>
      <w:r w:rsidR="00CC3BA4">
        <w:t>One RCT had a high risk of bias</w:t>
      </w:r>
    </w:p>
    <w:p w:rsidR="00C05257" w:rsidRPr="00C05257" w:rsidRDefault="00872747" w:rsidP="00F13836">
      <w:pPr>
        <w:pStyle w:val="Tablenote"/>
      </w:pPr>
      <w:r>
        <w:rPr>
          <w:vertAlign w:val="superscript"/>
        </w:rPr>
        <w:t>e</w:t>
      </w:r>
      <w:r w:rsidR="00C05257">
        <w:rPr>
          <w:vertAlign w:val="superscript"/>
        </w:rPr>
        <w:t xml:space="preserve"> </w:t>
      </w:r>
      <w:r w:rsidR="00C05257">
        <w:t>Wide 95% CIs</w:t>
      </w:r>
    </w:p>
    <w:p w:rsidR="00C05257" w:rsidRPr="00E564DD" w:rsidRDefault="00C05257" w:rsidP="00872747">
      <w:pPr>
        <w:pStyle w:val="Tablenote"/>
        <w:spacing w:after="0"/>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Low quality:</w:t>
      </w:r>
      <w:r w:rsidRPr="00E564DD">
        <w:t xml:space="preserve"> Our confidence in the effect estimate is limited: The true effect may be substantially different from the estimate of the effect</w:t>
      </w:r>
    </w:p>
    <w:p w:rsidR="00872747" w:rsidRPr="00CF5BBF" w:rsidRDefault="00872747" w:rsidP="00872747">
      <w:pPr>
        <w:spacing w:before="0" w:line="240" w:lineRule="auto"/>
        <w:contextualSpacing/>
        <w:rPr>
          <w:rFonts w:ascii="Arial Narrow" w:eastAsiaTheme="minorEastAsia" w:hAnsi="Arial Narrow" w:cs="Baskerville"/>
          <w:sz w:val="16"/>
          <w:szCs w:val="20"/>
          <w:lang w:eastAsia="en-AU"/>
        </w:rPr>
      </w:pPr>
      <w:r w:rsidRPr="00CF5BBF">
        <w:rPr>
          <w:rFonts w:ascii="Cambria Math" w:eastAsiaTheme="minorEastAsia" w:hAnsi="Cambria Math" w:cs="Cambria Math"/>
          <w:color w:val="00B050"/>
          <w:sz w:val="16"/>
          <w:szCs w:val="20"/>
          <w:lang w:eastAsia="en-AU"/>
        </w:rPr>
        <w:t>⨁</w:t>
      </w:r>
      <w:r w:rsidRPr="00CF5BBF">
        <w:rPr>
          <w:rFonts w:ascii="Cambria Math" w:eastAsiaTheme="minorEastAsia" w:hAnsi="Cambria Math" w:cs="Cambria Math"/>
          <w:color w:val="C00000"/>
          <w:sz w:val="16"/>
          <w:szCs w:val="20"/>
          <w:lang w:eastAsia="en-AU"/>
        </w:rPr>
        <w:t>⨀⨀⨀</w:t>
      </w:r>
      <w:r w:rsidRPr="00CF5BBF">
        <w:rPr>
          <w:rFonts w:ascii="Arial Narrow" w:eastAsiaTheme="minorEastAsia" w:hAnsi="Arial Narrow" w:cs="Cambria Math"/>
          <w:color w:val="C00000"/>
          <w:sz w:val="16"/>
          <w:szCs w:val="20"/>
          <w:lang w:eastAsia="en-AU"/>
        </w:rPr>
        <w:t xml:space="preserve"> </w:t>
      </w:r>
      <w:r w:rsidRPr="00CF5BBF">
        <w:rPr>
          <w:rFonts w:ascii="Arial Narrow" w:eastAsiaTheme="minorEastAsia" w:hAnsi="Arial Narrow" w:cs="Baskerville"/>
          <w:b/>
          <w:sz w:val="16"/>
          <w:szCs w:val="20"/>
          <w:lang w:eastAsia="en-AU"/>
        </w:rPr>
        <w:t>Very low quality:</w:t>
      </w:r>
      <w:r w:rsidRPr="00CF5BBF">
        <w:rPr>
          <w:rFonts w:ascii="Arial Narrow" w:eastAsiaTheme="minorEastAsia" w:hAnsi="Arial Narrow" w:cs="Baskerville"/>
          <w:sz w:val="16"/>
          <w:szCs w:val="20"/>
          <w:lang w:eastAsia="en-AU"/>
        </w:rPr>
        <w:t xml:space="preserve"> We have very little confidence in the effect estimate: The true effect is likely to be substantially different from the estimate of effect</w:t>
      </w:r>
    </w:p>
    <w:p w:rsidR="00C871F2" w:rsidRDefault="00CC3BA4" w:rsidP="00F13836">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C871F2" w:rsidRPr="00F24B06">
        <w:t xml:space="preserve">; </w:t>
      </w:r>
      <w:r w:rsidRPr="00C65B42">
        <w:t xml:space="preserve">PAH = pulmonary arterial hypertension; </w:t>
      </w:r>
      <w:r>
        <w:t>RCT = randomised controlled trial; RR = relative risk; WHO = World Health Organization</w:t>
      </w:r>
    </w:p>
    <w:p w:rsidR="00CC3BA4" w:rsidRPr="00822C52" w:rsidRDefault="00CC3BA4" w:rsidP="00BF48DF">
      <w:pPr>
        <w:pStyle w:val="Heading4"/>
      </w:pPr>
      <w:r>
        <w:lastRenderedPageBreak/>
        <w:t>PDE-5 inhibitor</w:t>
      </w:r>
      <w:r w:rsidRPr="00822C52">
        <w:t xml:space="preserve"> </w:t>
      </w:r>
      <w:r>
        <w:t xml:space="preserve">in </w:t>
      </w:r>
      <w:r w:rsidRPr="00822C52">
        <w:t>addition to ERA</w:t>
      </w:r>
    </w:p>
    <w:p w:rsidR="00CC3BA4" w:rsidRPr="005D4CA0" w:rsidRDefault="00796F18" w:rsidP="00BC5A2B">
      <w:pPr>
        <w:pStyle w:val="Caption"/>
      </w:pPr>
      <w:bookmarkStart w:id="518" w:name="_Ref505777374"/>
      <w:bookmarkStart w:id="519" w:name="_Toc512855560"/>
      <w:r>
        <w:t>Table 4.</w:t>
      </w:r>
      <w:r w:rsidR="00AA722D">
        <w:rPr>
          <w:noProof/>
        </w:rPr>
        <w:t>156</w:t>
      </w:r>
      <w:bookmarkEnd w:id="518"/>
      <w:r>
        <w:tab/>
      </w:r>
      <w:r w:rsidR="00CC3BA4" w:rsidRPr="005D4CA0">
        <w:t xml:space="preserve">Evidence profile table for </w:t>
      </w:r>
      <w:r w:rsidR="00CC3BA4">
        <w:t xml:space="preserve">effectiveness of PDE-5 inhibitor </w:t>
      </w:r>
      <w:r w:rsidR="000167B4">
        <w:t>plus</w:t>
      </w:r>
      <w:r w:rsidR="00CC3BA4">
        <w:t xml:space="preserve"> </w:t>
      </w:r>
      <w:r w:rsidR="00CC3BA4" w:rsidRPr="005D4CA0">
        <w:t xml:space="preserve">ERA </w:t>
      </w:r>
      <w:r w:rsidR="00CC3BA4">
        <w:t xml:space="preserve">combination therapy </w:t>
      </w:r>
      <w:r w:rsidR="00CC3BA4" w:rsidRPr="005D4CA0">
        <w:t xml:space="preserve">compared to </w:t>
      </w:r>
      <w:r w:rsidR="00CC3BA4">
        <w:t>ERA</w:t>
      </w:r>
      <w:r w:rsidR="00CC3BA4" w:rsidRPr="005D4CA0">
        <w:t xml:space="preserve"> </w:t>
      </w:r>
      <w:r w:rsidR="00CC3BA4">
        <w:t xml:space="preserve">monotherapy </w:t>
      </w:r>
      <w:r w:rsidR="00CC3BA4" w:rsidRPr="005D4CA0">
        <w:t xml:space="preserve">for </w:t>
      </w:r>
      <w:r w:rsidR="00CC3BA4">
        <w:t>all PAH patients</w:t>
      </w:r>
      <w:bookmarkEnd w:id="519"/>
    </w:p>
    <w:tbl>
      <w:tblPr>
        <w:tblStyle w:val="TableGrid"/>
        <w:tblW w:w="14692" w:type="dxa"/>
        <w:tblLayout w:type="fixed"/>
        <w:tblLook w:val="04A0" w:firstRow="1" w:lastRow="0" w:firstColumn="1" w:lastColumn="0" w:noHBand="0" w:noVBand="1"/>
        <w:tblCaption w:val="Evidence profile table for effectiveness of PDE-5 inhibitor plus ERA combination therapy compared to ERA monotherapy for all PAH patients"/>
      </w:tblPr>
      <w:tblGrid>
        <w:gridCol w:w="1493"/>
        <w:gridCol w:w="1054"/>
        <w:gridCol w:w="771"/>
        <w:gridCol w:w="1072"/>
        <w:gridCol w:w="1051"/>
        <w:gridCol w:w="1075"/>
        <w:gridCol w:w="1230"/>
        <w:gridCol w:w="1417"/>
        <w:gridCol w:w="1134"/>
        <w:gridCol w:w="993"/>
        <w:gridCol w:w="2092"/>
        <w:gridCol w:w="1310"/>
      </w:tblGrid>
      <w:tr w:rsidR="00F13836" w:rsidRPr="00F13836" w:rsidTr="00115AB1">
        <w:trPr>
          <w:cnfStyle w:val="100000000000" w:firstRow="1" w:lastRow="0" w:firstColumn="0" w:lastColumn="0" w:oddVBand="0" w:evenVBand="0" w:oddHBand="0" w:evenHBand="0" w:firstRowFirstColumn="0" w:firstRowLastColumn="0" w:lastRowFirstColumn="0" w:lastRowLastColumn="0"/>
          <w:trHeight w:val="269"/>
        </w:trPr>
        <w:tc>
          <w:tcPr>
            <w:tcW w:w="1493" w:type="dxa"/>
          </w:tcPr>
          <w:p w:rsidR="00476F09" w:rsidRPr="00F13836" w:rsidRDefault="00476F09" w:rsidP="00F13836">
            <w:pPr>
              <w:pStyle w:val="Tabletext"/>
              <w:rPr>
                <w:b/>
              </w:rPr>
            </w:pPr>
            <w:r w:rsidRPr="00F13836">
              <w:rPr>
                <w:b/>
              </w:rPr>
              <w:t>Outcome (follow-up)</w:t>
            </w:r>
          </w:p>
        </w:tc>
        <w:tc>
          <w:tcPr>
            <w:tcW w:w="1054" w:type="dxa"/>
          </w:tcPr>
          <w:p w:rsidR="00476F09" w:rsidRPr="00F13836" w:rsidRDefault="00476F09" w:rsidP="00F13836">
            <w:pPr>
              <w:pStyle w:val="Tabletext"/>
              <w:rPr>
                <w:b/>
              </w:rPr>
            </w:pPr>
            <w:r w:rsidRPr="00F13836">
              <w:rPr>
                <w:b/>
              </w:rPr>
              <w:t>No. of studies and study design</w:t>
            </w:r>
          </w:p>
        </w:tc>
        <w:tc>
          <w:tcPr>
            <w:tcW w:w="771" w:type="dxa"/>
          </w:tcPr>
          <w:p w:rsidR="00476F09" w:rsidRPr="00F13836" w:rsidRDefault="00476F09" w:rsidP="00F13836">
            <w:pPr>
              <w:pStyle w:val="Tabletext"/>
              <w:rPr>
                <w:b/>
              </w:rPr>
            </w:pPr>
            <w:r w:rsidRPr="00F13836">
              <w:rPr>
                <w:b/>
              </w:rPr>
              <w:t>Risk of bias</w:t>
            </w:r>
          </w:p>
        </w:tc>
        <w:tc>
          <w:tcPr>
            <w:tcW w:w="1072" w:type="dxa"/>
          </w:tcPr>
          <w:p w:rsidR="00476F09" w:rsidRPr="00F13836" w:rsidRDefault="00476F09" w:rsidP="00F13836">
            <w:pPr>
              <w:pStyle w:val="Tabletext"/>
              <w:rPr>
                <w:b/>
              </w:rPr>
            </w:pPr>
            <w:r w:rsidRPr="00F13836">
              <w:rPr>
                <w:b/>
              </w:rPr>
              <w:t>Inconsis</w:t>
            </w:r>
            <w:r w:rsidR="00115AB1">
              <w:rPr>
                <w:b/>
              </w:rPr>
              <w:t>-</w:t>
            </w:r>
            <w:r w:rsidRPr="00F13836">
              <w:rPr>
                <w:b/>
              </w:rPr>
              <w:t>tency</w:t>
            </w:r>
          </w:p>
        </w:tc>
        <w:tc>
          <w:tcPr>
            <w:tcW w:w="1051" w:type="dxa"/>
          </w:tcPr>
          <w:p w:rsidR="00476F09" w:rsidRPr="00F13836" w:rsidRDefault="00476F09" w:rsidP="00F13836">
            <w:pPr>
              <w:pStyle w:val="Tabletext"/>
              <w:rPr>
                <w:b/>
              </w:rPr>
            </w:pPr>
            <w:r w:rsidRPr="00F13836">
              <w:rPr>
                <w:b/>
              </w:rPr>
              <w:t>Indirect</w:t>
            </w:r>
            <w:r w:rsidR="00115AB1">
              <w:rPr>
                <w:b/>
              </w:rPr>
              <w:t>-</w:t>
            </w:r>
            <w:r w:rsidRPr="00F13836">
              <w:rPr>
                <w:b/>
              </w:rPr>
              <w:t>ness</w:t>
            </w:r>
          </w:p>
        </w:tc>
        <w:tc>
          <w:tcPr>
            <w:tcW w:w="1075" w:type="dxa"/>
          </w:tcPr>
          <w:p w:rsidR="00476F09" w:rsidRPr="00F13836" w:rsidRDefault="00476F09" w:rsidP="00F13836">
            <w:pPr>
              <w:pStyle w:val="Tabletext"/>
              <w:rPr>
                <w:b/>
              </w:rPr>
            </w:pPr>
            <w:r w:rsidRPr="00F13836">
              <w:rPr>
                <w:b/>
              </w:rPr>
              <w:t>Impre</w:t>
            </w:r>
            <w:r w:rsidR="00115AB1">
              <w:rPr>
                <w:b/>
              </w:rPr>
              <w:t>-</w:t>
            </w:r>
            <w:r w:rsidRPr="00F13836">
              <w:rPr>
                <w:b/>
              </w:rPr>
              <w:t>cision</w:t>
            </w:r>
          </w:p>
        </w:tc>
        <w:tc>
          <w:tcPr>
            <w:tcW w:w="1230" w:type="dxa"/>
          </w:tcPr>
          <w:p w:rsidR="00476F09" w:rsidRPr="00F13836" w:rsidRDefault="00476F09" w:rsidP="00F13836">
            <w:pPr>
              <w:pStyle w:val="Tabletext"/>
              <w:rPr>
                <w:b/>
              </w:rPr>
            </w:pPr>
            <w:r w:rsidRPr="00F13836">
              <w:rPr>
                <w:b/>
              </w:rPr>
              <w:t>Other conside</w:t>
            </w:r>
            <w:r w:rsidR="00115AB1">
              <w:rPr>
                <w:b/>
              </w:rPr>
              <w:t>-</w:t>
            </w:r>
            <w:r w:rsidRPr="00F13836">
              <w:rPr>
                <w:b/>
              </w:rPr>
              <w:t>rations</w:t>
            </w:r>
            <w:r w:rsidRPr="00F13836">
              <w:rPr>
                <w:b/>
                <w:vertAlign w:val="superscript"/>
              </w:rPr>
              <w:t>a</w:t>
            </w:r>
          </w:p>
        </w:tc>
        <w:tc>
          <w:tcPr>
            <w:tcW w:w="1417" w:type="dxa"/>
          </w:tcPr>
          <w:p w:rsidR="00476F09" w:rsidRPr="00F13836" w:rsidRDefault="00476F09" w:rsidP="00F13836">
            <w:pPr>
              <w:pStyle w:val="Tabletext"/>
              <w:rPr>
                <w:b/>
              </w:rPr>
            </w:pPr>
            <w:r w:rsidRPr="00F13836">
              <w:rPr>
                <w:b/>
              </w:rPr>
              <w:t>Study event rates (%) with PDE-5i + ERA</w:t>
            </w:r>
          </w:p>
        </w:tc>
        <w:tc>
          <w:tcPr>
            <w:tcW w:w="1134" w:type="dxa"/>
          </w:tcPr>
          <w:p w:rsidR="00476F09" w:rsidRPr="00F13836" w:rsidRDefault="00476F09" w:rsidP="00F13836">
            <w:pPr>
              <w:pStyle w:val="Tabletext"/>
              <w:rPr>
                <w:b/>
              </w:rPr>
            </w:pPr>
            <w:r w:rsidRPr="00F13836">
              <w:rPr>
                <w:b/>
              </w:rPr>
              <w:t>Study event rates (%) with ERA</w:t>
            </w:r>
          </w:p>
        </w:tc>
        <w:tc>
          <w:tcPr>
            <w:tcW w:w="993" w:type="dxa"/>
          </w:tcPr>
          <w:p w:rsidR="00476F09" w:rsidRPr="00F13836" w:rsidRDefault="00476F09" w:rsidP="00F13836">
            <w:pPr>
              <w:pStyle w:val="Tabletext"/>
              <w:rPr>
                <w:b/>
              </w:rPr>
            </w:pPr>
            <w:r w:rsidRPr="00F13836">
              <w:rPr>
                <w:b/>
              </w:rPr>
              <w:t>Effect measure (95%CI)</w:t>
            </w:r>
          </w:p>
        </w:tc>
        <w:tc>
          <w:tcPr>
            <w:tcW w:w="2092" w:type="dxa"/>
          </w:tcPr>
          <w:p w:rsidR="00476F09" w:rsidRPr="00F13836" w:rsidRDefault="00476F09" w:rsidP="00F13836">
            <w:pPr>
              <w:pStyle w:val="Tabletext"/>
              <w:rPr>
                <w:b/>
              </w:rPr>
            </w:pPr>
            <w:r w:rsidRPr="00F13836">
              <w:rPr>
                <w:b/>
              </w:rPr>
              <w:t>Absolute effect (95%CI)</w:t>
            </w:r>
          </w:p>
        </w:tc>
        <w:tc>
          <w:tcPr>
            <w:tcW w:w="1310" w:type="dxa"/>
          </w:tcPr>
          <w:p w:rsidR="00C871F2" w:rsidRDefault="00C871F2" w:rsidP="00F13836">
            <w:pPr>
              <w:pStyle w:val="Tabletext"/>
              <w:rPr>
                <w:b/>
              </w:rPr>
            </w:pPr>
            <w:r>
              <w:rPr>
                <w:b/>
              </w:rPr>
              <w:t>GRADE</w:t>
            </w:r>
            <w:r w:rsidRPr="00C871F2">
              <w:rPr>
                <w:b/>
                <w:vertAlign w:val="superscript"/>
              </w:rPr>
              <w:t>b</w:t>
            </w:r>
          </w:p>
          <w:p w:rsidR="00476F09" w:rsidRPr="00F13836" w:rsidRDefault="00476F09" w:rsidP="00F13836">
            <w:pPr>
              <w:pStyle w:val="Tabletext"/>
              <w:rPr>
                <w:b/>
                <w:vertAlign w:val="superscript"/>
              </w:rPr>
            </w:pPr>
            <w:r w:rsidRPr="00F13836">
              <w:rPr>
                <w:b/>
              </w:rPr>
              <w:t>Quality</w:t>
            </w:r>
          </w:p>
          <w:p w:rsidR="00476F09" w:rsidRPr="00F13836" w:rsidRDefault="00476F09" w:rsidP="00F13836">
            <w:pPr>
              <w:pStyle w:val="Tabletext"/>
              <w:rPr>
                <w:b/>
              </w:rPr>
            </w:pPr>
            <w:r w:rsidRPr="00F13836">
              <w:rPr>
                <w:b/>
              </w:rPr>
              <w:t>Importance</w:t>
            </w:r>
          </w:p>
        </w:tc>
      </w:tr>
      <w:tr w:rsidR="00CC3BA4" w:rsidRPr="00D36FBC" w:rsidTr="00115AB1">
        <w:trPr>
          <w:trHeight w:val="319"/>
        </w:trPr>
        <w:tc>
          <w:tcPr>
            <w:tcW w:w="1493" w:type="dxa"/>
          </w:tcPr>
          <w:p w:rsidR="00CC3BA4" w:rsidRPr="00D36FBC" w:rsidRDefault="00CC3BA4" w:rsidP="00F13836">
            <w:pPr>
              <w:pStyle w:val="Tabletext"/>
              <w:rPr>
                <w:rFonts w:cs="Tahoma"/>
              </w:rPr>
            </w:pPr>
            <w:r w:rsidRPr="00D36FBC">
              <w:rPr>
                <w:rFonts w:cs="Tahoma"/>
              </w:rPr>
              <w:t>Clinical worsening</w:t>
            </w:r>
            <w:r>
              <w:rPr>
                <w:rFonts w:cs="Tahoma"/>
              </w:rPr>
              <w:br/>
            </w:r>
            <w:r w:rsidRPr="00D36FBC">
              <w:rPr>
                <w:rFonts w:cs="Tahoma"/>
              </w:rPr>
              <w:t>(</w:t>
            </w:r>
            <w:r>
              <w:rPr>
                <w:rFonts w:cs="Tahoma"/>
              </w:rPr>
              <w:t>1</w:t>
            </w:r>
            <w:r w:rsidRPr="00D36FBC">
              <w:rPr>
                <w:rFonts w:cs="Tahoma"/>
              </w:rPr>
              <w:t>2–</w:t>
            </w:r>
            <w:r>
              <w:rPr>
                <w:rFonts w:cs="Tahoma"/>
              </w:rPr>
              <w:t>74</w:t>
            </w:r>
            <w:r w:rsidRPr="00D36FBC">
              <w:rPr>
                <w:rFonts w:cs="Tahoma"/>
              </w:rPr>
              <w:t xml:space="preserve"> weeks)</w:t>
            </w:r>
          </w:p>
        </w:tc>
        <w:tc>
          <w:tcPr>
            <w:tcW w:w="1054" w:type="dxa"/>
          </w:tcPr>
          <w:p w:rsidR="00CC3BA4" w:rsidRPr="00D36FBC" w:rsidRDefault="00CC3BA4" w:rsidP="00F13836">
            <w:pPr>
              <w:pStyle w:val="Tabletext"/>
              <w:rPr>
                <w:rFonts w:cs="Tahoma"/>
              </w:rPr>
            </w:pPr>
            <w:r w:rsidRPr="00D36FBC">
              <w:rPr>
                <w:rFonts w:cs="Tahoma"/>
              </w:rPr>
              <w:t>4 RCTs</w:t>
            </w:r>
          </w:p>
        </w:tc>
        <w:tc>
          <w:tcPr>
            <w:tcW w:w="771" w:type="dxa"/>
          </w:tcPr>
          <w:p w:rsidR="00CC3BA4" w:rsidRPr="00D36FBC" w:rsidRDefault="00CC3BA4" w:rsidP="00F13836">
            <w:pPr>
              <w:pStyle w:val="Tabletext"/>
              <w:rPr>
                <w:rFonts w:cs="Tahoma"/>
              </w:rPr>
            </w:pPr>
            <w:r w:rsidRPr="00D36FBC">
              <w:rPr>
                <w:rFonts w:cs="Tahoma"/>
              </w:rPr>
              <w:t>Not serious</w:t>
            </w:r>
          </w:p>
        </w:tc>
        <w:tc>
          <w:tcPr>
            <w:tcW w:w="1072" w:type="dxa"/>
          </w:tcPr>
          <w:p w:rsidR="00CC3BA4" w:rsidRPr="00D36FBC" w:rsidRDefault="00CC3BA4" w:rsidP="00F13836">
            <w:pPr>
              <w:pStyle w:val="Tabletext"/>
              <w:rPr>
                <w:rFonts w:cs="Tahoma"/>
              </w:rPr>
            </w:pPr>
            <w:r w:rsidRPr="00D36FBC">
              <w:rPr>
                <w:rFonts w:cs="Tahoma"/>
              </w:rPr>
              <w:t>Not serious</w:t>
            </w:r>
          </w:p>
        </w:tc>
        <w:tc>
          <w:tcPr>
            <w:tcW w:w="1051" w:type="dxa"/>
          </w:tcPr>
          <w:p w:rsidR="00CC3BA4" w:rsidRPr="00D36FBC" w:rsidRDefault="00CC3BA4" w:rsidP="00F13836">
            <w:pPr>
              <w:pStyle w:val="Tabletext"/>
              <w:rPr>
                <w:rFonts w:cs="Tahoma"/>
              </w:rPr>
            </w:pPr>
            <w:r w:rsidRPr="00D36FBC">
              <w:rPr>
                <w:rFonts w:cs="Tahoma"/>
              </w:rPr>
              <w:t>Not serious</w:t>
            </w:r>
          </w:p>
        </w:tc>
        <w:tc>
          <w:tcPr>
            <w:tcW w:w="1075" w:type="dxa"/>
          </w:tcPr>
          <w:p w:rsidR="00CC3BA4" w:rsidRPr="00D36FBC" w:rsidRDefault="00CC3BA4" w:rsidP="00F13836">
            <w:pPr>
              <w:pStyle w:val="Tabletext"/>
              <w:rPr>
                <w:rFonts w:cs="Tahoma"/>
              </w:rPr>
            </w:pPr>
            <w:r w:rsidRPr="00D36FBC">
              <w:rPr>
                <w:rFonts w:cs="Tahoma"/>
              </w:rPr>
              <w:t>Not serious</w:t>
            </w:r>
          </w:p>
        </w:tc>
        <w:tc>
          <w:tcPr>
            <w:tcW w:w="1230" w:type="dxa"/>
          </w:tcPr>
          <w:p w:rsidR="00CC3BA4" w:rsidRPr="00D36FBC" w:rsidRDefault="00CC3BA4" w:rsidP="00F13836">
            <w:pPr>
              <w:pStyle w:val="Tabletext"/>
              <w:rPr>
                <w:rFonts w:cs="Tahoma"/>
              </w:rPr>
            </w:pPr>
            <w:r w:rsidRPr="00D36FBC">
              <w:rPr>
                <w:rFonts w:cs="Tahoma"/>
              </w:rPr>
              <w:t>Strong association</w:t>
            </w:r>
          </w:p>
        </w:tc>
        <w:tc>
          <w:tcPr>
            <w:tcW w:w="1417" w:type="dxa"/>
          </w:tcPr>
          <w:p w:rsidR="00CC3BA4" w:rsidRPr="0077309F" w:rsidRDefault="00CC3BA4" w:rsidP="00F13836">
            <w:pPr>
              <w:pStyle w:val="Tabletext"/>
              <w:rPr>
                <w:rFonts w:cs="Tahoma"/>
              </w:rPr>
            </w:pPr>
            <w:r>
              <w:rPr>
                <w:rFonts w:cs="Tahoma"/>
              </w:rPr>
              <w:t>56/406 (13.8%)</w:t>
            </w:r>
          </w:p>
        </w:tc>
        <w:tc>
          <w:tcPr>
            <w:tcW w:w="1134" w:type="dxa"/>
          </w:tcPr>
          <w:p w:rsidR="00CC3BA4" w:rsidRPr="00D36FBC" w:rsidRDefault="00CC3BA4" w:rsidP="00F13836">
            <w:pPr>
              <w:pStyle w:val="Tabletext"/>
              <w:rPr>
                <w:rFonts w:cs="Tahoma"/>
                <w:highlight w:val="cyan"/>
              </w:rPr>
            </w:pPr>
            <w:r w:rsidRPr="0077309F">
              <w:rPr>
                <w:rFonts w:cs="Tahoma"/>
              </w:rPr>
              <w:t>64/288 (22.2%)</w:t>
            </w:r>
          </w:p>
        </w:tc>
        <w:tc>
          <w:tcPr>
            <w:tcW w:w="993" w:type="dxa"/>
          </w:tcPr>
          <w:p w:rsidR="00CC3BA4" w:rsidRPr="00D36FBC" w:rsidRDefault="00CC3BA4" w:rsidP="00F13836">
            <w:pPr>
              <w:pStyle w:val="Tabletext"/>
              <w:rPr>
                <w:rFonts w:cs="Tahoma"/>
                <w:highlight w:val="cyan"/>
              </w:rPr>
            </w:pPr>
            <w:r w:rsidRPr="0077309F">
              <w:rPr>
                <w:rFonts w:cs="Tahoma"/>
              </w:rPr>
              <w:t xml:space="preserve">RR </w:t>
            </w:r>
            <w:r>
              <w:rPr>
                <w:rFonts w:cs="Tahoma"/>
              </w:rPr>
              <w:t xml:space="preserve">= </w:t>
            </w:r>
            <w:r w:rsidRPr="0077309F">
              <w:rPr>
                <w:rFonts w:cs="Tahoma"/>
              </w:rPr>
              <w:t>0.53</w:t>
            </w:r>
            <w:r>
              <w:rPr>
                <w:rFonts w:cs="Tahoma"/>
              </w:rPr>
              <w:t xml:space="preserve"> </w:t>
            </w:r>
            <w:r w:rsidRPr="0077309F">
              <w:rPr>
                <w:rFonts w:cs="Tahoma"/>
              </w:rPr>
              <w:t>(0.38</w:t>
            </w:r>
            <w:r>
              <w:rPr>
                <w:rFonts w:cs="Tahoma"/>
              </w:rPr>
              <w:t>,</w:t>
            </w:r>
            <w:r w:rsidRPr="0077309F">
              <w:rPr>
                <w:rFonts w:cs="Tahoma"/>
              </w:rPr>
              <w:t xml:space="preserve"> 0.73)</w:t>
            </w:r>
          </w:p>
        </w:tc>
        <w:tc>
          <w:tcPr>
            <w:tcW w:w="2092" w:type="dxa"/>
          </w:tcPr>
          <w:p w:rsidR="00CC3BA4" w:rsidRPr="00D36FBC" w:rsidRDefault="00CC3BA4" w:rsidP="00F13836">
            <w:pPr>
              <w:pStyle w:val="Tabletext"/>
              <w:rPr>
                <w:rFonts w:cs="Tahoma"/>
                <w:highlight w:val="cyan"/>
              </w:rPr>
            </w:pPr>
            <w:r w:rsidRPr="0077309F">
              <w:rPr>
                <w:rFonts w:cs="Tahoma"/>
              </w:rPr>
              <w:t>104 fewer per 1,000</w:t>
            </w:r>
            <w:r>
              <w:rPr>
                <w:rFonts w:cs="Tahoma"/>
              </w:rPr>
              <w:br/>
            </w:r>
            <w:r w:rsidRPr="0077309F">
              <w:rPr>
                <w:rFonts w:cs="Tahoma"/>
              </w:rPr>
              <w:t>(from 60 fewer to 138 fewer)</w:t>
            </w:r>
          </w:p>
        </w:tc>
        <w:tc>
          <w:tcPr>
            <w:tcW w:w="1310" w:type="dxa"/>
          </w:tcPr>
          <w:p w:rsidR="00CC3BA4" w:rsidRDefault="00CC3BA4" w:rsidP="00F13836">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D36FBC" w:rsidRDefault="00CC3BA4" w:rsidP="00F13836">
            <w:pPr>
              <w:pStyle w:val="Tabletext"/>
              <w:rPr>
                <w:rFonts w:cs="Tahoma"/>
              </w:rPr>
            </w:pPr>
            <w:r w:rsidRPr="00E564DD">
              <w:rPr>
                <w:rFonts w:cs="Tahoma"/>
              </w:rPr>
              <w:t>Critical</w:t>
            </w:r>
          </w:p>
        </w:tc>
      </w:tr>
      <w:tr w:rsidR="00CC3BA4" w:rsidRPr="00D36FBC" w:rsidTr="00115AB1">
        <w:trPr>
          <w:trHeight w:val="319"/>
        </w:trPr>
        <w:tc>
          <w:tcPr>
            <w:tcW w:w="1493" w:type="dxa"/>
          </w:tcPr>
          <w:p w:rsidR="00CC3BA4" w:rsidRPr="00D36FBC" w:rsidRDefault="00CC3BA4" w:rsidP="00F13836">
            <w:pPr>
              <w:pStyle w:val="Tabletext"/>
              <w:rPr>
                <w:rFonts w:cs="Tahoma"/>
              </w:rPr>
            </w:pPr>
            <w:r w:rsidRPr="00D36FBC">
              <w:rPr>
                <w:rFonts w:cs="Tahoma"/>
              </w:rPr>
              <w:t>Mortality</w:t>
            </w:r>
            <w:r>
              <w:rPr>
                <w:rFonts w:cs="Tahoma"/>
              </w:rPr>
              <w:br/>
            </w:r>
            <w:r w:rsidRPr="00D36FBC">
              <w:rPr>
                <w:rFonts w:cs="Tahoma"/>
              </w:rPr>
              <w:t>(</w:t>
            </w:r>
            <w:r>
              <w:rPr>
                <w:rFonts w:cs="Tahoma"/>
              </w:rPr>
              <w:t>1</w:t>
            </w:r>
            <w:r w:rsidRPr="00D36FBC">
              <w:rPr>
                <w:rFonts w:cs="Tahoma"/>
              </w:rPr>
              <w:t>2–</w:t>
            </w:r>
            <w:r>
              <w:rPr>
                <w:rFonts w:cs="Tahoma"/>
              </w:rPr>
              <w:t>74</w:t>
            </w:r>
            <w:r w:rsidRPr="00D36FBC">
              <w:rPr>
                <w:rFonts w:cs="Tahoma"/>
              </w:rPr>
              <w:t xml:space="preserve"> weeks)</w:t>
            </w:r>
          </w:p>
        </w:tc>
        <w:tc>
          <w:tcPr>
            <w:tcW w:w="1054" w:type="dxa"/>
          </w:tcPr>
          <w:p w:rsidR="00CC3BA4" w:rsidRPr="00D36FBC" w:rsidRDefault="00CC3BA4" w:rsidP="00F13836">
            <w:pPr>
              <w:pStyle w:val="Tabletext"/>
              <w:rPr>
                <w:rFonts w:cs="Tahoma"/>
              </w:rPr>
            </w:pPr>
            <w:r>
              <w:rPr>
                <w:rFonts w:cs="Tahoma"/>
              </w:rPr>
              <w:t>3</w:t>
            </w:r>
            <w:r w:rsidRPr="00D36FBC">
              <w:rPr>
                <w:rFonts w:cs="Tahoma"/>
              </w:rPr>
              <w:t xml:space="preserve"> RCTs</w:t>
            </w:r>
          </w:p>
        </w:tc>
        <w:tc>
          <w:tcPr>
            <w:tcW w:w="771" w:type="dxa"/>
          </w:tcPr>
          <w:p w:rsidR="00CC3BA4" w:rsidRPr="00D36FBC" w:rsidRDefault="00CC3BA4" w:rsidP="00F13836">
            <w:pPr>
              <w:pStyle w:val="Tabletext"/>
              <w:rPr>
                <w:rFonts w:cs="Tahoma"/>
              </w:rPr>
            </w:pPr>
            <w:r w:rsidRPr="00D36FBC">
              <w:rPr>
                <w:rFonts w:cs="Tahoma"/>
              </w:rPr>
              <w:t>Not serious</w:t>
            </w:r>
          </w:p>
        </w:tc>
        <w:tc>
          <w:tcPr>
            <w:tcW w:w="1072" w:type="dxa"/>
          </w:tcPr>
          <w:p w:rsidR="00CC3BA4" w:rsidRPr="00D36FBC" w:rsidRDefault="00F42EBF" w:rsidP="00F13836">
            <w:pPr>
              <w:pStyle w:val="Tabletext"/>
              <w:rPr>
                <w:rFonts w:cs="Tahoma"/>
              </w:rPr>
            </w:pPr>
            <w:r>
              <w:rPr>
                <w:rFonts w:cs="Tahoma"/>
              </w:rPr>
              <w:t>Not serious</w:t>
            </w:r>
          </w:p>
        </w:tc>
        <w:tc>
          <w:tcPr>
            <w:tcW w:w="1051" w:type="dxa"/>
          </w:tcPr>
          <w:p w:rsidR="00CC3BA4" w:rsidRPr="00D36FBC" w:rsidRDefault="00CC3BA4" w:rsidP="00F13836">
            <w:pPr>
              <w:pStyle w:val="Tabletext"/>
              <w:rPr>
                <w:rFonts w:cs="Tahoma"/>
              </w:rPr>
            </w:pPr>
            <w:r w:rsidRPr="00D36FBC">
              <w:rPr>
                <w:rFonts w:cs="Tahoma"/>
              </w:rPr>
              <w:t>Not serious</w:t>
            </w:r>
          </w:p>
        </w:tc>
        <w:tc>
          <w:tcPr>
            <w:tcW w:w="1075" w:type="dxa"/>
          </w:tcPr>
          <w:p w:rsidR="00CC3BA4" w:rsidRPr="00D36FBC" w:rsidRDefault="00872747" w:rsidP="00872747">
            <w:pPr>
              <w:pStyle w:val="Tabletext"/>
              <w:rPr>
                <w:rFonts w:cs="Tahoma"/>
              </w:rPr>
            </w:pPr>
            <w:r>
              <w:rPr>
                <w:rFonts w:cs="Tahoma"/>
              </w:rPr>
              <w:t>Very s</w:t>
            </w:r>
            <w:r w:rsidR="00CC3BA4" w:rsidRPr="00D36FBC">
              <w:rPr>
                <w:rFonts w:cs="Tahoma"/>
              </w:rPr>
              <w:t xml:space="preserve">erious </w:t>
            </w:r>
            <w:r w:rsidR="00CC3BA4" w:rsidRPr="00D36FBC">
              <w:rPr>
                <w:rFonts w:cs="Tahoma"/>
                <w:vertAlign w:val="superscript"/>
              </w:rPr>
              <w:t>d</w:t>
            </w:r>
          </w:p>
        </w:tc>
        <w:tc>
          <w:tcPr>
            <w:tcW w:w="1230" w:type="dxa"/>
          </w:tcPr>
          <w:p w:rsidR="00CC3BA4" w:rsidRPr="00D36FBC" w:rsidRDefault="00CC3BA4" w:rsidP="00F13836">
            <w:pPr>
              <w:pStyle w:val="Tabletext"/>
              <w:rPr>
                <w:rFonts w:cs="Tahoma"/>
              </w:rPr>
            </w:pPr>
            <w:r w:rsidRPr="00D36FBC">
              <w:rPr>
                <w:rFonts w:cs="Tahoma"/>
              </w:rPr>
              <w:t>Strong association</w:t>
            </w:r>
          </w:p>
        </w:tc>
        <w:tc>
          <w:tcPr>
            <w:tcW w:w="1417" w:type="dxa"/>
          </w:tcPr>
          <w:p w:rsidR="00CC3BA4" w:rsidRPr="0077309F" w:rsidRDefault="00CC3BA4" w:rsidP="00F13836">
            <w:pPr>
              <w:pStyle w:val="Tabletext"/>
              <w:rPr>
                <w:rFonts w:cs="Tahoma"/>
              </w:rPr>
            </w:pPr>
            <w:r>
              <w:rPr>
                <w:rFonts w:cs="Tahoma"/>
              </w:rPr>
              <w:t>4/413 (1.0%)</w:t>
            </w:r>
          </w:p>
        </w:tc>
        <w:tc>
          <w:tcPr>
            <w:tcW w:w="1134" w:type="dxa"/>
          </w:tcPr>
          <w:p w:rsidR="00CC3BA4" w:rsidRPr="001D2AD7" w:rsidRDefault="00CC3BA4" w:rsidP="00F13836">
            <w:pPr>
              <w:pStyle w:val="Tabletext"/>
              <w:rPr>
                <w:rFonts w:cs="Tahoma"/>
                <w:highlight w:val="cyan"/>
              </w:rPr>
            </w:pPr>
            <w:r w:rsidRPr="0077309F">
              <w:rPr>
                <w:rFonts w:cs="Tahoma"/>
              </w:rPr>
              <w:t>4/269 (1.5%)</w:t>
            </w:r>
          </w:p>
        </w:tc>
        <w:tc>
          <w:tcPr>
            <w:tcW w:w="993" w:type="dxa"/>
          </w:tcPr>
          <w:p w:rsidR="00CC3BA4" w:rsidRPr="001D2AD7" w:rsidRDefault="00CC3BA4" w:rsidP="00F13836">
            <w:pPr>
              <w:pStyle w:val="Tabletext"/>
              <w:rPr>
                <w:rFonts w:cs="Tahoma"/>
                <w:highlight w:val="cyan"/>
              </w:rPr>
            </w:pPr>
            <w:r w:rsidRPr="0077309F">
              <w:rPr>
                <w:rFonts w:cs="Tahoma"/>
              </w:rPr>
              <w:t xml:space="preserve">RR </w:t>
            </w:r>
            <w:r>
              <w:rPr>
                <w:rFonts w:cs="Tahoma"/>
              </w:rPr>
              <w:t xml:space="preserve">= </w:t>
            </w:r>
            <w:r w:rsidRPr="0077309F">
              <w:rPr>
                <w:rFonts w:cs="Tahoma"/>
              </w:rPr>
              <w:t>0.64</w:t>
            </w:r>
            <w:r>
              <w:rPr>
                <w:rFonts w:cs="Tahoma"/>
              </w:rPr>
              <w:t xml:space="preserve"> </w:t>
            </w:r>
            <w:r w:rsidRPr="0077309F">
              <w:rPr>
                <w:rFonts w:cs="Tahoma"/>
              </w:rPr>
              <w:t>(0.18</w:t>
            </w:r>
            <w:r>
              <w:rPr>
                <w:rFonts w:cs="Tahoma"/>
              </w:rPr>
              <w:t>,</w:t>
            </w:r>
            <w:r w:rsidRPr="0077309F">
              <w:rPr>
                <w:rFonts w:cs="Tahoma"/>
              </w:rPr>
              <w:t xml:space="preserve"> 2.36)</w:t>
            </w:r>
          </w:p>
        </w:tc>
        <w:tc>
          <w:tcPr>
            <w:tcW w:w="2092" w:type="dxa"/>
          </w:tcPr>
          <w:p w:rsidR="00CC3BA4" w:rsidRPr="00D36FBC" w:rsidRDefault="00CC3BA4" w:rsidP="00F13836">
            <w:pPr>
              <w:pStyle w:val="Tabletext"/>
              <w:rPr>
                <w:rFonts w:cs="Tahoma"/>
                <w:highlight w:val="cyan"/>
              </w:rPr>
            </w:pPr>
            <w:r w:rsidRPr="0077309F">
              <w:rPr>
                <w:rFonts w:cs="Tahoma"/>
              </w:rPr>
              <w:t>5 fewer per 1,000</w:t>
            </w:r>
            <w:r>
              <w:rPr>
                <w:rFonts w:cs="Tahoma"/>
              </w:rPr>
              <w:br/>
            </w:r>
            <w:r w:rsidRPr="0077309F">
              <w:rPr>
                <w:rFonts w:cs="Tahoma"/>
              </w:rPr>
              <w:t>(from 12 fewer to 20 more)</w:t>
            </w:r>
          </w:p>
        </w:tc>
        <w:tc>
          <w:tcPr>
            <w:tcW w:w="1310" w:type="dxa"/>
          </w:tcPr>
          <w:p w:rsidR="00872747" w:rsidRDefault="00872747" w:rsidP="00872747">
            <w:pPr>
              <w:pStyle w:val="Tabletext"/>
              <w:rPr>
                <w:rFonts w:ascii="Cambria Math" w:eastAsia="Times New Roman" w:hAnsi="Cambria Math" w:cs="Cambria Math"/>
                <w:bCs/>
              </w:rPr>
            </w:pPr>
            <w:r>
              <w:rPr>
                <w:rFonts w:eastAsia="Times New Roman" w:cs="Tahoma"/>
                <w:bCs/>
              </w:rPr>
              <w:t>Moderate</w:t>
            </w:r>
            <w:r>
              <w:rPr>
                <w:rFonts w:eastAsia="Times New Roman" w:cs="Tahoma"/>
                <w:bCs/>
              </w:rPr>
              <w:br/>
            </w: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D36FBC" w:rsidRDefault="00CC3BA4" w:rsidP="00F13836">
            <w:pPr>
              <w:pStyle w:val="Tabletext"/>
              <w:rPr>
                <w:rFonts w:cs="Tahoma"/>
              </w:rPr>
            </w:pPr>
            <w:r w:rsidRPr="00E564DD">
              <w:rPr>
                <w:rFonts w:cs="Tahoma"/>
              </w:rPr>
              <w:t>Critical</w:t>
            </w:r>
          </w:p>
        </w:tc>
      </w:tr>
      <w:tr w:rsidR="00CC3BA4" w:rsidRPr="00D36FBC" w:rsidTr="00115AB1">
        <w:trPr>
          <w:trHeight w:val="319"/>
        </w:trPr>
        <w:tc>
          <w:tcPr>
            <w:tcW w:w="1493" w:type="dxa"/>
          </w:tcPr>
          <w:p w:rsidR="00CC3BA4" w:rsidRPr="00D36FBC" w:rsidRDefault="00CC3BA4" w:rsidP="00F13836">
            <w:pPr>
              <w:pStyle w:val="Tabletext"/>
              <w:rPr>
                <w:rFonts w:cs="Tahoma"/>
              </w:rPr>
            </w:pPr>
            <w:r w:rsidRPr="00D36FBC">
              <w:rPr>
                <w:rFonts w:cs="Tahoma"/>
              </w:rPr>
              <w:t>Hospitalisation</w:t>
            </w:r>
            <w:r w:rsidR="00394D5B">
              <w:rPr>
                <w:rFonts w:cs="Tahoma"/>
              </w:rPr>
              <w:t xml:space="preserve"> due to PAH</w:t>
            </w:r>
            <w:r>
              <w:rPr>
                <w:rFonts w:cs="Tahoma"/>
              </w:rPr>
              <w:br/>
            </w:r>
            <w:r w:rsidRPr="00D36FBC">
              <w:rPr>
                <w:rFonts w:cs="Tahoma"/>
              </w:rPr>
              <w:t>(</w:t>
            </w:r>
            <w:r>
              <w:rPr>
                <w:rFonts w:cs="Tahoma"/>
              </w:rPr>
              <w:t>12</w:t>
            </w:r>
            <w:r w:rsidRPr="00D36FBC">
              <w:rPr>
                <w:rFonts w:cs="Tahoma"/>
              </w:rPr>
              <w:t>–74 weeks)</w:t>
            </w:r>
          </w:p>
        </w:tc>
        <w:tc>
          <w:tcPr>
            <w:tcW w:w="1054" w:type="dxa"/>
          </w:tcPr>
          <w:p w:rsidR="00CC3BA4" w:rsidRPr="00D36FBC" w:rsidRDefault="00CC3BA4" w:rsidP="00F13836">
            <w:pPr>
              <w:pStyle w:val="Tabletext"/>
              <w:rPr>
                <w:rFonts w:cs="Tahoma"/>
              </w:rPr>
            </w:pPr>
            <w:r>
              <w:rPr>
                <w:rFonts w:cs="Tahoma"/>
              </w:rPr>
              <w:t xml:space="preserve">3 </w:t>
            </w:r>
            <w:r w:rsidRPr="00D36FBC">
              <w:rPr>
                <w:rFonts w:cs="Tahoma"/>
              </w:rPr>
              <w:t>RCTs</w:t>
            </w:r>
          </w:p>
        </w:tc>
        <w:tc>
          <w:tcPr>
            <w:tcW w:w="771" w:type="dxa"/>
          </w:tcPr>
          <w:p w:rsidR="00CC3BA4" w:rsidRPr="00D36FBC" w:rsidRDefault="00CC3BA4" w:rsidP="00F13836">
            <w:pPr>
              <w:pStyle w:val="Tabletext"/>
              <w:rPr>
                <w:rFonts w:cs="Tahoma"/>
              </w:rPr>
            </w:pPr>
            <w:r w:rsidRPr="00D36FBC">
              <w:rPr>
                <w:rFonts w:cs="Tahoma"/>
              </w:rPr>
              <w:t>Not serious</w:t>
            </w:r>
          </w:p>
        </w:tc>
        <w:tc>
          <w:tcPr>
            <w:tcW w:w="1072" w:type="dxa"/>
          </w:tcPr>
          <w:p w:rsidR="00CC3BA4" w:rsidRPr="00D36FBC" w:rsidRDefault="00CC3BA4" w:rsidP="00F13836">
            <w:pPr>
              <w:pStyle w:val="Tabletext"/>
              <w:rPr>
                <w:rFonts w:cs="Tahoma"/>
              </w:rPr>
            </w:pPr>
            <w:r>
              <w:rPr>
                <w:rFonts w:cs="Tahoma"/>
              </w:rPr>
              <w:t>Not serious</w:t>
            </w:r>
          </w:p>
        </w:tc>
        <w:tc>
          <w:tcPr>
            <w:tcW w:w="1051" w:type="dxa"/>
          </w:tcPr>
          <w:p w:rsidR="00CC3BA4" w:rsidRPr="00D36FBC" w:rsidRDefault="00CC3BA4" w:rsidP="00F13836">
            <w:pPr>
              <w:pStyle w:val="Tabletext"/>
              <w:rPr>
                <w:rFonts w:cs="Tahoma"/>
              </w:rPr>
            </w:pPr>
            <w:r w:rsidRPr="00D36FBC">
              <w:rPr>
                <w:rFonts w:cs="Tahoma"/>
              </w:rPr>
              <w:t>Not serious</w:t>
            </w:r>
          </w:p>
        </w:tc>
        <w:tc>
          <w:tcPr>
            <w:tcW w:w="1075" w:type="dxa"/>
          </w:tcPr>
          <w:p w:rsidR="00CC3BA4" w:rsidRPr="00D36FBC" w:rsidRDefault="00CC3BA4" w:rsidP="00F13836">
            <w:pPr>
              <w:pStyle w:val="Tabletext"/>
              <w:rPr>
                <w:rFonts w:cs="Tahoma"/>
              </w:rPr>
            </w:pPr>
            <w:r w:rsidRPr="00D36FBC">
              <w:rPr>
                <w:rFonts w:cs="Tahoma"/>
              </w:rPr>
              <w:t>Not serious</w:t>
            </w:r>
          </w:p>
        </w:tc>
        <w:tc>
          <w:tcPr>
            <w:tcW w:w="1230" w:type="dxa"/>
          </w:tcPr>
          <w:p w:rsidR="00CC3BA4" w:rsidRPr="00D36FBC" w:rsidRDefault="00F42EBF" w:rsidP="00F13836">
            <w:pPr>
              <w:pStyle w:val="Tabletext"/>
              <w:rPr>
                <w:rFonts w:cs="Tahoma"/>
              </w:rPr>
            </w:pPr>
            <w:r>
              <w:rPr>
                <w:rFonts w:cs="Tahoma"/>
              </w:rPr>
              <w:t>Strong association</w:t>
            </w:r>
          </w:p>
        </w:tc>
        <w:tc>
          <w:tcPr>
            <w:tcW w:w="1417" w:type="dxa"/>
          </w:tcPr>
          <w:p w:rsidR="00CC3BA4" w:rsidRPr="0077309F" w:rsidRDefault="00CC3BA4" w:rsidP="00F13836">
            <w:pPr>
              <w:pStyle w:val="Tabletext"/>
              <w:rPr>
                <w:rFonts w:cs="Tahoma"/>
              </w:rPr>
            </w:pPr>
            <w:r>
              <w:rPr>
                <w:rFonts w:cs="Tahoma"/>
              </w:rPr>
              <w:t>96/364 (26.4%)</w:t>
            </w:r>
          </w:p>
        </w:tc>
        <w:tc>
          <w:tcPr>
            <w:tcW w:w="1134" w:type="dxa"/>
          </w:tcPr>
          <w:p w:rsidR="00CC3BA4" w:rsidRPr="001D2AD7" w:rsidRDefault="00CC3BA4" w:rsidP="00F13836">
            <w:pPr>
              <w:pStyle w:val="Tabletext"/>
              <w:rPr>
                <w:rFonts w:cs="Tahoma"/>
                <w:highlight w:val="cyan"/>
              </w:rPr>
            </w:pPr>
            <w:r w:rsidRPr="0077309F">
              <w:rPr>
                <w:rFonts w:cs="Tahoma"/>
              </w:rPr>
              <w:t>60/243 (24.7%)</w:t>
            </w:r>
          </w:p>
        </w:tc>
        <w:tc>
          <w:tcPr>
            <w:tcW w:w="993" w:type="dxa"/>
          </w:tcPr>
          <w:p w:rsidR="00CC3BA4" w:rsidRPr="001D2AD7" w:rsidRDefault="00CC3BA4" w:rsidP="00394D5B">
            <w:pPr>
              <w:pStyle w:val="Tabletext"/>
              <w:rPr>
                <w:rFonts w:cs="Tahoma"/>
                <w:highlight w:val="cyan"/>
              </w:rPr>
            </w:pPr>
            <w:r w:rsidRPr="0077309F">
              <w:rPr>
                <w:rFonts w:cs="Tahoma"/>
              </w:rPr>
              <w:t xml:space="preserve">RR </w:t>
            </w:r>
            <w:r>
              <w:rPr>
                <w:rFonts w:cs="Tahoma"/>
              </w:rPr>
              <w:t xml:space="preserve">= </w:t>
            </w:r>
            <w:r w:rsidRPr="0077309F">
              <w:rPr>
                <w:rFonts w:cs="Tahoma"/>
              </w:rPr>
              <w:t>0.</w:t>
            </w:r>
            <w:r w:rsidR="00394D5B">
              <w:rPr>
                <w:rFonts w:cs="Tahoma"/>
              </w:rPr>
              <w:t>42</w:t>
            </w:r>
            <w:r>
              <w:rPr>
                <w:rFonts w:cs="Tahoma"/>
              </w:rPr>
              <w:t xml:space="preserve"> </w:t>
            </w:r>
            <w:r w:rsidRPr="0077309F">
              <w:rPr>
                <w:rFonts w:cs="Tahoma"/>
              </w:rPr>
              <w:t>(0.</w:t>
            </w:r>
            <w:r w:rsidR="00394D5B">
              <w:rPr>
                <w:rFonts w:cs="Tahoma"/>
              </w:rPr>
              <w:t>2</w:t>
            </w:r>
            <w:r w:rsidRPr="0077309F">
              <w:rPr>
                <w:rFonts w:cs="Tahoma"/>
              </w:rPr>
              <w:t>5</w:t>
            </w:r>
            <w:r>
              <w:rPr>
                <w:rFonts w:cs="Tahoma"/>
              </w:rPr>
              <w:t>,</w:t>
            </w:r>
            <w:r w:rsidRPr="0077309F">
              <w:rPr>
                <w:rFonts w:cs="Tahoma"/>
              </w:rPr>
              <w:t xml:space="preserve"> 0</w:t>
            </w:r>
            <w:r w:rsidR="00394D5B">
              <w:rPr>
                <w:rFonts w:cs="Tahoma"/>
              </w:rPr>
              <w:t>.</w:t>
            </w:r>
            <w:r w:rsidRPr="0077309F">
              <w:rPr>
                <w:rFonts w:cs="Tahoma"/>
              </w:rPr>
              <w:t>7</w:t>
            </w:r>
            <w:r w:rsidR="00394D5B">
              <w:rPr>
                <w:rFonts w:cs="Tahoma"/>
              </w:rPr>
              <w:t>0</w:t>
            </w:r>
            <w:r w:rsidRPr="0077309F">
              <w:rPr>
                <w:rFonts w:cs="Tahoma"/>
              </w:rPr>
              <w:t>)</w:t>
            </w:r>
          </w:p>
        </w:tc>
        <w:tc>
          <w:tcPr>
            <w:tcW w:w="2092" w:type="dxa"/>
          </w:tcPr>
          <w:p w:rsidR="00CC3BA4" w:rsidRDefault="00394D5B" w:rsidP="00F13836">
            <w:pPr>
              <w:pStyle w:val="Tabletext"/>
              <w:rPr>
                <w:rFonts w:cs="Tahoma"/>
              </w:rPr>
            </w:pPr>
            <w:r>
              <w:rPr>
                <w:rFonts w:cs="Tahoma"/>
              </w:rPr>
              <w:t>7</w:t>
            </w:r>
            <w:r w:rsidR="00CC3BA4" w:rsidRPr="0077309F">
              <w:rPr>
                <w:rFonts w:cs="Tahoma"/>
              </w:rPr>
              <w:t>4 fewer per 1,000</w:t>
            </w:r>
          </w:p>
          <w:p w:rsidR="00CC3BA4" w:rsidRPr="00D36FBC" w:rsidRDefault="00CC3BA4" w:rsidP="00394D5B">
            <w:pPr>
              <w:pStyle w:val="Tabletext"/>
              <w:rPr>
                <w:rFonts w:cs="Tahoma"/>
                <w:highlight w:val="cyan"/>
              </w:rPr>
            </w:pPr>
            <w:r w:rsidRPr="0077309F">
              <w:rPr>
                <w:rFonts w:cs="Tahoma"/>
              </w:rPr>
              <w:t xml:space="preserve">(from </w:t>
            </w:r>
            <w:r w:rsidR="00394D5B">
              <w:rPr>
                <w:rFonts w:cs="Tahoma"/>
              </w:rPr>
              <w:t>38</w:t>
            </w:r>
            <w:r w:rsidRPr="0077309F">
              <w:rPr>
                <w:rFonts w:cs="Tahoma"/>
              </w:rPr>
              <w:t xml:space="preserve"> </w:t>
            </w:r>
            <w:r w:rsidR="00394D5B">
              <w:rPr>
                <w:rFonts w:cs="Tahoma"/>
              </w:rPr>
              <w:t>fewer</w:t>
            </w:r>
            <w:r w:rsidRPr="0077309F">
              <w:rPr>
                <w:rFonts w:cs="Tahoma"/>
              </w:rPr>
              <w:t xml:space="preserve"> to </w:t>
            </w:r>
            <w:r w:rsidR="00394D5B">
              <w:rPr>
                <w:rFonts w:cs="Tahoma"/>
              </w:rPr>
              <w:t>9</w:t>
            </w:r>
            <w:r w:rsidRPr="0077309F">
              <w:rPr>
                <w:rFonts w:cs="Tahoma"/>
              </w:rPr>
              <w:t>6 fewer)</w:t>
            </w:r>
          </w:p>
        </w:tc>
        <w:tc>
          <w:tcPr>
            <w:tcW w:w="1310" w:type="dxa"/>
          </w:tcPr>
          <w:p w:rsidR="00CC3BA4" w:rsidRDefault="00CC3BA4" w:rsidP="00F13836">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D36FBC" w:rsidRDefault="00CC3BA4" w:rsidP="00F13836">
            <w:pPr>
              <w:pStyle w:val="Tabletext"/>
              <w:rPr>
                <w:rFonts w:eastAsia="Times New Roman" w:cs="Cambria Math"/>
                <w:bCs/>
                <w:color w:val="00B050"/>
              </w:rPr>
            </w:pPr>
            <w:r w:rsidRPr="00E564DD">
              <w:rPr>
                <w:rFonts w:cs="Tahoma"/>
              </w:rPr>
              <w:t>Important</w:t>
            </w:r>
          </w:p>
        </w:tc>
      </w:tr>
      <w:tr w:rsidR="00CC3BA4" w:rsidRPr="00D36FBC" w:rsidTr="00115AB1">
        <w:trPr>
          <w:trHeight w:val="319"/>
        </w:trPr>
        <w:tc>
          <w:tcPr>
            <w:tcW w:w="1493" w:type="dxa"/>
          </w:tcPr>
          <w:p w:rsidR="00CC3BA4" w:rsidRPr="00D36FBC" w:rsidRDefault="00CC3BA4" w:rsidP="00F13836">
            <w:pPr>
              <w:pStyle w:val="Tabletext"/>
              <w:rPr>
                <w:rFonts w:cs="Tahoma"/>
              </w:rPr>
            </w:pPr>
            <w:r w:rsidRPr="00D36FBC">
              <w:rPr>
                <w:rFonts w:cs="Tahoma"/>
              </w:rPr>
              <w:t>Improved WHO FC</w:t>
            </w:r>
            <w:r>
              <w:rPr>
                <w:rFonts w:cs="Tahoma"/>
              </w:rPr>
              <w:br/>
            </w:r>
            <w:r w:rsidRPr="00CA608E">
              <w:rPr>
                <w:rFonts w:cs="Tahoma"/>
              </w:rPr>
              <w:t>(12–74 weeks)</w:t>
            </w:r>
          </w:p>
        </w:tc>
        <w:tc>
          <w:tcPr>
            <w:tcW w:w="1054" w:type="dxa"/>
          </w:tcPr>
          <w:p w:rsidR="00CC3BA4" w:rsidRPr="00D36FBC" w:rsidRDefault="00CC3BA4" w:rsidP="00F13836">
            <w:pPr>
              <w:pStyle w:val="Tabletext"/>
              <w:rPr>
                <w:rFonts w:cs="Tahoma"/>
              </w:rPr>
            </w:pPr>
            <w:r>
              <w:rPr>
                <w:rFonts w:cs="Tahoma"/>
              </w:rPr>
              <w:t>4</w:t>
            </w:r>
            <w:r w:rsidRPr="00D36FBC">
              <w:rPr>
                <w:rFonts w:cs="Tahoma"/>
              </w:rPr>
              <w:t xml:space="preserve"> RCTs</w:t>
            </w:r>
          </w:p>
        </w:tc>
        <w:tc>
          <w:tcPr>
            <w:tcW w:w="771" w:type="dxa"/>
          </w:tcPr>
          <w:p w:rsidR="00CC3BA4" w:rsidRPr="00D36FBC" w:rsidRDefault="00CC3BA4" w:rsidP="00F13836">
            <w:pPr>
              <w:pStyle w:val="Tabletext"/>
              <w:rPr>
                <w:rFonts w:cs="Tahoma"/>
              </w:rPr>
            </w:pPr>
            <w:r w:rsidRPr="00D36FBC">
              <w:rPr>
                <w:rFonts w:cs="Tahoma"/>
              </w:rPr>
              <w:t>Not serious</w:t>
            </w:r>
          </w:p>
        </w:tc>
        <w:tc>
          <w:tcPr>
            <w:tcW w:w="1072" w:type="dxa"/>
          </w:tcPr>
          <w:p w:rsidR="00CC3BA4" w:rsidRPr="00D36FBC" w:rsidRDefault="00CC3BA4" w:rsidP="00F13836">
            <w:pPr>
              <w:pStyle w:val="Tabletext"/>
              <w:rPr>
                <w:rFonts w:cs="Tahoma"/>
              </w:rPr>
            </w:pPr>
            <w:r w:rsidRPr="00D36FBC">
              <w:rPr>
                <w:rFonts w:cs="Tahoma"/>
              </w:rPr>
              <w:t>Not serious</w:t>
            </w:r>
          </w:p>
        </w:tc>
        <w:tc>
          <w:tcPr>
            <w:tcW w:w="1051" w:type="dxa"/>
          </w:tcPr>
          <w:p w:rsidR="00CC3BA4" w:rsidRPr="00D36FBC" w:rsidRDefault="00CC3BA4" w:rsidP="00F13836">
            <w:pPr>
              <w:pStyle w:val="Tabletext"/>
              <w:rPr>
                <w:rFonts w:cs="Tahoma"/>
              </w:rPr>
            </w:pPr>
            <w:r w:rsidRPr="00D36FBC">
              <w:rPr>
                <w:rFonts w:cs="Tahoma"/>
              </w:rPr>
              <w:t>Not serious</w:t>
            </w:r>
          </w:p>
        </w:tc>
        <w:tc>
          <w:tcPr>
            <w:tcW w:w="1075" w:type="dxa"/>
          </w:tcPr>
          <w:p w:rsidR="00CC3BA4" w:rsidRPr="00D36FBC" w:rsidRDefault="00CC3BA4" w:rsidP="00F13836">
            <w:pPr>
              <w:pStyle w:val="Tabletext"/>
              <w:rPr>
                <w:rFonts w:cs="Tahoma"/>
              </w:rPr>
            </w:pPr>
            <w:r w:rsidRPr="00D36FBC">
              <w:rPr>
                <w:rFonts w:cs="Tahoma"/>
              </w:rPr>
              <w:t>Not serious</w:t>
            </w:r>
          </w:p>
        </w:tc>
        <w:tc>
          <w:tcPr>
            <w:tcW w:w="1230" w:type="dxa"/>
          </w:tcPr>
          <w:p w:rsidR="00CC3BA4" w:rsidRPr="00D36FBC" w:rsidRDefault="00CC3BA4" w:rsidP="00F13836">
            <w:pPr>
              <w:pStyle w:val="Tabletext"/>
              <w:rPr>
                <w:rFonts w:cs="Tahoma"/>
              </w:rPr>
            </w:pPr>
            <w:r w:rsidRPr="00D36FBC">
              <w:rPr>
                <w:rFonts w:cs="Tahoma"/>
              </w:rPr>
              <w:t>None</w:t>
            </w:r>
          </w:p>
        </w:tc>
        <w:tc>
          <w:tcPr>
            <w:tcW w:w="1417" w:type="dxa"/>
          </w:tcPr>
          <w:p w:rsidR="00CC3BA4" w:rsidRPr="00456F1B" w:rsidRDefault="00CC3BA4" w:rsidP="00F13836">
            <w:pPr>
              <w:pStyle w:val="Tabletext"/>
              <w:rPr>
                <w:rFonts w:cs="Tahoma"/>
              </w:rPr>
            </w:pPr>
            <w:r>
              <w:rPr>
                <w:rFonts w:cs="Tahoma"/>
              </w:rPr>
              <w:t>134/405 (33.1%)</w:t>
            </w:r>
          </w:p>
        </w:tc>
        <w:tc>
          <w:tcPr>
            <w:tcW w:w="1134" w:type="dxa"/>
          </w:tcPr>
          <w:p w:rsidR="00CC3BA4" w:rsidRPr="00456F1B" w:rsidRDefault="00CC3BA4" w:rsidP="00F13836">
            <w:pPr>
              <w:pStyle w:val="Tabletext"/>
              <w:rPr>
                <w:rFonts w:cs="Tahoma"/>
              </w:rPr>
            </w:pPr>
            <w:r w:rsidRPr="0077309F">
              <w:rPr>
                <w:rFonts w:cs="Tahoma"/>
              </w:rPr>
              <w:t>80/276 (29.0%)</w:t>
            </w:r>
          </w:p>
        </w:tc>
        <w:tc>
          <w:tcPr>
            <w:tcW w:w="993" w:type="dxa"/>
          </w:tcPr>
          <w:p w:rsidR="00CC3BA4" w:rsidRPr="00456F1B" w:rsidRDefault="00CC3BA4" w:rsidP="00F13836">
            <w:pPr>
              <w:pStyle w:val="Tabletext"/>
              <w:rPr>
                <w:rFonts w:cs="Tahoma"/>
              </w:rPr>
            </w:pPr>
            <w:r w:rsidRPr="0077309F">
              <w:rPr>
                <w:rFonts w:cs="Tahoma"/>
              </w:rPr>
              <w:t xml:space="preserve">RR </w:t>
            </w:r>
            <w:r>
              <w:rPr>
                <w:rFonts w:cs="Tahoma"/>
              </w:rPr>
              <w:t xml:space="preserve">= </w:t>
            </w:r>
            <w:r w:rsidRPr="0077309F">
              <w:rPr>
                <w:rFonts w:cs="Tahoma"/>
              </w:rPr>
              <w:t>1.11</w:t>
            </w:r>
            <w:r>
              <w:rPr>
                <w:rFonts w:cs="Tahoma"/>
              </w:rPr>
              <w:t xml:space="preserve"> </w:t>
            </w:r>
            <w:r w:rsidRPr="0077309F">
              <w:rPr>
                <w:rFonts w:cs="Tahoma"/>
              </w:rPr>
              <w:t>(0.77</w:t>
            </w:r>
            <w:r>
              <w:rPr>
                <w:rFonts w:cs="Tahoma"/>
              </w:rPr>
              <w:t>,</w:t>
            </w:r>
            <w:r w:rsidR="009F4016">
              <w:rPr>
                <w:rFonts w:cs="Tahoma"/>
              </w:rPr>
              <w:t xml:space="preserve"> 1.60)</w:t>
            </w:r>
          </w:p>
        </w:tc>
        <w:tc>
          <w:tcPr>
            <w:tcW w:w="2092" w:type="dxa"/>
          </w:tcPr>
          <w:p w:rsidR="00CC3BA4" w:rsidRPr="00D36FBC" w:rsidRDefault="00CC3BA4" w:rsidP="00F13836">
            <w:pPr>
              <w:pStyle w:val="Tabletext"/>
              <w:rPr>
                <w:rFonts w:cs="Tahoma"/>
              </w:rPr>
            </w:pPr>
            <w:r w:rsidRPr="0077309F">
              <w:rPr>
                <w:rFonts w:cs="Tahoma"/>
              </w:rPr>
              <w:t>32 more per 1,000</w:t>
            </w:r>
            <w:r>
              <w:rPr>
                <w:rFonts w:cs="Tahoma"/>
              </w:rPr>
              <w:br/>
            </w:r>
            <w:r w:rsidRPr="0077309F">
              <w:rPr>
                <w:rFonts w:cs="Tahoma"/>
              </w:rPr>
              <w:t>(from 67 fewer to 174 more)</w:t>
            </w:r>
          </w:p>
        </w:tc>
        <w:tc>
          <w:tcPr>
            <w:tcW w:w="1310" w:type="dxa"/>
          </w:tcPr>
          <w:p w:rsidR="00CC3BA4" w:rsidRDefault="00CC3BA4" w:rsidP="00F13836">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D36FBC" w:rsidRDefault="00CC3BA4" w:rsidP="00F13836">
            <w:pPr>
              <w:pStyle w:val="Tabletext"/>
              <w:rPr>
                <w:rFonts w:eastAsia="Times New Roman" w:cs="Cambria Math"/>
                <w:bCs/>
                <w:color w:val="00B050"/>
              </w:rPr>
            </w:pPr>
            <w:r w:rsidRPr="00E564DD">
              <w:rPr>
                <w:rFonts w:cs="Tahoma"/>
              </w:rPr>
              <w:t>Important</w:t>
            </w:r>
          </w:p>
        </w:tc>
      </w:tr>
      <w:tr w:rsidR="00CC3BA4" w:rsidRPr="00D36FBC" w:rsidTr="00115AB1">
        <w:trPr>
          <w:trHeight w:val="319"/>
        </w:trPr>
        <w:tc>
          <w:tcPr>
            <w:tcW w:w="1493" w:type="dxa"/>
          </w:tcPr>
          <w:p w:rsidR="00CC3BA4" w:rsidRPr="00D36FBC" w:rsidRDefault="00CC3BA4" w:rsidP="00F13836">
            <w:pPr>
              <w:pStyle w:val="Tabletext"/>
              <w:rPr>
                <w:rFonts w:cs="Tahoma"/>
              </w:rPr>
            </w:pPr>
            <w:r w:rsidRPr="00D36FBC">
              <w:rPr>
                <w:rFonts w:cs="Tahoma"/>
              </w:rPr>
              <w:t>Worsened WHO FC</w:t>
            </w:r>
            <w:r>
              <w:rPr>
                <w:rFonts w:cs="Tahoma"/>
              </w:rPr>
              <w:br/>
            </w:r>
            <w:r w:rsidRPr="0077309F">
              <w:rPr>
                <w:rFonts w:cs="Tahoma"/>
              </w:rPr>
              <w:t>(12–74 weeks)</w:t>
            </w:r>
          </w:p>
        </w:tc>
        <w:tc>
          <w:tcPr>
            <w:tcW w:w="1054" w:type="dxa"/>
          </w:tcPr>
          <w:p w:rsidR="00CC3BA4" w:rsidRPr="00D36FBC" w:rsidRDefault="00CC3BA4" w:rsidP="00F13836">
            <w:pPr>
              <w:pStyle w:val="Tabletext"/>
              <w:rPr>
                <w:rFonts w:cs="Tahoma"/>
              </w:rPr>
            </w:pPr>
            <w:r>
              <w:rPr>
                <w:rFonts w:cs="Tahoma"/>
              </w:rPr>
              <w:t>4</w:t>
            </w:r>
            <w:r w:rsidRPr="00D36FBC">
              <w:rPr>
                <w:rFonts w:cs="Tahoma"/>
              </w:rPr>
              <w:t xml:space="preserve"> RCTs</w:t>
            </w:r>
          </w:p>
        </w:tc>
        <w:tc>
          <w:tcPr>
            <w:tcW w:w="771" w:type="dxa"/>
          </w:tcPr>
          <w:p w:rsidR="00CC3BA4" w:rsidRPr="00D36FBC" w:rsidRDefault="00CC3BA4" w:rsidP="00F13836">
            <w:pPr>
              <w:pStyle w:val="Tabletext"/>
              <w:rPr>
                <w:rFonts w:cs="Tahoma"/>
              </w:rPr>
            </w:pPr>
            <w:r w:rsidRPr="00D36FBC">
              <w:rPr>
                <w:rFonts w:cs="Tahoma"/>
              </w:rPr>
              <w:t>Not serious</w:t>
            </w:r>
          </w:p>
        </w:tc>
        <w:tc>
          <w:tcPr>
            <w:tcW w:w="1072" w:type="dxa"/>
          </w:tcPr>
          <w:p w:rsidR="00CC3BA4" w:rsidRPr="00D36FBC" w:rsidRDefault="00CC3BA4" w:rsidP="00F13836">
            <w:pPr>
              <w:pStyle w:val="Tabletext"/>
              <w:rPr>
                <w:rFonts w:cs="Tahoma"/>
              </w:rPr>
            </w:pPr>
            <w:r w:rsidRPr="00D36FBC">
              <w:rPr>
                <w:rFonts w:cs="Tahoma"/>
              </w:rPr>
              <w:t>Not serious</w:t>
            </w:r>
          </w:p>
        </w:tc>
        <w:tc>
          <w:tcPr>
            <w:tcW w:w="1051" w:type="dxa"/>
          </w:tcPr>
          <w:p w:rsidR="00CC3BA4" w:rsidRPr="00D36FBC" w:rsidRDefault="00CC3BA4" w:rsidP="00F13836">
            <w:pPr>
              <w:pStyle w:val="Tabletext"/>
              <w:rPr>
                <w:rFonts w:cs="Tahoma"/>
              </w:rPr>
            </w:pPr>
            <w:r w:rsidRPr="00D36FBC">
              <w:rPr>
                <w:rFonts w:cs="Tahoma"/>
              </w:rPr>
              <w:t>Not serious</w:t>
            </w:r>
          </w:p>
        </w:tc>
        <w:tc>
          <w:tcPr>
            <w:tcW w:w="1075" w:type="dxa"/>
          </w:tcPr>
          <w:p w:rsidR="00CC3BA4" w:rsidRPr="00D36FBC" w:rsidRDefault="00CC3BA4" w:rsidP="00F13836">
            <w:pPr>
              <w:pStyle w:val="Tabletext"/>
              <w:rPr>
                <w:rFonts w:cs="Tahoma"/>
              </w:rPr>
            </w:pPr>
            <w:r>
              <w:rPr>
                <w:rFonts w:cs="Tahoma"/>
              </w:rPr>
              <w:t>S</w:t>
            </w:r>
            <w:r w:rsidRPr="00D36FBC">
              <w:rPr>
                <w:rFonts w:cs="Tahoma"/>
              </w:rPr>
              <w:t>erious</w:t>
            </w:r>
            <w:r>
              <w:rPr>
                <w:rFonts w:cs="Tahoma"/>
              </w:rPr>
              <w:t xml:space="preserve"> </w:t>
            </w:r>
            <w:r>
              <w:rPr>
                <w:rFonts w:cs="Tahoma"/>
                <w:vertAlign w:val="superscript"/>
              </w:rPr>
              <w:t>d</w:t>
            </w:r>
          </w:p>
        </w:tc>
        <w:tc>
          <w:tcPr>
            <w:tcW w:w="1230" w:type="dxa"/>
          </w:tcPr>
          <w:p w:rsidR="00CC3BA4" w:rsidRPr="00D36FBC" w:rsidRDefault="00CC3BA4" w:rsidP="00F13836">
            <w:pPr>
              <w:pStyle w:val="Tabletext"/>
              <w:rPr>
                <w:rFonts w:cs="Tahoma"/>
              </w:rPr>
            </w:pPr>
            <w:r>
              <w:rPr>
                <w:rFonts w:cs="Tahoma"/>
              </w:rPr>
              <w:t>Strong association</w:t>
            </w:r>
          </w:p>
        </w:tc>
        <w:tc>
          <w:tcPr>
            <w:tcW w:w="1417" w:type="dxa"/>
          </w:tcPr>
          <w:p w:rsidR="00CC3BA4" w:rsidRPr="00456F1B" w:rsidRDefault="00CC3BA4" w:rsidP="00F13836">
            <w:pPr>
              <w:pStyle w:val="Tabletext"/>
              <w:rPr>
                <w:rFonts w:cs="Tahoma"/>
              </w:rPr>
            </w:pPr>
            <w:r>
              <w:rPr>
                <w:rFonts w:cs="Tahoma"/>
              </w:rPr>
              <w:t>21/405 (5.2%)</w:t>
            </w:r>
          </w:p>
        </w:tc>
        <w:tc>
          <w:tcPr>
            <w:tcW w:w="1134" w:type="dxa"/>
          </w:tcPr>
          <w:p w:rsidR="00CC3BA4" w:rsidRPr="00456F1B" w:rsidRDefault="00CC3BA4" w:rsidP="00F13836">
            <w:pPr>
              <w:pStyle w:val="Tabletext"/>
              <w:rPr>
                <w:rFonts w:cs="Tahoma"/>
              </w:rPr>
            </w:pPr>
            <w:r w:rsidRPr="0077309F">
              <w:rPr>
                <w:rFonts w:cs="Tahoma"/>
              </w:rPr>
              <w:t>27/276 (9.8%)</w:t>
            </w:r>
          </w:p>
        </w:tc>
        <w:tc>
          <w:tcPr>
            <w:tcW w:w="993" w:type="dxa"/>
          </w:tcPr>
          <w:p w:rsidR="00CC3BA4" w:rsidRPr="00456F1B" w:rsidRDefault="00CC3BA4" w:rsidP="00F13836">
            <w:pPr>
              <w:pStyle w:val="Tabletext"/>
              <w:rPr>
                <w:rFonts w:cs="Tahoma"/>
              </w:rPr>
            </w:pPr>
            <w:r w:rsidRPr="0077309F">
              <w:rPr>
                <w:rFonts w:cs="Tahoma"/>
              </w:rPr>
              <w:t xml:space="preserve">RR </w:t>
            </w:r>
            <w:r>
              <w:rPr>
                <w:rFonts w:cs="Tahoma"/>
              </w:rPr>
              <w:t xml:space="preserve">= </w:t>
            </w:r>
            <w:r w:rsidRPr="0077309F">
              <w:rPr>
                <w:rFonts w:cs="Tahoma"/>
              </w:rPr>
              <w:t>0.60</w:t>
            </w:r>
            <w:r>
              <w:rPr>
                <w:rFonts w:cs="Tahoma"/>
              </w:rPr>
              <w:t xml:space="preserve"> </w:t>
            </w:r>
            <w:r w:rsidRPr="0077309F">
              <w:rPr>
                <w:rFonts w:cs="Tahoma"/>
              </w:rPr>
              <w:t>(0.34</w:t>
            </w:r>
            <w:r>
              <w:rPr>
                <w:rFonts w:cs="Tahoma"/>
              </w:rPr>
              <w:t>,</w:t>
            </w:r>
            <w:r w:rsidR="009F4016">
              <w:rPr>
                <w:rFonts w:cs="Tahoma"/>
              </w:rPr>
              <w:t xml:space="preserve"> 1.05)</w:t>
            </w:r>
          </w:p>
        </w:tc>
        <w:tc>
          <w:tcPr>
            <w:tcW w:w="2092" w:type="dxa"/>
          </w:tcPr>
          <w:p w:rsidR="00CC3BA4" w:rsidRPr="00D36FBC" w:rsidRDefault="00CC3BA4" w:rsidP="00F13836">
            <w:pPr>
              <w:pStyle w:val="Tabletext"/>
              <w:rPr>
                <w:rFonts w:cs="Tahoma"/>
              </w:rPr>
            </w:pPr>
            <w:r w:rsidRPr="0077309F">
              <w:rPr>
                <w:rFonts w:cs="Tahoma"/>
              </w:rPr>
              <w:t>39 fewer per 1,000</w:t>
            </w:r>
            <w:r>
              <w:rPr>
                <w:rFonts w:cs="Tahoma"/>
              </w:rPr>
              <w:br/>
            </w:r>
            <w:r w:rsidRPr="0077309F">
              <w:rPr>
                <w:rFonts w:cs="Tahoma"/>
              </w:rPr>
              <w:t>(from 5 more to 65 fewer)</w:t>
            </w:r>
          </w:p>
        </w:tc>
        <w:tc>
          <w:tcPr>
            <w:tcW w:w="1310" w:type="dxa"/>
          </w:tcPr>
          <w:p w:rsidR="00CC3BA4" w:rsidRDefault="00CC3BA4" w:rsidP="00F13836">
            <w:pPr>
              <w:pStyle w:val="Tabletext"/>
              <w:rPr>
                <w:rFonts w:ascii="Cambria Math" w:eastAsia="Times New Roman" w:hAnsi="Cambria Math" w:cs="Cambria Math"/>
                <w:bCs/>
              </w:rPr>
            </w:pPr>
            <w:r>
              <w:rPr>
                <w:rFonts w:eastAsia="Times New Roman" w:cs="Tahoma"/>
                <w:bCs/>
              </w:rPr>
              <w:t>High</w:t>
            </w:r>
            <w:r>
              <w:rPr>
                <w:rFonts w:eastAsia="Times New Roman" w:cs="Tahoma"/>
                <w:bCs/>
              </w:rPr>
              <w:br/>
            </w:r>
            <w:r w:rsidRPr="00E564DD">
              <w:rPr>
                <w:rFonts w:ascii="Cambria Math" w:eastAsia="Times New Roman" w:hAnsi="Cambria Math" w:cs="Cambria Math"/>
                <w:bCs/>
                <w:color w:val="00B050"/>
              </w:rPr>
              <w:t>⨁⨁⨁</w:t>
            </w:r>
            <w:r w:rsidRPr="00D36FBC">
              <w:rPr>
                <w:rFonts w:ascii="Cambria Math" w:eastAsia="Times New Roman" w:hAnsi="Cambria Math" w:cs="Cambria Math"/>
                <w:bCs/>
                <w:color w:val="00B050"/>
              </w:rPr>
              <w:t>⨁</w:t>
            </w:r>
          </w:p>
          <w:p w:rsidR="00CC3BA4" w:rsidRPr="00D36FBC" w:rsidRDefault="00CC3BA4" w:rsidP="00F13836">
            <w:pPr>
              <w:pStyle w:val="Tabletext"/>
              <w:rPr>
                <w:rFonts w:eastAsia="Times New Roman" w:cs="Cambria Math"/>
                <w:bCs/>
                <w:color w:val="00B050"/>
              </w:rPr>
            </w:pPr>
            <w:r>
              <w:rPr>
                <w:rFonts w:cs="Tahoma"/>
              </w:rPr>
              <w:t>I</w:t>
            </w:r>
            <w:r w:rsidRPr="00E564DD">
              <w:rPr>
                <w:rFonts w:cs="Tahoma"/>
              </w:rPr>
              <w:t>mportant</w:t>
            </w:r>
          </w:p>
        </w:tc>
      </w:tr>
      <w:tr w:rsidR="00B14FF5" w:rsidRPr="00D36FBC" w:rsidTr="00115AB1">
        <w:trPr>
          <w:trHeight w:val="319"/>
        </w:trPr>
        <w:tc>
          <w:tcPr>
            <w:tcW w:w="1493" w:type="dxa"/>
          </w:tcPr>
          <w:p w:rsidR="00B14FF5" w:rsidRPr="00D36FBC" w:rsidRDefault="00B14FF5" w:rsidP="00F13836">
            <w:pPr>
              <w:pStyle w:val="Tabletext"/>
              <w:rPr>
                <w:rFonts w:cs="Tahoma"/>
              </w:rPr>
            </w:pPr>
            <w:r w:rsidRPr="00D36FBC">
              <w:rPr>
                <w:rFonts w:cs="Tahoma"/>
              </w:rPr>
              <w:t>Change in 6MWD from baseline</w:t>
            </w:r>
            <w:r>
              <w:rPr>
                <w:rFonts w:cs="Tahoma"/>
              </w:rPr>
              <w:br/>
            </w:r>
            <w:r w:rsidRPr="00D36FBC">
              <w:rPr>
                <w:rFonts w:cs="Tahoma"/>
              </w:rPr>
              <w:t xml:space="preserve">(26 weeks) </w:t>
            </w:r>
          </w:p>
        </w:tc>
        <w:tc>
          <w:tcPr>
            <w:tcW w:w="1054" w:type="dxa"/>
          </w:tcPr>
          <w:p w:rsidR="00B14FF5" w:rsidRPr="00D36FBC" w:rsidRDefault="00B14FF5" w:rsidP="00F13836">
            <w:pPr>
              <w:pStyle w:val="Tabletext"/>
              <w:rPr>
                <w:rFonts w:cs="Tahoma"/>
              </w:rPr>
            </w:pPr>
            <w:r>
              <w:rPr>
                <w:rFonts w:cs="Tahoma"/>
              </w:rPr>
              <w:t>5</w:t>
            </w:r>
            <w:r w:rsidRPr="00D36FBC">
              <w:rPr>
                <w:rFonts w:cs="Tahoma"/>
              </w:rPr>
              <w:t xml:space="preserve"> RCT</w:t>
            </w:r>
            <w:r>
              <w:rPr>
                <w:rFonts w:cs="Tahoma"/>
              </w:rPr>
              <w:t>s</w:t>
            </w:r>
          </w:p>
        </w:tc>
        <w:tc>
          <w:tcPr>
            <w:tcW w:w="771" w:type="dxa"/>
          </w:tcPr>
          <w:p w:rsidR="00B14FF5" w:rsidRPr="00D36FBC" w:rsidRDefault="00B14FF5" w:rsidP="00F13836">
            <w:pPr>
              <w:pStyle w:val="Tabletext"/>
              <w:rPr>
                <w:rFonts w:cs="Tahoma"/>
              </w:rPr>
            </w:pPr>
            <w:r w:rsidRPr="00D36FBC">
              <w:rPr>
                <w:rFonts w:cs="Tahoma"/>
              </w:rPr>
              <w:t>Not serious</w:t>
            </w:r>
          </w:p>
        </w:tc>
        <w:tc>
          <w:tcPr>
            <w:tcW w:w="1072" w:type="dxa"/>
          </w:tcPr>
          <w:p w:rsidR="00B14FF5" w:rsidRPr="00D36FBC" w:rsidRDefault="00B14FF5" w:rsidP="00F13836">
            <w:pPr>
              <w:pStyle w:val="Tabletext"/>
              <w:rPr>
                <w:rFonts w:cs="Tahoma"/>
              </w:rPr>
            </w:pPr>
            <w:r w:rsidRPr="00D36FBC">
              <w:rPr>
                <w:rFonts w:cs="Tahoma"/>
              </w:rPr>
              <w:t>Not serious</w:t>
            </w:r>
          </w:p>
        </w:tc>
        <w:tc>
          <w:tcPr>
            <w:tcW w:w="1051" w:type="dxa"/>
          </w:tcPr>
          <w:p w:rsidR="00B14FF5" w:rsidRPr="00D36FBC" w:rsidRDefault="0084434D" w:rsidP="00F13836">
            <w:pPr>
              <w:pStyle w:val="Tabletext"/>
              <w:rPr>
                <w:rFonts w:cs="Tahoma"/>
              </w:rPr>
            </w:pPr>
            <w:r>
              <w:rPr>
                <w:rFonts w:cs="Tahoma"/>
              </w:rPr>
              <w:t>S</w:t>
            </w:r>
            <w:r w:rsidR="00B14FF5" w:rsidRPr="00D36FBC">
              <w:rPr>
                <w:rFonts w:cs="Tahoma"/>
              </w:rPr>
              <w:t>erious</w:t>
            </w:r>
            <w:r>
              <w:rPr>
                <w:rFonts w:cs="Tahoma"/>
              </w:rPr>
              <w:t xml:space="preserve"> </w:t>
            </w:r>
            <w:r w:rsidRPr="00C05257">
              <w:rPr>
                <w:rFonts w:cs="Tahoma"/>
                <w:vertAlign w:val="superscript"/>
              </w:rPr>
              <w:t>e</w:t>
            </w:r>
          </w:p>
        </w:tc>
        <w:tc>
          <w:tcPr>
            <w:tcW w:w="1075" w:type="dxa"/>
          </w:tcPr>
          <w:p w:rsidR="00B14FF5" w:rsidRPr="00D36FBC" w:rsidRDefault="00B14FF5" w:rsidP="00F13836">
            <w:pPr>
              <w:pStyle w:val="Tabletext"/>
              <w:rPr>
                <w:rFonts w:cs="Tahoma"/>
              </w:rPr>
            </w:pPr>
            <w:r w:rsidRPr="00D36FBC">
              <w:rPr>
                <w:rFonts w:cs="Tahoma"/>
              </w:rPr>
              <w:t>Not serious</w:t>
            </w:r>
          </w:p>
        </w:tc>
        <w:tc>
          <w:tcPr>
            <w:tcW w:w="1230" w:type="dxa"/>
          </w:tcPr>
          <w:p w:rsidR="00B14FF5" w:rsidRPr="00D36FBC" w:rsidRDefault="00B14FF5" w:rsidP="00F13836">
            <w:pPr>
              <w:pStyle w:val="Tabletext"/>
              <w:rPr>
                <w:rFonts w:cs="Tahoma"/>
              </w:rPr>
            </w:pPr>
            <w:r w:rsidRPr="00D36FBC">
              <w:rPr>
                <w:rFonts w:cs="Tahoma"/>
              </w:rPr>
              <w:t>None</w:t>
            </w:r>
          </w:p>
        </w:tc>
        <w:tc>
          <w:tcPr>
            <w:tcW w:w="1417" w:type="dxa"/>
          </w:tcPr>
          <w:p w:rsidR="00B14FF5" w:rsidRPr="00456F1B" w:rsidRDefault="00B14FF5" w:rsidP="00F13836">
            <w:pPr>
              <w:pStyle w:val="Tabletext"/>
              <w:rPr>
                <w:rFonts w:cs="Tahoma"/>
              </w:rPr>
            </w:pPr>
            <w:r w:rsidRPr="00B14FF5">
              <w:rPr>
                <w:rFonts w:cs="Tahoma"/>
              </w:rPr>
              <w:t>425 patients tested</w:t>
            </w:r>
          </w:p>
        </w:tc>
        <w:tc>
          <w:tcPr>
            <w:tcW w:w="1134" w:type="dxa"/>
          </w:tcPr>
          <w:p w:rsidR="00B14FF5" w:rsidRPr="00456F1B" w:rsidRDefault="00B14FF5" w:rsidP="00F13836">
            <w:pPr>
              <w:pStyle w:val="Tabletext"/>
              <w:rPr>
                <w:rFonts w:cs="Tahoma"/>
              </w:rPr>
            </w:pPr>
            <w:r w:rsidRPr="00B14FF5">
              <w:rPr>
                <w:rStyle w:val="cell-value"/>
                <w:rFonts w:asciiTheme="minorHAnsi" w:hAnsiTheme="minorHAnsi" w:cs="Tahoma"/>
              </w:rPr>
              <w:t>301</w:t>
            </w:r>
            <w:r w:rsidRPr="00B14FF5">
              <w:rPr>
                <w:rFonts w:cs="Tahoma"/>
              </w:rPr>
              <w:t xml:space="preserve"> patients tested</w:t>
            </w:r>
          </w:p>
        </w:tc>
        <w:tc>
          <w:tcPr>
            <w:tcW w:w="993" w:type="dxa"/>
          </w:tcPr>
          <w:p w:rsidR="00B14FF5" w:rsidRPr="001D2AD7" w:rsidRDefault="00B14FF5" w:rsidP="00F13836">
            <w:pPr>
              <w:pStyle w:val="Tabletext"/>
              <w:rPr>
                <w:rFonts w:cs="Tahoma"/>
              </w:rPr>
            </w:pPr>
            <w:r>
              <w:rPr>
                <w:rFonts w:cs="Tahoma"/>
              </w:rPr>
              <w:t>-</w:t>
            </w:r>
          </w:p>
        </w:tc>
        <w:tc>
          <w:tcPr>
            <w:tcW w:w="2092" w:type="dxa"/>
          </w:tcPr>
          <w:p w:rsidR="00B14FF5" w:rsidRPr="00B14FF5" w:rsidRDefault="00B14FF5" w:rsidP="001F1FDD">
            <w:pPr>
              <w:pStyle w:val="Tabletext"/>
              <w:rPr>
                <w:rFonts w:cs="Tahoma"/>
              </w:rPr>
            </w:pPr>
            <w:r w:rsidRPr="00B14FF5">
              <w:rPr>
                <w:rFonts w:cs="Tahoma"/>
              </w:rPr>
              <w:t>Me</w:t>
            </w:r>
            <w:r w:rsidR="00E85CDD">
              <w:rPr>
                <w:rFonts w:cs="Tahoma"/>
              </w:rPr>
              <w:t>di</w:t>
            </w:r>
            <w:r w:rsidRPr="00B14FF5">
              <w:rPr>
                <w:rFonts w:cs="Tahoma"/>
              </w:rPr>
              <w:t>an</w:t>
            </w:r>
            <w:r w:rsidR="00E85CDD">
              <w:rPr>
                <w:rFonts w:cs="Tahoma"/>
              </w:rPr>
              <w:t xml:space="preserve"> </w:t>
            </w:r>
            <w:r w:rsidR="001F1FDD">
              <w:rPr>
                <w:rFonts w:cs="Tahoma"/>
              </w:rPr>
              <w:t>MD</w:t>
            </w:r>
            <w:r w:rsidRPr="00B14FF5">
              <w:rPr>
                <w:rFonts w:cs="Tahoma"/>
              </w:rPr>
              <w:t xml:space="preserve"> 22.0 m further</w:t>
            </w:r>
            <w:r w:rsidRPr="00B14FF5">
              <w:rPr>
                <w:rFonts w:cs="Tahoma"/>
              </w:rPr>
              <w:br/>
              <w:t>(range 2.4 m less to 36.1 m further)</w:t>
            </w:r>
          </w:p>
        </w:tc>
        <w:tc>
          <w:tcPr>
            <w:tcW w:w="1310" w:type="dxa"/>
          </w:tcPr>
          <w:p w:rsidR="00B14FF5" w:rsidRDefault="0084434D" w:rsidP="00F13836">
            <w:pPr>
              <w:pStyle w:val="Tabletext"/>
              <w:rPr>
                <w:rFonts w:ascii="Cambria Math" w:eastAsia="Times New Roman" w:hAnsi="Cambria Math" w:cs="Cambria Math"/>
                <w:bCs/>
              </w:rPr>
            </w:pPr>
            <w:r>
              <w:rPr>
                <w:rFonts w:eastAsia="Times New Roman" w:cs="Tahoma"/>
                <w:bCs/>
              </w:rPr>
              <w:t>Moderate</w:t>
            </w:r>
            <w:r w:rsidR="00B14FF5">
              <w:rPr>
                <w:rFonts w:eastAsia="Times New Roman" w:cs="Tahoma"/>
                <w:bCs/>
              </w:rPr>
              <w:br/>
            </w:r>
            <w:r w:rsidR="00B14FF5"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B14FF5" w:rsidRPr="00B14FF5" w:rsidRDefault="00B14FF5" w:rsidP="00F13836">
            <w:pPr>
              <w:pStyle w:val="Tabletext"/>
              <w:rPr>
                <w:rFonts w:eastAsia="Times New Roman" w:cs="Tahoma"/>
                <w:bCs/>
              </w:rPr>
            </w:pPr>
            <w:r>
              <w:rPr>
                <w:rFonts w:cs="Tahoma"/>
              </w:rPr>
              <w:t>I</w:t>
            </w:r>
            <w:r w:rsidRPr="00E564DD">
              <w:rPr>
                <w:rFonts w:cs="Tahoma"/>
              </w:rPr>
              <w:t>mportant</w:t>
            </w:r>
          </w:p>
        </w:tc>
      </w:tr>
      <w:tr w:rsidR="00CC3BA4" w:rsidRPr="00D36FBC" w:rsidTr="00115AB1">
        <w:trPr>
          <w:trHeight w:val="990"/>
        </w:trPr>
        <w:tc>
          <w:tcPr>
            <w:tcW w:w="1493" w:type="dxa"/>
          </w:tcPr>
          <w:p w:rsidR="00CC3BA4" w:rsidRPr="00D36FBC" w:rsidRDefault="00CC3BA4" w:rsidP="00F13836">
            <w:pPr>
              <w:pStyle w:val="Tabletext"/>
              <w:rPr>
                <w:rFonts w:cs="Tahoma"/>
              </w:rPr>
            </w:pPr>
            <w:r w:rsidRPr="00D36FBC">
              <w:rPr>
                <w:rFonts w:cs="Tahoma"/>
              </w:rPr>
              <w:lastRenderedPageBreak/>
              <w:t xml:space="preserve">Change in </w:t>
            </w:r>
            <w:r>
              <w:rPr>
                <w:rFonts w:cs="Tahoma"/>
              </w:rPr>
              <w:t xml:space="preserve">haemodynamic parameters </w:t>
            </w:r>
            <w:r w:rsidRPr="00D36FBC">
              <w:rPr>
                <w:rFonts w:cs="Tahoma"/>
              </w:rPr>
              <w:t>from baseline</w:t>
            </w:r>
            <w:r>
              <w:rPr>
                <w:rFonts w:cs="Tahoma"/>
              </w:rPr>
              <w:br/>
            </w:r>
            <w:r w:rsidRPr="00D36FBC">
              <w:rPr>
                <w:rFonts w:cs="Tahoma"/>
              </w:rPr>
              <w:t>(</w:t>
            </w:r>
            <w:r>
              <w:rPr>
                <w:rFonts w:cs="Tahoma"/>
              </w:rPr>
              <w:t>1</w:t>
            </w:r>
            <w:r w:rsidRPr="00D36FBC">
              <w:rPr>
                <w:rFonts w:cs="Tahoma"/>
              </w:rPr>
              <w:t xml:space="preserve">6 weeks) </w:t>
            </w:r>
          </w:p>
        </w:tc>
        <w:tc>
          <w:tcPr>
            <w:tcW w:w="1054" w:type="dxa"/>
          </w:tcPr>
          <w:p w:rsidR="00CC3BA4" w:rsidRPr="00D36FBC" w:rsidRDefault="00CC3BA4" w:rsidP="00F13836">
            <w:pPr>
              <w:pStyle w:val="Tabletext"/>
              <w:rPr>
                <w:rFonts w:cs="Tahoma"/>
              </w:rPr>
            </w:pPr>
            <w:r w:rsidRPr="00D36FBC">
              <w:rPr>
                <w:rFonts w:cs="Tahoma"/>
              </w:rPr>
              <w:t>1 RCT</w:t>
            </w:r>
          </w:p>
        </w:tc>
        <w:tc>
          <w:tcPr>
            <w:tcW w:w="771" w:type="dxa"/>
          </w:tcPr>
          <w:p w:rsidR="00CC3BA4" w:rsidRPr="00D36FBC" w:rsidRDefault="00CC3BA4" w:rsidP="00F13836">
            <w:pPr>
              <w:pStyle w:val="Tabletext"/>
              <w:rPr>
                <w:rFonts w:cs="Tahoma"/>
              </w:rPr>
            </w:pPr>
            <w:r w:rsidRPr="00D36FBC">
              <w:rPr>
                <w:rFonts w:cs="Tahoma"/>
              </w:rPr>
              <w:t>Not serious</w:t>
            </w:r>
          </w:p>
        </w:tc>
        <w:tc>
          <w:tcPr>
            <w:tcW w:w="1072" w:type="dxa"/>
          </w:tcPr>
          <w:p w:rsidR="00CC3BA4" w:rsidRPr="00D36FBC" w:rsidRDefault="00CC3BA4" w:rsidP="00F13836">
            <w:pPr>
              <w:pStyle w:val="Tabletext"/>
              <w:rPr>
                <w:rFonts w:cs="Tahoma"/>
              </w:rPr>
            </w:pPr>
            <w:r w:rsidRPr="00D36FBC">
              <w:rPr>
                <w:rFonts w:cs="Tahoma"/>
              </w:rPr>
              <w:t>Not serious</w:t>
            </w:r>
          </w:p>
        </w:tc>
        <w:tc>
          <w:tcPr>
            <w:tcW w:w="1051" w:type="dxa"/>
          </w:tcPr>
          <w:p w:rsidR="00CC3BA4" w:rsidRPr="00C05257" w:rsidRDefault="0084434D" w:rsidP="00A76779">
            <w:pPr>
              <w:pStyle w:val="Tabletext"/>
              <w:rPr>
                <w:rFonts w:cs="Tahoma"/>
                <w:vertAlign w:val="superscript"/>
              </w:rPr>
            </w:pPr>
            <w:r>
              <w:rPr>
                <w:rFonts w:cs="Tahoma"/>
              </w:rPr>
              <w:t>Very</w:t>
            </w:r>
            <w:r w:rsidRPr="00D36FBC">
              <w:rPr>
                <w:rFonts w:cs="Tahoma"/>
              </w:rPr>
              <w:t xml:space="preserve"> </w:t>
            </w:r>
            <w:r w:rsidR="00CC3BA4" w:rsidRPr="00D36FBC">
              <w:rPr>
                <w:rFonts w:cs="Tahoma"/>
              </w:rPr>
              <w:t>serious</w:t>
            </w:r>
            <w:r w:rsidR="00872747">
              <w:rPr>
                <w:rFonts w:cs="Tahoma"/>
              </w:rPr>
              <w:t xml:space="preserve"> </w:t>
            </w:r>
            <w:r>
              <w:rPr>
                <w:rFonts w:cs="Tahoma"/>
                <w:vertAlign w:val="superscript"/>
              </w:rPr>
              <w:t>e</w:t>
            </w:r>
          </w:p>
        </w:tc>
        <w:tc>
          <w:tcPr>
            <w:tcW w:w="1075" w:type="dxa"/>
          </w:tcPr>
          <w:p w:rsidR="00CC3BA4" w:rsidRPr="00D36FBC" w:rsidRDefault="00872747" w:rsidP="00872747">
            <w:pPr>
              <w:pStyle w:val="Tabletext"/>
              <w:rPr>
                <w:rFonts w:cs="Tahoma"/>
              </w:rPr>
            </w:pPr>
            <w:r>
              <w:rPr>
                <w:rFonts w:cs="Tahoma"/>
              </w:rPr>
              <w:t>Not s</w:t>
            </w:r>
            <w:r w:rsidR="00CC3BA4" w:rsidRPr="00D36FBC">
              <w:rPr>
                <w:rFonts w:cs="Tahoma"/>
              </w:rPr>
              <w:t>erious</w:t>
            </w:r>
          </w:p>
        </w:tc>
        <w:tc>
          <w:tcPr>
            <w:tcW w:w="1230" w:type="dxa"/>
          </w:tcPr>
          <w:p w:rsidR="00CC3BA4" w:rsidRPr="00D36FBC" w:rsidRDefault="00CC3BA4" w:rsidP="00F13836">
            <w:pPr>
              <w:pStyle w:val="Tabletext"/>
              <w:rPr>
                <w:rFonts w:cs="Tahoma"/>
              </w:rPr>
            </w:pPr>
            <w:r w:rsidRPr="00D36FBC">
              <w:rPr>
                <w:rFonts w:cs="Tahoma"/>
              </w:rPr>
              <w:t>None</w:t>
            </w:r>
          </w:p>
        </w:tc>
        <w:tc>
          <w:tcPr>
            <w:tcW w:w="1417" w:type="dxa"/>
          </w:tcPr>
          <w:p w:rsidR="00CC3BA4" w:rsidRPr="0077309F" w:rsidRDefault="00CC3BA4" w:rsidP="00F13836">
            <w:pPr>
              <w:pStyle w:val="Tabletext"/>
              <w:rPr>
                <w:rFonts w:eastAsia="Times New Roman"/>
              </w:rPr>
            </w:pPr>
            <w:r>
              <w:rPr>
                <w:rFonts w:eastAsia="Times New Roman"/>
              </w:rPr>
              <w:t>60</w:t>
            </w:r>
            <w:r w:rsidRPr="00456F1B">
              <w:rPr>
                <w:rFonts w:eastAsia="Times New Roman"/>
              </w:rPr>
              <w:t xml:space="preserve"> patients tested</w:t>
            </w:r>
          </w:p>
        </w:tc>
        <w:tc>
          <w:tcPr>
            <w:tcW w:w="1134" w:type="dxa"/>
          </w:tcPr>
          <w:p w:rsidR="00CC3BA4" w:rsidRPr="0077309F" w:rsidRDefault="00CC3BA4" w:rsidP="00F13836">
            <w:pPr>
              <w:pStyle w:val="Tabletext"/>
              <w:rPr>
                <w:rFonts w:eastAsia="Times New Roman"/>
              </w:rPr>
            </w:pPr>
            <w:r w:rsidRPr="00456F1B">
              <w:rPr>
                <w:rStyle w:val="cell-value"/>
                <w:rFonts w:asciiTheme="minorHAnsi" w:eastAsia="Times New Roman" w:hAnsiTheme="minorHAnsi"/>
              </w:rPr>
              <w:t>6</w:t>
            </w:r>
            <w:r>
              <w:rPr>
                <w:rStyle w:val="cell-value"/>
                <w:rFonts w:asciiTheme="minorHAnsi" w:eastAsia="Times New Roman" w:hAnsiTheme="minorHAnsi"/>
              </w:rPr>
              <w:t>4</w:t>
            </w:r>
            <w:r w:rsidRPr="00456F1B">
              <w:rPr>
                <w:rFonts w:eastAsia="Times New Roman"/>
              </w:rPr>
              <w:t xml:space="preserve"> patients tested</w:t>
            </w:r>
          </w:p>
        </w:tc>
        <w:tc>
          <w:tcPr>
            <w:tcW w:w="993" w:type="dxa"/>
          </w:tcPr>
          <w:p w:rsidR="00CC3BA4" w:rsidRPr="0077309F" w:rsidRDefault="00CC3BA4" w:rsidP="00F13836">
            <w:pPr>
              <w:pStyle w:val="Tabletext"/>
              <w:rPr>
                <w:rFonts w:eastAsia="Times New Roman"/>
                <w:bCs/>
              </w:rPr>
            </w:pPr>
            <w:r w:rsidRPr="0077309F">
              <w:rPr>
                <w:rFonts w:eastAsia="Times New Roman"/>
                <w:bCs/>
              </w:rPr>
              <w:t>-</w:t>
            </w:r>
          </w:p>
        </w:tc>
        <w:tc>
          <w:tcPr>
            <w:tcW w:w="2092" w:type="dxa"/>
          </w:tcPr>
          <w:p w:rsidR="00CC3BA4" w:rsidRDefault="00E25FAA" w:rsidP="00F13836">
            <w:pPr>
              <w:pStyle w:val="Tabletext"/>
              <w:rPr>
                <w:rFonts w:cs="Tahoma"/>
              </w:rPr>
            </w:pPr>
            <w:r>
              <w:rPr>
                <w:rFonts w:cs="Tahoma"/>
              </w:rPr>
              <w:t>PVR</w:t>
            </w:r>
            <w:r>
              <w:rPr>
                <w:rFonts w:cs="Tahoma"/>
              </w:rPr>
              <w:br/>
              <w:t>MD</w:t>
            </w:r>
            <w:r w:rsidR="00CC3BA4">
              <w:rPr>
                <w:rFonts w:cs="Tahoma"/>
              </w:rPr>
              <w:t xml:space="preserve"> 13.9% improvement</w:t>
            </w:r>
          </w:p>
          <w:p w:rsidR="00CC3BA4" w:rsidRPr="0077309F" w:rsidRDefault="00E25FAA" w:rsidP="00F13836">
            <w:pPr>
              <w:pStyle w:val="Tabletext"/>
              <w:rPr>
                <w:rFonts w:cs="Tahoma"/>
              </w:rPr>
            </w:pPr>
            <w:r>
              <w:rPr>
                <w:rFonts w:cs="Tahoma"/>
              </w:rPr>
              <w:t>mPAP</w:t>
            </w:r>
            <w:r>
              <w:rPr>
                <w:rFonts w:cs="Tahoma"/>
              </w:rPr>
              <w:br/>
              <w:t>MD</w:t>
            </w:r>
            <w:r w:rsidR="00CC3BA4">
              <w:rPr>
                <w:rFonts w:cs="Tahoma"/>
              </w:rPr>
              <w:t xml:space="preserve"> 8.5% improvement</w:t>
            </w:r>
          </w:p>
        </w:tc>
        <w:tc>
          <w:tcPr>
            <w:tcW w:w="1310" w:type="dxa"/>
          </w:tcPr>
          <w:p w:rsidR="00CC3BA4" w:rsidRDefault="0084434D" w:rsidP="00F13836">
            <w:pPr>
              <w:pStyle w:val="Tabletext"/>
              <w:rPr>
                <w:rFonts w:ascii="Cambria Math" w:eastAsia="Times New Roman" w:hAnsi="Cambria Math" w:cs="Cambria Math"/>
                <w:bCs/>
              </w:rPr>
            </w:pPr>
            <w:r>
              <w:rPr>
                <w:rFonts w:eastAsia="Times New Roman" w:cs="Tahoma"/>
                <w:bCs/>
              </w:rPr>
              <w:t>Low</w:t>
            </w:r>
            <w:r w:rsidR="00CC3BA4">
              <w:rPr>
                <w:rFonts w:eastAsia="Times New Roman" w:cs="Tahoma"/>
                <w:bCs/>
              </w:rPr>
              <w:br/>
            </w:r>
            <w:r w:rsidR="00CC3BA4">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77309F" w:rsidRDefault="00CC3BA4" w:rsidP="00F13836">
            <w:pPr>
              <w:pStyle w:val="Tabletext"/>
              <w:rPr>
                <w:rFonts w:eastAsia="Times New Roman" w:cs="Tahoma"/>
                <w:bCs/>
              </w:rPr>
            </w:pPr>
            <w:r>
              <w:rPr>
                <w:rFonts w:cs="Tahoma"/>
              </w:rPr>
              <w:t>Not i</w:t>
            </w:r>
            <w:r w:rsidRPr="00E564DD">
              <w:rPr>
                <w:rFonts w:cs="Tahoma"/>
              </w:rPr>
              <w:t>mportant</w:t>
            </w:r>
          </w:p>
        </w:tc>
      </w:tr>
    </w:tbl>
    <w:p w:rsidR="00CC3BA4" w:rsidRPr="00AA018C" w:rsidRDefault="00CC3BA4" w:rsidP="00F13836">
      <w:pPr>
        <w:pStyle w:val="Tablenote"/>
      </w:pPr>
      <w:r w:rsidRPr="00E564DD">
        <w:rPr>
          <w:vertAlign w:val="superscript"/>
        </w:rPr>
        <w:t xml:space="preserve">a </w:t>
      </w:r>
      <w:r w:rsidRPr="00AA018C">
        <w:t>O</w:t>
      </w:r>
      <w:r>
        <w:t>ther considerations such as publication bias and effect size</w:t>
      </w:r>
    </w:p>
    <w:p w:rsidR="00CC3BA4" w:rsidRDefault="00CC3BA4" w:rsidP="00F13836">
      <w:pPr>
        <w:pStyle w:val="Tablenote"/>
      </w:pPr>
      <w:r>
        <w:rPr>
          <w:vertAlign w:val="superscript"/>
        </w:rPr>
        <w:t xml:space="preserve">b </w:t>
      </w:r>
      <w:r w:rsidRPr="00E564DD">
        <w:t>GRADE W</w:t>
      </w:r>
      <w:r>
        <w:t>orking Group grades of evidence</w:t>
      </w:r>
      <w:r w:rsidR="001D34EE" w:rsidRPr="001D34EE">
        <w:rPr>
          <w:noProof/>
          <w:vertAlign w:val="superscript"/>
        </w:rPr>
        <w:t>1</w:t>
      </w:r>
    </w:p>
    <w:p w:rsidR="00CC3BA4" w:rsidRDefault="00CC3BA4" w:rsidP="00F13836">
      <w:pPr>
        <w:pStyle w:val="Tablenote"/>
      </w:pPr>
      <w:r>
        <w:rPr>
          <w:vertAlign w:val="superscript"/>
        </w:rPr>
        <w:t xml:space="preserve">c </w:t>
      </w:r>
      <w:r>
        <w:t>T</w:t>
      </w:r>
      <w:r w:rsidRPr="00CA02C0">
        <w:t>rials show results trending in opposite directions</w:t>
      </w:r>
    </w:p>
    <w:p w:rsidR="00CC3BA4" w:rsidRDefault="00CC3BA4" w:rsidP="00F13836">
      <w:pPr>
        <w:pStyle w:val="Tablenote"/>
      </w:pPr>
      <w:r>
        <w:rPr>
          <w:vertAlign w:val="superscript"/>
        </w:rPr>
        <w:t>d</w:t>
      </w:r>
      <w:r w:rsidRPr="00E564DD">
        <w:t xml:space="preserve"> </w:t>
      </w:r>
      <w:r>
        <w:t>Wide 95% CIs span 1</w:t>
      </w:r>
    </w:p>
    <w:p w:rsidR="0084434D" w:rsidRPr="0084434D" w:rsidRDefault="0084434D" w:rsidP="00F13836">
      <w:pPr>
        <w:pStyle w:val="Tablenote"/>
      </w:pPr>
      <w:r>
        <w:rPr>
          <w:vertAlign w:val="superscript"/>
        </w:rPr>
        <w:t xml:space="preserve">e </w:t>
      </w:r>
      <w:r>
        <w:t>Surrogate outcome</w:t>
      </w:r>
    </w:p>
    <w:p w:rsidR="00CC3BA4" w:rsidRPr="00E564DD" w:rsidRDefault="00CC3BA4" w:rsidP="00F13836">
      <w:pPr>
        <w:pStyle w:val="Tablenote"/>
      </w:pPr>
      <w:r w:rsidRPr="00E564DD">
        <w:rPr>
          <w:rFonts w:ascii="Cambria Math" w:hAnsi="Cambria Math" w:cs="Cambria Math"/>
          <w:color w:val="00B050"/>
        </w:rPr>
        <w:t>⨁⨁⨁⨁</w:t>
      </w:r>
      <w:r w:rsidRPr="00E564DD">
        <w:rPr>
          <w:color w:val="00B050"/>
        </w:rPr>
        <w:t xml:space="preserve"> </w:t>
      </w:r>
      <w:r w:rsidRPr="00E564DD">
        <w:rPr>
          <w:b/>
        </w:rPr>
        <w:t>High quality:</w:t>
      </w:r>
      <w:r w:rsidRPr="00E564DD">
        <w:t xml:space="preserve"> We are very confident that the true effect lies close to that of the estimate of effect</w:t>
      </w:r>
    </w:p>
    <w:p w:rsidR="00CC3BA4" w:rsidRPr="00E564DD" w:rsidRDefault="00CC3BA4" w:rsidP="00F13836">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84434D" w:rsidRPr="00E564DD" w:rsidRDefault="0084434D" w:rsidP="0084434D">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Low quality:</w:t>
      </w:r>
      <w:r w:rsidRPr="00E564DD">
        <w:t xml:space="preserve"> Our confidence in the effect estimate is limited: The true effect may be substantially different from the estimate of the effect</w:t>
      </w:r>
    </w:p>
    <w:p w:rsidR="00C871F2" w:rsidRDefault="00CC3BA4" w:rsidP="00F13836">
      <w:pPr>
        <w:pStyle w:val="Tablenote"/>
      </w:pPr>
      <w:r>
        <w:t xml:space="preserve">6MWD = 6-minute </w:t>
      </w:r>
      <w:r w:rsidR="0082368E">
        <w:t>walk distance</w:t>
      </w:r>
      <w:r>
        <w: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7C6567" w:rsidRPr="00F24B06">
        <w:t xml:space="preserve">; </w:t>
      </w:r>
      <w:r>
        <w:t xml:space="preserve">MD = mean difference; </w:t>
      </w:r>
      <w:r w:rsidR="004510DE">
        <w:t>mPAP = mean pulmonary artery</w:t>
      </w:r>
      <w:r w:rsidR="007C6567" w:rsidRPr="00DC16A3">
        <w:t xml:space="preserve"> pressure; </w:t>
      </w:r>
      <w:r w:rsidRPr="00C65B42">
        <w:t xml:space="preserve">PAH = pulmonary arterial hypertension; </w:t>
      </w:r>
      <w:r w:rsidRPr="009B5AB3">
        <w:t>PDE-5</w:t>
      </w:r>
      <w:r w:rsidR="007C6567">
        <w:t>i</w:t>
      </w:r>
      <w:r w:rsidRPr="009B5AB3">
        <w:t xml:space="preserve"> = phosphodiesterase type-5</w:t>
      </w:r>
      <w:r w:rsidR="007C6567">
        <w:t xml:space="preserve"> inhibitor</w:t>
      </w:r>
      <w:r>
        <w:t>;</w:t>
      </w:r>
      <w:r w:rsidRPr="009B5AB3">
        <w:t xml:space="preserve"> </w:t>
      </w:r>
      <w:r w:rsidRPr="009123E2">
        <w:t>PVR</w:t>
      </w:r>
      <w:r>
        <w:t xml:space="preserve"> = p</w:t>
      </w:r>
      <w:r w:rsidRPr="009123E2">
        <w:t xml:space="preserve">ulmonary </w:t>
      </w:r>
      <w:r>
        <w:t>v</w:t>
      </w:r>
      <w:r w:rsidRPr="009123E2">
        <w:t xml:space="preserve">ascular </w:t>
      </w:r>
      <w:r>
        <w:t>r</w:t>
      </w:r>
      <w:r w:rsidRPr="009123E2">
        <w:t>esistance</w:t>
      </w:r>
      <w:r>
        <w:t>; RCT = randomised controlled trial; RR = relative risk; WHO = World Health Organization</w:t>
      </w:r>
    </w:p>
    <w:p w:rsidR="00CC3BA4" w:rsidRPr="005D4CA0" w:rsidRDefault="00796F18" w:rsidP="00BC5A2B">
      <w:pPr>
        <w:pStyle w:val="Caption"/>
      </w:pPr>
      <w:bookmarkStart w:id="520" w:name="_Toc512855561"/>
      <w:r>
        <w:t>Table 4.</w:t>
      </w:r>
      <w:r w:rsidR="00AA722D">
        <w:rPr>
          <w:noProof/>
        </w:rPr>
        <w:t>157</w:t>
      </w:r>
      <w:r>
        <w:tab/>
      </w:r>
      <w:r w:rsidR="00CC3BA4" w:rsidRPr="005D4CA0">
        <w:t xml:space="preserve">Evidence profile table for </w:t>
      </w:r>
      <w:r w:rsidR="00CC3BA4">
        <w:t xml:space="preserve">effectiveness of PDE-5 inhibitor </w:t>
      </w:r>
      <w:r w:rsidR="006A0576">
        <w:t>plus</w:t>
      </w:r>
      <w:r w:rsidR="00CC3BA4">
        <w:t xml:space="preserve"> </w:t>
      </w:r>
      <w:r w:rsidR="00CC3BA4" w:rsidRPr="005D4CA0">
        <w:t xml:space="preserve">ERA </w:t>
      </w:r>
      <w:r w:rsidR="00CC3BA4">
        <w:t xml:space="preserve">combination therapy </w:t>
      </w:r>
      <w:r w:rsidR="00CC3BA4" w:rsidRPr="005D4CA0">
        <w:t xml:space="preserve">compared to </w:t>
      </w:r>
      <w:r w:rsidR="00CC3BA4">
        <w:t>ERA</w:t>
      </w:r>
      <w:r w:rsidR="00CC3BA4" w:rsidRPr="005D4CA0">
        <w:t xml:space="preserve"> </w:t>
      </w:r>
      <w:r w:rsidR="00CC3BA4">
        <w:t xml:space="preserve">monotherapy </w:t>
      </w:r>
      <w:r w:rsidR="00CC3BA4" w:rsidRPr="005D4CA0">
        <w:t xml:space="preserve">for </w:t>
      </w:r>
      <w:r w:rsidR="00CC3BA4">
        <w:t>patients with WHO FC III/IV PAH</w:t>
      </w:r>
      <w:bookmarkEnd w:id="520"/>
    </w:p>
    <w:tbl>
      <w:tblPr>
        <w:tblStyle w:val="TableGrid"/>
        <w:tblW w:w="14596" w:type="dxa"/>
        <w:tblLayout w:type="fixed"/>
        <w:tblLook w:val="04A0" w:firstRow="1" w:lastRow="0" w:firstColumn="1" w:lastColumn="0" w:noHBand="0" w:noVBand="1"/>
        <w:tblCaption w:val="Evidence profile table for effectiveness of PDE-5 inhibitor plus ERA combination therapy compared to ERA monotherapy for patients with WHO FC III/IV PAH"/>
      </w:tblPr>
      <w:tblGrid>
        <w:gridCol w:w="1493"/>
        <w:gridCol w:w="1054"/>
        <w:gridCol w:w="912"/>
        <w:gridCol w:w="931"/>
        <w:gridCol w:w="992"/>
        <w:gridCol w:w="992"/>
        <w:gridCol w:w="1276"/>
        <w:gridCol w:w="1417"/>
        <w:gridCol w:w="1134"/>
        <w:gridCol w:w="993"/>
        <w:gridCol w:w="2188"/>
        <w:gridCol w:w="1214"/>
      </w:tblGrid>
      <w:tr w:rsidR="00F13836" w:rsidRPr="00F13836" w:rsidTr="00115AB1">
        <w:trPr>
          <w:cnfStyle w:val="100000000000" w:firstRow="1" w:lastRow="0" w:firstColumn="0" w:lastColumn="0" w:oddVBand="0" w:evenVBand="0" w:oddHBand="0" w:evenHBand="0" w:firstRowFirstColumn="0" w:firstRowLastColumn="0" w:lastRowFirstColumn="0" w:lastRowLastColumn="0"/>
          <w:trHeight w:val="511"/>
        </w:trPr>
        <w:tc>
          <w:tcPr>
            <w:tcW w:w="1493" w:type="dxa"/>
          </w:tcPr>
          <w:p w:rsidR="00476F09" w:rsidRPr="00F13836" w:rsidRDefault="00476F09" w:rsidP="00F13836">
            <w:pPr>
              <w:pStyle w:val="Tabletext"/>
              <w:rPr>
                <w:b/>
              </w:rPr>
            </w:pPr>
            <w:r w:rsidRPr="00F13836">
              <w:rPr>
                <w:b/>
              </w:rPr>
              <w:t>Outcome (follow-up)</w:t>
            </w:r>
          </w:p>
        </w:tc>
        <w:tc>
          <w:tcPr>
            <w:tcW w:w="1054" w:type="dxa"/>
          </w:tcPr>
          <w:p w:rsidR="00476F09" w:rsidRPr="00F13836" w:rsidRDefault="00476F09" w:rsidP="00F13836">
            <w:pPr>
              <w:pStyle w:val="Tabletext"/>
              <w:rPr>
                <w:b/>
              </w:rPr>
            </w:pPr>
            <w:r w:rsidRPr="00F13836">
              <w:rPr>
                <w:b/>
              </w:rPr>
              <w:t>No. of studies and study design</w:t>
            </w:r>
          </w:p>
        </w:tc>
        <w:tc>
          <w:tcPr>
            <w:tcW w:w="912" w:type="dxa"/>
          </w:tcPr>
          <w:p w:rsidR="00476F09" w:rsidRPr="00F13836" w:rsidRDefault="00476F09" w:rsidP="00F13836">
            <w:pPr>
              <w:pStyle w:val="Tabletext"/>
              <w:rPr>
                <w:b/>
              </w:rPr>
            </w:pPr>
            <w:r w:rsidRPr="00F13836">
              <w:rPr>
                <w:b/>
              </w:rPr>
              <w:t>Risk of bias</w:t>
            </w:r>
          </w:p>
        </w:tc>
        <w:tc>
          <w:tcPr>
            <w:tcW w:w="931" w:type="dxa"/>
          </w:tcPr>
          <w:p w:rsidR="00476F09" w:rsidRPr="00F13836" w:rsidRDefault="00476F09" w:rsidP="00F13836">
            <w:pPr>
              <w:pStyle w:val="Tabletext"/>
              <w:rPr>
                <w:b/>
              </w:rPr>
            </w:pPr>
            <w:r w:rsidRPr="00F13836">
              <w:rPr>
                <w:b/>
              </w:rPr>
              <w:t>Incon</w:t>
            </w:r>
            <w:r w:rsidR="00115AB1">
              <w:rPr>
                <w:b/>
              </w:rPr>
              <w:t>-</w:t>
            </w:r>
            <w:r w:rsidRPr="00F13836">
              <w:rPr>
                <w:b/>
              </w:rPr>
              <w:t>sistency</w:t>
            </w:r>
          </w:p>
        </w:tc>
        <w:tc>
          <w:tcPr>
            <w:tcW w:w="992" w:type="dxa"/>
          </w:tcPr>
          <w:p w:rsidR="00476F09" w:rsidRPr="00F13836" w:rsidRDefault="00476F09" w:rsidP="00F13836">
            <w:pPr>
              <w:pStyle w:val="Tabletext"/>
              <w:rPr>
                <w:b/>
              </w:rPr>
            </w:pPr>
            <w:r w:rsidRPr="00F13836">
              <w:rPr>
                <w:b/>
              </w:rPr>
              <w:t>Indirect</w:t>
            </w:r>
            <w:r w:rsidR="00115AB1">
              <w:rPr>
                <w:b/>
              </w:rPr>
              <w:t>-</w:t>
            </w:r>
            <w:r w:rsidRPr="00F13836">
              <w:rPr>
                <w:b/>
              </w:rPr>
              <w:t>ness</w:t>
            </w:r>
          </w:p>
        </w:tc>
        <w:tc>
          <w:tcPr>
            <w:tcW w:w="992" w:type="dxa"/>
          </w:tcPr>
          <w:p w:rsidR="00476F09" w:rsidRPr="00F13836" w:rsidRDefault="00476F09" w:rsidP="00F13836">
            <w:pPr>
              <w:pStyle w:val="Tabletext"/>
              <w:rPr>
                <w:b/>
              </w:rPr>
            </w:pPr>
            <w:r w:rsidRPr="00F13836">
              <w:rPr>
                <w:b/>
              </w:rPr>
              <w:t>Impre</w:t>
            </w:r>
            <w:r w:rsidR="00115AB1">
              <w:rPr>
                <w:b/>
              </w:rPr>
              <w:t>-</w:t>
            </w:r>
            <w:r w:rsidRPr="00F13836">
              <w:rPr>
                <w:b/>
              </w:rPr>
              <w:t>cision</w:t>
            </w:r>
          </w:p>
        </w:tc>
        <w:tc>
          <w:tcPr>
            <w:tcW w:w="1276" w:type="dxa"/>
          </w:tcPr>
          <w:p w:rsidR="00476F09" w:rsidRPr="00F13836" w:rsidRDefault="00476F09" w:rsidP="00F13836">
            <w:pPr>
              <w:pStyle w:val="Tabletext"/>
              <w:rPr>
                <w:b/>
              </w:rPr>
            </w:pPr>
            <w:r w:rsidRPr="00F13836">
              <w:rPr>
                <w:b/>
              </w:rPr>
              <w:t>Other conside</w:t>
            </w:r>
            <w:r w:rsidR="00115AB1">
              <w:rPr>
                <w:b/>
              </w:rPr>
              <w:t>-</w:t>
            </w:r>
            <w:r w:rsidRPr="00F13836">
              <w:rPr>
                <w:b/>
              </w:rPr>
              <w:t>rations</w:t>
            </w:r>
            <w:r w:rsidRPr="00F13836">
              <w:rPr>
                <w:b/>
                <w:vertAlign w:val="superscript"/>
              </w:rPr>
              <w:t>a</w:t>
            </w:r>
          </w:p>
        </w:tc>
        <w:tc>
          <w:tcPr>
            <w:tcW w:w="1417" w:type="dxa"/>
          </w:tcPr>
          <w:p w:rsidR="00476F09" w:rsidRPr="00F13836" w:rsidRDefault="00476F09" w:rsidP="00F13836">
            <w:pPr>
              <w:pStyle w:val="Tabletext"/>
              <w:rPr>
                <w:b/>
              </w:rPr>
            </w:pPr>
            <w:r w:rsidRPr="00F13836">
              <w:rPr>
                <w:b/>
              </w:rPr>
              <w:t>Study event rates (%) with PDE-5i + ERA</w:t>
            </w:r>
          </w:p>
        </w:tc>
        <w:tc>
          <w:tcPr>
            <w:tcW w:w="1134" w:type="dxa"/>
          </w:tcPr>
          <w:p w:rsidR="00476F09" w:rsidRPr="00F13836" w:rsidRDefault="00476F09" w:rsidP="00F13836">
            <w:pPr>
              <w:pStyle w:val="Tabletext"/>
              <w:rPr>
                <w:b/>
              </w:rPr>
            </w:pPr>
            <w:r w:rsidRPr="00F13836">
              <w:rPr>
                <w:b/>
              </w:rPr>
              <w:t>Study event rates (%) with ERA</w:t>
            </w:r>
          </w:p>
        </w:tc>
        <w:tc>
          <w:tcPr>
            <w:tcW w:w="993" w:type="dxa"/>
          </w:tcPr>
          <w:p w:rsidR="00476F09" w:rsidRPr="00F13836" w:rsidRDefault="00476F09" w:rsidP="00F13836">
            <w:pPr>
              <w:pStyle w:val="Tabletext"/>
              <w:rPr>
                <w:b/>
              </w:rPr>
            </w:pPr>
            <w:r w:rsidRPr="00F13836">
              <w:rPr>
                <w:b/>
              </w:rPr>
              <w:t>Effect measure (95%CI)</w:t>
            </w:r>
          </w:p>
        </w:tc>
        <w:tc>
          <w:tcPr>
            <w:tcW w:w="2188" w:type="dxa"/>
          </w:tcPr>
          <w:p w:rsidR="00476F09" w:rsidRPr="00F13836" w:rsidRDefault="00476F09" w:rsidP="00F13836">
            <w:pPr>
              <w:pStyle w:val="Tabletext"/>
              <w:rPr>
                <w:b/>
              </w:rPr>
            </w:pPr>
            <w:r w:rsidRPr="00F13836">
              <w:rPr>
                <w:b/>
              </w:rPr>
              <w:t>Absolute effect (95%CI)</w:t>
            </w:r>
          </w:p>
        </w:tc>
        <w:tc>
          <w:tcPr>
            <w:tcW w:w="1214" w:type="dxa"/>
          </w:tcPr>
          <w:p w:rsidR="007C6567" w:rsidRDefault="007C6567" w:rsidP="00F13836">
            <w:pPr>
              <w:pStyle w:val="Tabletext"/>
              <w:rPr>
                <w:b/>
              </w:rPr>
            </w:pPr>
            <w:r>
              <w:rPr>
                <w:b/>
              </w:rPr>
              <w:t>GRADE</w:t>
            </w:r>
            <w:r w:rsidRPr="007C6567">
              <w:rPr>
                <w:b/>
                <w:vertAlign w:val="superscript"/>
              </w:rPr>
              <w:t>b</w:t>
            </w:r>
          </w:p>
          <w:p w:rsidR="00476F09" w:rsidRPr="00F13836" w:rsidRDefault="00476F09" w:rsidP="00F13836">
            <w:pPr>
              <w:pStyle w:val="Tabletext"/>
              <w:rPr>
                <w:b/>
                <w:vertAlign w:val="superscript"/>
              </w:rPr>
            </w:pPr>
            <w:r w:rsidRPr="00F13836">
              <w:rPr>
                <w:b/>
              </w:rPr>
              <w:t>Quality</w:t>
            </w:r>
          </w:p>
          <w:p w:rsidR="00476F09" w:rsidRPr="00F13836" w:rsidRDefault="00476F09" w:rsidP="00F13836">
            <w:pPr>
              <w:pStyle w:val="Tabletext"/>
              <w:rPr>
                <w:b/>
              </w:rPr>
            </w:pPr>
            <w:r w:rsidRPr="00F13836">
              <w:rPr>
                <w:b/>
              </w:rPr>
              <w:t>Importance</w:t>
            </w:r>
          </w:p>
        </w:tc>
      </w:tr>
      <w:tr w:rsidR="00CC3BA4" w:rsidRPr="00D36FBC" w:rsidTr="00115AB1">
        <w:trPr>
          <w:trHeight w:val="319"/>
        </w:trPr>
        <w:tc>
          <w:tcPr>
            <w:tcW w:w="1493" w:type="dxa"/>
          </w:tcPr>
          <w:p w:rsidR="00CC3BA4" w:rsidRPr="00D36FBC" w:rsidRDefault="00CC3BA4" w:rsidP="00F13836">
            <w:pPr>
              <w:pStyle w:val="Tabletext"/>
              <w:rPr>
                <w:rFonts w:cs="Tahoma"/>
              </w:rPr>
            </w:pPr>
            <w:r w:rsidRPr="00D36FBC">
              <w:rPr>
                <w:rFonts w:cs="Tahoma"/>
              </w:rPr>
              <w:t>Change in 6MWD from baseline</w:t>
            </w:r>
            <w:r>
              <w:rPr>
                <w:rFonts w:cs="Tahoma"/>
              </w:rPr>
              <w:br/>
            </w:r>
            <w:r w:rsidRPr="00D36FBC">
              <w:rPr>
                <w:rFonts w:cs="Tahoma"/>
              </w:rPr>
              <w:t xml:space="preserve">(26 weeks) </w:t>
            </w:r>
          </w:p>
        </w:tc>
        <w:tc>
          <w:tcPr>
            <w:tcW w:w="1054" w:type="dxa"/>
          </w:tcPr>
          <w:p w:rsidR="00CC3BA4" w:rsidRPr="00D36FBC" w:rsidRDefault="00CC3BA4" w:rsidP="00F13836">
            <w:pPr>
              <w:pStyle w:val="Tabletext"/>
              <w:rPr>
                <w:rFonts w:cs="Tahoma"/>
              </w:rPr>
            </w:pPr>
            <w:r>
              <w:rPr>
                <w:rFonts w:cs="Tahoma"/>
              </w:rPr>
              <w:t>2</w:t>
            </w:r>
            <w:r w:rsidRPr="00D36FBC">
              <w:rPr>
                <w:rFonts w:cs="Tahoma"/>
              </w:rPr>
              <w:t xml:space="preserve"> RCT</w:t>
            </w:r>
            <w:r>
              <w:rPr>
                <w:rFonts w:cs="Tahoma"/>
              </w:rPr>
              <w:t>s</w:t>
            </w:r>
          </w:p>
        </w:tc>
        <w:tc>
          <w:tcPr>
            <w:tcW w:w="912" w:type="dxa"/>
          </w:tcPr>
          <w:p w:rsidR="00CC3BA4" w:rsidRPr="00D36FBC" w:rsidRDefault="00CC3BA4" w:rsidP="00F13836">
            <w:pPr>
              <w:pStyle w:val="Tabletext"/>
              <w:rPr>
                <w:rFonts w:cs="Tahoma"/>
              </w:rPr>
            </w:pPr>
            <w:r w:rsidRPr="00D36FBC">
              <w:rPr>
                <w:rFonts w:cs="Tahoma"/>
              </w:rPr>
              <w:t>Not serious</w:t>
            </w:r>
          </w:p>
        </w:tc>
        <w:tc>
          <w:tcPr>
            <w:tcW w:w="931" w:type="dxa"/>
          </w:tcPr>
          <w:p w:rsidR="00CC3BA4" w:rsidRPr="00D36FBC" w:rsidRDefault="00CC3BA4" w:rsidP="00F13836">
            <w:pPr>
              <w:pStyle w:val="Tabletext"/>
              <w:rPr>
                <w:rFonts w:cs="Tahoma"/>
              </w:rPr>
            </w:pPr>
            <w:r w:rsidRPr="00D36FBC">
              <w:rPr>
                <w:rFonts w:cs="Tahoma"/>
              </w:rPr>
              <w:t>Not serious</w:t>
            </w:r>
          </w:p>
        </w:tc>
        <w:tc>
          <w:tcPr>
            <w:tcW w:w="992" w:type="dxa"/>
          </w:tcPr>
          <w:p w:rsidR="00CC3BA4" w:rsidRPr="00C05257" w:rsidRDefault="0084434D" w:rsidP="00F13836">
            <w:pPr>
              <w:pStyle w:val="Tabletext"/>
              <w:rPr>
                <w:rFonts w:cs="Tahoma"/>
                <w:vertAlign w:val="superscript"/>
              </w:rPr>
            </w:pPr>
            <w:r>
              <w:rPr>
                <w:rFonts w:cs="Tahoma"/>
              </w:rPr>
              <w:t>S</w:t>
            </w:r>
            <w:r w:rsidR="00CC3BA4" w:rsidRPr="00D36FBC">
              <w:rPr>
                <w:rFonts w:cs="Tahoma"/>
              </w:rPr>
              <w:t>erious</w:t>
            </w:r>
            <w:r>
              <w:rPr>
                <w:rFonts w:cs="Tahoma"/>
              </w:rPr>
              <w:t xml:space="preserve"> </w:t>
            </w:r>
            <w:r>
              <w:rPr>
                <w:rFonts w:cs="Tahoma"/>
                <w:vertAlign w:val="superscript"/>
              </w:rPr>
              <w:t>c</w:t>
            </w:r>
          </w:p>
        </w:tc>
        <w:tc>
          <w:tcPr>
            <w:tcW w:w="992" w:type="dxa"/>
          </w:tcPr>
          <w:p w:rsidR="00CC3BA4" w:rsidRPr="00D36FBC" w:rsidRDefault="00CC3BA4" w:rsidP="00F13836">
            <w:pPr>
              <w:pStyle w:val="Tabletext"/>
              <w:rPr>
                <w:rFonts w:cs="Tahoma"/>
              </w:rPr>
            </w:pPr>
            <w:r w:rsidRPr="00D36FBC">
              <w:rPr>
                <w:rFonts w:cs="Tahoma"/>
              </w:rPr>
              <w:t>Not serious</w:t>
            </w:r>
          </w:p>
        </w:tc>
        <w:tc>
          <w:tcPr>
            <w:tcW w:w="1276" w:type="dxa"/>
          </w:tcPr>
          <w:p w:rsidR="00CC3BA4" w:rsidRPr="00D36FBC" w:rsidRDefault="00CC3BA4" w:rsidP="00F13836">
            <w:pPr>
              <w:pStyle w:val="Tabletext"/>
              <w:rPr>
                <w:rFonts w:cs="Tahoma"/>
              </w:rPr>
            </w:pPr>
            <w:r w:rsidRPr="00D36FBC">
              <w:rPr>
                <w:rFonts w:cs="Tahoma"/>
              </w:rPr>
              <w:t>None</w:t>
            </w:r>
          </w:p>
        </w:tc>
        <w:tc>
          <w:tcPr>
            <w:tcW w:w="1417" w:type="dxa"/>
          </w:tcPr>
          <w:p w:rsidR="00CC3BA4" w:rsidRPr="00386993" w:rsidRDefault="00CC3BA4" w:rsidP="00386993">
            <w:pPr>
              <w:pStyle w:val="Tabletext"/>
              <w:rPr>
                <w:highlight w:val="cyan"/>
              </w:rPr>
            </w:pPr>
            <w:r w:rsidRPr="00386993">
              <w:t>48 patients tested</w:t>
            </w:r>
          </w:p>
        </w:tc>
        <w:tc>
          <w:tcPr>
            <w:tcW w:w="1134" w:type="dxa"/>
          </w:tcPr>
          <w:p w:rsidR="00CC3BA4" w:rsidRPr="00386993" w:rsidRDefault="00CC3BA4" w:rsidP="00386993">
            <w:pPr>
              <w:pStyle w:val="Tabletext"/>
              <w:rPr>
                <w:highlight w:val="cyan"/>
              </w:rPr>
            </w:pPr>
            <w:r w:rsidRPr="00386993">
              <w:rPr>
                <w:rStyle w:val="cell-value"/>
              </w:rPr>
              <w:t>61</w:t>
            </w:r>
            <w:r w:rsidRPr="00386993">
              <w:t xml:space="preserve"> patients tested</w:t>
            </w:r>
          </w:p>
        </w:tc>
        <w:tc>
          <w:tcPr>
            <w:tcW w:w="993" w:type="dxa"/>
          </w:tcPr>
          <w:p w:rsidR="00CC3BA4" w:rsidRPr="00D36FBC" w:rsidRDefault="00CC3BA4" w:rsidP="00F13836">
            <w:pPr>
              <w:pStyle w:val="Tabletext"/>
              <w:rPr>
                <w:rFonts w:cs="Tahoma"/>
                <w:highlight w:val="cyan"/>
              </w:rPr>
            </w:pPr>
            <w:r>
              <w:rPr>
                <w:rFonts w:cs="Tahoma"/>
              </w:rPr>
              <w:t>-</w:t>
            </w:r>
          </w:p>
        </w:tc>
        <w:tc>
          <w:tcPr>
            <w:tcW w:w="2188" w:type="dxa"/>
          </w:tcPr>
          <w:p w:rsidR="00CC3BA4" w:rsidRPr="00D36FBC" w:rsidRDefault="00CC3BA4" w:rsidP="001F1FDD">
            <w:pPr>
              <w:pStyle w:val="Tabletext"/>
              <w:rPr>
                <w:rFonts w:cs="Tahoma"/>
                <w:highlight w:val="cyan"/>
              </w:rPr>
            </w:pPr>
            <w:r>
              <w:rPr>
                <w:rFonts w:cs="Tahoma"/>
              </w:rPr>
              <w:t>Median</w:t>
            </w:r>
            <w:r w:rsidR="00386993">
              <w:rPr>
                <w:rFonts w:cs="Tahoma"/>
              </w:rPr>
              <w:t xml:space="preserve"> </w:t>
            </w:r>
            <w:r w:rsidR="00E25FAA">
              <w:rPr>
                <w:rFonts w:cs="Tahoma"/>
              </w:rPr>
              <w:t>MD</w:t>
            </w:r>
            <w:r>
              <w:rPr>
                <w:rFonts w:cs="Tahoma"/>
              </w:rPr>
              <w:t xml:space="preserve"> 16.8 m further</w:t>
            </w:r>
            <w:r w:rsidR="00386993">
              <w:rPr>
                <w:rFonts w:cs="Tahoma"/>
              </w:rPr>
              <w:t xml:space="preserve"> </w:t>
            </w:r>
            <w:r>
              <w:rPr>
                <w:rFonts w:cs="Tahoma"/>
              </w:rPr>
              <w:t>(range</w:t>
            </w:r>
            <w:r w:rsidRPr="00944F0A">
              <w:rPr>
                <w:rFonts w:cs="Tahoma"/>
              </w:rPr>
              <w:t xml:space="preserve"> </w:t>
            </w:r>
            <w:r>
              <w:rPr>
                <w:rFonts w:cs="Tahoma"/>
              </w:rPr>
              <w:t>13.5</w:t>
            </w:r>
            <w:r w:rsidRPr="00944F0A">
              <w:rPr>
                <w:rFonts w:cs="Tahoma"/>
              </w:rPr>
              <w:t xml:space="preserve"> </w:t>
            </w:r>
            <w:r>
              <w:rPr>
                <w:rFonts w:cs="Tahoma"/>
              </w:rPr>
              <w:t>m further</w:t>
            </w:r>
            <w:r w:rsidRPr="00944F0A">
              <w:rPr>
                <w:rFonts w:cs="Tahoma"/>
              </w:rPr>
              <w:t xml:space="preserve"> to </w:t>
            </w:r>
            <w:r>
              <w:rPr>
                <w:rFonts w:cs="Tahoma"/>
              </w:rPr>
              <w:t>20.1 m further)</w:t>
            </w:r>
          </w:p>
        </w:tc>
        <w:tc>
          <w:tcPr>
            <w:tcW w:w="1214" w:type="dxa"/>
          </w:tcPr>
          <w:p w:rsidR="00CC3BA4" w:rsidRDefault="0084434D" w:rsidP="00F13836">
            <w:pPr>
              <w:pStyle w:val="Tabletext"/>
              <w:rPr>
                <w:rFonts w:ascii="Cambria Math" w:eastAsia="Times New Roman" w:hAnsi="Cambria Math" w:cs="Cambria Math"/>
                <w:bCs/>
              </w:rPr>
            </w:pPr>
            <w:r>
              <w:rPr>
                <w:rFonts w:eastAsia="Times New Roman" w:cs="Tahoma"/>
                <w:bCs/>
              </w:rPr>
              <w:t>Moderate</w:t>
            </w:r>
            <w:r w:rsidR="00CC3BA4">
              <w:rPr>
                <w:rFonts w:eastAsia="Times New Roman" w:cs="Tahoma"/>
                <w:bCs/>
              </w:rPr>
              <w:br/>
            </w:r>
            <w:r w:rsidR="00CC3BA4">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D36FBC" w:rsidRDefault="00B14FF5" w:rsidP="00F13836">
            <w:pPr>
              <w:pStyle w:val="Tabletext"/>
              <w:rPr>
                <w:rFonts w:cs="Tahoma"/>
              </w:rPr>
            </w:pPr>
            <w:r>
              <w:rPr>
                <w:rFonts w:cs="Tahoma"/>
              </w:rPr>
              <w:t>I</w:t>
            </w:r>
            <w:r w:rsidR="00CC3BA4" w:rsidRPr="00E564DD">
              <w:rPr>
                <w:rFonts w:cs="Tahoma"/>
              </w:rPr>
              <w:t>mportant</w:t>
            </w:r>
          </w:p>
        </w:tc>
      </w:tr>
    </w:tbl>
    <w:p w:rsidR="00CC3BA4" w:rsidRPr="00AA018C" w:rsidRDefault="00CC3BA4" w:rsidP="00F13836">
      <w:pPr>
        <w:pStyle w:val="Tablenote"/>
      </w:pPr>
      <w:r w:rsidRPr="00E564DD">
        <w:rPr>
          <w:vertAlign w:val="superscript"/>
        </w:rPr>
        <w:t xml:space="preserve">a </w:t>
      </w:r>
      <w:r w:rsidRPr="00AA018C">
        <w:t>O</w:t>
      </w:r>
      <w:r>
        <w:t>ther considerations such as publication bias and effect size</w:t>
      </w:r>
    </w:p>
    <w:p w:rsidR="00CC3BA4" w:rsidRDefault="00CC3BA4" w:rsidP="00F13836">
      <w:pPr>
        <w:pStyle w:val="Tablenote"/>
      </w:pPr>
      <w:r>
        <w:rPr>
          <w:vertAlign w:val="superscript"/>
        </w:rPr>
        <w:t xml:space="preserve">b </w:t>
      </w:r>
      <w:r w:rsidRPr="00E564DD">
        <w:t>GRADE W</w:t>
      </w:r>
      <w:r>
        <w:t>orking Group grades of evidence</w:t>
      </w:r>
      <w:r w:rsidR="001D34EE" w:rsidRPr="001D34EE">
        <w:rPr>
          <w:noProof/>
          <w:vertAlign w:val="superscript"/>
        </w:rPr>
        <w:t>1</w:t>
      </w:r>
    </w:p>
    <w:p w:rsidR="0084434D" w:rsidRPr="0084434D" w:rsidRDefault="0084434D" w:rsidP="00F13836">
      <w:pPr>
        <w:pStyle w:val="Tablenote"/>
      </w:pPr>
      <w:r>
        <w:rPr>
          <w:vertAlign w:val="superscript"/>
        </w:rPr>
        <w:t xml:space="preserve">c </w:t>
      </w:r>
      <w:r>
        <w:t>Surrogate outcome</w:t>
      </w:r>
    </w:p>
    <w:p w:rsidR="00312FDE" w:rsidRPr="00E564DD" w:rsidRDefault="00312FDE" w:rsidP="00312FDE">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7C6567" w:rsidRDefault="00CC3BA4" w:rsidP="00F13836">
      <w:pPr>
        <w:pStyle w:val="Tablenote"/>
      </w:pPr>
      <w:r>
        <w:lastRenderedPageBreak/>
        <w:t xml:space="preserve">6MWD = 6-minute </w:t>
      </w:r>
      <w:r w:rsidR="0082368E">
        <w:t>walk distance</w:t>
      </w:r>
      <w:r>
        <w: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7C6567" w:rsidRPr="00F24B06">
        <w:t xml:space="preserve">; </w:t>
      </w:r>
      <w:r w:rsidRPr="00C65B42">
        <w:t xml:space="preserve">PAH = pulmonary arterial hypertension; </w:t>
      </w:r>
      <w:r w:rsidRPr="009B5AB3">
        <w:t>PDE-5</w:t>
      </w:r>
      <w:r w:rsidR="007C6567">
        <w:t>i</w:t>
      </w:r>
      <w:r w:rsidRPr="009B5AB3">
        <w:t xml:space="preserve"> = phosphodiesterase type-5</w:t>
      </w:r>
      <w:r w:rsidR="007C6567">
        <w:t xml:space="preserve"> inhibitor</w:t>
      </w:r>
      <w:r>
        <w:t>;</w:t>
      </w:r>
      <w:r w:rsidRPr="009B5AB3">
        <w:t xml:space="preserve"> </w:t>
      </w:r>
      <w:r>
        <w:t>RCT = randomised controlled trial; WHO = World Health Organization</w:t>
      </w:r>
    </w:p>
    <w:p w:rsidR="00CC3BA4" w:rsidRPr="005D4CA0" w:rsidRDefault="00796F18" w:rsidP="00BC5A2B">
      <w:pPr>
        <w:pStyle w:val="Caption"/>
      </w:pPr>
      <w:bookmarkStart w:id="521" w:name="_Ref505777379"/>
      <w:bookmarkStart w:id="522" w:name="_Toc512855562"/>
      <w:r>
        <w:t>Table 4.</w:t>
      </w:r>
      <w:r w:rsidR="00AA722D">
        <w:rPr>
          <w:noProof/>
        </w:rPr>
        <w:t>158</w:t>
      </w:r>
      <w:bookmarkEnd w:id="521"/>
      <w:r>
        <w:tab/>
      </w:r>
      <w:r w:rsidR="00CC3BA4" w:rsidRPr="005D4CA0">
        <w:t xml:space="preserve">Evidence profile table for </w:t>
      </w:r>
      <w:r w:rsidR="00CC3BA4">
        <w:t xml:space="preserve">effectiveness of PDE-5 inhibitor </w:t>
      </w:r>
      <w:r w:rsidR="006A0576">
        <w:t>plus</w:t>
      </w:r>
      <w:r w:rsidR="00CC3BA4">
        <w:t xml:space="preserve"> </w:t>
      </w:r>
      <w:r w:rsidR="00CC3BA4" w:rsidRPr="005D4CA0">
        <w:t xml:space="preserve">ERA </w:t>
      </w:r>
      <w:r w:rsidR="00CC3BA4">
        <w:t xml:space="preserve">combination therapy </w:t>
      </w:r>
      <w:r w:rsidR="00CC3BA4" w:rsidRPr="005D4CA0">
        <w:t xml:space="preserve">compared to </w:t>
      </w:r>
      <w:r w:rsidR="00CC3BA4">
        <w:t>ERA</w:t>
      </w:r>
      <w:r w:rsidR="00CC3BA4" w:rsidRPr="005D4CA0">
        <w:t xml:space="preserve"> </w:t>
      </w:r>
      <w:r w:rsidR="00CC3BA4">
        <w:t xml:space="preserve">monotherapy </w:t>
      </w:r>
      <w:r w:rsidR="00CC3BA4" w:rsidRPr="005D4CA0">
        <w:t xml:space="preserve">for </w:t>
      </w:r>
      <w:r w:rsidR="00CC3BA4">
        <w:t>patients</w:t>
      </w:r>
      <w:r w:rsidR="00CC3BA4" w:rsidRPr="00272494">
        <w:t xml:space="preserve"> with different PAH aetiologies</w:t>
      </w:r>
      <w:bookmarkEnd w:id="522"/>
    </w:p>
    <w:tbl>
      <w:tblPr>
        <w:tblStyle w:val="TableGrid"/>
        <w:tblW w:w="14596" w:type="dxa"/>
        <w:tblLayout w:type="fixed"/>
        <w:tblLook w:val="04A0" w:firstRow="1" w:lastRow="0" w:firstColumn="1" w:lastColumn="0" w:noHBand="0" w:noVBand="1"/>
        <w:tblCaption w:val="Evidence profile table for effectiveness of PDE-5 inhibitor plus ERA combination therapy compared to ERA monotherapy for patients with different PAH aetiologies"/>
      </w:tblPr>
      <w:tblGrid>
        <w:gridCol w:w="1493"/>
        <w:gridCol w:w="1054"/>
        <w:gridCol w:w="912"/>
        <w:gridCol w:w="931"/>
        <w:gridCol w:w="992"/>
        <w:gridCol w:w="992"/>
        <w:gridCol w:w="1276"/>
        <w:gridCol w:w="1417"/>
        <w:gridCol w:w="1134"/>
        <w:gridCol w:w="993"/>
        <w:gridCol w:w="2188"/>
        <w:gridCol w:w="1214"/>
      </w:tblGrid>
      <w:tr w:rsidR="0037584C" w:rsidRPr="0037584C" w:rsidTr="00115AB1">
        <w:trPr>
          <w:cnfStyle w:val="100000000000" w:firstRow="1" w:lastRow="0" w:firstColumn="0" w:lastColumn="0" w:oddVBand="0" w:evenVBand="0" w:oddHBand="0" w:evenHBand="0" w:firstRowFirstColumn="0" w:firstRowLastColumn="0" w:lastRowFirstColumn="0" w:lastRowLastColumn="0"/>
          <w:trHeight w:val="788"/>
        </w:trPr>
        <w:tc>
          <w:tcPr>
            <w:tcW w:w="1493" w:type="dxa"/>
          </w:tcPr>
          <w:p w:rsidR="00CC3BA4" w:rsidRPr="0037584C" w:rsidRDefault="00CC3BA4" w:rsidP="0037584C">
            <w:pPr>
              <w:pStyle w:val="Tabletext"/>
              <w:rPr>
                <w:b/>
              </w:rPr>
            </w:pPr>
            <w:r w:rsidRPr="0037584C">
              <w:rPr>
                <w:b/>
              </w:rPr>
              <w:t>Outcome (follow-up)</w:t>
            </w:r>
          </w:p>
        </w:tc>
        <w:tc>
          <w:tcPr>
            <w:tcW w:w="1054" w:type="dxa"/>
          </w:tcPr>
          <w:p w:rsidR="00CC3BA4" w:rsidRPr="0037584C" w:rsidRDefault="00CC3BA4" w:rsidP="0037584C">
            <w:pPr>
              <w:pStyle w:val="Tabletext"/>
              <w:rPr>
                <w:b/>
              </w:rPr>
            </w:pPr>
            <w:r w:rsidRPr="0037584C">
              <w:rPr>
                <w:b/>
              </w:rPr>
              <w:t>No. of studies and study design</w:t>
            </w:r>
          </w:p>
        </w:tc>
        <w:tc>
          <w:tcPr>
            <w:tcW w:w="912" w:type="dxa"/>
          </w:tcPr>
          <w:p w:rsidR="00CC3BA4" w:rsidRPr="0037584C" w:rsidRDefault="00CC3BA4" w:rsidP="0037584C">
            <w:pPr>
              <w:pStyle w:val="Tabletext"/>
              <w:rPr>
                <w:b/>
              </w:rPr>
            </w:pPr>
            <w:r w:rsidRPr="0037584C">
              <w:rPr>
                <w:b/>
              </w:rPr>
              <w:t>Risk of bias</w:t>
            </w:r>
          </w:p>
        </w:tc>
        <w:tc>
          <w:tcPr>
            <w:tcW w:w="931" w:type="dxa"/>
          </w:tcPr>
          <w:p w:rsidR="00CC3BA4" w:rsidRPr="0037584C" w:rsidRDefault="00CC3BA4" w:rsidP="0037584C">
            <w:pPr>
              <w:pStyle w:val="Tabletext"/>
              <w:rPr>
                <w:b/>
              </w:rPr>
            </w:pPr>
            <w:r w:rsidRPr="0037584C">
              <w:rPr>
                <w:b/>
              </w:rPr>
              <w:t>Inconsis-tency</w:t>
            </w:r>
          </w:p>
        </w:tc>
        <w:tc>
          <w:tcPr>
            <w:tcW w:w="992" w:type="dxa"/>
          </w:tcPr>
          <w:p w:rsidR="00CC3BA4" w:rsidRPr="0037584C" w:rsidRDefault="00CC3BA4" w:rsidP="0037584C">
            <w:pPr>
              <w:pStyle w:val="Tabletext"/>
              <w:rPr>
                <w:b/>
              </w:rPr>
            </w:pPr>
            <w:r w:rsidRPr="0037584C">
              <w:rPr>
                <w:b/>
              </w:rPr>
              <w:t>Indirect-ness</w:t>
            </w:r>
          </w:p>
        </w:tc>
        <w:tc>
          <w:tcPr>
            <w:tcW w:w="992" w:type="dxa"/>
          </w:tcPr>
          <w:p w:rsidR="00CC3BA4" w:rsidRPr="0037584C" w:rsidRDefault="00CC3BA4" w:rsidP="0037584C">
            <w:pPr>
              <w:pStyle w:val="Tabletext"/>
              <w:rPr>
                <w:b/>
              </w:rPr>
            </w:pPr>
            <w:r w:rsidRPr="0037584C">
              <w:rPr>
                <w:b/>
              </w:rPr>
              <w:t>Impre</w:t>
            </w:r>
            <w:r w:rsidR="00115AB1">
              <w:rPr>
                <w:b/>
              </w:rPr>
              <w:t>-</w:t>
            </w:r>
            <w:r w:rsidRPr="0037584C">
              <w:rPr>
                <w:b/>
              </w:rPr>
              <w:t>c</w:t>
            </w:r>
          </w:p>
          <w:p w:rsidR="00CC3BA4" w:rsidRPr="0037584C" w:rsidRDefault="00CC3BA4" w:rsidP="0037584C">
            <w:pPr>
              <w:pStyle w:val="Tabletext"/>
              <w:rPr>
                <w:b/>
              </w:rPr>
            </w:pPr>
            <w:r w:rsidRPr="0037584C">
              <w:rPr>
                <w:b/>
              </w:rPr>
              <w:t>ision</w:t>
            </w:r>
          </w:p>
        </w:tc>
        <w:tc>
          <w:tcPr>
            <w:tcW w:w="1276" w:type="dxa"/>
          </w:tcPr>
          <w:p w:rsidR="00CC3BA4" w:rsidRPr="0037584C" w:rsidRDefault="00CC3BA4" w:rsidP="0037584C">
            <w:pPr>
              <w:pStyle w:val="Tabletext"/>
              <w:rPr>
                <w:b/>
              </w:rPr>
            </w:pPr>
            <w:r w:rsidRPr="0037584C">
              <w:rPr>
                <w:b/>
              </w:rPr>
              <w:t xml:space="preserve">Other considera-tion </w:t>
            </w:r>
            <w:r w:rsidRPr="0037584C">
              <w:rPr>
                <w:b/>
                <w:vertAlign w:val="superscript"/>
              </w:rPr>
              <w:t>a</w:t>
            </w:r>
          </w:p>
        </w:tc>
        <w:tc>
          <w:tcPr>
            <w:tcW w:w="1417" w:type="dxa"/>
          </w:tcPr>
          <w:p w:rsidR="00CC3BA4" w:rsidRPr="0037584C" w:rsidRDefault="00CC3BA4" w:rsidP="0037584C">
            <w:pPr>
              <w:pStyle w:val="Tabletext"/>
              <w:rPr>
                <w:b/>
              </w:rPr>
            </w:pPr>
            <w:r w:rsidRPr="0037584C">
              <w:rPr>
                <w:b/>
              </w:rPr>
              <w:t>Study event rates (%) with PDE-5i + ERA</w:t>
            </w:r>
          </w:p>
        </w:tc>
        <w:tc>
          <w:tcPr>
            <w:tcW w:w="1134" w:type="dxa"/>
          </w:tcPr>
          <w:p w:rsidR="00CC3BA4" w:rsidRPr="0037584C" w:rsidRDefault="00CC3BA4" w:rsidP="0037584C">
            <w:pPr>
              <w:pStyle w:val="Tabletext"/>
              <w:rPr>
                <w:b/>
              </w:rPr>
            </w:pPr>
            <w:r w:rsidRPr="0037584C">
              <w:rPr>
                <w:b/>
              </w:rPr>
              <w:t>Study event rates (%) with ERA</w:t>
            </w:r>
          </w:p>
        </w:tc>
        <w:tc>
          <w:tcPr>
            <w:tcW w:w="993" w:type="dxa"/>
          </w:tcPr>
          <w:p w:rsidR="00CC3BA4" w:rsidRPr="0037584C" w:rsidRDefault="00CC3BA4" w:rsidP="0037584C">
            <w:pPr>
              <w:pStyle w:val="Tabletext"/>
              <w:rPr>
                <w:b/>
              </w:rPr>
            </w:pPr>
            <w:r w:rsidRPr="0037584C">
              <w:rPr>
                <w:b/>
              </w:rPr>
              <w:t>Effect measure (95%CI)</w:t>
            </w:r>
          </w:p>
        </w:tc>
        <w:tc>
          <w:tcPr>
            <w:tcW w:w="2188" w:type="dxa"/>
          </w:tcPr>
          <w:p w:rsidR="00CC3BA4" w:rsidRPr="0037584C" w:rsidRDefault="00CC3BA4" w:rsidP="0037584C">
            <w:pPr>
              <w:pStyle w:val="Tabletext"/>
              <w:rPr>
                <w:b/>
              </w:rPr>
            </w:pPr>
            <w:r w:rsidRPr="0037584C">
              <w:rPr>
                <w:b/>
              </w:rPr>
              <w:t>Absolute effect (95%CI)</w:t>
            </w:r>
          </w:p>
        </w:tc>
        <w:tc>
          <w:tcPr>
            <w:tcW w:w="1214" w:type="dxa"/>
          </w:tcPr>
          <w:p w:rsidR="007C6567" w:rsidRDefault="007C6567" w:rsidP="0037584C">
            <w:pPr>
              <w:pStyle w:val="Tabletext"/>
              <w:rPr>
                <w:b/>
              </w:rPr>
            </w:pPr>
            <w:r>
              <w:rPr>
                <w:b/>
              </w:rPr>
              <w:t>GRADE</w:t>
            </w:r>
            <w:r w:rsidRPr="007C6567">
              <w:rPr>
                <w:b/>
                <w:vertAlign w:val="superscript"/>
              </w:rPr>
              <w:t>b</w:t>
            </w:r>
          </w:p>
          <w:p w:rsidR="00CC3BA4" w:rsidRPr="0037584C" w:rsidRDefault="00CC3BA4" w:rsidP="0037584C">
            <w:pPr>
              <w:pStyle w:val="Tabletext"/>
              <w:rPr>
                <w:b/>
                <w:vertAlign w:val="superscript"/>
              </w:rPr>
            </w:pPr>
            <w:r w:rsidRPr="0037584C">
              <w:rPr>
                <w:b/>
              </w:rPr>
              <w:t>Quality</w:t>
            </w:r>
          </w:p>
          <w:p w:rsidR="00CC3BA4" w:rsidRPr="0037584C" w:rsidRDefault="00CC3BA4" w:rsidP="0037584C">
            <w:pPr>
              <w:pStyle w:val="Tabletext"/>
              <w:rPr>
                <w:b/>
              </w:rPr>
            </w:pPr>
            <w:r w:rsidRPr="0037584C">
              <w:rPr>
                <w:b/>
              </w:rPr>
              <w:t>Importance</w:t>
            </w:r>
          </w:p>
        </w:tc>
      </w:tr>
      <w:tr w:rsidR="00CC3BA4" w:rsidRPr="00D36FBC" w:rsidTr="00115AB1">
        <w:trPr>
          <w:trHeight w:val="319"/>
        </w:trPr>
        <w:tc>
          <w:tcPr>
            <w:tcW w:w="1493" w:type="dxa"/>
          </w:tcPr>
          <w:p w:rsidR="00CC3BA4" w:rsidRPr="00D36FBC" w:rsidRDefault="00CC3BA4" w:rsidP="0037584C">
            <w:pPr>
              <w:pStyle w:val="Tabletext"/>
              <w:rPr>
                <w:rFonts w:cs="Tahoma"/>
              </w:rPr>
            </w:pPr>
            <w:r w:rsidRPr="00D36FBC">
              <w:rPr>
                <w:rFonts w:cs="Tahoma"/>
              </w:rPr>
              <w:t xml:space="preserve">Clinical worsening </w:t>
            </w:r>
            <w:r>
              <w:rPr>
                <w:rFonts w:cs="Tahoma"/>
              </w:rPr>
              <w:t>in PAH CTD</w:t>
            </w:r>
            <w:r>
              <w:rPr>
                <w:rFonts w:cs="Tahoma"/>
              </w:rPr>
              <w:br/>
              <w:t>(74</w:t>
            </w:r>
            <w:r w:rsidRPr="00D36FBC">
              <w:rPr>
                <w:rFonts w:cs="Tahoma"/>
              </w:rPr>
              <w:t xml:space="preserve"> weeks)</w:t>
            </w:r>
          </w:p>
        </w:tc>
        <w:tc>
          <w:tcPr>
            <w:tcW w:w="1054" w:type="dxa"/>
          </w:tcPr>
          <w:p w:rsidR="00CC3BA4" w:rsidRPr="00D36FBC" w:rsidRDefault="00CC3BA4" w:rsidP="0037584C">
            <w:pPr>
              <w:pStyle w:val="Tabletext"/>
              <w:rPr>
                <w:rFonts w:cs="Tahoma"/>
              </w:rPr>
            </w:pPr>
            <w:r>
              <w:rPr>
                <w:rFonts w:cs="Tahoma"/>
              </w:rPr>
              <w:t>1</w:t>
            </w:r>
            <w:r w:rsidRPr="00D36FBC">
              <w:rPr>
                <w:rFonts w:cs="Tahoma"/>
              </w:rPr>
              <w:t xml:space="preserve"> RCT</w:t>
            </w:r>
          </w:p>
        </w:tc>
        <w:tc>
          <w:tcPr>
            <w:tcW w:w="912" w:type="dxa"/>
          </w:tcPr>
          <w:p w:rsidR="00CC3BA4" w:rsidRPr="00D36FBC" w:rsidRDefault="00CC3BA4" w:rsidP="0037584C">
            <w:pPr>
              <w:pStyle w:val="Tabletext"/>
              <w:rPr>
                <w:rFonts w:cs="Tahoma"/>
              </w:rPr>
            </w:pPr>
            <w:r w:rsidRPr="00D36FBC">
              <w:rPr>
                <w:rFonts w:cs="Tahoma"/>
              </w:rPr>
              <w:t>Not serious</w:t>
            </w:r>
          </w:p>
        </w:tc>
        <w:tc>
          <w:tcPr>
            <w:tcW w:w="931" w:type="dxa"/>
          </w:tcPr>
          <w:p w:rsidR="00CC3BA4" w:rsidRPr="00D36FBC" w:rsidRDefault="00CC3BA4" w:rsidP="0037584C">
            <w:pPr>
              <w:pStyle w:val="Tabletext"/>
              <w:rPr>
                <w:rFonts w:cs="Tahoma"/>
              </w:rPr>
            </w:pPr>
            <w:r w:rsidRPr="00D36FBC">
              <w:rPr>
                <w:rFonts w:cs="Tahoma"/>
              </w:rPr>
              <w:t>Not serious</w:t>
            </w:r>
          </w:p>
        </w:tc>
        <w:tc>
          <w:tcPr>
            <w:tcW w:w="992" w:type="dxa"/>
          </w:tcPr>
          <w:p w:rsidR="00CC3BA4" w:rsidRPr="00D36FBC" w:rsidRDefault="00CC3BA4" w:rsidP="0037584C">
            <w:pPr>
              <w:pStyle w:val="Tabletext"/>
              <w:rPr>
                <w:rFonts w:cs="Tahoma"/>
              </w:rPr>
            </w:pPr>
            <w:r w:rsidRPr="00D36FBC">
              <w:rPr>
                <w:rFonts w:cs="Tahoma"/>
              </w:rPr>
              <w:t>Not serious</w:t>
            </w:r>
          </w:p>
        </w:tc>
        <w:tc>
          <w:tcPr>
            <w:tcW w:w="992" w:type="dxa"/>
          </w:tcPr>
          <w:p w:rsidR="00CC3BA4" w:rsidRPr="00D36FBC" w:rsidRDefault="00CC3BA4" w:rsidP="0037584C">
            <w:pPr>
              <w:pStyle w:val="Tabletext"/>
              <w:rPr>
                <w:rFonts w:cs="Tahoma"/>
              </w:rPr>
            </w:pPr>
            <w:r>
              <w:rPr>
                <w:rFonts w:cs="Tahoma"/>
              </w:rPr>
              <w:t>Not serious</w:t>
            </w:r>
          </w:p>
        </w:tc>
        <w:tc>
          <w:tcPr>
            <w:tcW w:w="1276" w:type="dxa"/>
          </w:tcPr>
          <w:p w:rsidR="00CC3BA4" w:rsidRPr="00D36FBC" w:rsidRDefault="00CC3BA4" w:rsidP="0037584C">
            <w:pPr>
              <w:pStyle w:val="Tabletext"/>
              <w:rPr>
                <w:rFonts w:cs="Tahoma"/>
              </w:rPr>
            </w:pPr>
            <w:r>
              <w:rPr>
                <w:rFonts w:cs="Tahoma"/>
              </w:rPr>
              <w:t>Strong association</w:t>
            </w:r>
          </w:p>
        </w:tc>
        <w:tc>
          <w:tcPr>
            <w:tcW w:w="1417" w:type="dxa"/>
          </w:tcPr>
          <w:p w:rsidR="00CC3BA4" w:rsidRPr="00466E66" w:rsidRDefault="00CC3BA4" w:rsidP="0037584C">
            <w:pPr>
              <w:pStyle w:val="Tabletext"/>
              <w:rPr>
                <w:rFonts w:cs="Tahoma"/>
              </w:rPr>
            </w:pPr>
            <w:r>
              <w:rPr>
                <w:rFonts w:cs="Tahoma"/>
              </w:rPr>
              <w:t>2/103 (1.9%)</w:t>
            </w:r>
          </w:p>
        </w:tc>
        <w:tc>
          <w:tcPr>
            <w:tcW w:w="1134" w:type="dxa"/>
          </w:tcPr>
          <w:p w:rsidR="00CC3BA4" w:rsidRPr="001D2AD7" w:rsidRDefault="00CC3BA4" w:rsidP="0037584C">
            <w:pPr>
              <w:pStyle w:val="Tabletext"/>
              <w:rPr>
                <w:rFonts w:cs="Tahoma"/>
                <w:highlight w:val="cyan"/>
              </w:rPr>
            </w:pPr>
            <w:r w:rsidRPr="00605AC1">
              <w:rPr>
                <w:rFonts w:cs="Tahoma"/>
              </w:rPr>
              <w:t>-/44</w:t>
            </w:r>
          </w:p>
        </w:tc>
        <w:tc>
          <w:tcPr>
            <w:tcW w:w="993" w:type="dxa"/>
          </w:tcPr>
          <w:p w:rsidR="00CC3BA4" w:rsidRPr="001D2AD7" w:rsidRDefault="00CC3BA4" w:rsidP="0037584C">
            <w:pPr>
              <w:pStyle w:val="Tabletext"/>
              <w:rPr>
                <w:rFonts w:cs="Tahoma"/>
                <w:highlight w:val="cyan"/>
              </w:rPr>
            </w:pPr>
            <w:r w:rsidRPr="00605AC1">
              <w:rPr>
                <w:rFonts w:cs="Tahoma"/>
              </w:rPr>
              <w:t>HR</w:t>
            </w:r>
            <w:r>
              <w:rPr>
                <w:rFonts w:cs="Tahoma"/>
              </w:rPr>
              <w:t xml:space="preserve"> =</w:t>
            </w:r>
            <w:r w:rsidRPr="00605AC1">
              <w:rPr>
                <w:rFonts w:cs="Tahoma"/>
              </w:rPr>
              <w:t xml:space="preserve"> 0.51</w:t>
            </w:r>
            <w:r>
              <w:rPr>
                <w:rFonts w:cs="Tahoma"/>
              </w:rPr>
              <w:t xml:space="preserve"> </w:t>
            </w:r>
            <w:r w:rsidRPr="00605AC1">
              <w:rPr>
                <w:rFonts w:cs="Tahoma"/>
              </w:rPr>
              <w:t>(0.25</w:t>
            </w:r>
            <w:r>
              <w:rPr>
                <w:rFonts w:cs="Tahoma"/>
              </w:rPr>
              <w:t>,</w:t>
            </w:r>
            <w:r w:rsidRPr="00605AC1">
              <w:rPr>
                <w:rFonts w:cs="Tahoma"/>
              </w:rPr>
              <w:t xml:space="preserve"> 1.01)</w:t>
            </w:r>
          </w:p>
        </w:tc>
        <w:tc>
          <w:tcPr>
            <w:tcW w:w="2188" w:type="dxa"/>
          </w:tcPr>
          <w:p w:rsidR="00CC3BA4" w:rsidRPr="00D36FBC" w:rsidRDefault="00CC3BA4" w:rsidP="0037584C">
            <w:pPr>
              <w:pStyle w:val="Tabletext"/>
              <w:rPr>
                <w:rFonts w:cs="Tahoma"/>
                <w:highlight w:val="cyan"/>
              </w:rPr>
            </w:pPr>
            <w:r>
              <w:rPr>
                <w:rFonts w:cs="Tahoma"/>
              </w:rPr>
              <w:t>Not estimable</w:t>
            </w:r>
          </w:p>
        </w:tc>
        <w:tc>
          <w:tcPr>
            <w:tcW w:w="1214" w:type="dxa"/>
          </w:tcPr>
          <w:p w:rsidR="00CC3BA4" w:rsidRDefault="00CC3BA4" w:rsidP="0037584C">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D36FBC" w:rsidRDefault="00CC3BA4" w:rsidP="0037584C">
            <w:pPr>
              <w:pStyle w:val="Tabletext"/>
              <w:rPr>
                <w:rFonts w:cs="Tahoma"/>
              </w:rPr>
            </w:pPr>
            <w:r w:rsidRPr="00E564DD">
              <w:rPr>
                <w:rFonts w:cs="Tahoma"/>
              </w:rPr>
              <w:t>Critical</w:t>
            </w:r>
          </w:p>
        </w:tc>
      </w:tr>
      <w:tr w:rsidR="00CC3BA4" w:rsidRPr="00D36FBC" w:rsidTr="00115AB1">
        <w:trPr>
          <w:trHeight w:val="319"/>
        </w:trPr>
        <w:tc>
          <w:tcPr>
            <w:tcW w:w="1493" w:type="dxa"/>
          </w:tcPr>
          <w:p w:rsidR="00CC3BA4" w:rsidRPr="00D36FBC" w:rsidRDefault="00CC3BA4" w:rsidP="0037584C">
            <w:pPr>
              <w:pStyle w:val="Tabletext"/>
              <w:rPr>
                <w:rFonts w:cs="Tahoma"/>
              </w:rPr>
            </w:pPr>
            <w:r w:rsidRPr="00D36FBC">
              <w:rPr>
                <w:rFonts w:cs="Tahoma"/>
              </w:rPr>
              <w:t>Change in 6MWD from baseline</w:t>
            </w:r>
            <w:r>
              <w:rPr>
                <w:rFonts w:cs="Tahoma"/>
              </w:rPr>
              <w:t xml:space="preserve"> in IPAH/HPAH</w:t>
            </w:r>
            <w:r>
              <w:rPr>
                <w:rFonts w:cs="Tahoma"/>
              </w:rPr>
              <w:br/>
            </w:r>
            <w:r w:rsidRPr="00D36FBC">
              <w:rPr>
                <w:rFonts w:cs="Tahoma"/>
              </w:rPr>
              <w:t xml:space="preserve">(26 weeks) </w:t>
            </w:r>
          </w:p>
        </w:tc>
        <w:tc>
          <w:tcPr>
            <w:tcW w:w="1054" w:type="dxa"/>
          </w:tcPr>
          <w:p w:rsidR="00CC3BA4" w:rsidRPr="00D36FBC" w:rsidRDefault="00CC3BA4" w:rsidP="0037584C">
            <w:pPr>
              <w:pStyle w:val="Tabletext"/>
              <w:rPr>
                <w:rFonts w:cs="Tahoma"/>
              </w:rPr>
            </w:pPr>
            <w:r>
              <w:rPr>
                <w:rFonts w:cs="Tahoma"/>
              </w:rPr>
              <w:t>2</w:t>
            </w:r>
            <w:r w:rsidRPr="00D36FBC">
              <w:rPr>
                <w:rFonts w:cs="Tahoma"/>
              </w:rPr>
              <w:t xml:space="preserve"> RCT</w:t>
            </w:r>
            <w:r>
              <w:rPr>
                <w:rFonts w:cs="Tahoma"/>
              </w:rPr>
              <w:t>s</w:t>
            </w:r>
          </w:p>
        </w:tc>
        <w:tc>
          <w:tcPr>
            <w:tcW w:w="912" w:type="dxa"/>
          </w:tcPr>
          <w:p w:rsidR="00CC3BA4" w:rsidRPr="00D36FBC" w:rsidRDefault="00CC3BA4" w:rsidP="0037584C">
            <w:pPr>
              <w:pStyle w:val="Tabletext"/>
              <w:rPr>
                <w:rFonts w:cs="Tahoma"/>
              </w:rPr>
            </w:pPr>
            <w:r w:rsidRPr="00D36FBC">
              <w:rPr>
                <w:rFonts w:cs="Tahoma"/>
              </w:rPr>
              <w:t>Not serious</w:t>
            </w:r>
          </w:p>
        </w:tc>
        <w:tc>
          <w:tcPr>
            <w:tcW w:w="931" w:type="dxa"/>
          </w:tcPr>
          <w:p w:rsidR="00CC3BA4" w:rsidRPr="00D36FBC" w:rsidRDefault="00CC3BA4" w:rsidP="0037584C">
            <w:pPr>
              <w:pStyle w:val="Tabletext"/>
              <w:rPr>
                <w:rFonts w:cs="Tahoma"/>
              </w:rPr>
            </w:pPr>
            <w:r w:rsidRPr="00D36FBC">
              <w:rPr>
                <w:rFonts w:cs="Tahoma"/>
              </w:rPr>
              <w:t>Not serious</w:t>
            </w:r>
          </w:p>
        </w:tc>
        <w:tc>
          <w:tcPr>
            <w:tcW w:w="992" w:type="dxa"/>
          </w:tcPr>
          <w:p w:rsidR="00CC3BA4" w:rsidRPr="00C05257" w:rsidRDefault="00312FDE" w:rsidP="0037584C">
            <w:pPr>
              <w:pStyle w:val="Tabletext"/>
              <w:rPr>
                <w:rFonts w:cs="Tahoma"/>
                <w:vertAlign w:val="superscript"/>
              </w:rPr>
            </w:pPr>
            <w:r>
              <w:rPr>
                <w:rFonts w:cs="Tahoma"/>
              </w:rPr>
              <w:t>S</w:t>
            </w:r>
            <w:r w:rsidR="00CC3BA4" w:rsidRPr="00D36FBC">
              <w:rPr>
                <w:rFonts w:cs="Tahoma"/>
              </w:rPr>
              <w:t>erious</w:t>
            </w:r>
            <w:r>
              <w:rPr>
                <w:rFonts w:cs="Tahoma"/>
                <w:vertAlign w:val="superscript"/>
              </w:rPr>
              <w:t xml:space="preserve"> c</w:t>
            </w:r>
          </w:p>
        </w:tc>
        <w:tc>
          <w:tcPr>
            <w:tcW w:w="992" w:type="dxa"/>
          </w:tcPr>
          <w:p w:rsidR="00CC3BA4" w:rsidRPr="00D36FBC" w:rsidRDefault="00CC3BA4" w:rsidP="0037584C">
            <w:pPr>
              <w:pStyle w:val="Tabletext"/>
              <w:rPr>
                <w:rFonts w:cs="Tahoma"/>
              </w:rPr>
            </w:pPr>
            <w:r w:rsidRPr="00D36FBC">
              <w:rPr>
                <w:rFonts w:cs="Tahoma"/>
              </w:rPr>
              <w:t>Not serious</w:t>
            </w:r>
          </w:p>
        </w:tc>
        <w:tc>
          <w:tcPr>
            <w:tcW w:w="1276" w:type="dxa"/>
          </w:tcPr>
          <w:p w:rsidR="00CC3BA4" w:rsidRPr="00D36FBC" w:rsidRDefault="00CC3BA4" w:rsidP="0037584C">
            <w:pPr>
              <w:pStyle w:val="Tabletext"/>
              <w:rPr>
                <w:rFonts w:cs="Tahoma"/>
              </w:rPr>
            </w:pPr>
            <w:r w:rsidRPr="00D36FBC">
              <w:rPr>
                <w:rFonts w:cs="Tahoma"/>
              </w:rPr>
              <w:t>None</w:t>
            </w:r>
          </w:p>
        </w:tc>
        <w:tc>
          <w:tcPr>
            <w:tcW w:w="1417" w:type="dxa"/>
          </w:tcPr>
          <w:p w:rsidR="00CC3BA4" w:rsidRPr="00386993" w:rsidRDefault="00CC3BA4" w:rsidP="00386993">
            <w:pPr>
              <w:pStyle w:val="Tabletext"/>
            </w:pPr>
            <w:r w:rsidRPr="00386993">
              <w:t>57 patients tested</w:t>
            </w:r>
          </w:p>
        </w:tc>
        <w:tc>
          <w:tcPr>
            <w:tcW w:w="1134" w:type="dxa"/>
          </w:tcPr>
          <w:p w:rsidR="00CC3BA4" w:rsidRPr="00386993" w:rsidRDefault="00CC3BA4" w:rsidP="00386993">
            <w:pPr>
              <w:pStyle w:val="Tabletext"/>
              <w:rPr>
                <w:highlight w:val="cyan"/>
              </w:rPr>
            </w:pPr>
            <w:r w:rsidRPr="00386993">
              <w:rPr>
                <w:rStyle w:val="cell-value"/>
              </w:rPr>
              <w:t>63</w:t>
            </w:r>
            <w:r w:rsidRPr="00386993">
              <w:t xml:space="preserve"> patients tested</w:t>
            </w:r>
          </w:p>
        </w:tc>
        <w:tc>
          <w:tcPr>
            <w:tcW w:w="993" w:type="dxa"/>
          </w:tcPr>
          <w:p w:rsidR="00CC3BA4" w:rsidRPr="001D2AD7" w:rsidRDefault="00CC3BA4" w:rsidP="0037584C">
            <w:pPr>
              <w:pStyle w:val="Tabletext"/>
              <w:rPr>
                <w:rFonts w:cs="Tahoma"/>
                <w:highlight w:val="cyan"/>
              </w:rPr>
            </w:pPr>
            <w:r>
              <w:rPr>
                <w:rFonts w:cs="Tahoma"/>
              </w:rPr>
              <w:t>-</w:t>
            </w:r>
          </w:p>
        </w:tc>
        <w:tc>
          <w:tcPr>
            <w:tcW w:w="2188" w:type="dxa"/>
          </w:tcPr>
          <w:p w:rsidR="00CC3BA4" w:rsidRPr="00D36FBC" w:rsidRDefault="00CC3BA4" w:rsidP="001F1FDD">
            <w:pPr>
              <w:pStyle w:val="Tabletext"/>
              <w:rPr>
                <w:rFonts w:cs="Tahoma"/>
                <w:highlight w:val="cyan"/>
              </w:rPr>
            </w:pPr>
            <w:r>
              <w:rPr>
                <w:rFonts w:cs="Tahoma"/>
              </w:rPr>
              <w:t>Median</w:t>
            </w:r>
            <w:r w:rsidR="00386993">
              <w:rPr>
                <w:rFonts w:cs="Tahoma"/>
              </w:rPr>
              <w:t xml:space="preserve"> </w:t>
            </w:r>
            <w:r w:rsidR="001F1FDD">
              <w:rPr>
                <w:rFonts w:cs="Tahoma"/>
              </w:rPr>
              <w:t>MD</w:t>
            </w:r>
            <w:r>
              <w:rPr>
                <w:rFonts w:cs="Tahoma"/>
              </w:rPr>
              <w:t xml:space="preserve"> 11.1 m further</w:t>
            </w:r>
            <w:r>
              <w:rPr>
                <w:rFonts w:cs="Tahoma"/>
              </w:rPr>
              <w:br/>
              <w:t>(range</w:t>
            </w:r>
            <w:r w:rsidRPr="00944F0A">
              <w:rPr>
                <w:rFonts w:cs="Tahoma"/>
              </w:rPr>
              <w:t xml:space="preserve"> </w:t>
            </w:r>
            <w:r>
              <w:rPr>
                <w:rFonts w:cs="Tahoma"/>
              </w:rPr>
              <w:t>8.6</w:t>
            </w:r>
            <w:r w:rsidRPr="00944F0A">
              <w:rPr>
                <w:rFonts w:cs="Tahoma"/>
              </w:rPr>
              <w:t xml:space="preserve"> </w:t>
            </w:r>
            <w:r>
              <w:rPr>
                <w:rFonts w:cs="Tahoma"/>
              </w:rPr>
              <w:t>m further</w:t>
            </w:r>
            <w:r w:rsidRPr="00944F0A">
              <w:rPr>
                <w:rFonts w:cs="Tahoma"/>
              </w:rPr>
              <w:t xml:space="preserve"> to </w:t>
            </w:r>
            <w:r>
              <w:rPr>
                <w:rFonts w:cs="Tahoma"/>
              </w:rPr>
              <w:t>13.6 m further)</w:t>
            </w:r>
          </w:p>
        </w:tc>
        <w:tc>
          <w:tcPr>
            <w:tcW w:w="1214" w:type="dxa"/>
          </w:tcPr>
          <w:p w:rsidR="00CC3BA4" w:rsidRDefault="00312FDE" w:rsidP="0037584C">
            <w:pPr>
              <w:pStyle w:val="Tabletext"/>
              <w:rPr>
                <w:rFonts w:ascii="Cambria Math" w:eastAsia="Times New Roman" w:hAnsi="Cambria Math" w:cs="Cambria Math"/>
                <w:bCs/>
              </w:rPr>
            </w:pPr>
            <w:r>
              <w:rPr>
                <w:rFonts w:eastAsia="Times New Roman" w:cs="Tahoma"/>
                <w:bCs/>
              </w:rPr>
              <w:t>Moderate</w:t>
            </w:r>
            <w:r w:rsidR="00CC3BA4">
              <w:rPr>
                <w:rFonts w:eastAsia="Times New Roman" w:cs="Tahoma"/>
                <w:bCs/>
              </w:rPr>
              <w:br/>
            </w:r>
            <w:r w:rsidR="00CC3BA4">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D36FBC" w:rsidRDefault="00B14FF5" w:rsidP="0037584C">
            <w:pPr>
              <w:pStyle w:val="Tabletext"/>
              <w:rPr>
                <w:rFonts w:eastAsia="Times New Roman" w:cs="Cambria Math"/>
                <w:bCs/>
                <w:color w:val="00B050"/>
              </w:rPr>
            </w:pPr>
            <w:r>
              <w:rPr>
                <w:rFonts w:cs="Tahoma"/>
              </w:rPr>
              <w:t>I</w:t>
            </w:r>
            <w:r w:rsidR="00CC3BA4" w:rsidRPr="00E564DD">
              <w:rPr>
                <w:rFonts w:cs="Tahoma"/>
              </w:rPr>
              <w:t>mportant</w:t>
            </w:r>
          </w:p>
        </w:tc>
      </w:tr>
      <w:tr w:rsidR="00CC3BA4" w:rsidRPr="00D36FBC" w:rsidTr="00115AB1">
        <w:trPr>
          <w:trHeight w:val="319"/>
        </w:trPr>
        <w:tc>
          <w:tcPr>
            <w:tcW w:w="1493" w:type="dxa"/>
          </w:tcPr>
          <w:p w:rsidR="00CC3BA4" w:rsidRPr="00D36FBC" w:rsidRDefault="00CC3BA4" w:rsidP="0037584C">
            <w:pPr>
              <w:pStyle w:val="Tabletext"/>
              <w:rPr>
                <w:rFonts w:cs="Tahoma"/>
              </w:rPr>
            </w:pPr>
            <w:r w:rsidRPr="00D36FBC">
              <w:rPr>
                <w:rFonts w:cs="Tahoma"/>
              </w:rPr>
              <w:t>Change in 6MWD from baseline</w:t>
            </w:r>
            <w:r>
              <w:rPr>
                <w:rFonts w:cs="Tahoma"/>
              </w:rPr>
              <w:t xml:space="preserve"> in PAH-CTD</w:t>
            </w:r>
            <w:r>
              <w:rPr>
                <w:rFonts w:cs="Tahoma"/>
              </w:rPr>
              <w:br/>
            </w:r>
            <w:r w:rsidRPr="00D36FBC">
              <w:rPr>
                <w:rFonts w:cs="Tahoma"/>
              </w:rPr>
              <w:t xml:space="preserve">(26 weeks) </w:t>
            </w:r>
          </w:p>
        </w:tc>
        <w:tc>
          <w:tcPr>
            <w:tcW w:w="1054" w:type="dxa"/>
          </w:tcPr>
          <w:p w:rsidR="00CC3BA4" w:rsidRPr="00D36FBC" w:rsidRDefault="00CC3BA4" w:rsidP="0037584C">
            <w:pPr>
              <w:pStyle w:val="Tabletext"/>
              <w:rPr>
                <w:rFonts w:cs="Tahoma"/>
              </w:rPr>
            </w:pPr>
            <w:r>
              <w:rPr>
                <w:rFonts w:cs="Tahoma"/>
              </w:rPr>
              <w:t>2</w:t>
            </w:r>
            <w:r w:rsidRPr="00D36FBC">
              <w:rPr>
                <w:rFonts w:cs="Tahoma"/>
              </w:rPr>
              <w:t xml:space="preserve"> RCT</w:t>
            </w:r>
            <w:r>
              <w:rPr>
                <w:rFonts w:cs="Tahoma"/>
              </w:rPr>
              <w:t>s</w:t>
            </w:r>
          </w:p>
        </w:tc>
        <w:tc>
          <w:tcPr>
            <w:tcW w:w="912" w:type="dxa"/>
          </w:tcPr>
          <w:p w:rsidR="00CC3BA4" w:rsidRPr="00D36FBC" w:rsidRDefault="00CC3BA4" w:rsidP="0037584C">
            <w:pPr>
              <w:pStyle w:val="Tabletext"/>
              <w:rPr>
                <w:rFonts w:cs="Tahoma"/>
              </w:rPr>
            </w:pPr>
            <w:r w:rsidRPr="00D36FBC">
              <w:rPr>
                <w:rFonts w:cs="Tahoma"/>
              </w:rPr>
              <w:t>Not serious</w:t>
            </w:r>
          </w:p>
        </w:tc>
        <w:tc>
          <w:tcPr>
            <w:tcW w:w="931" w:type="dxa"/>
          </w:tcPr>
          <w:p w:rsidR="00CC3BA4" w:rsidRPr="00D36FBC" w:rsidRDefault="00CC3BA4" w:rsidP="00312FDE">
            <w:pPr>
              <w:pStyle w:val="Tabletext"/>
              <w:rPr>
                <w:rFonts w:cs="Tahoma"/>
              </w:rPr>
            </w:pPr>
            <w:r w:rsidRPr="00D36FBC">
              <w:rPr>
                <w:rFonts w:cs="Tahoma"/>
              </w:rPr>
              <w:t xml:space="preserve">Serious </w:t>
            </w:r>
            <w:r w:rsidR="00312FDE">
              <w:rPr>
                <w:rFonts w:cs="Tahoma"/>
                <w:vertAlign w:val="superscript"/>
              </w:rPr>
              <w:t>d</w:t>
            </w:r>
          </w:p>
        </w:tc>
        <w:tc>
          <w:tcPr>
            <w:tcW w:w="992" w:type="dxa"/>
          </w:tcPr>
          <w:p w:rsidR="00CC3BA4" w:rsidRPr="00C05257" w:rsidRDefault="00312FDE" w:rsidP="0037584C">
            <w:pPr>
              <w:pStyle w:val="Tabletext"/>
              <w:rPr>
                <w:rFonts w:cs="Tahoma"/>
                <w:vertAlign w:val="superscript"/>
              </w:rPr>
            </w:pPr>
            <w:r>
              <w:rPr>
                <w:rFonts w:cs="Tahoma"/>
              </w:rPr>
              <w:t>S</w:t>
            </w:r>
            <w:r w:rsidR="00CC3BA4" w:rsidRPr="00D36FBC">
              <w:rPr>
                <w:rFonts w:cs="Tahoma"/>
              </w:rPr>
              <w:t>erious</w:t>
            </w:r>
            <w:r>
              <w:rPr>
                <w:rFonts w:cs="Tahoma"/>
                <w:vertAlign w:val="superscript"/>
              </w:rPr>
              <w:t xml:space="preserve"> c</w:t>
            </w:r>
          </w:p>
        </w:tc>
        <w:tc>
          <w:tcPr>
            <w:tcW w:w="992" w:type="dxa"/>
          </w:tcPr>
          <w:p w:rsidR="00CC3BA4" w:rsidRPr="00C05257" w:rsidRDefault="00C05257" w:rsidP="0037584C">
            <w:pPr>
              <w:pStyle w:val="Tabletext"/>
              <w:rPr>
                <w:rFonts w:cs="Tahoma"/>
                <w:vertAlign w:val="superscript"/>
              </w:rPr>
            </w:pPr>
            <w:r>
              <w:rPr>
                <w:rFonts w:cs="Tahoma"/>
              </w:rPr>
              <w:t>S</w:t>
            </w:r>
            <w:r w:rsidR="00CC3BA4" w:rsidRPr="00D36FBC">
              <w:rPr>
                <w:rFonts w:cs="Tahoma"/>
              </w:rPr>
              <w:t>erious</w:t>
            </w:r>
            <w:r>
              <w:rPr>
                <w:rFonts w:cs="Tahoma"/>
                <w:vertAlign w:val="superscript"/>
              </w:rPr>
              <w:t xml:space="preserve"> e</w:t>
            </w:r>
          </w:p>
        </w:tc>
        <w:tc>
          <w:tcPr>
            <w:tcW w:w="1276" w:type="dxa"/>
          </w:tcPr>
          <w:p w:rsidR="00CC3BA4" w:rsidRPr="00D36FBC" w:rsidRDefault="00CC3BA4" w:rsidP="0037584C">
            <w:pPr>
              <w:pStyle w:val="Tabletext"/>
              <w:rPr>
                <w:rFonts w:cs="Tahoma"/>
              </w:rPr>
            </w:pPr>
            <w:r w:rsidRPr="00D36FBC">
              <w:rPr>
                <w:rFonts w:cs="Tahoma"/>
              </w:rPr>
              <w:t>None</w:t>
            </w:r>
          </w:p>
        </w:tc>
        <w:tc>
          <w:tcPr>
            <w:tcW w:w="1417" w:type="dxa"/>
          </w:tcPr>
          <w:p w:rsidR="00CC3BA4" w:rsidRPr="00386993" w:rsidRDefault="00CC3BA4" w:rsidP="00386993">
            <w:pPr>
              <w:pStyle w:val="Tabletext"/>
            </w:pPr>
            <w:r w:rsidRPr="00386993">
              <w:t>26 patients tested</w:t>
            </w:r>
          </w:p>
        </w:tc>
        <w:tc>
          <w:tcPr>
            <w:tcW w:w="1134" w:type="dxa"/>
          </w:tcPr>
          <w:p w:rsidR="00CC3BA4" w:rsidRPr="00386993" w:rsidRDefault="00CC3BA4" w:rsidP="00386993">
            <w:pPr>
              <w:pStyle w:val="Tabletext"/>
            </w:pPr>
            <w:r w:rsidRPr="00386993">
              <w:rPr>
                <w:rStyle w:val="cell-value"/>
              </w:rPr>
              <w:t>29</w:t>
            </w:r>
            <w:r w:rsidRPr="00386993">
              <w:t xml:space="preserve"> patients tested</w:t>
            </w:r>
          </w:p>
        </w:tc>
        <w:tc>
          <w:tcPr>
            <w:tcW w:w="993" w:type="dxa"/>
          </w:tcPr>
          <w:p w:rsidR="00CC3BA4" w:rsidRPr="00456F1B" w:rsidRDefault="00CC3BA4" w:rsidP="0037584C">
            <w:pPr>
              <w:pStyle w:val="Tabletext"/>
              <w:rPr>
                <w:rFonts w:cs="Tahoma"/>
              </w:rPr>
            </w:pPr>
            <w:r>
              <w:rPr>
                <w:rFonts w:cs="Tahoma"/>
              </w:rPr>
              <w:t>-</w:t>
            </w:r>
          </w:p>
        </w:tc>
        <w:tc>
          <w:tcPr>
            <w:tcW w:w="2188" w:type="dxa"/>
          </w:tcPr>
          <w:p w:rsidR="00CC3BA4" w:rsidRPr="00D36FBC" w:rsidRDefault="00CC3BA4" w:rsidP="001F1FDD">
            <w:pPr>
              <w:pStyle w:val="Tabletext"/>
              <w:rPr>
                <w:rFonts w:cs="Tahoma"/>
              </w:rPr>
            </w:pPr>
            <w:r>
              <w:rPr>
                <w:rFonts w:cs="Tahoma"/>
              </w:rPr>
              <w:t>Median</w:t>
            </w:r>
            <w:r w:rsidR="00386993">
              <w:rPr>
                <w:rFonts w:cs="Tahoma"/>
              </w:rPr>
              <w:t xml:space="preserve"> </w:t>
            </w:r>
            <w:r w:rsidR="001F1FDD">
              <w:rPr>
                <w:rFonts w:cs="Tahoma"/>
              </w:rPr>
              <w:t>MD</w:t>
            </w:r>
            <w:r>
              <w:rPr>
                <w:rFonts w:cs="Tahoma"/>
              </w:rPr>
              <w:t xml:space="preserve"> 6.7 m less</w:t>
            </w:r>
            <w:r>
              <w:rPr>
                <w:rFonts w:cs="Tahoma"/>
              </w:rPr>
              <w:br/>
              <w:t>(range</w:t>
            </w:r>
            <w:r w:rsidRPr="00944F0A">
              <w:rPr>
                <w:rFonts w:cs="Tahoma"/>
              </w:rPr>
              <w:t xml:space="preserve"> </w:t>
            </w:r>
            <w:r>
              <w:rPr>
                <w:rFonts w:cs="Tahoma"/>
              </w:rPr>
              <w:t>34.1</w:t>
            </w:r>
            <w:r w:rsidRPr="00944F0A">
              <w:rPr>
                <w:rFonts w:cs="Tahoma"/>
              </w:rPr>
              <w:t xml:space="preserve"> </w:t>
            </w:r>
            <w:r>
              <w:rPr>
                <w:rFonts w:cs="Tahoma"/>
              </w:rPr>
              <w:t>m less</w:t>
            </w:r>
            <w:r w:rsidRPr="00944F0A">
              <w:rPr>
                <w:rFonts w:cs="Tahoma"/>
              </w:rPr>
              <w:t xml:space="preserve"> to </w:t>
            </w:r>
            <w:r>
              <w:rPr>
                <w:rFonts w:cs="Tahoma"/>
              </w:rPr>
              <w:t>20.7 m further)</w:t>
            </w:r>
          </w:p>
        </w:tc>
        <w:tc>
          <w:tcPr>
            <w:tcW w:w="1214" w:type="dxa"/>
          </w:tcPr>
          <w:p w:rsidR="00CC3BA4" w:rsidRDefault="00C05257" w:rsidP="0037584C">
            <w:pPr>
              <w:pStyle w:val="Tabletext"/>
              <w:rPr>
                <w:rFonts w:ascii="Cambria Math" w:eastAsia="Times New Roman" w:hAnsi="Cambria Math" w:cs="Cambria Math"/>
                <w:bCs/>
              </w:rPr>
            </w:pPr>
            <w:r>
              <w:rPr>
                <w:rFonts w:eastAsia="Times New Roman" w:cs="Tahoma"/>
                <w:bCs/>
              </w:rPr>
              <w:t>Very l</w:t>
            </w:r>
            <w:r w:rsidR="00312FDE">
              <w:rPr>
                <w:rFonts w:eastAsia="Times New Roman" w:cs="Tahoma"/>
                <w:bCs/>
              </w:rPr>
              <w:t>ow</w:t>
            </w:r>
            <w:r w:rsidR="00CC3BA4">
              <w:rPr>
                <w:rFonts w:eastAsia="Times New Roman" w:cs="Tahoma"/>
                <w:bCs/>
              </w:rPr>
              <w:br/>
            </w:r>
            <w:r w:rsidR="00CC3BA4"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r w:rsidR="00312FDE" w:rsidRPr="00E564DD">
              <w:rPr>
                <w:rFonts w:ascii="Cambria Math" w:eastAsia="Times New Roman" w:hAnsi="Cambria Math" w:cs="Cambria Math"/>
                <w:bCs/>
                <w:color w:val="FF0000"/>
              </w:rPr>
              <w:t>⨀</w:t>
            </w:r>
            <w:r w:rsidR="00CC3BA4" w:rsidRPr="00E564DD">
              <w:rPr>
                <w:rFonts w:ascii="Cambria Math" w:eastAsia="Times New Roman" w:hAnsi="Cambria Math" w:cs="Cambria Math"/>
                <w:bCs/>
                <w:color w:val="FF0000"/>
              </w:rPr>
              <w:t>⨀</w:t>
            </w:r>
          </w:p>
          <w:p w:rsidR="00CC3BA4" w:rsidRPr="00D36FBC" w:rsidRDefault="00B14FF5" w:rsidP="0037584C">
            <w:pPr>
              <w:pStyle w:val="Tabletext"/>
              <w:rPr>
                <w:rFonts w:eastAsia="Times New Roman" w:cs="Cambria Math"/>
                <w:bCs/>
                <w:color w:val="00B050"/>
              </w:rPr>
            </w:pPr>
            <w:r>
              <w:rPr>
                <w:rFonts w:cs="Tahoma"/>
              </w:rPr>
              <w:t>I</w:t>
            </w:r>
            <w:r w:rsidR="00CC3BA4" w:rsidRPr="00E564DD">
              <w:rPr>
                <w:rFonts w:cs="Tahoma"/>
              </w:rPr>
              <w:t>mportant</w:t>
            </w:r>
          </w:p>
        </w:tc>
      </w:tr>
    </w:tbl>
    <w:p w:rsidR="00CC3BA4" w:rsidRPr="00AA018C" w:rsidRDefault="00CC3BA4" w:rsidP="0037584C">
      <w:pPr>
        <w:pStyle w:val="Tablenote"/>
      </w:pPr>
      <w:r w:rsidRPr="00E564DD">
        <w:rPr>
          <w:vertAlign w:val="superscript"/>
        </w:rPr>
        <w:t xml:space="preserve">a </w:t>
      </w:r>
      <w:r w:rsidRPr="00AA018C">
        <w:t>O</w:t>
      </w:r>
      <w:r>
        <w:t>ther considerations such as publication bias and effect size</w:t>
      </w:r>
    </w:p>
    <w:p w:rsidR="00CC3BA4" w:rsidRDefault="00CC3BA4" w:rsidP="0037584C">
      <w:pPr>
        <w:pStyle w:val="Tablenote"/>
      </w:pPr>
      <w:r>
        <w:rPr>
          <w:vertAlign w:val="superscript"/>
        </w:rPr>
        <w:t xml:space="preserve">b </w:t>
      </w:r>
      <w:r w:rsidRPr="00E564DD">
        <w:t>GRADE W</w:t>
      </w:r>
      <w:r>
        <w:t>orking Group grades of evidence</w:t>
      </w:r>
      <w:r w:rsidR="001D34EE" w:rsidRPr="001D34EE">
        <w:rPr>
          <w:noProof/>
          <w:vertAlign w:val="superscript"/>
        </w:rPr>
        <w:t>1</w:t>
      </w:r>
    </w:p>
    <w:p w:rsidR="00312FDE" w:rsidRPr="00312FDE" w:rsidRDefault="00312FDE" w:rsidP="0037584C">
      <w:pPr>
        <w:pStyle w:val="Tablenote"/>
      </w:pPr>
      <w:r>
        <w:rPr>
          <w:vertAlign w:val="superscript"/>
        </w:rPr>
        <w:t xml:space="preserve">c </w:t>
      </w:r>
      <w:r>
        <w:t>surrogate outcome</w:t>
      </w:r>
    </w:p>
    <w:p w:rsidR="00CC3BA4" w:rsidRDefault="00312FDE" w:rsidP="0037584C">
      <w:pPr>
        <w:pStyle w:val="Tablenote"/>
      </w:pPr>
      <w:r>
        <w:rPr>
          <w:vertAlign w:val="superscript"/>
        </w:rPr>
        <w:t>d</w:t>
      </w:r>
      <w:r w:rsidR="00CC3BA4">
        <w:rPr>
          <w:vertAlign w:val="superscript"/>
        </w:rPr>
        <w:t xml:space="preserve"> </w:t>
      </w:r>
      <w:r w:rsidR="00CC3BA4">
        <w:t>T</w:t>
      </w:r>
      <w:r w:rsidR="00CC3BA4" w:rsidRPr="00CA02C0">
        <w:t>rials show results trending in opposite directions</w:t>
      </w:r>
    </w:p>
    <w:p w:rsidR="00C05257" w:rsidRPr="00C05257" w:rsidRDefault="00C05257" w:rsidP="0037584C">
      <w:pPr>
        <w:pStyle w:val="Tablenote"/>
      </w:pPr>
      <w:r>
        <w:rPr>
          <w:vertAlign w:val="superscript"/>
        </w:rPr>
        <w:t xml:space="preserve">e </w:t>
      </w:r>
      <w:r>
        <w:t>Wide range</w:t>
      </w:r>
    </w:p>
    <w:p w:rsidR="00CC3BA4" w:rsidRPr="00E564DD" w:rsidRDefault="00CC3BA4" w:rsidP="0037584C">
      <w:pPr>
        <w:pStyle w:val="Tablenote"/>
      </w:pPr>
      <w:r w:rsidRPr="00E564DD">
        <w:rPr>
          <w:rFonts w:ascii="Cambria Math" w:hAnsi="Cambria Math" w:cs="Cambria Math"/>
          <w:color w:val="00B050"/>
        </w:rPr>
        <w:t>⨁⨁⨁⨁</w:t>
      </w:r>
      <w:r w:rsidRPr="00E564DD">
        <w:rPr>
          <w:color w:val="00B050"/>
        </w:rPr>
        <w:t xml:space="preserve"> </w:t>
      </w:r>
      <w:r w:rsidRPr="00E564DD">
        <w:rPr>
          <w:b/>
        </w:rPr>
        <w:t>High quality:</w:t>
      </w:r>
      <w:r w:rsidRPr="00E564DD">
        <w:t xml:space="preserve"> We are very confident that the true effect lies close to that of the estimate of effect</w:t>
      </w:r>
    </w:p>
    <w:p w:rsidR="00CC3BA4" w:rsidRPr="00E564DD" w:rsidRDefault="00CC3BA4" w:rsidP="0037584C">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F95747" w:rsidRPr="00E564DD" w:rsidRDefault="00F95747" w:rsidP="00F95747">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Very low quality:</w:t>
      </w:r>
      <w:r w:rsidRPr="00E564DD">
        <w:t xml:space="preserve"> We have very little confidence in the effect estimate: The true effect is likely to be substantially different from the estimate of effect</w:t>
      </w:r>
    </w:p>
    <w:p w:rsidR="007C6567" w:rsidRDefault="00CC3BA4" w:rsidP="0037584C">
      <w:pPr>
        <w:pStyle w:val="Tablenote"/>
      </w:pPr>
      <w:r>
        <w:t xml:space="preserve">6MWD = 6-minute </w:t>
      </w:r>
      <w:r w:rsidR="0082368E">
        <w:t>walk distance</w:t>
      </w:r>
      <w:r>
        <w:t>; CI = confidence interval; ERA = e</w:t>
      </w:r>
      <w:r w:rsidRPr="00107676">
        <w:t xml:space="preserve">ndothelin </w:t>
      </w:r>
      <w:r>
        <w:t>r</w:t>
      </w:r>
      <w:r w:rsidRPr="00107676">
        <w:t xml:space="preserve">eceptor </w:t>
      </w:r>
      <w:r>
        <w:t>a</w:t>
      </w:r>
      <w:r w:rsidRPr="00107676">
        <w:t>ntagonist</w:t>
      </w:r>
      <w:r>
        <w:t xml:space="preserve">; </w:t>
      </w:r>
      <w:r w:rsidR="00385E5A">
        <w:t>GRADE = grading of recommendations assessment, development and evaluation</w:t>
      </w:r>
      <w:r w:rsidR="001D34EE" w:rsidRPr="001D34EE">
        <w:rPr>
          <w:noProof/>
          <w:vertAlign w:val="superscript"/>
        </w:rPr>
        <w:t>1</w:t>
      </w:r>
      <w:r w:rsidR="007C6567" w:rsidRPr="00F24B06">
        <w:t xml:space="preserve">; </w:t>
      </w:r>
      <w:r w:rsidRPr="00C65B42">
        <w:t xml:space="preserve">HPAH = heritable PAH; HR = hazard ratio; IPAH = idiopathic PAH; </w:t>
      </w:r>
      <w:r w:rsidR="001F1FDD">
        <w:t xml:space="preserve">MD = mean difference; </w:t>
      </w:r>
      <w:r w:rsidRPr="00C65B42">
        <w:t xml:space="preserve">PAH = pulmonary arterial hypertension; </w:t>
      </w:r>
      <w:r w:rsidR="007C6567">
        <w:t>PAH-</w:t>
      </w:r>
      <w:r w:rsidR="007C6567" w:rsidRPr="00822C52">
        <w:t xml:space="preserve">CTD = </w:t>
      </w:r>
      <w:r w:rsidR="007C6567">
        <w:t xml:space="preserve">PAH associated with </w:t>
      </w:r>
      <w:r w:rsidR="007C6567" w:rsidRPr="00822C52">
        <w:t xml:space="preserve">connective tissue disease; </w:t>
      </w:r>
      <w:r w:rsidRPr="009B5AB3">
        <w:t>PDE-5</w:t>
      </w:r>
      <w:r w:rsidR="007C6567">
        <w:t>i</w:t>
      </w:r>
      <w:r w:rsidRPr="009B5AB3">
        <w:t xml:space="preserve"> = phosphodiesterase type-5</w:t>
      </w:r>
      <w:r w:rsidR="007C6567">
        <w:t xml:space="preserve"> inhibitor</w:t>
      </w:r>
      <w:r>
        <w:t>;</w:t>
      </w:r>
      <w:r w:rsidRPr="009B5AB3">
        <w:t xml:space="preserve"> </w:t>
      </w:r>
      <w:r>
        <w:t>RCT = randomised controlled trial</w:t>
      </w:r>
    </w:p>
    <w:p w:rsidR="00CC3BA4" w:rsidRPr="005D4CA0" w:rsidRDefault="00796F18" w:rsidP="00BC5A2B">
      <w:pPr>
        <w:pStyle w:val="Caption"/>
      </w:pPr>
      <w:bookmarkStart w:id="523" w:name="_Ref505781524"/>
      <w:bookmarkStart w:id="524" w:name="_Toc512855563"/>
      <w:r>
        <w:lastRenderedPageBreak/>
        <w:t>Table 4.</w:t>
      </w:r>
      <w:r w:rsidR="00AA722D">
        <w:rPr>
          <w:noProof/>
        </w:rPr>
        <w:t>159</w:t>
      </w:r>
      <w:bookmarkEnd w:id="523"/>
      <w:r>
        <w:tab/>
      </w:r>
      <w:r w:rsidR="00CC3BA4" w:rsidRPr="005D4CA0">
        <w:t xml:space="preserve">Evidence profile table for </w:t>
      </w:r>
      <w:r w:rsidR="00CC3BA4">
        <w:t xml:space="preserve">comparative safety of PDE-5 inhibitor + </w:t>
      </w:r>
      <w:r w:rsidR="00CC3BA4" w:rsidRPr="005D4CA0">
        <w:t xml:space="preserve">ERA </w:t>
      </w:r>
      <w:r w:rsidR="00CC3BA4">
        <w:t xml:space="preserve">combination therapy </w:t>
      </w:r>
      <w:r w:rsidR="00CC3BA4" w:rsidRPr="005D4CA0">
        <w:t xml:space="preserve">compared to </w:t>
      </w:r>
      <w:r w:rsidR="00CC3BA4">
        <w:t>ERA</w:t>
      </w:r>
      <w:r w:rsidR="00CC3BA4" w:rsidRPr="005D4CA0">
        <w:t xml:space="preserve"> </w:t>
      </w:r>
      <w:r w:rsidR="00CC3BA4">
        <w:t xml:space="preserve">monotherapy </w:t>
      </w:r>
      <w:r w:rsidR="00CC3BA4" w:rsidRPr="005D4CA0">
        <w:t xml:space="preserve">for </w:t>
      </w:r>
      <w:r w:rsidR="00CC3BA4">
        <w:t>all PAH patients</w:t>
      </w:r>
      <w:bookmarkEnd w:id="524"/>
    </w:p>
    <w:tbl>
      <w:tblPr>
        <w:tblStyle w:val="TableGrid"/>
        <w:tblW w:w="14596" w:type="dxa"/>
        <w:tblLayout w:type="fixed"/>
        <w:tblLook w:val="04A0" w:firstRow="1" w:lastRow="0" w:firstColumn="1" w:lastColumn="0" w:noHBand="0" w:noVBand="1"/>
        <w:tblCaption w:val="Evidence profile table for comparative safety of PDE-5 inhibitor + ERA combination therapy compared to ERA monotherapy for all PAH patients"/>
      </w:tblPr>
      <w:tblGrid>
        <w:gridCol w:w="1493"/>
        <w:gridCol w:w="1054"/>
        <w:gridCol w:w="771"/>
        <w:gridCol w:w="1072"/>
        <w:gridCol w:w="992"/>
        <w:gridCol w:w="992"/>
        <w:gridCol w:w="1276"/>
        <w:gridCol w:w="1417"/>
        <w:gridCol w:w="1134"/>
        <w:gridCol w:w="993"/>
        <w:gridCol w:w="2188"/>
        <w:gridCol w:w="1214"/>
      </w:tblGrid>
      <w:tr w:rsidR="0037584C" w:rsidRPr="0037584C" w:rsidTr="00115AB1">
        <w:trPr>
          <w:cnfStyle w:val="100000000000" w:firstRow="1" w:lastRow="0" w:firstColumn="0" w:lastColumn="0" w:oddVBand="0" w:evenVBand="0" w:oddHBand="0" w:evenHBand="0" w:firstRowFirstColumn="0" w:firstRowLastColumn="0" w:lastRowFirstColumn="0" w:lastRowLastColumn="0"/>
          <w:trHeight w:val="581"/>
        </w:trPr>
        <w:tc>
          <w:tcPr>
            <w:tcW w:w="1493" w:type="dxa"/>
          </w:tcPr>
          <w:p w:rsidR="00476F09" w:rsidRPr="0037584C" w:rsidRDefault="00476F09" w:rsidP="0037584C">
            <w:pPr>
              <w:pStyle w:val="Tabletext"/>
              <w:rPr>
                <w:b/>
              </w:rPr>
            </w:pPr>
            <w:r w:rsidRPr="0037584C">
              <w:rPr>
                <w:b/>
              </w:rPr>
              <w:t>Outcome (follow-up)</w:t>
            </w:r>
          </w:p>
        </w:tc>
        <w:tc>
          <w:tcPr>
            <w:tcW w:w="1054" w:type="dxa"/>
          </w:tcPr>
          <w:p w:rsidR="00476F09" w:rsidRPr="0037584C" w:rsidRDefault="00476F09" w:rsidP="0037584C">
            <w:pPr>
              <w:pStyle w:val="Tabletext"/>
              <w:rPr>
                <w:b/>
              </w:rPr>
            </w:pPr>
            <w:r w:rsidRPr="0037584C">
              <w:rPr>
                <w:b/>
              </w:rPr>
              <w:t>No. of studies and study design</w:t>
            </w:r>
          </w:p>
        </w:tc>
        <w:tc>
          <w:tcPr>
            <w:tcW w:w="771" w:type="dxa"/>
          </w:tcPr>
          <w:p w:rsidR="00476F09" w:rsidRPr="0037584C" w:rsidRDefault="00476F09" w:rsidP="0037584C">
            <w:pPr>
              <w:pStyle w:val="Tabletext"/>
              <w:rPr>
                <w:b/>
              </w:rPr>
            </w:pPr>
            <w:r w:rsidRPr="0037584C">
              <w:rPr>
                <w:b/>
              </w:rPr>
              <w:t>Risk of bias</w:t>
            </w:r>
          </w:p>
        </w:tc>
        <w:tc>
          <w:tcPr>
            <w:tcW w:w="1072" w:type="dxa"/>
          </w:tcPr>
          <w:p w:rsidR="00476F09" w:rsidRPr="0037584C" w:rsidRDefault="00476F09" w:rsidP="0037584C">
            <w:pPr>
              <w:pStyle w:val="Tabletext"/>
              <w:rPr>
                <w:b/>
              </w:rPr>
            </w:pPr>
            <w:r w:rsidRPr="0037584C">
              <w:rPr>
                <w:b/>
              </w:rPr>
              <w:t>Inconsis</w:t>
            </w:r>
            <w:r w:rsidR="00115AB1">
              <w:rPr>
                <w:b/>
              </w:rPr>
              <w:t>-</w:t>
            </w:r>
            <w:r w:rsidRPr="0037584C">
              <w:rPr>
                <w:b/>
              </w:rPr>
              <w:t>tency</w:t>
            </w:r>
          </w:p>
        </w:tc>
        <w:tc>
          <w:tcPr>
            <w:tcW w:w="992" w:type="dxa"/>
          </w:tcPr>
          <w:p w:rsidR="00476F09" w:rsidRPr="0037584C" w:rsidRDefault="00476F09" w:rsidP="0037584C">
            <w:pPr>
              <w:pStyle w:val="Tabletext"/>
              <w:rPr>
                <w:b/>
              </w:rPr>
            </w:pPr>
            <w:r w:rsidRPr="0037584C">
              <w:rPr>
                <w:b/>
              </w:rPr>
              <w:t>Indirect</w:t>
            </w:r>
            <w:r w:rsidR="00115AB1">
              <w:rPr>
                <w:b/>
              </w:rPr>
              <w:t>-</w:t>
            </w:r>
            <w:r w:rsidRPr="0037584C">
              <w:rPr>
                <w:b/>
              </w:rPr>
              <w:t>ness</w:t>
            </w:r>
          </w:p>
        </w:tc>
        <w:tc>
          <w:tcPr>
            <w:tcW w:w="992" w:type="dxa"/>
          </w:tcPr>
          <w:p w:rsidR="00476F09" w:rsidRPr="0037584C" w:rsidRDefault="00476F09" w:rsidP="0037584C">
            <w:pPr>
              <w:pStyle w:val="Tabletext"/>
              <w:rPr>
                <w:b/>
              </w:rPr>
            </w:pPr>
            <w:r w:rsidRPr="0037584C">
              <w:rPr>
                <w:b/>
              </w:rPr>
              <w:t>Impre</w:t>
            </w:r>
            <w:r w:rsidR="00115AB1">
              <w:rPr>
                <w:b/>
              </w:rPr>
              <w:t>-</w:t>
            </w:r>
            <w:r w:rsidRPr="0037584C">
              <w:rPr>
                <w:b/>
              </w:rPr>
              <w:t>cision</w:t>
            </w:r>
          </w:p>
        </w:tc>
        <w:tc>
          <w:tcPr>
            <w:tcW w:w="1276" w:type="dxa"/>
          </w:tcPr>
          <w:p w:rsidR="00476F09" w:rsidRPr="0037584C" w:rsidRDefault="00476F09" w:rsidP="0037584C">
            <w:pPr>
              <w:pStyle w:val="Tabletext"/>
              <w:rPr>
                <w:b/>
              </w:rPr>
            </w:pPr>
            <w:r w:rsidRPr="0037584C">
              <w:rPr>
                <w:b/>
              </w:rPr>
              <w:t>Other conside</w:t>
            </w:r>
            <w:r w:rsidR="00115AB1">
              <w:rPr>
                <w:b/>
              </w:rPr>
              <w:t>-</w:t>
            </w:r>
            <w:r w:rsidRPr="0037584C">
              <w:rPr>
                <w:b/>
              </w:rPr>
              <w:t>rations</w:t>
            </w:r>
            <w:r w:rsidRPr="0037584C">
              <w:rPr>
                <w:b/>
                <w:vertAlign w:val="superscript"/>
              </w:rPr>
              <w:t>a</w:t>
            </w:r>
          </w:p>
        </w:tc>
        <w:tc>
          <w:tcPr>
            <w:tcW w:w="1417" w:type="dxa"/>
          </w:tcPr>
          <w:p w:rsidR="00476F09" w:rsidRPr="0037584C" w:rsidRDefault="00476F09" w:rsidP="0037584C">
            <w:pPr>
              <w:pStyle w:val="Tabletext"/>
              <w:rPr>
                <w:b/>
              </w:rPr>
            </w:pPr>
            <w:r w:rsidRPr="0037584C">
              <w:rPr>
                <w:b/>
              </w:rPr>
              <w:t>Study event rates (%) with PDE-5i + ERA</w:t>
            </w:r>
          </w:p>
        </w:tc>
        <w:tc>
          <w:tcPr>
            <w:tcW w:w="1134" w:type="dxa"/>
          </w:tcPr>
          <w:p w:rsidR="00476F09" w:rsidRPr="0037584C" w:rsidRDefault="00476F09" w:rsidP="0037584C">
            <w:pPr>
              <w:pStyle w:val="Tabletext"/>
              <w:rPr>
                <w:b/>
              </w:rPr>
            </w:pPr>
            <w:r w:rsidRPr="0037584C">
              <w:rPr>
                <w:b/>
              </w:rPr>
              <w:t>Study event rates (%) with ERA</w:t>
            </w:r>
          </w:p>
        </w:tc>
        <w:tc>
          <w:tcPr>
            <w:tcW w:w="993" w:type="dxa"/>
          </w:tcPr>
          <w:p w:rsidR="00476F09" w:rsidRPr="0037584C" w:rsidRDefault="00476F09" w:rsidP="0037584C">
            <w:pPr>
              <w:pStyle w:val="Tabletext"/>
              <w:rPr>
                <w:b/>
              </w:rPr>
            </w:pPr>
            <w:r w:rsidRPr="0037584C">
              <w:rPr>
                <w:b/>
              </w:rPr>
              <w:t>Effect measure (95%CI)</w:t>
            </w:r>
          </w:p>
        </w:tc>
        <w:tc>
          <w:tcPr>
            <w:tcW w:w="2188" w:type="dxa"/>
          </w:tcPr>
          <w:p w:rsidR="00476F09" w:rsidRPr="0037584C" w:rsidRDefault="00476F09" w:rsidP="0037584C">
            <w:pPr>
              <w:pStyle w:val="Tabletext"/>
              <w:rPr>
                <w:b/>
              </w:rPr>
            </w:pPr>
            <w:r w:rsidRPr="0037584C">
              <w:rPr>
                <w:b/>
              </w:rPr>
              <w:t>Absolute effect (95%CI)</w:t>
            </w:r>
          </w:p>
        </w:tc>
        <w:tc>
          <w:tcPr>
            <w:tcW w:w="1214" w:type="dxa"/>
          </w:tcPr>
          <w:p w:rsidR="007C6567" w:rsidRDefault="007C6567" w:rsidP="0037584C">
            <w:pPr>
              <w:pStyle w:val="Tabletext"/>
              <w:rPr>
                <w:b/>
              </w:rPr>
            </w:pPr>
            <w:r>
              <w:rPr>
                <w:b/>
              </w:rPr>
              <w:t>GRADE</w:t>
            </w:r>
            <w:r w:rsidRPr="007C6567">
              <w:rPr>
                <w:b/>
                <w:vertAlign w:val="superscript"/>
              </w:rPr>
              <w:t>b</w:t>
            </w:r>
          </w:p>
          <w:p w:rsidR="00476F09" w:rsidRPr="0037584C" w:rsidRDefault="00476F09" w:rsidP="0037584C">
            <w:pPr>
              <w:pStyle w:val="Tabletext"/>
              <w:rPr>
                <w:b/>
                <w:vertAlign w:val="superscript"/>
              </w:rPr>
            </w:pPr>
            <w:r w:rsidRPr="0037584C">
              <w:rPr>
                <w:b/>
              </w:rPr>
              <w:t>Quality</w:t>
            </w:r>
          </w:p>
          <w:p w:rsidR="00476F09" w:rsidRPr="0037584C" w:rsidRDefault="00476F09" w:rsidP="0037584C">
            <w:pPr>
              <w:pStyle w:val="Tabletext"/>
              <w:rPr>
                <w:b/>
              </w:rPr>
            </w:pPr>
            <w:r w:rsidRPr="0037584C">
              <w:rPr>
                <w:b/>
              </w:rPr>
              <w:t>Importance</w:t>
            </w:r>
          </w:p>
        </w:tc>
      </w:tr>
      <w:tr w:rsidR="00CC3BA4" w:rsidRPr="00596E2E" w:rsidTr="00115AB1">
        <w:trPr>
          <w:trHeight w:val="319"/>
        </w:trPr>
        <w:tc>
          <w:tcPr>
            <w:tcW w:w="1493" w:type="dxa"/>
          </w:tcPr>
          <w:p w:rsidR="00CC3BA4" w:rsidRPr="00596E2E" w:rsidRDefault="00CC3BA4" w:rsidP="0037584C">
            <w:pPr>
              <w:pStyle w:val="Tabletext"/>
              <w:rPr>
                <w:rFonts w:cs="Tahoma"/>
              </w:rPr>
            </w:pPr>
            <w:r w:rsidRPr="00596E2E">
              <w:rPr>
                <w:rFonts w:cs="Tahoma"/>
              </w:rPr>
              <w:t>Any AE</w:t>
            </w:r>
            <w:r w:rsidRPr="00596E2E">
              <w:rPr>
                <w:rFonts w:cs="Tahoma"/>
              </w:rPr>
              <w:br/>
              <w:t>(1</w:t>
            </w:r>
            <w:r>
              <w:rPr>
                <w:rFonts w:cs="Tahoma"/>
              </w:rPr>
              <w:t>2−16</w:t>
            </w:r>
            <w:r w:rsidRPr="00596E2E">
              <w:rPr>
                <w:rFonts w:cs="Tahoma"/>
              </w:rPr>
              <w:t xml:space="preserve"> weeks)</w:t>
            </w:r>
          </w:p>
        </w:tc>
        <w:tc>
          <w:tcPr>
            <w:tcW w:w="1054" w:type="dxa"/>
          </w:tcPr>
          <w:p w:rsidR="00CC3BA4" w:rsidRPr="00596E2E" w:rsidRDefault="00CC3BA4" w:rsidP="0037584C">
            <w:pPr>
              <w:pStyle w:val="Tabletext"/>
              <w:rPr>
                <w:rFonts w:cs="Tahoma"/>
              </w:rPr>
            </w:pPr>
            <w:r>
              <w:rPr>
                <w:rFonts w:cs="Tahoma"/>
              </w:rPr>
              <w:t>2</w:t>
            </w:r>
            <w:r w:rsidRPr="00596E2E">
              <w:rPr>
                <w:rFonts w:cs="Tahoma"/>
              </w:rPr>
              <w:t xml:space="preserve"> RCT</w:t>
            </w:r>
            <w:r>
              <w:rPr>
                <w:rFonts w:cs="Tahoma"/>
              </w:rPr>
              <w:t>s</w:t>
            </w:r>
          </w:p>
        </w:tc>
        <w:tc>
          <w:tcPr>
            <w:tcW w:w="771" w:type="dxa"/>
          </w:tcPr>
          <w:p w:rsidR="00CC3BA4" w:rsidRPr="00596E2E" w:rsidRDefault="00CC3BA4" w:rsidP="0037584C">
            <w:pPr>
              <w:pStyle w:val="Tabletext"/>
              <w:rPr>
                <w:rFonts w:cs="Tahoma"/>
              </w:rPr>
            </w:pPr>
            <w:r w:rsidRPr="00596E2E">
              <w:rPr>
                <w:rFonts w:cs="Tahoma"/>
              </w:rPr>
              <w:t>Not serious</w:t>
            </w:r>
          </w:p>
        </w:tc>
        <w:tc>
          <w:tcPr>
            <w:tcW w:w="107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1276" w:type="dxa"/>
          </w:tcPr>
          <w:p w:rsidR="00CC3BA4" w:rsidRPr="00596E2E" w:rsidRDefault="00CC3BA4" w:rsidP="0037584C">
            <w:pPr>
              <w:pStyle w:val="Tabletext"/>
              <w:rPr>
                <w:rFonts w:cs="Tahoma"/>
              </w:rPr>
            </w:pPr>
            <w:r w:rsidRPr="00596E2E">
              <w:rPr>
                <w:rFonts w:cs="Tahoma"/>
              </w:rPr>
              <w:t>None</w:t>
            </w:r>
          </w:p>
        </w:tc>
        <w:tc>
          <w:tcPr>
            <w:tcW w:w="1417" w:type="dxa"/>
          </w:tcPr>
          <w:p w:rsidR="00CC3BA4" w:rsidRPr="00596E2E" w:rsidRDefault="00CC3BA4" w:rsidP="0037584C">
            <w:pPr>
              <w:pStyle w:val="Tabletext"/>
              <w:rPr>
                <w:rFonts w:cs="Tahoma"/>
              </w:rPr>
            </w:pPr>
            <w:r>
              <w:rPr>
                <w:rFonts w:cs="Tahoma"/>
              </w:rPr>
              <w:t>73/92 (79.3%)</w:t>
            </w:r>
          </w:p>
        </w:tc>
        <w:tc>
          <w:tcPr>
            <w:tcW w:w="1134" w:type="dxa"/>
          </w:tcPr>
          <w:p w:rsidR="00CC3BA4" w:rsidRPr="00596E2E" w:rsidRDefault="00CC3BA4" w:rsidP="0037584C">
            <w:pPr>
              <w:pStyle w:val="Tabletext"/>
              <w:rPr>
                <w:rFonts w:cs="Tahoma"/>
              </w:rPr>
            </w:pPr>
            <w:r w:rsidRPr="00596E2E">
              <w:rPr>
                <w:rFonts w:cs="Tahoma"/>
              </w:rPr>
              <w:t>79/98 (80.6%)</w:t>
            </w:r>
          </w:p>
        </w:tc>
        <w:tc>
          <w:tcPr>
            <w:tcW w:w="993" w:type="dxa"/>
          </w:tcPr>
          <w:p w:rsidR="00CC3BA4" w:rsidRPr="00596E2E" w:rsidRDefault="00CC3BA4" w:rsidP="0037584C">
            <w:pPr>
              <w:pStyle w:val="Tabletext"/>
              <w:rPr>
                <w:rFonts w:cs="Tahoma"/>
              </w:rPr>
            </w:pPr>
            <w:r w:rsidRPr="00596E2E">
              <w:rPr>
                <w:rFonts w:cs="Tahoma"/>
              </w:rPr>
              <w:t xml:space="preserve">RR </w:t>
            </w:r>
            <w:r>
              <w:rPr>
                <w:rFonts w:cs="Tahoma"/>
              </w:rPr>
              <w:t xml:space="preserve">= </w:t>
            </w:r>
            <w:r w:rsidRPr="00596E2E">
              <w:rPr>
                <w:rFonts w:cs="Tahoma"/>
              </w:rPr>
              <w:t>1.00</w:t>
            </w:r>
            <w:r>
              <w:rPr>
                <w:rFonts w:cs="Tahoma"/>
              </w:rPr>
              <w:t xml:space="preserve"> </w:t>
            </w:r>
            <w:r w:rsidRPr="00596E2E">
              <w:rPr>
                <w:rFonts w:cs="Tahoma"/>
              </w:rPr>
              <w:t>(0.79</w:t>
            </w:r>
            <w:r>
              <w:rPr>
                <w:rFonts w:cs="Tahoma"/>
              </w:rPr>
              <w:t>,</w:t>
            </w:r>
            <w:r w:rsidR="00386993">
              <w:rPr>
                <w:rFonts w:cs="Tahoma"/>
              </w:rPr>
              <w:t xml:space="preserve"> 1.27)</w:t>
            </w:r>
          </w:p>
        </w:tc>
        <w:tc>
          <w:tcPr>
            <w:tcW w:w="2188" w:type="dxa"/>
          </w:tcPr>
          <w:p w:rsidR="00CC3BA4" w:rsidRPr="00596E2E" w:rsidRDefault="00CC3BA4" w:rsidP="0037584C">
            <w:pPr>
              <w:pStyle w:val="Tabletext"/>
              <w:rPr>
                <w:rFonts w:cs="Tahoma"/>
              </w:rPr>
            </w:pPr>
            <w:r w:rsidRPr="00596E2E">
              <w:rPr>
                <w:rFonts w:cs="Tahoma"/>
              </w:rPr>
              <w:t>0 fewer per 1,000</w:t>
            </w:r>
            <w:r>
              <w:rPr>
                <w:rFonts w:cs="Tahoma"/>
              </w:rPr>
              <w:br/>
            </w:r>
            <w:r w:rsidRPr="00596E2E">
              <w:rPr>
                <w:rFonts w:cs="Tahoma"/>
              </w:rPr>
              <w:t>(from 169 fewer to 218 more)</w:t>
            </w:r>
          </w:p>
        </w:tc>
        <w:tc>
          <w:tcPr>
            <w:tcW w:w="1214" w:type="dxa"/>
          </w:tcPr>
          <w:p w:rsidR="00CC3BA4" w:rsidRPr="00596E2E" w:rsidRDefault="00CC3BA4" w:rsidP="0037584C">
            <w:pPr>
              <w:pStyle w:val="Tabletext"/>
              <w:rPr>
                <w:rFonts w:ascii="Cambria Math" w:eastAsia="Times New Roman" w:hAnsi="Cambria Math" w:cs="Cambria Math"/>
                <w:bCs/>
              </w:rPr>
            </w:pPr>
            <w:r w:rsidRPr="00596E2E">
              <w:rPr>
                <w:rFonts w:eastAsia="Times New Roman" w:cs="Tahoma"/>
                <w:bCs/>
              </w:rPr>
              <w:t>High</w:t>
            </w:r>
            <w:r w:rsidRPr="00596E2E">
              <w:rPr>
                <w:rFonts w:eastAsia="Times New Roman" w:cs="Tahoma"/>
                <w:bCs/>
              </w:rPr>
              <w:br/>
            </w:r>
            <w:r w:rsidRPr="00596E2E">
              <w:rPr>
                <w:rFonts w:ascii="Cambria Math" w:eastAsia="Times New Roman" w:hAnsi="Cambria Math" w:cs="Cambria Math"/>
                <w:bCs/>
                <w:color w:val="00B050"/>
              </w:rPr>
              <w:t>⨁⨁⨁⨁</w:t>
            </w:r>
          </w:p>
          <w:p w:rsidR="00CC3BA4" w:rsidRPr="00596E2E" w:rsidRDefault="00CC3BA4" w:rsidP="0037584C">
            <w:pPr>
              <w:pStyle w:val="Tabletext"/>
              <w:rPr>
                <w:rFonts w:cs="Tahoma"/>
              </w:rPr>
            </w:pPr>
            <w:r w:rsidRPr="00596E2E">
              <w:rPr>
                <w:rFonts w:cs="Tahoma"/>
              </w:rPr>
              <w:t>Important</w:t>
            </w:r>
          </w:p>
        </w:tc>
      </w:tr>
      <w:tr w:rsidR="00CC3BA4" w:rsidRPr="00596E2E" w:rsidTr="00115AB1">
        <w:trPr>
          <w:trHeight w:val="319"/>
        </w:trPr>
        <w:tc>
          <w:tcPr>
            <w:tcW w:w="1493" w:type="dxa"/>
          </w:tcPr>
          <w:p w:rsidR="00CC3BA4" w:rsidRPr="00596E2E" w:rsidRDefault="00CC3BA4" w:rsidP="0037584C">
            <w:pPr>
              <w:pStyle w:val="Tabletext"/>
              <w:rPr>
                <w:rFonts w:cs="Tahoma"/>
              </w:rPr>
            </w:pPr>
            <w:r w:rsidRPr="00596E2E">
              <w:rPr>
                <w:rFonts w:cs="Tahoma"/>
              </w:rPr>
              <w:t>Serious AEs</w:t>
            </w:r>
            <w:r w:rsidRPr="00596E2E">
              <w:rPr>
                <w:rFonts w:cs="Tahoma"/>
              </w:rPr>
              <w:br/>
              <w:t>(</w:t>
            </w:r>
            <w:r>
              <w:rPr>
                <w:rFonts w:cs="Tahoma"/>
              </w:rPr>
              <w:t>1</w:t>
            </w:r>
            <w:r w:rsidRPr="00596E2E">
              <w:rPr>
                <w:rFonts w:cs="Tahoma"/>
              </w:rPr>
              <w:t>2−1</w:t>
            </w:r>
            <w:r>
              <w:rPr>
                <w:rFonts w:cs="Tahoma"/>
              </w:rPr>
              <w:t>6</w:t>
            </w:r>
            <w:r w:rsidRPr="00596E2E">
              <w:rPr>
                <w:rFonts w:cs="Tahoma"/>
              </w:rPr>
              <w:t xml:space="preserve"> weeks)</w:t>
            </w:r>
          </w:p>
        </w:tc>
        <w:tc>
          <w:tcPr>
            <w:tcW w:w="1054" w:type="dxa"/>
          </w:tcPr>
          <w:p w:rsidR="00CC3BA4" w:rsidRPr="00596E2E" w:rsidRDefault="00CC3BA4" w:rsidP="0037584C">
            <w:pPr>
              <w:pStyle w:val="Tabletext"/>
              <w:rPr>
                <w:rFonts w:cs="Tahoma"/>
              </w:rPr>
            </w:pPr>
            <w:r w:rsidRPr="00596E2E">
              <w:rPr>
                <w:rFonts w:cs="Tahoma"/>
              </w:rPr>
              <w:t>2 RCTs</w:t>
            </w:r>
          </w:p>
        </w:tc>
        <w:tc>
          <w:tcPr>
            <w:tcW w:w="771" w:type="dxa"/>
          </w:tcPr>
          <w:p w:rsidR="00CC3BA4" w:rsidRPr="00596E2E" w:rsidRDefault="00CC3BA4" w:rsidP="0037584C">
            <w:pPr>
              <w:pStyle w:val="Tabletext"/>
              <w:rPr>
                <w:rFonts w:cs="Tahoma"/>
              </w:rPr>
            </w:pPr>
            <w:r w:rsidRPr="00596E2E">
              <w:rPr>
                <w:rFonts w:cs="Tahoma"/>
              </w:rPr>
              <w:t>Not serious</w:t>
            </w:r>
          </w:p>
        </w:tc>
        <w:tc>
          <w:tcPr>
            <w:tcW w:w="107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1276" w:type="dxa"/>
          </w:tcPr>
          <w:p w:rsidR="00CC3BA4" w:rsidRPr="00596E2E" w:rsidRDefault="00CC3BA4" w:rsidP="0037584C">
            <w:pPr>
              <w:pStyle w:val="Tabletext"/>
              <w:rPr>
                <w:rFonts w:cs="Tahoma"/>
              </w:rPr>
            </w:pPr>
            <w:r w:rsidRPr="00596E2E">
              <w:rPr>
                <w:rFonts w:cs="Tahoma"/>
              </w:rPr>
              <w:t>None</w:t>
            </w:r>
          </w:p>
        </w:tc>
        <w:tc>
          <w:tcPr>
            <w:tcW w:w="1417" w:type="dxa"/>
          </w:tcPr>
          <w:p w:rsidR="00CC3BA4" w:rsidRPr="00596E2E" w:rsidRDefault="00CC3BA4" w:rsidP="0037584C">
            <w:pPr>
              <w:pStyle w:val="Tabletext"/>
              <w:rPr>
                <w:rFonts w:cs="Tahoma"/>
              </w:rPr>
            </w:pPr>
            <w:r>
              <w:rPr>
                <w:rFonts w:cs="Tahoma"/>
              </w:rPr>
              <w:t>101/303 (33.3%)</w:t>
            </w:r>
          </w:p>
        </w:tc>
        <w:tc>
          <w:tcPr>
            <w:tcW w:w="1134" w:type="dxa"/>
          </w:tcPr>
          <w:p w:rsidR="00CC3BA4" w:rsidRPr="00596E2E" w:rsidRDefault="00CC3BA4" w:rsidP="0037584C">
            <w:pPr>
              <w:pStyle w:val="Tabletext"/>
              <w:rPr>
                <w:rFonts w:cs="Tahoma"/>
              </w:rPr>
            </w:pPr>
            <w:r w:rsidRPr="00596E2E">
              <w:rPr>
                <w:rFonts w:cs="Tahoma"/>
              </w:rPr>
              <w:t>57/179 (31.8%)</w:t>
            </w:r>
          </w:p>
        </w:tc>
        <w:tc>
          <w:tcPr>
            <w:tcW w:w="993" w:type="dxa"/>
          </w:tcPr>
          <w:p w:rsidR="00CC3BA4" w:rsidRPr="00596E2E" w:rsidRDefault="00CC3BA4" w:rsidP="0037584C">
            <w:pPr>
              <w:pStyle w:val="Tabletext"/>
              <w:rPr>
                <w:rFonts w:cs="Tahoma"/>
              </w:rPr>
            </w:pPr>
            <w:r w:rsidRPr="00596E2E">
              <w:rPr>
                <w:rFonts w:cs="Tahoma"/>
              </w:rPr>
              <w:t xml:space="preserve">RR </w:t>
            </w:r>
            <w:r>
              <w:rPr>
                <w:rFonts w:cs="Tahoma"/>
              </w:rPr>
              <w:t xml:space="preserve">= </w:t>
            </w:r>
            <w:r w:rsidRPr="00596E2E">
              <w:rPr>
                <w:rFonts w:cs="Tahoma"/>
              </w:rPr>
              <w:t>0.99</w:t>
            </w:r>
            <w:r>
              <w:rPr>
                <w:rFonts w:cs="Tahoma"/>
              </w:rPr>
              <w:t xml:space="preserve"> </w:t>
            </w:r>
            <w:r w:rsidRPr="00596E2E">
              <w:rPr>
                <w:rFonts w:cs="Tahoma"/>
              </w:rPr>
              <w:t>(0.76</w:t>
            </w:r>
            <w:r>
              <w:rPr>
                <w:rFonts w:cs="Tahoma"/>
              </w:rPr>
              <w:t>,</w:t>
            </w:r>
            <w:r w:rsidRPr="00596E2E">
              <w:rPr>
                <w:rFonts w:cs="Tahoma"/>
              </w:rPr>
              <w:t xml:space="preserve"> 1.29)</w:t>
            </w:r>
          </w:p>
        </w:tc>
        <w:tc>
          <w:tcPr>
            <w:tcW w:w="2188" w:type="dxa"/>
          </w:tcPr>
          <w:p w:rsidR="00CC3BA4" w:rsidRPr="00596E2E" w:rsidRDefault="00CC3BA4" w:rsidP="0037584C">
            <w:pPr>
              <w:pStyle w:val="Tabletext"/>
              <w:rPr>
                <w:rFonts w:cs="Tahoma"/>
              </w:rPr>
            </w:pPr>
            <w:r w:rsidRPr="00596E2E">
              <w:rPr>
                <w:rFonts w:cs="Tahoma"/>
              </w:rPr>
              <w:t>3 fewer per 1,000</w:t>
            </w:r>
            <w:r>
              <w:rPr>
                <w:rFonts w:cs="Tahoma"/>
              </w:rPr>
              <w:br/>
            </w:r>
            <w:r w:rsidRPr="00596E2E">
              <w:rPr>
                <w:rFonts w:cs="Tahoma"/>
              </w:rPr>
              <w:t>(from 76 fewer to 92 more)</w:t>
            </w:r>
          </w:p>
        </w:tc>
        <w:tc>
          <w:tcPr>
            <w:tcW w:w="1214" w:type="dxa"/>
          </w:tcPr>
          <w:p w:rsidR="00CC3BA4" w:rsidRPr="00596E2E" w:rsidRDefault="00CC3BA4" w:rsidP="0037584C">
            <w:pPr>
              <w:pStyle w:val="Tabletext"/>
              <w:rPr>
                <w:rFonts w:ascii="Cambria Math" w:eastAsia="Times New Roman" w:hAnsi="Cambria Math" w:cs="Cambria Math"/>
                <w:bCs/>
              </w:rPr>
            </w:pPr>
            <w:r w:rsidRPr="00596E2E">
              <w:rPr>
                <w:rFonts w:eastAsia="Times New Roman" w:cs="Tahoma"/>
                <w:bCs/>
              </w:rPr>
              <w:t>High</w:t>
            </w:r>
            <w:r w:rsidRPr="00596E2E">
              <w:rPr>
                <w:rFonts w:eastAsia="Times New Roman" w:cs="Tahoma"/>
                <w:bCs/>
              </w:rPr>
              <w:br/>
            </w:r>
            <w:r w:rsidRPr="00596E2E">
              <w:rPr>
                <w:rFonts w:ascii="Cambria Math" w:eastAsia="Times New Roman" w:hAnsi="Cambria Math" w:cs="Cambria Math"/>
                <w:bCs/>
                <w:color w:val="00B050"/>
              </w:rPr>
              <w:t>⨁⨁⨁⨁</w:t>
            </w:r>
          </w:p>
          <w:p w:rsidR="00CC3BA4" w:rsidRPr="00596E2E" w:rsidRDefault="00CC3BA4" w:rsidP="0037584C">
            <w:pPr>
              <w:pStyle w:val="Tabletext"/>
              <w:rPr>
                <w:rFonts w:cs="Tahoma"/>
              </w:rPr>
            </w:pPr>
            <w:r w:rsidRPr="00596E2E">
              <w:rPr>
                <w:rFonts w:cs="Tahoma"/>
              </w:rPr>
              <w:t>Important</w:t>
            </w:r>
          </w:p>
        </w:tc>
      </w:tr>
      <w:tr w:rsidR="00CC3BA4" w:rsidRPr="00596E2E" w:rsidTr="00115AB1">
        <w:trPr>
          <w:trHeight w:val="319"/>
        </w:trPr>
        <w:tc>
          <w:tcPr>
            <w:tcW w:w="1493" w:type="dxa"/>
          </w:tcPr>
          <w:p w:rsidR="00CC3BA4" w:rsidRPr="00596E2E" w:rsidRDefault="00CC3BA4" w:rsidP="0037584C">
            <w:pPr>
              <w:pStyle w:val="Tabletext"/>
              <w:rPr>
                <w:rFonts w:cs="Tahoma"/>
              </w:rPr>
            </w:pPr>
            <w:r w:rsidRPr="00596E2E">
              <w:rPr>
                <w:rFonts w:cs="Tahoma"/>
              </w:rPr>
              <w:t>AEs leading to treatment discontinuation</w:t>
            </w:r>
            <w:r w:rsidRPr="00596E2E">
              <w:rPr>
                <w:rFonts w:cs="Tahoma"/>
              </w:rPr>
              <w:br/>
              <w:t>(</w:t>
            </w:r>
            <w:r>
              <w:rPr>
                <w:rFonts w:cs="Tahoma"/>
              </w:rPr>
              <w:t>1</w:t>
            </w:r>
            <w:r w:rsidRPr="00596E2E">
              <w:rPr>
                <w:rFonts w:cs="Tahoma"/>
              </w:rPr>
              <w:t>2−1</w:t>
            </w:r>
            <w:r>
              <w:rPr>
                <w:rFonts w:cs="Tahoma"/>
              </w:rPr>
              <w:t>6</w:t>
            </w:r>
            <w:r w:rsidRPr="00596E2E">
              <w:rPr>
                <w:rFonts w:cs="Tahoma"/>
              </w:rPr>
              <w:t xml:space="preserve"> weeks)</w:t>
            </w:r>
          </w:p>
        </w:tc>
        <w:tc>
          <w:tcPr>
            <w:tcW w:w="1054" w:type="dxa"/>
          </w:tcPr>
          <w:p w:rsidR="00CC3BA4" w:rsidRPr="00596E2E" w:rsidRDefault="00CC3BA4" w:rsidP="0037584C">
            <w:pPr>
              <w:pStyle w:val="Tabletext"/>
              <w:rPr>
                <w:rFonts w:cs="Tahoma"/>
              </w:rPr>
            </w:pPr>
            <w:r w:rsidRPr="00596E2E">
              <w:rPr>
                <w:rFonts w:cs="Tahoma"/>
              </w:rPr>
              <w:t>2 RCTs</w:t>
            </w:r>
          </w:p>
        </w:tc>
        <w:tc>
          <w:tcPr>
            <w:tcW w:w="771" w:type="dxa"/>
          </w:tcPr>
          <w:p w:rsidR="00CC3BA4" w:rsidRPr="00596E2E" w:rsidRDefault="00CC3BA4" w:rsidP="0037584C">
            <w:pPr>
              <w:pStyle w:val="Tabletext"/>
              <w:rPr>
                <w:rFonts w:cs="Tahoma"/>
              </w:rPr>
            </w:pPr>
            <w:r w:rsidRPr="00596E2E">
              <w:rPr>
                <w:rFonts w:cs="Tahoma"/>
              </w:rPr>
              <w:t>Not serious</w:t>
            </w:r>
          </w:p>
        </w:tc>
        <w:tc>
          <w:tcPr>
            <w:tcW w:w="107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Pr>
                <w:rFonts w:cs="Tahoma"/>
              </w:rPr>
              <w:t>S</w:t>
            </w:r>
            <w:r w:rsidRPr="00596E2E">
              <w:rPr>
                <w:rFonts w:cs="Tahoma"/>
              </w:rPr>
              <w:t>erious</w:t>
            </w:r>
            <w:r>
              <w:rPr>
                <w:rFonts w:cs="Tahoma"/>
              </w:rPr>
              <w:t xml:space="preserve"> </w:t>
            </w:r>
            <w:r w:rsidRPr="004A79CF">
              <w:rPr>
                <w:rFonts w:cs="Tahoma"/>
                <w:vertAlign w:val="superscript"/>
              </w:rPr>
              <w:t>c</w:t>
            </w:r>
          </w:p>
        </w:tc>
        <w:tc>
          <w:tcPr>
            <w:tcW w:w="1276" w:type="dxa"/>
          </w:tcPr>
          <w:p w:rsidR="00CC3BA4" w:rsidRPr="00596E2E" w:rsidRDefault="00F95747" w:rsidP="0037584C">
            <w:pPr>
              <w:pStyle w:val="Tabletext"/>
              <w:rPr>
                <w:rFonts w:cs="Tahoma"/>
              </w:rPr>
            </w:pPr>
            <w:r>
              <w:rPr>
                <w:rFonts w:cs="Tahoma"/>
              </w:rPr>
              <w:t>None</w:t>
            </w:r>
          </w:p>
        </w:tc>
        <w:tc>
          <w:tcPr>
            <w:tcW w:w="1417" w:type="dxa"/>
          </w:tcPr>
          <w:p w:rsidR="00CC3BA4" w:rsidRPr="00596E2E" w:rsidRDefault="00CC3BA4" w:rsidP="0037584C">
            <w:pPr>
              <w:pStyle w:val="Tabletext"/>
              <w:rPr>
                <w:rFonts w:cs="Tahoma"/>
              </w:rPr>
            </w:pPr>
            <w:r>
              <w:rPr>
                <w:rFonts w:cs="Tahoma"/>
              </w:rPr>
              <w:t>34/313 (10.9%)</w:t>
            </w:r>
          </w:p>
        </w:tc>
        <w:tc>
          <w:tcPr>
            <w:tcW w:w="1134" w:type="dxa"/>
          </w:tcPr>
          <w:p w:rsidR="00CC3BA4" w:rsidRPr="00596E2E" w:rsidRDefault="00CC3BA4" w:rsidP="0037584C">
            <w:pPr>
              <w:pStyle w:val="Tabletext"/>
              <w:rPr>
                <w:rFonts w:cs="Tahoma"/>
              </w:rPr>
            </w:pPr>
            <w:r w:rsidRPr="00596E2E">
              <w:rPr>
                <w:rFonts w:cs="Tahoma"/>
              </w:rPr>
              <w:t>14/190 (7.4%)</w:t>
            </w:r>
          </w:p>
        </w:tc>
        <w:tc>
          <w:tcPr>
            <w:tcW w:w="993" w:type="dxa"/>
          </w:tcPr>
          <w:p w:rsidR="00CC3BA4" w:rsidRPr="00596E2E" w:rsidRDefault="00CC3BA4" w:rsidP="0037584C">
            <w:pPr>
              <w:pStyle w:val="Tabletext"/>
              <w:rPr>
                <w:rFonts w:cs="Tahoma"/>
              </w:rPr>
            </w:pPr>
            <w:r w:rsidRPr="00596E2E">
              <w:rPr>
                <w:rFonts w:cs="Tahoma"/>
              </w:rPr>
              <w:t xml:space="preserve">RR </w:t>
            </w:r>
            <w:r>
              <w:rPr>
                <w:rFonts w:cs="Tahoma"/>
              </w:rPr>
              <w:t xml:space="preserve">= </w:t>
            </w:r>
            <w:r w:rsidRPr="00596E2E">
              <w:rPr>
                <w:rFonts w:cs="Tahoma"/>
              </w:rPr>
              <w:t>1.65</w:t>
            </w:r>
            <w:r>
              <w:rPr>
                <w:rFonts w:cs="Tahoma"/>
              </w:rPr>
              <w:t xml:space="preserve"> </w:t>
            </w:r>
            <w:r w:rsidRPr="00596E2E">
              <w:rPr>
                <w:rFonts w:cs="Tahoma"/>
              </w:rPr>
              <w:t>(0.35</w:t>
            </w:r>
            <w:r>
              <w:rPr>
                <w:rFonts w:cs="Tahoma"/>
              </w:rPr>
              <w:t>,</w:t>
            </w:r>
            <w:r w:rsidRPr="00596E2E">
              <w:rPr>
                <w:rFonts w:cs="Tahoma"/>
              </w:rPr>
              <w:t xml:space="preserve"> 7.81)</w:t>
            </w:r>
          </w:p>
        </w:tc>
        <w:tc>
          <w:tcPr>
            <w:tcW w:w="2188" w:type="dxa"/>
          </w:tcPr>
          <w:p w:rsidR="00CC3BA4" w:rsidRPr="00596E2E" w:rsidRDefault="00CC3BA4" w:rsidP="0037584C">
            <w:pPr>
              <w:pStyle w:val="Tabletext"/>
              <w:rPr>
                <w:rFonts w:cs="Tahoma"/>
              </w:rPr>
            </w:pPr>
            <w:r w:rsidRPr="00596E2E">
              <w:rPr>
                <w:rFonts w:cs="Tahoma"/>
              </w:rPr>
              <w:t>48 more per 1,000</w:t>
            </w:r>
            <w:r>
              <w:rPr>
                <w:rFonts w:cs="Tahoma"/>
              </w:rPr>
              <w:br/>
            </w:r>
            <w:r w:rsidRPr="00596E2E">
              <w:rPr>
                <w:rFonts w:cs="Tahoma"/>
              </w:rPr>
              <w:t>(from 48 fewer to 502 more)</w:t>
            </w:r>
          </w:p>
        </w:tc>
        <w:tc>
          <w:tcPr>
            <w:tcW w:w="1214" w:type="dxa"/>
          </w:tcPr>
          <w:p w:rsidR="00F95747" w:rsidRDefault="00F95747" w:rsidP="00F95747">
            <w:pPr>
              <w:pStyle w:val="Tabletext"/>
              <w:rPr>
                <w:rFonts w:ascii="Cambria Math" w:eastAsia="Times New Roman" w:hAnsi="Cambria Math" w:cs="Cambria Math"/>
                <w:bCs/>
              </w:rPr>
            </w:pPr>
            <w:r>
              <w:rPr>
                <w:rFonts w:eastAsia="Times New Roman" w:cs="Tahoma"/>
                <w:bCs/>
              </w:rPr>
              <w:t>Moderate</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596E2E" w:rsidRDefault="00CC3BA4" w:rsidP="0037584C">
            <w:pPr>
              <w:pStyle w:val="Tabletext"/>
              <w:rPr>
                <w:rFonts w:ascii="Cambria Math" w:eastAsia="Times New Roman" w:hAnsi="Cambria Math" w:cs="Cambria Math"/>
                <w:bCs/>
                <w:color w:val="00B050"/>
              </w:rPr>
            </w:pPr>
            <w:r w:rsidRPr="00596E2E">
              <w:rPr>
                <w:rFonts w:cs="Tahoma"/>
              </w:rPr>
              <w:t>Important</w:t>
            </w:r>
          </w:p>
        </w:tc>
      </w:tr>
    </w:tbl>
    <w:p w:rsidR="00CC3BA4" w:rsidRPr="00AA018C" w:rsidRDefault="00CC3BA4" w:rsidP="0037584C">
      <w:pPr>
        <w:pStyle w:val="Tablenote"/>
      </w:pPr>
      <w:r w:rsidRPr="00596E2E">
        <w:rPr>
          <w:vertAlign w:val="superscript"/>
        </w:rPr>
        <w:t xml:space="preserve">a </w:t>
      </w:r>
      <w:r w:rsidRPr="00596E2E">
        <w:t>Other considerations such as publication bias and effect size</w:t>
      </w:r>
    </w:p>
    <w:p w:rsidR="00CC3BA4" w:rsidRDefault="00CC3BA4" w:rsidP="0037584C">
      <w:pPr>
        <w:pStyle w:val="Tablenote"/>
      </w:pPr>
      <w:r>
        <w:rPr>
          <w:vertAlign w:val="superscript"/>
        </w:rPr>
        <w:t xml:space="preserve">b </w:t>
      </w:r>
      <w:r w:rsidRPr="00E564DD">
        <w:t>GRADE W</w:t>
      </w:r>
      <w:r>
        <w:t>orking Group grades of evidence</w:t>
      </w:r>
      <w:r w:rsidR="001D34EE" w:rsidRPr="001D34EE">
        <w:rPr>
          <w:noProof/>
          <w:vertAlign w:val="superscript"/>
        </w:rPr>
        <w:t>1</w:t>
      </w:r>
    </w:p>
    <w:p w:rsidR="00CC3BA4" w:rsidRPr="00E564DD" w:rsidRDefault="00CC3BA4" w:rsidP="0037584C">
      <w:pPr>
        <w:pStyle w:val="Tablenote"/>
      </w:pPr>
      <w:r>
        <w:rPr>
          <w:vertAlign w:val="superscript"/>
        </w:rPr>
        <w:t>c</w:t>
      </w:r>
      <w:r w:rsidRPr="00E564DD">
        <w:t xml:space="preserve"> </w:t>
      </w:r>
      <w:r>
        <w:t>Wide 95% CIs span 1</w:t>
      </w:r>
    </w:p>
    <w:p w:rsidR="00CC3BA4" w:rsidRPr="00E564DD" w:rsidRDefault="00CC3BA4" w:rsidP="0037584C">
      <w:pPr>
        <w:pStyle w:val="Tablenote"/>
      </w:pPr>
      <w:r w:rsidRPr="00E564DD">
        <w:rPr>
          <w:rFonts w:ascii="Cambria Math" w:hAnsi="Cambria Math" w:cs="Cambria Math"/>
          <w:color w:val="00B050"/>
        </w:rPr>
        <w:t>⨁⨁⨁⨁</w:t>
      </w:r>
      <w:r w:rsidRPr="00E564DD">
        <w:rPr>
          <w:color w:val="00B050"/>
        </w:rPr>
        <w:t xml:space="preserve"> </w:t>
      </w:r>
      <w:r w:rsidRPr="00E564DD">
        <w:rPr>
          <w:b/>
        </w:rPr>
        <w:t>High quality:</w:t>
      </w:r>
      <w:r w:rsidRPr="00E564DD">
        <w:t xml:space="preserve"> We are very confident that the true effect lies close to that of the estimate of effect</w:t>
      </w:r>
    </w:p>
    <w:p w:rsidR="00F95747" w:rsidRPr="00E564DD" w:rsidRDefault="00F95747" w:rsidP="00F95747">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7C6567" w:rsidRDefault="00CC3BA4" w:rsidP="0037584C">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w:t>
      </w:r>
      <w:r w:rsidR="00385E5A">
        <w:t>GRADE = grading of recommendations assessment, development and evaluation</w:t>
      </w:r>
      <w:r w:rsidR="001D34EE" w:rsidRPr="001D34EE">
        <w:rPr>
          <w:noProof/>
          <w:vertAlign w:val="superscript"/>
        </w:rPr>
        <w:t>1</w:t>
      </w:r>
      <w:r w:rsidR="007C6567" w:rsidRPr="00F24B06">
        <w:t xml:space="preserve">; </w:t>
      </w:r>
      <w:r w:rsidRPr="00C65B42">
        <w:t xml:space="preserve">PAH = pulmonary arterial hypertension; </w:t>
      </w:r>
      <w:r w:rsidRPr="009B5AB3">
        <w:t>PDE-5</w:t>
      </w:r>
      <w:r w:rsidR="007C6567">
        <w:t>i</w:t>
      </w:r>
      <w:r w:rsidRPr="009B5AB3">
        <w:t xml:space="preserve"> = phosphodiesterase type-5</w:t>
      </w:r>
      <w:r w:rsidR="007C6567">
        <w:t xml:space="preserve"> inhibitor</w:t>
      </w:r>
      <w:r>
        <w:t>;</w:t>
      </w:r>
      <w:r w:rsidRPr="009B5AB3">
        <w:t xml:space="preserve"> </w:t>
      </w:r>
      <w:r>
        <w:t>RCT = randomised controlled trial; RR = relative risk</w:t>
      </w:r>
    </w:p>
    <w:p w:rsidR="00CC3BA4" w:rsidRPr="005D4CA0" w:rsidRDefault="00796F18" w:rsidP="00BC5A2B">
      <w:pPr>
        <w:pStyle w:val="Caption"/>
      </w:pPr>
      <w:bookmarkStart w:id="525" w:name="_Ref505781534"/>
      <w:bookmarkStart w:id="526" w:name="_Toc512855564"/>
      <w:r>
        <w:t>Table 4.</w:t>
      </w:r>
      <w:r w:rsidR="00AA722D">
        <w:rPr>
          <w:noProof/>
        </w:rPr>
        <w:t>160</w:t>
      </w:r>
      <w:bookmarkEnd w:id="525"/>
      <w:r>
        <w:tab/>
      </w:r>
      <w:r w:rsidR="00CC3BA4" w:rsidRPr="005D4CA0">
        <w:t xml:space="preserve">Evidence profile table for </w:t>
      </w:r>
      <w:r w:rsidR="00CC3BA4">
        <w:t xml:space="preserve">comparative safety of </w:t>
      </w:r>
      <w:r w:rsidR="00CC3BA4" w:rsidRPr="0045259F">
        <w:t xml:space="preserve">PDE-5 inhibitor </w:t>
      </w:r>
      <w:r w:rsidR="00386993">
        <w:t>plus</w:t>
      </w:r>
      <w:r w:rsidR="00CC3BA4" w:rsidRPr="0045259F">
        <w:t xml:space="preserve"> ERA combination therapy compared to ERA </w:t>
      </w:r>
      <w:r w:rsidR="00CC3BA4">
        <w:t xml:space="preserve">monotherapy </w:t>
      </w:r>
      <w:r w:rsidR="00CC3BA4" w:rsidRPr="005D4CA0">
        <w:t xml:space="preserve">for </w:t>
      </w:r>
      <w:r w:rsidR="00CC3BA4">
        <w:t>patients with PAH</w:t>
      </w:r>
      <w:r w:rsidR="002E6E59">
        <w:t>-CTD</w:t>
      </w:r>
      <w:bookmarkEnd w:id="526"/>
    </w:p>
    <w:tbl>
      <w:tblPr>
        <w:tblStyle w:val="TableGrid"/>
        <w:tblW w:w="14596" w:type="dxa"/>
        <w:tblLayout w:type="fixed"/>
        <w:tblLook w:val="04A0" w:firstRow="1" w:lastRow="0" w:firstColumn="1" w:lastColumn="0" w:noHBand="0" w:noVBand="1"/>
        <w:tblCaption w:val="Evidence profile table for comparative safety of PDE-5 inhibitor plus ERA combination therapy compared to ERA monotherapy for patients with PAH-CTD"/>
      </w:tblPr>
      <w:tblGrid>
        <w:gridCol w:w="1493"/>
        <w:gridCol w:w="1054"/>
        <w:gridCol w:w="771"/>
        <w:gridCol w:w="1072"/>
        <w:gridCol w:w="992"/>
        <w:gridCol w:w="992"/>
        <w:gridCol w:w="1276"/>
        <w:gridCol w:w="1417"/>
        <w:gridCol w:w="1134"/>
        <w:gridCol w:w="993"/>
        <w:gridCol w:w="2188"/>
        <w:gridCol w:w="1214"/>
      </w:tblGrid>
      <w:tr w:rsidR="0037584C" w:rsidRPr="0037584C" w:rsidTr="00115AB1">
        <w:trPr>
          <w:cnfStyle w:val="100000000000" w:firstRow="1" w:lastRow="0" w:firstColumn="0" w:lastColumn="0" w:oddVBand="0" w:evenVBand="0" w:oddHBand="0" w:evenHBand="0" w:firstRowFirstColumn="0" w:firstRowLastColumn="0" w:lastRowFirstColumn="0" w:lastRowLastColumn="0"/>
          <w:trHeight w:val="592"/>
        </w:trPr>
        <w:tc>
          <w:tcPr>
            <w:tcW w:w="1493" w:type="dxa"/>
          </w:tcPr>
          <w:p w:rsidR="00476F09" w:rsidRPr="0037584C" w:rsidRDefault="00476F09" w:rsidP="0037584C">
            <w:pPr>
              <w:pStyle w:val="Tabletext"/>
              <w:rPr>
                <w:b/>
              </w:rPr>
            </w:pPr>
            <w:r w:rsidRPr="0037584C">
              <w:rPr>
                <w:b/>
              </w:rPr>
              <w:t>Outcome (follow-up)</w:t>
            </w:r>
          </w:p>
        </w:tc>
        <w:tc>
          <w:tcPr>
            <w:tcW w:w="1054" w:type="dxa"/>
          </w:tcPr>
          <w:p w:rsidR="00476F09" w:rsidRPr="0037584C" w:rsidRDefault="00476F09" w:rsidP="0037584C">
            <w:pPr>
              <w:pStyle w:val="Tabletext"/>
              <w:rPr>
                <w:b/>
              </w:rPr>
            </w:pPr>
            <w:r w:rsidRPr="0037584C">
              <w:rPr>
                <w:b/>
              </w:rPr>
              <w:t>No. of studies and study design</w:t>
            </w:r>
          </w:p>
        </w:tc>
        <w:tc>
          <w:tcPr>
            <w:tcW w:w="771" w:type="dxa"/>
          </w:tcPr>
          <w:p w:rsidR="00476F09" w:rsidRPr="0037584C" w:rsidRDefault="00476F09" w:rsidP="0037584C">
            <w:pPr>
              <w:pStyle w:val="Tabletext"/>
              <w:rPr>
                <w:b/>
              </w:rPr>
            </w:pPr>
            <w:r w:rsidRPr="0037584C">
              <w:rPr>
                <w:b/>
              </w:rPr>
              <w:t>Risk of bias</w:t>
            </w:r>
          </w:p>
        </w:tc>
        <w:tc>
          <w:tcPr>
            <w:tcW w:w="1072" w:type="dxa"/>
          </w:tcPr>
          <w:p w:rsidR="00476F09" w:rsidRPr="0037584C" w:rsidRDefault="00476F09" w:rsidP="0037584C">
            <w:pPr>
              <w:pStyle w:val="Tabletext"/>
              <w:rPr>
                <w:b/>
              </w:rPr>
            </w:pPr>
            <w:r w:rsidRPr="0037584C">
              <w:rPr>
                <w:b/>
              </w:rPr>
              <w:t>Inconsis</w:t>
            </w:r>
            <w:r w:rsidR="00115AB1">
              <w:rPr>
                <w:b/>
              </w:rPr>
              <w:t>-</w:t>
            </w:r>
            <w:r w:rsidRPr="0037584C">
              <w:rPr>
                <w:b/>
              </w:rPr>
              <w:t>tency</w:t>
            </w:r>
          </w:p>
        </w:tc>
        <w:tc>
          <w:tcPr>
            <w:tcW w:w="992" w:type="dxa"/>
          </w:tcPr>
          <w:p w:rsidR="00476F09" w:rsidRPr="0037584C" w:rsidRDefault="00476F09" w:rsidP="0037584C">
            <w:pPr>
              <w:pStyle w:val="Tabletext"/>
              <w:rPr>
                <w:b/>
              </w:rPr>
            </w:pPr>
            <w:r w:rsidRPr="0037584C">
              <w:rPr>
                <w:b/>
              </w:rPr>
              <w:t>Indirect</w:t>
            </w:r>
            <w:r w:rsidR="00115AB1">
              <w:rPr>
                <w:b/>
              </w:rPr>
              <w:t>-</w:t>
            </w:r>
            <w:r w:rsidRPr="0037584C">
              <w:rPr>
                <w:b/>
              </w:rPr>
              <w:t>ness</w:t>
            </w:r>
          </w:p>
        </w:tc>
        <w:tc>
          <w:tcPr>
            <w:tcW w:w="992" w:type="dxa"/>
          </w:tcPr>
          <w:p w:rsidR="00476F09" w:rsidRPr="0037584C" w:rsidRDefault="00476F09" w:rsidP="0037584C">
            <w:pPr>
              <w:pStyle w:val="Tabletext"/>
              <w:rPr>
                <w:b/>
              </w:rPr>
            </w:pPr>
            <w:r w:rsidRPr="0037584C">
              <w:rPr>
                <w:b/>
              </w:rPr>
              <w:t>Impre</w:t>
            </w:r>
            <w:r w:rsidR="00115AB1">
              <w:rPr>
                <w:b/>
              </w:rPr>
              <w:t>--</w:t>
            </w:r>
            <w:r w:rsidRPr="0037584C">
              <w:rPr>
                <w:b/>
              </w:rPr>
              <w:t>cision</w:t>
            </w:r>
          </w:p>
        </w:tc>
        <w:tc>
          <w:tcPr>
            <w:tcW w:w="1276" w:type="dxa"/>
          </w:tcPr>
          <w:p w:rsidR="00476F09" w:rsidRPr="0037584C" w:rsidRDefault="00476F09" w:rsidP="0037584C">
            <w:pPr>
              <w:pStyle w:val="Tabletext"/>
              <w:rPr>
                <w:b/>
              </w:rPr>
            </w:pPr>
            <w:r w:rsidRPr="0037584C">
              <w:rPr>
                <w:b/>
              </w:rPr>
              <w:t>Other conside</w:t>
            </w:r>
            <w:r w:rsidR="00115AB1">
              <w:rPr>
                <w:b/>
              </w:rPr>
              <w:t>-</w:t>
            </w:r>
            <w:r w:rsidRPr="0037584C">
              <w:rPr>
                <w:b/>
              </w:rPr>
              <w:t>rations</w:t>
            </w:r>
            <w:r w:rsidRPr="0037584C">
              <w:rPr>
                <w:b/>
                <w:vertAlign w:val="superscript"/>
              </w:rPr>
              <w:t>a</w:t>
            </w:r>
          </w:p>
        </w:tc>
        <w:tc>
          <w:tcPr>
            <w:tcW w:w="1417" w:type="dxa"/>
          </w:tcPr>
          <w:p w:rsidR="00476F09" w:rsidRPr="0037584C" w:rsidRDefault="00476F09" w:rsidP="0037584C">
            <w:pPr>
              <w:pStyle w:val="Tabletext"/>
              <w:rPr>
                <w:b/>
              </w:rPr>
            </w:pPr>
            <w:r w:rsidRPr="0037584C">
              <w:rPr>
                <w:b/>
              </w:rPr>
              <w:t>Study event rates (%) with PDE-5i + ERA</w:t>
            </w:r>
          </w:p>
        </w:tc>
        <w:tc>
          <w:tcPr>
            <w:tcW w:w="1134" w:type="dxa"/>
          </w:tcPr>
          <w:p w:rsidR="00476F09" w:rsidRPr="0037584C" w:rsidRDefault="00476F09" w:rsidP="0037584C">
            <w:pPr>
              <w:pStyle w:val="Tabletext"/>
              <w:rPr>
                <w:b/>
              </w:rPr>
            </w:pPr>
            <w:r w:rsidRPr="0037584C">
              <w:rPr>
                <w:b/>
              </w:rPr>
              <w:t>Study event rates (%) with ERA</w:t>
            </w:r>
          </w:p>
        </w:tc>
        <w:tc>
          <w:tcPr>
            <w:tcW w:w="993" w:type="dxa"/>
          </w:tcPr>
          <w:p w:rsidR="00476F09" w:rsidRPr="0037584C" w:rsidRDefault="00476F09" w:rsidP="0037584C">
            <w:pPr>
              <w:pStyle w:val="Tabletext"/>
              <w:rPr>
                <w:b/>
              </w:rPr>
            </w:pPr>
            <w:r w:rsidRPr="0037584C">
              <w:rPr>
                <w:b/>
              </w:rPr>
              <w:t>Effect measure (95%CI)</w:t>
            </w:r>
          </w:p>
        </w:tc>
        <w:tc>
          <w:tcPr>
            <w:tcW w:w="2188" w:type="dxa"/>
          </w:tcPr>
          <w:p w:rsidR="00476F09" w:rsidRPr="0037584C" w:rsidRDefault="00476F09" w:rsidP="0037584C">
            <w:pPr>
              <w:pStyle w:val="Tabletext"/>
              <w:rPr>
                <w:b/>
              </w:rPr>
            </w:pPr>
            <w:r w:rsidRPr="0037584C">
              <w:rPr>
                <w:b/>
              </w:rPr>
              <w:t>Absolute effect (95%CI)</w:t>
            </w:r>
          </w:p>
        </w:tc>
        <w:tc>
          <w:tcPr>
            <w:tcW w:w="1214" w:type="dxa"/>
          </w:tcPr>
          <w:p w:rsidR="002E6E59" w:rsidRDefault="002E6E59" w:rsidP="0037584C">
            <w:pPr>
              <w:pStyle w:val="Tabletext"/>
              <w:rPr>
                <w:b/>
              </w:rPr>
            </w:pPr>
            <w:r>
              <w:rPr>
                <w:b/>
              </w:rPr>
              <w:t>GRADE</w:t>
            </w:r>
            <w:r w:rsidRPr="002E6E59">
              <w:rPr>
                <w:b/>
                <w:vertAlign w:val="superscript"/>
              </w:rPr>
              <w:t>b</w:t>
            </w:r>
          </w:p>
          <w:p w:rsidR="00476F09" w:rsidRPr="0037584C" w:rsidRDefault="00476F09" w:rsidP="0037584C">
            <w:pPr>
              <w:pStyle w:val="Tabletext"/>
              <w:rPr>
                <w:b/>
                <w:vertAlign w:val="superscript"/>
              </w:rPr>
            </w:pPr>
            <w:r w:rsidRPr="0037584C">
              <w:rPr>
                <w:b/>
              </w:rPr>
              <w:t>Quality</w:t>
            </w:r>
          </w:p>
          <w:p w:rsidR="00476F09" w:rsidRPr="0037584C" w:rsidRDefault="00476F09" w:rsidP="0037584C">
            <w:pPr>
              <w:pStyle w:val="Tabletext"/>
              <w:rPr>
                <w:b/>
              </w:rPr>
            </w:pPr>
            <w:r w:rsidRPr="0037584C">
              <w:rPr>
                <w:b/>
              </w:rPr>
              <w:t>Importance</w:t>
            </w:r>
          </w:p>
        </w:tc>
      </w:tr>
      <w:tr w:rsidR="00CC3BA4" w:rsidRPr="00E564DD" w:rsidTr="00115AB1">
        <w:trPr>
          <w:trHeight w:val="319"/>
        </w:trPr>
        <w:tc>
          <w:tcPr>
            <w:tcW w:w="1493" w:type="dxa"/>
          </w:tcPr>
          <w:p w:rsidR="00CC3BA4" w:rsidRPr="00E564DD" w:rsidRDefault="00CC3BA4" w:rsidP="0037584C">
            <w:pPr>
              <w:pStyle w:val="Tabletext"/>
              <w:rPr>
                <w:rFonts w:cs="Tahoma"/>
              </w:rPr>
            </w:pPr>
            <w:r>
              <w:rPr>
                <w:rFonts w:cs="Tahoma"/>
              </w:rPr>
              <w:lastRenderedPageBreak/>
              <w:t>Any AE in PAH-CTD</w:t>
            </w:r>
            <w:r>
              <w:rPr>
                <w:rFonts w:cs="Tahoma"/>
              </w:rPr>
              <w:br/>
              <w:t>(74</w:t>
            </w:r>
            <w:r w:rsidRPr="00D36FBC">
              <w:rPr>
                <w:rFonts w:cs="Tahoma"/>
              </w:rPr>
              <w:t xml:space="preserve"> weeks)</w:t>
            </w:r>
          </w:p>
        </w:tc>
        <w:tc>
          <w:tcPr>
            <w:tcW w:w="1054" w:type="dxa"/>
          </w:tcPr>
          <w:p w:rsidR="00CC3BA4" w:rsidRPr="00E564DD" w:rsidRDefault="00CC3BA4" w:rsidP="0037584C">
            <w:pPr>
              <w:pStyle w:val="Tabletext"/>
              <w:rPr>
                <w:rFonts w:cs="Tahoma"/>
              </w:rPr>
            </w:pPr>
            <w:r>
              <w:rPr>
                <w:rFonts w:cs="Tahoma"/>
              </w:rPr>
              <w:t>1</w:t>
            </w:r>
            <w:r w:rsidRPr="00E564DD">
              <w:rPr>
                <w:rFonts w:cs="Tahoma"/>
              </w:rPr>
              <w:t xml:space="preserve"> RCT</w:t>
            </w:r>
          </w:p>
        </w:tc>
        <w:tc>
          <w:tcPr>
            <w:tcW w:w="771" w:type="dxa"/>
          </w:tcPr>
          <w:p w:rsidR="00CC3BA4" w:rsidRPr="00E564DD" w:rsidRDefault="00CC3BA4" w:rsidP="0037584C">
            <w:pPr>
              <w:pStyle w:val="Tabletext"/>
              <w:rPr>
                <w:rFonts w:cs="Tahoma"/>
              </w:rPr>
            </w:pPr>
            <w:r w:rsidRPr="00E564DD">
              <w:rPr>
                <w:rFonts w:cs="Tahoma"/>
              </w:rPr>
              <w:t>Not serious</w:t>
            </w:r>
          </w:p>
        </w:tc>
        <w:tc>
          <w:tcPr>
            <w:tcW w:w="1072" w:type="dxa"/>
          </w:tcPr>
          <w:p w:rsidR="00CC3BA4" w:rsidRPr="00E564DD" w:rsidRDefault="00CC3BA4" w:rsidP="0037584C">
            <w:pPr>
              <w:pStyle w:val="Tabletext"/>
              <w:rPr>
                <w:rFonts w:cs="Tahoma"/>
              </w:rPr>
            </w:pPr>
            <w:r w:rsidRPr="00E564DD">
              <w:rPr>
                <w:rFonts w:cs="Tahoma"/>
              </w:rPr>
              <w:t>Not serious</w:t>
            </w:r>
          </w:p>
        </w:tc>
        <w:tc>
          <w:tcPr>
            <w:tcW w:w="992" w:type="dxa"/>
          </w:tcPr>
          <w:p w:rsidR="00CC3BA4" w:rsidRPr="00E564DD" w:rsidRDefault="00CC3BA4" w:rsidP="0037584C">
            <w:pPr>
              <w:pStyle w:val="Tabletext"/>
              <w:rPr>
                <w:rFonts w:cs="Tahoma"/>
              </w:rPr>
            </w:pPr>
            <w:r w:rsidRPr="00E564DD">
              <w:rPr>
                <w:rFonts w:cs="Tahoma"/>
              </w:rPr>
              <w:t>Not serious</w:t>
            </w:r>
          </w:p>
        </w:tc>
        <w:tc>
          <w:tcPr>
            <w:tcW w:w="992" w:type="dxa"/>
          </w:tcPr>
          <w:p w:rsidR="00CC3BA4" w:rsidRPr="00E564DD" w:rsidRDefault="00CC3BA4" w:rsidP="0037584C">
            <w:pPr>
              <w:pStyle w:val="Tabletext"/>
              <w:rPr>
                <w:rFonts w:cs="Tahoma"/>
              </w:rPr>
            </w:pPr>
            <w:r w:rsidRPr="00E564DD">
              <w:rPr>
                <w:rFonts w:cs="Tahoma"/>
              </w:rPr>
              <w:t>Not serious</w:t>
            </w:r>
          </w:p>
        </w:tc>
        <w:tc>
          <w:tcPr>
            <w:tcW w:w="1276" w:type="dxa"/>
          </w:tcPr>
          <w:p w:rsidR="00CC3BA4" w:rsidRPr="00E564DD" w:rsidRDefault="00CC3BA4" w:rsidP="0037584C">
            <w:pPr>
              <w:pStyle w:val="Tabletext"/>
              <w:rPr>
                <w:rFonts w:cs="Tahoma"/>
              </w:rPr>
            </w:pPr>
            <w:r w:rsidRPr="00E564DD">
              <w:rPr>
                <w:rFonts w:cs="Tahoma"/>
              </w:rPr>
              <w:t>None</w:t>
            </w:r>
          </w:p>
        </w:tc>
        <w:tc>
          <w:tcPr>
            <w:tcW w:w="1417" w:type="dxa"/>
          </w:tcPr>
          <w:p w:rsidR="00CC3BA4" w:rsidRPr="00C80652" w:rsidRDefault="00CC3BA4" w:rsidP="0037584C">
            <w:pPr>
              <w:pStyle w:val="Tabletext"/>
              <w:rPr>
                <w:rFonts w:eastAsia="Times New Roman"/>
              </w:rPr>
            </w:pPr>
            <w:r w:rsidRPr="00894134">
              <w:rPr>
                <w:rFonts w:eastAsia="Times New Roman"/>
              </w:rPr>
              <w:t>102/103 (99.0%)</w:t>
            </w:r>
          </w:p>
        </w:tc>
        <w:tc>
          <w:tcPr>
            <w:tcW w:w="1134" w:type="dxa"/>
          </w:tcPr>
          <w:p w:rsidR="00CC3BA4" w:rsidRPr="00C80652" w:rsidRDefault="00CC3BA4" w:rsidP="0037584C">
            <w:pPr>
              <w:pStyle w:val="Tabletext"/>
              <w:rPr>
                <w:rFonts w:eastAsia="Times New Roman"/>
              </w:rPr>
            </w:pPr>
            <w:r w:rsidRPr="00894134">
              <w:rPr>
                <w:rFonts w:eastAsia="Times New Roman"/>
              </w:rPr>
              <w:t>42/44 (95.5%)</w:t>
            </w:r>
          </w:p>
        </w:tc>
        <w:tc>
          <w:tcPr>
            <w:tcW w:w="993" w:type="dxa"/>
          </w:tcPr>
          <w:p w:rsidR="00CC3BA4" w:rsidRPr="00A971CA" w:rsidRDefault="00CC3BA4" w:rsidP="0037584C">
            <w:pPr>
              <w:pStyle w:val="Tabletext"/>
              <w:rPr>
                <w:rFonts w:eastAsia="Times New Roman"/>
              </w:rPr>
            </w:pPr>
            <w:r w:rsidRPr="00894134">
              <w:rPr>
                <w:rFonts w:eastAsia="Times New Roman"/>
              </w:rPr>
              <w:t xml:space="preserve">RR </w:t>
            </w:r>
            <w:r>
              <w:rPr>
                <w:rFonts w:eastAsia="Times New Roman"/>
              </w:rPr>
              <w:t xml:space="preserve">= </w:t>
            </w:r>
            <w:r w:rsidRPr="00894134">
              <w:rPr>
                <w:rFonts w:eastAsia="Times New Roman"/>
              </w:rPr>
              <w:t>1.04</w:t>
            </w:r>
            <w:r>
              <w:rPr>
                <w:rFonts w:eastAsia="Times New Roman"/>
              </w:rPr>
              <w:t xml:space="preserve"> </w:t>
            </w:r>
            <w:r w:rsidRPr="00894134">
              <w:rPr>
                <w:rFonts w:eastAsia="Times New Roman"/>
              </w:rPr>
              <w:t>(0.97</w:t>
            </w:r>
            <w:r>
              <w:rPr>
                <w:rFonts w:eastAsia="Times New Roman"/>
              </w:rPr>
              <w:t>,</w:t>
            </w:r>
            <w:r w:rsidRPr="00894134">
              <w:rPr>
                <w:rFonts w:eastAsia="Times New Roman"/>
              </w:rPr>
              <w:t xml:space="preserve"> </w:t>
            </w:r>
            <w:r>
              <w:rPr>
                <w:rFonts w:eastAsia="Times New Roman"/>
              </w:rPr>
              <w:t>1.11)</w:t>
            </w:r>
          </w:p>
        </w:tc>
        <w:tc>
          <w:tcPr>
            <w:tcW w:w="2188" w:type="dxa"/>
          </w:tcPr>
          <w:p w:rsidR="00CC3BA4" w:rsidRPr="00C80652" w:rsidRDefault="00CC3BA4" w:rsidP="0037584C">
            <w:pPr>
              <w:pStyle w:val="Tabletext"/>
              <w:rPr>
                <w:rFonts w:eastAsia="Times New Roman"/>
                <w:bCs/>
              </w:rPr>
            </w:pPr>
            <w:r w:rsidRPr="00894134">
              <w:rPr>
                <w:rFonts w:eastAsia="Times New Roman"/>
              </w:rPr>
              <w:t>38 more per 1,000</w:t>
            </w:r>
            <w:r>
              <w:rPr>
                <w:rFonts w:eastAsia="Times New Roman"/>
              </w:rPr>
              <w:br/>
            </w:r>
            <w:r w:rsidRPr="00894134">
              <w:rPr>
                <w:rFonts w:eastAsia="Times New Roman"/>
              </w:rPr>
              <w:t>(from 29 fewer to 105 more)</w:t>
            </w:r>
          </w:p>
        </w:tc>
        <w:tc>
          <w:tcPr>
            <w:tcW w:w="1214" w:type="dxa"/>
          </w:tcPr>
          <w:p w:rsidR="00CC3BA4" w:rsidRDefault="00CC3BA4" w:rsidP="0037584C">
            <w:pPr>
              <w:pStyle w:val="Tabletext"/>
              <w:rPr>
                <w:rFonts w:ascii="Cambria Math" w:eastAsia="Times New Roman" w:hAnsi="Cambria Math" w:cs="Cambria Math"/>
                <w:bCs/>
              </w:rPr>
            </w:pPr>
            <w:r>
              <w:rPr>
                <w:rFonts w:eastAsia="Times New Roman" w:cs="Tahoma"/>
                <w:bCs/>
              </w:rPr>
              <w:t>High</w:t>
            </w:r>
            <w:r>
              <w:rPr>
                <w:rFonts w:eastAsia="Times New Roman" w:cs="Tahoma"/>
                <w:bCs/>
              </w:rPr>
              <w:br/>
            </w:r>
            <w:r w:rsidRPr="00E564DD">
              <w:rPr>
                <w:rFonts w:ascii="Cambria Math" w:eastAsia="Times New Roman" w:hAnsi="Cambria Math" w:cs="Cambria Math"/>
                <w:bCs/>
                <w:color w:val="00B050"/>
              </w:rPr>
              <w:t>⨁⨁⨁</w:t>
            </w:r>
            <w:r w:rsidRPr="00D36FBC">
              <w:rPr>
                <w:rFonts w:ascii="Cambria Math" w:eastAsia="Times New Roman" w:hAnsi="Cambria Math" w:cs="Cambria Math"/>
                <w:bCs/>
                <w:color w:val="00B050"/>
              </w:rPr>
              <w:t>⨁</w:t>
            </w:r>
          </w:p>
          <w:p w:rsidR="00CC3BA4" w:rsidRPr="00C80652" w:rsidRDefault="00CC3BA4" w:rsidP="0037584C">
            <w:pPr>
              <w:pStyle w:val="Tabletext"/>
              <w:rPr>
                <w:rFonts w:ascii="Cambria Math" w:eastAsia="Times New Roman" w:hAnsi="Cambria Math" w:cs="Cambria Math"/>
                <w:bCs/>
                <w:color w:val="00B050"/>
              </w:rPr>
            </w:pPr>
            <w:r>
              <w:rPr>
                <w:rFonts w:cs="Tahoma"/>
              </w:rPr>
              <w:t>I</w:t>
            </w:r>
            <w:r w:rsidRPr="00E564DD">
              <w:rPr>
                <w:rFonts w:cs="Tahoma"/>
              </w:rPr>
              <w:t>mportant</w:t>
            </w:r>
          </w:p>
        </w:tc>
      </w:tr>
      <w:tr w:rsidR="00CC3BA4" w:rsidRPr="00E564DD" w:rsidTr="00115AB1">
        <w:trPr>
          <w:trHeight w:val="319"/>
        </w:trPr>
        <w:tc>
          <w:tcPr>
            <w:tcW w:w="1493" w:type="dxa"/>
          </w:tcPr>
          <w:p w:rsidR="00CC3BA4" w:rsidRPr="00E564DD" w:rsidRDefault="00CC3BA4" w:rsidP="0037584C">
            <w:pPr>
              <w:pStyle w:val="Tabletext"/>
              <w:rPr>
                <w:rFonts w:cs="Tahoma"/>
              </w:rPr>
            </w:pPr>
            <w:r>
              <w:rPr>
                <w:rFonts w:cs="Tahoma"/>
              </w:rPr>
              <w:t>Serious AEs in PAH-CTD</w:t>
            </w:r>
            <w:r>
              <w:rPr>
                <w:rFonts w:cs="Tahoma"/>
              </w:rPr>
              <w:br/>
              <w:t>(74</w:t>
            </w:r>
            <w:r w:rsidRPr="00D36FBC">
              <w:rPr>
                <w:rFonts w:cs="Tahoma"/>
              </w:rPr>
              <w:t xml:space="preserve"> weeks)</w:t>
            </w:r>
          </w:p>
        </w:tc>
        <w:tc>
          <w:tcPr>
            <w:tcW w:w="1054" w:type="dxa"/>
          </w:tcPr>
          <w:p w:rsidR="00CC3BA4" w:rsidRPr="00E564DD" w:rsidRDefault="00CC3BA4" w:rsidP="0037584C">
            <w:pPr>
              <w:pStyle w:val="Tabletext"/>
              <w:rPr>
                <w:rFonts w:cs="Tahoma"/>
              </w:rPr>
            </w:pPr>
            <w:r>
              <w:rPr>
                <w:rFonts w:cs="Tahoma"/>
              </w:rPr>
              <w:t>1</w:t>
            </w:r>
            <w:r w:rsidRPr="00E564DD">
              <w:rPr>
                <w:rFonts w:cs="Tahoma"/>
              </w:rPr>
              <w:t xml:space="preserve"> RCT</w:t>
            </w:r>
          </w:p>
        </w:tc>
        <w:tc>
          <w:tcPr>
            <w:tcW w:w="771" w:type="dxa"/>
          </w:tcPr>
          <w:p w:rsidR="00CC3BA4" w:rsidRPr="00E564DD" w:rsidRDefault="00CC3BA4" w:rsidP="0037584C">
            <w:pPr>
              <w:pStyle w:val="Tabletext"/>
              <w:rPr>
                <w:rFonts w:cs="Tahoma"/>
              </w:rPr>
            </w:pPr>
            <w:r w:rsidRPr="00E564DD">
              <w:rPr>
                <w:rFonts w:cs="Tahoma"/>
              </w:rPr>
              <w:t>Not serious</w:t>
            </w:r>
          </w:p>
        </w:tc>
        <w:tc>
          <w:tcPr>
            <w:tcW w:w="1072" w:type="dxa"/>
          </w:tcPr>
          <w:p w:rsidR="00CC3BA4" w:rsidRPr="00E564DD" w:rsidRDefault="00CC3BA4" w:rsidP="0037584C">
            <w:pPr>
              <w:pStyle w:val="Tabletext"/>
              <w:rPr>
                <w:rFonts w:cs="Tahoma"/>
              </w:rPr>
            </w:pPr>
            <w:r w:rsidRPr="00E564DD">
              <w:rPr>
                <w:rFonts w:cs="Tahoma"/>
              </w:rPr>
              <w:t>Not serious</w:t>
            </w:r>
          </w:p>
        </w:tc>
        <w:tc>
          <w:tcPr>
            <w:tcW w:w="992" w:type="dxa"/>
          </w:tcPr>
          <w:p w:rsidR="00CC3BA4" w:rsidRPr="00E564DD" w:rsidRDefault="00CC3BA4" w:rsidP="0037584C">
            <w:pPr>
              <w:pStyle w:val="Tabletext"/>
              <w:rPr>
                <w:rFonts w:cs="Tahoma"/>
              </w:rPr>
            </w:pPr>
            <w:r w:rsidRPr="00E564DD">
              <w:rPr>
                <w:rFonts w:cs="Tahoma"/>
              </w:rPr>
              <w:t>Not serious</w:t>
            </w:r>
          </w:p>
        </w:tc>
        <w:tc>
          <w:tcPr>
            <w:tcW w:w="992" w:type="dxa"/>
          </w:tcPr>
          <w:p w:rsidR="00CC3BA4" w:rsidRPr="00E564DD" w:rsidRDefault="00CC3BA4" w:rsidP="0037584C">
            <w:pPr>
              <w:pStyle w:val="Tabletext"/>
              <w:rPr>
                <w:rFonts w:cs="Tahoma"/>
              </w:rPr>
            </w:pPr>
            <w:r w:rsidRPr="00E564DD">
              <w:rPr>
                <w:rFonts w:cs="Tahoma"/>
              </w:rPr>
              <w:t>Not serious</w:t>
            </w:r>
          </w:p>
        </w:tc>
        <w:tc>
          <w:tcPr>
            <w:tcW w:w="1276" w:type="dxa"/>
          </w:tcPr>
          <w:p w:rsidR="00CC3BA4" w:rsidRPr="00E564DD" w:rsidRDefault="00CC3BA4" w:rsidP="0037584C">
            <w:pPr>
              <w:pStyle w:val="Tabletext"/>
              <w:rPr>
                <w:rFonts w:cs="Tahoma"/>
              </w:rPr>
            </w:pPr>
            <w:r>
              <w:rPr>
                <w:rFonts w:cs="Tahoma"/>
              </w:rPr>
              <w:t>None</w:t>
            </w:r>
          </w:p>
        </w:tc>
        <w:tc>
          <w:tcPr>
            <w:tcW w:w="1417" w:type="dxa"/>
          </w:tcPr>
          <w:p w:rsidR="00CC3BA4" w:rsidRPr="000C5F99" w:rsidRDefault="00CC3BA4" w:rsidP="0037584C">
            <w:pPr>
              <w:pStyle w:val="Tabletext"/>
              <w:rPr>
                <w:rFonts w:cs="Tahoma"/>
              </w:rPr>
            </w:pPr>
            <w:r>
              <w:rPr>
                <w:rFonts w:cs="Tahoma"/>
              </w:rPr>
              <w:t>45/103 (43.7%)</w:t>
            </w:r>
          </w:p>
        </w:tc>
        <w:tc>
          <w:tcPr>
            <w:tcW w:w="1134" w:type="dxa"/>
          </w:tcPr>
          <w:p w:rsidR="00CC3BA4" w:rsidRPr="00456F1B" w:rsidRDefault="00CC3BA4" w:rsidP="0037584C">
            <w:pPr>
              <w:pStyle w:val="Tabletext"/>
              <w:rPr>
                <w:rFonts w:cs="Tahoma"/>
                <w:highlight w:val="cyan"/>
              </w:rPr>
            </w:pPr>
            <w:r w:rsidRPr="00894134">
              <w:rPr>
                <w:rFonts w:cs="Tahoma"/>
              </w:rPr>
              <w:t>15/44 (34.1%)</w:t>
            </w:r>
          </w:p>
        </w:tc>
        <w:tc>
          <w:tcPr>
            <w:tcW w:w="993" w:type="dxa"/>
          </w:tcPr>
          <w:p w:rsidR="00CC3BA4" w:rsidRPr="00894134" w:rsidRDefault="00CC3BA4" w:rsidP="0037584C">
            <w:pPr>
              <w:pStyle w:val="Tabletext"/>
              <w:rPr>
                <w:rFonts w:cs="Tahoma"/>
              </w:rPr>
            </w:pPr>
            <w:r w:rsidRPr="00894134">
              <w:rPr>
                <w:rFonts w:cs="Tahoma"/>
              </w:rPr>
              <w:t xml:space="preserve">RR </w:t>
            </w:r>
            <w:r>
              <w:rPr>
                <w:rFonts w:cs="Tahoma"/>
              </w:rPr>
              <w:t xml:space="preserve">= </w:t>
            </w:r>
            <w:r w:rsidRPr="00894134">
              <w:rPr>
                <w:rFonts w:cs="Tahoma"/>
              </w:rPr>
              <w:t>1.28</w:t>
            </w:r>
            <w:r>
              <w:rPr>
                <w:rFonts w:cs="Tahoma"/>
              </w:rPr>
              <w:t xml:space="preserve"> </w:t>
            </w:r>
            <w:r w:rsidRPr="00894134">
              <w:rPr>
                <w:rFonts w:cs="Tahoma"/>
              </w:rPr>
              <w:t>(0.80</w:t>
            </w:r>
            <w:r>
              <w:rPr>
                <w:rFonts w:cs="Tahoma"/>
              </w:rPr>
              <w:t>,</w:t>
            </w:r>
            <w:r w:rsidRPr="00894134">
              <w:rPr>
                <w:rFonts w:cs="Tahoma"/>
              </w:rPr>
              <w:t xml:space="preserve"> </w:t>
            </w:r>
            <w:r>
              <w:rPr>
                <w:rFonts w:cs="Tahoma"/>
              </w:rPr>
              <w:t>2.04)</w:t>
            </w:r>
          </w:p>
        </w:tc>
        <w:tc>
          <w:tcPr>
            <w:tcW w:w="2188" w:type="dxa"/>
          </w:tcPr>
          <w:p w:rsidR="00CC3BA4" w:rsidRPr="00456F1B" w:rsidRDefault="00CC3BA4" w:rsidP="0037584C">
            <w:pPr>
              <w:pStyle w:val="Tabletext"/>
              <w:rPr>
                <w:rFonts w:cs="Tahoma"/>
                <w:highlight w:val="cyan"/>
              </w:rPr>
            </w:pPr>
            <w:r w:rsidRPr="00894134">
              <w:rPr>
                <w:rFonts w:cs="Tahoma"/>
              </w:rPr>
              <w:t>95 more per 1,000</w:t>
            </w:r>
            <w:r>
              <w:rPr>
                <w:rFonts w:cs="Tahoma"/>
              </w:rPr>
              <w:br/>
            </w:r>
            <w:r w:rsidRPr="00894134">
              <w:rPr>
                <w:rFonts w:cs="Tahoma"/>
              </w:rPr>
              <w:t>(from 68 fewer to 355 more)</w:t>
            </w:r>
          </w:p>
        </w:tc>
        <w:tc>
          <w:tcPr>
            <w:tcW w:w="1214" w:type="dxa"/>
          </w:tcPr>
          <w:p w:rsidR="00CC3BA4" w:rsidRDefault="00CC3BA4" w:rsidP="0037584C">
            <w:pPr>
              <w:pStyle w:val="Tabletext"/>
              <w:rPr>
                <w:rFonts w:ascii="Cambria Math" w:eastAsia="Times New Roman" w:hAnsi="Cambria Math" w:cs="Cambria Math"/>
                <w:bCs/>
              </w:rPr>
            </w:pPr>
            <w:r>
              <w:rPr>
                <w:rFonts w:eastAsia="Times New Roman" w:cs="Tahoma"/>
                <w:bCs/>
              </w:rPr>
              <w:t>High</w:t>
            </w:r>
            <w:r>
              <w:rPr>
                <w:rFonts w:eastAsia="Times New Roman" w:cs="Tahoma"/>
                <w:bCs/>
              </w:rPr>
              <w:br/>
            </w:r>
            <w:r w:rsidRPr="00E564DD">
              <w:rPr>
                <w:rFonts w:ascii="Cambria Math" w:eastAsia="Times New Roman" w:hAnsi="Cambria Math" w:cs="Cambria Math"/>
                <w:bCs/>
                <w:color w:val="00B050"/>
              </w:rPr>
              <w:t>⨁⨁⨁</w:t>
            </w:r>
            <w:r w:rsidRPr="00D36FBC">
              <w:rPr>
                <w:rFonts w:ascii="Cambria Math" w:eastAsia="Times New Roman" w:hAnsi="Cambria Math" w:cs="Cambria Math"/>
                <w:bCs/>
                <w:color w:val="00B050"/>
              </w:rPr>
              <w:t>⨁</w:t>
            </w:r>
          </w:p>
          <w:p w:rsidR="00CC3BA4" w:rsidRPr="00E564DD" w:rsidRDefault="00CC3BA4" w:rsidP="0037584C">
            <w:pPr>
              <w:pStyle w:val="Tabletext"/>
              <w:rPr>
                <w:rFonts w:cs="Tahoma"/>
              </w:rPr>
            </w:pPr>
            <w:r>
              <w:rPr>
                <w:rFonts w:cs="Tahoma"/>
              </w:rPr>
              <w:t>I</w:t>
            </w:r>
            <w:r w:rsidRPr="00E564DD">
              <w:rPr>
                <w:rFonts w:cs="Tahoma"/>
              </w:rPr>
              <w:t>mportant</w:t>
            </w:r>
          </w:p>
        </w:tc>
      </w:tr>
      <w:tr w:rsidR="00CC3BA4" w:rsidRPr="00E564DD" w:rsidTr="00115AB1">
        <w:trPr>
          <w:trHeight w:val="319"/>
        </w:trPr>
        <w:tc>
          <w:tcPr>
            <w:tcW w:w="1493" w:type="dxa"/>
          </w:tcPr>
          <w:p w:rsidR="00CC3BA4" w:rsidRPr="00E564DD" w:rsidRDefault="00CC3BA4" w:rsidP="0037584C">
            <w:pPr>
              <w:pStyle w:val="Tabletext"/>
              <w:rPr>
                <w:rFonts w:cs="Tahoma"/>
              </w:rPr>
            </w:pPr>
            <w:r>
              <w:rPr>
                <w:rFonts w:cs="Tahoma"/>
              </w:rPr>
              <w:t>AEs leading to treatment discontinuation in PAH-CTD</w:t>
            </w:r>
            <w:r>
              <w:rPr>
                <w:rFonts w:cs="Tahoma"/>
              </w:rPr>
              <w:br/>
              <w:t>(74</w:t>
            </w:r>
            <w:r w:rsidRPr="00D36FBC">
              <w:rPr>
                <w:rFonts w:cs="Tahoma"/>
              </w:rPr>
              <w:t xml:space="preserve"> weeks)</w:t>
            </w:r>
          </w:p>
        </w:tc>
        <w:tc>
          <w:tcPr>
            <w:tcW w:w="1054" w:type="dxa"/>
          </w:tcPr>
          <w:p w:rsidR="00CC3BA4" w:rsidRPr="00E564DD" w:rsidRDefault="00CC3BA4" w:rsidP="0037584C">
            <w:pPr>
              <w:pStyle w:val="Tabletext"/>
              <w:rPr>
                <w:rFonts w:cs="Tahoma"/>
              </w:rPr>
            </w:pPr>
            <w:r>
              <w:rPr>
                <w:rFonts w:cs="Tahoma"/>
              </w:rPr>
              <w:t>1</w:t>
            </w:r>
            <w:r w:rsidRPr="00E564DD">
              <w:rPr>
                <w:rFonts w:cs="Tahoma"/>
              </w:rPr>
              <w:t xml:space="preserve"> RCT</w:t>
            </w:r>
          </w:p>
        </w:tc>
        <w:tc>
          <w:tcPr>
            <w:tcW w:w="771" w:type="dxa"/>
          </w:tcPr>
          <w:p w:rsidR="00CC3BA4" w:rsidRPr="00E564DD" w:rsidRDefault="00CC3BA4" w:rsidP="0037584C">
            <w:pPr>
              <w:pStyle w:val="Tabletext"/>
              <w:rPr>
                <w:rFonts w:cs="Tahoma"/>
              </w:rPr>
            </w:pPr>
            <w:r w:rsidRPr="00E564DD">
              <w:rPr>
                <w:rFonts w:cs="Tahoma"/>
              </w:rPr>
              <w:t>Not serious</w:t>
            </w:r>
          </w:p>
        </w:tc>
        <w:tc>
          <w:tcPr>
            <w:tcW w:w="1072" w:type="dxa"/>
          </w:tcPr>
          <w:p w:rsidR="00CC3BA4" w:rsidRPr="00E564DD" w:rsidRDefault="00CC3BA4" w:rsidP="0037584C">
            <w:pPr>
              <w:pStyle w:val="Tabletext"/>
              <w:rPr>
                <w:rFonts w:cs="Tahoma"/>
              </w:rPr>
            </w:pPr>
            <w:r w:rsidRPr="00E564DD">
              <w:rPr>
                <w:rFonts w:cs="Tahoma"/>
              </w:rPr>
              <w:t>Not serious</w:t>
            </w:r>
          </w:p>
        </w:tc>
        <w:tc>
          <w:tcPr>
            <w:tcW w:w="992" w:type="dxa"/>
          </w:tcPr>
          <w:p w:rsidR="00CC3BA4" w:rsidRPr="00E564DD" w:rsidRDefault="00CC3BA4" w:rsidP="0037584C">
            <w:pPr>
              <w:pStyle w:val="Tabletext"/>
              <w:rPr>
                <w:rFonts w:cs="Tahoma"/>
              </w:rPr>
            </w:pPr>
            <w:r w:rsidRPr="00E564DD">
              <w:rPr>
                <w:rFonts w:cs="Tahoma"/>
              </w:rPr>
              <w:t>Not serious</w:t>
            </w:r>
          </w:p>
        </w:tc>
        <w:tc>
          <w:tcPr>
            <w:tcW w:w="992" w:type="dxa"/>
          </w:tcPr>
          <w:p w:rsidR="00CC3BA4" w:rsidRPr="00E564DD" w:rsidRDefault="00CC3BA4" w:rsidP="0037584C">
            <w:pPr>
              <w:pStyle w:val="Tabletext"/>
              <w:rPr>
                <w:rFonts w:cs="Tahoma"/>
              </w:rPr>
            </w:pPr>
            <w:r w:rsidRPr="00E564DD">
              <w:rPr>
                <w:rFonts w:cs="Tahoma"/>
              </w:rPr>
              <w:t>Not serious</w:t>
            </w:r>
          </w:p>
        </w:tc>
        <w:tc>
          <w:tcPr>
            <w:tcW w:w="1276" w:type="dxa"/>
          </w:tcPr>
          <w:p w:rsidR="00CC3BA4" w:rsidRPr="00E564DD" w:rsidRDefault="00CC3BA4" w:rsidP="0037584C">
            <w:pPr>
              <w:pStyle w:val="Tabletext"/>
              <w:rPr>
                <w:rFonts w:cs="Tahoma"/>
              </w:rPr>
            </w:pPr>
            <w:r>
              <w:rPr>
                <w:rFonts w:cs="Tahoma"/>
              </w:rPr>
              <w:t>None</w:t>
            </w:r>
          </w:p>
        </w:tc>
        <w:tc>
          <w:tcPr>
            <w:tcW w:w="1417" w:type="dxa"/>
          </w:tcPr>
          <w:p w:rsidR="00CC3BA4" w:rsidRPr="00456F1B" w:rsidRDefault="00CC3BA4" w:rsidP="0037584C">
            <w:pPr>
              <w:pStyle w:val="Tabletext"/>
              <w:rPr>
                <w:rFonts w:cs="Tahoma"/>
              </w:rPr>
            </w:pPr>
            <w:r>
              <w:rPr>
                <w:rFonts w:cs="Tahoma"/>
              </w:rPr>
              <w:t>14/103 (13.6%)</w:t>
            </w:r>
          </w:p>
        </w:tc>
        <w:tc>
          <w:tcPr>
            <w:tcW w:w="1134" w:type="dxa"/>
          </w:tcPr>
          <w:p w:rsidR="00CC3BA4" w:rsidRPr="00456F1B" w:rsidRDefault="00CC3BA4" w:rsidP="0037584C">
            <w:pPr>
              <w:pStyle w:val="Tabletext"/>
              <w:rPr>
                <w:rFonts w:cs="Tahoma"/>
              </w:rPr>
            </w:pPr>
            <w:r>
              <w:rPr>
                <w:rFonts w:cs="Tahoma"/>
              </w:rPr>
              <w:t>8</w:t>
            </w:r>
            <w:r w:rsidRPr="00894134">
              <w:rPr>
                <w:rFonts w:cs="Tahoma"/>
              </w:rPr>
              <w:t>/44 (18.2%)</w:t>
            </w:r>
          </w:p>
        </w:tc>
        <w:tc>
          <w:tcPr>
            <w:tcW w:w="993" w:type="dxa"/>
          </w:tcPr>
          <w:p w:rsidR="00CC3BA4" w:rsidRPr="00456F1B" w:rsidRDefault="00CC3BA4" w:rsidP="0037584C">
            <w:pPr>
              <w:pStyle w:val="Tabletext"/>
              <w:rPr>
                <w:rFonts w:cs="Tahoma"/>
              </w:rPr>
            </w:pPr>
            <w:r w:rsidRPr="00894134">
              <w:rPr>
                <w:rFonts w:cs="Tahoma"/>
              </w:rPr>
              <w:t xml:space="preserve">RR </w:t>
            </w:r>
            <w:r>
              <w:rPr>
                <w:rFonts w:cs="Tahoma"/>
              </w:rPr>
              <w:t xml:space="preserve">= </w:t>
            </w:r>
            <w:r w:rsidRPr="00894134">
              <w:rPr>
                <w:rFonts w:cs="Tahoma"/>
              </w:rPr>
              <w:t>0.75</w:t>
            </w:r>
            <w:r>
              <w:rPr>
                <w:rFonts w:cs="Tahoma"/>
              </w:rPr>
              <w:t xml:space="preserve"> </w:t>
            </w:r>
            <w:r w:rsidRPr="00894134">
              <w:rPr>
                <w:rFonts w:cs="Tahoma"/>
              </w:rPr>
              <w:t>(0.34</w:t>
            </w:r>
            <w:r>
              <w:rPr>
                <w:rFonts w:cs="Tahoma"/>
              </w:rPr>
              <w:t>,</w:t>
            </w:r>
            <w:r w:rsidRPr="00894134">
              <w:rPr>
                <w:rFonts w:cs="Tahoma"/>
              </w:rPr>
              <w:t xml:space="preserve"> </w:t>
            </w:r>
            <w:r>
              <w:rPr>
                <w:rFonts w:cs="Tahoma"/>
              </w:rPr>
              <w:t>1.65)</w:t>
            </w:r>
          </w:p>
        </w:tc>
        <w:tc>
          <w:tcPr>
            <w:tcW w:w="2188" w:type="dxa"/>
          </w:tcPr>
          <w:p w:rsidR="00CC3BA4" w:rsidRPr="00456F1B" w:rsidRDefault="00CC3BA4" w:rsidP="0037584C">
            <w:pPr>
              <w:pStyle w:val="Tabletext"/>
              <w:rPr>
                <w:rFonts w:cs="Tahoma"/>
              </w:rPr>
            </w:pPr>
            <w:r w:rsidRPr="00894134">
              <w:rPr>
                <w:rFonts w:cs="Tahoma"/>
              </w:rPr>
              <w:t>45 fewer per 1,000</w:t>
            </w:r>
            <w:r>
              <w:rPr>
                <w:rFonts w:cs="Tahoma"/>
              </w:rPr>
              <w:br/>
              <w:t>(from 118 more to 120 fewer)</w:t>
            </w:r>
          </w:p>
        </w:tc>
        <w:tc>
          <w:tcPr>
            <w:tcW w:w="1214" w:type="dxa"/>
          </w:tcPr>
          <w:p w:rsidR="00CC3BA4" w:rsidRDefault="00CC3BA4" w:rsidP="0037584C">
            <w:pPr>
              <w:pStyle w:val="Tabletext"/>
              <w:rPr>
                <w:rFonts w:ascii="Cambria Math" w:eastAsia="Times New Roman" w:hAnsi="Cambria Math" w:cs="Cambria Math"/>
                <w:bCs/>
              </w:rPr>
            </w:pPr>
            <w:r>
              <w:rPr>
                <w:rFonts w:eastAsia="Times New Roman" w:cs="Tahoma"/>
                <w:bCs/>
              </w:rPr>
              <w:t>High</w:t>
            </w:r>
            <w:r>
              <w:rPr>
                <w:rFonts w:eastAsia="Times New Roman" w:cs="Tahoma"/>
                <w:bCs/>
              </w:rPr>
              <w:br/>
            </w:r>
            <w:r w:rsidRPr="00E564DD">
              <w:rPr>
                <w:rFonts w:ascii="Cambria Math" w:eastAsia="Times New Roman" w:hAnsi="Cambria Math" w:cs="Cambria Math"/>
                <w:bCs/>
                <w:color w:val="00B050"/>
              </w:rPr>
              <w:t>⨁⨁⨁</w:t>
            </w:r>
            <w:r w:rsidRPr="00D36FBC">
              <w:rPr>
                <w:rFonts w:ascii="Cambria Math" w:eastAsia="Times New Roman" w:hAnsi="Cambria Math" w:cs="Cambria Math"/>
                <w:bCs/>
                <w:color w:val="00B050"/>
              </w:rPr>
              <w:t>⨁</w:t>
            </w:r>
          </w:p>
          <w:p w:rsidR="00CC3BA4" w:rsidRPr="007E5698" w:rsidRDefault="00CC3BA4" w:rsidP="0037584C">
            <w:pPr>
              <w:pStyle w:val="Tabletext"/>
              <w:rPr>
                <w:rFonts w:ascii="Cambria Math" w:eastAsia="Times New Roman" w:hAnsi="Cambria Math" w:cs="Cambria Math"/>
                <w:bCs/>
                <w:color w:val="00B050"/>
              </w:rPr>
            </w:pPr>
            <w:r>
              <w:rPr>
                <w:rFonts w:cs="Tahoma"/>
              </w:rPr>
              <w:t>I</w:t>
            </w:r>
            <w:r w:rsidRPr="00E564DD">
              <w:rPr>
                <w:rFonts w:cs="Tahoma"/>
              </w:rPr>
              <w:t>mportant</w:t>
            </w:r>
          </w:p>
        </w:tc>
      </w:tr>
    </w:tbl>
    <w:p w:rsidR="00CC3BA4" w:rsidRPr="00AA018C" w:rsidRDefault="00CC3BA4" w:rsidP="0037584C">
      <w:pPr>
        <w:pStyle w:val="Tablenote"/>
      </w:pPr>
      <w:r w:rsidRPr="00E564DD">
        <w:rPr>
          <w:vertAlign w:val="superscript"/>
        </w:rPr>
        <w:t xml:space="preserve">a </w:t>
      </w:r>
      <w:r w:rsidRPr="00AA018C">
        <w:t>O</w:t>
      </w:r>
      <w:r>
        <w:t>ther considerations such as publication bias and effect size</w:t>
      </w:r>
    </w:p>
    <w:p w:rsidR="00CC3BA4" w:rsidRDefault="00CC3BA4" w:rsidP="0037584C">
      <w:pPr>
        <w:pStyle w:val="Tablenote"/>
      </w:pPr>
      <w:r>
        <w:rPr>
          <w:vertAlign w:val="superscript"/>
        </w:rPr>
        <w:t xml:space="preserve">b </w:t>
      </w:r>
      <w:r w:rsidRPr="00E564DD">
        <w:t>GRADE W</w:t>
      </w:r>
      <w:r>
        <w:t>orking Group grades of evidence</w:t>
      </w:r>
      <w:r w:rsidR="001D34EE" w:rsidRPr="001D34EE">
        <w:rPr>
          <w:noProof/>
          <w:vertAlign w:val="superscript"/>
        </w:rPr>
        <w:t>1</w:t>
      </w:r>
    </w:p>
    <w:p w:rsidR="00CC3BA4" w:rsidRPr="00E564DD" w:rsidRDefault="00CC3BA4" w:rsidP="0037584C">
      <w:pPr>
        <w:pStyle w:val="Tablenote"/>
      </w:pPr>
      <w:r w:rsidRPr="00E564DD">
        <w:rPr>
          <w:rFonts w:ascii="Cambria Math" w:hAnsi="Cambria Math" w:cs="Cambria Math"/>
          <w:color w:val="00B050"/>
        </w:rPr>
        <w:t>⨁⨁⨁⨁</w:t>
      </w:r>
      <w:r w:rsidRPr="00E564DD">
        <w:rPr>
          <w:color w:val="00B050"/>
        </w:rPr>
        <w:t xml:space="preserve"> </w:t>
      </w:r>
      <w:r w:rsidRPr="00E564DD">
        <w:rPr>
          <w:b/>
        </w:rPr>
        <w:t>High quality:</w:t>
      </w:r>
      <w:r w:rsidRPr="00E564DD">
        <w:t xml:space="preserve"> We are very confident that the true effect lies close to that of the estimate of effect</w:t>
      </w:r>
    </w:p>
    <w:p w:rsidR="007C6567" w:rsidRDefault="00CC3BA4" w:rsidP="0037584C">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w:t>
      </w:r>
      <w:r w:rsidR="00385E5A">
        <w:t>GRADE = grading of recommendations assessment, development and evaluation</w:t>
      </w:r>
      <w:r w:rsidR="001D34EE" w:rsidRPr="001D34EE">
        <w:rPr>
          <w:noProof/>
          <w:vertAlign w:val="superscript"/>
        </w:rPr>
        <w:t>1</w:t>
      </w:r>
      <w:r w:rsidR="002E6E59" w:rsidRPr="00F24B06">
        <w:t xml:space="preserve">; </w:t>
      </w:r>
      <w:r w:rsidRPr="00C65B42">
        <w:t xml:space="preserve">PAH = pulmonary arterial hypertension; </w:t>
      </w:r>
      <w:r w:rsidR="002E6E59">
        <w:t>PAH-</w:t>
      </w:r>
      <w:r w:rsidR="002E6E59" w:rsidRPr="00822C52">
        <w:t xml:space="preserve">CTD = </w:t>
      </w:r>
      <w:r w:rsidR="002E6E59">
        <w:t xml:space="preserve">PAH associated with </w:t>
      </w:r>
      <w:r w:rsidR="002E6E59" w:rsidRPr="00822C52">
        <w:t xml:space="preserve">connective tissue disease; </w:t>
      </w:r>
      <w:r w:rsidRPr="009B5AB3">
        <w:t>PDE-5</w:t>
      </w:r>
      <w:r w:rsidR="002E6E59">
        <w:t>i</w:t>
      </w:r>
      <w:r w:rsidRPr="009B5AB3">
        <w:t xml:space="preserve"> = phosphodiesterase type-5</w:t>
      </w:r>
      <w:r w:rsidR="002E6E59">
        <w:t xml:space="preserve"> inhibitor</w:t>
      </w:r>
      <w:r>
        <w:t>;</w:t>
      </w:r>
      <w:r w:rsidRPr="009B5AB3">
        <w:t xml:space="preserve"> </w:t>
      </w:r>
      <w:r>
        <w:t>RCT = randomised controlled trial; RR = relative risk</w:t>
      </w:r>
    </w:p>
    <w:p w:rsidR="00CC3BA4" w:rsidRPr="00822C52" w:rsidRDefault="00CC3BA4" w:rsidP="00BF48DF">
      <w:pPr>
        <w:pStyle w:val="Heading4"/>
      </w:pPr>
      <w:r>
        <w:t>PDE-5 inhibitor</w:t>
      </w:r>
      <w:r w:rsidRPr="00822C52">
        <w:t xml:space="preserve"> </w:t>
      </w:r>
      <w:r>
        <w:t xml:space="preserve">in </w:t>
      </w:r>
      <w:r w:rsidRPr="00822C52">
        <w:t xml:space="preserve">addition to </w:t>
      </w:r>
      <w:r>
        <w:t xml:space="preserve">a </w:t>
      </w:r>
      <w:r w:rsidR="0017012F">
        <w:t>prostanoid</w:t>
      </w:r>
    </w:p>
    <w:p w:rsidR="00CC3BA4" w:rsidRPr="005D4CA0" w:rsidRDefault="00796F18" w:rsidP="00BC5A2B">
      <w:pPr>
        <w:pStyle w:val="Caption"/>
      </w:pPr>
      <w:bookmarkStart w:id="527" w:name="_Ref505782356"/>
      <w:bookmarkStart w:id="528" w:name="_Toc512855565"/>
      <w:r>
        <w:t>Table 4.</w:t>
      </w:r>
      <w:r w:rsidR="00AA722D">
        <w:rPr>
          <w:noProof/>
        </w:rPr>
        <w:t>161</w:t>
      </w:r>
      <w:bookmarkEnd w:id="527"/>
      <w:r>
        <w:tab/>
      </w:r>
      <w:r w:rsidR="00CC3BA4" w:rsidRPr="005D4CA0">
        <w:t xml:space="preserve">Evidence profile table for </w:t>
      </w:r>
      <w:r w:rsidR="00CC3BA4">
        <w:t xml:space="preserve">effectiveness of PDE-5 inhibitor </w:t>
      </w:r>
      <w:r w:rsidR="00207AD0">
        <w:t>plus</w:t>
      </w:r>
      <w:r w:rsidR="00CC3BA4">
        <w:t xml:space="preserve"> </w:t>
      </w:r>
      <w:r w:rsidR="0017012F">
        <w:t>prostanoid</w:t>
      </w:r>
      <w:r w:rsidR="00CC3BA4" w:rsidRPr="005D4CA0">
        <w:t xml:space="preserve"> </w:t>
      </w:r>
      <w:r w:rsidR="00CC3BA4">
        <w:t xml:space="preserve">combination therapy </w:t>
      </w:r>
      <w:r w:rsidR="00CC3BA4" w:rsidRPr="005D4CA0">
        <w:t xml:space="preserve">compared to </w:t>
      </w:r>
      <w:r w:rsidR="0017012F" w:rsidRPr="00596E2E">
        <w:t>prostanoid</w:t>
      </w:r>
      <w:r w:rsidR="00CC3BA4" w:rsidRPr="00596E2E">
        <w:t xml:space="preserve"> </w:t>
      </w:r>
      <w:r w:rsidR="00CC3BA4">
        <w:t xml:space="preserve">monotherapy </w:t>
      </w:r>
      <w:r w:rsidR="00CC3BA4" w:rsidRPr="005D4CA0">
        <w:t xml:space="preserve">for </w:t>
      </w:r>
      <w:r w:rsidR="00CC3BA4">
        <w:t>all PAH patients</w:t>
      </w:r>
      <w:bookmarkEnd w:id="528"/>
    </w:p>
    <w:tbl>
      <w:tblPr>
        <w:tblStyle w:val="TableGrid"/>
        <w:tblW w:w="14738" w:type="dxa"/>
        <w:tblLayout w:type="fixed"/>
        <w:tblLook w:val="04A0" w:firstRow="1" w:lastRow="0" w:firstColumn="1" w:lastColumn="0" w:noHBand="0" w:noVBand="1"/>
        <w:tblCaption w:val="Evidence profile table for effectiveness of PDE-5 inhibitor plus prostanoid combination therapy compared to prostanoid monotherapy for all PAH patients"/>
      </w:tblPr>
      <w:tblGrid>
        <w:gridCol w:w="1493"/>
        <w:gridCol w:w="1054"/>
        <w:gridCol w:w="771"/>
        <w:gridCol w:w="1072"/>
        <w:gridCol w:w="1134"/>
        <w:gridCol w:w="992"/>
        <w:gridCol w:w="1276"/>
        <w:gridCol w:w="1417"/>
        <w:gridCol w:w="1134"/>
        <w:gridCol w:w="993"/>
        <w:gridCol w:w="2188"/>
        <w:gridCol w:w="1214"/>
      </w:tblGrid>
      <w:tr w:rsidR="0037584C" w:rsidRPr="0037584C" w:rsidTr="00115AB1">
        <w:trPr>
          <w:cnfStyle w:val="100000000000" w:firstRow="1" w:lastRow="0" w:firstColumn="0" w:lastColumn="0" w:oddVBand="0" w:evenVBand="0" w:oddHBand="0" w:evenHBand="0" w:firstRowFirstColumn="0" w:firstRowLastColumn="0" w:lastRowFirstColumn="0" w:lastRowLastColumn="0"/>
          <w:trHeight w:val="461"/>
        </w:trPr>
        <w:tc>
          <w:tcPr>
            <w:tcW w:w="1493" w:type="dxa"/>
          </w:tcPr>
          <w:p w:rsidR="00476F09" w:rsidRPr="0037584C" w:rsidRDefault="00476F09" w:rsidP="0037584C">
            <w:pPr>
              <w:pStyle w:val="Tabletext"/>
              <w:rPr>
                <w:b/>
              </w:rPr>
            </w:pPr>
            <w:r w:rsidRPr="0037584C">
              <w:rPr>
                <w:b/>
              </w:rPr>
              <w:t>Outcome (follow-up)</w:t>
            </w:r>
          </w:p>
        </w:tc>
        <w:tc>
          <w:tcPr>
            <w:tcW w:w="1054" w:type="dxa"/>
          </w:tcPr>
          <w:p w:rsidR="00476F09" w:rsidRPr="0037584C" w:rsidRDefault="00476F09" w:rsidP="0037584C">
            <w:pPr>
              <w:pStyle w:val="Tabletext"/>
              <w:rPr>
                <w:b/>
              </w:rPr>
            </w:pPr>
            <w:r w:rsidRPr="0037584C">
              <w:rPr>
                <w:b/>
              </w:rPr>
              <w:t>No. of studies and study design</w:t>
            </w:r>
          </w:p>
        </w:tc>
        <w:tc>
          <w:tcPr>
            <w:tcW w:w="771" w:type="dxa"/>
          </w:tcPr>
          <w:p w:rsidR="00476F09" w:rsidRPr="0037584C" w:rsidRDefault="00476F09" w:rsidP="0037584C">
            <w:pPr>
              <w:pStyle w:val="Tabletext"/>
              <w:rPr>
                <w:b/>
              </w:rPr>
            </w:pPr>
            <w:r w:rsidRPr="0037584C">
              <w:rPr>
                <w:b/>
              </w:rPr>
              <w:t>Risk of bias</w:t>
            </w:r>
          </w:p>
        </w:tc>
        <w:tc>
          <w:tcPr>
            <w:tcW w:w="1072" w:type="dxa"/>
          </w:tcPr>
          <w:p w:rsidR="00476F09" w:rsidRPr="0037584C" w:rsidRDefault="00476F09" w:rsidP="0037584C">
            <w:pPr>
              <w:pStyle w:val="Tabletext"/>
              <w:rPr>
                <w:b/>
              </w:rPr>
            </w:pPr>
            <w:r w:rsidRPr="0037584C">
              <w:rPr>
                <w:b/>
              </w:rPr>
              <w:t>Inconsis</w:t>
            </w:r>
            <w:r w:rsidR="00115AB1">
              <w:rPr>
                <w:b/>
              </w:rPr>
              <w:t>-</w:t>
            </w:r>
            <w:r w:rsidRPr="0037584C">
              <w:rPr>
                <w:b/>
              </w:rPr>
              <w:t>tency</w:t>
            </w:r>
          </w:p>
        </w:tc>
        <w:tc>
          <w:tcPr>
            <w:tcW w:w="1134" w:type="dxa"/>
          </w:tcPr>
          <w:p w:rsidR="00476F09" w:rsidRPr="0037584C" w:rsidRDefault="00476F09" w:rsidP="0037584C">
            <w:pPr>
              <w:pStyle w:val="Tabletext"/>
              <w:rPr>
                <w:b/>
              </w:rPr>
            </w:pPr>
            <w:r w:rsidRPr="0037584C">
              <w:rPr>
                <w:b/>
              </w:rPr>
              <w:t>Indirect</w:t>
            </w:r>
            <w:r w:rsidR="00115AB1">
              <w:rPr>
                <w:b/>
              </w:rPr>
              <w:t>-</w:t>
            </w:r>
            <w:r w:rsidRPr="0037584C">
              <w:rPr>
                <w:b/>
              </w:rPr>
              <w:t>ness</w:t>
            </w:r>
          </w:p>
        </w:tc>
        <w:tc>
          <w:tcPr>
            <w:tcW w:w="992" w:type="dxa"/>
          </w:tcPr>
          <w:p w:rsidR="00476F09" w:rsidRPr="0037584C" w:rsidRDefault="00476F09" w:rsidP="0037584C">
            <w:pPr>
              <w:pStyle w:val="Tabletext"/>
              <w:rPr>
                <w:b/>
              </w:rPr>
            </w:pPr>
            <w:r w:rsidRPr="0037584C">
              <w:rPr>
                <w:b/>
              </w:rPr>
              <w:t>Impre</w:t>
            </w:r>
            <w:r w:rsidR="00115AB1">
              <w:rPr>
                <w:b/>
              </w:rPr>
              <w:t>-</w:t>
            </w:r>
            <w:r w:rsidRPr="0037584C">
              <w:rPr>
                <w:b/>
              </w:rPr>
              <w:t>cision</w:t>
            </w:r>
          </w:p>
        </w:tc>
        <w:tc>
          <w:tcPr>
            <w:tcW w:w="1276" w:type="dxa"/>
          </w:tcPr>
          <w:p w:rsidR="00476F09" w:rsidRPr="0037584C" w:rsidRDefault="00476F09" w:rsidP="0037584C">
            <w:pPr>
              <w:pStyle w:val="Tabletext"/>
              <w:rPr>
                <w:b/>
              </w:rPr>
            </w:pPr>
            <w:r w:rsidRPr="0037584C">
              <w:rPr>
                <w:b/>
              </w:rPr>
              <w:t>Other conside</w:t>
            </w:r>
            <w:r w:rsidR="00115AB1">
              <w:rPr>
                <w:b/>
              </w:rPr>
              <w:t>-</w:t>
            </w:r>
            <w:r w:rsidRPr="0037584C">
              <w:rPr>
                <w:b/>
              </w:rPr>
              <w:t>rations</w:t>
            </w:r>
            <w:r w:rsidRPr="0037584C">
              <w:rPr>
                <w:b/>
                <w:vertAlign w:val="superscript"/>
              </w:rPr>
              <w:t>a</w:t>
            </w:r>
          </w:p>
        </w:tc>
        <w:tc>
          <w:tcPr>
            <w:tcW w:w="1417" w:type="dxa"/>
          </w:tcPr>
          <w:p w:rsidR="00476F09" w:rsidRPr="0037584C" w:rsidRDefault="00476F09" w:rsidP="0037584C">
            <w:pPr>
              <w:pStyle w:val="Tabletext"/>
              <w:rPr>
                <w:b/>
              </w:rPr>
            </w:pPr>
            <w:r w:rsidRPr="0037584C">
              <w:rPr>
                <w:b/>
              </w:rPr>
              <w:t>Study event rates (%) with PDE-5i + prostanoid</w:t>
            </w:r>
          </w:p>
        </w:tc>
        <w:tc>
          <w:tcPr>
            <w:tcW w:w="1134" w:type="dxa"/>
          </w:tcPr>
          <w:p w:rsidR="00476F09" w:rsidRPr="0037584C" w:rsidRDefault="00476F09" w:rsidP="0037584C">
            <w:pPr>
              <w:pStyle w:val="Tabletext"/>
              <w:rPr>
                <w:b/>
              </w:rPr>
            </w:pPr>
            <w:r w:rsidRPr="0037584C">
              <w:rPr>
                <w:b/>
              </w:rPr>
              <w:t>Study event rates (%) with prostanoid</w:t>
            </w:r>
          </w:p>
        </w:tc>
        <w:tc>
          <w:tcPr>
            <w:tcW w:w="993" w:type="dxa"/>
          </w:tcPr>
          <w:p w:rsidR="00476F09" w:rsidRPr="0037584C" w:rsidRDefault="00476F09" w:rsidP="0037584C">
            <w:pPr>
              <w:pStyle w:val="Tabletext"/>
              <w:rPr>
                <w:b/>
              </w:rPr>
            </w:pPr>
            <w:r w:rsidRPr="0037584C">
              <w:rPr>
                <w:b/>
              </w:rPr>
              <w:t>Effect measure (95%CI)</w:t>
            </w:r>
          </w:p>
        </w:tc>
        <w:tc>
          <w:tcPr>
            <w:tcW w:w="2188" w:type="dxa"/>
          </w:tcPr>
          <w:p w:rsidR="00476F09" w:rsidRPr="0037584C" w:rsidRDefault="00476F09" w:rsidP="0037584C">
            <w:pPr>
              <w:pStyle w:val="Tabletext"/>
              <w:rPr>
                <w:b/>
              </w:rPr>
            </w:pPr>
            <w:r w:rsidRPr="0037584C">
              <w:rPr>
                <w:b/>
              </w:rPr>
              <w:t>Absolute effect (95%CI)</w:t>
            </w:r>
          </w:p>
        </w:tc>
        <w:tc>
          <w:tcPr>
            <w:tcW w:w="1214" w:type="dxa"/>
          </w:tcPr>
          <w:p w:rsidR="002E6E59" w:rsidRDefault="002E6E59" w:rsidP="0037584C">
            <w:pPr>
              <w:pStyle w:val="Tabletext"/>
              <w:rPr>
                <w:b/>
              </w:rPr>
            </w:pPr>
            <w:r>
              <w:rPr>
                <w:b/>
              </w:rPr>
              <w:t>GRADE</w:t>
            </w:r>
            <w:r w:rsidRPr="002E6E59">
              <w:rPr>
                <w:b/>
                <w:vertAlign w:val="superscript"/>
              </w:rPr>
              <w:t>b</w:t>
            </w:r>
          </w:p>
          <w:p w:rsidR="00476F09" w:rsidRPr="0037584C" w:rsidRDefault="00476F09" w:rsidP="0037584C">
            <w:pPr>
              <w:pStyle w:val="Tabletext"/>
              <w:rPr>
                <w:b/>
                <w:vertAlign w:val="superscript"/>
              </w:rPr>
            </w:pPr>
            <w:r w:rsidRPr="0037584C">
              <w:rPr>
                <w:b/>
              </w:rPr>
              <w:t>Quality</w:t>
            </w:r>
          </w:p>
          <w:p w:rsidR="00476F09" w:rsidRPr="0037584C" w:rsidRDefault="00476F09" w:rsidP="0037584C">
            <w:pPr>
              <w:pStyle w:val="Tabletext"/>
              <w:rPr>
                <w:b/>
              </w:rPr>
            </w:pPr>
            <w:r w:rsidRPr="0037584C">
              <w:rPr>
                <w:b/>
              </w:rPr>
              <w:t>Importance</w:t>
            </w:r>
          </w:p>
        </w:tc>
      </w:tr>
      <w:tr w:rsidR="00CC3BA4" w:rsidRPr="00D36FBC" w:rsidTr="00115AB1">
        <w:trPr>
          <w:trHeight w:val="319"/>
        </w:trPr>
        <w:tc>
          <w:tcPr>
            <w:tcW w:w="1493" w:type="dxa"/>
          </w:tcPr>
          <w:p w:rsidR="00CC3BA4" w:rsidRPr="00D36FBC" w:rsidRDefault="00CC3BA4" w:rsidP="0037584C">
            <w:pPr>
              <w:pStyle w:val="Tabletext"/>
              <w:rPr>
                <w:rFonts w:cs="Tahoma"/>
              </w:rPr>
            </w:pPr>
            <w:r w:rsidRPr="00D36FBC">
              <w:rPr>
                <w:rFonts w:cs="Tahoma"/>
              </w:rPr>
              <w:lastRenderedPageBreak/>
              <w:t>Clinical worsening</w:t>
            </w:r>
            <w:r>
              <w:rPr>
                <w:rFonts w:cs="Tahoma"/>
              </w:rPr>
              <w:br/>
            </w:r>
            <w:r w:rsidRPr="00D36FBC">
              <w:rPr>
                <w:rFonts w:cs="Tahoma"/>
              </w:rPr>
              <w:t>(</w:t>
            </w:r>
            <w:r>
              <w:rPr>
                <w:rFonts w:cs="Tahoma"/>
              </w:rPr>
              <w:t>16</w:t>
            </w:r>
            <w:r w:rsidRPr="00D36FBC">
              <w:rPr>
                <w:rFonts w:cs="Tahoma"/>
              </w:rPr>
              <w:t xml:space="preserve"> weeks)</w:t>
            </w:r>
          </w:p>
        </w:tc>
        <w:tc>
          <w:tcPr>
            <w:tcW w:w="1054" w:type="dxa"/>
          </w:tcPr>
          <w:p w:rsidR="00CC3BA4" w:rsidRPr="00D36FBC" w:rsidRDefault="00CC3BA4" w:rsidP="0037584C">
            <w:pPr>
              <w:pStyle w:val="Tabletext"/>
              <w:rPr>
                <w:rFonts w:cs="Tahoma"/>
              </w:rPr>
            </w:pPr>
            <w:r w:rsidRPr="00D36FBC">
              <w:rPr>
                <w:rFonts w:cs="Tahoma"/>
              </w:rPr>
              <w:t>1 RCT</w:t>
            </w:r>
          </w:p>
        </w:tc>
        <w:tc>
          <w:tcPr>
            <w:tcW w:w="771" w:type="dxa"/>
          </w:tcPr>
          <w:p w:rsidR="00CC3BA4" w:rsidRPr="00D36FBC" w:rsidRDefault="00CC3BA4" w:rsidP="0037584C">
            <w:pPr>
              <w:pStyle w:val="Tabletext"/>
              <w:rPr>
                <w:rFonts w:cs="Tahoma"/>
              </w:rPr>
            </w:pPr>
            <w:r w:rsidRPr="00D36FBC">
              <w:rPr>
                <w:rFonts w:cs="Tahoma"/>
              </w:rPr>
              <w:t>Not serious</w:t>
            </w:r>
          </w:p>
        </w:tc>
        <w:tc>
          <w:tcPr>
            <w:tcW w:w="1072" w:type="dxa"/>
          </w:tcPr>
          <w:p w:rsidR="00CC3BA4" w:rsidRPr="00D36FBC" w:rsidRDefault="00CC3BA4" w:rsidP="0037584C">
            <w:pPr>
              <w:pStyle w:val="Tabletext"/>
              <w:rPr>
                <w:rFonts w:cs="Tahoma"/>
              </w:rPr>
            </w:pPr>
            <w:r w:rsidRPr="00D36FBC">
              <w:rPr>
                <w:rFonts w:cs="Tahoma"/>
              </w:rPr>
              <w:t>Not serious</w:t>
            </w:r>
          </w:p>
        </w:tc>
        <w:tc>
          <w:tcPr>
            <w:tcW w:w="1134" w:type="dxa"/>
          </w:tcPr>
          <w:p w:rsidR="00CC3BA4" w:rsidRPr="00D36FBC" w:rsidRDefault="00CC3BA4" w:rsidP="0037584C">
            <w:pPr>
              <w:pStyle w:val="Tabletext"/>
              <w:rPr>
                <w:rFonts w:cs="Tahoma"/>
              </w:rPr>
            </w:pPr>
            <w:r w:rsidRPr="00D36FBC">
              <w:rPr>
                <w:rFonts w:cs="Tahoma"/>
              </w:rPr>
              <w:t>Not serious</w:t>
            </w:r>
          </w:p>
        </w:tc>
        <w:tc>
          <w:tcPr>
            <w:tcW w:w="992" w:type="dxa"/>
          </w:tcPr>
          <w:p w:rsidR="00CC3BA4" w:rsidRPr="00D36FBC" w:rsidRDefault="00CC3BA4" w:rsidP="0037584C">
            <w:pPr>
              <w:pStyle w:val="Tabletext"/>
              <w:rPr>
                <w:rFonts w:cs="Tahoma"/>
              </w:rPr>
            </w:pPr>
            <w:r w:rsidRPr="00D36FBC">
              <w:rPr>
                <w:rFonts w:cs="Tahoma"/>
              </w:rPr>
              <w:t>Not serious</w:t>
            </w:r>
          </w:p>
        </w:tc>
        <w:tc>
          <w:tcPr>
            <w:tcW w:w="1276" w:type="dxa"/>
          </w:tcPr>
          <w:p w:rsidR="00CC3BA4" w:rsidRPr="00D36FBC" w:rsidRDefault="00CC3BA4" w:rsidP="0037584C">
            <w:pPr>
              <w:pStyle w:val="Tabletext"/>
              <w:rPr>
                <w:rFonts w:cs="Tahoma"/>
              </w:rPr>
            </w:pPr>
            <w:r w:rsidRPr="00D36FBC">
              <w:rPr>
                <w:rFonts w:cs="Tahoma"/>
              </w:rPr>
              <w:t>Strong association</w:t>
            </w:r>
          </w:p>
        </w:tc>
        <w:tc>
          <w:tcPr>
            <w:tcW w:w="1417" w:type="dxa"/>
          </w:tcPr>
          <w:p w:rsidR="00CC3BA4" w:rsidRPr="0077309F" w:rsidRDefault="00CC3BA4" w:rsidP="0037584C">
            <w:pPr>
              <w:pStyle w:val="Tabletext"/>
              <w:rPr>
                <w:rFonts w:cs="Tahoma"/>
              </w:rPr>
            </w:pPr>
            <w:r>
              <w:rPr>
                <w:rFonts w:cs="Tahoma"/>
              </w:rPr>
              <w:t>8/134 (6.0%)</w:t>
            </w:r>
          </w:p>
        </w:tc>
        <w:tc>
          <w:tcPr>
            <w:tcW w:w="1134" w:type="dxa"/>
          </w:tcPr>
          <w:p w:rsidR="00CC3BA4" w:rsidRPr="00D36FBC" w:rsidRDefault="00CC3BA4" w:rsidP="0037584C">
            <w:pPr>
              <w:pStyle w:val="Tabletext"/>
              <w:rPr>
                <w:rFonts w:cs="Tahoma"/>
                <w:highlight w:val="cyan"/>
              </w:rPr>
            </w:pPr>
            <w:r w:rsidRPr="00482160">
              <w:rPr>
                <w:rFonts w:cs="Tahoma"/>
              </w:rPr>
              <w:t>24/131 (18.3%)</w:t>
            </w:r>
          </w:p>
        </w:tc>
        <w:tc>
          <w:tcPr>
            <w:tcW w:w="993" w:type="dxa"/>
          </w:tcPr>
          <w:p w:rsidR="00CC3BA4" w:rsidRPr="00482160" w:rsidRDefault="00CC3BA4" w:rsidP="0037584C">
            <w:pPr>
              <w:pStyle w:val="Tabletext"/>
              <w:rPr>
                <w:rFonts w:cs="Tahoma"/>
              </w:rPr>
            </w:pPr>
            <w:r w:rsidRPr="00482160">
              <w:rPr>
                <w:rFonts w:cs="Tahoma"/>
              </w:rPr>
              <w:t xml:space="preserve">RR </w:t>
            </w:r>
            <w:r>
              <w:rPr>
                <w:rFonts w:cs="Tahoma"/>
              </w:rPr>
              <w:t xml:space="preserve">= </w:t>
            </w:r>
            <w:r w:rsidRPr="00482160">
              <w:rPr>
                <w:rFonts w:cs="Tahoma"/>
              </w:rPr>
              <w:t>0.33</w:t>
            </w:r>
            <w:r>
              <w:rPr>
                <w:rFonts w:cs="Tahoma"/>
              </w:rPr>
              <w:t xml:space="preserve"> </w:t>
            </w:r>
            <w:r w:rsidRPr="00482160">
              <w:rPr>
                <w:rFonts w:cs="Tahoma"/>
              </w:rPr>
              <w:t>(0.15</w:t>
            </w:r>
            <w:r>
              <w:rPr>
                <w:rFonts w:cs="Tahoma"/>
              </w:rPr>
              <w:t>,</w:t>
            </w:r>
            <w:r w:rsidRPr="00482160">
              <w:rPr>
                <w:rFonts w:cs="Tahoma"/>
              </w:rPr>
              <w:t xml:space="preserve"> </w:t>
            </w:r>
            <w:r>
              <w:rPr>
                <w:rFonts w:cs="Tahoma"/>
              </w:rPr>
              <w:t>0.70)</w:t>
            </w:r>
          </w:p>
        </w:tc>
        <w:tc>
          <w:tcPr>
            <w:tcW w:w="2188" w:type="dxa"/>
          </w:tcPr>
          <w:p w:rsidR="00CC3BA4" w:rsidRPr="00D36FBC" w:rsidRDefault="00CC3BA4" w:rsidP="0037584C">
            <w:pPr>
              <w:pStyle w:val="Tabletext"/>
              <w:rPr>
                <w:rFonts w:cs="Tahoma"/>
                <w:highlight w:val="cyan"/>
              </w:rPr>
            </w:pPr>
            <w:r w:rsidRPr="00482160">
              <w:rPr>
                <w:rFonts w:cs="Tahoma"/>
              </w:rPr>
              <w:t>123 fewer per 1,000</w:t>
            </w:r>
            <w:r>
              <w:rPr>
                <w:rFonts w:cs="Tahoma"/>
              </w:rPr>
              <w:br/>
            </w:r>
            <w:r w:rsidRPr="00482160">
              <w:rPr>
                <w:rFonts w:cs="Tahoma"/>
              </w:rPr>
              <w:t>(from 55 fewer to 156 fewer)</w:t>
            </w:r>
          </w:p>
        </w:tc>
        <w:tc>
          <w:tcPr>
            <w:tcW w:w="1214" w:type="dxa"/>
          </w:tcPr>
          <w:p w:rsidR="00CC3BA4" w:rsidRDefault="00CC3BA4" w:rsidP="0037584C">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D36FBC" w:rsidRDefault="00CC3BA4" w:rsidP="0037584C">
            <w:pPr>
              <w:pStyle w:val="Tabletext"/>
              <w:rPr>
                <w:rFonts w:cs="Tahoma"/>
              </w:rPr>
            </w:pPr>
            <w:r w:rsidRPr="00E564DD">
              <w:rPr>
                <w:rFonts w:cs="Tahoma"/>
              </w:rPr>
              <w:t>Critical</w:t>
            </w:r>
          </w:p>
        </w:tc>
      </w:tr>
      <w:tr w:rsidR="00CC3BA4" w:rsidRPr="00D36FBC" w:rsidTr="00115AB1">
        <w:trPr>
          <w:trHeight w:val="319"/>
        </w:trPr>
        <w:tc>
          <w:tcPr>
            <w:tcW w:w="1493" w:type="dxa"/>
          </w:tcPr>
          <w:p w:rsidR="00CC3BA4" w:rsidRPr="00D36FBC" w:rsidRDefault="00CC3BA4" w:rsidP="0037584C">
            <w:pPr>
              <w:pStyle w:val="Tabletext"/>
              <w:rPr>
                <w:rFonts w:cs="Tahoma"/>
              </w:rPr>
            </w:pPr>
            <w:r w:rsidRPr="00D36FBC">
              <w:rPr>
                <w:rFonts w:cs="Tahoma"/>
              </w:rPr>
              <w:t>Mortality</w:t>
            </w:r>
            <w:r>
              <w:rPr>
                <w:rFonts w:cs="Tahoma"/>
              </w:rPr>
              <w:br/>
            </w:r>
            <w:r w:rsidRPr="00D36FBC">
              <w:rPr>
                <w:rFonts w:cs="Tahoma"/>
              </w:rPr>
              <w:t>(</w:t>
            </w:r>
            <w:r>
              <w:rPr>
                <w:rFonts w:cs="Tahoma"/>
              </w:rPr>
              <w:t>16</w:t>
            </w:r>
            <w:r w:rsidRPr="00D36FBC">
              <w:rPr>
                <w:rFonts w:cs="Tahoma"/>
              </w:rPr>
              <w:t xml:space="preserve"> weeks)</w:t>
            </w:r>
          </w:p>
        </w:tc>
        <w:tc>
          <w:tcPr>
            <w:tcW w:w="1054" w:type="dxa"/>
          </w:tcPr>
          <w:p w:rsidR="00CC3BA4" w:rsidRPr="00D36FBC" w:rsidRDefault="00CC3BA4" w:rsidP="0037584C">
            <w:pPr>
              <w:pStyle w:val="Tabletext"/>
              <w:rPr>
                <w:rFonts w:cs="Tahoma"/>
              </w:rPr>
            </w:pPr>
            <w:r w:rsidRPr="00D36FBC">
              <w:rPr>
                <w:rFonts w:cs="Tahoma"/>
              </w:rPr>
              <w:t>1 RCT</w:t>
            </w:r>
          </w:p>
        </w:tc>
        <w:tc>
          <w:tcPr>
            <w:tcW w:w="771" w:type="dxa"/>
          </w:tcPr>
          <w:p w:rsidR="00CC3BA4" w:rsidRPr="00D36FBC" w:rsidRDefault="00CC3BA4" w:rsidP="0037584C">
            <w:pPr>
              <w:pStyle w:val="Tabletext"/>
              <w:rPr>
                <w:rFonts w:cs="Tahoma"/>
              </w:rPr>
            </w:pPr>
            <w:r w:rsidRPr="00D36FBC">
              <w:rPr>
                <w:rFonts w:cs="Tahoma"/>
              </w:rPr>
              <w:t>Not serious</w:t>
            </w:r>
          </w:p>
        </w:tc>
        <w:tc>
          <w:tcPr>
            <w:tcW w:w="1072" w:type="dxa"/>
          </w:tcPr>
          <w:p w:rsidR="00CC3BA4" w:rsidRPr="00D36FBC" w:rsidRDefault="00CC3BA4" w:rsidP="0037584C">
            <w:pPr>
              <w:pStyle w:val="Tabletext"/>
              <w:rPr>
                <w:rFonts w:cs="Tahoma"/>
              </w:rPr>
            </w:pPr>
            <w:r w:rsidRPr="00D36FBC">
              <w:rPr>
                <w:rFonts w:cs="Tahoma"/>
              </w:rPr>
              <w:t>Not serious</w:t>
            </w:r>
          </w:p>
        </w:tc>
        <w:tc>
          <w:tcPr>
            <w:tcW w:w="1134" w:type="dxa"/>
          </w:tcPr>
          <w:p w:rsidR="00CC3BA4" w:rsidRPr="00D36FBC" w:rsidRDefault="00CC3BA4" w:rsidP="0037584C">
            <w:pPr>
              <w:pStyle w:val="Tabletext"/>
              <w:rPr>
                <w:rFonts w:cs="Tahoma"/>
              </w:rPr>
            </w:pPr>
            <w:r w:rsidRPr="00D36FBC">
              <w:rPr>
                <w:rFonts w:cs="Tahoma"/>
              </w:rPr>
              <w:t>Not serious</w:t>
            </w:r>
          </w:p>
        </w:tc>
        <w:tc>
          <w:tcPr>
            <w:tcW w:w="992" w:type="dxa"/>
          </w:tcPr>
          <w:p w:rsidR="00CC3BA4" w:rsidRPr="00D36FBC" w:rsidRDefault="00CC3BA4" w:rsidP="0037584C">
            <w:pPr>
              <w:pStyle w:val="Tabletext"/>
              <w:rPr>
                <w:rFonts w:cs="Tahoma"/>
              </w:rPr>
            </w:pPr>
            <w:r>
              <w:rPr>
                <w:rFonts w:cs="Tahoma"/>
              </w:rPr>
              <w:t>Not s</w:t>
            </w:r>
            <w:r w:rsidRPr="00D36FBC">
              <w:rPr>
                <w:rFonts w:cs="Tahoma"/>
              </w:rPr>
              <w:t>erious</w:t>
            </w:r>
          </w:p>
        </w:tc>
        <w:tc>
          <w:tcPr>
            <w:tcW w:w="1276" w:type="dxa"/>
          </w:tcPr>
          <w:p w:rsidR="00CC3BA4" w:rsidRPr="00D36FBC" w:rsidRDefault="00207AD0" w:rsidP="0037584C">
            <w:pPr>
              <w:pStyle w:val="Tabletext"/>
              <w:rPr>
                <w:rFonts w:cs="Tahoma"/>
              </w:rPr>
            </w:pPr>
            <w:r>
              <w:rPr>
                <w:rFonts w:cs="Tahoma"/>
              </w:rPr>
              <w:t>None</w:t>
            </w:r>
          </w:p>
        </w:tc>
        <w:tc>
          <w:tcPr>
            <w:tcW w:w="1417" w:type="dxa"/>
          </w:tcPr>
          <w:p w:rsidR="00CC3BA4" w:rsidRPr="0077309F" w:rsidRDefault="00CC3BA4" w:rsidP="0037584C">
            <w:pPr>
              <w:pStyle w:val="Tabletext"/>
              <w:rPr>
                <w:rFonts w:cs="Tahoma"/>
              </w:rPr>
            </w:pPr>
            <w:r>
              <w:rPr>
                <w:rFonts w:cs="Tahoma"/>
              </w:rPr>
              <w:t>0/134 (0.0%)</w:t>
            </w:r>
          </w:p>
        </w:tc>
        <w:tc>
          <w:tcPr>
            <w:tcW w:w="1134" w:type="dxa"/>
          </w:tcPr>
          <w:p w:rsidR="00CC3BA4" w:rsidRPr="001D2AD7" w:rsidRDefault="00CC3BA4" w:rsidP="0037584C">
            <w:pPr>
              <w:pStyle w:val="Tabletext"/>
              <w:rPr>
                <w:rFonts w:cs="Tahoma"/>
                <w:highlight w:val="cyan"/>
              </w:rPr>
            </w:pPr>
            <w:r w:rsidRPr="00482160">
              <w:rPr>
                <w:rFonts w:cs="Tahoma"/>
              </w:rPr>
              <w:t>7/131 (5.3%)</w:t>
            </w:r>
          </w:p>
        </w:tc>
        <w:tc>
          <w:tcPr>
            <w:tcW w:w="993" w:type="dxa"/>
          </w:tcPr>
          <w:p w:rsidR="00CC3BA4" w:rsidRPr="001D2AD7" w:rsidRDefault="00B21201" w:rsidP="00645E4A">
            <w:pPr>
              <w:pStyle w:val="Tabletext"/>
              <w:rPr>
                <w:rFonts w:cs="Tahoma"/>
                <w:highlight w:val="cyan"/>
              </w:rPr>
            </w:pPr>
            <w:r>
              <w:rPr>
                <w:rFonts w:cs="Tahoma"/>
              </w:rPr>
              <w:t>ARD</w:t>
            </w:r>
            <w:r w:rsidR="00CC3BA4" w:rsidRPr="00482160">
              <w:rPr>
                <w:rFonts w:cs="Tahoma"/>
              </w:rPr>
              <w:t xml:space="preserve"> = </w:t>
            </w:r>
            <w:r w:rsidR="00645E4A">
              <w:rPr>
                <w:rFonts w:cs="Tahoma"/>
              </w:rPr>
              <w:t>−</w:t>
            </w:r>
            <w:r w:rsidR="00CC3BA4" w:rsidRPr="00482160">
              <w:rPr>
                <w:rFonts w:cs="Tahoma"/>
              </w:rPr>
              <w:t>5.3%</w:t>
            </w:r>
            <w:r w:rsidR="00CC3BA4">
              <w:rPr>
                <w:rFonts w:cs="Tahoma"/>
              </w:rPr>
              <w:t xml:space="preserve"> (</w:t>
            </w:r>
            <w:r w:rsidR="00645E4A">
              <w:rPr>
                <w:rFonts w:cs="Tahoma"/>
              </w:rPr>
              <w:t>−</w:t>
            </w:r>
            <w:r w:rsidR="00645E4A" w:rsidRPr="00482160">
              <w:rPr>
                <w:rFonts w:cs="Tahoma"/>
              </w:rPr>
              <w:t>9.2</w:t>
            </w:r>
            <w:r w:rsidR="00645E4A">
              <w:rPr>
                <w:rFonts w:cs="Tahoma"/>
              </w:rPr>
              <w:t>, −</w:t>
            </w:r>
            <w:r w:rsidR="00CC3BA4" w:rsidRPr="00482160">
              <w:rPr>
                <w:rFonts w:cs="Tahoma"/>
              </w:rPr>
              <w:t>1.5</w:t>
            </w:r>
            <w:r w:rsidR="00CC3BA4">
              <w:rPr>
                <w:rFonts w:cs="Tahoma"/>
              </w:rPr>
              <w:t>)</w:t>
            </w:r>
          </w:p>
        </w:tc>
        <w:tc>
          <w:tcPr>
            <w:tcW w:w="2188" w:type="dxa"/>
          </w:tcPr>
          <w:p w:rsidR="00CC3BA4" w:rsidRPr="00D36FBC" w:rsidRDefault="00CC3BA4" w:rsidP="0037584C">
            <w:pPr>
              <w:pStyle w:val="Tabletext"/>
              <w:rPr>
                <w:rFonts w:cs="Tahoma"/>
                <w:highlight w:val="cyan"/>
              </w:rPr>
            </w:pPr>
            <w:r w:rsidRPr="00482160">
              <w:rPr>
                <w:rFonts w:cs="Tahoma"/>
              </w:rPr>
              <w:t>53 fewer per 1,000</w:t>
            </w:r>
            <w:r>
              <w:rPr>
                <w:rFonts w:cs="Tahoma"/>
              </w:rPr>
              <w:br/>
            </w:r>
            <w:r w:rsidRPr="00482160">
              <w:rPr>
                <w:rFonts w:cs="Tahoma"/>
              </w:rPr>
              <w:t>(from 15 fewer to 92 fewer)</w:t>
            </w:r>
          </w:p>
        </w:tc>
        <w:tc>
          <w:tcPr>
            <w:tcW w:w="1214" w:type="dxa"/>
          </w:tcPr>
          <w:p w:rsidR="00CC3BA4" w:rsidRDefault="00CC3BA4" w:rsidP="0037584C">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D36FBC" w:rsidRDefault="00CC3BA4" w:rsidP="0037584C">
            <w:pPr>
              <w:pStyle w:val="Tabletext"/>
              <w:rPr>
                <w:rFonts w:cs="Tahoma"/>
              </w:rPr>
            </w:pPr>
            <w:r w:rsidRPr="00E564DD">
              <w:rPr>
                <w:rFonts w:cs="Tahoma"/>
              </w:rPr>
              <w:t>Critical</w:t>
            </w:r>
          </w:p>
        </w:tc>
      </w:tr>
      <w:tr w:rsidR="0037584C" w:rsidRPr="00D36FBC" w:rsidTr="00115AB1">
        <w:trPr>
          <w:trHeight w:val="319"/>
        </w:trPr>
        <w:tc>
          <w:tcPr>
            <w:tcW w:w="1493" w:type="dxa"/>
          </w:tcPr>
          <w:p w:rsidR="0037584C" w:rsidRPr="00D36FBC" w:rsidRDefault="0037584C" w:rsidP="0037584C">
            <w:pPr>
              <w:pStyle w:val="Tabletext"/>
              <w:rPr>
                <w:rFonts w:cs="Tahoma"/>
              </w:rPr>
            </w:pPr>
            <w:r w:rsidRPr="00D36FBC">
              <w:rPr>
                <w:rFonts w:cs="Tahoma"/>
              </w:rPr>
              <w:t>Hospitalisation</w:t>
            </w:r>
            <w:r w:rsidR="00086A04">
              <w:rPr>
                <w:rFonts w:cs="Tahoma"/>
              </w:rPr>
              <w:t xml:space="preserve"> due to PAH</w:t>
            </w:r>
            <w:r>
              <w:rPr>
                <w:rFonts w:cs="Tahoma"/>
              </w:rPr>
              <w:br/>
            </w:r>
            <w:r w:rsidRPr="00D36FBC">
              <w:rPr>
                <w:rFonts w:cs="Tahoma"/>
              </w:rPr>
              <w:t>(</w:t>
            </w:r>
            <w:r>
              <w:rPr>
                <w:rFonts w:cs="Tahoma"/>
              </w:rPr>
              <w:t>16</w:t>
            </w:r>
            <w:r w:rsidRPr="00D36FBC">
              <w:rPr>
                <w:rFonts w:cs="Tahoma"/>
              </w:rPr>
              <w:t xml:space="preserve"> weeks)</w:t>
            </w:r>
          </w:p>
        </w:tc>
        <w:tc>
          <w:tcPr>
            <w:tcW w:w="1054" w:type="dxa"/>
          </w:tcPr>
          <w:p w:rsidR="0037584C" w:rsidRPr="00D36FBC" w:rsidRDefault="0037584C" w:rsidP="0037584C">
            <w:pPr>
              <w:pStyle w:val="Tabletext"/>
              <w:rPr>
                <w:rFonts w:cs="Tahoma"/>
              </w:rPr>
            </w:pPr>
            <w:r w:rsidRPr="00D36FBC">
              <w:rPr>
                <w:rFonts w:cs="Tahoma"/>
              </w:rPr>
              <w:t>1 RCT</w:t>
            </w:r>
          </w:p>
        </w:tc>
        <w:tc>
          <w:tcPr>
            <w:tcW w:w="771" w:type="dxa"/>
          </w:tcPr>
          <w:p w:rsidR="0037584C" w:rsidRPr="00D36FBC" w:rsidRDefault="0037584C" w:rsidP="0037584C">
            <w:pPr>
              <w:pStyle w:val="Tabletext"/>
              <w:rPr>
                <w:rFonts w:cs="Tahoma"/>
              </w:rPr>
            </w:pPr>
            <w:r w:rsidRPr="00D36FBC">
              <w:rPr>
                <w:rFonts w:cs="Tahoma"/>
              </w:rPr>
              <w:t>Not serious</w:t>
            </w:r>
          </w:p>
        </w:tc>
        <w:tc>
          <w:tcPr>
            <w:tcW w:w="1072" w:type="dxa"/>
          </w:tcPr>
          <w:p w:rsidR="0037584C" w:rsidRPr="00D36FBC" w:rsidRDefault="0037584C" w:rsidP="0037584C">
            <w:pPr>
              <w:pStyle w:val="Tabletext"/>
              <w:rPr>
                <w:rFonts w:cs="Tahoma"/>
              </w:rPr>
            </w:pPr>
            <w:r>
              <w:rPr>
                <w:rFonts w:cs="Tahoma"/>
              </w:rPr>
              <w:t>Not serious</w:t>
            </w:r>
          </w:p>
        </w:tc>
        <w:tc>
          <w:tcPr>
            <w:tcW w:w="1134" w:type="dxa"/>
          </w:tcPr>
          <w:p w:rsidR="0037584C" w:rsidRPr="00D36FBC" w:rsidRDefault="0037584C" w:rsidP="0037584C">
            <w:pPr>
              <w:pStyle w:val="Tabletext"/>
              <w:rPr>
                <w:rFonts w:cs="Tahoma"/>
              </w:rPr>
            </w:pPr>
            <w:r w:rsidRPr="00D36FBC">
              <w:rPr>
                <w:rFonts w:cs="Tahoma"/>
              </w:rPr>
              <w:t>Not serious</w:t>
            </w:r>
          </w:p>
        </w:tc>
        <w:tc>
          <w:tcPr>
            <w:tcW w:w="992" w:type="dxa"/>
          </w:tcPr>
          <w:p w:rsidR="0037584C" w:rsidRPr="00D36FBC" w:rsidRDefault="0037584C" w:rsidP="0037584C">
            <w:pPr>
              <w:pStyle w:val="Tabletext"/>
              <w:rPr>
                <w:rFonts w:cs="Tahoma"/>
              </w:rPr>
            </w:pPr>
            <w:r w:rsidRPr="00D36FBC">
              <w:rPr>
                <w:rFonts w:cs="Tahoma"/>
              </w:rPr>
              <w:t xml:space="preserve">Serious </w:t>
            </w:r>
            <w:r>
              <w:rPr>
                <w:rFonts w:cs="Tahoma"/>
                <w:vertAlign w:val="superscript"/>
              </w:rPr>
              <w:t>c</w:t>
            </w:r>
          </w:p>
        </w:tc>
        <w:tc>
          <w:tcPr>
            <w:tcW w:w="1276" w:type="dxa"/>
          </w:tcPr>
          <w:p w:rsidR="0037584C" w:rsidRPr="00D36FBC" w:rsidRDefault="0037584C" w:rsidP="0037584C">
            <w:pPr>
              <w:pStyle w:val="Tabletext"/>
              <w:rPr>
                <w:rFonts w:cs="Tahoma"/>
              </w:rPr>
            </w:pPr>
            <w:r w:rsidRPr="00D36FBC">
              <w:rPr>
                <w:rFonts w:cs="Tahoma"/>
              </w:rPr>
              <w:t>None</w:t>
            </w:r>
          </w:p>
        </w:tc>
        <w:tc>
          <w:tcPr>
            <w:tcW w:w="1417" w:type="dxa"/>
          </w:tcPr>
          <w:p w:rsidR="0037584C" w:rsidRPr="0077309F" w:rsidRDefault="0037584C" w:rsidP="0037584C">
            <w:pPr>
              <w:pStyle w:val="Tabletext"/>
              <w:rPr>
                <w:rFonts w:cs="Tahoma"/>
              </w:rPr>
            </w:pPr>
            <w:r>
              <w:rPr>
                <w:rFonts w:cs="Tahoma"/>
              </w:rPr>
              <w:t>8/134 (6.0%)</w:t>
            </w:r>
          </w:p>
        </w:tc>
        <w:tc>
          <w:tcPr>
            <w:tcW w:w="1134" w:type="dxa"/>
          </w:tcPr>
          <w:p w:rsidR="0037584C" w:rsidRPr="001D2AD7" w:rsidRDefault="00FF1A9C" w:rsidP="00FF1A9C">
            <w:pPr>
              <w:pStyle w:val="Tabletext"/>
              <w:rPr>
                <w:rFonts w:cs="Tahoma"/>
                <w:highlight w:val="cyan"/>
              </w:rPr>
            </w:pPr>
            <w:r>
              <w:rPr>
                <w:rFonts w:cs="Tahoma"/>
              </w:rPr>
              <w:t>11</w:t>
            </w:r>
            <w:r w:rsidR="0037584C" w:rsidRPr="00AC54F2">
              <w:rPr>
                <w:rFonts w:cs="Tahoma"/>
              </w:rPr>
              <w:t>/131 (</w:t>
            </w:r>
            <w:r>
              <w:rPr>
                <w:rFonts w:cs="Tahoma"/>
              </w:rPr>
              <w:t>8.4</w:t>
            </w:r>
            <w:r w:rsidR="0037584C" w:rsidRPr="00AC54F2">
              <w:rPr>
                <w:rFonts w:cs="Tahoma"/>
              </w:rPr>
              <w:t>%)</w:t>
            </w:r>
          </w:p>
        </w:tc>
        <w:tc>
          <w:tcPr>
            <w:tcW w:w="993" w:type="dxa"/>
          </w:tcPr>
          <w:p w:rsidR="0037584C" w:rsidRPr="001D2AD7" w:rsidRDefault="0037584C" w:rsidP="00FF1A9C">
            <w:pPr>
              <w:pStyle w:val="Tabletext"/>
              <w:rPr>
                <w:rFonts w:cs="Tahoma"/>
                <w:highlight w:val="cyan"/>
              </w:rPr>
            </w:pPr>
            <w:r w:rsidRPr="00AC54F2">
              <w:rPr>
                <w:rFonts w:cs="Tahoma"/>
              </w:rPr>
              <w:t xml:space="preserve">RR </w:t>
            </w:r>
            <w:r>
              <w:rPr>
                <w:rFonts w:cs="Tahoma"/>
              </w:rPr>
              <w:t xml:space="preserve">= </w:t>
            </w:r>
            <w:r w:rsidRPr="00AC54F2">
              <w:rPr>
                <w:rFonts w:cs="Tahoma"/>
              </w:rPr>
              <w:t>0.</w:t>
            </w:r>
            <w:r w:rsidR="00FF1A9C">
              <w:rPr>
                <w:rFonts w:cs="Tahoma"/>
              </w:rPr>
              <w:t>71</w:t>
            </w:r>
            <w:r>
              <w:rPr>
                <w:rFonts w:cs="Tahoma"/>
              </w:rPr>
              <w:t xml:space="preserve"> </w:t>
            </w:r>
            <w:r w:rsidRPr="00AC54F2">
              <w:rPr>
                <w:rFonts w:cs="Tahoma"/>
              </w:rPr>
              <w:t>(0.3</w:t>
            </w:r>
            <w:r w:rsidR="00FF1A9C">
              <w:rPr>
                <w:rFonts w:cs="Tahoma"/>
              </w:rPr>
              <w:t>0</w:t>
            </w:r>
            <w:r>
              <w:rPr>
                <w:rFonts w:cs="Tahoma"/>
              </w:rPr>
              <w:t>,</w:t>
            </w:r>
            <w:r w:rsidRPr="00AC54F2">
              <w:rPr>
                <w:rFonts w:cs="Tahoma"/>
              </w:rPr>
              <w:t xml:space="preserve"> </w:t>
            </w:r>
            <w:r w:rsidR="00FF1A9C">
              <w:rPr>
                <w:rFonts w:cs="Tahoma"/>
              </w:rPr>
              <w:t>1.71</w:t>
            </w:r>
            <w:r w:rsidRPr="00AC54F2">
              <w:rPr>
                <w:rFonts w:cs="Tahoma"/>
              </w:rPr>
              <w:t>)</w:t>
            </w:r>
          </w:p>
        </w:tc>
        <w:tc>
          <w:tcPr>
            <w:tcW w:w="2188" w:type="dxa"/>
          </w:tcPr>
          <w:p w:rsidR="0037584C" w:rsidRPr="00D36FBC" w:rsidRDefault="00FF1A9C" w:rsidP="0037584C">
            <w:pPr>
              <w:pStyle w:val="Tabletext"/>
              <w:rPr>
                <w:rFonts w:cs="Tahoma"/>
                <w:highlight w:val="cyan"/>
              </w:rPr>
            </w:pPr>
            <w:r>
              <w:rPr>
                <w:rFonts w:cs="Tahoma"/>
              </w:rPr>
              <w:t>24</w:t>
            </w:r>
            <w:r w:rsidR="0037584C" w:rsidRPr="00AC54F2">
              <w:rPr>
                <w:rFonts w:cs="Tahoma"/>
              </w:rPr>
              <w:t xml:space="preserve"> fewer per 1,000</w:t>
            </w:r>
            <w:r w:rsidR="0037584C">
              <w:rPr>
                <w:rFonts w:cs="Tahoma"/>
              </w:rPr>
              <w:br/>
            </w:r>
            <w:r w:rsidR="0037584C" w:rsidRPr="00AC54F2">
              <w:rPr>
                <w:rFonts w:cs="Tahoma"/>
              </w:rPr>
              <w:t xml:space="preserve">(from </w:t>
            </w:r>
            <w:r w:rsidR="00DB7B69">
              <w:rPr>
                <w:rFonts w:cs="Tahoma"/>
              </w:rPr>
              <w:t>59</w:t>
            </w:r>
            <w:r w:rsidR="0037584C" w:rsidRPr="00AC54F2">
              <w:rPr>
                <w:rFonts w:cs="Tahoma"/>
              </w:rPr>
              <w:t xml:space="preserve"> fewer to </w:t>
            </w:r>
            <w:r w:rsidR="00DB7B69">
              <w:rPr>
                <w:rFonts w:cs="Tahoma"/>
              </w:rPr>
              <w:t>60</w:t>
            </w:r>
            <w:r w:rsidR="0037584C" w:rsidRPr="00AC54F2">
              <w:rPr>
                <w:rFonts w:cs="Tahoma"/>
              </w:rPr>
              <w:t xml:space="preserve"> more)</w:t>
            </w:r>
          </w:p>
        </w:tc>
        <w:tc>
          <w:tcPr>
            <w:tcW w:w="1214" w:type="dxa"/>
          </w:tcPr>
          <w:p w:rsidR="0037584C" w:rsidRDefault="0037584C" w:rsidP="0037584C">
            <w:pPr>
              <w:pStyle w:val="Tabletext"/>
              <w:rPr>
                <w:rFonts w:ascii="Cambria Math" w:eastAsia="Times New Roman" w:hAnsi="Cambria Math" w:cs="Cambria Math"/>
                <w:bCs/>
              </w:rPr>
            </w:pPr>
            <w:r w:rsidRPr="00E564DD">
              <w:rPr>
                <w:rFonts w:eastAsia="Times New Roman" w:cs="Tahoma"/>
                <w:bCs/>
              </w:rPr>
              <w:t>Moderate</w:t>
            </w:r>
            <w:r>
              <w:rPr>
                <w:rFonts w:eastAsia="Times New Roman" w:cs="Tahoma"/>
                <w:bCs/>
              </w:rPr>
              <w:br/>
            </w: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37584C" w:rsidRPr="00D36FBC" w:rsidRDefault="0037584C" w:rsidP="0037584C">
            <w:pPr>
              <w:pStyle w:val="Tabletext"/>
              <w:rPr>
                <w:rFonts w:eastAsia="Times New Roman" w:cs="Cambria Math"/>
                <w:bCs/>
                <w:color w:val="00B050"/>
              </w:rPr>
            </w:pPr>
            <w:r>
              <w:rPr>
                <w:rFonts w:cs="Tahoma"/>
              </w:rPr>
              <w:t>I</w:t>
            </w:r>
            <w:r w:rsidRPr="00E564DD">
              <w:rPr>
                <w:rFonts w:cs="Tahoma"/>
              </w:rPr>
              <w:t>mportant</w:t>
            </w:r>
          </w:p>
        </w:tc>
      </w:tr>
      <w:tr w:rsidR="0037584C" w:rsidRPr="00D36FBC" w:rsidTr="00115AB1">
        <w:trPr>
          <w:trHeight w:val="319"/>
        </w:trPr>
        <w:tc>
          <w:tcPr>
            <w:tcW w:w="1493" w:type="dxa"/>
          </w:tcPr>
          <w:p w:rsidR="0037584C" w:rsidRPr="00D36FBC" w:rsidRDefault="0037584C" w:rsidP="0037584C">
            <w:pPr>
              <w:pStyle w:val="Tabletext"/>
              <w:rPr>
                <w:rFonts w:cs="Tahoma"/>
              </w:rPr>
            </w:pPr>
            <w:r w:rsidRPr="00D36FBC">
              <w:rPr>
                <w:rFonts w:cs="Tahoma"/>
              </w:rPr>
              <w:t>Change in 6MWD from baseline</w:t>
            </w:r>
            <w:r>
              <w:rPr>
                <w:rFonts w:cs="Tahoma"/>
              </w:rPr>
              <w:br/>
              <w:t>(1</w:t>
            </w:r>
            <w:r w:rsidRPr="00D36FBC">
              <w:rPr>
                <w:rFonts w:cs="Tahoma"/>
              </w:rPr>
              <w:t xml:space="preserve">6 weeks) </w:t>
            </w:r>
          </w:p>
        </w:tc>
        <w:tc>
          <w:tcPr>
            <w:tcW w:w="1054" w:type="dxa"/>
          </w:tcPr>
          <w:p w:rsidR="0037584C" w:rsidRPr="00D36FBC" w:rsidRDefault="0037584C" w:rsidP="0037584C">
            <w:pPr>
              <w:pStyle w:val="Tabletext"/>
              <w:rPr>
                <w:rFonts w:cs="Tahoma"/>
              </w:rPr>
            </w:pPr>
            <w:r w:rsidRPr="00D36FBC">
              <w:rPr>
                <w:rFonts w:cs="Tahoma"/>
              </w:rPr>
              <w:t>1 RCT</w:t>
            </w:r>
          </w:p>
        </w:tc>
        <w:tc>
          <w:tcPr>
            <w:tcW w:w="771" w:type="dxa"/>
          </w:tcPr>
          <w:p w:rsidR="0037584C" w:rsidRPr="00D36FBC" w:rsidRDefault="0037584C" w:rsidP="0037584C">
            <w:pPr>
              <w:pStyle w:val="Tabletext"/>
              <w:rPr>
                <w:rFonts w:cs="Tahoma"/>
              </w:rPr>
            </w:pPr>
            <w:r w:rsidRPr="00D36FBC">
              <w:rPr>
                <w:rFonts w:cs="Tahoma"/>
              </w:rPr>
              <w:t>Not serious</w:t>
            </w:r>
          </w:p>
        </w:tc>
        <w:tc>
          <w:tcPr>
            <w:tcW w:w="1072" w:type="dxa"/>
          </w:tcPr>
          <w:p w:rsidR="0037584C" w:rsidRPr="00D36FBC" w:rsidRDefault="0037584C" w:rsidP="0037584C">
            <w:pPr>
              <w:pStyle w:val="Tabletext"/>
              <w:rPr>
                <w:rFonts w:cs="Tahoma"/>
              </w:rPr>
            </w:pPr>
            <w:r w:rsidRPr="00D36FBC">
              <w:rPr>
                <w:rFonts w:cs="Tahoma"/>
              </w:rPr>
              <w:t>Not serious</w:t>
            </w:r>
          </w:p>
        </w:tc>
        <w:tc>
          <w:tcPr>
            <w:tcW w:w="1134" w:type="dxa"/>
          </w:tcPr>
          <w:p w:rsidR="0037584C" w:rsidRPr="00F95747" w:rsidRDefault="00312FDE" w:rsidP="0037584C">
            <w:pPr>
              <w:pStyle w:val="Tabletext"/>
              <w:rPr>
                <w:rFonts w:cs="Tahoma"/>
                <w:vertAlign w:val="superscript"/>
              </w:rPr>
            </w:pPr>
            <w:r>
              <w:rPr>
                <w:rFonts w:cs="Tahoma"/>
              </w:rPr>
              <w:t>S</w:t>
            </w:r>
            <w:r w:rsidR="0037584C" w:rsidRPr="00D36FBC">
              <w:rPr>
                <w:rFonts w:cs="Tahoma"/>
              </w:rPr>
              <w:t>erious</w:t>
            </w:r>
            <w:r>
              <w:rPr>
                <w:rFonts w:cs="Tahoma"/>
                <w:vertAlign w:val="superscript"/>
              </w:rPr>
              <w:t xml:space="preserve"> d</w:t>
            </w:r>
          </w:p>
        </w:tc>
        <w:tc>
          <w:tcPr>
            <w:tcW w:w="992" w:type="dxa"/>
          </w:tcPr>
          <w:p w:rsidR="0037584C" w:rsidRPr="00D36FBC" w:rsidRDefault="0037584C" w:rsidP="0037584C">
            <w:pPr>
              <w:pStyle w:val="Tabletext"/>
              <w:rPr>
                <w:rFonts w:cs="Tahoma"/>
              </w:rPr>
            </w:pPr>
            <w:r w:rsidRPr="00D36FBC">
              <w:rPr>
                <w:rFonts w:cs="Tahoma"/>
              </w:rPr>
              <w:t>Not serious</w:t>
            </w:r>
          </w:p>
        </w:tc>
        <w:tc>
          <w:tcPr>
            <w:tcW w:w="1276" w:type="dxa"/>
          </w:tcPr>
          <w:p w:rsidR="0037584C" w:rsidRPr="00D36FBC" w:rsidRDefault="0037584C" w:rsidP="0037584C">
            <w:pPr>
              <w:pStyle w:val="Tabletext"/>
              <w:rPr>
                <w:rFonts w:cs="Tahoma"/>
              </w:rPr>
            </w:pPr>
            <w:r w:rsidRPr="00D36FBC">
              <w:rPr>
                <w:rFonts w:cs="Tahoma"/>
              </w:rPr>
              <w:t>None</w:t>
            </w:r>
          </w:p>
        </w:tc>
        <w:tc>
          <w:tcPr>
            <w:tcW w:w="1417" w:type="dxa"/>
          </w:tcPr>
          <w:p w:rsidR="0037584C" w:rsidRPr="00456F1B" w:rsidRDefault="0037584C" w:rsidP="0037584C">
            <w:pPr>
              <w:pStyle w:val="Tabletext"/>
              <w:rPr>
                <w:rFonts w:cs="Tahoma"/>
              </w:rPr>
            </w:pPr>
            <w:r w:rsidRPr="00B14FF5">
              <w:rPr>
                <w:rFonts w:cs="Tahoma"/>
              </w:rPr>
              <w:t>134 patients tested</w:t>
            </w:r>
          </w:p>
        </w:tc>
        <w:tc>
          <w:tcPr>
            <w:tcW w:w="1134" w:type="dxa"/>
          </w:tcPr>
          <w:p w:rsidR="0037584C" w:rsidRPr="00456F1B" w:rsidRDefault="0037584C" w:rsidP="0037584C">
            <w:pPr>
              <w:pStyle w:val="Tabletext"/>
              <w:rPr>
                <w:rFonts w:cs="Tahoma"/>
              </w:rPr>
            </w:pPr>
            <w:r w:rsidRPr="00F95747">
              <w:t>131</w:t>
            </w:r>
            <w:r w:rsidRPr="00B14FF5">
              <w:rPr>
                <w:rFonts w:cs="Tahoma"/>
              </w:rPr>
              <w:t xml:space="preserve"> patients tested</w:t>
            </w:r>
          </w:p>
        </w:tc>
        <w:tc>
          <w:tcPr>
            <w:tcW w:w="993" w:type="dxa"/>
          </w:tcPr>
          <w:p w:rsidR="0037584C" w:rsidRPr="001D2AD7" w:rsidRDefault="0037584C" w:rsidP="0037584C">
            <w:pPr>
              <w:pStyle w:val="Tabletext"/>
              <w:rPr>
                <w:rFonts w:cs="Tahoma"/>
              </w:rPr>
            </w:pPr>
            <w:r>
              <w:rPr>
                <w:rFonts w:cs="Tahoma"/>
              </w:rPr>
              <w:t>-</w:t>
            </w:r>
          </w:p>
        </w:tc>
        <w:tc>
          <w:tcPr>
            <w:tcW w:w="2188" w:type="dxa"/>
          </w:tcPr>
          <w:p w:rsidR="0037584C" w:rsidRPr="00B14FF5" w:rsidRDefault="00E25FAA" w:rsidP="004F21C9">
            <w:pPr>
              <w:pStyle w:val="Tabletext"/>
              <w:rPr>
                <w:rFonts w:cs="Tahoma"/>
              </w:rPr>
            </w:pPr>
            <w:r>
              <w:rPr>
                <w:rFonts w:cs="Tahoma"/>
              </w:rPr>
              <w:t>MD</w:t>
            </w:r>
            <w:r w:rsidR="0037584C" w:rsidRPr="00B14FF5">
              <w:rPr>
                <w:rFonts w:cs="Tahoma"/>
              </w:rPr>
              <w:t xml:space="preserve"> 28.8 m further</w:t>
            </w:r>
            <w:r w:rsidR="0037584C" w:rsidRPr="00B14FF5">
              <w:rPr>
                <w:rFonts w:cs="Tahoma"/>
              </w:rPr>
              <w:br/>
              <w:t>(</w:t>
            </w:r>
            <w:r w:rsidR="004F21C9">
              <w:rPr>
                <w:rFonts w:cs="Tahoma"/>
              </w:rPr>
              <w:t xml:space="preserve">from </w:t>
            </w:r>
            <w:r w:rsidR="0037584C" w:rsidRPr="00B14FF5">
              <w:rPr>
                <w:rFonts w:cs="Tahoma"/>
              </w:rPr>
              <w:t xml:space="preserve">13.9 m </w:t>
            </w:r>
            <w:r w:rsidR="004F21C9">
              <w:rPr>
                <w:rFonts w:cs="Tahoma"/>
              </w:rPr>
              <w:t>further</w:t>
            </w:r>
            <w:r w:rsidR="0037584C" w:rsidRPr="00B14FF5">
              <w:rPr>
                <w:rFonts w:cs="Tahoma"/>
              </w:rPr>
              <w:t xml:space="preserve"> to 43.8 m further)</w:t>
            </w:r>
          </w:p>
        </w:tc>
        <w:tc>
          <w:tcPr>
            <w:tcW w:w="1214" w:type="dxa"/>
          </w:tcPr>
          <w:p w:rsidR="0037584C" w:rsidRDefault="00312FDE" w:rsidP="0037584C">
            <w:pPr>
              <w:pStyle w:val="Tabletext"/>
              <w:rPr>
                <w:rFonts w:ascii="Cambria Math" w:eastAsia="Times New Roman" w:hAnsi="Cambria Math" w:cs="Cambria Math"/>
                <w:bCs/>
              </w:rPr>
            </w:pPr>
            <w:r>
              <w:rPr>
                <w:rFonts w:eastAsia="Times New Roman" w:cs="Tahoma"/>
                <w:bCs/>
              </w:rPr>
              <w:t>Moderate</w:t>
            </w:r>
            <w:r w:rsidR="0037584C">
              <w:rPr>
                <w:rFonts w:eastAsia="Times New Roman" w:cs="Tahoma"/>
                <w:bCs/>
              </w:rPr>
              <w:br/>
            </w:r>
            <w:r w:rsidR="0037584C">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37584C" w:rsidRPr="00B14FF5" w:rsidRDefault="0037584C" w:rsidP="0037584C">
            <w:pPr>
              <w:pStyle w:val="Tabletext"/>
              <w:rPr>
                <w:rFonts w:eastAsia="Times New Roman" w:cs="Tahoma"/>
                <w:bCs/>
              </w:rPr>
            </w:pPr>
            <w:r>
              <w:rPr>
                <w:rFonts w:cs="Tahoma"/>
              </w:rPr>
              <w:t>I</w:t>
            </w:r>
            <w:r w:rsidRPr="00E564DD">
              <w:rPr>
                <w:rFonts w:cs="Tahoma"/>
              </w:rPr>
              <w:t>mportant</w:t>
            </w:r>
          </w:p>
        </w:tc>
      </w:tr>
      <w:tr w:rsidR="0037584C" w:rsidRPr="00D36FBC" w:rsidTr="00115AB1">
        <w:trPr>
          <w:trHeight w:val="1281"/>
        </w:trPr>
        <w:tc>
          <w:tcPr>
            <w:tcW w:w="1493" w:type="dxa"/>
          </w:tcPr>
          <w:p w:rsidR="0037584C" w:rsidRPr="00D36FBC" w:rsidRDefault="0037584C" w:rsidP="0037584C">
            <w:pPr>
              <w:pStyle w:val="Tabletext"/>
              <w:rPr>
                <w:rFonts w:cs="Tahoma"/>
              </w:rPr>
            </w:pPr>
            <w:r w:rsidRPr="00D36FBC">
              <w:rPr>
                <w:rFonts w:cs="Tahoma"/>
              </w:rPr>
              <w:t xml:space="preserve">Change in </w:t>
            </w:r>
            <w:r>
              <w:rPr>
                <w:rFonts w:cs="Tahoma"/>
              </w:rPr>
              <w:t xml:space="preserve">haemodynamic parameters </w:t>
            </w:r>
            <w:r w:rsidRPr="00D36FBC">
              <w:rPr>
                <w:rFonts w:cs="Tahoma"/>
              </w:rPr>
              <w:t>from baseline</w:t>
            </w:r>
            <w:r>
              <w:rPr>
                <w:rFonts w:cs="Tahoma"/>
              </w:rPr>
              <w:br/>
            </w:r>
            <w:r w:rsidRPr="00D36FBC">
              <w:rPr>
                <w:rFonts w:cs="Tahoma"/>
              </w:rPr>
              <w:t>(</w:t>
            </w:r>
            <w:r>
              <w:rPr>
                <w:rFonts w:cs="Tahoma"/>
              </w:rPr>
              <w:t>1</w:t>
            </w:r>
            <w:r w:rsidRPr="00D36FBC">
              <w:rPr>
                <w:rFonts w:cs="Tahoma"/>
              </w:rPr>
              <w:t xml:space="preserve">6 weeks) </w:t>
            </w:r>
          </w:p>
        </w:tc>
        <w:tc>
          <w:tcPr>
            <w:tcW w:w="1054" w:type="dxa"/>
          </w:tcPr>
          <w:p w:rsidR="0037584C" w:rsidRPr="00D36FBC" w:rsidRDefault="0037584C" w:rsidP="0037584C">
            <w:pPr>
              <w:pStyle w:val="Tabletext"/>
              <w:rPr>
                <w:rFonts w:cs="Tahoma"/>
              </w:rPr>
            </w:pPr>
            <w:r w:rsidRPr="00D36FBC">
              <w:rPr>
                <w:rFonts w:cs="Tahoma"/>
              </w:rPr>
              <w:t>1 RCT</w:t>
            </w:r>
          </w:p>
        </w:tc>
        <w:tc>
          <w:tcPr>
            <w:tcW w:w="771" w:type="dxa"/>
          </w:tcPr>
          <w:p w:rsidR="0037584C" w:rsidRPr="00D36FBC" w:rsidRDefault="0037584C" w:rsidP="0037584C">
            <w:pPr>
              <w:pStyle w:val="Tabletext"/>
              <w:rPr>
                <w:rFonts w:cs="Tahoma"/>
              </w:rPr>
            </w:pPr>
            <w:r w:rsidRPr="00D36FBC">
              <w:rPr>
                <w:rFonts w:cs="Tahoma"/>
              </w:rPr>
              <w:t>Not serious</w:t>
            </w:r>
          </w:p>
        </w:tc>
        <w:tc>
          <w:tcPr>
            <w:tcW w:w="1072" w:type="dxa"/>
          </w:tcPr>
          <w:p w:rsidR="0037584C" w:rsidRPr="00D36FBC" w:rsidRDefault="0037584C" w:rsidP="0037584C">
            <w:pPr>
              <w:pStyle w:val="Tabletext"/>
              <w:rPr>
                <w:rFonts w:cs="Tahoma"/>
              </w:rPr>
            </w:pPr>
            <w:r w:rsidRPr="00D36FBC">
              <w:rPr>
                <w:rFonts w:cs="Tahoma"/>
              </w:rPr>
              <w:t>Not serious</w:t>
            </w:r>
          </w:p>
        </w:tc>
        <w:tc>
          <w:tcPr>
            <w:tcW w:w="1134" w:type="dxa"/>
          </w:tcPr>
          <w:p w:rsidR="0037584C" w:rsidRPr="00D36FBC" w:rsidRDefault="00312FDE" w:rsidP="00312FDE">
            <w:pPr>
              <w:pStyle w:val="Tabletext"/>
              <w:rPr>
                <w:rFonts w:cs="Tahoma"/>
              </w:rPr>
            </w:pPr>
            <w:r>
              <w:rPr>
                <w:rFonts w:cs="Tahoma"/>
              </w:rPr>
              <w:t>Very</w:t>
            </w:r>
            <w:r w:rsidR="0037584C" w:rsidRPr="00D36FBC">
              <w:rPr>
                <w:rFonts w:cs="Tahoma"/>
              </w:rPr>
              <w:t xml:space="preserve"> serious</w:t>
            </w:r>
            <w:r w:rsidR="00403921">
              <w:rPr>
                <w:rFonts w:cs="Tahoma"/>
              </w:rPr>
              <w:t xml:space="preserve"> </w:t>
            </w:r>
            <w:r w:rsidR="00403921" w:rsidRPr="00403921">
              <w:rPr>
                <w:rFonts w:cs="Tahoma"/>
                <w:vertAlign w:val="superscript"/>
              </w:rPr>
              <w:t>d</w:t>
            </w:r>
          </w:p>
        </w:tc>
        <w:tc>
          <w:tcPr>
            <w:tcW w:w="992" w:type="dxa"/>
          </w:tcPr>
          <w:p w:rsidR="0037584C" w:rsidRPr="00D36FBC" w:rsidRDefault="0037584C" w:rsidP="0037584C">
            <w:pPr>
              <w:pStyle w:val="Tabletext"/>
              <w:rPr>
                <w:rFonts w:cs="Tahoma"/>
              </w:rPr>
            </w:pPr>
            <w:r w:rsidRPr="00D36FBC">
              <w:rPr>
                <w:rFonts w:cs="Tahoma"/>
              </w:rPr>
              <w:t>Not serious</w:t>
            </w:r>
          </w:p>
        </w:tc>
        <w:tc>
          <w:tcPr>
            <w:tcW w:w="1276" w:type="dxa"/>
          </w:tcPr>
          <w:p w:rsidR="0037584C" w:rsidRDefault="0037584C" w:rsidP="0037584C">
            <w:pPr>
              <w:pStyle w:val="Tabletext"/>
              <w:rPr>
                <w:rFonts w:cs="Tahoma"/>
              </w:rPr>
            </w:pPr>
            <w:r w:rsidRPr="00AC54F2">
              <w:rPr>
                <w:rFonts w:cs="Tahoma"/>
              </w:rPr>
              <w:t>Strong association</w:t>
            </w:r>
          </w:p>
          <w:p w:rsidR="0037584C" w:rsidRDefault="0037584C" w:rsidP="0037584C">
            <w:pPr>
              <w:pStyle w:val="Tabletext"/>
              <w:rPr>
                <w:rFonts w:cs="Tahoma"/>
              </w:rPr>
            </w:pPr>
            <w:r w:rsidRPr="00D36FBC">
              <w:rPr>
                <w:rFonts w:cs="Tahoma"/>
              </w:rPr>
              <w:t>None</w:t>
            </w:r>
          </w:p>
          <w:p w:rsidR="0037584C" w:rsidRPr="00D36FBC" w:rsidRDefault="0037584C" w:rsidP="0037584C">
            <w:pPr>
              <w:pStyle w:val="Tabletext"/>
              <w:rPr>
                <w:rFonts w:cs="Tahoma"/>
              </w:rPr>
            </w:pPr>
            <w:r w:rsidRPr="00D36FBC">
              <w:rPr>
                <w:rFonts w:cs="Tahoma"/>
              </w:rPr>
              <w:t>Strong association</w:t>
            </w:r>
          </w:p>
        </w:tc>
        <w:tc>
          <w:tcPr>
            <w:tcW w:w="1417" w:type="dxa"/>
          </w:tcPr>
          <w:p w:rsidR="0037584C" w:rsidRPr="0077309F" w:rsidRDefault="0037584C" w:rsidP="0037584C">
            <w:pPr>
              <w:pStyle w:val="Tabletext"/>
              <w:rPr>
                <w:rFonts w:eastAsia="Times New Roman"/>
              </w:rPr>
            </w:pPr>
            <w:r>
              <w:rPr>
                <w:rFonts w:eastAsia="Times New Roman"/>
              </w:rPr>
              <w:t>134</w:t>
            </w:r>
            <w:r w:rsidRPr="00456F1B">
              <w:rPr>
                <w:rFonts w:eastAsia="Times New Roman"/>
              </w:rPr>
              <w:t xml:space="preserve"> patients tested</w:t>
            </w:r>
          </w:p>
        </w:tc>
        <w:tc>
          <w:tcPr>
            <w:tcW w:w="1134" w:type="dxa"/>
          </w:tcPr>
          <w:p w:rsidR="0037584C" w:rsidRPr="00F95747" w:rsidRDefault="0037584C" w:rsidP="0037584C">
            <w:pPr>
              <w:pStyle w:val="Tabletext"/>
              <w:rPr>
                <w:rFonts w:cs="Tahoma"/>
              </w:rPr>
            </w:pPr>
            <w:r w:rsidRPr="00F95747">
              <w:rPr>
                <w:rFonts w:cs="Tahoma"/>
              </w:rPr>
              <w:t>131 patients tested</w:t>
            </w:r>
          </w:p>
        </w:tc>
        <w:tc>
          <w:tcPr>
            <w:tcW w:w="993" w:type="dxa"/>
          </w:tcPr>
          <w:p w:rsidR="0037584C" w:rsidRPr="0077309F" w:rsidRDefault="0037584C" w:rsidP="0037584C">
            <w:pPr>
              <w:pStyle w:val="Tabletext"/>
              <w:rPr>
                <w:rFonts w:eastAsia="Times New Roman"/>
                <w:bCs/>
              </w:rPr>
            </w:pPr>
            <w:r w:rsidRPr="0077309F">
              <w:rPr>
                <w:rFonts w:eastAsia="Times New Roman"/>
                <w:bCs/>
              </w:rPr>
              <w:t>-</w:t>
            </w:r>
          </w:p>
        </w:tc>
        <w:tc>
          <w:tcPr>
            <w:tcW w:w="2188" w:type="dxa"/>
          </w:tcPr>
          <w:p w:rsidR="0037584C" w:rsidRDefault="00E25FAA" w:rsidP="0037584C">
            <w:pPr>
              <w:pStyle w:val="Tabletext"/>
              <w:rPr>
                <w:rFonts w:cs="Tahoma"/>
              </w:rPr>
            </w:pPr>
            <w:r>
              <w:rPr>
                <w:rFonts w:cs="Tahoma"/>
              </w:rPr>
              <w:t>PVR</w:t>
            </w:r>
            <w:r>
              <w:rPr>
                <w:rFonts w:cs="Tahoma"/>
              </w:rPr>
              <w:br/>
              <w:t>MD</w:t>
            </w:r>
            <w:r w:rsidR="0037584C">
              <w:rPr>
                <w:rFonts w:cs="Tahoma"/>
              </w:rPr>
              <w:t xml:space="preserve"> 20.8% improvement</w:t>
            </w:r>
          </w:p>
          <w:p w:rsidR="0037584C" w:rsidRDefault="00E25FAA" w:rsidP="0037584C">
            <w:pPr>
              <w:pStyle w:val="Tabletext"/>
              <w:rPr>
                <w:rFonts w:cs="Tahoma"/>
              </w:rPr>
            </w:pPr>
            <w:r>
              <w:rPr>
                <w:rFonts w:cs="Tahoma"/>
              </w:rPr>
              <w:t>mPAP</w:t>
            </w:r>
            <w:r>
              <w:rPr>
                <w:rFonts w:cs="Tahoma"/>
              </w:rPr>
              <w:br/>
              <w:t>MD</w:t>
            </w:r>
            <w:r w:rsidR="0037584C">
              <w:rPr>
                <w:rFonts w:cs="Tahoma"/>
              </w:rPr>
              <w:t xml:space="preserve"> 7.5% improvement</w:t>
            </w:r>
          </w:p>
          <w:p w:rsidR="0037584C" w:rsidRPr="0077309F" w:rsidRDefault="0037584C" w:rsidP="0037584C">
            <w:pPr>
              <w:pStyle w:val="Tabletext"/>
              <w:rPr>
                <w:rFonts w:cs="Tahoma"/>
              </w:rPr>
            </w:pPr>
            <w:r>
              <w:rPr>
                <w:rFonts w:cs="Tahoma"/>
              </w:rPr>
              <w:t>mRAP</w:t>
            </w:r>
            <w:r>
              <w:rPr>
                <w:rFonts w:cs="Tahoma"/>
              </w:rPr>
              <w:br/>
            </w:r>
            <w:r w:rsidR="00E25FAA">
              <w:rPr>
                <w:rFonts w:cs="Tahoma"/>
              </w:rPr>
              <w:t xml:space="preserve">MD </w:t>
            </w:r>
            <w:r>
              <w:rPr>
                <w:rFonts w:cs="Tahoma"/>
              </w:rPr>
              <w:t>2.1 mmHg improvement</w:t>
            </w:r>
          </w:p>
        </w:tc>
        <w:tc>
          <w:tcPr>
            <w:tcW w:w="1214" w:type="dxa"/>
          </w:tcPr>
          <w:p w:rsidR="0037584C" w:rsidRDefault="00312FDE" w:rsidP="0037584C">
            <w:pPr>
              <w:pStyle w:val="Tabletext"/>
              <w:rPr>
                <w:rFonts w:ascii="Cambria Math" w:eastAsia="Times New Roman" w:hAnsi="Cambria Math" w:cs="Cambria Math"/>
                <w:bCs/>
              </w:rPr>
            </w:pPr>
            <w:r>
              <w:rPr>
                <w:rFonts w:eastAsia="Times New Roman" w:cs="Tahoma"/>
                <w:bCs/>
              </w:rPr>
              <w:t>Low</w:t>
            </w:r>
            <w:r w:rsidR="0037584C">
              <w:rPr>
                <w:rFonts w:eastAsia="Times New Roman" w:cs="Tahoma"/>
                <w:bCs/>
              </w:rPr>
              <w:br/>
            </w:r>
            <w:r w:rsidR="0037584C">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37584C" w:rsidRPr="0077309F" w:rsidRDefault="0037584C" w:rsidP="0037584C">
            <w:pPr>
              <w:pStyle w:val="Tabletext"/>
              <w:rPr>
                <w:rFonts w:eastAsia="Times New Roman" w:cs="Tahoma"/>
                <w:bCs/>
              </w:rPr>
            </w:pPr>
            <w:r>
              <w:rPr>
                <w:rFonts w:cs="Tahoma"/>
              </w:rPr>
              <w:t>Not i</w:t>
            </w:r>
            <w:r w:rsidRPr="00E564DD">
              <w:rPr>
                <w:rFonts w:cs="Tahoma"/>
              </w:rPr>
              <w:t>mportant</w:t>
            </w:r>
          </w:p>
        </w:tc>
      </w:tr>
    </w:tbl>
    <w:p w:rsidR="00CC3BA4" w:rsidRPr="00AA018C" w:rsidRDefault="00CC3BA4" w:rsidP="0037584C">
      <w:pPr>
        <w:pStyle w:val="Tablenote"/>
      </w:pPr>
      <w:r w:rsidRPr="00E564DD">
        <w:rPr>
          <w:vertAlign w:val="superscript"/>
        </w:rPr>
        <w:t xml:space="preserve">a </w:t>
      </w:r>
      <w:r w:rsidRPr="00AA018C">
        <w:t>O</w:t>
      </w:r>
      <w:r>
        <w:t>ther considerations such as publication bias and effect size</w:t>
      </w:r>
    </w:p>
    <w:p w:rsidR="00CC3BA4" w:rsidRDefault="00CC3BA4" w:rsidP="0037584C">
      <w:pPr>
        <w:pStyle w:val="Tablenote"/>
      </w:pPr>
      <w:r>
        <w:rPr>
          <w:vertAlign w:val="superscript"/>
        </w:rPr>
        <w:t xml:space="preserve">b </w:t>
      </w:r>
      <w:r w:rsidRPr="00E564DD">
        <w:t>GRADE W</w:t>
      </w:r>
      <w:r>
        <w:t>orking Group grades of evidence</w:t>
      </w:r>
      <w:r w:rsidR="001D34EE" w:rsidRPr="001D34EE">
        <w:rPr>
          <w:noProof/>
          <w:vertAlign w:val="superscript"/>
        </w:rPr>
        <w:t>1</w:t>
      </w:r>
    </w:p>
    <w:p w:rsidR="00CC3BA4" w:rsidRDefault="00CC3BA4" w:rsidP="0037584C">
      <w:pPr>
        <w:pStyle w:val="Tablenote"/>
      </w:pPr>
      <w:r>
        <w:rPr>
          <w:vertAlign w:val="superscript"/>
        </w:rPr>
        <w:t>c</w:t>
      </w:r>
      <w:r w:rsidRPr="00E564DD">
        <w:t xml:space="preserve"> </w:t>
      </w:r>
      <w:r>
        <w:t>Wide 95% CIs span 1</w:t>
      </w:r>
    </w:p>
    <w:p w:rsidR="00312FDE" w:rsidRPr="00312FDE" w:rsidRDefault="00312FDE" w:rsidP="0037584C">
      <w:pPr>
        <w:pStyle w:val="Tablenote"/>
      </w:pPr>
      <w:r>
        <w:rPr>
          <w:vertAlign w:val="superscript"/>
        </w:rPr>
        <w:t xml:space="preserve">d </w:t>
      </w:r>
      <w:r>
        <w:t>Surrogate outcome</w:t>
      </w:r>
    </w:p>
    <w:p w:rsidR="00CC3BA4" w:rsidRPr="00E564DD" w:rsidRDefault="00CC3BA4" w:rsidP="0037584C">
      <w:pPr>
        <w:pStyle w:val="Tablenote"/>
      </w:pPr>
      <w:r w:rsidRPr="00E564DD">
        <w:rPr>
          <w:rFonts w:ascii="Cambria Math" w:hAnsi="Cambria Math" w:cs="Cambria Math"/>
          <w:color w:val="00B050"/>
        </w:rPr>
        <w:t>⨁⨁⨁⨁</w:t>
      </w:r>
      <w:r w:rsidRPr="00E564DD">
        <w:rPr>
          <w:color w:val="00B050"/>
        </w:rPr>
        <w:t xml:space="preserve"> </w:t>
      </w:r>
      <w:r w:rsidRPr="00E564DD">
        <w:rPr>
          <w:b/>
        </w:rPr>
        <w:t>High quality:</w:t>
      </w:r>
      <w:r w:rsidRPr="00E564DD">
        <w:t xml:space="preserve"> We are very confident that the true effect lies close to that of the estimate of effect</w:t>
      </w:r>
    </w:p>
    <w:p w:rsidR="00CC3BA4" w:rsidRPr="00E564DD" w:rsidRDefault="00CC3BA4" w:rsidP="0037584C">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312FDE" w:rsidRPr="00E564DD" w:rsidRDefault="00312FDE" w:rsidP="00312FDE">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Low quality:</w:t>
      </w:r>
      <w:r w:rsidRPr="00E564DD">
        <w:t xml:space="preserve"> Our confidence in the effect estimate is limited: The true effect may be substantially different from the estimate of the effect</w:t>
      </w:r>
    </w:p>
    <w:p w:rsidR="002E6E59" w:rsidRDefault="00CC3BA4" w:rsidP="0037584C">
      <w:pPr>
        <w:pStyle w:val="Tablenote"/>
      </w:pPr>
      <w:r>
        <w:lastRenderedPageBreak/>
        <w:t xml:space="preserve">6MWD = 6-minute </w:t>
      </w:r>
      <w:r w:rsidR="0082368E">
        <w:t>walk distance</w:t>
      </w:r>
      <w:r>
        <w:t>; AR</w:t>
      </w:r>
      <w:r w:rsidR="00B21201">
        <w:t>D</w:t>
      </w:r>
      <w:r>
        <w:t xml:space="preserve"> = absolute risk </w:t>
      </w:r>
      <w:r w:rsidR="00B21201">
        <w:t>difference</w:t>
      </w:r>
      <w:r>
        <w:t xml:space="preserve">; CI = confidence interval; </w:t>
      </w:r>
      <w:r w:rsidR="00385E5A">
        <w:t>GRADE = grading of recommendations assessment, development and evaluation</w:t>
      </w:r>
      <w:r w:rsidR="001D34EE" w:rsidRPr="001D34EE">
        <w:rPr>
          <w:noProof/>
          <w:vertAlign w:val="superscript"/>
        </w:rPr>
        <w:t>1</w:t>
      </w:r>
      <w:r w:rsidR="002E6E59" w:rsidRPr="00F24B06">
        <w:t xml:space="preserve">; </w:t>
      </w:r>
      <w:r>
        <w:t xml:space="preserve">MD = mean difference; </w:t>
      </w:r>
      <w:r w:rsidR="004510DE">
        <w:t>mPAP = mean pulmonary artery</w:t>
      </w:r>
      <w:r w:rsidRPr="00D30CB5">
        <w:t xml:space="preserve"> pressure; mRAP = mean right atrial pressure; PAH = pulmonary arterial hypertension; PDE-5</w:t>
      </w:r>
      <w:r w:rsidR="002E6E59">
        <w:t>i</w:t>
      </w:r>
      <w:r w:rsidRPr="00D30CB5">
        <w:t xml:space="preserve"> = phosphodiesterase type-5</w:t>
      </w:r>
      <w:r w:rsidR="002E6E59">
        <w:t xml:space="preserve"> inhibitor</w:t>
      </w:r>
      <w:r w:rsidRPr="00D30CB5">
        <w:t xml:space="preserve">; PVR = pulmonary vascular resistance; </w:t>
      </w:r>
      <w:r>
        <w:t>RCT = randomised controlled trial; RR = relative risk</w:t>
      </w:r>
    </w:p>
    <w:p w:rsidR="00CC3BA4" w:rsidRPr="005D4CA0" w:rsidRDefault="00796F18" w:rsidP="00BC5A2B">
      <w:pPr>
        <w:pStyle w:val="Caption"/>
      </w:pPr>
      <w:bookmarkStart w:id="529" w:name="_Ref505861995"/>
      <w:bookmarkStart w:id="530" w:name="_Toc512855566"/>
      <w:r>
        <w:t>Table 4.</w:t>
      </w:r>
      <w:r w:rsidR="00AA722D">
        <w:rPr>
          <w:noProof/>
        </w:rPr>
        <w:t>162</w:t>
      </w:r>
      <w:bookmarkEnd w:id="529"/>
      <w:r>
        <w:tab/>
      </w:r>
      <w:r w:rsidR="00CC3BA4" w:rsidRPr="005D4CA0">
        <w:t xml:space="preserve">Evidence profile table for </w:t>
      </w:r>
      <w:r w:rsidR="00CC3BA4">
        <w:t xml:space="preserve">comparative safety of PDE-5 inhibitor </w:t>
      </w:r>
      <w:r w:rsidR="00207AD0">
        <w:t>plus</w:t>
      </w:r>
      <w:r w:rsidR="00CC3BA4">
        <w:t xml:space="preserve"> </w:t>
      </w:r>
      <w:r w:rsidR="0017012F">
        <w:t>prostanoid</w:t>
      </w:r>
      <w:r w:rsidR="00CC3BA4" w:rsidRPr="005D4CA0">
        <w:t xml:space="preserve"> </w:t>
      </w:r>
      <w:r w:rsidR="00CC3BA4">
        <w:t xml:space="preserve">combination therapy </w:t>
      </w:r>
      <w:r w:rsidR="00CC3BA4" w:rsidRPr="005D4CA0">
        <w:t xml:space="preserve">compared to </w:t>
      </w:r>
      <w:r w:rsidR="0017012F">
        <w:t>prostanoid</w:t>
      </w:r>
      <w:r w:rsidR="00CC3BA4" w:rsidRPr="005D4CA0">
        <w:t xml:space="preserve"> </w:t>
      </w:r>
      <w:r w:rsidR="00CC3BA4">
        <w:t xml:space="preserve">monotherapy </w:t>
      </w:r>
      <w:r w:rsidR="00CC3BA4" w:rsidRPr="005D4CA0">
        <w:t xml:space="preserve">for </w:t>
      </w:r>
      <w:r w:rsidR="00CC3BA4">
        <w:t>all PAH patients</w:t>
      </w:r>
      <w:bookmarkEnd w:id="530"/>
    </w:p>
    <w:tbl>
      <w:tblPr>
        <w:tblStyle w:val="TableGrid"/>
        <w:tblW w:w="14596" w:type="dxa"/>
        <w:tblLayout w:type="fixed"/>
        <w:tblLook w:val="04A0" w:firstRow="1" w:lastRow="0" w:firstColumn="1" w:lastColumn="0" w:noHBand="0" w:noVBand="1"/>
        <w:tblCaption w:val="Evidence profile table for comparative safety of PDE-5 inhibitor plus prostanoid combination therapy compared to prostanoid monotherapy for all PAH patients"/>
      </w:tblPr>
      <w:tblGrid>
        <w:gridCol w:w="1493"/>
        <w:gridCol w:w="1054"/>
        <w:gridCol w:w="771"/>
        <w:gridCol w:w="1072"/>
        <w:gridCol w:w="992"/>
        <w:gridCol w:w="992"/>
        <w:gridCol w:w="1276"/>
        <w:gridCol w:w="1417"/>
        <w:gridCol w:w="1196"/>
        <w:gridCol w:w="1134"/>
        <w:gridCol w:w="1985"/>
        <w:gridCol w:w="1214"/>
      </w:tblGrid>
      <w:tr w:rsidR="0037584C" w:rsidRPr="0037584C" w:rsidTr="00F37FD2">
        <w:trPr>
          <w:cnfStyle w:val="100000000000" w:firstRow="1" w:lastRow="0" w:firstColumn="0" w:lastColumn="0" w:oddVBand="0" w:evenVBand="0" w:oddHBand="0" w:evenHBand="0" w:firstRowFirstColumn="0" w:firstRowLastColumn="0" w:lastRowFirstColumn="0" w:lastRowLastColumn="0"/>
          <w:trHeight w:val="441"/>
        </w:trPr>
        <w:tc>
          <w:tcPr>
            <w:tcW w:w="1493" w:type="dxa"/>
          </w:tcPr>
          <w:p w:rsidR="00476F09" w:rsidRPr="0037584C" w:rsidRDefault="00476F09" w:rsidP="0037584C">
            <w:pPr>
              <w:pStyle w:val="Tabletext"/>
              <w:rPr>
                <w:b/>
              </w:rPr>
            </w:pPr>
            <w:r w:rsidRPr="0037584C">
              <w:rPr>
                <w:b/>
              </w:rPr>
              <w:t>Outcome (follow-up)</w:t>
            </w:r>
          </w:p>
        </w:tc>
        <w:tc>
          <w:tcPr>
            <w:tcW w:w="1054" w:type="dxa"/>
          </w:tcPr>
          <w:p w:rsidR="00476F09" w:rsidRPr="0037584C" w:rsidRDefault="00476F09" w:rsidP="0037584C">
            <w:pPr>
              <w:pStyle w:val="Tabletext"/>
              <w:rPr>
                <w:b/>
              </w:rPr>
            </w:pPr>
            <w:r w:rsidRPr="0037584C">
              <w:rPr>
                <w:b/>
              </w:rPr>
              <w:t>No. of studies and study design</w:t>
            </w:r>
          </w:p>
        </w:tc>
        <w:tc>
          <w:tcPr>
            <w:tcW w:w="771" w:type="dxa"/>
          </w:tcPr>
          <w:p w:rsidR="00476F09" w:rsidRPr="0037584C" w:rsidRDefault="00476F09" w:rsidP="0037584C">
            <w:pPr>
              <w:pStyle w:val="Tabletext"/>
              <w:rPr>
                <w:b/>
              </w:rPr>
            </w:pPr>
            <w:r w:rsidRPr="0037584C">
              <w:rPr>
                <w:b/>
              </w:rPr>
              <w:t>Risk of bias</w:t>
            </w:r>
          </w:p>
        </w:tc>
        <w:tc>
          <w:tcPr>
            <w:tcW w:w="1072" w:type="dxa"/>
          </w:tcPr>
          <w:p w:rsidR="00476F09" w:rsidRPr="0037584C" w:rsidRDefault="00476F09" w:rsidP="0037584C">
            <w:pPr>
              <w:pStyle w:val="Tabletext"/>
              <w:rPr>
                <w:b/>
              </w:rPr>
            </w:pPr>
            <w:r w:rsidRPr="0037584C">
              <w:rPr>
                <w:b/>
              </w:rPr>
              <w:t>Inconsis</w:t>
            </w:r>
            <w:r w:rsidR="00F37FD2">
              <w:rPr>
                <w:b/>
              </w:rPr>
              <w:t>-</w:t>
            </w:r>
            <w:r w:rsidRPr="0037584C">
              <w:rPr>
                <w:b/>
              </w:rPr>
              <w:t>tency</w:t>
            </w:r>
          </w:p>
        </w:tc>
        <w:tc>
          <w:tcPr>
            <w:tcW w:w="992" w:type="dxa"/>
          </w:tcPr>
          <w:p w:rsidR="00476F09" w:rsidRPr="0037584C" w:rsidRDefault="00476F09" w:rsidP="0037584C">
            <w:pPr>
              <w:pStyle w:val="Tabletext"/>
              <w:rPr>
                <w:b/>
              </w:rPr>
            </w:pPr>
            <w:r w:rsidRPr="0037584C">
              <w:rPr>
                <w:b/>
              </w:rPr>
              <w:t>Indirect</w:t>
            </w:r>
            <w:r w:rsidR="00F37FD2">
              <w:rPr>
                <w:b/>
              </w:rPr>
              <w:t>-</w:t>
            </w:r>
            <w:r w:rsidRPr="0037584C">
              <w:rPr>
                <w:b/>
              </w:rPr>
              <w:t>ness</w:t>
            </w:r>
          </w:p>
        </w:tc>
        <w:tc>
          <w:tcPr>
            <w:tcW w:w="992" w:type="dxa"/>
          </w:tcPr>
          <w:p w:rsidR="00476F09" w:rsidRPr="0037584C" w:rsidRDefault="00476F09" w:rsidP="0037584C">
            <w:pPr>
              <w:pStyle w:val="Tabletext"/>
              <w:rPr>
                <w:b/>
              </w:rPr>
            </w:pPr>
            <w:r w:rsidRPr="0037584C">
              <w:rPr>
                <w:b/>
              </w:rPr>
              <w:t>Impre</w:t>
            </w:r>
            <w:r w:rsidR="00F37FD2">
              <w:rPr>
                <w:b/>
              </w:rPr>
              <w:t>-</w:t>
            </w:r>
            <w:r w:rsidRPr="0037584C">
              <w:rPr>
                <w:b/>
              </w:rPr>
              <w:t>cision</w:t>
            </w:r>
          </w:p>
        </w:tc>
        <w:tc>
          <w:tcPr>
            <w:tcW w:w="1276" w:type="dxa"/>
          </w:tcPr>
          <w:p w:rsidR="00476F09" w:rsidRPr="0037584C" w:rsidRDefault="00476F09" w:rsidP="0037584C">
            <w:pPr>
              <w:pStyle w:val="Tabletext"/>
              <w:rPr>
                <w:b/>
              </w:rPr>
            </w:pPr>
            <w:r w:rsidRPr="0037584C">
              <w:rPr>
                <w:b/>
              </w:rPr>
              <w:t>Other conside</w:t>
            </w:r>
            <w:r w:rsidR="00F37FD2">
              <w:rPr>
                <w:b/>
              </w:rPr>
              <w:t>-</w:t>
            </w:r>
            <w:r w:rsidRPr="0037584C">
              <w:rPr>
                <w:b/>
              </w:rPr>
              <w:t>rations</w:t>
            </w:r>
            <w:r w:rsidRPr="0037584C">
              <w:rPr>
                <w:b/>
                <w:vertAlign w:val="superscript"/>
              </w:rPr>
              <w:t>a</w:t>
            </w:r>
          </w:p>
        </w:tc>
        <w:tc>
          <w:tcPr>
            <w:tcW w:w="1417" w:type="dxa"/>
          </w:tcPr>
          <w:p w:rsidR="00476F09" w:rsidRPr="0037584C" w:rsidRDefault="00476F09" w:rsidP="0037584C">
            <w:pPr>
              <w:pStyle w:val="Tabletext"/>
              <w:rPr>
                <w:b/>
              </w:rPr>
            </w:pPr>
            <w:r w:rsidRPr="0037584C">
              <w:rPr>
                <w:b/>
              </w:rPr>
              <w:t>Study event rates (%) with PDE-5i + prostanoid</w:t>
            </w:r>
          </w:p>
        </w:tc>
        <w:tc>
          <w:tcPr>
            <w:tcW w:w="1196" w:type="dxa"/>
          </w:tcPr>
          <w:p w:rsidR="00476F09" w:rsidRPr="0037584C" w:rsidRDefault="00476F09" w:rsidP="0037584C">
            <w:pPr>
              <w:pStyle w:val="Tabletext"/>
              <w:rPr>
                <w:b/>
              </w:rPr>
            </w:pPr>
            <w:r w:rsidRPr="0037584C">
              <w:rPr>
                <w:b/>
              </w:rPr>
              <w:t>Study event rates (%) with prostanoid</w:t>
            </w:r>
          </w:p>
        </w:tc>
        <w:tc>
          <w:tcPr>
            <w:tcW w:w="1134" w:type="dxa"/>
          </w:tcPr>
          <w:p w:rsidR="00476F09" w:rsidRPr="0037584C" w:rsidRDefault="00476F09" w:rsidP="0037584C">
            <w:pPr>
              <w:pStyle w:val="Tabletext"/>
              <w:rPr>
                <w:b/>
              </w:rPr>
            </w:pPr>
            <w:r w:rsidRPr="0037584C">
              <w:rPr>
                <w:b/>
              </w:rPr>
              <w:t>Effect measure (95%CI)</w:t>
            </w:r>
          </w:p>
        </w:tc>
        <w:tc>
          <w:tcPr>
            <w:tcW w:w="1985" w:type="dxa"/>
          </w:tcPr>
          <w:p w:rsidR="00476F09" w:rsidRPr="0037584C" w:rsidRDefault="00476F09" w:rsidP="0037584C">
            <w:pPr>
              <w:pStyle w:val="Tabletext"/>
              <w:rPr>
                <w:b/>
              </w:rPr>
            </w:pPr>
            <w:r w:rsidRPr="0037584C">
              <w:rPr>
                <w:b/>
              </w:rPr>
              <w:t>Absolute effect (95%CI)</w:t>
            </w:r>
          </w:p>
        </w:tc>
        <w:tc>
          <w:tcPr>
            <w:tcW w:w="1214" w:type="dxa"/>
          </w:tcPr>
          <w:p w:rsidR="002E6E59" w:rsidRDefault="002E6E59" w:rsidP="0037584C">
            <w:pPr>
              <w:pStyle w:val="Tabletext"/>
              <w:rPr>
                <w:b/>
              </w:rPr>
            </w:pPr>
            <w:r>
              <w:rPr>
                <w:b/>
              </w:rPr>
              <w:t>GRADE</w:t>
            </w:r>
            <w:r w:rsidRPr="002E6E59">
              <w:rPr>
                <w:b/>
                <w:vertAlign w:val="superscript"/>
              </w:rPr>
              <w:t>b</w:t>
            </w:r>
          </w:p>
          <w:p w:rsidR="00476F09" w:rsidRPr="0037584C" w:rsidRDefault="00476F09" w:rsidP="0037584C">
            <w:pPr>
              <w:pStyle w:val="Tabletext"/>
              <w:rPr>
                <w:b/>
                <w:vertAlign w:val="superscript"/>
              </w:rPr>
            </w:pPr>
            <w:r w:rsidRPr="0037584C">
              <w:rPr>
                <w:b/>
              </w:rPr>
              <w:t>Quality</w:t>
            </w:r>
          </w:p>
          <w:p w:rsidR="00476F09" w:rsidRPr="0037584C" w:rsidRDefault="00476F09" w:rsidP="0037584C">
            <w:pPr>
              <w:pStyle w:val="Tabletext"/>
              <w:rPr>
                <w:b/>
              </w:rPr>
            </w:pPr>
            <w:r w:rsidRPr="0037584C">
              <w:rPr>
                <w:b/>
              </w:rPr>
              <w:t>Importance</w:t>
            </w:r>
          </w:p>
        </w:tc>
      </w:tr>
      <w:tr w:rsidR="00CC3BA4" w:rsidRPr="00596E2E" w:rsidTr="00F37FD2">
        <w:trPr>
          <w:trHeight w:val="319"/>
        </w:trPr>
        <w:tc>
          <w:tcPr>
            <w:tcW w:w="1493" w:type="dxa"/>
          </w:tcPr>
          <w:p w:rsidR="00CC3BA4" w:rsidRPr="00596E2E" w:rsidRDefault="00CC3BA4" w:rsidP="0037584C">
            <w:pPr>
              <w:pStyle w:val="Tabletext"/>
              <w:rPr>
                <w:rFonts w:cs="Tahoma"/>
              </w:rPr>
            </w:pPr>
            <w:r w:rsidRPr="00596E2E">
              <w:rPr>
                <w:rFonts w:cs="Tahoma"/>
              </w:rPr>
              <w:t>Any AE</w:t>
            </w:r>
            <w:r w:rsidRPr="00596E2E">
              <w:rPr>
                <w:rFonts w:cs="Tahoma"/>
              </w:rPr>
              <w:br/>
              <w:t>(1</w:t>
            </w:r>
            <w:r>
              <w:rPr>
                <w:rFonts w:cs="Tahoma"/>
              </w:rPr>
              <w:t>2−16</w:t>
            </w:r>
            <w:r w:rsidRPr="00596E2E">
              <w:rPr>
                <w:rFonts w:cs="Tahoma"/>
              </w:rPr>
              <w:t xml:space="preserve"> weeks)</w:t>
            </w:r>
          </w:p>
        </w:tc>
        <w:tc>
          <w:tcPr>
            <w:tcW w:w="1054" w:type="dxa"/>
          </w:tcPr>
          <w:p w:rsidR="00CC3BA4" w:rsidRPr="00596E2E" w:rsidRDefault="00CC3BA4" w:rsidP="0037584C">
            <w:pPr>
              <w:pStyle w:val="Tabletext"/>
              <w:rPr>
                <w:rFonts w:cs="Tahoma"/>
              </w:rPr>
            </w:pPr>
            <w:r w:rsidRPr="00D36FBC">
              <w:rPr>
                <w:rFonts w:cs="Tahoma"/>
              </w:rPr>
              <w:t>1 RCT</w:t>
            </w:r>
          </w:p>
        </w:tc>
        <w:tc>
          <w:tcPr>
            <w:tcW w:w="771" w:type="dxa"/>
          </w:tcPr>
          <w:p w:rsidR="00CC3BA4" w:rsidRPr="00596E2E" w:rsidRDefault="00CC3BA4" w:rsidP="0037584C">
            <w:pPr>
              <w:pStyle w:val="Tabletext"/>
              <w:rPr>
                <w:rFonts w:cs="Tahoma"/>
              </w:rPr>
            </w:pPr>
            <w:r w:rsidRPr="00596E2E">
              <w:rPr>
                <w:rFonts w:cs="Tahoma"/>
              </w:rPr>
              <w:t>Not serious</w:t>
            </w:r>
          </w:p>
        </w:tc>
        <w:tc>
          <w:tcPr>
            <w:tcW w:w="107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1276" w:type="dxa"/>
          </w:tcPr>
          <w:p w:rsidR="00CC3BA4" w:rsidRPr="00596E2E" w:rsidRDefault="00CC3BA4" w:rsidP="0037584C">
            <w:pPr>
              <w:pStyle w:val="Tabletext"/>
              <w:rPr>
                <w:rFonts w:cs="Tahoma"/>
              </w:rPr>
            </w:pPr>
            <w:r w:rsidRPr="00596E2E">
              <w:rPr>
                <w:rFonts w:cs="Tahoma"/>
              </w:rPr>
              <w:t>None</w:t>
            </w:r>
          </w:p>
        </w:tc>
        <w:tc>
          <w:tcPr>
            <w:tcW w:w="1417" w:type="dxa"/>
          </w:tcPr>
          <w:p w:rsidR="00CC3BA4" w:rsidRPr="00596E2E" w:rsidRDefault="00CC3BA4" w:rsidP="0037584C">
            <w:pPr>
              <w:pStyle w:val="Tabletext"/>
              <w:rPr>
                <w:rFonts w:cs="Tahoma"/>
              </w:rPr>
            </w:pPr>
            <w:r>
              <w:rPr>
                <w:rFonts w:cs="Tahoma"/>
              </w:rPr>
              <w:t>124/134 (92.5%)</w:t>
            </w:r>
          </w:p>
        </w:tc>
        <w:tc>
          <w:tcPr>
            <w:tcW w:w="1196" w:type="dxa"/>
          </w:tcPr>
          <w:p w:rsidR="00CC3BA4" w:rsidRPr="00596E2E" w:rsidRDefault="00CC3BA4" w:rsidP="0037584C">
            <w:pPr>
              <w:pStyle w:val="Tabletext"/>
              <w:rPr>
                <w:rFonts w:cs="Tahoma"/>
              </w:rPr>
            </w:pPr>
            <w:r w:rsidRPr="00AC54F2">
              <w:rPr>
                <w:rFonts w:cs="Tahoma"/>
              </w:rPr>
              <w:t>128/131 (97.7%)</w:t>
            </w:r>
          </w:p>
        </w:tc>
        <w:tc>
          <w:tcPr>
            <w:tcW w:w="1134" w:type="dxa"/>
          </w:tcPr>
          <w:p w:rsidR="00CC3BA4" w:rsidRPr="00596E2E" w:rsidRDefault="00CC3BA4" w:rsidP="0037584C">
            <w:pPr>
              <w:pStyle w:val="Tabletext"/>
              <w:rPr>
                <w:rFonts w:cs="Tahoma"/>
              </w:rPr>
            </w:pPr>
            <w:r w:rsidRPr="00AC54F2">
              <w:rPr>
                <w:rFonts w:cs="Tahoma"/>
              </w:rPr>
              <w:t xml:space="preserve">RR </w:t>
            </w:r>
            <w:r>
              <w:rPr>
                <w:rFonts w:cs="Tahoma"/>
              </w:rPr>
              <w:t xml:space="preserve">= </w:t>
            </w:r>
            <w:r w:rsidRPr="00AC54F2">
              <w:rPr>
                <w:rFonts w:cs="Tahoma"/>
              </w:rPr>
              <w:t>0.95</w:t>
            </w:r>
            <w:r>
              <w:rPr>
                <w:rFonts w:cs="Tahoma"/>
              </w:rPr>
              <w:t xml:space="preserve"> </w:t>
            </w:r>
            <w:r w:rsidRPr="00AC54F2">
              <w:rPr>
                <w:rFonts w:cs="Tahoma"/>
              </w:rPr>
              <w:t>(0.90</w:t>
            </w:r>
            <w:r>
              <w:rPr>
                <w:rFonts w:cs="Tahoma"/>
              </w:rPr>
              <w:t>,</w:t>
            </w:r>
            <w:r w:rsidRPr="00AC54F2">
              <w:rPr>
                <w:rFonts w:cs="Tahoma"/>
              </w:rPr>
              <w:t xml:space="preserve"> 1.00)</w:t>
            </w:r>
          </w:p>
        </w:tc>
        <w:tc>
          <w:tcPr>
            <w:tcW w:w="1985" w:type="dxa"/>
          </w:tcPr>
          <w:p w:rsidR="00CC3BA4" w:rsidRPr="00596E2E" w:rsidRDefault="00CC3BA4" w:rsidP="0037584C">
            <w:pPr>
              <w:pStyle w:val="Tabletext"/>
              <w:rPr>
                <w:rFonts w:cs="Tahoma"/>
              </w:rPr>
            </w:pPr>
            <w:r w:rsidRPr="00AC54F2">
              <w:rPr>
                <w:rFonts w:cs="Tahoma"/>
              </w:rPr>
              <w:t>49 fewer per 1,000</w:t>
            </w:r>
            <w:r>
              <w:rPr>
                <w:rFonts w:cs="Tahoma"/>
              </w:rPr>
              <w:br/>
            </w:r>
            <w:r w:rsidRPr="00AC54F2">
              <w:rPr>
                <w:rFonts w:cs="Tahoma"/>
              </w:rPr>
              <w:t>(from 0 fewer to 98 fewer)</w:t>
            </w:r>
          </w:p>
        </w:tc>
        <w:tc>
          <w:tcPr>
            <w:tcW w:w="1214" w:type="dxa"/>
          </w:tcPr>
          <w:p w:rsidR="00CC3BA4" w:rsidRPr="00596E2E" w:rsidRDefault="00CC3BA4" w:rsidP="0037584C">
            <w:pPr>
              <w:pStyle w:val="Tabletext"/>
              <w:rPr>
                <w:rFonts w:ascii="Cambria Math" w:eastAsia="Times New Roman" w:hAnsi="Cambria Math" w:cs="Cambria Math"/>
                <w:bCs/>
              </w:rPr>
            </w:pPr>
            <w:r w:rsidRPr="00596E2E">
              <w:rPr>
                <w:rFonts w:eastAsia="Times New Roman" w:cs="Tahoma"/>
                <w:bCs/>
              </w:rPr>
              <w:t>High</w:t>
            </w:r>
            <w:r w:rsidRPr="00596E2E">
              <w:rPr>
                <w:rFonts w:eastAsia="Times New Roman" w:cs="Tahoma"/>
                <w:bCs/>
              </w:rPr>
              <w:br/>
            </w:r>
            <w:r w:rsidRPr="00596E2E">
              <w:rPr>
                <w:rFonts w:ascii="Cambria Math" w:eastAsia="Times New Roman" w:hAnsi="Cambria Math" w:cs="Cambria Math"/>
                <w:bCs/>
                <w:color w:val="00B050"/>
              </w:rPr>
              <w:t>⨁⨁⨁⨁</w:t>
            </w:r>
          </w:p>
          <w:p w:rsidR="00CC3BA4" w:rsidRPr="00596E2E" w:rsidRDefault="00CC3BA4" w:rsidP="0037584C">
            <w:pPr>
              <w:pStyle w:val="Tabletext"/>
              <w:rPr>
                <w:rFonts w:cs="Tahoma"/>
              </w:rPr>
            </w:pPr>
            <w:r w:rsidRPr="00596E2E">
              <w:rPr>
                <w:rFonts w:cs="Tahoma"/>
              </w:rPr>
              <w:t>Important</w:t>
            </w:r>
          </w:p>
        </w:tc>
      </w:tr>
      <w:tr w:rsidR="00CC3BA4" w:rsidRPr="00596E2E" w:rsidTr="00F37FD2">
        <w:trPr>
          <w:trHeight w:val="319"/>
        </w:trPr>
        <w:tc>
          <w:tcPr>
            <w:tcW w:w="1493" w:type="dxa"/>
          </w:tcPr>
          <w:p w:rsidR="00CC3BA4" w:rsidRPr="00596E2E" w:rsidRDefault="00CC3BA4" w:rsidP="0037584C">
            <w:pPr>
              <w:pStyle w:val="Tabletext"/>
              <w:rPr>
                <w:rFonts w:cs="Tahoma"/>
              </w:rPr>
            </w:pPr>
            <w:r w:rsidRPr="00596E2E">
              <w:rPr>
                <w:rFonts w:cs="Tahoma"/>
              </w:rPr>
              <w:t>Serious AEs</w:t>
            </w:r>
            <w:r w:rsidRPr="00596E2E">
              <w:rPr>
                <w:rFonts w:cs="Tahoma"/>
              </w:rPr>
              <w:br/>
              <w:t>(</w:t>
            </w:r>
            <w:r>
              <w:rPr>
                <w:rFonts w:cs="Tahoma"/>
              </w:rPr>
              <w:t>1</w:t>
            </w:r>
            <w:r w:rsidRPr="00596E2E">
              <w:rPr>
                <w:rFonts w:cs="Tahoma"/>
              </w:rPr>
              <w:t>2−1</w:t>
            </w:r>
            <w:r>
              <w:rPr>
                <w:rFonts w:cs="Tahoma"/>
              </w:rPr>
              <w:t>6</w:t>
            </w:r>
            <w:r w:rsidRPr="00596E2E">
              <w:rPr>
                <w:rFonts w:cs="Tahoma"/>
              </w:rPr>
              <w:t xml:space="preserve"> weeks)</w:t>
            </w:r>
          </w:p>
        </w:tc>
        <w:tc>
          <w:tcPr>
            <w:tcW w:w="1054" w:type="dxa"/>
          </w:tcPr>
          <w:p w:rsidR="00CC3BA4" w:rsidRPr="00596E2E" w:rsidRDefault="00CC3BA4" w:rsidP="0037584C">
            <w:pPr>
              <w:pStyle w:val="Tabletext"/>
              <w:rPr>
                <w:rFonts w:cs="Tahoma"/>
              </w:rPr>
            </w:pPr>
            <w:r w:rsidRPr="00D36FBC">
              <w:rPr>
                <w:rFonts w:cs="Tahoma"/>
              </w:rPr>
              <w:t>1 RCT</w:t>
            </w:r>
          </w:p>
        </w:tc>
        <w:tc>
          <w:tcPr>
            <w:tcW w:w="771" w:type="dxa"/>
          </w:tcPr>
          <w:p w:rsidR="00CC3BA4" w:rsidRPr="00596E2E" w:rsidRDefault="00CC3BA4" w:rsidP="0037584C">
            <w:pPr>
              <w:pStyle w:val="Tabletext"/>
              <w:rPr>
                <w:rFonts w:cs="Tahoma"/>
              </w:rPr>
            </w:pPr>
            <w:r w:rsidRPr="00596E2E">
              <w:rPr>
                <w:rFonts w:cs="Tahoma"/>
              </w:rPr>
              <w:t>Not serious</w:t>
            </w:r>
          </w:p>
        </w:tc>
        <w:tc>
          <w:tcPr>
            <w:tcW w:w="107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1276" w:type="dxa"/>
          </w:tcPr>
          <w:p w:rsidR="00CC3BA4" w:rsidRPr="00596E2E" w:rsidRDefault="00CC3BA4" w:rsidP="0037584C">
            <w:pPr>
              <w:pStyle w:val="Tabletext"/>
              <w:rPr>
                <w:rFonts w:cs="Tahoma"/>
              </w:rPr>
            </w:pPr>
            <w:r w:rsidRPr="00596E2E">
              <w:rPr>
                <w:rFonts w:cs="Tahoma"/>
              </w:rPr>
              <w:t>None</w:t>
            </w:r>
          </w:p>
        </w:tc>
        <w:tc>
          <w:tcPr>
            <w:tcW w:w="1417" w:type="dxa"/>
          </w:tcPr>
          <w:p w:rsidR="00CC3BA4" w:rsidRPr="00596E2E" w:rsidRDefault="00CC3BA4" w:rsidP="0037584C">
            <w:pPr>
              <w:pStyle w:val="Tabletext"/>
              <w:rPr>
                <w:rFonts w:cs="Tahoma"/>
              </w:rPr>
            </w:pPr>
            <w:r>
              <w:rPr>
                <w:rFonts w:cs="Tahoma"/>
              </w:rPr>
              <w:t>29/134 (21.6%)</w:t>
            </w:r>
          </w:p>
        </w:tc>
        <w:tc>
          <w:tcPr>
            <w:tcW w:w="1196" w:type="dxa"/>
          </w:tcPr>
          <w:p w:rsidR="00CC3BA4" w:rsidRPr="00596E2E" w:rsidRDefault="00CC3BA4" w:rsidP="0037584C">
            <w:pPr>
              <w:pStyle w:val="Tabletext"/>
              <w:rPr>
                <w:rFonts w:cs="Tahoma"/>
              </w:rPr>
            </w:pPr>
            <w:r w:rsidRPr="00AC54F2">
              <w:rPr>
                <w:rFonts w:cs="Tahoma"/>
              </w:rPr>
              <w:t>39/131 (29.8%)</w:t>
            </w:r>
          </w:p>
        </w:tc>
        <w:tc>
          <w:tcPr>
            <w:tcW w:w="1134" w:type="dxa"/>
          </w:tcPr>
          <w:p w:rsidR="00CC3BA4" w:rsidRPr="00596E2E" w:rsidRDefault="00CC3BA4" w:rsidP="0037584C">
            <w:pPr>
              <w:pStyle w:val="Tabletext"/>
              <w:rPr>
                <w:rFonts w:cs="Tahoma"/>
              </w:rPr>
            </w:pPr>
            <w:r w:rsidRPr="00AC54F2">
              <w:rPr>
                <w:rFonts w:cs="Tahoma"/>
              </w:rPr>
              <w:t xml:space="preserve">RR </w:t>
            </w:r>
            <w:r>
              <w:rPr>
                <w:rFonts w:cs="Tahoma"/>
              </w:rPr>
              <w:t xml:space="preserve">= </w:t>
            </w:r>
            <w:r w:rsidRPr="00AC54F2">
              <w:rPr>
                <w:rFonts w:cs="Tahoma"/>
              </w:rPr>
              <w:t>0.73</w:t>
            </w:r>
            <w:r>
              <w:rPr>
                <w:rFonts w:cs="Tahoma"/>
              </w:rPr>
              <w:t xml:space="preserve"> </w:t>
            </w:r>
            <w:r w:rsidRPr="00AC54F2">
              <w:rPr>
                <w:rFonts w:cs="Tahoma"/>
              </w:rPr>
              <w:t>(0.48</w:t>
            </w:r>
            <w:r>
              <w:rPr>
                <w:rFonts w:cs="Tahoma"/>
              </w:rPr>
              <w:t>,</w:t>
            </w:r>
            <w:r w:rsidRPr="00AC54F2">
              <w:rPr>
                <w:rFonts w:cs="Tahoma"/>
              </w:rPr>
              <w:t xml:space="preserve"> 1.10)</w:t>
            </w:r>
          </w:p>
        </w:tc>
        <w:tc>
          <w:tcPr>
            <w:tcW w:w="1985" w:type="dxa"/>
          </w:tcPr>
          <w:p w:rsidR="00CC3BA4" w:rsidRPr="00596E2E" w:rsidRDefault="00CC3BA4" w:rsidP="0037584C">
            <w:pPr>
              <w:pStyle w:val="Tabletext"/>
              <w:rPr>
                <w:rFonts w:cs="Tahoma"/>
              </w:rPr>
            </w:pPr>
            <w:r w:rsidRPr="00AC54F2">
              <w:rPr>
                <w:rFonts w:cs="Tahoma"/>
              </w:rPr>
              <w:t>80 fewer per 1,000</w:t>
            </w:r>
            <w:r>
              <w:rPr>
                <w:rFonts w:cs="Tahoma"/>
              </w:rPr>
              <w:br/>
            </w:r>
            <w:r w:rsidRPr="00AC54F2">
              <w:rPr>
                <w:rFonts w:cs="Tahoma"/>
              </w:rPr>
              <w:t>(from 30 more to 155 fewer)</w:t>
            </w:r>
          </w:p>
        </w:tc>
        <w:tc>
          <w:tcPr>
            <w:tcW w:w="1214" w:type="dxa"/>
          </w:tcPr>
          <w:p w:rsidR="00CC3BA4" w:rsidRPr="00596E2E" w:rsidRDefault="00CC3BA4" w:rsidP="0037584C">
            <w:pPr>
              <w:pStyle w:val="Tabletext"/>
              <w:rPr>
                <w:rFonts w:ascii="Cambria Math" w:eastAsia="Times New Roman" w:hAnsi="Cambria Math" w:cs="Cambria Math"/>
                <w:bCs/>
              </w:rPr>
            </w:pPr>
            <w:r w:rsidRPr="00596E2E">
              <w:rPr>
                <w:rFonts w:eastAsia="Times New Roman" w:cs="Tahoma"/>
                <w:bCs/>
              </w:rPr>
              <w:t>High</w:t>
            </w:r>
            <w:r w:rsidRPr="00596E2E">
              <w:rPr>
                <w:rFonts w:eastAsia="Times New Roman" w:cs="Tahoma"/>
                <w:bCs/>
              </w:rPr>
              <w:br/>
            </w:r>
            <w:r w:rsidRPr="00596E2E">
              <w:rPr>
                <w:rFonts w:ascii="Cambria Math" w:eastAsia="Times New Roman" w:hAnsi="Cambria Math" w:cs="Cambria Math"/>
                <w:bCs/>
                <w:color w:val="00B050"/>
              </w:rPr>
              <w:t>⨁⨁⨁⨁</w:t>
            </w:r>
          </w:p>
          <w:p w:rsidR="00CC3BA4" w:rsidRPr="00596E2E" w:rsidRDefault="00CC3BA4" w:rsidP="0037584C">
            <w:pPr>
              <w:pStyle w:val="Tabletext"/>
              <w:rPr>
                <w:rFonts w:cs="Tahoma"/>
              </w:rPr>
            </w:pPr>
            <w:r w:rsidRPr="00596E2E">
              <w:rPr>
                <w:rFonts w:cs="Tahoma"/>
              </w:rPr>
              <w:t>Important</w:t>
            </w:r>
          </w:p>
        </w:tc>
      </w:tr>
      <w:tr w:rsidR="00CC3BA4" w:rsidRPr="00596E2E" w:rsidTr="00F37FD2">
        <w:trPr>
          <w:trHeight w:val="319"/>
        </w:trPr>
        <w:tc>
          <w:tcPr>
            <w:tcW w:w="1493" w:type="dxa"/>
          </w:tcPr>
          <w:p w:rsidR="00CC3BA4" w:rsidRPr="00596E2E" w:rsidRDefault="00CC3BA4" w:rsidP="0037584C">
            <w:pPr>
              <w:pStyle w:val="Tabletext"/>
              <w:rPr>
                <w:rFonts w:cs="Tahoma"/>
              </w:rPr>
            </w:pPr>
            <w:r w:rsidRPr="00596E2E">
              <w:rPr>
                <w:rFonts w:cs="Tahoma"/>
              </w:rPr>
              <w:t>AEs leading to treatment discontinuation</w:t>
            </w:r>
            <w:r w:rsidRPr="00596E2E">
              <w:rPr>
                <w:rFonts w:cs="Tahoma"/>
              </w:rPr>
              <w:br/>
              <w:t>(</w:t>
            </w:r>
            <w:r>
              <w:rPr>
                <w:rFonts w:cs="Tahoma"/>
              </w:rPr>
              <w:t>1</w:t>
            </w:r>
            <w:r w:rsidRPr="00596E2E">
              <w:rPr>
                <w:rFonts w:cs="Tahoma"/>
              </w:rPr>
              <w:t>2−1</w:t>
            </w:r>
            <w:r>
              <w:rPr>
                <w:rFonts w:cs="Tahoma"/>
              </w:rPr>
              <w:t>6</w:t>
            </w:r>
            <w:r w:rsidRPr="00596E2E">
              <w:rPr>
                <w:rFonts w:cs="Tahoma"/>
              </w:rPr>
              <w:t xml:space="preserve"> weeks)</w:t>
            </w:r>
          </w:p>
        </w:tc>
        <w:tc>
          <w:tcPr>
            <w:tcW w:w="1054" w:type="dxa"/>
          </w:tcPr>
          <w:p w:rsidR="00CC3BA4" w:rsidRPr="00596E2E" w:rsidRDefault="00CC3BA4" w:rsidP="0037584C">
            <w:pPr>
              <w:pStyle w:val="Tabletext"/>
              <w:rPr>
                <w:rFonts w:cs="Tahoma"/>
              </w:rPr>
            </w:pPr>
            <w:r w:rsidRPr="00D36FBC">
              <w:rPr>
                <w:rFonts w:cs="Tahoma"/>
              </w:rPr>
              <w:t>1 RCT</w:t>
            </w:r>
          </w:p>
        </w:tc>
        <w:tc>
          <w:tcPr>
            <w:tcW w:w="771" w:type="dxa"/>
          </w:tcPr>
          <w:p w:rsidR="00CC3BA4" w:rsidRPr="00596E2E" w:rsidRDefault="00CC3BA4" w:rsidP="0037584C">
            <w:pPr>
              <w:pStyle w:val="Tabletext"/>
              <w:rPr>
                <w:rFonts w:cs="Tahoma"/>
              </w:rPr>
            </w:pPr>
            <w:r w:rsidRPr="00596E2E">
              <w:rPr>
                <w:rFonts w:cs="Tahoma"/>
              </w:rPr>
              <w:t>Not serious</w:t>
            </w:r>
          </w:p>
        </w:tc>
        <w:tc>
          <w:tcPr>
            <w:tcW w:w="107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1276" w:type="dxa"/>
          </w:tcPr>
          <w:p w:rsidR="00CC3BA4" w:rsidRPr="00596E2E" w:rsidRDefault="00CC3BA4" w:rsidP="0037584C">
            <w:pPr>
              <w:pStyle w:val="Tabletext"/>
              <w:rPr>
                <w:rFonts w:cs="Tahoma"/>
              </w:rPr>
            </w:pPr>
            <w:r w:rsidRPr="00596E2E">
              <w:rPr>
                <w:rFonts w:cs="Tahoma"/>
              </w:rPr>
              <w:t>None</w:t>
            </w:r>
          </w:p>
        </w:tc>
        <w:tc>
          <w:tcPr>
            <w:tcW w:w="1417" w:type="dxa"/>
          </w:tcPr>
          <w:p w:rsidR="00CC3BA4" w:rsidRPr="00596E2E" w:rsidRDefault="007E22A2" w:rsidP="007E22A2">
            <w:pPr>
              <w:pStyle w:val="Tabletext"/>
              <w:rPr>
                <w:rFonts w:cs="Tahoma"/>
              </w:rPr>
            </w:pPr>
            <w:r>
              <w:rPr>
                <w:rFonts w:cs="Tahoma"/>
              </w:rPr>
              <w:t>7</w:t>
            </w:r>
            <w:r w:rsidR="00CC3BA4">
              <w:rPr>
                <w:rFonts w:cs="Tahoma"/>
              </w:rPr>
              <w:t>/134 (5</w:t>
            </w:r>
            <w:r>
              <w:rPr>
                <w:rFonts w:cs="Tahoma"/>
              </w:rPr>
              <w:t>.2</w:t>
            </w:r>
            <w:r w:rsidR="00CC3BA4">
              <w:rPr>
                <w:rFonts w:cs="Tahoma"/>
              </w:rPr>
              <w:t>%)</w:t>
            </w:r>
          </w:p>
        </w:tc>
        <w:tc>
          <w:tcPr>
            <w:tcW w:w="1196" w:type="dxa"/>
          </w:tcPr>
          <w:p w:rsidR="00CC3BA4" w:rsidRPr="00596E2E" w:rsidRDefault="007E22A2" w:rsidP="007E22A2">
            <w:pPr>
              <w:pStyle w:val="Tabletext"/>
              <w:rPr>
                <w:rFonts w:cs="Tahoma"/>
              </w:rPr>
            </w:pPr>
            <w:r>
              <w:rPr>
                <w:rFonts w:cs="Tahoma"/>
              </w:rPr>
              <w:t>14</w:t>
            </w:r>
            <w:r w:rsidR="00CC3BA4" w:rsidRPr="00AC54F2">
              <w:rPr>
                <w:rFonts w:cs="Tahoma"/>
              </w:rPr>
              <w:t>/131 (1</w:t>
            </w:r>
            <w:r>
              <w:rPr>
                <w:rFonts w:cs="Tahoma"/>
              </w:rPr>
              <w:t>0</w:t>
            </w:r>
            <w:r w:rsidR="00CC3BA4" w:rsidRPr="00AC54F2">
              <w:rPr>
                <w:rFonts w:cs="Tahoma"/>
              </w:rPr>
              <w:t>.</w:t>
            </w:r>
            <w:r>
              <w:rPr>
                <w:rFonts w:cs="Tahoma"/>
              </w:rPr>
              <w:t>7</w:t>
            </w:r>
            <w:r w:rsidR="00CC3BA4" w:rsidRPr="00AC54F2">
              <w:rPr>
                <w:rFonts w:cs="Tahoma"/>
              </w:rPr>
              <w:t>%)</w:t>
            </w:r>
          </w:p>
        </w:tc>
        <w:tc>
          <w:tcPr>
            <w:tcW w:w="1134" w:type="dxa"/>
          </w:tcPr>
          <w:p w:rsidR="00CC3BA4" w:rsidRPr="00596E2E" w:rsidRDefault="00CC3BA4" w:rsidP="007E22A2">
            <w:pPr>
              <w:pStyle w:val="Tabletext"/>
              <w:rPr>
                <w:rFonts w:cs="Tahoma"/>
              </w:rPr>
            </w:pPr>
            <w:r w:rsidRPr="00AC54F2">
              <w:rPr>
                <w:rFonts w:cs="Tahoma"/>
              </w:rPr>
              <w:t xml:space="preserve">RR </w:t>
            </w:r>
            <w:r>
              <w:rPr>
                <w:rFonts w:cs="Tahoma"/>
              </w:rPr>
              <w:t xml:space="preserve">= </w:t>
            </w:r>
            <w:r w:rsidR="007E22A2">
              <w:rPr>
                <w:rFonts w:cs="Tahoma"/>
              </w:rPr>
              <w:t>0</w:t>
            </w:r>
            <w:r w:rsidRPr="00AC54F2">
              <w:rPr>
                <w:rFonts w:cs="Tahoma"/>
              </w:rPr>
              <w:t>.</w:t>
            </w:r>
            <w:r w:rsidR="007E22A2">
              <w:rPr>
                <w:rFonts w:cs="Tahoma"/>
              </w:rPr>
              <w:t>4</w:t>
            </w:r>
            <w:r w:rsidRPr="00AC54F2">
              <w:rPr>
                <w:rFonts w:cs="Tahoma"/>
              </w:rPr>
              <w:t>9</w:t>
            </w:r>
            <w:r>
              <w:rPr>
                <w:rFonts w:cs="Tahoma"/>
              </w:rPr>
              <w:t xml:space="preserve"> </w:t>
            </w:r>
            <w:r w:rsidRPr="00AC54F2">
              <w:rPr>
                <w:rFonts w:cs="Tahoma"/>
              </w:rPr>
              <w:t>(0.</w:t>
            </w:r>
            <w:r w:rsidR="007E22A2">
              <w:rPr>
                <w:rFonts w:cs="Tahoma"/>
              </w:rPr>
              <w:t>2</w:t>
            </w:r>
            <w:r w:rsidRPr="00AC54F2">
              <w:rPr>
                <w:rFonts w:cs="Tahoma"/>
              </w:rPr>
              <w:t>0</w:t>
            </w:r>
            <w:r>
              <w:rPr>
                <w:rFonts w:cs="Tahoma"/>
              </w:rPr>
              <w:t>,</w:t>
            </w:r>
            <w:r w:rsidRPr="00AC54F2">
              <w:rPr>
                <w:rFonts w:cs="Tahoma"/>
              </w:rPr>
              <w:t xml:space="preserve"> 1.</w:t>
            </w:r>
            <w:r w:rsidR="007E22A2">
              <w:rPr>
                <w:rFonts w:cs="Tahoma"/>
              </w:rPr>
              <w:t>1</w:t>
            </w:r>
            <w:r w:rsidRPr="00AC54F2">
              <w:rPr>
                <w:rFonts w:cs="Tahoma"/>
              </w:rPr>
              <w:t>7)</w:t>
            </w:r>
          </w:p>
        </w:tc>
        <w:tc>
          <w:tcPr>
            <w:tcW w:w="1985" w:type="dxa"/>
          </w:tcPr>
          <w:p w:rsidR="00CC3BA4" w:rsidRPr="00596E2E" w:rsidRDefault="007C71D5" w:rsidP="007C71D5">
            <w:pPr>
              <w:pStyle w:val="Tabletext"/>
              <w:rPr>
                <w:rFonts w:cs="Tahoma"/>
              </w:rPr>
            </w:pPr>
            <w:r>
              <w:rPr>
                <w:rFonts w:cs="Tahoma"/>
              </w:rPr>
              <w:t>55</w:t>
            </w:r>
            <w:r w:rsidR="00E25FAA">
              <w:rPr>
                <w:rFonts w:cs="Tahoma"/>
              </w:rPr>
              <w:t xml:space="preserve"> </w:t>
            </w:r>
            <w:r>
              <w:rPr>
                <w:rFonts w:cs="Tahoma"/>
              </w:rPr>
              <w:t>fewer</w:t>
            </w:r>
            <w:r w:rsidR="00CC3BA4" w:rsidRPr="00AC54F2">
              <w:rPr>
                <w:rFonts w:cs="Tahoma"/>
              </w:rPr>
              <w:t xml:space="preserve"> per 1,000</w:t>
            </w:r>
            <w:r w:rsidR="00CC3BA4">
              <w:rPr>
                <w:rFonts w:cs="Tahoma"/>
              </w:rPr>
              <w:br/>
            </w:r>
            <w:r w:rsidR="00CC3BA4" w:rsidRPr="00AC54F2">
              <w:rPr>
                <w:rFonts w:cs="Tahoma"/>
              </w:rPr>
              <w:t xml:space="preserve">(from </w:t>
            </w:r>
            <w:r>
              <w:rPr>
                <w:rFonts w:cs="Tahoma"/>
              </w:rPr>
              <w:t>18</w:t>
            </w:r>
            <w:r w:rsidR="00CC3BA4" w:rsidRPr="00AC54F2">
              <w:rPr>
                <w:rFonts w:cs="Tahoma"/>
              </w:rPr>
              <w:t xml:space="preserve"> </w:t>
            </w:r>
            <w:r>
              <w:rPr>
                <w:rFonts w:cs="Tahoma"/>
              </w:rPr>
              <w:t>more</w:t>
            </w:r>
            <w:r w:rsidR="00CC3BA4" w:rsidRPr="00AC54F2">
              <w:rPr>
                <w:rFonts w:cs="Tahoma"/>
              </w:rPr>
              <w:t xml:space="preserve"> to </w:t>
            </w:r>
            <w:r>
              <w:rPr>
                <w:rFonts w:cs="Tahoma"/>
              </w:rPr>
              <w:t>85</w:t>
            </w:r>
            <w:r w:rsidRPr="00AC54F2">
              <w:rPr>
                <w:rFonts w:cs="Tahoma"/>
              </w:rPr>
              <w:t xml:space="preserve"> </w:t>
            </w:r>
            <w:r>
              <w:rPr>
                <w:rFonts w:cs="Tahoma"/>
              </w:rPr>
              <w:t>fewer</w:t>
            </w:r>
            <w:r w:rsidR="00CC3BA4" w:rsidRPr="00AC54F2">
              <w:rPr>
                <w:rFonts w:cs="Tahoma"/>
              </w:rPr>
              <w:t>)</w:t>
            </w:r>
          </w:p>
        </w:tc>
        <w:tc>
          <w:tcPr>
            <w:tcW w:w="1214" w:type="dxa"/>
          </w:tcPr>
          <w:p w:rsidR="00CC3BA4" w:rsidRPr="00596E2E" w:rsidRDefault="00CC3BA4" w:rsidP="0037584C">
            <w:pPr>
              <w:pStyle w:val="Tabletext"/>
              <w:rPr>
                <w:rFonts w:ascii="Cambria Math" w:eastAsia="Times New Roman" w:hAnsi="Cambria Math" w:cs="Cambria Math"/>
                <w:bCs/>
              </w:rPr>
            </w:pPr>
            <w:r w:rsidRPr="00596E2E">
              <w:rPr>
                <w:rFonts w:eastAsia="Times New Roman" w:cs="Tahoma"/>
                <w:bCs/>
              </w:rPr>
              <w:t>High</w:t>
            </w:r>
            <w:r w:rsidRPr="00596E2E">
              <w:rPr>
                <w:rFonts w:eastAsia="Times New Roman" w:cs="Tahoma"/>
                <w:bCs/>
              </w:rPr>
              <w:br/>
            </w:r>
            <w:r w:rsidRPr="00596E2E">
              <w:rPr>
                <w:rFonts w:ascii="Cambria Math" w:eastAsia="Times New Roman" w:hAnsi="Cambria Math" w:cs="Cambria Math"/>
                <w:bCs/>
                <w:color w:val="00B050"/>
              </w:rPr>
              <w:t>⨁⨁⨁⨁</w:t>
            </w:r>
          </w:p>
          <w:p w:rsidR="00CC3BA4" w:rsidRPr="00596E2E" w:rsidRDefault="00CC3BA4" w:rsidP="0037584C">
            <w:pPr>
              <w:pStyle w:val="Tabletext"/>
              <w:rPr>
                <w:rFonts w:ascii="Cambria Math" w:eastAsia="Times New Roman" w:hAnsi="Cambria Math" w:cs="Cambria Math"/>
                <w:bCs/>
                <w:color w:val="00B050"/>
              </w:rPr>
            </w:pPr>
            <w:r w:rsidRPr="00596E2E">
              <w:rPr>
                <w:rFonts w:cs="Tahoma"/>
              </w:rPr>
              <w:t>Important</w:t>
            </w:r>
          </w:p>
        </w:tc>
      </w:tr>
    </w:tbl>
    <w:p w:rsidR="00CC3BA4" w:rsidRPr="00AA018C" w:rsidRDefault="00CC3BA4" w:rsidP="0037584C">
      <w:pPr>
        <w:pStyle w:val="Tablenote"/>
      </w:pPr>
      <w:r w:rsidRPr="00596E2E">
        <w:rPr>
          <w:vertAlign w:val="superscript"/>
        </w:rPr>
        <w:t xml:space="preserve">a </w:t>
      </w:r>
      <w:r w:rsidRPr="00596E2E">
        <w:t>Other considerations such as publication bias and effect size</w:t>
      </w:r>
    </w:p>
    <w:p w:rsidR="00CC3BA4" w:rsidRDefault="00CC3BA4" w:rsidP="0037584C">
      <w:pPr>
        <w:pStyle w:val="Tablenote"/>
      </w:pPr>
      <w:r>
        <w:rPr>
          <w:vertAlign w:val="superscript"/>
        </w:rPr>
        <w:t xml:space="preserve">b </w:t>
      </w:r>
      <w:r w:rsidRPr="00E564DD">
        <w:t>GRADE W</w:t>
      </w:r>
      <w:r>
        <w:t>orking Group grades of evidence</w:t>
      </w:r>
      <w:r w:rsidR="001D34EE" w:rsidRPr="001D34EE">
        <w:rPr>
          <w:noProof/>
          <w:vertAlign w:val="superscript"/>
        </w:rPr>
        <w:t>1</w:t>
      </w:r>
    </w:p>
    <w:p w:rsidR="00CC3BA4" w:rsidRPr="00E564DD" w:rsidRDefault="00CC3BA4" w:rsidP="0037584C">
      <w:pPr>
        <w:pStyle w:val="Tablenote"/>
      </w:pPr>
      <w:r w:rsidRPr="00E564DD">
        <w:rPr>
          <w:rFonts w:ascii="Cambria Math" w:hAnsi="Cambria Math" w:cs="Cambria Math"/>
          <w:color w:val="00B050"/>
        </w:rPr>
        <w:t>⨁⨁⨁⨁</w:t>
      </w:r>
      <w:r w:rsidRPr="00E564DD">
        <w:rPr>
          <w:color w:val="00B050"/>
        </w:rPr>
        <w:t xml:space="preserve"> </w:t>
      </w:r>
      <w:r w:rsidRPr="00E564DD">
        <w:rPr>
          <w:b/>
        </w:rPr>
        <w:t>High quality:</w:t>
      </w:r>
      <w:r w:rsidRPr="00E564DD">
        <w:t xml:space="preserve"> We are very confident that the true effect lies close to that of the estimate of effect</w:t>
      </w:r>
    </w:p>
    <w:p w:rsidR="002E6E59" w:rsidRDefault="00CC3BA4" w:rsidP="0037584C">
      <w:pPr>
        <w:pStyle w:val="Tablenote"/>
      </w:pPr>
      <w:r>
        <w:t xml:space="preserve">AE = adverse event; CI = confidence interval; </w:t>
      </w:r>
      <w:r w:rsidR="00385E5A">
        <w:t>GRADE = grading of recommendations assessment, development and evaluation</w:t>
      </w:r>
      <w:r w:rsidR="001D34EE" w:rsidRPr="001D34EE">
        <w:rPr>
          <w:noProof/>
          <w:vertAlign w:val="superscript"/>
        </w:rPr>
        <w:t>1</w:t>
      </w:r>
      <w:r w:rsidR="002E6E59" w:rsidRPr="00F24B06">
        <w:t xml:space="preserve">; </w:t>
      </w:r>
      <w:r w:rsidRPr="00C65B42">
        <w:t xml:space="preserve">PAH = pulmonary arterial hypertension; </w:t>
      </w:r>
      <w:r w:rsidRPr="009B5AB3">
        <w:t>PDE-5</w:t>
      </w:r>
      <w:r w:rsidR="002E6E59">
        <w:t>i</w:t>
      </w:r>
      <w:r w:rsidRPr="009B5AB3">
        <w:t xml:space="preserve"> = phosphodiesterase type-5</w:t>
      </w:r>
      <w:r w:rsidR="002E6E59">
        <w:t xml:space="preserve"> inhibitor</w:t>
      </w:r>
      <w:r>
        <w:t>;</w:t>
      </w:r>
      <w:r w:rsidRPr="009B5AB3">
        <w:t xml:space="preserve"> </w:t>
      </w:r>
      <w:r>
        <w:t>RCT = randomised controlled trial; RR = relative risk</w:t>
      </w:r>
    </w:p>
    <w:p w:rsidR="00CC3BA4" w:rsidRPr="00822C52" w:rsidRDefault="0017012F" w:rsidP="00BF48DF">
      <w:pPr>
        <w:pStyle w:val="Heading4"/>
      </w:pPr>
      <w:r>
        <w:t>Prostanoid</w:t>
      </w:r>
      <w:r w:rsidR="00CC3BA4">
        <w:t xml:space="preserve"> in </w:t>
      </w:r>
      <w:r w:rsidR="00CC3BA4" w:rsidRPr="00822C52">
        <w:t xml:space="preserve">addition to </w:t>
      </w:r>
      <w:r w:rsidR="00CC3BA4">
        <w:t>an ERA</w:t>
      </w:r>
    </w:p>
    <w:p w:rsidR="00CC3BA4" w:rsidRPr="005D4CA0" w:rsidRDefault="00796F18" w:rsidP="00BC5A2B">
      <w:pPr>
        <w:pStyle w:val="Caption"/>
      </w:pPr>
      <w:bookmarkStart w:id="531" w:name="_Ref505863021"/>
      <w:bookmarkStart w:id="532" w:name="_Toc512855567"/>
      <w:r>
        <w:t>Table 4.</w:t>
      </w:r>
      <w:r w:rsidR="00AA722D">
        <w:rPr>
          <w:noProof/>
        </w:rPr>
        <w:t>163</w:t>
      </w:r>
      <w:bookmarkEnd w:id="531"/>
      <w:r>
        <w:tab/>
      </w:r>
      <w:r w:rsidR="00CC3BA4" w:rsidRPr="005D4CA0">
        <w:t xml:space="preserve">Evidence profile table for </w:t>
      </w:r>
      <w:r w:rsidR="00CC3BA4">
        <w:t xml:space="preserve">effectiveness of </w:t>
      </w:r>
      <w:r w:rsidR="0017012F">
        <w:t>prostanoid</w:t>
      </w:r>
      <w:r w:rsidR="00CC3BA4" w:rsidRPr="005D4CA0">
        <w:t xml:space="preserve"> </w:t>
      </w:r>
      <w:r w:rsidR="000E67F8">
        <w:t>plus</w:t>
      </w:r>
      <w:r w:rsidR="00CC3BA4">
        <w:t xml:space="preserve"> ERA combination therapy </w:t>
      </w:r>
      <w:r w:rsidR="00CC3BA4" w:rsidRPr="005D4CA0">
        <w:t xml:space="preserve">compared to </w:t>
      </w:r>
      <w:r w:rsidR="00CC3BA4">
        <w:t>ERA</w:t>
      </w:r>
      <w:r w:rsidR="00CC3BA4" w:rsidRPr="00596E2E">
        <w:t xml:space="preserve"> </w:t>
      </w:r>
      <w:r w:rsidR="00CC3BA4">
        <w:t xml:space="preserve">monotherapy </w:t>
      </w:r>
      <w:r w:rsidR="00CC3BA4" w:rsidRPr="005D4CA0">
        <w:t xml:space="preserve">for </w:t>
      </w:r>
      <w:r w:rsidR="00CC3BA4">
        <w:t>patients with WHO FC III/IV PAH</w:t>
      </w:r>
      <w:bookmarkEnd w:id="532"/>
    </w:p>
    <w:tbl>
      <w:tblPr>
        <w:tblStyle w:val="TableGrid"/>
        <w:tblW w:w="14596" w:type="dxa"/>
        <w:tblLayout w:type="fixed"/>
        <w:tblLook w:val="04A0" w:firstRow="1" w:lastRow="0" w:firstColumn="1" w:lastColumn="0" w:noHBand="0" w:noVBand="1"/>
        <w:tblCaption w:val="Evidence profile table for effectiveness of prostanoid plus ERA combination therapy compared to ERA monotherapy for patients with WHO FC III/IV PAH"/>
      </w:tblPr>
      <w:tblGrid>
        <w:gridCol w:w="1493"/>
        <w:gridCol w:w="1054"/>
        <w:gridCol w:w="771"/>
        <w:gridCol w:w="1072"/>
        <w:gridCol w:w="992"/>
        <w:gridCol w:w="1038"/>
        <w:gridCol w:w="1230"/>
        <w:gridCol w:w="1417"/>
        <w:gridCol w:w="1134"/>
        <w:gridCol w:w="993"/>
        <w:gridCol w:w="2188"/>
        <w:gridCol w:w="1214"/>
      </w:tblGrid>
      <w:tr w:rsidR="00D1356D" w:rsidRPr="00D1356D" w:rsidTr="00F37FD2">
        <w:trPr>
          <w:cnfStyle w:val="100000000000" w:firstRow="1" w:lastRow="0" w:firstColumn="0" w:lastColumn="0" w:oddVBand="0" w:evenVBand="0" w:oddHBand="0" w:evenHBand="0" w:firstRowFirstColumn="0" w:firstRowLastColumn="0" w:lastRowFirstColumn="0" w:lastRowLastColumn="0"/>
          <w:trHeight w:val="515"/>
        </w:trPr>
        <w:tc>
          <w:tcPr>
            <w:tcW w:w="1493" w:type="dxa"/>
          </w:tcPr>
          <w:p w:rsidR="00476F09" w:rsidRPr="00D1356D" w:rsidRDefault="00476F09" w:rsidP="00D1356D">
            <w:pPr>
              <w:pStyle w:val="Tabletext"/>
              <w:rPr>
                <w:b/>
              </w:rPr>
            </w:pPr>
            <w:r w:rsidRPr="00D1356D">
              <w:rPr>
                <w:b/>
              </w:rPr>
              <w:t>Outcome (follow-up)</w:t>
            </w:r>
          </w:p>
        </w:tc>
        <w:tc>
          <w:tcPr>
            <w:tcW w:w="1054" w:type="dxa"/>
          </w:tcPr>
          <w:p w:rsidR="00476F09" w:rsidRPr="00D1356D" w:rsidRDefault="00476F09" w:rsidP="00D1356D">
            <w:pPr>
              <w:pStyle w:val="Tabletext"/>
              <w:rPr>
                <w:b/>
              </w:rPr>
            </w:pPr>
            <w:r w:rsidRPr="00D1356D">
              <w:rPr>
                <w:b/>
              </w:rPr>
              <w:t>No. of studies and study design</w:t>
            </w:r>
          </w:p>
        </w:tc>
        <w:tc>
          <w:tcPr>
            <w:tcW w:w="771" w:type="dxa"/>
          </w:tcPr>
          <w:p w:rsidR="00476F09" w:rsidRPr="00D1356D" w:rsidRDefault="00476F09" w:rsidP="00D1356D">
            <w:pPr>
              <w:pStyle w:val="Tabletext"/>
              <w:rPr>
                <w:b/>
              </w:rPr>
            </w:pPr>
            <w:r w:rsidRPr="00D1356D">
              <w:rPr>
                <w:b/>
              </w:rPr>
              <w:t>Risk of bias</w:t>
            </w:r>
          </w:p>
        </w:tc>
        <w:tc>
          <w:tcPr>
            <w:tcW w:w="1072" w:type="dxa"/>
          </w:tcPr>
          <w:p w:rsidR="00476F09" w:rsidRPr="00D1356D" w:rsidRDefault="00476F09" w:rsidP="00D1356D">
            <w:pPr>
              <w:pStyle w:val="Tabletext"/>
              <w:rPr>
                <w:b/>
              </w:rPr>
            </w:pPr>
            <w:r w:rsidRPr="00D1356D">
              <w:rPr>
                <w:b/>
              </w:rPr>
              <w:t>Inconsis</w:t>
            </w:r>
            <w:r w:rsidR="00F37FD2">
              <w:rPr>
                <w:b/>
              </w:rPr>
              <w:t>-</w:t>
            </w:r>
            <w:r w:rsidRPr="00D1356D">
              <w:rPr>
                <w:b/>
              </w:rPr>
              <w:t>tency</w:t>
            </w:r>
          </w:p>
        </w:tc>
        <w:tc>
          <w:tcPr>
            <w:tcW w:w="992" w:type="dxa"/>
          </w:tcPr>
          <w:p w:rsidR="00476F09" w:rsidRPr="00D1356D" w:rsidRDefault="00476F09" w:rsidP="00D1356D">
            <w:pPr>
              <w:pStyle w:val="Tabletext"/>
              <w:rPr>
                <w:b/>
              </w:rPr>
            </w:pPr>
            <w:r w:rsidRPr="00D1356D">
              <w:rPr>
                <w:b/>
              </w:rPr>
              <w:t>Indirect</w:t>
            </w:r>
            <w:r w:rsidR="00F37FD2">
              <w:rPr>
                <w:b/>
              </w:rPr>
              <w:t>-</w:t>
            </w:r>
            <w:r w:rsidRPr="00D1356D">
              <w:rPr>
                <w:b/>
              </w:rPr>
              <w:t>ness</w:t>
            </w:r>
          </w:p>
        </w:tc>
        <w:tc>
          <w:tcPr>
            <w:tcW w:w="1038" w:type="dxa"/>
          </w:tcPr>
          <w:p w:rsidR="00476F09" w:rsidRPr="00D1356D" w:rsidRDefault="00476F09" w:rsidP="00D1356D">
            <w:pPr>
              <w:pStyle w:val="Tabletext"/>
              <w:rPr>
                <w:b/>
              </w:rPr>
            </w:pPr>
            <w:r w:rsidRPr="00D1356D">
              <w:rPr>
                <w:b/>
              </w:rPr>
              <w:t>Impre</w:t>
            </w:r>
            <w:r w:rsidR="00F37FD2">
              <w:rPr>
                <w:b/>
              </w:rPr>
              <w:t>-</w:t>
            </w:r>
            <w:r w:rsidRPr="00D1356D">
              <w:rPr>
                <w:b/>
              </w:rPr>
              <w:t>cision</w:t>
            </w:r>
          </w:p>
        </w:tc>
        <w:tc>
          <w:tcPr>
            <w:tcW w:w="1230" w:type="dxa"/>
          </w:tcPr>
          <w:p w:rsidR="00476F09" w:rsidRPr="00D1356D" w:rsidRDefault="00476F09" w:rsidP="00D1356D">
            <w:pPr>
              <w:pStyle w:val="Tabletext"/>
              <w:rPr>
                <w:b/>
              </w:rPr>
            </w:pPr>
            <w:r w:rsidRPr="00D1356D">
              <w:rPr>
                <w:b/>
              </w:rPr>
              <w:t>Other conside</w:t>
            </w:r>
            <w:r w:rsidR="00F37FD2">
              <w:rPr>
                <w:b/>
              </w:rPr>
              <w:t>-</w:t>
            </w:r>
            <w:r w:rsidRPr="00D1356D">
              <w:rPr>
                <w:b/>
              </w:rPr>
              <w:t>rations</w:t>
            </w:r>
            <w:r w:rsidRPr="00D1356D">
              <w:rPr>
                <w:b/>
                <w:vertAlign w:val="superscript"/>
              </w:rPr>
              <w:t>a</w:t>
            </w:r>
          </w:p>
        </w:tc>
        <w:tc>
          <w:tcPr>
            <w:tcW w:w="1417" w:type="dxa"/>
          </w:tcPr>
          <w:p w:rsidR="00476F09" w:rsidRPr="00D1356D" w:rsidRDefault="00476F09" w:rsidP="00D1356D">
            <w:pPr>
              <w:pStyle w:val="Tabletext"/>
              <w:rPr>
                <w:b/>
              </w:rPr>
            </w:pPr>
            <w:r w:rsidRPr="00D1356D">
              <w:rPr>
                <w:b/>
              </w:rPr>
              <w:t>Study event rates (%) with prostanoid + ERA</w:t>
            </w:r>
          </w:p>
        </w:tc>
        <w:tc>
          <w:tcPr>
            <w:tcW w:w="1134" w:type="dxa"/>
          </w:tcPr>
          <w:p w:rsidR="00476F09" w:rsidRPr="00D1356D" w:rsidRDefault="00476F09" w:rsidP="00D1356D">
            <w:pPr>
              <w:pStyle w:val="Tabletext"/>
              <w:rPr>
                <w:b/>
              </w:rPr>
            </w:pPr>
            <w:r w:rsidRPr="00D1356D">
              <w:rPr>
                <w:b/>
              </w:rPr>
              <w:t>Study event rates (%) with ERA</w:t>
            </w:r>
          </w:p>
        </w:tc>
        <w:tc>
          <w:tcPr>
            <w:tcW w:w="993" w:type="dxa"/>
          </w:tcPr>
          <w:p w:rsidR="00476F09" w:rsidRPr="00D1356D" w:rsidRDefault="00476F09" w:rsidP="00D1356D">
            <w:pPr>
              <w:pStyle w:val="Tabletext"/>
              <w:rPr>
                <w:b/>
              </w:rPr>
            </w:pPr>
            <w:r w:rsidRPr="00D1356D">
              <w:rPr>
                <w:b/>
              </w:rPr>
              <w:t>Effect measure (95%CI)</w:t>
            </w:r>
          </w:p>
        </w:tc>
        <w:tc>
          <w:tcPr>
            <w:tcW w:w="2188" w:type="dxa"/>
          </w:tcPr>
          <w:p w:rsidR="00476F09" w:rsidRPr="00D1356D" w:rsidRDefault="00476F09" w:rsidP="00D1356D">
            <w:pPr>
              <w:pStyle w:val="Tabletext"/>
              <w:rPr>
                <w:b/>
              </w:rPr>
            </w:pPr>
            <w:r w:rsidRPr="00D1356D">
              <w:rPr>
                <w:b/>
              </w:rPr>
              <w:t>Absolute effect (95%CI)</w:t>
            </w:r>
          </w:p>
        </w:tc>
        <w:tc>
          <w:tcPr>
            <w:tcW w:w="1214" w:type="dxa"/>
          </w:tcPr>
          <w:p w:rsidR="002E6E59" w:rsidRDefault="002E6E59" w:rsidP="00D1356D">
            <w:pPr>
              <w:pStyle w:val="Tabletext"/>
              <w:rPr>
                <w:b/>
              </w:rPr>
            </w:pPr>
            <w:r>
              <w:rPr>
                <w:b/>
              </w:rPr>
              <w:t>GRADE</w:t>
            </w:r>
            <w:r w:rsidRPr="002E6E59">
              <w:rPr>
                <w:b/>
                <w:vertAlign w:val="superscript"/>
              </w:rPr>
              <w:t>b</w:t>
            </w:r>
          </w:p>
          <w:p w:rsidR="00476F09" w:rsidRPr="00D1356D" w:rsidRDefault="00476F09" w:rsidP="00D1356D">
            <w:pPr>
              <w:pStyle w:val="Tabletext"/>
              <w:rPr>
                <w:b/>
                <w:vertAlign w:val="superscript"/>
              </w:rPr>
            </w:pPr>
            <w:r w:rsidRPr="00D1356D">
              <w:rPr>
                <w:b/>
              </w:rPr>
              <w:t>Quality</w:t>
            </w:r>
          </w:p>
          <w:p w:rsidR="00476F09" w:rsidRPr="00D1356D" w:rsidRDefault="00476F09" w:rsidP="00D1356D">
            <w:pPr>
              <w:pStyle w:val="Tabletext"/>
              <w:rPr>
                <w:b/>
              </w:rPr>
            </w:pPr>
            <w:r w:rsidRPr="00D1356D">
              <w:rPr>
                <w:b/>
              </w:rPr>
              <w:t>Importance</w:t>
            </w:r>
          </w:p>
        </w:tc>
      </w:tr>
      <w:tr w:rsidR="00CC3BA4" w:rsidRPr="00D36FBC" w:rsidTr="00F37FD2">
        <w:trPr>
          <w:trHeight w:val="319"/>
        </w:trPr>
        <w:tc>
          <w:tcPr>
            <w:tcW w:w="1493" w:type="dxa"/>
          </w:tcPr>
          <w:p w:rsidR="00CC3BA4" w:rsidRPr="00D36FBC" w:rsidRDefault="00CC3BA4" w:rsidP="00D1356D">
            <w:pPr>
              <w:pStyle w:val="Tabletext"/>
              <w:rPr>
                <w:rFonts w:cs="Tahoma"/>
              </w:rPr>
            </w:pPr>
            <w:r w:rsidRPr="00D36FBC">
              <w:rPr>
                <w:rFonts w:cs="Tahoma"/>
              </w:rPr>
              <w:lastRenderedPageBreak/>
              <w:t>Clinical worsening</w:t>
            </w:r>
            <w:r>
              <w:rPr>
                <w:rFonts w:cs="Tahoma"/>
              </w:rPr>
              <w:br/>
            </w:r>
            <w:r w:rsidRPr="00D36FBC">
              <w:rPr>
                <w:rFonts w:cs="Tahoma"/>
              </w:rPr>
              <w:t>(</w:t>
            </w:r>
            <w:r>
              <w:rPr>
                <w:rFonts w:cs="Tahoma"/>
              </w:rPr>
              <w:t>12−16</w:t>
            </w:r>
            <w:r w:rsidRPr="00D36FBC">
              <w:rPr>
                <w:rFonts w:cs="Tahoma"/>
              </w:rPr>
              <w:t xml:space="preserve"> weeks)</w:t>
            </w:r>
          </w:p>
        </w:tc>
        <w:tc>
          <w:tcPr>
            <w:tcW w:w="1054" w:type="dxa"/>
          </w:tcPr>
          <w:p w:rsidR="00CC3BA4" w:rsidRPr="00D36FBC" w:rsidRDefault="00CC3BA4" w:rsidP="00D1356D">
            <w:pPr>
              <w:pStyle w:val="Tabletext"/>
              <w:rPr>
                <w:rFonts w:cs="Tahoma"/>
              </w:rPr>
            </w:pPr>
            <w:r>
              <w:rPr>
                <w:rFonts w:cs="Tahoma"/>
              </w:rPr>
              <w:t>2</w:t>
            </w:r>
            <w:r w:rsidRPr="00D36FBC">
              <w:rPr>
                <w:rFonts w:cs="Tahoma"/>
              </w:rPr>
              <w:t xml:space="preserve"> RCT</w:t>
            </w:r>
            <w:r>
              <w:rPr>
                <w:rFonts w:cs="Tahoma"/>
              </w:rPr>
              <w:t>s</w:t>
            </w:r>
          </w:p>
        </w:tc>
        <w:tc>
          <w:tcPr>
            <w:tcW w:w="771" w:type="dxa"/>
          </w:tcPr>
          <w:p w:rsidR="00CC3BA4" w:rsidRPr="00D36FBC" w:rsidRDefault="00CC3BA4" w:rsidP="00D1356D">
            <w:pPr>
              <w:pStyle w:val="Tabletext"/>
              <w:rPr>
                <w:rFonts w:cs="Tahoma"/>
              </w:rPr>
            </w:pPr>
            <w:r>
              <w:rPr>
                <w:rFonts w:cs="Tahoma"/>
              </w:rPr>
              <w:t>S</w:t>
            </w:r>
            <w:r w:rsidRPr="00D36FBC">
              <w:rPr>
                <w:rFonts w:cs="Tahoma"/>
              </w:rPr>
              <w:t>erious</w:t>
            </w:r>
            <w:r>
              <w:rPr>
                <w:rFonts w:cs="Tahoma"/>
              </w:rPr>
              <w:t xml:space="preserve"> </w:t>
            </w:r>
            <w:r w:rsidRPr="00B5424D">
              <w:rPr>
                <w:rFonts w:cs="Tahoma"/>
                <w:vertAlign w:val="superscript"/>
              </w:rPr>
              <w:t>c</w:t>
            </w:r>
          </w:p>
        </w:tc>
        <w:tc>
          <w:tcPr>
            <w:tcW w:w="1072" w:type="dxa"/>
          </w:tcPr>
          <w:p w:rsidR="00CC3BA4" w:rsidRPr="00D36FBC" w:rsidRDefault="00CC3BA4" w:rsidP="00D1356D">
            <w:pPr>
              <w:pStyle w:val="Tabletext"/>
              <w:rPr>
                <w:rFonts w:cs="Tahoma"/>
              </w:rPr>
            </w:pPr>
            <w:r w:rsidRPr="00D36FBC">
              <w:rPr>
                <w:rFonts w:cs="Tahoma"/>
              </w:rPr>
              <w:t>Not serious</w:t>
            </w:r>
          </w:p>
        </w:tc>
        <w:tc>
          <w:tcPr>
            <w:tcW w:w="992" w:type="dxa"/>
          </w:tcPr>
          <w:p w:rsidR="00CC3BA4" w:rsidRPr="00D36FBC" w:rsidRDefault="00CC3BA4" w:rsidP="00D1356D">
            <w:pPr>
              <w:pStyle w:val="Tabletext"/>
              <w:rPr>
                <w:rFonts w:cs="Tahoma"/>
              </w:rPr>
            </w:pPr>
            <w:r w:rsidRPr="00D36FBC">
              <w:rPr>
                <w:rFonts w:cs="Tahoma"/>
              </w:rPr>
              <w:t>Not serious</w:t>
            </w:r>
          </w:p>
        </w:tc>
        <w:tc>
          <w:tcPr>
            <w:tcW w:w="1038" w:type="dxa"/>
          </w:tcPr>
          <w:p w:rsidR="00CC3BA4" w:rsidRPr="00D36FBC" w:rsidRDefault="00872747" w:rsidP="00872747">
            <w:pPr>
              <w:pStyle w:val="Tabletext"/>
              <w:rPr>
                <w:rFonts w:cs="Tahoma"/>
              </w:rPr>
            </w:pPr>
            <w:r>
              <w:rPr>
                <w:rFonts w:cs="Tahoma"/>
              </w:rPr>
              <w:t>Very se</w:t>
            </w:r>
            <w:r w:rsidR="00CC3BA4" w:rsidRPr="00D36FBC">
              <w:rPr>
                <w:rFonts w:cs="Tahoma"/>
              </w:rPr>
              <w:t>rious</w:t>
            </w:r>
            <w:r w:rsidR="00CC3BA4">
              <w:rPr>
                <w:rFonts w:cs="Tahoma"/>
              </w:rPr>
              <w:t xml:space="preserve"> </w:t>
            </w:r>
            <w:r w:rsidR="00CC3BA4">
              <w:rPr>
                <w:rFonts w:cs="Tahoma"/>
                <w:vertAlign w:val="superscript"/>
              </w:rPr>
              <w:t>d</w:t>
            </w:r>
          </w:p>
        </w:tc>
        <w:tc>
          <w:tcPr>
            <w:tcW w:w="1230" w:type="dxa"/>
          </w:tcPr>
          <w:p w:rsidR="00CC3BA4" w:rsidRPr="00D36FBC" w:rsidRDefault="00CC3BA4" w:rsidP="00D1356D">
            <w:pPr>
              <w:pStyle w:val="Tabletext"/>
              <w:rPr>
                <w:rFonts w:cs="Tahoma"/>
              </w:rPr>
            </w:pPr>
            <w:r>
              <w:rPr>
                <w:rFonts w:cs="Tahoma"/>
              </w:rPr>
              <w:t>None</w:t>
            </w:r>
          </w:p>
        </w:tc>
        <w:tc>
          <w:tcPr>
            <w:tcW w:w="1417" w:type="dxa"/>
          </w:tcPr>
          <w:p w:rsidR="00CC3BA4" w:rsidRPr="0077309F" w:rsidRDefault="00CC3BA4" w:rsidP="00D1356D">
            <w:pPr>
              <w:pStyle w:val="Tabletext"/>
              <w:rPr>
                <w:rFonts w:cs="Tahoma"/>
              </w:rPr>
            </w:pPr>
            <w:r>
              <w:rPr>
                <w:rFonts w:cs="Tahoma"/>
              </w:rPr>
              <w:t>3/51 (5.9%)</w:t>
            </w:r>
          </w:p>
        </w:tc>
        <w:tc>
          <w:tcPr>
            <w:tcW w:w="1134" w:type="dxa"/>
          </w:tcPr>
          <w:p w:rsidR="00CC3BA4" w:rsidRPr="00D36FBC" w:rsidRDefault="00CC3BA4" w:rsidP="00D1356D">
            <w:pPr>
              <w:pStyle w:val="Tabletext"/>
              <w:rPr>
                <w:rFonts w:cs="Tahoma"/>
                <w:highlight w:val="cyan"/>
              </w:rPr>
            </w:pPr>
            <w:r w:rsidRPr="00A72EDD">
              <w:rPr>
                <w:rFonts w:cs="Tahoma"/>
              </w:rPr>
              <w:t>9/54 (16.7%)</w:t>
            </w:r>
          </w:p>
        </w:tc>
        <w:tc>
          <w:tcPr>
            <w:tcW w:w="993" w:type="dxa"/>
          </w:tcPr>
          <w:p w:rsidR="00CC3BA4" w:rsidRPr="00482160" w:rsidRDefault="00CC3BA4" w:rsidP="00D1356D">
            <w:pPr>
              <w:pStyle w:val="Tabletext"/>
              <w:rPr>
                <w:rFonts w:cs="Tahoma"/>
              </w:rPr>
            </w:pPr>
            <w:r w:rsidRPr="00A72EDD">
              <w:rPr>
                <w:rFonts w:cs="Tahoma"/>
              </w:rPr>
              <w:t xml:space="preserve">RR </w:t>
            </w:r>
            <w:r>
              <w:rPr>
                <w:rFonts w:cs="Tahoma"/>
              </w:rPr>
              <w:t xml:space="preserve">= </w:t>
            </w:r>
            <w:r w:rsidRPr="00A72EDD">
              <w:rPr>
                <w:rFonts w:cs="Tahoma"/>
              </w:rPr>
              <w:t>0.39</w:t>
            </w:r>
            <w:r>
              <w:rPr>
                <w:rFonts w:cs="Tahoma"/>
              </w:rPr>
              <w:t xml:space="preserve"> </w:t>
            </w:r>
            <w:r w:rsidRPr="00A72EDD">
              <w:rPr>
                <w:rFonts w:cs="Tahoma"/>
              </w:rPr>
              <w:t>(0.04</w:t>
            </w:r>
            <w:r>
              <w:rPr>
                <w:rFonts w:cs="Tahoma"/>
              </w:rPr>
              <w:t>,</w:t>
            </w:r>
            <w:r w:rsidRPr="00A72EDD">
              <w:rPr>
                <w:rFonts w:cs="Tahoma"/>
              </w:rPr>
              <w:t xml:space="preserve"> 3.45)</w:t>
            </w:r>
          </w:p>
        </w:tc>
        <w:tc>
          <w:tcPr>
            <w:tcW w:w="2188" w:type="dxa"/>
          </w:tcPr>
          <w:p w:rsidR="00CC3BA4" w:rsidRPr="00D36FBC" w:rsidRDefault="00CC3BA4" w:rsidP="00D1356D">
            <w:pPr>
              <w:pStyle w:val="Tabletext"/>
              <w:rPr>
                <w:rFonts w:cs="Tahoma"/>
                <w:highlight w:val="cyan"/>
              </w:rPr>
            </w:pPr>
            <w:r w:rsidRPr="00A72EDD">
              <w:rPr>
                <w:rFonts w:cs="Tahoma"/>
              </w:rPr>
              <w:t>102 fewer per 1,000</w:t>
            </w:r>
            <w:r>
              <w:rPr>
                <w:rFonts w:cs="Tahoma"/>
              </w:rPr>
              <w:br/>
            </w:r>
            <w:r w:rsidRPr="00A72EDD">
              <w:rPr>
                <w:rFonts w:cs="Tahoma"/>
              </w:rPr>
              <w:t>(from 160 fewer to 408 more)</w:t>
            </w:r>
          </w:p>
        </w:tc>
        <w:tc>
          <w:tcPr>
            <w:tcW w:w="1214" w:type="dxa"/>
          </w:tcPr>
          <w:p w:rsidR="00872747" w:rsidRDefault="00872747" w:rsidP="00872747">
            <w:pPr>
              <w:pStyle w:val="Tabletext"/>
              <w:rPr>
                <w:rFonts w:ascii="Cambria Math" w:eastAsia="Times New Roman" w:hAnsi="Cambria Math" w:cs="Cambria Math"/>
                <w:bCs/>
              </w:rPr>
            </w:pPr>
            <w:r>
              <w:rPr>
                <w:rFonts w:eastAsia="Times New Roman" w:cs="Tahoma"/>
                <w:bCs/>
              </w:rPr>
              <w:t>Very 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D36FBC" w:rsidRDefault="00CC3BA4" w:rsidP="00D1356D">
            <w:pPr>
              <w:pStyle w:val="Tabletext"/>
              <w:rPr>
                <w:rFonts w:cs="Tahoma"/>
              </w:rPr>
            </w:pPr>
            <w:r w:rsidRPr="00E564DD">
              <w:rPr>
                <w:rFonts w:cs="Tahoma"/>
              </w:rPr>
              <w:t>Critical</w:t>
            </w:r>
          </w:p>
        </w:tc>
      </w:tr>
      <w:tr w:rsidR="00CC3BA4" w:rsidRPr="00D36FBC" w:rsidTr="00F37FD2">
        <w:trPr>
          <w:trHeight w:val="319"/>
        </w:trPr>
        <w:tc>
          <w:tcPr>
            <w:tcW w:w="1493" w:type="dxa"/>
          </w:tcPr>
          <w:p w:rsidR="00CC3BA4" w:rsidRPr="00D36FBC" w:rsidRDefault="00CC3BA4" w:rsidP="00D1356D">
            <w:pPr>
              <w:pStyle w:val="Tabletext"/>
              <w:rPr>
                <w:rFonts w:cs="Tahoma"/>
              </w:rPr>
            </w:pPr>
            <w:r w:rsidRPr="00D36FBC">
              <w:rPr>
                <w:rFonts w:cs="Tahoma"/>
              </w:rPr>
              <w:t>Mortality</w:t>
            </w:r>
            <w:r>
              <w:rPr>
                <w:rFonts w:cs="Tahoma"/>
              </w:rPr>
              <w:br/>
            </w:r>
            <w:r w:rsidRPr="00D36FBC">
              <w:rPr>
                <w:rFonts w:cs="Tahoma"/>
              </w:rPr>
              <w:t>(</w:t>
            </w:r>
            <w:r>
              <w:rPr>
                <w:rFonts w:cs="Tahoma"/>
              </w:rPr>
              <w:t>12−16</w:t>
            </w:r>
            <w:r w:rsidRPr="00D36FBC">
              <w:rPr>
                <w:rFonts w:cs="Tahoma"/>
              </w:rPr>
              <w:t xml:space="preserve"> weeks)</w:t>
            </w:r>
          </w:p>
        </w:tc>
        <w:tc>
          <w:tcPr>
            <w:tcW w:w="1054" w:type="dxa"/>
          </w:tcPr>
          <w:p w:rsidR="00CC3BA4" w:rsidRPr="00D36FBC" w:rsidRDefault="00CC3BA4" w:rsidP="00D1356D">
            <w:pPr>
              <w:pStyle w:val="Tabletext"/>
              <w:rPr>
                <w:rFonts w:cs="Tahoma"/>
              </w:rPr>
            </w:pPr>
            <w:r>
              <w:rPr>
                <w:rFonts w:cs="Tahoma"/>
              </w:rPr>
              <w:t>2</w:t>
            </w:r>
            <w:r w:rsidRPr="00D36FBC">
              <w:rPr>
                <w:rFonts w:cs="Tahoma"/>
              </w:rPr>
              <w:t xml:space="preserve"> RCT</w:t>
            </w:r>
            <w:r>
              <w:rPr>
                <w:rFonts w:cs="Tahoma"/>
              </w:rPr>
              <w:t>s</w:t>
            </w:r>
          </w:p>
        </w:tc>
        <w:tc>
          <w:tcPr>
            <w:tcW w:w="771" w:type="dxa"/>
          </w:tcPr>
          <w:p w:rsidR="00CC3BA4" w:rsidRPr="00D36FBC" w:rsidRDefault="00CC3BA4" w:rsidP="00D1356D">
            <w:pPr>
              <w:pStyle w:val="Tabletext"/>
              <w:rPr>
                <w:rFonts w:cs="Tahoma"/>
              </w:rPr>
            </w:pPr>
            <w:r>
              <w:rPr>
                <w:rFonts w:cs="Tahoma"/>
              </w:rPr>
              <w:t>S</w:t>
            </w:r>
            <w:r w:rsidRPr="00D36FBC">
              <w:rPr>
                <w:rFonts w:cs="Tahoma"/>
              </w:rPr>
              <w:t>erious</w:t>
            </w:r>
            <w:r>
              <w:rPr>
                <w:rFonts w:cs="Tahoma"/>
              </w:rPr>
              <w:t xml:space="preserve"> </w:t>
            </w:r>
            <w:r w:rsidRPr="00B5424D">
              <w:rPr>
                <w:rFonts w:cs="Tahoma"/>
                <w:vertAlign w:val="superscript"/>
              </w:rPr>
              <w:t>c</w:t>
            </w:r>
          </w:p>
        </w:tc>
        <w:tc>
          <w:tcPr>
            <w:tcW w:w="1072" w:type="dxa"/>
          </w:tcPr>
          <w:p w:rsidR="00CC3BA4" w:rsidRPr="00D36FBC" w:rsidRDefault="00CC3BA4" w:rsidP="00D1356D">
            <w:pPr>
              <w:pStyle w:val="Tabletext"/>
              <w:rPr>
                <w:rFonts w:cs="Tahoma"/>
              </w:rPr>
            </w:pPr>
            <w:r w:rsidRPr="00D36FBC">
              <w:rPr>
                <w:rFonts w:cs="Tahoma"/>
              </w:rPr>
              <w:t>Not serious</w:t>
            </w:r>
          </w:p>
        </w:tc>
        <w:tc>
          <w:tcPr>
            <w:tcW w:w="992" w:type="dxa"/>
          </w:tcPr>
          <w:p w:rsidR="00CC3BA4" w:rsidRPr="00D36FBC" w:rsidRDefault="00CC3BA4" w:rsidP="00D1356D">
            <w:pPr>
              <w:pStyle w:val="Tabletext"/>
              <w:rPr>
                <w:rFonts w:cs="Tahoma"/>
              </w:rPr>
            </w:pPr>
            <w:r w:rsidRPr="00D36FBC">
              <w:rPr>
                <w:rFonts w:cs="Tahoma"/>
              </w:rPr>
              <w:t>Not serious</w:t>
            </w:r>
          </w:p>
        </w:tc>
        <w:tc>
          <w:tcPr>
            <w:tcW w:w="1038" w:type="dxa"/>
          </w:tcPr>
          <w:p w:rsidR="00CC3BA4" w:rsidRPr="00D36FBC" w:rsidRDefault="00CC3BA4" w:rsidP="00D1356D">
            <w:pPr>
              <w:pStyle w:val="Tabletext"/>
              <w:rPr>
                <w:rFonts w:cs="Tahoma"/>
              </w:rPr>
            </w:pPr>
            <w:r>
              <w:rPr>
                <w:rFonts w:cs="Tahoma"/>
              </w:rPr>
              <w:t>Not s</w:t>
            </w:r>
            <w:r w:rsidRPr="00D36FBC">
              <w:rPr>
                <w:rFonts w:cs="Tahoma"/>
              </w:rPr>
              <w:t>erious</w:t>
            </w:r>
          </w:p>
        </w:tc>
        <w:tc>
          <w:tcPr>
            <w:tcW w:w="1230" w:type="dxa"/>
          </w:tcPr>
          <w:p w:rsidR="00CC3BA4" w:rsidRPr="00D36FBC" w:rsidRDefault="00CC3BA4" w:rsidP="00D1356D">
            <w:pPr>
              <w:pStyle w:val="Tabletext"/>
              <w:rPr>
                <w:rFonts w:cs="Tahoma"/>
              </w:rPr>
            </w:pPr>
            <w:r w:rsidRPr="00D36FBC">
              <w:rPr>
                <w:rFonts w:cs="Tahoma"/>
              </w:rPr>
              <w:t>None</w:t>
            </w:r>
          </w:p>
        </w:tc>
        <w:tc>
          <w:tcPr>
            <w:tcW w:w="1417" w:type="dxa"/>
          </w:tcPr>
          <w:p w:rsidR="00CC3BA4" w:rsidRPr="0077309F" w:rsidRDefault="00CC3BA4" w:rsidP="00D1356D">
            <w:pPr>
              <w:pStyle w:val="Tabletext"/>
              <w:rPr>
                <w:rFonts w:cs="Tahoma"/>
              </w:rPr>
            </w:pPr>
            <w:r>
              <w:rPr>
                <w:rFonts w:cs="Tahoma"/>
              </w:rPr>
              <w:t>0/51 (0.0%)</w:t>
            </w:r>
          </w:p>
        </w:tc>
        <w:tc>
          <w:tcPr>
            <w:tcW w:w="1134" w:type="dxa"/>
          </w:tcPr>
          <w:p w:rsidR="00CC3BA4" w:rsidRPr="001D2AD7" w:rsidRDefault="00CC3BA4" w:rsidP="00D1356D">
            <w:pPr>
              <w:pStyle w:val="Tabletext"/>
              <w:rPr>
                <w:rFonts w:cs="Tahoma"/>
                <w:highlight w:val="cyan"/>
              </w:rPr>
            </w:pPr>
            <w:r>
              <w:rPr>
                <w:rFonts w:cs="Tahoma"/>
              </w:rPr>
              <w:t>0</w:t>
            </w:r>
            <w:r w:rsidRPr="00A72EDD">
              <w:rPr>
                <w:rFonts w:cs="Tahoma"/>
              </w:rPr>
              <w:t>/54 (0.0%)</w:t>
            </w:r>
          </w:p>
        </w:tc>
        <w:tc>
          <w:tcPr>
            <w:tcW w:w="993" w:type="dxa"/>
          </w:tcPr>
          <w:p w:rsidR="00CC3BA4" w:rsidRPr="001D2AD7" w:rsidRDefault="00CC3BA4" w:rsidP="000E67F8">
            <w:pPr>
              <w:pStyle w:val="Tabletext"/>
              <w:rPr>
                <w:rFonts w:cs="Tahoma"/>
                <w:highlight w:val="cyan"/>
              </w:rPr>
            </w:pPr>
            <w:r>
              <w:rPr>
                <w:rFonts w:cs="Tahoma"/>
              </w:rPr>
              <w:t>N</w:t>
            </w:r>
            <w:r w:rsidRPr="00A72EDD">
              <w:rPr>
                <w:rFonts w:cs="Tahoma"/>
              </w:rPr>
              <w:t>o</w:t>
            </w:r>
            <w:r w:rsidR="000E67F8">
              <w:rPr>
                <w:rFonts w:cs="Tahoma"/>
              </w:rPr>
              <w:t xml:space="preserve"> deaths</w:t>
            </w:r>
          </w:p>
        </w:tc>
        <w:tc>
          <w:tcPr>
            <w:tcW w:w="2188" w:type="dxa"/>
          </w:tcPr>
          <w:p w:rsidR="00CC3BA4" w:rsidRPr="00D36FBC" w:rsidRDefault="00CC3BA4" w:rsidP="00D1356D">
            <w:pPr>
              <w:pStyle w:val="Tabletext"/>
              <w:rPr>
                <w:rFonts w:cs="Tahoma"/>
                <w:highlight w:val="cyan"/>
              </w:rPr>
            </w:pPr>
            <w:r w:rsidRPr="00A72EDD">
              <w:rPr>
                <w:rFonts w:cs="Tahoma"/>
              </w:rPr>
              <w:t>Not estimable</w:t>
            </w:r>
          </w:p>
        </w:tc>
        <w:tc>
          <w:tcPr>
            <w:tcW w:w="1214" w:type="dxa"/>
          </w:tcPr>
          <w:p w:rsidR="00CC3BA4" w:rsidRDefault="00CC3BA4" w:rsidP="00D1356D">
            <w:pPr>
              <w:pStyle w:val="Tabletext"/>
              <w:rPr>
                <w:rFonts w:ascii="Cambria Math" w:eastAsia="Times New Roman" w:hAnsi="Cambria Math" w:cs="Cambria Math"/>
                <w:bCs/>
              </w:rPr>
            </w:pPr>
            <w:r w:rsidRPr="00E564DD">
              <w:rPr>
                <w:rFonts w:eastAsia="Times New Roman" w:cs="Tahoma"/>
                <w:bCs/>
              </w:rPr>
              <w:t>Moderate</w:t>
            </w:r>
            <w:r>
              <w:rPr>
                <w:rFonts w:eastAsia="Times New Roman" w:cs="Tahoma"/>
                <w:bCs/>
              </w:rPr>
              <w:br/>
            </w: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D36FBC" w:rsidRDefault="00CC3BA4" w:rsidP="00D1356D">
            <w:pPr>
              <w:pStyle w:val="Tabletext"/>
              <w:rPr>
                <w:rFonts w:cs="Tahoma"/>
              </w:rPr>
            </w:pPr>
            <w:r w:rsidRPr="00E564DD">
              <w:rPr>
                <w:rFonts w:cs="Tahoma"/>
              </w:rPr>
              <w:t>Critical</w:t>
            </w:r>
          </w:p>
        </w:tc>
      </w:tr>
      <w:tr w:rsidR="00CC3BA4" w:rsidRPr="00D36FBC" w:rsidTr="00F37FD2">
        <w:trPr>
          <w:trHeight w:val="319"/>
        </w:trPr>
        <w:tc>
          <w:tcPr>
            <w:tcW w:w="1493" w:type="dxa"/>
          </w:tcPr>
          <w:p w:rsidR="00CC3BA4" w:rsidRPr="00D36FBC" w:rsidRDefault="00CC3BA4" w:rsidP="00D1356D">
            <w:pPr>
              <w:pStyle w:val="Tabletext"/>
              <w:rPr>
                <w:rFonts w:cs="Tahoma"/>
              </w:rPr>
            </w:pPr>
            <w:r w:rsidRPr="000E67F8">
              <w:rPr>
                <w:rFonts w:cs="Tahoma"/>
              </w:rPr>
              <w:t>Hospitalisation</w:t>
            </w:r>
            <w:r w:rsidR="00086A04">
              <w:rPr>
                <w:rFonts w:cs="Tahoma"/>
              </w:rPr>
              <w:t xml:space="preserve"> due to PAH</w:t>
            </w:r>
            <w:r w:rsidRPr="000E67F8">
              <w:rPr>
                <w:rFonts w:cs="Tahoma"/>
              </w:rPr>
              <w:br/>
              <w:t>(12−16 weeks)</w:t>
            </w:r>
          </w:p>
        </w:tc>
        <w:tc>
          <w:tcPr>
            <w:tcW w:w="1054" w:type="dxa"/>
          </w:tcPr>
          <w:p w:rsidR="00CC3BA4" w:rsidRPr="00D36FBC" w:rsidRDefault="00CC3BA4" w:rsidP="00D1356D">
            <w:pPr>
              <w:pStyle w:val="Tabletext"/>
              <w:rPr>
                <w:rFonts w:cs="Tahoma"/>
              </w:rPr>
            </w:pPr>
            <w:r>
              <w:rPr>
                <w:rFonts w:cs="Tahoma"/>
              </w:rPr>
              <w:t>2</w:t>
            </w:r>
            <w:r w:rsidRPr="00D36FBC">
              <w:rPr>
                <w:rFonts w:cs="Tahoma"/>
              </w:rPr>
              <w:t xml:space="preserve"> RCT</w:t>
            </w:r>
            <w:r>
              <w:rPr>
                <w:rFonts w:cs="Tahoma"/>
              </w:rPr>
              <w:t>s</w:t>
            </w:r>
          </w:p>
        </w:tc>
        <w:tc>
          <w:tcPr>
            <w:tcW w:w="771" w:type="dxa"/>
          </w:tcPr>
          <w:p w:rsidR="00CC3BA4" w:rsidRPr="00D36FBC" w:rsidRDefault="00CC3BA4" w:rsidP="00D1356D">
            <w:pPr>
              <w:pStyle w:val="Tabletext"/>
              <w:rPr>
                <w:rFonts w:cs="Tahoma"/>
              </w:rPr>
            </w:pPr>
            <w:r>
              <w:rPr>
                <w:rFonts w:cs="Tahoma"/>
              </w:rPr>
              <w:t>S</w:t>
            </w:r>
            <w:r w:rsidRPr="00D36FBC">
              <w:rPr>
                <w:rFonts w:cs="Tahoma"/>
              </w:rPr>
              <w:t>erious</w:t>
            </w:r>
            <w:r>
              <w:rPr>
                <w:rFonts w:cs="Tahoma"/>
              </w:rPr>
              <w:t xml:space="preserve"> </w:t>
            </w:r>
            <w:r w:rsidRPr="00B5424D">
              <w:rPr>
                <w:rFonts w:cs="Tahoma"/>
                <w:vertAlign w:val="superscript"/>
              </w:rPr>
              <w:t>c</w:t>
            </w:r>
          </w:p>
        </w:tc>
        <w:tc>
          <w:tcPr>
            <w:tcW w:w="1072" w:type="dxa"/>
          </w:tcPr>
          <w:p w:rsidR="00CC3BA4" w:rsidRPr="00D36FBC" w:rsidRDefault="00CC3BA4" w:rsidP="00D1356D">
            <w:pPr>
              <w:pStyle w:val="Tabletext"/>
              <w:rPr>
                <w:rFonts w:cs="Tahoma"/>
              </w:rPr>
            </w:pPr>
            <w:r>
              <w:rPr>
                <w:rFonts w:cs="Tahoma"/>
              </w:rPr>
              <w:t>Not serious</w:t>
            </w:r>
          </w:p>
        </w:tc>
        <w:tc>
          <w:tcPr>
            <w:tcW w:w="992" w:type="dxa"/>
          </w:tcPr>
          <w:p w:rsidR="00CC3BA4" w:rsidRPr="00D36FBC" w:rsidRDefault="00CC3BA4" w:rsidP="00D1356D">
            <w:pPr>
              <w:pStyle w:val="Tabletext"/>
              <w:rPr>
                <w:rFonts w:cs="Tahoma"/>
              </w:rPr>
            </w:pPr>
            <w:r w:rsidRPr="00D36FBC">
              <w:rPr>
                <w:rFonts w:cs="Tahoma"/>
              </w:rPr>
              <w:t>Not serious</w:t>
            </w:r>
          </w:p>
        </w:tc>
        <w:tc>
          <w:tcPr>
            <w:tcW w:w="1038" w:type="dxa"/>
          </w:tcPr>
          <w:p w:rsidR="00CC3BA4" w:rsidRPr="00D36FBC" w:rsidRDefault="00CC3BA4" w:rsidP="00D1356D">
            <w:pPr>
              <w:pStyle w:val="Tabletext"/>
              <w:rPr>
                <w:rFonts w:cs="Tahoma"/>
              </w:rPr>
            </w:pPr>
            <w:r w:rsidRPr="00D36FBC">
              <w:rPr>
                <w:rFonts w:cs="Tahoma"/>
              </w:rPr>
              <w:t>Not serious</w:t>
            </w:r>
          </w:p>
        </w:tc>
        <w:tc>
          <w:tcPr>
            <w:tcW w:w="1230" w:type="dxa"/>
          </w:tcPr>
          <w:p w:rsidR="00CC3BA4" w:rsidRPr="00D36FBC" w:rsidRDefault="00CC3BA4" w:rsidP="00D1356D">
            <w:pPr>
              <w:pStyle w:val="Tabletext"/>
              <w:rPr>
                <w:rFonts w:cs="Tahoma"/>
              </w:rPr>
            </w:pPr>
            <w:r w:rsidRPr="00D36FBC">
              <w:rPr>
                <w:rFonts w:cs="Tahoma"/>
              </w:rPr>
              <w:t>None</w:t>
            </w:r>
          </w:p>
        </w:tc>
        <w:tc>
          <w:tcPr>
            <w:tcW w:w="1417" w:type="dxa"/>
          </w:tcPr>
          <w:p w:rsidR="00CC3BA4" w:rsidRPr="0077309F" w:rsidRDefault="00CC3BA4" w:rsidP="00D1356D">
            <w:pPr>
              <w:pStyle w:val="Tabletext"/>
              <w:rPr>
                <w:rFonts w:cs="Tahoma"/>
              </w:rPr>
            </w:pPr>
            <w:r>
              <w:rPr>
                <w:rFonts w:cs="Tahoma"/>
              </w:rPr>
              <w:t>0/51 (0.0%)</w:t>
            </w:r>
          </w:p>
        </w:tc>
        <w:tc>
          <w:tcPr>
            <w:tcW w:w="1134" w:type="dxa"/>
          </w:tcPr>
          <w:p w:rsidR="00CC3BA4" w:rsidRPr="001D2AD7" w:rsidRDefault="00CC3BA4" w:rsidP="00D1356D">
            <w:pPr>
              <w:pStyle w:val="Tabletext"/>
              <w:rPr>
                <w:rFonts w:cs="Tahoma"/>
                <w:highlight w:val="cyan"/>
              </w:rPr>
            </w:pPr>
            <w:r>
              <w:rPr>
                <w:rFonts w:cs="Tahoma"/>
              </w:rPr>
              <w:t>4</w:t>
            </w:r>
            <w:r w:rsidRPr="00A72EDD">
              <w:rPr>
                <w:rFonts w:cs="Tahoma"/>
              </w:rPr>
              <w:t>/54 (0.0%)</w:t>
            </w:r>
          </w:p>
        </w:tc>
        <w:tc>
          <w:tcPr>
            <w:tcW w:w="993" w:type="dxa"/>
          </w:tcPr>
          <w:p w:rsidR="00CC3BA4" w:rsidRPr="001D2AD7" w:rsidRDefault="00B21201" w:rsidP="00C035C0">
            <w:pPr>
              <w:pStyle w:val="Tabletext"/>
              <w:rPr>
                <w:rFonts w:cs="Tahoma"/>
                <w:highlight w:val="cyan"/>
              </w:rPr>
            </w:pPr>
            <w:r>
              <w:rPr>
                <w:rFonts w:cs="Tahoma"/>
              </w:rPr>
              <w:t>ARD</w:t>
            </w:r>
            <w:r w:rsidR="00CC3BA4">
              <w:rPr>
                <w:rFonts w:cs="Tahoma"/>
              </w:rPr>
              <w:t xml:space="preserve"> = </w:t>
            </w:r>
            <w:r w:rsidR="00645E4A">
              <w:rPr>
                <w:rFonts w:cs="Tahoma"/>
              </w:rPr>
              <w:t>−</w:t>
            </w:r>
            <w:r w:rsidR="00C035C0">
              <w:rPr>
                <w:rFonts w:cs="Tahoma"/>
              </w:rPr>
              <w:t>5.5</w:t>
            </w:r>
            <w:r w:rsidR="00CC3BA4">
              <w:rPr>
                <w:rFonts w:cs="Tahoma"/>
              </w:rPr>
              <w:t>% (</w:t>
            </w:r>
            <w:r w:rsidR="00645E4A">
              <w:rPr>
                <w:rFonts w:cs="Tahoma"/>
              </w:rPr>
              <w:t>−1</w:t>
            </w:r>
            <w:r w:rsidR="00C035C0">
              <w:rPr>
                <w:rFonts w:cs="Tahoma"/>
              </w:rPr>
              <w:t>8.9</w:t>
            </w:r>
            <w:r w:rsidR="00645E4A">
              <w:rPr>
                <w:rFonts w:cs="Tahoma"/>
              </w:rPr>
              <w:t xml:space="preserve">, </w:t>
            </w:r>
            <w:r w:rsidR="00C035C0">
              <w:rPr>
                <w:rFonts w:cs="Tahoma"/>
              </w:rPr>
              <w:t>7.8</w:t>
            </w:r>
            <w:r w:rsidR="00CC3BA4">
              <w:rPr>
                <w:rFonts w:cs="Tahoma"/>
              </w:rPr>
              <w:t>)</w:t>
            </w:r>
          </w:p>
        </w:tc>
        <w:tc>
          <w:tcPr>
            <w:tcW w:w="2188" w:type="dxa"/>
          </w:tcPr>
          <w:p w:rsidR="00CC3BA4" w:rsidRPr="00D36FBC" w:rsidRDefault="00884F0A" w:rsidP="00734B37">
            <w:pPr>
              <w:pStyle w:val="Tabletext"/>
              <w:rPr>
                <w:rFonts w:cs="Tahoma"/>
                <w:highlight w:val="cyan"/>
              </w:rPr>
            </w:pPr>
            <w:r>
              <w:rPr>
                <w:rFonts w:cs="Tahoma"/>
              </w:rPr>
              <w:t>55</w:t>
            </w:r>
            <w:r w:rsidR="00CC3BA4" w:rsidRPr="00F032EC">
              <w:rPr>
                <w:rFonts w:cs="Tahoma"/>
              </w:rPr>
              <w:t xml:space="preserve"> fewer per 1,000</w:t>
            </w:r>
            <w:r w:rsidR="00CC3BA4">
              <w:rPr>
                <w:rFonts w:cs="Tahoma"/>
              </w:rPr>
              <w:br/>
            </w:r>
            <w:r w:rsidR="00CC3BA4" w:rsidRPr="00F032EC">
              <w:rPr>
                <w:rFonts w:cs="Tahoma"/>
              </w:rPr>
              <w:t xml:space="preserve">(from </w:t>
            </w:r>
            <w:r w:rsidR="00734B37">
              <w:rPr>
                <w:rFonts w:cs="Tahoma"/>
              </w:rPr>
              <w:t>7</w:t>
            </w:r>
            <w:r>
              <w:rPr>
                <w:rFonts w:cs="Tahoma"/>
              </w:rPr>
              <w:t>8</w:t>
            </w:r>
            <w:r w:rsidR="00CC3BA4" w:rsidRPr="00F032EC">
              <w:rPr>
                <w:rFonts w:cs="Tahoma"/>
              </w:rPr>
              <w:t xml:space="preserve"> </w:t>
            </w:r>
            <w:r w:rsidR="00734B37">
              <w:rPr>
                <w:rFonts w:cs="Tahoma"/>
              </w:rPr>
              <w:t>more</w:t>
            </w:r>
            <w:r w:rsidR="00CC3BA4" w:rsidRPr="00F032EC">
              <w:rPr>
                <w:rFonts w:cs="Tahoma"/>
              </w:rPr>
              <w:t xml:space="preserve"> to </w:t>
            </w:r>
            <w:r w:rsidR="00734B37">
              <w:rPr>
                <w:rFonts w:cs="Tahoma"/>
              </w:rPr>
              <w:t>1</w:t>
            </w:r>
            <w:r>
              <w:rPr>
                <w:rFonts w:cs="Tahoma"/>
              </w:rPr>
              <w:t>8</w:t>
            </w:r>
            <w:r w:rsidR="00734B37">
              <w:rPr>
                <w:rFonts w:cs="Tahoma"/>
              </w:rPr>
              <w:t>9</w:t>
            </w:r>
            <w:r>
              <w:rPr>
                <w:rFonts w:cs="Tahoma"/>
              </w:rPr>
              <w:t xml:space="preserve"> </w:t>
            </w:r>
            <w:r w:rsidR="00734B37">
              <w:rPr>
                <w:rFonts w:cs="Tahoma"/>
              </w:rPr>
              <w:t>fewer</w:t>
            </w:r>
            <w:r w:rsidR="00CC3BA4" w:rsidRPr="00F032EC">
              <w:rPr>
                <w:rFonts w:cs="Tahoma"/>
              </w:rPr>
              <w:t>)</w:t>
            </w:r>
          </w:p>
        </w:tc>
        <w:tc>
          <w:tcPr>
            <w:tcW w:w="1214" w:type="dxa"/>
          </w:tcPr>
          <w:p w:rsidR="00CC3BA4" w:rsidRDefault="00CC3BA4" w:rsidP="00D1356D">
            <w:pPr>
              <w:pStyle w:val="Tabletext"/>
              <w:rPr>
                <w:rFonts w:ascii="Cambria Math" w:eastAsia="Times New Roman" w:hAnsi="Cambria Math" w:cs="Cambria Math"/>
                <w:bCs/>
              </w:rPr>
            </w:pPr>
            <w:r w:rsidRPr="00E564DD">
              <w:rPr>
                <w:rFonts w:eastAsia="Times New Roman" w:cs="Tahoma"/>
                <w:bCs/>
              </w:rPr>
              <w:t>Moderate</w:t>
            </w:r>
            <w:r>
              <w:rPr>
                <w:rFonts w:eastAsia="Times New Roman" w:cs="Tahoma"/>
                <w:bCs/>
              </w:rPr>
              <w:br/>
            </w: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D36FBC" w:rsidRDefault="00CC3BA4" w:rsidP="00D1356D">
            <w:pPr>
              <w:pStyle w:val="Tabletext"/>
              <w:rPr>
                <w:rFonts w:eastAsia="Times New Roman" w:cs="Cambria Math"/>
                <w:bCs/>
                <w:color w:val="00B050"/>
              </w:rPr>
            </w:pPr>
            <w:r>
              <w:rPr>
                <w:rFonts w:cs="Tahoma"/>
              </w:rPr>
              <w:t>I</w:t>
            </w:r>
            <w:r w:rsidRPr="00E564DD">
              <w:rPr>
                <w:rFonts w:cs="Tahoma"/>
              </w:rPr>
              <w:t>mportant</w:t>
            </w:r>
          </w:p>
        </w:tc>
      </w:tr>
      <w:tr w:rsidR="00CC3BA4" w:rsidRPr="00D36FBC" w:rsidTr="00F37FD2">
        <w:trPr>
          <w:trHeight w:val="319"/>
        </w:trPr>
        <w:tc>
          <w:tcPr>
            <w:tcW w:w="1493" w:type="dxa"/>
          </w:tcPr>
          <w:p w:rsidR="00CC3BA4" w:rsidRDefault="00CC3BA4" w:rsidP="00D1356D">
            <w:pPr>
              <w:pStyle w:val="Tabletext"/>
              <w:rPr>
                <w:rFonts w:cs="Tahoma"/>
              </w:rPr>
            </w:pPr>
            <w:r>
              <w:rPr>
                <w:rFonts w:cs="Tahoma"/>
              </w:rPr>
              <w:t>Improved WHO FC</w:t>
            </w:r>
          </w:p>
          <w:p w:rsidR="00CC3BA4" w:rsidRPr="00D36FBC" w:rsidRDefault="00CC3BA4" w:rsidP="00D1356D">
            <w:pPr>
              <w:pStyle w:val="Tabletext"/>
              <w:rPr>
                <w:rFonts w:cs="Tahoma"/>
              </w:rPr>
            </w:pPr>
            <w:r>
              <w:rPr>
                <w:rFonts w:cs="Tahoma"/>
              </w:rPr>
              <w:t>(12 weeks)</w:t>
            </w:r>
          </w:p>
        </w:tc>
        <w:tc>
          <w:tcPr>
            <w:tcW w:w="1054" w:type="dxa"/>
          </w:tcPr>
          <w:p w:rsidR="00CC3BA4" w:rsidRPr="00D36FBC" w:rsidRDefault="00CC3BA4" w:rsidP="00D1356D">
            <w:pPr>
              <w:pStyle w:val="Tabletext"/>
              <w:rPr>
                <w:rFonts w:cs="Tahoma"/>
              </w:rPr>
            </w:pPr>
            <w:r>
              <w:rPr>
                <w:rFonts w:cs="Tahoma"/>
              </w:rPr>
              <w:t>1 RCT</w:t>
            </w:r>
          </w:p>
        </w:tc>
        <w:tc>
          <w:tcPr>
            <w:tcW w:w="771" w:type="dxa"/>
          </w:tcPr>
          <w:p w:rsidR="00CC3BA4" w:rsidRPr="00D36FBC" w:rsidRDefault="00CC3BA4" w:rsidP="00D1356D">
            <w:pPr>
              <w:pStyle w:val="Tabletext"/>
              <w:rPr>
                <w:rFonts w:cs="Tahoma"/>
              </w:rPr>
            </w:pPr>
            <w:r w:rsidRPr="00D36FBC">
              <w:rPr>
                <w:rFonts w:cs="Tahoma"/>
              </w:rPr>
              <w:t>Not serious</w:t>
            </w:r>
          </w:p>
        </w:tc>
        <w:tc>
          <w:tcPr>
            <w:tcW w:w="1072" w:type="dxa"/>
          </w:tcPr>
          <w:p w:rsidR="00CC3BA4" w:rsidRPr="00D36FBC" w:rsidRDefault="00CC3BA4" w:rsidP="00D1356D">
            <w:pPr>
              <w:pStyle w:val="Tabletext"/>
              <w:rPr>
                <w:rFonts w:cs="Tahoma"/>
              </w:rPr>
            </w:pPr>
            <w:r w:rsidRPr="00D36FBC">
              <w:rPr>
                <w:rFonts w:cs="Tahoma"/>
              </w:rPr>
              <w:t>Not serious</w:t>
            </w:r>
          </w:p>
        </w:tc>
        <w:tc>
          <w:tcPr>
            <w:tcW w:w="992" w:type="dxa"/>
          </w:tcPr>
          <w:p w:rsidR="00CC3BA4" w:rsidRPr="00D36FBC" w:rsidRDefault="00CC3BA4" w:rsidP="00D1356D">
            <w:pPr>
              <w:pStyle w:val="Tabletext"/>
              <w:rPr>
                <w:rFonts w:cs="Tahoma"/>
              </w:rPr>
            </w:pPr>
            <w:r w:rsidRPr="00D36FBC">
              <w:rPr>
                <w:rFonts w:cs="Tahoma"/>
              </w:rPr>
              <w:t>Not serious</w:t>
            </w:r>
          </w:p>
        </w:tc>
        <w:tc>
          <w:tcPr>
            <w:tcW w:w="1038" w:type="dxa"/>
          </w:tcPr>
          <w:p w:rsidR="00CC3BA4" w:rsidRPr="00E86FC8" w:rsidRDefault="00872747" w:rsidP="00872747">
            <w:pPr>
              <w:pStyle w:val="Tabletext"/>
              <w:rPr>
                <w:rFonts w:cs="Tahoma"/>
                <w:vertAlign w:val="superscript"/>
              </w:rPr>
            </w:pPr>
            <w:r>
              <w:rPr>
                <w:rFonts w:cs="Tahoma"/>
              </w:rPr>
              <w:t>Very s</w:t>
            </w:r>
            <w:r w:rsidR="00CC3BA4" w:rsidRPr="00D36FBC">
              <w:rPr>
                <w:rFonts w:cs="Tahoma"/>
              </w:rPr>
              <w:t>erious</w:t>
            </w:r>
            <w:r w:rsidR="00E86FC8">
              <w:rPr>
                <w:rFonts w:cs="Tahoma"/>
                <w:vertAlign w:val="superscript"/>
              </w:rPr>
              <w:t xml:space="preserve"> d</w:t>
            </w:r>
          </w:p>
        </w:tc>
        <w:tc>
          <w:tcPr>
            <w:tcW w:w="1230" w:type="dxa"/>
          </w:tcPr>
          <w:p w:rsidR="00CC3BA4" w:rsidRPr="00AC54F2" w:rsidRDefault="00CC3BA4" w:rsidP="00D1356D">
            <w:pPr>
              <w:pStyle w:val="Tabletext"/>
              <w:rPr>
                <w:rFonts w:cs="Tahoma"/>
              </w:rPr>
            </w:pPr>
            <w:r>
              <w:rPr>
                <w:rFonts w:cs="Tahoma"/>
              </w:rPr>
              <w:t>Very s</w:t>
            </w:r>
            <w:r w:rsidRPr="00D36FBC">
              <w:rPr>
                <w:rFonts w:cs="Tahoma"/>
              </w:rPr>
              <w:t>trong association</w:t>
            </w:r>
          </w:p>
        </w:tc>
        <w:tc>
          <w:tcPr>
            <w:tcW w:w="1417" w:type="dxa"/>
          </w:tcPr>
          <w:p w:rsidR="00CC3BA4" w:rsidRDefault="00CC3BA4" w:rsidP="00D1356D">
            <w:pPr>
              <w:pStyle w:val="Tabletext"/>
              <w:rPr>
                <w:rFonts w:eastAsia="Times New Roman"/>
              </w:rPr>
            </w:pPr>
            <w:r w:rsidRPr="00A72EDD">
              <w:rPr>
                <w:rFonts w:eastAsia="Times New Roman"/>
              </w:rPr>
              <w:t>11/32 (34.4%)</w:t>
            </w:r>
          </w:p>
        </w:tc>
        <w:tc>
          <w:tcPr>
            <w:tcW w:w="1134" w:type="dxa"/>
          </w:tcPr>
          <w:p w:rsidR="00CC3BA4" w:rsidRDefault="00CC3BA4" w:rsidP="00D1356D">
            <w:pPr>
              <w:pStyle w:val="Tabletext"/>
              <w:rPr>
                <w:rStyle w:val="cell-value"/>
                <w:rFonts w:asciiTheme="minorHAnsi" w:eastAsia="Times New Roman" w:hAnsiTheme="minorHAnsi"/>
              </w:rPr>
            </w:pPr>
            <w:r w:rsidRPr="00A72EDD">
              <w:rPr>
                <w:rFonts w:eastAsia="Times New Roman"/>
              </w:rPr>
              <w:t>2/33 (6.1%)</w:t>
            </w:r>
          </w:p>
        </w:tc>
        <w:tc>
          <w:tcPr>
            <w:tcW w:w="993" w:type="dxa"/>
          </w:tcPr>
          <w:p w:rsidR="00CC3BA4" w:rsidRPr="00645E4A" w:rsidRDefault="00CC3BA4" w:rsidP="00D1356D">
            <w:pPr>
              <w:pStyle w:val="Tabletext"/>
              <w:rPr>
                <w:rFonts w:eastAsia="Times New Roman"/>
              </w:rPr>
            </w:pPr>
            <w:r w:rsidRPr="00A72EDD">
              <w:rPr>
                <w:rFonts w:eastAsia="Times New Roman"/>
              </w:rPr>
              <w:t xml:space="preserve">RR </w:t>
            </w:r>
            <w:r>
              <w:rPr>
                <w:rFonts w:eastAsia="Times New Roman"/>
              </w:rPr>
              <w:t xml:space="preserve">= </w:t>
            </w:r>
            <w:r w:rsidRPr="00A72EDD">
              <w:rPr>
                <w:rFonts w:eastAsia="Times New Roman"/>
              </w:rPr>
              <w:t>5.67</w:t>
            </w:r>
            <w:r>
              <w:rPr>
                <w:rFonts w:eastAsia="Times New Roman"/>
              </w:rPr>
              <w:t xml:space="preserve"> </w:t>
            </w:r>
            <w:r w:rsidRPr="00A72EDD">
              <w:rPr>
                <w:rFonts w:eastAsia="Times New Roman"/>
              </w:rPr>
              <w:t>(1.36</w:t>
            </w:r>
            <w:r>
              <w:rPr>
                <w:rFonts w:eastAsia="Times New Roman"/>
              </w:rPr>
              <w:t xml:space="preserve">, </w:t>
            </w:r>
            <w:r w:rsidR="00645E4A">
              <w:rPr>
                <w:rFonts w:eastAsia="Times New Roman"/>
              </w:rPr>
              <w:t>23.61)</w:t>
            </w:r>
          </w:p>
        </w:tc>
        <w:tc>
          <w:tcPr>
            <w:tcW w:w="2188" w:type="dxa"/>
          </w:tcPr>
          <w:p w:rsidR="00CC3BA4" w:rsidRDefault="00CC3BA4" w:rsidP="00D1356D">
            <w:pPr>
              <w:pStyle w:val="Tabletext"/>
              <w:rPr>
                <w:rFonts w:cs="Tahoma"/>
              </w:rPr>
            </w:pPr>
            <w:r w:rsidRPr="00A72EDD">
              <w:rPr>
                <w:rFonts w:eastAsia="Times New Roman"/>
              </w:rPr>
              <w:t>283 more per 1,000</w:t>
            </w:r>
            <w:r>
              <w:rPr>
                <w:rFonts w:eastAsia="Times New Roman"/>
              </w:rPr>
              <w:br/>
            </w:r>
            <w:r w:rsidRPr="00A72EDD">
              <w:rPr>
                <w:rFonts w:eastAsia="Times New Roman"/>
              </w:rPr>
              <w:t>(from 22 more to 1,000 more)</w:t>
            </w:r>
          </w:p>
        </w:tc>
        <w:tc>
          <w:tcPr>
            <w:tcW w:w="1214" w:type="dxa"/>
          </w:tcPr>
          <w:p w:rsidR="00872747" w:rsidRDefault="00872747" w:rsidP="00872747">
            <w:pPr>
              <w:pStyle w:val="Tabletext"/>
              <w:rPr>
                <w:rFonts w:ascii="Cambria Math" w:eastAsia="Times New Roman" w:hAnsi="Cambria Math" w:cs="Cambria Math"/>
                <w:bCs/>
              </w:rPr>
            </w:pPr>
            <w:r>
              <w:rPr>
                <w:rFonts w:eastAsia="Times New Roman" w:cs="Tahoma"/>
                <w:bCs/>
              </w:rPr>
              <w:t>Low</w:t>
            </w:r>
            <w:r>
              <w:rPr>
                <w:rFonts w:eastAsia="Times New Roman" w:cs="Tahoma"/>
                <w:bCs/>
              </w:rPr>
              <w:br/>
            </w: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E564DD" w:rsidRDefault="00CC3BA4" w:rsidP="00D1356D">
            <w:pPr>
              <w:pStyle w:val="Tabletext"/>
              <w:rPr>
                <w:rFonts w:eastAsia="Times New Roman" w:cs="Tahoma"/>
                <w:bCs/>
              </w:rPr>
            </w:pPr>
            <w:r>
              <w:rPr>
                <w:rFonts w:eastAsia="Times New Roman" w:cs="Tahoma"/>
                <w:bCs/>
              </w:rPr>
              <w:t>Important</w:t>
            </w:r>
          </w:p>
        </w:tc>
      </w:tr>
      <w:tr w:rsidR="00CC3BA4" w:rsidRPr="00D36FBC" w:rsidTr="00F37FD2">
        <w:trPr>
          <w:trHeight w:val="319"/>
        </w:trPr>
        <w:tc>
          <w:tcPr>
            <w:tcW w:w="1493" w:type="dxa"/>
          </w:tcPr>
          <w:p w:rsidR="00CC3BA4" w:rsidRPr="000E67F8" w:rsidRDefault="00CC3BA4" w:rsidP="00D1356D">
            <w:pPr>
              <w:pStyle w:val="Tabletext"/>
              <w:rPr>
                <w:rFonts w:cs="Tahoma"/>
              </w:rPr>
            </w:pPr>
            <w:r w:rsidRPr="000E67F8">
              <w:rPr>
                <w:rFonts w:cs="Tahoma"/>
              </w:rPr>
              <w:t>Worsened WHO FC</w:t>
            </w:r>
          </w:p>
          <w:p w:rsidR="00CC3BA4" w:rsidRPr="000E67F8" w:rsidRDefault="00CC3BA4" w:rsidP="00D1356D">
            <w:pPr>
              <w:pStyle w:val="Tabletext"/>
              <w:rPr>
                <w:rFonts w:cs="Tahoma"/>
              </w:rPr>
            </w:pPr>
            <w:r w:rsidRPr="000E67F8">
              <w:rPr>
                <w:rFonts w:cs="Tahoma"/>
              </w:rPr>
              <w:t>(12 weeks)</w:t>
            </w:r>
          </w:p>
        </w:tc>
        <w:tc>
          <w:tcPr>
            <w:tcW w:w="1054" w:type="dxa"/>
          </w:tcPr>
          <w:p w:rsidR="00CC3BA4" w:rsidRPr="00D36FBC" w:rsidRDefault="00CC3BA4" w:rsidP="00D1356D">
            <w:pPr>
              <w:pStyle w:val="Tabletext"/>
              <w:rPr>
                <w:rFonts w:cs="Tahoma"/>
              </w:rPr>
            </w:pPr>
            <w:r>
              <w:rPr>
                <w:rFonts w:cs="Tahoma"/>
              </w:rPr>
              <w:t>1 RCT</w:t>
            </w:r>
          </w:p>
        </w:tc>
        <w:tc>
          <w:tcPr>
            <w:tcW w:w="771" w:type="dxa"/>
          </w:tcPr>
          <w:p w:rsidR="00CC3BA4" w:rsidRPr="00D36FBC" w:rsidRDefault="00CC3BA4" w:rsidP="00D1356D">
            <w:pPr>
              <w:pStyle w:val="Tabletext"/>
              <w:rPr>
                <w:rFonts w:cs="Tahoma"/>
              </w:rPr>
            </w:pPr>
            <w:r w:rsidRPr="00D36FBC">
              <w:rPr>
                <w:rFonts w:cs="Tahoma"/>
              </w:rPr>
              <w:t>Not serious</w:t>
            </w:r>
          </w:p>
        </w:tc>
        <w:tc>
          <w:tcPr>
            <w:tcW w:w="1072" w:type="dxa"/>
          </w:tcPr>
          <w:p w:rsidR="00CC3BA4" w:rsidRPr="00D36FBC" w:rsidRDefault="00CC3BA4" w:rsidP="00D1356D">
            <w:pPr>
              <w:pStyle w:val="Tabletext"/>
              <w:rPr>
                <w:rFonts w:cs="Tahoma"/>
              </w:rPr>
            </w:pPr>
            <w:r w:rsidRPr="00D36FBC">
              <w:rPr>
                <w:rFonts w:cs="Tahoma"/>
              </w:rPr>
              <w:t>Not serious</w:t>
            </w:r>
          </w:p>
        </w:tc>
        <w:tc>
          <w:tcPr>
            <w:tcW w:w="992" w:type="dxa"/>
          </w:tcPr>
          <w:p w:rsidR="00CC3BA4" w:rsidRPr="00D36FBC" w:rsidRDefault="00CC3BA4" w:rsidP="00D1356D">
            <w:pPr>
              <w:pStyle w:val="Tabletext"/>
              <w:rPr>
                <w:rFonts w:cs="Tahoma"/>
              </w:rPr>
            </w:pPr>
            <w:r w:rsidRPr="00D36FBC">
              <w:rPr>
                <w:rFonts w:cs="Tahoma"/>
              </w:rPr>
              <w:t>Not serious</w:t>
            </w:r>
          </w:p>
        </w:tc>
        <w:tc>
          <w:tcPr>
            <w:tcW w:w="1038" w:type="dxa"/>
          </w:tcPr>
          <w:p w:rsidR="00CC3BA4" w:rsidRPr="00E86FC8" w:rsidRDefault="00E86FC8" w:rsidP="00D1356D">
            <w:pPr>
              <w:pStyle w:val="Tabletext"/>
              <w:rPr>
                <w:rFonts w:cs="Tahoma"/>
                <w:vertAlign w:val="superscript"/>
              </w:rPr>
            </w:pPr>
            <w:r>
              <w:rPr>
                <w:rFonts w:cs="Tahoma"/>
              </w:rPr>
              <w:t>S</w:t>
            </w:r>
            <w:r w:rsidR="00CC3BA4" w:rsidRPr="00D36FBC">
              <w:rPr>
                <w:rFonts w:cs="Tahoma"/>
              </w:rPr>
              <w:t>erious</w:t>
            </w:r>
            <w:r>
              <w:rPr>
                <w:rFonts w:cs="Tahoma"/>
                <w:vertAlign w:val="superscript"/>
              </w:rPr>
              <w:t xml:space="preserve"> d</w:t>
            </w:r>
          </w:p>
        </w:tc>
        <w:tc>
          <w:tcPr>
            <w:tcW w:w="1230" w:type="dxa"/>
          </w:tcPr>
          <w:p w:rsidR="00CC3BA4" w:rsidRPr="00AC54F2" w:rsidRDefault="00CC3BA4" w:rsidP="00D1356D">
            <w:pPr>
              <w:pStyle w:val="Tabletext"/>
              <w:rPr>
                <w:rFonts w:cs="Tahoma"/>
              </w:rPr>
            </w:pPr>
            <w:r>
              <w:rPr>
                <w:rFonts w:cs="Tahoma"/>
              </w:rPr>
              <w:t>None</w:t>
            </w:r>
          </w:p>
        </w:tc>
        <w:tc>
          <w:tcPr>
            <w:tcW w:w="1417" w:type="dxa"/>
          </w:tcPr>
          <w:p w:rsidR="00CC3BA4" w:rsidRDefault="00CC3BA4" w:rsidP="00D1356D">
            <w:pPr>
              <w:pStyle w:val="Tabletext"/>
              <w:rPr>
                <w:rFonts w:eastAsia="Times New Roman"/>
              </w:rPr>
            </w:pPr>
            <w:r>
              <w:rPr>
                <w:rFonts w:eastAsia="Times New Roman"/>
              </w:rPr>
              <w:t>0/32 (0.0%)</w:t>
            </w:r>
          </w:p>
        </w:tc>
        <w:tc>
          <w:tcPr>
            <w:tcW w:w="1134" w:type="dxa"/>
          </w:tcPr>
          <w:p w:rsidR="00CC3BA4" w:rsidRDefault="00CC3BA4" w:rsidP="00D1356D">
            <w:pPr>
              <w:pStyle w:val="Tabletext"/>
              <w:rPr>
                <w:rStyle w:val="cell-value"/>
                <w:rFonts w:asciiTheme="minorHAnsi" w:eastAsia="Times New Roman" w:hAnsiTheme="minorHAnsi"/>
              </w:rPr>
            </w:pPr>
            <w:r w:rsidRPr="00A72EDD">
              <w:rPr>
                <w:rFonts w:eastAsia="Times New Roman"/>
              </w:rPr>
              <w:t>1/33 (3.0%)</w:t>
            </w:r>
          </w:p>
        </w:tc>
        <w:tc>
          <w:tcPr>
            <w:tcW w:w="993" w:type="dxa"/>
          </w:tcPr>
          <w:p w:rsidR="00CC3BA4" w:rsidRPr="0077309F" w:rsidRDefault="00B21201" w:rsidP="00645E4A">
            <w:pPr>
              <w:pStyle w:val="Tabletext"/>
              <w:rPr>
                <w:rFonts w:eastAsia="Times New Roman"/>
                <w:bCs/>
              </w:rPr>
            </w:pPr>
            <w:r>
              <w:rPr>
                <w:rFonts w:eastAsia="Times New Roman"/>
              </w:rPr>
              <w:t>ARD</w:t>
            </w:r>
            <w:r w:rsidR="00CC3BA4" w:rsidRPr="00A72EDD">
              <w:rPr>
                <w:rFonts w:eastAsia="Times New Roman"/>
              </w:rPr>
              <w:t xml:space="preserve"> = </w:t>
            </w:r>
            <w:r w:rsidR="00645E4A">
              <w:rPr>
                <w:rFonts w:eastAsia="Times New Roman"/>
              </w:rPr>
              <w:t>−</w:t>
            </w:r>
            <w:r w:rsidR="00CC3BA4" w:rsidRPr="00A72EDD">
              <w:rPr>
                <w:rFonts w:eastAsia="Times New Roman"/>
              </w:rPr>
              <w:t xml:space="preserve">3.0% </w:t>
            </w:r>
            <w:r w:rsidR="00CC3BA4">
              <w:rPr>
                <w:rFonts w:eastAsia="Times New Roman"/>
              </w:rPr>
              <w:t>(</w:t>
            </w:r>
            <w:r w:rsidR="00CC3BA4" w:rsidRPr="00A72EDD">
              <w:rPr>
                <w:rFonts w:eastAsia="Times New Roman"/>
              </w:rPr>
              <w:t>−</w:t>
            </w:r>
            <w:r w:rsidR="00645E4A" w:rsidRPr="00A72EDD">
              <w:rPr>
                <w:rFonts w:eastAsia="Times New Roman"/>
              </w:rPr>
              <w:t>8.9</w:t>
            </w:r>
            <w:r w:rsidR="00645E4A">
              <w:rPr>
                <w:rFonts w:eastAsia="Times New Roman"/>
              </w:rPr>
              <w:t xml:space="preserve">, </w:t>
            </w:r>
            <w:r w:rsidR="00CC3BA4" w:rsidRPr="00A72EDD">
              <w:rPr>
                <w:rFonts w:eastAsia="Times New Roman"/>
              </w:rPr>
              <w:t>2.8</w:t>
            </w:r>
            <w:r w:rsidR="00CC3BA4">
              <w:rPr>
                <w:rFonts w:eastAsia="Times New Roman"/>
              </w:rPr>
              <w:t>)</w:t>
            </w:r>
          </w:p>
        </w:tc>
        <w:tc>
          <w:tcPr>
            <w:tcW w:w="2188" w:type="dxa"/>
          </w:tcPr>
          <w:p w:rsidR="00CC3BA4" w:rsidRDefault="00CC3BA4" w:rsidP="00734B37">
            <w:pPr>
              <w:pStyle w:val="Tabletext"/>
              <w:rPr>
                <w:rFonts w:cs="Tahoma"/>
              </w:rPr>
            </w:pPr>
            <w:r w:rsidRPr="00A72EDD">
              <w:rPr>
                <w:rFonts w:eastAsia="Times New Roman"/>
              </w:rPr>
              <w:t>30 fewer per 1,000</w:t>
            </w:r>
            <w:r>
              <w:rPr>
                <w:rFonts w:eastAsia="Times New Roman"/>
              </w:rPr>
              <w:br/>
            </w:r>
            <w:r w:rsidRPr="00A72EDD">
              <w:rPr>
                <w:rFonts w:eastAsia="Times New Roman"/>
              </w:rPr>
              <w:t xml:space="preserve">(from </w:t>
            </w:r>
            <w:r w:rsidR="00734B37">
              <w:rPr>
                <w:rFonts w:eastAsia="Times New Roman"/>
              </w:rPr>
              <w:t>2</w:t>
            </w:r>
            <w:r w:rsidRPr="00A72EDD">
              <w:rPr>
                <w:rFonts w:eastAsia="Times New Roman"/>
              </w:rPr>
              <w:t xml:space="preserve">8 </w:t>
            </w:r>
            <w:r w:rsidR="00734B37">
              <w:rPr>
                <w:rFonts w:eastAsia="Times New Roman"/>
              </w:rPr>
              <w:t xml:space="preserve">more </w:t>
            </w:r>
            <w:r w:rsidR="00645E4A" w:rsidRPr="00A72EDD">
              <w:rPr>
                <w:rFonts w:eastAsia="Times New Roman"/>
              </w:rPr>
              <w:t>to 8</w:t>
            </w:r>
            <w:r w:rsidR="00734B37">
              <w:rPr>
                <w:rFonts w:eastAsia="Times New Roman"/>
              </w:rPr>
              <w:t>9</w:t>
            </w:r>
            <w:r w:rsidR="00645E4A" w:rsidRPr="00A72EDD">
              <w:rPr>
                <w:rFonts w:eastAsia="Times New Roman"/>
              </w:rPr>
              <w:t xml:space="preserve"> </w:t>
            </w:r>
            <w:r w:rsidR="00734B37">
              <w:rPr>
                <w:rFonts w:eastAsia="Times New Roman"/>
              </w:rPr>
              <w:t>fewer</w:t>
            </w:r>
            <w:r w:rsidRPr="00A72EDD">
              <w:rPr>
                <w:rFonts w:eastAsia="Times New Roman"/>
              </w:rPr>
              <w:t>)</w:t>
            </w:r>
          </w:p>
        </w:tc>
        <w:tc>
          <w:tcPr>
            <w:tcW w:w="1214" w:type="dxa"/>
          </w:tcPr>
          <w:p w:rsidR="00E86FC8" w:rsidRDefault="00E86FC8" w:rsidP="00E86FC8">
            <w:pPr>
              <w:pStyle w:val="Tabletext"/>
              <w:rPr>
                <w:rFonts w:ascii="Cambria Math" w:eastAsia="Times New Roman" w:hAnsi="Cambria Math" w:cs="Cambria Math"/>
                <w:bCs/>
              </w:rPr>
            </w:pPr>
            <w:r w:rsidRPr="00E564DD">
              <w:rPr>
                <w:rFonts w:eastAsia="Times New Roman" w:cs="Tahoma"/>
                <w:bCs/>
              </w:rPr>
              <w:t>Moderate</w:t>
            </w:r>
            <w:r>
              <w:rPr>
                <w:rFonts w:eastAsia="Times New Roman" w:cs="Tahoma"/>
                <w:bCs/>
              </w:rPr>
              <w:br/>
            </w: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E564DD" w:rsidRDefault="00CC3BA4" w:rsidP="00D1356D">
            <w:pPr>
              <w:pStyle w:val="Tabletext"/>
              <w:rPr>
                <w:rFonts w:eastAsia="Times New Roman" w:cs="Tahoma"/>
                <w:bCs/>
              </w:rPr>
            </w:pPr>
            <w:r>
              <w:rPr>
                <w:rFonts w:eastAsia="Times New Roman" w:cs="Tahoma"/>
                <w:bCs/>
              </w:rPr>
              <w:t>Important</w:t>
            </w:r>
          </w:p>
        </w:tc>
      </w:tr>
      <w:tr w:rsidR="00B14FF5" w:rsidRPr="00D36FBC" w:rsidTr="00F37FD2">
        <w:trPr>
          <w:trHeight w:val="319"/>
        </w:trPr>
        <w:tc>
          <w:tcPr>
            <w:tcW w:w="1493" w:type="dxa"/>
          </w:tcPr>
          <w:p w:rsidR="00B14FF5" w:rsidRPr="000E67F8" w:rsidRDefault="00B14FF5" w:rsidP="00D1356D">
            <w:pPr>
              <w:pStyle w:val="Tabletext"/>
              <w:rPr>
                <w:rFonts w:cs="Tahoma"/>
              </w:rPr>
            </w:pPr>
            <w:r w:rsidRPr="000E67F8">
              <w:rPr>
                <w:rFonts w:cs="Tahoma"/>
              </w:rPr>
              <w:t>Change in 6MWD from baseline</w:t>
            </w:r>
            <w:r w:rsidRPr="000E67F8">
              <w:rPr>
                <w:rFonts w:cs="Tahoma"/>
              </w:rPr>
              <w:br/>
              <w:t xml:space="preserve">(12−16 weeks) </w:t>
            </w:r>
          </w:p>
        </w:tc>
        <w:tc>
          <w:tcPr>
            <w:tcW w:w="1054" w:type="dxa"/>
          </w:tcPr>
          <w:p w:rsidR="00B14FF5" w:rsidRPr="00D36FBC" w:rsidRDefault="00B14FF5" w:rsidP="00D1356D">
            <w:pPr>
              <w:pStyle w:val="Tabletext"/>
              <w:rPr>
                <w:rFonts w:cs="Tahoma"/>
              </w:rPr>
            </w:pPr>
            <w:r>
              <w:rPr>
                <w:rFonts w:cs="Tahoma"/>
              </w:rPr>
              <w:t>2</w:t>
            </w:r>
            <w:r w:rsidRPr="00D36FBC">
              <w:rPr>
                <w:rFonts w:cs="Tahoma"/>
              </w:rPr>
              <w:t xml:space="preserve"> RCT</w:t>
            </w:r>
            <w:r>
              <w:rPr>
                <w:rFonts w:cs="Tahoma"/>
              </w:rPr>
              <w:t>s</w:t>
            </w:r>
          </w:p>
        </w:tc>
        <w:tc>
          <w:tcPr>
            <w:tcW w:w="771" w:type="dxa"/>
          </w:tcPr>
          <w:p w:rsidR="00B14FF5" w:rsidRPr="00D36FBC" w:rsidRDefault="00B14FF5" w:rsidP="00D1356D">
            <w:pPr>
              <w:pStyle w:val="Tabletext"/>
              <w:rPr>
                <w:rFonts w:cs="Tahoma"/>
              </w:rPr>
            </w:pPr>
            <w:r>
              <w:rPr>
                <w:rFonts w:cs="Tahoma"/>
              </w:rPr>
              <w:t>S</w:t>
            </w:r>
            <w:r w:rsidRPr="00D36FBC">
              <w:rPr>
                <w:rFonts w:cs="Tahoma"/>
              </w:rPr>
              <w:t>erious</w:t>
            </w:r>
            <w:r>
              <w:rPr>
                <w:rFonts w:cs="Tahoma"/>
              </w:rPr>
              <w:t xml:space="preserve"> </w:t>
            </w:r>
            <w:r w:rsidRPr="000E67F8">
              <w:rPr>
                <w:rFonts w:cs="Tahoma"/>
                <w:vertAlign w:val="superscript"/>
              </w:rPr>
              <w:t>c</w:t>
            </w:r>
          </w:p>
        </w:tc>
        <w:tc>
          <w:tcPr>
            <w:tcW w:w="1072" w:type="dxa"/>
          </w:tcPr>
          <w:p w:rsidR="00B14FF5" w:rsidRPr="00D36FBC" w:rsidRDefault="00B14FF5" w:rsidP="00D1356D">
            <w:pPr>
              <w:pStyle w:val="Tabletext"/>
              <w:rPr>
                <w:rFonts w:cs="Tahoma"/>
              </w:rPr>
            </w:pPr>
            <w:r w:rsidRPr="00D36FBC">
              <w:rPr>
                <w:rFonts w:cs="Tahoma"/>
              </w:rPr>
              <w:t>Not serious</w:t>
            </w:r>
          </w:p>
        </w:tc>
        <w:tc>
          <w:tcPr>
            <w:tcW w:w="992" w:type="dxa"/>
          </w:tcPr>
          <w:p w:rsidR="00B14FF5" w:rsidRPr="00F95747" w:rsidRDefault="00312FDE" w:rsidP="00D1356D">
            <w:pPr>
              <w:pStyle w:val="Tabletext"/>
              <w:rPr>
                <w:rFonts w:cs="Tahoma"/>
                <w:vertAlign w:val="superscript"/>
              </w:rPr>
            </w:pPr>
            <w:r>
              <w:rPr>
                <w:rFonts w:cs="Tahoma"/>
              </w:rPr>
              <w:t>S</w:t>
            </w:r>
            <w:r w:rsidR="00B14FF5" w:rsidRPr="00D36FBC">
              <w:rPr>
                <w:rFonts w:cs="Tahoma"/>
              </w:rPr>
              <w:t>erious</w:t>
            </w:r>
            <w:r>
              <w:rPr>
                <w:rFonts w:cs="Tahoma"/>
                <w:vertAlign w:val="superscript"/>
              </w:rPr>
              <w:t xml:space="preserve"> e</w:t>
            </w:r>
          </w:p>
        </w:tc>
        <w:tc>
          <w:tcPr>
            <w:tcW w:w="1038" w:type="dxa"/>
          </w:tcPr>
          <w:p w:rsidR="00B14FF5" w:rsidRPr="00D36FBC" w:rsidRDefault="00B14FF5" w:rsidP="00D1356D">
            <w:pPr>
              <w:pStyle w:val="Tabletext"/>
              <w:rPr>
                <w:rFonts w:cs="Tahoma"/>
              </w:rPr>
            </w:pPr>
            <w:r w:rsidRPr="00D36FBC">
              <w:rPr>
                <w:rFonts w:cs="Tahoma"/>
              </w:rPr>
              <w:t>Not serious</w:t>
            </w:r>
          </w:p>
        </w:tc>
        <w:tc>
          <w:tcPr>
            <w:tcW w:w="1230" w:type="dxa"/>
          </w:tcPr>
          <w:p w:rsidR="00B14FF5" w:rsidRPr="00D36FBC" w:rsidRDefault="00B14FF5" w:rsidP="00D1356D">
            <w:pPr>
              <w:pStyle w:val="Tabletext"/>
              <w:rPr>
                <w:rFonts w:cs="Tahoma"/>
              </w:rPr>
            </w:pPr>
            <w:r w:rsidRPr="00D36FBC">
              <w:rPr>
                <w:rFonts w:cs="Tahoma"/>
              </w:rPr>
              <w:t>None</w:t>
            </w:r>
          </w:p>
        </w:tc>
        <w:tc>
          <w:tcPr>
            <w:tcW w:w="1417" w:type="dxa"/>
          </w:tcPr>
          <w:p w:rsidR="00B14FF5" w:rsidRPr="00B14FF5" w:rsidRDefault="00B14FF5" w:rsidP="00D1356D">
            <w:pPr>
              <w:pStyle w:val="Tabletext"/>
              <w:rPr>
                <w:rFonts w:eastAsia="Times New Roman"/>
              </w:rPr>
            </w:pPr>
            <w:r>
              <w:rPr>
                <w:rFonts w:eastAsia="Times New Roman"/>
              </w:rPr>
              <w:t>51</w:t>
            </w:r>
            <w:r w:rsidRPr="00456F1B">
              <w:rPr>
                <w:rFonts w:eastAsia="Times New Roman"/>
              </w:rPr>
              <w:t xml:space="preserve"> patients tested</w:t>
            </w:r>
          </w:p>
        </w:tc>
        <w:tc>
          <w:tcPr>
            <w:tcW w:w="1134" w:type="dxa"/>
          </w:tcPr>
          <w:p w:rsidR="00B14FF5" w:rsidRPr="00B14FF5" w:rsidRDefault="00B14FF5" w:rsidP="00D1356D">
            <w:pPr>
              <w:pStyle w:val="Tabletext"/>
              <w:rPr>
                <w:rFonts w:eastAsia="Times New Roman"/>
              </w:rPr>
            </w:pPr>
            <w:r w:rsidRPr="00884F0A">
              <w:t>54</w:t>
            </w:r>
            <w:r w:rsidRPr="00456F1B">
              <w:rPr>
                <w:rFonts w:eastAsia="Times New Roman"/>
              </w:rPr>
              <w:t xml:space="preserve"> patients tested</w:t>
            </w:r>
          </w:p>
        </w:tc>
        <w:tc>
          <w:tcPr>
            <w:tcW w:w="993" w:type="dxa"/>
          </w:tcPr>
          <w:p w:rsidR="00B14FF5" w:rsidRPr="00B14FF5" w:rsidRDefault="00B14FF5" w:rsidP="00D1356D">
            <w:pPr>
              <w:pStyle w:val="Tabletext"/>
              <w:rPr>
                <w:rFonts w:eastAsia="Times New Roman"/>
              </w:rPr>
            </w:pPr>
            <w:r w:rsidRPr="00B14FF5">
              <w:rPr>
                <w:rFonts w:eastAsia="Times New Roman"/>
              </w:rPr>
              <w:t>-</w:t>
            </w:r>
          </w:p>
        </w:tc>
        <w:tc>
          <w:tcPr>
            <w:tcW w:w="2188" w:type="dxa"/>
          </w:tcPr>
          <w:p w:rsidR="00B14FF5" w:rsidRPr="00B14FF5" w:rsidRDefault="00B14FF5" w:rsidP="001F1FDD">
            <w:pPr>
              <w:pStyle w:val="Tabletext"/>
              <w:rPr>
                <w:rFonts w:eastAsia="Times New Roman"/>
              </w:rPr>
            </w:pPr>
            <w:r w:rsidRPr="00B14FF5">
              <w:rPr>
                <w:rFonts w:eastAsia="Times New Roman"/>
              </w:rPr>
              <w:t>Median</w:t>
            </w:r>
            <w:r w:rsidR="000E67F8">
              <w:rPr>
                <w:rFonts w:eastAsia="Times New Roman"/>
              </w:rPr>
              <w:t xml:space="preserve"> </w:t>
            </w:r>
            <w:r w:rsidR="001F1FDD">
              <w:rPr>
                <w:rFonts w:eastAsia="Times New Roman"/>
              </w:rPr>
              <w:t>MD</w:t>
            </w:r>
            <w:r w:rsidRPr="00B14FF5">
              <w:rPr>
                <w:rFonts w:eastAsia="Times New Roman"/>
              </w:rPr>
              <w:t xml:space="preserve"> 18 m further</w:t>
            </w:r>
            <w:r w:rsidRPr="00B14FF5">
              <w:rPr>
                <w:rFonts w:eastAsia="Times New Roman"/>
              </w:rPr>
              <w:br/>
              <w:t>(10 m further to 26 m further)</w:t>
            </w:r>
          </w:p>
        </w:tc>
        <w:tc>
          <w:tcPr>
            <w:tcW w:w="1214" w:type="dxa"/>
          </w:tcPr>
          <w:p w:rsidR="00B14FF5" w:rsidRDefault="00312FDE" w:rsidP="00D1356D">
            <w:pPr>
              <w:pStyle w:val="Tabletext"/>
              <w:rPr>
                <w:rFonts w:ascii="Cambria Math" w:eastAsia="Times New Roman" w:hAnsi="Cambria Math" w:cs="Cambria Math"/>
                <w:bCs/>
              </w:rPr>
            </w:pPr>
            <w:r>
              <w:rPr>
                <w:rFonts w:eastAsia="Times New Roman" w:cs="Tahoma"/>
                <w:bCs/>
              </w:rPr>
              <w:t>Low</w:t>
            </w:r>
            <w:r w:rsidR="00B14FF5">
              <w:rPr>
                <w:rFonts w:eastAsia="Times New Roman" w:cs="Tahoma"/>
                <w:bCs/>
              </w:rPr>
              <w:br/>
            </w:r>
            <w:r w:rsidR="00B14FF5"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r w:rsidR="00B14FF5" w:rsidRPr="00E564DD">
              <w:rPr>
                <w:rFonts w:ascii="Cambria Math" w:eastAsia="Times New Roman" w:hAnsi="Cambria Math" w:cs="Cambria Math"/>
                <w:bCs/>
                <w:color w:val="FF0000"/>
              </w:rPr>
              <w:t>⨀</w:t>
            </w:r>
          </w:p>
          <w:p w:rsidR="00B14FF5" w:rsidRPr="00B14FF5" w:rsidRDefault="00B14FF5" w:rsidP="00D1356D">
            <w:pPr>
              <w:pStyle w:val="Tabletext"/>
              <w:rPr>
                <w:rFonts w:eastAsia="Times New Roman" w:cs="Tahoma"/>
                <w:bCs/>
              </w:rPr>
            </w:pPr>
            <w:r>
              <w:rPr>
                <w:rFonts w:cs="Tahoma"/>
              </w:rPr>
              <w:t>I</w:t>
            </w:r>
            <w:r w:rsidRPr="00E564DD">
              <w:rPr>
                <w:rFonts w:cs="Tahoma"/>
              </w:rPr>
              <w:t>mportant</w:t>
            </w:r>
          </w:p>
        </w:tc>
      </w:tr>
      <w:tr w:rsidR="00B14FF5" w:rsidRPr="00D36FBC" w:rsidTr="00F37FD2">
        <w:trPr>
          <w:trHeight w:val="319"/>
        </w:trPr>
        <w:tc>
          <w:tcPr>
            <w:tcW w:w="1493" w:type="dxa"/>
          </w:tcPr>
          <w:p w:rsidR="00B14FF5" w:rsidRPr="000E67F8" w:rsidRDefault="00B14FF5" w:rsidP="00D1356D">
            <w:pPr>
              <w:pStyle w:val="Tabletext"/>
              <w:rPr>
                <w:rFonts w:cs="Tahoma"/>
              </w:rPr>
            </w:pPr>
            <w:r w:rsidRPr="000E67F8">
              <w:rPr>
                <w:rFonts w:cs="Tahoma"/>
              </w:rPr>
              <w:t>Change in QoL from baseline</w:t>
            </w:r>
            <w:r w:rsidRPr="000E67F8">
              <w:rPr>
                <w:rFonts w:cs="Tahoma"/>
              </w:rPr>
              <w:br/>
              <w:t xml:space="preserve">(16 weeks) </w:t>
            </w:r>
          </w:p>
        </w:tc>
        <w:tc>
          <w:tcPr>
            <w:tcW w:w="1054" w:type="dxa"/>
          </w:tcPr>
          <w:p w:rsidR="00B14FF5" w:rsidRPr="00D36FBC" w:rsidRDefault="00B14FF5" w:rsidP="00D1356D">
            <w:pPr>
              <w:pStyle w:val="Tabletext"/>
              <w:rPr>
                <w:rFonts w:cs="Tahoma"/>
              </w:rPr>
            </w:pPr>
            <w:r w:rsidRPr="00D36FBC">
              <w:rPr>
                <w:rFonts w:cs="Tahoma"/>
              </w:rPr>
              <w:t>1 RCT</w:t>
            </w:r>
          </w:p>
        </w:tc>
        <w:tc>
          <w:tcPr>
            <w:tcW w:w="771" w:type="dxa"/>
          </w:tcPr>
          <w:p w:rsidR="00B14FF5" w:rsidRPr="00D36FBC" w:rsidRDefault="00B14FF5" w:rsidP="00D1356D">
            <w:pPr>
              <w:pStyle w:val="Tabletext"/>
              <w:rPr>
                <w:rFonts w:cs="Tahoma"/>
              </w:rPr>
            </w:pPr>
            <w:r>
              <w:rPr>
                <w:rFonts w:cs="Tahoma"/>
              </w:rPr>
              <w:t>Very s</w:t>
            </w:r>
            <w:r w:rsidRPr="00D36FBC">
              <w:rPr>
                <w:rFonts w:cs="Tahoma"/>
              </w:rPr>
              <w:t>erious</w:t>
            </w:r>
            <w:r>
              <w:rPr>
                <w:rFonts w:cs="Tahoma"/>
              </w:rPr>
              <w:t xml:space="preserve"> </w:t>
            </w:r>
            <w:r w:rsidRPr="000E67F8">
              <w:rPr>
                <w:rFonts w:cs="Tahoma"/>
                <w:vertAlign w:val="superscript"/>
              </w:rPr>
              <w:t>c</w:t>
            </w:r>
          </w:p>
        </w:tc>
        <w:tc>
          <w:tcPr>
            <w:tcW w:w="1072" w:type="dxa"/>
          </w:tcPr>
          <w:p w:rsidR="00B14FF5" w:rsidRPr="00D36FBC" w:rsidRDefault="00B14FF5" w:rsidP="00D1356D">
            <w:pPr>
              <w:pStyle w:val="Tabletext"/>
              <w:rPr>
                <w:rFonts w:cs="Tahoma"/>
              </w:rPr>
            </w:pPr>
            <w:r w:rsidRPr="00D36FBC">
              <w:rPr>
                <w:rFonts w:cs="Tahoma"/>
              </w:rPr>
              <w:t>Not serious</w:t>
            </w:r>
          </w:p>
        </w:tc>
        <w:tc>
          <w:tcPr>
            <w:tcW w:w="992" w:type="dxa"/>
          </w:tcPr>
          <w:p w:rsidR="00B14FF5" w:rsidRPr="00E86FC8" w:rsidRDefault="00E86FC8" w:rsidP="00E86FC8">
            <w:pPr>
              <w:pStyle w:val="Tabletext"/>
              <w:rPr>
                <w:rFonts w:cs="Tahoma"/>
                <w:vertAlign w:val="superscript"/>
              </w:rPr>
            </w:pPr>
            <w:r w:rsidRPr="00D36FBC">
              <w:rPr>
                <w:rFonts w:cs="Tahoma"/>
              </w:rPr>
              <w:t>Not serious</w:t>
            </w:r>
          </w:p>
        </w:tc>
        <w:tc>
          <w:tcPr>
            <w:tcW w:w="1038" w:type="dxa"/>
          </w:tcPr>
          <w:p w:rsidR="00B14FF5" w:rsidRPr="00D36FBC" w:rsidRDefault="00E86FC8" w:rsidP="00E86FC8">
            <w:pPr>
              <w:pStyle w:val="Tabletext"/>
              <w:rPr>
                <w:rFonts w:cs="Tahoma"/>
              </w:rPr>
            </w:pPr>
            <w:r>
              <w:rPr>
                <w:rFonts w:cs="Tahoma"/>
              </w:rPr>
              <w:t xml:space="preserve">Very </w:t>
            </w:r>
            <w:r w:rsidRPr="00D36FBC">
              <w:rPr>
                <w:rFonts w:cs="Tahoma"/>
              </w:rPr>
              <w:t>serious</w:t>
            </w:r>
            <w:r>
              <w:rPr>
                <w:rFonts w:cs="Tahoma"/>
                <w:vertAlign w:val="superscript"/>
              </w:rPr>
              <w:t xml:space="preserve"> g</w:t>
            </w:r>
            <w:r w:rsidRPr="00D36FBC">
              <w:rPr>
                <w:rFonts w:cs="Tahoma"/>
              </w:rPr>
              <w:t xml:space="preserve"> </w:t>
            </w:r>
          </w:p>
        </w:tc>
        <w:tc>
          <w:tcPr>
            <w:tcW w:w="1230" w:type="dxa"/>
          </w:tcPr>
          <w:p w:rsidR="00B14FF5" w:rsidRPr="00D36FBC" w:rsidRDefault="00B14FF5" w:rsidP="00D1356D">
            <w:pPr>
              <w:pStyle w:val="Tabletext"/>
              <w:rPr>
                <w:rFonts w:cs="Tahoma"/>
              </w:rPr>
            </w:pPr>
            <w:r w:rsidRPr="00D36FBC">
              <w:rPr>
                <w:rFonts w:cs="Tahoma"/>
              </w:rPr>
              <w:t>Strong association</w:t>
            </w:r>
          </w:p>
        </w:tc>
        <w:tc>
          <w:tcPr>
            <w:tcW w:w="1417" w:type="dxa"/>
          </w:tcPr>
          <w:p w:rsidR="00B14FF5" w:rsidRDefault="00B14FF5" w:rsidP="00D1356D">
            <w:pPr>
              <w:pStyle w:val="Tabletext"/>
              <w:rPr>
                <w:rFonts w:eastAsia="Times New Roman"/>
              </w:rPr>
            </w:pPr>
            <w:r>
              <w:rPr>
                <w:rFonts w:eastAsia="Times New Roman"/>
              </w:rPr>
              <w:t>19</w:t>
            </w:r>
            <w:r w:rsidRPr="00456F1B">
              <w:rPr>
                <w:rFonts w:eastAsia="Times New Roman"/>
              </w:rPr>
              <w:t xml:space="preserve"> patients tested</w:t>
            </w:r>
          </w:p>
        </w:tc>
        <w:tc>
          <w:tcPr>
            <w:tcW w:w="1134" w:type="dxa"/>
          </w:tcPr>
          <w:p w:rsidR="00B14FF5" w:rsidRPr="00884F0A" w:rsidRDefault="00B14FF5" w:rsidP="00D1356D">
            <w:pPr>
              <w:pStyle w:val="Tabletext"/>
            </w:pPr>
            <w:r w:rsidRPr="00884F0A">
              <w:t>21</w:t>
            </w:r>
            <w:r w:rsidRPr="00456F1B">
              <w:rPr>
                <w:rFonts w:eastAsia="Times New Roman"/>
              </w:rPr>
              <w:t xml:space="preserve"> patients tested</w:t>
            </w:r>
          </w:p>
        </w:tc>
        <w:tc>
          <w:tcPr>
            <w:tcW w:w="993" w:type="dxa"/>
          </w:tcPr>
          <w:p w:rsidR="00B14FF5" w:rsidRPr="00B14FF5" w:rsidRDefault="00B14FF5" w:rsidP="00D1356D">
            <w:pPr>
              <w:pStyle w:val="Tabletext"/>
              <w:rPr>
                <w:rFonts w:eastAsia="Times New Roman"/>
              </w:rPr>
            </w:pPr>
            <w:r w:rsidRPr="00B14FF5">
              <w:rPr>
                <w:rFonts w:eastAsia="Times New Roman"/>
              </w:rPr>
              <w:t>-</w:t>
            </w:r>
          </w:p>
        </w:tc>
        <w:tc>
          <w:tcPr>
            <w:tcW w:w="2188" w:type="dxa"/>
          </w:tcPr>
          <w:p w:rsidR="00B14FF5" w:rsidRPr="00B14FF5" w:rsidRDefault="00E25FAA" w:rsidP="00572AE9">
            <w:pPr>
              <w:pStyle w:val="Tabletext"/>
              <w:rPr>
                <w:rFonts w:eastAsia="Times New Roman"/>
              </w:rPr>
            </w:pPr>
            <w:r>
              <w:rPr>
                <w:rFonts w:eastAsia="Times New Roman"/>
              </w:rPr>
              <w:t>EQ-</w:t>
            </w:r>
            <w:r w:rsidR="00107963">
              <w:rPr>
                <w:rFonts w:eastAsia="Times New Roman"/>
              </w:rPr>
              <w:t>VAS</w:t>
            </w:r>
            <w:r w:rsidR="00B63B1D" w:rsidRPr="00B63B1D">
              <w:rPr>
                <w:rFonts w:eastAsia="Times New Roman"/>
                <w:vertAlign w:val="superscript"/>
              </w:rPr>
              <w:t>f</w:t>
            </w:r>
            <w:r>
              <w:rPr>
                <w:rFonts w:eastAsia="Times New Roman"/>
              </w:rPr>
              <w:br/>
              <w:t>MD</w:t>
            </w:r>
            <w:r w:rsidR="00B14FF5" w:rsidRPr="00B14FF5">
              <w:rPr>
                <w:rFonts w:eastAsia="Times New Roman"/>
              </w:rPr>
              <w:t xml:space="preserve"> 10 point improvement</w:t>
            </w:r>
          </w:p>
        </w:tc>
        <w:tc>
          <w:tcPr>
            <w:tcW w:w="1214" w:type="dxa"/>
          </w:tcPr>
          <w:p w:rsidR="00E86FC8" w:rsidRDefault="00E86FC8" w:rsidP="00E86FC8">
            <w:pPr>
              <w:pStyle w:val="Tabletext"/>
              <w:rPr>
                <w:rFonts w:ascii="Cambria Math" w:eastAsia="Times New Roman" w:hAnsi="Cambria Math" w:cs="Cambria Math"/>
                <w:bCs/>
              </w:rPr>
            </w:pPr>
            <w:r>
              <w:rPr>
                <w:rFonts w:eastAsia="Times New Roman" w:cs="Tahoma"/>
                <w:bCs/>
              </w:rPr>
              <w:t>Very 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B14FF5" w:rsidRPr="00E564DD" w:rsidRDefault="00B14FF5" w:rsidP="00D1356D">
            <w:pPr>
              <w:pStyle w:val="Tabletext"/>
              <w:rPr>
                <w:rFonts w:eastAsia="Times New Roman" w:cs="Tahoma"/>
                <w:bCs/>
              </w:rPr>
            </w:pPr>
            <w:r>
              <w:rPr>
                <w:rFonts w:cs="Tahoma"/>
              </w:rPr>
              <w:t>I</w:t>
            </w:r>
            <w:r w:rsidRPr="00E564DD">
              <w:rPr>
                <w:rFonts w:cs="Tahoma"/>
              </w:rPr>
              <w:t>mportant</w:t>
            </w:r>
          </w:p>
        </w:tc>
      </w:tr>
      <w:tr w:rsidR="00CC3BA4" w:rsidRPr="00D36FBC" w:rsidTr="00F37FD2">
        <w:trPr>
          <w:trHeight w:val="319"/>
        </w:trPr>
        <w:tc>
          <w:tcPr>
            <w:tcW w:w="1493" w:type="dxa"/>
          </w:tcPr>
          <w:p w:rsidR="00CC3BA4" w:rsidRPr="00D36FBC" w:rsidRDefault="00CC3BA4" w:rsidP="00D1356D">
            <w:pPr>
              <w:pStyle w:val="Tabletext"/>
              <w:rPr>
                <w:rFonts w:cs="Tahoma"/>
              </w:rPr>
            </w:pPr>
            <w:r w:rsidRPr="00D36FBC">
              <w:rPr>
                <w:rFonts w:cs="Tahoma"/>
              </w:rPr>
              <w:t xml:space="preserve">Change in </w:t>
            </w:r>
            <w:r>
              <w:rPr>
                <w:rFonts w:cs="Tahoma"/>
              </w:rPr>
              <w:t xml:space="preserve">haemodynamic parameters </w:t>
            </w:r>
            <w:r w:rsidRPr="00D36FBC">
              <w:rPr>
                <w:rFonts w:cs="Tahoma"/>
              </w:rPr>
              <w:t>from baseline</w:t>
            </w:r>
            <w:r>
              <w:rPr>
                <w:rFonts w:cs="Tahoma"/>
              </w:rPr>
              <w:br/>
            </w:r>
            <w:r w:rsidRPr="00D36FBC">
              <w:rPr>
                <w:rFonts w:cs="Tahoma"/>
              </w:rPr>
              <w:t>(</w:t>
            </w:r>
            <w:r>
              <w:rPr>
                <w:rFonts w:cs="Tahoma"/>
              </w:rPr>
              <w:t>12</w:t>
            </w:r>
            <w:r w:rsidRPr="00D36FBC">
              <w:rPr>
                <w:rFonts w:cs="Tahoma"/>
              </w:rPr>
              <w:t xml:space="preserve"> weeks) </w:t>
            </w:r>
          </w:p>
        </w:tc>
        <w:tc>
          <w:tcPr>
            <w:tcW w:w="1054" w:type="dxa"/>
          </w:tcPr>
          <w:p w:rsidR="00CC3BA4" w:rsidRPr="00D36FBC" w:rsidRDefault="00CC3BA4" w:rsidP="00D1356D">
            <w:pPr>
              <w:pStyle w:val="Tabletext"/>
              <w:rPr>
                <w:rFonts w:cs="Tahoma"/>
              </w:rPr>
            </w:pPr>
            <w:r w:rsidRPr="00D36FBC">
              <w:rPr>
                <w:rFonts w:cs="Tahoma"/>
              </w:rPr>
              <w:t>1 RCT</w:t>
            </w:r>
          </w:p>
        </w:tc>
        <w:tc>
          <w:tcPr>
            <w:tcW w:w="771" w:type="dxa"/>
          </w:tcPr>
          <w:p w:rsidR="00CC3BA4" w:rsidRPr="00D36FBC" w:rsidRDefault="00CC3BA4" w:rsidP="00D1356D">
            <w:pPr>
              <w:pStyle w:val="Tabletext"/>
              <w:rPr>
                <w:rFonts w:cs="Tahoma"/>
              </w:rPr>
            </w:pPr>
            <w:r w:rsidRPr="00D36FBC">
              <w:rPr>
                <w:rFonts w:cs="Tahoma"/>
              </w:rPr>
              <w:t>Not serious</w:t>
            </w:r>
          </w:p>
        </w:tc>
        <w:tc>
          <w:tcPr>
            <w:tcW w:w="1072" w:type="dxa"/>
          </w:tcPr>
          <w:p w:rsidR="00CC3BA4" w:rsidRPr="00D36FBC" w:rsidRDefault="00CC3BA4" w:rsidP="00D1356D">
            <w:pPr>
              <w:pStyle w:val="Tabletext"/>
              <w:rPr>
                <w:rFonts w:cs="Tahoma"/>
              </w:rPr>
            </w:pPr>
            <w:r w:rsidRPr="00D36FBC">
              <w:rPr>
                <w:rFonts w:cs="Tahoma"/>
              </w:rPr>
              <w:t>Not serious</w:t>
            </w:r>
          </w:p>
        </w:tc>
        <w:tc>
          <w:tcPr>
            <w:tcW w:w="992" w:type="dxa"/>
          </w:tcPr>
          <w:p w:rsidR="00CC3BA4" w:rsidRPr="00F95747" w:rsidRDefault="00312FDE" w:rsidP="00B63B1D">
            <w:pPr>
              <w:pStyle w:val="Tabletext"/>
              <w:rPr>
                <w:rFonts w:cs="Tahoma"/>
                <w:vertAlign w:val="superscript"/>
              </w:rPr>
            </w:pPr>
            <w:r>
              <w:rPr>
                <w:rFonts w:cs="Tahoma"/>
              </w:rPr>
              <w:t>Very</w:t>
            </w:r>
            <w:r w:rsidRPr="00D36FBC">
              <w:rPr>
                <w:rFonts w:cs="Tahoma"/>
              </w:rPr>
              <w:t xml:space="preserve"> </w:t>
            </w:r>
            <w:r w:rsidR="00CC3BA4" w:rsidRPr="00D36FBC">
              <w:rPr>
                <w:rFonts w:cs="Tahoma"/>
              </w:rPr>
              <w:t>serious</w:t>
            </w:r>
            <w:r>
              <w:rPr>
                <w:rFonts w:cs="Tahoma"/>
                <w:vertAlign w:val="superscript"/>
              </w:rPr>
              <w:t>e</w:t>
            </w:r>
          </w:p>
        </w:tc>
        <w:tc>
          <w:tcPr>
            <w:tcW w:w="1038" w:type="dxa"/>
          </w:tcPr>
          <w:p w:rsidR="00CC3BA4" w:rsidRPr="00E86FC8" w:rsidRDefault="00E86FC8" w:rsidP="00D1356D">
            <w:pPr>
              <w:pStyle w:val="Tabletext"/>
              <w:rPr>
                <w:rFonts w:cs="Tahoma"/>
                <w:vertAlign w:val="superscript"/>
              </w:rPr>
            </w:pPr>
            <w:r>
              <w:rPr>
                <w:rFonts w:cs="Tahoma"/>
              </w:rPr>
              <w:t>S</w:t>
            </w:r>
            <w:r w:rsidR="00CC3BA4" w:rsidRPr="00D36FBC">
              <w:rPr>
                <w:rFonts w:cs="Tahoma"/>
              </w:rPr>
              <w:t>erious</w:t>
            </w:r>
            <w:r>
              <w:rPr>
                <w:rFonts w:cs="Tahoma"/>
                <w:vertAlign w:val="superscript"/>
              </w:rPr>
              <w:t xml:space="preserve"> g</w:t>
            </w:r>
          </w:p>
        </w:tc>
        <w:tc>
          <w:tcPr>
            <w:tcW w:w="1230" w:type="dxa"/>
          </w:tcPr>
          <w:p w:rsidR="00CC3BA4" w:rsidRDefault="00CC3BA4" w:rsidP="00A7700C">
            <w:pPr>
              <w:pStyle w:val="Tabletext"/>
              <w:rPr>
                <w:rFonts w:cs="Tahoma"/>
              </w:rPr>
            </w:pPr>
            <w:r w:rsidRPr="00AC54F2">
              <w:rPr>
                <w:rFonts w:cs="Tahoma"/>
              </w:rPr>
              <w:t>Strong association</w:t>
            </w:r>
          </w:p>
          <w:p w:rsidR="00CC3BA4" w:rsidRPr="00D36FBC" w:rsidRDefault="00CC3BA4" w:rsidP="00A7700C">
            <w:pPr>
              <w:pStyle w:val="Tabletext"/>
              <w:rPr>
                <w:rFonts w:cs="Tahoma"/>
              </w:rPr>
            </w:pPr>
            <w:r w:rsidRPr="00D36FBC">
              <w:rPr>
                <w:rFonts w:cs="Tahoma"/>
              </w:rPr>
              <w:t>Strong association</w:t>
            </w:r>
          </w:p>
        </w:tc>
        <w:tc>
          <w:tcPr>
            <w:tcW w:w="1417" w:type="dxa"/>
          </w:tcPr>
          <w:p w:rsidR="00CC3BA4" w:rsidRPr="0077309F" w:rsidRDefault="00CC3BA4" w:rsidP="00D1356D">
            <w:pPr>
              <w:pStyle w:val="Tabletext"/>
              <w:rPr>
                <w:rFonts w:eastAsia="Times New Roman"/>
              </w:rPr>
            </w:pPr>
            <w:r>
              <w:rPr>
                <w:rFonts w:eastAsia="Times New Roman"/>
              </w:rPr>
              <w:t>32</w:t>
            </w:r>
            <w:r w:rsidRPr="00456F1B">
              <w:rPr>
                <w:rFonts w:eastAsia="Times New Roman"/>
              </w:rPr>
              <w:t xml:space="preserve"> patients tested</w:t>
            </w:r>
          </w:p>
        </w:tc>
        <w:tc>
          <w:tcPr>
            <w:tcW w:w="1134" w:type="dxa"/>
          </w:tcPr>
          <w:p w:rsidR="00CC3BA4" w:rsidRPr="0077309F" w:rsidRDefault="00CC3BA4" w:rsidP="00D1356D">
            <w:pPr>
              <w:pStyle w:val="Tabletext"/>
              <w:rPr>
                <w:rFonts w:eastAsia="Times New Roman"/>
              </w:rPr>
            </w:pPr>
            <w:r w:rsidRPr="00884F0A">
              <w:t>33</w:t>
            </w:r>
            <w:r w:rsidRPr="00456F1B">
              <w:rPr>
                <w:rFonts w:eastAsia="Times New Roman"/>
              </w:rPr>
              <w:t xml:space="preserve"> patients tested</w:t>
            </w:r>
          </w:p>
        </w:tc>
        <w:tc>
          <w:tcPr>
            <w:tcW w:w="993" w:type="dxa"/>
          </w:tcPr>
          <w:p w:rsidR="00CC3BA4" w:rsidRPr="0077309F" w:rsidRDefault="00CC3BA4" w:rsidP="00D1356D">
            <w:pPr>
              <w:pStyle w:val="Tabletext"/>
              <w:rPr>
                <w:rFonts w:eastAsia="Times New Roman"/>
                <w:bCs/>
              </w:rPr>
            </w:pPr>
            <w:r w:rsidRPr="0077309F">
              <w:rPr>
                <w:rFonts w:eastAsia="Times New Roman"/>
                <w:bCs/>
              </w:rPr>
              <w:t>-</w:t>
            </w:r>
          </w:p>
        </w:tc>
        <w:tc>
          <w:tcPr>
            <w:tcW w:w="2188" w:type="dxa"/>
          </w:tcPr>
          <w:p w:rsidR="00CC3BA4" w:rsidRDefault="00E25FAA" w:rsidP="00D1356D">
            <w:pPr>
              <w:pStyle w:val="Tabletext"/>
              <w:rPr>
                <w:rFonts w:cs="Tahoma"/>
              </w:rPr>
            </w:pPr>
            <w:r>
              <w:rPr>
                <w:rFonts w:cs="Tahoma"/>
              </w:rPr>
              <w:t>PVR</w:t>
            </w:r>
            <w:r>
              <w:rPr>
                <w:rFonts w:cs="Tahoma"/>
              </w:rPr>
              <w:br/>
              <w:t>MD</w:t>
            </w:r>
            <w:r w:rsidR="00CC3BA4">
              <w:rPr>
                <w:rFonts w:cs="Tahoma"/>
              </w:rPr>
              <w:t xml:space="preserve"> 30.4% improvement</w:t>
            </w:r>
          </w:p>
          <w:p w:rsidR="00CC3BA4" w:rsidRPr="0077309F" w:rsidRDefault="00E25FAA" w:rsidP="00D1356D">
            <w:pPr>
              <w:pStyle w:val="Tabletext"/>
              <w:rPr>
                <w:rFonts w:cs="Tahoma"/>
              </w:rPr>
            </w:pPr>
            <w:r>
              <w:rPr>
                <w:rFonts w:cs="Tahoma"/>
              </w:rPr>
              <w:t>mPAP</w:t>
            </w:r>
            <w:r>
              <w:rPr>
                <w:rFonts w:cs="Tahoma"/>
              </w:rPr>
              <w:br/>
              <w:t>MD</w:t>
            </w:r>
            <w:r w:rsidR="00CC3BA4">
              <w:rPr>
                <w:rFonts w:cs="Tahoma"/>
              </w:rPr>
              <w:t xml:space="preserve"> 15.6% improvement</w:t>
            </w:r>
          </w:p>
        </w:tc>
        <w:tc>
          <w:tcPr>
            <w:tcW w:w="1214" w:type="dxa"/>
          </w:tcPr>
          <w:p w:rsidR="00E86FC8" w:rsidRDefault="00E86FC8" w:rsidP="00E86FC8">
            <w:pPr>
              <w:pStyle w:val="Tabletext"/>
              <w:rPr>
                <w:rFonts w:ascii="Cambria Math" w:eastAsia="Times New Roman" w:hAnsi="Cambria Math" w:cs="Cambria Math"/>
                <w:bCs/>
              </w:rPr>
            </w:pPr>
            <w:r>
              <w:rPr>
                <w:rFonts w:eastAsia="Times New Roman" w:cs="Tahoma"/>
                <w:bCs/>
              </w:rPr>
              <w:t>Low</w:t>
            </w:r>
            <w:r>
              <w:rPr>
                <w:rFonts w:eastAsia="Times New Roman" w:cs="Tahoma"/>
                <w:bCs/>
              </w:rPr>
              <w:br/>
            </w: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77309F" w:rsidRDefault="00CC3BA4" w:rsidP="00D1356D">
            <w:pPr>
              <w:pStyle w:val="Tabletext"/>
              <w:rPr>
                <w:rFonts w:eastAsia="Times New Roman" w:cs="Tahoma"/>
                <w:bCs/>
              </w:rPr>
            </w:pPr>
            <w:r>
              <w:rPr>
                <w:rFonts w:cs="Tahoma"/>
              </w:rPr>
              <w:t>Not i</w:t>
            </w:r>
            <w:r w:rsidRPr="00E564DD">
              <w:rPr>
                <w:rFonts w:cs="Tahoma"/>
              </w:rPr>
              <w:t>mportant</w:t>
            </w:r>
          </w:p>
        </w:tc>
      </w:tr>
    </w:tbl>
    <w:p w:rsidR="00CC3BA4" w:rsidRPr="00AA018C" w:rsidRDefault="00CC3BA4" w:rsidP="00D1356D">
      <w:pPr>
        <w:pStyle w:val="Tablenote"/>
      </w:pPr>
      <w:r w:rsidRPr="00E564DD">
        <w:rPr>
          <w:vertAlign w:val="superscript"/>
        </w:rPr>
        <w:lastRenderedPageBreak/>
        <w:t xml:space="preserve">a </w:t>
      </w:r>
      <w:r w:rsidRPr="00AA018C">
        <w:t>O</w:t>
      </w:r>
      <w:r>
        <w:t>ther considerations such as publication bias and effect size</w:t>
      </w:r>
    </w:p>
    <w:p w:rsidR="00CC3BA4" w:rsidRDefault="00CC3BA4" w:rsidP="00D1356D">
      <w:pPr>
        <w:pStyle w:val="Tablenote"/>
      </w:pPr>
      <w:r>
        <w:rPr>
          <w:vertAlign w:val="superscript"/>
        </w:rPr>
        <w:t xml:space="preserve">b </w:t>
      </w:r>
      <w:r w:rsidRPr="00E564DD">
        <w:t>GRADE W</w:t>
      </w:r>
      <w:r>
        <w:t>orking Group grades of evidence</w:t>
      </w:r>
      <w:r w:rsidR="001D34EE" w:rsidRPr="001D34EE">
        <w:rPr>
          <w:noProof/>
          <w:vertAlign w:val="superscript"/>
        </w:rPr>
        <w:t>1</w:t>
      </w:r>
    </w:p>
    <w:p w:rsidR="00CC3BA4" w:rsidRDefault="00CC3BA4" w:rsidP="00D1356D">
      <w:pPr>
        <w:pStyle w:val="Tablenote"/>
      </w:pPr>
      <w:r>
        <w:rPr>
          <w:vertAlign w:val="superscript"/>
        </w:rPr>
        <w:t>c</w:t>
      </w:r>
      <w:r w:rsidRPr="00E564DD">
        <w:t xml:space="preserve"> </w:t>
      </w:r>
      <w:r>
        <w:t>One RCT had a high risk of bias</w:t>
      </w:r>
    </w:p>
    <w:p w:rsidR="00CC3BA4" w:rsidRDefault="00CC3BA4" w:rsidP="00D1356D">
      <w:pPr>
        <w:pStyle w:val="Tablenote"/>
      </w:pPr>
      <w:r>
        <w:rPr>
          <w:vertAlign w:val="superscript"/>
        </w:rPr>
        <w:t>d</w:t>
      </w:r>
      <w:r w:rsidRPr="00E564DD">
        <w:t xml:space="preserve"> </w:t>
      </w:r>
      <w:r>
        <w:t>Wide 95% CIs span 1</w:t>
      </w:r>
    </w:p>
    <w:p w:rsidR="00312FDE" w:rsidRPr="00312FDE" w:rsidRDefault="00312FDE" w:rsidP="00D1356D">
      <w:pPr>
        <w:pStyle w:val="Tablenote"/>
      </w:pPr>
      <w:r>
        <w:rPr>
          <w:vertAlign w:val="superscript"/>
        </w:rPr>
        <w:t xml:space="preserve">e </w:t>
      </w:r>
      <w:r>
        <w:t>Surrogate outcome</w:t>
      </w:r>
    </w:p>
    <w:p w:rsidR="00B63B1D" w:rsidRDefault="00B63B1D" w:rsidP="00B63B1D">
      <w:pPr>
        <w:pStyle w:val="Tablenote"/>
      </w:pPr>
      <w:r>
        <w:rPr>
          <w:vertAlign w:val="superscript"/>
        </w:rPr>
        <w:t>f</w:t>
      </w:r>
      <w:r>
        <w:t xml:space="preserve"> </w:t>
      </w:r>
      <w:r w:rsidRPr="000054CF">
        <w:t xml:space="preserve">EQ-VAS scores range from 0 to 100. A higher score represents better </w:t>
      </w:r>
      <w:r>
        <w:t>QoL</w:t>
      </w:r>
      <w:r w:rsidRPr="000054CF">
        <w:t xml:space="preserve">. </w:t>
      </w:r>
    </w:p>
    <w:p w:rsidR="00E86FC8" w:rsidRPr="00E86FC8" w:rsidRDefault="00E86FC8" w:rsidP="00B63B1D">
      <w:pPr>
        <w:pStyle w:val="Tablenote"/>
      </w:pPr>
      <w:r>
        <w:rPr>
          <w:vertAlign w:val="superscript"/>
        </w:rPr>
        <w:t xml:space="preserve">g </w:t>
      </w:r>
      <w:r>
        <w:t>small study size</w:t>
      </w:r>
    </w:p>
    <w:p w:rsidR="00CC3BA4" w:rsidRPr="00E564DD" w:rsidRDefault="00CC3BA4" w:rsidP="00D1356D">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CC3BA4" w:rsidRPr="00E564DD" w:rsidRDefault="00CC3BA4" w:rsidP="00D1356D">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Low quality:</w:t>
      </w:r>
      <w:r w:rsidRPr="00E564DD">
        <w:t xml:space="preserve"> Our confidence in the effect estimate is limited: The true effect may be substantially different from the estimate of the effect</w:t>
      </w:r>
      <w:r w:rsidR="002E6E59" w:rsidRPr="002E6E59">
        <w:t xml:space="preserve"> </w:t>
      </w:r>
    </w:p>
    <w:p w:rsidR="00E86FC8" w:rsidRPr="00E564DD" w:rsidRDefault="00E86FC8" w:rsidP="00E86FC8">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Very low quality:</w:t>
      </w:r>
      <w:r w:rsidRPr="00E564DD">
        <w:t xml:space="preserve"> We have very little confidence in the effect estimate: The true effect is likely to be substantially different from the estimate of effect</w:t>
      </w:r>
    </w:p>
    <w:p w:rsidR="002E6E59" w:rsidRDefault="00CC3BA4" w:rsidP="00D1356D">
      <w:pPr>
        <w:pStyle w:val="Tablenote"/>
      </w:pPr>
      <w:r>
        <w:t xml:space="preserve">6MWD = 6-minute </w:t>
      </w:r>
      <w:r w:rsidR="0082368E">
        <w:t>walk distance</w:t>
      </w:r>
      <w:r>
        <w:t>; AR</w:t>
      </w:r>
      <w:r w:rsidR="00B21201">
        <w:t>D</w:t>
      </w:r>
      <w:r>
        <w:t xml:space="preserve"> = absolute risk </w:t>
      </w:r>
      <w:r w:rsidR="00B21201">
        <w:t>difference</w:t>
      </w:r>
      <w:r>
        <w:t xml:space="preserve">; CI = confidence interval; </w:t>
      </w:r>
      <w:r w:rsidR="00107963" w:rsidRPr="00107963">
        <w:t xml:space="preserve">EQ-VAS = EuroQoL visual analogue scale; </w:t>
      </w:r>
      <w:r>
        <w:t>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2E6E59" w:rsidRPr="00F24B06">
        <w:t>;</w:t>
      </w:r>
      <w:r w:rsidR="002E6E59">
        <w:t xml:space="preserve"> </w:t>
      </w:r>
      <w:r>
        <w:t>MD = mean difference</w:t>
      </w:r>
      <w:r w:rsidR="004510DE">
        <w:t>; mPAP = mean pulmonary artery</w:t>
      </w:r>
      <w:r>
        <w:t xml:space="preserve"> pressure; </w:t>
      </w:r>
      <w:r w:rsidRPr="00C65B42">
        <w:t xml:space="preserve">PAH = pulmonary arterial hypertension; </w:t>
      </w:r>
      <w:r w:rsidRPr="009123E2">
        <w:t>PVR</w:t>
      </w:r>
      <w:r>
        <w:t xml:space="preserve"> = p</w:t>
      </w:r>
      <w:r w:rsidRPr="009123E2">
        <w:t xml:space="preserve">ulmonary </w:t>
      </w:r>
      <w:r>
        <w:t>v</w:t>
      </w:r>
      <w:r w:rsidRPr="009123E2">
        <w:t xml:space="preserve">ascular </w:t>
      </w:r>
      <w:r>
        <w:t>r</w:t>
      </w:r>
      <w:r w:rsidRPr="009123E2">
        <w:t>esistance</w:t>
      </w:r>
      <w:r>
        <w:t>; QoL = quality of life; RCT = randomised controlled trial; RR = relative risk; WHO = World Health Organization</w:t>
      </w:r>
    </w:p>
    <w:p w:rsidR="00CC3BA4" w:rsidRPr="005D4CA0" w:rsidRDefault="00796F18" w:rsidP="00BC5A2B">
      <w:pPr>
        <w:pStyle w:val="Caption"/>
      </w:pPr>
      <w:bookmarkStart w:id="533" w:name="_Ref505863086"/>
      <w:bookmarkStart w:id="534" w:name="_Toc512855568"/>
      <w:r>
        <w:t>Table 4.</w:t>
      </w:r>
      <w:r w:rsidR="00AA722D">
        <w:rPr>
          <w:noProof/>
        </w:rPr>
        <w:t>164</w:t>
      </w:r>
      <w:bookmarkEnd w:id="533"/>
      <w:r>
        <w:tab/>
      </w:r>
      <w:r w:rsidR="00CC3BA4" w:rsidRPr="005D4CA0">
        <w:t xml:space="preserve">Evidence profile table for </w:t>
      </w:r>
      <w:r w:rsidR="00CC3BA4">
        <w:t xml:space="preserve">comparative safety of </w:t>
      </w:r>
      <w:r w:rsidR="0017012F" w:rsidRPr="0043303C">
        <w:t>prostanoid</w:t>
      </w:r>
      <w:r w:rsidR="00CC3BA4" w:rsidRPr="0043303C">
        <w:t xml:space="preserve"> </w:t>
      </w:r>
      <w:r w:rsidR="002E6E59">
        <w:t>plus</w:t>
      </w:r>
      <w:r w:rsidR="00CC3BA4" w:rsidRPr="0043303C">
        <w:t xml:space="preserve"> ERA combination therapy compared to ERA monotherapy for patients with WHO FC III/IV PAH</w:t>
      </w:r>
      <w:bookmarkEnd w:id="534"/>
    </w:p>
    <w:tbl>
      <w:tblPr>
        <w:tblStyle w:val="TableGrid"/>
        <w:tblW w:w="14738" w:type="dxa"/>
        <w:tblLayout w:type="fixed"/>
        <w:tblLook w:val="04A0" w:firstRow="1" w:lastRow="0" w:firstColumn="1" w:lastColumn="0" w:noHBand="0" w:noVBand="1"/>
        <w:tblCaption w:val="Evidence profile table for comparative safety of prostanoid plus ERA combination therapy compared to ERA monotherapy for patients with WHO FC III/IV PAH"/>
      </w:tblPr>
      <w:tblGrid>
        <w:gridCol w:w="1493"/>
        <w:gridCol w:w="1054"/>
        <w:gridCol w:w="771"/>
        <w:gridCol w:w="1072"/>
        <w:gridCol w:w="992"/>
        <w:gridCol w:w="1134"/>
        <w:gridCol w:w="1276"/>
        <w:gridCol w:w="1417"/>
        <w:gridCol w:w="1134"/>
        <w:gridCol w:w="993"/>
        <w:gridCol w:w="2188"/>
        <w:gridCol w:w="1214"/>
      </w:tblGrid>
      <w:tr w:rsidR="00D1356D" w:rsidRPr="00D1356D" w:rsidTr="00F37FD2">
        <w:trPr>
          <w:cnfStyle w:val="100000000000" w:firstRow="1" w:lastRow="0" w:firstColumn="0" w:lastColumn="0" w:oddVBand="0" w:evenVBand="0" w:oddHBand="0" w:evenHBand="0" w:firstRowFirstColumn="0" w:firstRowLastColumn="0" w:lastRowFirstColumn="0" w:lastRowLastColumn="0"/>
          <w:trHeight w:val="416"/>
        </w:trPr>
        <w:tc>
          <w:tcPr>
            <w:tcW w:w="1493" w:type="dxa"/>
          </w:tcPr>
          <w:p w:rsidR="00476F09" w:rsidRPr="00D1356D" w:rsidRDefault="00476F09" w:rsidP="00D1356D">
            <w:pPr>
              <w:pStyle w:val="Tabletext"/>
              <w:rPr>
                <w:b/>
              </w:rPr>
            </w:pPr>
            <w:r w:rsidRPr="00D1356D">
              <w:rPr>
                <w:b/>
              </w:rPr>
              <w:t>Outcome (follow-up)</w:t>
            </w:r>
          </w:p>
        </w:tc>
        <w:tc>
          <w:tcPr>
            <w:tcW w:w="1054" w:type="dxa"/>
          </w:tcPr>
          <w:p w:rsidR="00476F09" w:rsidRPr="00D1356D" w:rsidRDefault="00476F09" w:rsidP="00D1356D">
            <w:pPr>
              <w:pStyle w:val="Tabletext"/>
              <w:rPr>
                <w:b/>
              </w:rPr>
            </w:pPr>
            <w:r w:rsidRPr="00D1356D">
              <w:rPr>
                <w:b/>
              </w:rPr>
              <w:t>No. of studies and study design</w:t>
            </w:r>
          </w:p>
        </w:tc>
        <w:tc>
          <w:tcPr>
            <w:tcW w:w="771" w:type="dxa"/>
          </w:tcPr>
          <w:p w:rsidR="00476F09" w:rsidRPr="00D1356D" w:rsidRDefault="00476F09" w:rsidP="00D1356D">
            <w:pPr>
              <w:pStyle w:val="Tabletext"/>
              <w:rPr>
                <w:b/>
              </w:rPr>
            </w:pPr>
            <w:r w:rsidRPr="00D1356D">
              <w:rPr>
                <w:b/>
              </w:rPr>
              <w:t>Risk of bias</w:t>
            </w:r>
          </w:p>
        </w:tc>
        <w:tc>
          <w:tcPr>
            <w:tcW w:w="1072" w:type="dxa"/>
          </w:tcPr>
          <w:p w:rsidR="00476F09" w:rsidRPr="00D1356D" w:rsidRDefault="00476F09" w:rsidP="00D1356D">
            <w:pPr>
              <w:pStyle w:val="Tabletext"/>
              <w:rPr>
                <w:b/>
              </w:rPr>
            </w:pPr>
            <w:r w:rsidRPr="00D1356D">
              <w:rPr>
                <w:b/>
              </w:rPr>
              <w:t>Inconsis</w:t>
            </w:r>
            <w:r w:rsidR="00F37FD2">
              <w:rPr>
                <w:b/>
              </w:rPr>
              <w:t>-</w:t>
            </w:r>
            <w:r w:rsidRPr="00D1356D">
              <w:rPr>
                <w:b/>
              </w:rPr>
              <w:t>tency</w:t>
            </w:r>
          </w:p>
        </w:tc>
        <w:tc>
          <w:tcPr>
            <w:tcW w:w="992" w:type="dxa"/>
          </w:tcPr>
          <w:p w:rsidR="00476F09" w:rsidRPr="00D1356D" w:rsidRDefault="00476F09" w:rsidP="00D1356D">
            <w:pPr>
              <w:pStyle w:val="Tabletext"/>
              <w:rPr>
                <w:b/>
              </w:rPr>
            </w:pPr>
            <w:r w:rsidRPr="00D1356D">
              <w:rPr>
                <w:b/>
              </w:rPr>
              <w:t>Indirect</w:t>
            </w:r>
            <w:r w:rsidR="00F37FD2">
              <w:rPr>
                <w:b/>
              </w:rPr>
              <w:t>-</w:t>
            </w:r>
            <w:r w:rsidRPr="00D1356D">
              <w:rPr>
                <w:b/>
              </w:rPr>
              <w:t>ness</w:t>
            </w:r>
          </w:p>
        </w:tc>
        <w:tc>
          <w:tcPr>
            <w:tcW w:w="1134" w:type="dxa"/>
          </w:tcPr>
          <w:p w:rsidR="00476F09" w:rsidRPr="00D1356D" w:rsidRDefault="00476F09" w:rsidP="00D1356D">
            <w:pPr>
              <w:pStyle w:val="Tabletext"/>
              <w:rPr>
                <w:b/>
              </w:rPr>
            </w:pPr>
            <w:r w:rsidRPr="00D1356D">
              <w:rPr>
                <w:b/>
              </w:rPr>
              <w:t>Impre</w:t>
            </w:r>
            <w:r w:rsidR="00F37FD2">
              <w:rPr>
                <w:b/>
              </w:rPr>
              <w:t>-</w:t>
            </w:r>
            <w:r w:rsidRPr="00D1356D">
              <w:rPr>
                <w:b/>
              </w:rPr>
              <w:t>cision</w:t>
            </w:r>
          </w:p>
        </w:tc>
        <w:tc>
          <w:tcPr>
            <w:tcW w:w="1276" w:type="dxa"/>
          </w:tcPr>
          <w:p w:rsidR="00476F09" w:rsidRPr="00D1356D" w:rsidRDefault="00476F09" w:rsidP="00D1356D">
            <w:pPr>
              <w:pStyle w:val="Tabletext"/>
              <w:rPr>
                <w:b/>
              </w:rPr>
            </w:pPr>
            <w:r w:rsidRPr="00D1356D">
              <w:rPr>
                <w:b/>
              </w:rPr>
              <w:t>Other conside</w:t>
            </w:r>
            <w:r w:rsidR="00F37FD2">
              <w:rPr>
                <w:b/>
              </w:rPr>
              <w:t>-</w:t>
            </w:r>
            <w:r w:rsidRPr="00D1356D">
              <w:rPr>
                <w:b/>
              </w:rPr>
              <w:t>rations</w:t>
            </w:r>
            <w:r w:rsidRPr="00D1356D">
              <w:rPr>
                <w:b/>
                <w:vertAlign w:val="superscript"/>
              </w:rPr>
              <w:t>a</w:t>
            </w:r>
          </w:p>
        </w:tc>
        <w:tc>
          <w:tcPr>
            <w:tcW w:w="1417" w:type="dxa"/>
          </w:tcPr>
          <w:p w:rsidR="00476F09" w:rsidRPr="00D1356D" w:rsidRDefault="00476F09" w:rsidP="00D1356D">
            <w:pPr>
              <w:pStyle w:val="Tabletext"/>
              <w:rPr>
                <w:b/>
              </w:rPr>
            </w:pPr>
            <w:r w:rsidRPr="00D1356D">
              <w:rPr>
                <w:b/>
              </w:rPr>
              <w:t>Study event rates (%) with prostanoid + ERA</w:t>
            </w:r>
          </w:p>
        </w:tc>
        <w:tc>
          <w:tcPr>
            <w:tcW w:w="1134" w:type="dxa"/>
          </w:tcPr>
          <w:p w:rsidR="00476F09" w:rsidRPr="00D1356D" w:rsidRDefault="00476F09" w:rsidP="00D1356D">
            <w:pPr>
              <w:pStyle w:val="Tabletext"/>
              <w:rPr>
                <w:b/>
              </w:rPr>
            </w:pPr>
            <w:r w:rsidRPr="00D1356D">
              <w:rPr>
                <w:b/>
              </w:rPr>
              <w:t>Study event rates (%) with ERA</w:t>
            </w:r>
          </w:p>
        </w:tc>
        <w:tc>
          <w:tcPr>
            <w:tcW w:w="993" w:type="dxa"/>
          </w:tcPr>
          <w:p w:rsidR="00476F09" w:rsidRPr="00D1356D" w:rsidRDefault="00476F09" w:rsidP="00D1356D">
            <w:pPr>
              <w:pStyle w:val="Tabletext"/>
              <w:rPr>
                <w:b/>
              </w:rPr>
            </w:pPr>
            <w:r w:rsidRPr="00D1356D">
              <w:rPr>
                <w:b/>
              </w:rPr>
              <w:t>Effect measure (95%CI)</w:t>
            </w:r>
          </w:p>
        </w:tc>
        <w:tc>
          <w:tcPr>
            <w:tcW w:w="2188" w:type="dxa"/>
          </w:tcPr>
          <w:p w:rsidR="00476F09" w:rsidRPr="00D1356D" w:rsidRDefault="00476F09" w:rsidP="00D1356D">
            <w:pPr>
              <w:pStyle w:val="Tabletext"/>
              <w:rPr>
                <w:b/>
              </w:rPr>
            </w:pPr>
            <w:r w:rsidRPr="00D1356D">
              <w:rPr>
                <w:b/>
              </w:rPr>
              <w:t>Absolute effect (95%CI)</w:t>
            </w:r>
          </w:p>
        </w:tc>
        <w:tc>
          <w:tcPr>
            <w:tcW w:w="1214" w:type="dxa"/>
          </w:tcPr>
          <w:p w:rsidR="002E6E59" w:rsidRDefault="002E6E59" w:rsidP="00D1356D">
            <w:pPr>
              <w:pStyle w:val="Tabletext"/>
              <w:rPr>
                <w:b/>
              </w:rPr>
            </w:pPr>
            <w:r>
              <w:rPr>
                <w:b/>
              </w:rPr>
              <w:t>GRADE</w:t>
            </w:r>
            <w:r w:rsidRPr="002E6E59">
              <w:rPr>
                <w:b/>
                <w:vertAlign w:val="superscript"/>
              </w:rPr>
              <w:t>b</w:t>
            </w:r>
          </w:p>
          <w:p w:rsidR="00476F09" w:rsidRPr="00D1356D" w:rsidRDefault="00476F09" w:rsidP="00D1356D">
            <w:pPr>
              <w:pStyle w:val="Tabletext"/>
              <w:rPr>
                <w:b/>
                <w:vertAlign w:val="superscript"/>
              </w:rPr>
            </w:pPr>
            <w:r w:rsidRPr="00D1356D">
              <w:rPr>
                <w:b/>
              </w:rPr>
              <w:t>Quality</w:t>
            </w:r>
          </w:p>
          <w:p w:rsidR="00476F09" w:rsidRPr="00D1356D" w:rsidRDefault="00476F09" w:rsidP="00D1356D">
            <w:pPr>
              <w:pStyle w:val="Tabletext"/>
              <w:rPr>
                <w:b/>
              </w:rPr>
            </w:pPr>
            <w:r w:rsidRPr="00D1356D">
              <w:rPr>
                <w:b/>
              </w:rPr>
              <w:t>Importance</w:t>
            </w:r>
          </w:p>
        </w:tc>
      </w:tr>
      <w:tr w:rsidR="00CC3BA4" w:rsidRPr="00596E2E" w:rsidTr="00F37FD2">
        <w:trPr>
          <w:trHeight w:val="319"/>
        </w:trPr>
        <w:tc>
          <w:tcPr>
            <w:tcW w:w="1493" w:type="dxa"/>
          </w:tcPr>
          <w:p w:rsidR="00CC3BA4" w:rsidRPr="00596E2E" w:rsidRDefault="00CC3BA4" w:rsidP="00D1356D">
            <w:pPr>
              <w:pStyle w:val="Tabletext"/>
              <w:rPr>
                <w:rFonts w:cs="Tahoma"/>
              </w:rPr>
            </w:pPr>
            <w:r w:rsidRPr="00596E2E">
              <w:rPr>
                <w:rFonts w:cs="Tahoma"/>
              </w:rPr>
              <w:t>Any AE</w:t>
            </w:r>
            <w:r w:rsidRPr="00596E2E">
              <w:rPr>
                <w:rFonts w:cs="Tahoma"/>
              </w:rPr>
              <w:br/>
              <w:t>(1</w:t>
            </w:r>
            <w:r>
              <w:rPr>
                <w:rFonts w:cs="Tahoma"/>
              </w:rPr>
              <w:t>2−16</w:t>
            </w:r>
            <w:r w:rsidRPr="00596E2E">
              <w:rPr>
                <w:rFonts w:cs="Tahoma"/>
              </w:rPr>
              <w:t xml:space="preserve"> weeks)</w:t>
            </w:r>
          </w:p>
        </w:tc>
        <w:tc>
          <w:tcPr>
            <w:tcW w:w="1054" w:type="dxa"/>
          </w:tcPr>
          <w:p w:rsidR="00CC3BA4" w:rsidRPr="00596E2E" w:rsidRDefault="00CC3BA4" w:rsidP="00D1356D">
            <w:pPr>
              <w:pStyle w:val="Tabletext"/>
              <w:rPr>
                <w:rFonts w:cs="Tahoma"/>
              </w:rPr>
            </w:pPr>
            <w:r>
              <w:rPr>
                <w:rFonts w:cs="Tahoma"/>
              </w:rPr>
              <w:t>2</w:t>
            </w:r>
            <w:r w:rsidRPr="00596E2E">
              <w:rPr>
                <w:rFonts w:cs="Tahoma"/>
              </w:rPr>
              <w:t xml:space="preserve"> RCT</w:t>
            </w:r>
            <w:r>
              <w:rPr>
                <w:rFonts w:cs="Tahoma"/>
              </w:rPr>
              <w:t>s</w:t>
            </w:r>
          </w:p>
        </w:tc>
        <w:tc>
          <w:tcPr>
            <w:tcW w:w="771" w:type="dxa"/>
          </w:tcPr>
          <w:p w:rsidR="00CC3BA4" w:rsidRPr="00596E2E" w:rsidRDefault="00CC3BA4" w:rsidP="00D1356D">
            <w:pPr>
              <w:pStyle w:val="Tabletext"/>
              <w:rPr>
                <w:rFonts w:cs="Tahoma"/>
              </w:rPr>
            </w:pPr>
            <w:r>
              <w:rPr>
                <w:rFonts w:cs="Tahoma"/>
              </w:rPr>
              <w:t>S</w:t>
            </w:r>
            <w:r w:rsidRPr="00D36FBC">
              <w:rPr>
                <w:rFonts w:cs="Tahoma"/>
              </w:rPr>
              <w:t>erious</w:t>
            </w:r>
            <w:r>
              <w:rPr>
                <w:rFonts w:cs="Tahoma"/>
              </w:rPr>
              <w:t xml:space="preserve"> </w:t>
            </w:r>
            <w:r w:rsidRPr="00B5424D">
              <w:rPr>
                <w:rFonts w:cs="Tahoma"/>
                <w:vertAlign w:val="superscript"/>
              </w:rPr>
              <w:t>c</w:t>
            </w:r>
          </w:p>
        </w:tc>
        <w:tc>
          <w:tcPr>
            <w:tcW w:w="1072" w:type="dxa"/>
          </w:tcPr>
          <w:p w:rsidR="00CC3BA4" w:rsidRPr="00596E2E" w:rsidRDefault="00CC3BA4" w:rsidP="00D1356D">
            <w:pPr>
              <w:pStyle w:val="Tabletext"/>
              <w:rPr>
                <w:rFonts w:cs="Tahoma"/>
              </w:rPr>
            </w:pPr>
            <w:r w:rsidRPr="00596E2E">
              <w:rPr>
                <w:rFonts w:cs="Tahoma"/>
              </w:rPr>
              <w:t>Not serious</w:t>
            </w:r>
          </w:p>
        </w:tc>
        <w:tc>
          <w:tcPr>
            <w:tcW w:w="992" w:type="dxa"/>
          </w:tcPr>
          <w:p w:rsidR="00CC3BA4" w:rsidRPr="00596E2E" w:rsidRDefault="00CC3BA4" w:rsidP="00D1356D">
            <w:pPr>
              <w:pStyle w:val="Tabletext"/>
              <w:rPr>
                <w:rFonts w:cs="Tahoma"/>
              </w:rPr>
            </w:pPr>
            <w:r w:rsidRPr="00596E2E">
              <w:rPr>
                <w:rFonts w:cs="Tahoma"/>
              </w:rPr>
              <w:t>Not serious</w:t>
            </w:r>
          </w:p>
        </w:tc>
        <w:tc>
          <w:tcPr>
            <w:tcW w:w="1134" w:type="dxa"/>
          </w:tcPr>
          <w:p w:rsidR="00CC3BA4" w:rsidRPr="00596E2E" w:rsidRDefault="00F95747" w:rsidP="00260588">
            <w:pPr>
              <w:pStyle w:val="Tabletext"/>
              <w:rPr>
                <w:rFonts w:cs="Tahoma"/>
              </w:rPr>
            </w:pPr>
            <w:r>
              <w:rPr>
                <w:rFonts w:cs="Tahoma"/>
              </w:rPr>
              <w:t>Very s</w:t>
            </w:r>
            <w:r w:rsidR="00CC3BA4" w:rsidRPr="00D36FBC">
              <w:rPr>
                <w:rFonts w:cs="Tahoma"/>
              </w:rPr>
              <w:t>erious</w:t>
            </w:r>
            <w:r w:rsidR="00CC3BA4">
              <w:rPr>
                <w:rFonts w:cs="Tahoma"/>
                <w:vertAlign w:val="superscript"/>
              </w:rPr>
              <w:t>d</w:t>
            </w:r>
          </w:p>
        </w:tc>
        <w:tc>
          <w:tcPr>
            <w:tcW w:w="1276" w:type="dxa"/>
          </w:tcPr>
          <w:p w:rsidR="00CC3BA4" w:rsidRPr="00596E2E" w:rsidRDefault="00CC3BA4" w:rsidP="00D1356D">
            <w:pPr>
              <w:pStyle w:val="Tabletext"/>
              <w:rPr>
                <w:rFonts w:cs="Tahoma"/>
              </w:rPr>
            </w:pPr>
            <w:r w:rsidRPr="00596E2E">
              <w:rPr>
                <w:rFonts w:cs="Tahoma"/>
              </w:rPr>
              <w:t>None</w:t>
            </w:r>
          </w:p>
        </w:tc>
        <w:tc>
          <w:tcPr>
            <w:tcW w:w="1417" w:type="dxa"/>
          </w:tcPr>
          <w:p w:rsidR="00CC3BA4" w:rsidRPr="00596E2E" w:rsidRDefault="00CC3BA4" w:rsidP="00D1356D">
            <w:pPr>
              <w:pStyle w:val="Tabletext"/>
              <w:rPr>
                <w:rFonts w:cs="Tahoma"/>
              </w:rPr>
            </w:pPr>
            <w:r>
              <w:rPr>
                <w:rFonts w:cs="Tahoma"/>
              </w:rPr>
              <w:t>41/54 (75.9%)</w:t>
            </w:r>
          </w:p>
        </w:tc>
        <w:tc>
          <w:tcPr>
            <w:tcW w:w="1134" w:type="dxa"/>
          </w:tcPr>
          <w:p w:rsidR="00CC3BA4" w:rsidRPr="00596E2E" w:rsidRDefault="00CC3BA4" w:rsidP="00D1356D">
            <w:pPr>
              <w:pStyle w:val="Tabletext"/>
              <w:rPr>
                <w:rFonts w:cs="Tahoma"/>
              </w:rPr>
            </w:pPr>
            <w:r w:rsidRPr="0043303C">
              <w:rPr>
                <w:rFonts w:cs="Tahoma"/>
              </w:rPr>
              <w:t>30/53 (56.6%)</w:t>
            </w:r>
          </w:p>
        </w:tc>
        <w:tc>
          <w:tcPr>
            <w:tcW w:w="993" w:type="dxa"/>
          </w:tcPr>
          <w:p w:rsidR="00CC3BA4" w:rsidRPr="00596E2E" w:rsidRDefault="00CC3BA4" w:rsidP="00D1356D">
            <w:pPr>
              <w:pStyle w:val="Tabletext"/>
              <w:rPr>
                <w:rFonts w:cs="Tahoma"/>
              </w:rPr>
            </w:pPr>
            <w:r w:rsidRPr="0043303C">
              <w:rPr>
                <w:rFonts w:cs="Tahoma"/>
              </w:rPr>
              <w:t xml:space="preserve">RR </w:t>
            </w:r>
            <w:r>
              <w:rPr>
                <w:rFonts w:cs="Tahoma"/>
              </w:rPr>
              <w:t xml:space="preserve">= </w:t>
            </w:r>
            <w:r w:rsidRPr="0043303C">
              <w:rPr>
                <w:rFonts w:cs="Tahoma"/>
              </w:rPr>
              <w:t>2.40</w:t>
            </w:r>
            <w:r>
              <w:rPr>
                <w:rFonts w:cs="Tahoma"/>
              </w:rPr>
              <w:t xml:space="preserve"> </w:t>
            </w:r>
            <w:r w:rsidRPr="0043303C">
              <w:rPr>
                <w:rFonts w:cs="Tahoma"/>
              </w:rPr>
              <w:t>(0.15</w:t>
            </w:r>
            <w:r>
              <w:rPr>
                <w:rFonts w:cs="Tahoma"/>
              </w:rPr>
              <w:t>,</w:t>
            </w:r>
            <w:r w:rsidRPr="0043303C">
              <w:rPr>
                <w:rFonts w:cs="Tahoma"/>
              </w:rPr>
              <w:t xml:space="preserve"> </w:t>
            </w:r>
            <w:r>
              <w:rPr>
                <w:rFonts w:cs="Tahoma"/>
              </w:rPr>
              <w:t>37.41)</w:t>
            </w:r>
          </w:p>
        </w:tc>
        <w:tc>
          <w:tcPr>
            <w:tcW w:w="2188" w:type="dxa"/>
          </w:tcPr>
          <w:p w:rsidR="00CC3BA4" w:rsidRPr="00596E2E" w:rsidRDefault="00CC3BA4" w:rsidP="00D1356D">
            <w:pPr>
              <w:pStyle w:val="Tabletext"/>
              <w:rPr>
                <w:rFonts w:cs="Tahoma"/>
              </w:rPr>
            </w:pPr>
            <w:r w:rsidRPr="0043303C">
              <w:rPr>
                <w:rFonts w:cs="Tahoma"/>
              </w:rPr>
              <w:t>792 more per 1,000</w:t>
            </w:r>
            <w:r>
              <w:rPr>
                <w:rFonts w:cs="Tahoma"/>
              </w:rPr>
              <w:br/>
            </w:r>
            <w:r w:rsidRPr="0043303C">
              <w:rPr>
                <w:rFonts w:cs="Tahoma"/>
              </w:rPr>
              <w:t>(from 481 fewer to 1,000 more)</w:t>
            </w:r>
          </w:p>
        </w:tc>
        <w:tc>
          <w:tcPr>
            <w:tcW w:w="1214" w:type="dxa"/>
          </w:tcPr>
          <w:p w:rsidR="00CC3BA4" w:rsidRDefault="00F95747" w:rsidP="00D1356D">
            <w:pPr>
              <w:pStyle w:val="Tabletext"/>
              <w:rPr>
                <w:rFonts w:ascii="Cambria Math" w:eastAsia="Times New Roman" w:hAnsi="Cambria Math" w:cs="Cambria Math"/>
                <w:bCs/>
              </w:rPr>
            </w:pPr>
            <w:r>
              <w:rPr>
                <w:rFonts w:eastAsia="Times New Roman" w:cs="Tahoma"/>
                <w:bCs/>
              </w:rPr>
              <w:t>Very l</w:t>
            </w:r>
            <w:r w:rsidR="00CC3BA4">
              <w:rPr>
                <w:rFonts w:eastAsia="Times New Roman" w:cs="Tahoma"/>
                <w:bCs/>
              </w:rPr>
              <w:t>ow</w:t>
            </w:r>
            <w:r w:rsidR="00CC3BA4">
              <w:rPr>
                <w:rFonts w:eastAsia="Times New Roman" w:cs="Tahoma"/>
                <w:bCs/>
              </w:rPr>
              <w:br/>
            </w:r>
            <w:r w:rsidR="00CC3BA4">
              <w:rPr>
                <w:rFonts w:ascii="Cambria Math" w:eastAsia="Times New Roman" w:hAnsi="Cambria Math" w:cs="Cambria Math"/>
                <w:bCs/>
                <w:color w:val="00B050"/>
              </w:rPr>
              <w:t>⨁</w:t>
            </w:r>
            <w:r w:rsidRPr="00E564DD">
              <w:rPr>
                <w:rFonts w:ascii="Cambria Math" w:eastAsia="Times New Roman" w:hAnsi="Cambria Math" w:cs="Cambria Math"/>
                <w:bCs/>
                <w:color w:val="FF0000"/>
              </w:rPr>
              <w:t>⨀</w:t>
            </w:r>
            <w:r w:rsidR="00CC3BA4" w:rsidRPr="00E564DD">
              <w:rPr>
                <w:rFonts w:ascii="Cambria Math" w:eastAsia="Times New Roman" w:hAnsi="Cambria Math" w:cs="Cambria Math"/>
                <w:bCs/>
                <w:color w:val="FF0000"/>
              </w:rPr>
              <w:t>⨀⨀</w:t>
            </w:r>
          </w:p>
          <w:p w:rsidR="00CC3BA4" w:rsidRPr="00596E2E" w:rsidRDefault="00CC3BA4" w:rsidP="00D1356D">
            <w:pPr>
              <w:pStyle w:val="Tabletext"/>
              <w:rPr>
                <w:rFonts w:cs="Tahoma"/>
              </w:rPr>
            </w:pPr>
            <w:r w:rsidRPr="00596E2E">
              <w:rPr>
                <w:rFonts w:cs="Tahoma"/>
              </w:rPr>
              <w:t>Important</w:t>
            </w:r>
          </w:p>
        </w:tc>
      </w:tr>
      <w:tr w:rsidR="00CC3BA4" w:rsidRPr="00596E2E" w:rsidTr="00F37FD2">
        <w:trPr>
          <w:trHeight w:val="319"/>
        </w:trPr>
        <w:tc>
          <w:tcPr>
            <w:tcW w:w="1493" w:type="dxa"/>
          </w:tcPr>
          <w:p w:rsidR="00CC3BA4" w:rsidRPr="00596E2E" w:rsidRDefault="00CC3BA4" w:rsidP="00D1356D">
            <w:pPr>
              <w:pStyle w:val="Tabletext"/>
              <w:rPr>
                <w:rFonts w:cs="Tahoma"/>
              </w:rPr>
            </w:pPr>
            <w:r w:rsidRPr="00596E2E">
              <w:rPr>
                <w:rFonts w:cs="Tahoma"/>
              </w:rPr>
              <w:t>Serious AEs</w:t>
            </w:r>
            <w:r w:rsidRPr="00596E2E">
              <w:rPr>
                <w:rFonts w:cs="Tahoma"/>
              </w:rPr>
              <w:br/>
              <w:t>(</w:t>
            </w:r>
            <w:r>
              <w:rPr>
                <w:rFonts w:cs="Tahoma"/>
              </w:rPr>
              <w:t>1</w:t>
            </w:r>
            <w:r w:rsidRPr="00596E2E">
              <w:rPr>
                <w:rFonts w:cs="Tahoma"/>
              </w:rPr>
              <w:t>2 weeks)</w:t>
            </w:r>
          </w:p>
        </w:tc>
        <w:tc>
          <w:tcPr>
            <w:tcW w:w="1054" w:type="dxa"/>
          </w:tcPr>
          <w:p w:rsidR="00CC3BA4" w:rsidRPr="00596E2E" w:rsidRDefault="00CC3BA4" w:rsidP="00D1356D">
            <w:pPr>
              <w:pStyle w:val="Tabletext"/>
              <w:rPr>
                <w:rFonts w:cs="Tahoma"/>
              </w:rPr>
            </w:pPr>
            <w:r>
              <w:rPr>
                <w:rFonts w:cs="Tahoma"/>
              </w:rPr>
              <w:t>1</w:t>
            </w:r>
            <w:r w:rsidRPr="00596E2E">
              <w:rPr>
                <w:rFonts w:cs="Tahoma"/>
              </w:rPr>
              <w:t xml:space="preserve"> RCT</w:t>
            </w:r>
          </w:p>
        </w:tc>
        <w:tc>
          <w:tcPr>
            <w:tcW w:w="771" w:type="dxa"/>
          </w:tcPr>
          <w:p w:rsidR="00CC3BA4" w:rsidRPr="00596E2E" w:rsidRDefault="00CC3BA4" w:rsidP="00D1356D">
            <w:pPr>
              <w:pStyle w:val="Tabletext"/>
              <w:rPr>
                <w:rFonts w:cs="Tahoma"/>
              </w:rPr>
            </w:pPr>
            <w:r w:rsidRPr="00596E2E">
              <w:rPr>
                <w:rFonts w:cs="Tahoma"/>
              </w:rPr>
              <w:t>Not serious</w:t>
            </w:r>
          </w:p>
        </w:tc>
        <w:tc>
          <w:tcPr>
            <w:tcW w:w="1072" w:type="dxa"/>
          </w:tcPr>
          <w:p w:rsidR="00CC3BA4" w:rsidRPr="00596E2E" w:rsidRDefault="00CC3BA4" w:rsidP="00D1356D">
            <w:pPr>
              <w:pStyle w:val="Tabletext"/>
              <w:rPr>
                <w:rFonts w:cs="Tahoma"/>
              </w:rPr>
            </w:pPr>
            <w:r w:rsidRPr="00596E2E">
              <w:rPr>
                <w:rFonts w:cs="Tahoma"/>
              </w:rPr>
              <w:t>Not serious</w:t>
            </w:r>
          </w:p>
        </w:tc>
        <w:tc>
          <w:tcPr>
            <w:tcW w:w="992" w:type="dxa"/>
          </w:tcPr>
          <w:p w:rsidR="00CC3BA4" w:rsidRPr="00596E2E" w:rsidRDefault="00CC3BA4" w:rsidP="00D1356D">
            <w:pPr>
              <w:pStyle w:val="Tabletext"/>
              <w:rPr>
                <w:rFonts w:cs="Tahoma"/>
              </w:rPr>
            </w:pPr>
            <w:r w:rsidRPr="00596E2E">
              <w:rPr>
                <w:rFonts w:cs="Tahoma"/>
              </w:rPr>
              <w:t>Not serious</w:t>
            </w:r>
          </w:p>
        </w:tc>
        <w:tc>
          <w:tcPr>
            <w:tcW w:w="1134" w:type="dxa"/>
          </w:tcPr>
          <w:p w:rsidR="00CC3BA4" w:rsidRPr="00596E2E" w:rsidRDefault="00E86FC8" w:rsidP="00E86FC8">
            <w:pPr>
              <w:pStyle w:val="Tabletext"/>
              <w:rPr>
                <w:rFonts w:cs="Tahoma"/>
              </w:rPr>
            </w:pPr>
            <w:r>
              <w:rPr>
                <w:rFonts w:cs="Tahoma"/>
              </w:rPr>
              <w:t>Very s</w:t>
            </w:r>
            <w:r w:rsidR="00CC3BA4" w:rsidRPr="00D36FBC">
              <w:rPr>
                <w:rFonts w:cs="Tahoma"/>
              </w:rPr>
              <w:t>erious</w:t>
            </w:r>
            <w:r w:rsidR="00CC3BA4">
              <w:rPr>
                <w:rFonts w:cs="Tahoma"/>
                <w:vertAlign w:val="superscript"/>
              </w:rPr>
              <w:t>d</w:t>
            </w:r>
            <w:r>
              <w:rPr>
                <w:rFonts w:cs="Tahoma"/>
                <w:vertAlign w:val="superscript"/>
              </w:rPr>
              <w:t>, e</w:t>
            </w:r>
          </w:p>
        </w:tc>
        <w:tc>
          <w:tcPr>
            <w:tcW w:w="1276" w:type="dxa"/>
          </w:tcPr>
          <w:p w:rsidR="00CC3BA4" w:rsidRPr="00596E2E" w:rsidRDefault="00CC3BA4" w:rsidP="00D1356D">
            <w:pPr>
              <w:pStyle w:val="Tabletext"/>
              <w:rPr>
                <w:rFonts w:cs="Tahoma"/>
              </w:rPr>
            </w:pPr>
            <w:r w:rsidRPr="00596E2E">
              <w:rPr>
                <w:rFonts w:cs="Tahoma"/>
              </w:rPr>
              <w:t>None</w:t>
            </w:r>
          </w:p>
        </w:tc>
        <w:tc>
          <w:tcPr>
            <w:tcW w:w="1417" w:type="dxa"/>
          </w:tcPr>
          <w:p w:rsidR="00CC3BA4" w:rsidRPr="00596E2E" w:rsidRDefault="00CC3BA4" w:rsidP="00D1356D">
            <w:pPr>
              <w:pStyle w:val="Tabletext"/>
              <w:rPr>
                <w:rFonts w:cs="Tahoma"/>
              </w:rPr>
            </w:pPr>
            <w:r>
              <w:rPr>
                <w:rFonts w:cs="Tahoma"/>
              </w:rPr>
              <w:t>5/35 (14.3%)</w:t>
            </w:r>
          </w:p>
        </w:tc>
        <w:tc>
          <w:tcPr>
            <w:tcW w:w="1134" w:type="dxa"/>
          </w:tcPr>
          <w:p w:rsidR="00CC3BA4" w:rsidRPr="00596E2E" w:rsidRDefault="00CC3BA4" w:rsidP="00D1356D">
            <w:pPr>
              <w:pStyle w:val="Tabletext"/>
              <w:rPr>
                <w:rFonts w:cs="Tahoma"/>
              </w:rPr>
            </w:pPr>
            <w:r w:rsidRPr="0043303C">
              <w:rPr>
                <w:rFonts w:cs="Tahoma"/>
              </w:rPr>
              <w:t>7/32 (21.9%)</w:t>
            </w:r>
          </w:p>
        </w:tc>
        <w:tc>
          <w:tcPr>
            <w:tcW w:w="993" w:type="dxa"/>
          </w:tcPr>
          <w:p w:rsidR="00CC3BA4" w:rsidRPr="00596E2E" w:rsidRDefault="00CC3BA4" w:rsidP="00D1356D">
            <w:pPr>
              <w:pStyle w:val="Tabletext"/>
              <w:rPr>
                <w:rFonts w:cs="Tahoma"/>
              </w:rPr>
            </w:pPr>
            <w:r w:rsidRPr="0043303C">
              <w:rPr>
                <w:rFonts w:cs="Tahoma"/>
              </w:rPr>
              <w:t xml:space="preserve">RR </w:t>
            </w:r>
            <w:r>
              <w:rPr>
                <w:rFonts w:cs="Tahoma"/>
              </w:rPr>
              <w:t xml:space="preserve">= </w:t>
            </w:r>
            <w:r w:rsidRPr="0043303C">
              <w:rPr>
                <w:rFonts w:cs="Tahoma"/>
              </w:rPr>
              <w:t>0.65</w:t>
            </w:r>
            <w:r>
              <w:rPr>
                <w:rFonts w:cs="Tahoma"/>
              </w:rPr>
              <w:t xml:space="preserve"> </w:t>
            </w:r>
            <w:r w:rsidRPr="0043303C">
              <w:rPr>
                <w:rFonts w:cs="Tahoma"/>
              </w:rPr>
              <w:t>(0.23</w:t>
            </w:r>
            <w:r>
              <w:rPr>
                <w:rFonts w:cs="Tahoma"/>
              </w:rPr>
              <w:t>,</w:t>
            </w:r>
            <w:r w:rsidRPr="0043303C">
              <w:rPr>
                <w:rFonts w:cs="Tahoma"/>
              </w:rPr>
              <w:t xml:space="preserve"> 1.85)</w:t>
            </w:r>
          </w:p>
        </w:tc>
        <w:tc>
          <w:tcPr>
            <w:tcW w:w="2188" w:type="dxa"/>
          </w:tcPr>
          <w:p w:rsidR="00CC3BA4" w:rsidRPr="00596E2E" w:rsidRDefault="00CC3BA4" w:rsidP="00D1356D">
            <w:pPr>
              <w:pStyle w:val="Tabletext"/>
              <w:rPr>
                <w:rFonts w:cs="Tahoma"/>
              </w:rPr>
            </w:pPr>
            <w:r w:rsidRPr="0043303C">
              <w:rPr>
                <w:rFonts w:cs="Tahoma"/>
              </w:rPr>
              <w:t>77 fewer per 1,000</w:t>
            </w:r>
            <w:r>
              <w:rPr>
                <w:rFonts w:cs="Tahoma"/>
              </w:rPr>
              <w:br/>
            </w:r>
            <w:r w:rsidRPr="0043303C">
              <w:rPr>
                <w:rFonts w:cs="Tahoma"/>
              </w:rPr>
              <w:t>(from 168 fewer to 186 more)</w:t>
            </w:r>
          </w:p>
        </w:tc>
        <w:tc>
          <w:tcPr>
            <w:tcW w:w="1214" w:type="dxa"/>
          </w:tcPr>
          <w:p w:rsidR="00E86FC8" w:rsidRDefault="00E86FC8" w:rsidP="00E86FC8">
            <w:pPr>
              <w:pStyle w:val="Tabletext"/>
              <w:rPr>
                <w:rFonts w:ascii="Cambria Math" w:eastAsia="Times New Roman" w:hAnsi="Cambria Math" w:cs="Cambria Math"/>
                <w:bCs/>
              </w:rPr>
            </w:pPr>
            <w:r>
              <w:rPr>
                <w:rFonts w:eastAsia="Times New Roman" w:cs="Tahoma"/>
                <w:bCs/>
              </w:rPr>
              <w:t>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596E2E" w:rsidRDefault="00CC3BA4" w:rsidP="00D1356D">
            <w:pPr>
              <w:pStyle w:val="Tabletext"/>
              <w:rPr>
                <w:rFonts w:cs="Tahoma"/>
              </w:rPr>
            </w:pPr>
            <w:r w:rsidRPr="00596E2E">
              <w:rPr>
                <w:rFonts w:cs="Tahoma"/>
              </w:rPr>
              <w:t>Important</w:t>
            </w:r>
          </w:p>
        </w:tc>
      </w:tr>
      <w:tr w:rsidR="00E86FC8" w:rsidRPr="00596E2E" w:rsidTr="00F37FD2">
        <w:trPr>
          <w:trHeight w:val="319"/>
        </w:trPr>
        <w:tc>
          <w:tcPr>
            <w:tcW w:w="1493" w:type="dxa"/>
          </w:tcPr>
          <w:p w:rsidR="00E86FC8" w:rsidRPr="00527A70" w:rsidRDefault="00E86FC8" w:rsidP="00E86FC8">
            <w:pPr>
              <w:pStyle w:val="Tabletext"/>
              <w:rPr>
                <w:rFonts w:cs="Tahoma"/>
                <w:highlight w:val="yellow"/>
              </w:rPr>
            </w:pPr>
            <w:r w:rsidRPr="000E67F8">
              <w:rPr>
                <w:rFonts w:cs="Tahoma"/>
              </w:rPr>
              <w:t>AEs leading to treatment discontinuation</w:t>
            </w:r>
            <w:r w:rsidRPr="000E67F8">
              <w:rPr>
                <w:rFonts w:cs="Tahoma"/>
              </w:rPr>
              <w:br/>
              <w:t>(16 weeks)</w:t>
            </w:r>
          </w:p>
        </w:tc>
        <w:tc>
          <w:tcPr>
            <w:tcW w:w="1054" w:type="dxa"/>
          </w:tcPr>
          <w:p w:rsidR="00E86FC8" w:rsidRPr="00596E2E" w:rsidRDefault="00E86FC8" w:rsidP="00E86FC8">
            <w:pPr>
              <w:pStyle w:val="Tabletext"/>
              <w:rPr>
                <w:rFonts w:cs="Tahoma"/>
              </w:rPr>
            </w:pPr>
            <w:r>
              <w:rPr>
                <w:rFonts w:cs="Tahoma"/>
              </w:rPr>
              <w:t>1</w:t>
            </w:r>
            <w:r w:rsidRPr="00596E2E">
              <w:rPr>
                <w:rFonts w:cs="Tahoma"/>
              </w:rPr>
              <w:t xml:space="preserve"> RCT</w:t>
            </w:r>
          </w:p>
        </w:tc>
        <w:tc>
          <w:tcPr>
            <w:tcW w:w="771" w:type="dxa"/>
          </w:tcPr>
          <w:p w:rsidR="00E86FC8" w:rsidRPr="00596E2E" w:rsidRDefault="00E86FC8" w:rsidP="00E86FC8">
            <w:pPr>
              <w:pStyle w:val="Tabletext"/>
              <w:rPr>
                <w:rFonts w:cs="Tahoma"/>
              </w:rPr>
            </w:pPr>
            <w:r>
              <w:rPr>
                <w:rFonts w:cs="Tahoma"/>
              </w:rPr>
              <w:t>Very s</w:t>
            </w:r>
            <w:r w:rsidRPr="00D36FBC">
              <w:rPr>
                <w:rFonts w:cs="Tahoma"/>
              </w:rPr>
              <w:t>erious</w:t>
            </w:r>
            <w:r>
              <w:rPr>
                <w:rFonts w:cs="Tahoma"/>
              </w:rPr>
              <w:t xml:space="preserve"> </w:t>
            </w:r>
            <w:r w:rsidRPr="00B5424D">
              <w:rPr>
                <w:rFonts w:cs="Tahoma"/>
                <w:vertAlign w:val="superscript"/>
              </w:rPr>
              <w:t>c</w:t>
            </w:r>
          </w:p>
        </w:tc>
        <w:tc>
          <w:tcPr>
            <w:tcW w:w="1072" w:type="dxa"/>
          </w:tcPr>
          <w:p w:rsidR="00E86FC8" w:rsidRPr="00596E2E" w:rsidRDefault="00E86FC8" w:rsidP="00E86FC8">
            <w:pPr>
              <w:pStyle w:val="Tabletext"/>
              <w:rPr>
                <w:rFonts w:cs="Tahoma"/>
              </w:rPr>
            </w:pPr>
            <w:r w:rsidRPr="00596E2E">
              <w:rPr>
                <w:rFonts w:cs="Tahoma"/>
              </w:rPr>
              <w:t>Not serious</w:t>
            </w:r>
          </w:p>
        </w:tc>
        <w:tc>
          <w:tcPr>
            <w:tcW w:w="992" w:type="dxa"/>
          </w:tcPr>
          <w:p w:rsidR="00E86FC8" w:rsidRPr="00596E2E" w:rsidRDefault="00E86FC8" w:rsidP="00E86FC8">
            <w:pPr>
              <w:pStyle w:val="Tabletext"/>
              <w:rPr>
                <w:rFonts w:cs="Tahoma"/>
              </w:rPr>
            </w:pPr>
            <w:r w:rsidRPr="00596E2E">
              <w:rPr>
                <w:rFonts w:cs="Tahoma"/>
              </w:rPr>
              <w:t>Not serious</w:t>
            </w:r>
          </w:p>
        </w:tc>
        <w:tc>
          <w:tcPr>
            <w:tcW w:w="1134" w:type="dxa"/>
          </w:tcPr>
          <w:p w:rsidR="00E86FC8" w:rsidRPr="00596E2E" w:rsidRDefault="00E86FC8" w:rsidP="00E86FC8">
            <w:pPr>
              <w:pStyle w:val="Tabletext"/>
              <w:rPr>
                <w:rFonts w:cs="Tahoma"/>
              </w:rPr>
            </w:pPr>
            <w:r>
              <w:rPr>
                <w:rFonts w:cs="Tahoma"/>
              </w:rPr>
              <w:t>Very s</w:t>
            </w:r>
            <w:r w:rsidRPr="00D36FBC">
              <w:rPr>
                <w:rFonts w:cs="Tahoma"/>
              </w:rPr>
              <w:t>erious</w:t>
            </w:r>
            <w:r>
              <w:rPr>
                <w:rFonts w:cs="Tahoma"/>
              </w:rPr>
              <w:t xml:space="preserve"> </w:t>
            </w:r>
            <w:r>
              <w:rPr>
                <w:rFonts w:cs="Tahoma"/>
                <w:vertAlign w:val="superscript"/>
              </w:rPr>
              <w:t>e</w:t>
            </w:r>
          </w:p>
        </w:tc>
        <w:tc>
          <w:tcPr>
            <w:tcW w:w="1276" w:type="dxa"/>
          </w:tcPr>
          <w:p w:rsidR="00E86FC8" w:rsidRPr="00596E2E" w:rsidRDefault="00E86FC8" w:rsidP="00E86FC8">
            <w:pPr>
              <w:pStyle w:val="Tabletext"/>
              <w:rPr>
                <w:rFonts w:cs="Tahoma"/>
              </w:rPr>
            </w:pPr>
            <w:r w:rsidRPr="00596E2E">
              <w:rPr>
                <w:rFonts w:cs="Tahoma"/>
              </w:rPr>
              <w:t>None</w:t>
            </w:r>
          </w:p>
        </w:tc>
        <w:tc>
          <w:tcPr>
            <w:tcW w:w="1417" w:type="dxa"/>
          </w:tcPr>
          <w:p w:rsidR="00E86FC8" w:rsidRPr="00596E2E" w:rsidRDefault="00E86FC8" w:rsidP="00E86FC8">
            <w:pPr>
              <w:pStyle w:val="Tabletext"/>
              <w:rPr>
                <w:rFonts w:cs="Tahoma"/>
              </w:rPr>
            </w:pPr>
            <w:r>
              <w:rPr>
                <w:rFonts w:cs="Tahoma"/>
              </w:rPr>
              <w:t>1/19 (5.3%)</w:t>
            </w:r>
          </w:p>
        </w:tc>
        <w:tc>
          <w:tcPr>
            <w:tcW w:w="1134" w:type="dxa"/>
          </w:tcPr>
          <w:p w:rsidR="00E86FC8" w:rsidRPr="00596E2E" w:rsidRDefault="00E86FC8" w:rsidP="00E86FC8">
            <w:pPr>
              <w:pStyle w:val="Tabletext"/>
              <w:rPr>
                <w:rFonts w:cs="Tahoma"/>
              </w:rPr>
            </w:pPr>
            <w:r w:rsidRPr="008D14BB">
              <w:rPr>
                <w:rFonts w:cs="Tahoma"/>
              </w:rPr>
              <w:t>0/21 (0.0%)</w:t>
            </w:r>
          </w:p>
        </w:tc>
        <w:tc>
          <w:tcPr>
            <w:tcW w:w="993" w:type="dxa"/>
          </w:tcPr>
          <w:p w:rsidR="00E86FC8" w:rsidRPr="00596E2E" w:rsidRDefault="00E86FC8" w:rsidP="00E86FC8">
            <w:pPr>
              <w:pStyle w:val="Tabletext"/>
              <w:rPr>
                <w:rFonts w:cs="Tahoma"/>
              </w:rPr>
            </w:pPr>
            <w:r>
              <w:rPr>
                <w:rFonts w:cs="Tahoma"/>
              </w:rPr>
              <w:t>ARD</w:t>
            </w:r>
            <w:r w:rsidRPr="008D14BB">
              <w:rPr>
                <w:rFonts w:cs="Tahoma"/>
              </w:rPr>
              <w:t xml:space="preserve"> = 5.2% </w:t>
            </w:r>
            <w:r>
              <w:rPr>
                <w:rFonts w:cs="Tahoma"/>
              </w:rPr>
              <w:t>(</w:t>
            </w:r>
            <w:r w:rsidRPr="008D14BB">
              <w:rPr>
                <w:rFonts w:cs="Tahoma"/>
              </w:rPr>
              <w:t>−4.8</w:t>
            </w:r>
            <w:r>
              <w:rPr>
                <w:rFonts w:cs="Tahoma"/>
              </w:rPr>
              <w:t xml:space="preserve">, </w:t>
            </w:r>
            <w:r w:rsidRPr="008D14BB">
              <w:rPr>
                <w:rFonts w:cs="Tahoma"/>
              </w:rPr>
              <w:t>15.3)</w:t>
            </w:r>
          </w:p>
        </w:tc>
        <w:tc>
          <w:tcPr>
            <w:tcW w:w="2188" w:type="dxa"/>
          </w:tcPr>
          <w:p w:rsidR="00E86FC8" w:rsidRPr="00596E2E" w:rsidRDefault="00E86FC8" w:rsidP="00E86FC8">
            <w:pPr>
              <w:pStyle w:val="Tabletext"/>
              <w:rPr>
                <w:rFonts w:cs="Tahoma"/>
              </w:rPr>
            </w:pPr>
            <w:r w:rsidRPr="008D14BB">
              <w:rPr>
                <w:rFonts w:cs="Tahoma"/>
              </w:rPr>
              <w:t>52 more per 1,000</w:t>
            </w:r>
            <w:r>
              <w:rPr>
                <w:rFonts w:cs="Tahoma"/>
              </w:rPr>
              <w:br/>
            </w:r>
            <w:r w:rsidRPr="008D14BB">
              <w:rPr>
                <w:rFonts w:cs="Tahoma"/>
              </w:rPr>
              <w:t>(from 48 fewer to 153 more)</w:t>
            </w:r>
          </w:p>
        </w:tc>
        <w:tc>
          <w:tcPr>
            <w:tcW w:w="1214" w:type="dxa"/>
          </w:tcPr>
          <w:p w:rsidR="00E86FC8" w:rsidRDefault="00E86FC8" w:rsidP="00E86FC8">
            <w:pPr>
              <w:pStyle w:val="Tabletext"/>
              <w:rPr>
                <w:rFonts w:ascii="Cambria Math" w:eastAsia="Times New Roman" w:hAnsi="Cambria Math" w:cs="Cambria Math"/>
                <w:bCs/>
              </w:rPr>
            </w:pPr>
            <w:r>
              <w:rPr>
                <w:rFonts w:eastAsia="Times New Roman" w:cs="Tahoma"/>
                <w:bCs/>
              </w:rPr>
              <w:t>Very 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E86FC8" w:rsidRPr="00596E2E" w:rsidRDefault="00E86FC8" w:rsidP="00E86FC8">
            <w:pPr>
              <w:pStyle w:val="Tabletext"/>
              <w:rPr>
                <w:rFonts w:ascii="Cambria Math" w:eastAsia="Times New Roman" w:hAnsi="Cambria Math" w:cs="Cambria Math"/>
                <w:bCs/>
                <w:color w:val="00B050"/>
              </w:rPr>
            </w:pPr>
            <w:r w:rsidRPr="00596E2E">
              <w:rPr>
                <w:rFonts w:cs="Tahoma"/>
              </w:rPr>
              <w:t>Important</w:t>
            </w:r>
          </w:p>
        </w:tc>
      </w:tr>
    </w:tbl>
    <w:p w:rsidR="00CC3BA4" w:rsidRPr="00AA018C" w:rsidRDefault="00CC3BA4" w:rsidP="00D1356D">
      <w:pPr>
        <w:pStyle w:val="Tablenote"/>
      </w:pPr>
      <w:r w:rsidRPr="00596E2E">
        <w:rPr>
          <w:vertAlign w:val="superscript"/>
        </w:rPr>
        <w:t xml:space="preserve">a </w:t>
      </w:r>
      <w:r w:rsidRPr="00596E2E">
        <w:t>Other considerations such as publication bias and effect size</w:t>
      </w:r>
    </w:p>
    <w:p w:rsidR="00CC3BA4" w:rsidRDefault="00CC3BA4" w:rsidP="00D1356D">
      <w:pPr>
        <w:pStyle w:val="Tablenote"/>
      </w:pPr>
      <w:r>
        <w:rPr>
          <w:vertAlign w:val="superscript"/>
        </w:rPr>
        <w:t xml:space="preserve">b </w:t>
      </w:r>
      <w:r w:rsidRPr="00E564DD">
        <w:t>GRADE W</w:t>
      </w:r>
      <w:r>
        <w:t>orking Group grades of evidence</w:t>
      </w:r>
      <w:r w:rsidR="001D34EE" w:rsidRPr="001D34EE">
        <w:rPr>
          <w:noProof/>
          <w:vertAlign w:val="superscript"/>
        </w:rPr>
        <w:t>1</w:t>
      </w:r>
    </w:p>
    <w:p w:rsidR="00CC3BA4" w:rsidRDefault="00CC3BA4" w:rsidP="00D1356D">
      <w:pPr>
        <w:pStyle w:val="Tablenote"/>
      </w:pPr>
      <w:r>
        <w:rPr>
          <w:vertAlign w:val="superscript"/>
        </w:rPr>
        <w:t>c</w:t>
      </w:r>
      <w:r w:rsidRPr="00E564DD">
        <w:t xml:space="preserve"> </w:t>
      </w:r>
      <w:r>
        <w:t>One RCT had a high risk of bias</w:t>
      </w:r>
    </w:p>
    <w:p w:rsidR="00CC3BA4" w:rsidRDefault="00CC3BA4" w:rsidP="00D1356D">
      <w:pPr>
        <w:pStyle w:val="Tablenote"/>
      </w:pPr>
      <w:r>
        <w:rPr>
          <w:vertAlign w:val="superscript"/>
        </w:rPr>
        <w:t>d</w:t>
      </w:r>
      <w:r w:rsidRPr="00E564DD">
        <w:t xml:space="preserve"> </w:t>
      </w:r>
      <w:r>
        <w:t>Wide 95% CIs</w:t>
      </w:r>
    </w:p>
    <w:p w:rsidR="00E86FC8" w:rsidRPr="00E86FC8" w:rsidRDefault="00E86FC8" w:rsidP="00D1356D">
      <w:pPr>
        <w:pStyle w:val="Tablenote"/>
      </w:pPr>
      <w:r>
        <w:rPr>
          <w:vertAlign w:val="superscript"/>
        </w:rPr>
        <w:t xml:space="preserve">e </w:t>
      </w:r>
      <w:r>
        <w:t>Small study size</w:t>
      </w:r>
    </w:p>
    <w:p w:rsidR="00CC3BA4" w:rsidRPr="00E564DD" w:rsidRDefault="00CC3BA4" w:rsidP="00D1356D">
      <w:pPr>
        <w:pStyle w:val="Tablenote"/>
      </w:pPr>
      <w:r w:rsidRPr="00E564DD">
        <w:rPr>
          <w:rFonts w:ascii="Cambria Math" w:hAnsi="Cambria Math" w:cs="Cambria Math"/>
          <w:color w:val="00B050"/>
        </w:rPr>
        <w:lastRenderedPageBreak/>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CC3BA4" w:rsidRPr="00E564DD" w:rsidRDefault="00CC3BA4" w:rsidP="00D1356D">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Low quality:</w:t>
      </w:r>
      <w:r w:rsidRPr="00E564DD">
        <w:t xml:space="preserve"> Our confidence in the effect estimate is limited: The true effect may be substantially different from the estimate of the effect</w:t>
      </w:r>
    </w:p>
    <w:p w:rsidR="00F95747" w:rsidRPr="00E564DD" w:rsidRDefault="00F95747" w:rsidP="00F95747">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Very low quality:</w:t>
      </w:r>
      <w:r w:rsidRPr="00E564DD">
        <w:t xml:space="preserve"> We have very little confidence in the effect estimate: The true effect is likely to be substantially different from the estimate of effect</w:t>
      </w:r>
    </w:p>
    <w:p w:rsidR="002E6E59" w:rsidRDefault="00CC3BA4" w:rsidP="00D1356D">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2E6E59" w:rsidRPr="00F24B06">
        <w:t xml:space="preserve">; </w:t>
      </w:r>
      <w:r w:rsidRPr="00C65B42">
        <w:t xml:space="preserve">PAH = pulmonary arterial hypertension; </w:t>
      </w:r>
      <w:r>
        <w:t>RCT = randomised controlled trial; RR = relative risk; WHO = World Health Organization</w:t>
      </w:r>
    </w:p>
    <w:p w:rsidR="00CC3BA4" w:rsidRPr="006632FB" w:rsidRDefault="00CC3BA4" w:rsidP="00BF48DF">
      <w:pPr>
        <w:pStyle w:val="Heading4"/>
      </w:pPr>
      <w:r>
        <w:t>sGC stimulator</w:t>
      </w:r>
      <w:r w:rsidRPr="006632FB">
        <w:t xml:space="preserve"> in addition to </w:t>
      </w:r>
      <w:r>
        <w:t>an ERA</w:t>
      </w:r>
    </w:p>
    <w:p w:rsidR="00CC3BA4" w:rsidRPr="00A17B9D" w:rsidRDefault="00A17B9D" w:rsidP="00BC5A2B">
      <w:pPr>
        <w:pStyle w:val="Caption"/>
        <w:rPr>
          <w:highlight w:val="black"/>
        </w:rPr>
      </w:pPr>
      <w:r>
        <w:rPr>
          <w:noProof/>
          <w:color w:val="000000"/>
          <w:highlight w:val="black"/>
        </w:rPr>
        <w:t>''''''''''' ''''''''''''''''''''''''''' '''''''''''' '''''''''' '''''' '''''''''''''''''''''''' '''' ''''''' '''''''''''''''''' ''' ''''''' '''''''''''''''''''''' '''''''''''''''' ''''''''''''''''' '''' ''''''' ''''''''''''''''''''''''' '''''' ''''' '''''''' '''''''''''''''</w:t>
      </w:r>
    </w:p>
    <w:tbl>
      <w:tblPr>
        <w:tblStyle w:val="TableGrid"/>
        <w:tblW w:w="14596" w:type="dxa"/>
        <w:tblLayout w:type="fixed"/>
        <w:tblLook w:val="04A0" w:firstRow="1" w:lastRow="0" w:firstColumn="1" w:lastColumn="0" w:noHBand="0" w:noVBand="1"/>
        <w:tblCaption w:val="Evidence profile table for effectiveness of sGC stimulator + ERA combination therapy compared to ERA monotherapy for all PAH patients"/>
      </w:tblPr>
      <w:tblGrid>
        <w:gridCol w:w="1493"/>
        <w:gridCol w:w="1054"/>
        <w:gridCol w:w="771"/>
        <w:gridCol w:w="1072"/>
        <w:gridCol w:w="992"/>
        <w:gridCol w:w="992"/>
        <w:gridCol w:w="1276"/>
        <w:gridCol w:w="1417"/>
        <w:gridCol w:w="1134"/>
        <w:gridCol w:w="993"/>
        <w:gridCol w:w="2188"/>
        <w:gridCol w:w="1214"/>
      </w:tblGrid>
      <w:tr w:rsidR="00D1356D" w:rsidRPr="00835775" w:rsidTr="00F37FD2">
        <w:trPr>
          <w:cnfStyle w:val="100000000000" w:firstRow="1" w:lastRow="0" w:firstColumn="0" w:lastColumn="0" w:oddVBand="0" w:evenVBand="0" w:oddHBand="0" w:evenHBand="0" w:firstRowFirstColumn="0" w:firstRowLastColumn="0" w:lastRowFirstColumn="0" w:lastRowLastColumn="0"/>
          <w:trHeight w:val="498"/>
        </w:trPr>
        <w:tc>
          <w:tcPr>
            <w:tcW w:w="1493" w:type="dxa"/>
          </w:tcPr>
          <w:p w:rsidR="00476F09" w:rsidRPr="00A17B9D" w:rsidRDefault="00A17B9D" w:rsidP="00D1356D">
            <w:pPr>
              <w:pStyle w:val="Tabletext"/>
              <w:rPr>
                <w:b/>
                <w:highlight w:val="black"/>
              </w:rPr>
            </w:pPr>
            <w:r>
              <w:rPr>
                <w:b/>
                <w:noProof/>
                <w:color w:val="000000"/>
                <w:highlight w:val="black"/>
              </w:rPr>
              <w:t>''''''''''''''''''' ''''''''''''''''''''</w:t>
            </w:r>
          </w:p>
        </w:tc>
        <w:tc>
          <w:tcPr>
            <w:tcW w:w="1054" w:type="dxa"/>
          </w:tcPr>
          <w:p w:rsidR="00476F09" w:rsidRPr="00A17B9D" w:rsidRDefault="00A17B9D" w:rsidP="00D1356D">
            <w:pPr>
              <w:pStyle w:val="Tabletext"/>
              <w:rPr>
                <w:b/>
                <w:highlight w:val="black"/>
              </w:rPr>
            </w:pPr>
            <w:r>
              <w:rPr>
                <w:b/>
                <w:noProof/>
                <w:color w:val="000000"/>
                <w:highlight w:val="black"/>
              </w:rPr>
              <w:t>''''''' '''' ''''''''''''''' ''''''' '''''''''''' '''''''''''''</w:t>
            </w:r>
          </w:p>
        </w:tc>
        <w:tc>
          <w:tcPr>
            <w:tcW w:w="771" w:type="dxa"/>
          </w:tcPr>
          <w:p w:rsidR="00476F09" w:rsidRPr="00A17B9D" w:rsidRDefault="00A17B9D" w:rsidP="00D1356D">
            <w:pPr>
              <w:pStyle w:val="Tabletext"/>
              <w:rPr>
                <w:b/>
                <w:highlight w:val="black"/>
              </w:rPr>
            </w:pPr>
            <w:r>
              <w:rPr>
                <w:b/>
                <w:noProof/>
                <w:color w:val="000000"/>
                <w:highlight w:val="black"/>
              </w:rPr>
              <w:t>'''''''''' ''''' ''''''''''</w:t>
            </w:r>
          </w:p>
        </w:tc>
        <w:tc>
          <w:tcPr>
            <w:tcW w:w="1072" w:type="dxa"/>
          </w:tcPr>
          <w:p w:rsidR="00476F09" w:rsidRPr="00A17B9D" w:rsidRDefault="00A17B9D" w:rsidP="00D1356D">
            <w:pPr>
              <w:pStyle w:val="Tabletext"/>
              <w:rPr>
                <w:b/>
                <w:highlight w:val="black"/>
              </w:rPr>
            </w:pPr>
            <w:r>
              <w:rPr>
                <w:b/>
                <w:noProof/>
                <w:color w:val="000000"/>
                <w:highlight w:val="black"/>
              </w:rPr>
              <w:t>'''''''''''''''''''''''''''''''</w:t>
            </w:r>
          </w:p>
        </w:tc>
        <w:tc>
          <w:tcPr>
            <w:tcW w:w="992" w:type="dxa"/>
          </w:tcPr>
          <w:p w:rsidR="00476F09" w:rsidRPr="00A17B9D" w:rsidRDefault="00A17B9D" w:rsidP="00D1356D">
            <w:pPr>
              <w:pStyle w:val="Tabletext"/>
              <w:rPr>
                <w:b/>
                <w:highlight w:val="black"/>
              </w:rPr>
            </w:pPr>
            <w:r>
              <w:rPr>
                <w:b/>
                <w:noProof/>
                <w:color w:val="000000"/>
                <w:highlight w:val="black"/>
              </w:rPr>
              <w:t>''''''''''''''''''''''''''''</w:t>
            </w:r>
          </w:p>
        </w:tc>
        <w:tc>
          <w:tcPr>
            <w:tcW w:w="992" w:type="dxa"/>
          </w:tcPr>
          <w:p w:rsidR="00476F09" w:rsidRPr="00A17B9D" w:rsidRDefault="00A17B9D" w:rsidP="00F37FD2">
            <w:pPr>
              <w:pStyle w:val="Tabletext"/>
              <w:rPr>
                <w:b/>
                <w:highlight w:val="black"/>
              </w:rPr>
            </w:pPr>
            <w:r>
              <w:rPr>
                <w:b/>
                <w:noProof/>
                <w:color w:val="000000"/>
                <w:highlight w:val="black"/>
              </w:rPr>
              <w:t>''''''''''''''''''''''''</w:t>
            </w:r>
          </w:p>
        </w:tc>
        <w:tc>
          <w:tcPr>
            <w:tcW w:w="1276" w:type="dxa"/>
          </w:tcPr>
          <w:p w:rsidR="00476F09" w:rsidRPr="00A17B9D" w:rsidRDefault="00A17B9D" w:rsidP="00D1356D">
            <w:pPr>
              <w:pStyle w:val="Tabletext"/>
              <w:rPr>
                <w:b/>
                <w:highlight w:val="black"/>
              </w:rPr>
            </w:pPr>
            <w:r>
              <w:rPr>
                <w:b/>
                <w:noProof/>
                <w:color w:val="000000"/>
                <w:highlight w:val="black"/>
              </w:rPr>
              <w:t>'''''''''''' '''''''''''''''''''''''''''''''''''''</w:t>
            </w:r>
          </w:p>
        </w:tc>
        <w:tc>
          <w:tcPr>
            <w:tcW w:w="1417" w:type="dxa"/>
          </w:tcPr>
          <w:p w:rsidR="00476F09" w:rsidRPr="00A17B9D" w:rsidRDefault="00A17B9D" w:rsidP="00D1356D">
            <w:pPr>
              <w:pStyle w:val="Tabletext"/>
              <w:rPr>
                <w:b/>
                <w:highlight w:val="black"/>
              </w:rPr>
            </w:pPr>
            <w:r>
              <w:rPr>
                <w:b/>
                <w:noProof/>
                <w:color w:val="000000"/>
                <w:highlight w:val="black"/>
              </w:rPr>
              <w:t>''''''''''' ''''''''''' '''''''''' '''''' ''''''''' '''''''' ''' '''''''''</w:t>
            </w:r>
          </w:p>
        </w:tc>
        <w:tc>
          <w:tcPr>
            <w:tcW w:w="1134" w:type="dxa"/>
          </w:tcPr>
          <w:p w:rsidR="00476F09" w:rsidRPr="00A17B9D" w:rsidRDefault="00A17B9D" w:rsidP="00D1356D">
            <w:pPr>
              <w:pStyle w:val="Tabletext"/>
              <w:rPr>
                <w:b/>
                <w:highlight w:val="black"/>
              </w:rPr>
            </w:pPr>
            <w:r>
              <w:rPr>
                <w:b/>
                <w:noProof/>
                <w:color w:val="000000"/>
                <w:highlight w:val="black"/>
              </w:rPr>
              <w:t>''''''''''''' '''''''''''' '''''''''' ''''''' ''''''''' ''''''''''</w:t>
            </w:r>
          </w:p>
        </w:tc>
        <w:tc>
          <w:tcPr>
            <w:tcW w:w="993" w:type="dxa"/>
          </w:tcPr>
          <w:p w:rsidR="00476F09" w:rsidRPr="00A17B9D" w:rsidRDefault="00A17B9D" w:rsidP="00D1356D">
            <w:pPr>
              <w:pStyle w:val="Tabletext"/>
              <w:rPr>
                <w:b/>
                <w:highlight w:val="black"/>
              </w:rPr>
            </w:pPr>
            <w:r>
              <w:rPr>
                <w:b/>
                <w:noProof/>
                <w:color w:val="000000"/>
                <w:highlight w:val="black"/>
              </w:rPr>
              <w:t>'''''''''''' ''''''''''''''''' ''''''''''''''''</w:t>
            </w:r>
          </w:p>
        </w:tc>
        <w:tc>
          <w:tcPr>
            <w:tcW w:w="2188" w:type="dxa"/>
          </w:tcPr>
          <w:p w:rsidR="00476F09" w:rsidRPr="00A17B9D" w:rsidRDefault="00A17B9D" w:rsidP="00D1356D">
            <w:pPr>
              <w:pStyle w:val="Tabletext"/>
              <w:rPr>
                <w:b/>
                <w:highlight w:val="black"/>
              </w:rPr>
            </w:pPr>
            <w:r>
              <w:rPr>
                <w:b/>
                <w:noProof/>
                <w:color w:val="000000"/>
                <w:highlight w:val="black"/>
              </w:rPr>
              <w:t>'''''''''''''''''''' '''''''''''' '''''''''''''''''</w:t>
            </w:r>
          </w:p>
        </w:tc>
        <w:tc>
          <w:tcPr>
            <w:tcW w:w="1214" w:type="dxa"/>
          </w:tcPr>
          <w:p w:rsidR="00814438" w:rsidRPr="00A17B9D" w:rsidRDefault="00A17B9D" w:rsidP="00D1356D">
            <w:pPr>
              <w:pStyle w:val="Tabletext"/>
              <w:rPr>
                <w:b/>
                <w:highlight w:val="black"/>
              </w:rPr>
            </w:pPr>
            <w:r>
              <w:rPr>
                <w:b/>
                <w:noProof/>
                <w:color w:val="000000"/>
                <w:highlight w:val="black"/>
              </w:rPr>
              <w:t>'''''''''''''''''''</w:t>
            </w:r>
          </w:p>
          <w:p w:rsidR="00476F09" w:rsidRPr="00A17B9D" w:rsidRDefault="00A17B9D" w:rsidP="00D1356D">
            <w:pPr>
              <w:pStyle w:val="Tabletext"/>
              <w:rPr>
                <w:b/>
                <w:highlight w:val="black"/>
                <w:vertAlign w:val="superscript"/>
              </w:rPr>
            </w:pPr>
            <w:r>
              <w:rPr>
                <w:b/>
                <w:noProof/>
                <w:color w:val="000000"/>
                <w:highlight w:val="black"/>
              </w:rPr>
              <w:t>'''''''''''''''</w:t>
            </w:r>
          </w:p>
          <w:p w:rsidR="00476F09" w:rsidRPr="00A17B9D" w:rsidRDefault="00A17B9D" w:rsidP="00D1356D">
            <w:pPr>
              <w:pStyle w:val="Tabletext"/>
              <w:rPr>
                <w:b/>
                <w:highlight w:val="black"/>
              </w:rPr>
            </w:pPr>
            <w:r>
              <w:rPr>
                <w:b/>
                <w:noProof/>
                <w:color w:val="000000"/>
                <w:highlight w:val="black"/>
              </w:rPr>
              <w:t>'''''''''''''''''''''''</w:t>
            </w:r>
          </w:p>
        </w:tc>
      </w:tr>
      <w:tr w:rsidR="00CC3BA4" w:rsidRPr="00835775" w:rsidTr="00F37FD2">
        <w:trPr>
          <w:trHeight w:val="319"/>
        </w:trPr>
        <w:tc>
          <w:tcPr>
            <w:tcW w:w="1493" w:type="dxa"/>
          </w:tcPr>
          <w:p w:rsidR="00CC3BA4" w:rsidRPr="00A17B9D" w:rsidRDefault="00A17B9D" w:rsidP="00D1356D">
            <w:pPr>
              <w:pStyle w:val="Tabletext"/>
              <w:rPr>
                <w:rFonts w:cs="Tahoma"/>
                <w:highlight w:val="black"/>
              </w:rPr>
            </w:pPr>
            <w:r>
              <w:rPr>
                <w:rFonts w:cs="Tahoma"/>
                <w:noProof/>
                <w:color w:val="000000"/>
                <w:highlight w:val="black"/>
              </w:rPr>
              <w:t>''''''''''''''''' '''''''''''''''''''''''''</w:t>
            </w:r>
            <w:r>
              <w:rPr>
                <w:rFonts w:cs="Tahoma"/>
                <w:noProof/>
                <w:color w:val="000000"/>
                <w:highlight w:val="black"/>
              </w:rPr>
              <w:br/>
              <w:t>'''''''' ''''''''''''''''</w:t>
            </w:r>
          </w:p>
        </w:tc>
        <w:tc>
          <w:tcPr>
            <w:tcW w:w="105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771"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07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276" w:type="dxa"/>
          </w:tcPr>
          <w:p w:rsidR="00CC3BA4" w:rsidRPr="00A17B9D" w:rsidRDefault="00A17B9D" w:rsidP="00D1356D">
            <w:pPr>
              <w:pStyle w:val="Tabletext"/>
              <w:rPr>
                <w:rFonts w:cs="Tahoma"/>
                <w:highlight w:val="black"/>
              </w:rPr>
            </w:pPr>
            <w:r>
              <w:rPr>
                <w:rFonts w:cs="Tahoma"/>
                <w:noProof/>
                <w:color w:val="000000"/>
                <w:highlight w:val="black"/>
              </w:rPr>
              <w:t>''''''''''''</w:t>
            </w:r>
          </w:p>
        </w:tc>
        <w:tc>
          <w:tcPr>
            <w:tcW w:w="1417"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13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3" w:type="dxa"/>
          </w:tcPr>
          <w:p w:rsidR="00CC3BA4" w:rsidRPr="00A17B9D" w:rsidRDefault="00A17B9D" w:rsidP="00D1356D">
            <w:pPr>
              <w:pStyle w:val="Tabletext"/>
              <w:rPr>
                <w:rFonts w:cs="Tahoma"/>
                <w:highlight w:val="black"/>
              </w:rPr>
            </w:pPr>
            <w:r>
              <w:rPr>
                <w:rFonts w:cs="Tahoma"/>
                <w:noProof/>
                <w:color w:val="000000"/>
                <w:highlight w:val="black"/>
              </w:rPr>
              <w:t>'''''''' '''' ''''''''''' ''''''''''''' ''''''''''''</w:t>
            </w:r>
          </w:p>
        </w:tc>
        <w:tc>
          <w:tcPr>
            <w:tcW w:w="2188" w:type="dxa"/>
          </w:tcPr>
          <w:p w:rsidR="00CC3BA4" w:rsidRPr="00A17B9D" w:rsidRDefault="00A17B9D" w:rsidP="00D1356D">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F95747" w:rsidRPr="00A17B9D" w:rsidRDefault="00A17B9D" w:rsidP="00F95747">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A17B9D" w:rsidRDefault="00A17B9D" w:rsidP="00D1356D">
            <w:pPr>
              <w:pStyle w:val="Tabletext"/>
              <w:rPr>
                <w:rFonts w:cs="Tahoma"/>
                <w:highlight w:val="black"/>
              </w:rPr>
            </w:pPr>
            <w:r>
              <w:rPr>
                <w:rFonts w:cs="Tahoma"/>
                <w:noProof/>
                <w:color w:val="000000"/>
                <w:highlight w:val="black"/>
              </w:rPr>
              <w:t>''''''''''''''''</w:t>
            </w:r>
          </w:p>
        </w:tc>
      </w:tr>
      <w:tr w:rsidR="00CC3BA4" w:rsidRPr="00835775" w:rsidTr="00F37FD2">
        <w:trPr>
          <w:trHeight w:val="319"/>
        </w:trPr>
        <w:tc>
          <w:tcPr>
            <w:tcW w:w="1493" w:type="dxa"/>
          </w:tcPr>
          <w:p w:rsidR="00CC3BA4" w:rsidRPr="00A17B9D" w:rsidRDefault="00A17B9D" w:rsidP="00D1356D">
            <w:pPr>
              <w:pStyle w:val="Tabletext"/>
              <w:rPr>
                <w:rFonts w:cs="Tahoma"/>
                <w:highlight w:val="black"/>
              </w:rPr>
            </w:pPr>
            <w:r>
              <w:rPr>
                <w:rFonts w:cs="Tahoma"/>
                <w:noProof/>
                <w:color w:val="000000"/>
                <w:highlight w:val="black"/>
              </w:rPr>
              <w:t>'''''''''''''''''''</w:t>
            </w:r>
            <w:r>
              <w:rPr>
                <w:rFonts w:cs="Tahoma"/>
                <w:noProof/>
                <w:color w:val="000000"/>
                <w:highlight w:val="black"/>
              </w:rPr>
              <w:br/>
              <w:t>''''''''' '''''''''''''''''</w:t>
            </w:r>
          </w:p>
        </w:tc>
        <w:tc>
          <w:tcPr>
            <w:tcW w:w="105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771"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07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276" w:type="dxa"/>
          </w:tcPr>
          <w:p w:rsidR="00CC3BA4" w:rsidRPr="00A17B9D" w:rsidRDefault="00A17B9D" w:rsidP="00D1356D">
            <w:pPr>
              <w:pStyle w:val="Tabletext"/>
              <w:rPr>
                <w:rFonts w:cs="Tahoma"/>
                <w:highlight w:val="black"/>
              </w:rPr>
            </w:pPr>
            <w:r>
              <w:rPr>
                <w:rFonts w:cs="Tahoma"/>
                <w:noProof/>
                <w:color w:val="000000"/>
                <w:highlight w:val="black"/>
              </w:rPr>
              <w:t>''''''''''''</w:t>
            </w:r>
          </w:p>
        </w:tc>
        <w:tc>
          <w:tcPr>
            <w:tcW w:w="1417"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13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3" w:type="dxa"/>
          </w:tcPr>
          <w:p w:rsidR="00CC3BA4" w:rsidRPr="00A17B9D" w:rsidRDefault="00A17B9D" w:rsidP="002301D9">
            <w:pPr>
              <w:pStyle w:val="Tabletext"/>
              <w:rPr>
                <w:rFonts w:cs="Tahoma"/>
                <w:highlight w:val="black"/>
              </w:rPr>
            </w:pPr>
            <w:r>
              <w:rPr>
                <w:rFonts w:cs="Tahoma"/>
                <w:noProof/>
                <w:color w:val="000000"/>
                <w:highlight w:val="black"/>
              </w:rPr>
              <w:t>'''''''''''' '''' '''''''''''''''' ''''''''''''' '''''''''</w:t>
            </w:r>
          </w:p>
        </w:tc>
        <w:tc>
          <w:tcPr>
            <w:tcW w:w="2188" w:type="dxa"/>
          </w:tcPr>
          <w:p w:rsidR="00CC3BA4" w:rsidRPr="00A17B9D" w:rsidRDefault="00A17B9D" w:rsidP="002301D9">
            <w:pPr>
              <w:pStyle w:val="Tabletext"/>
              <w:rPr>
                <w:rFonts w:cs="Tahoma"/>
                <w:highlight w:val="black"/>
              </w:rPr>
            </w:pPr>
            <w:r>
              <w:rPr>
                <w:rFonts w:cs="Tahoma"/>
                <w:noProof/>
                <w:color w:val="000000"/>
                <w:highlight w:val="black"/>
              </w:rPr>
              <w:t>''''''' ''''''''''''''' ''''''''' '''''''''''''</w:t>
            </w:r>
            <w:r>
              <w:rPr>
                <w:rFonts w:cs="Tahoma"/>
                <w:noProof/>
                <w:color w:val="000000"/>
                <w:highlight w:val="black"/>
              </w:rPr>
              <w:br/>
              <w:t>'''''''''''''' '''''' ''''''''''''' ''''''''' ''''''''''''''''</w:t>
            </w:r>
          </w:p>
        </w:tc>
        <w:tc>
          <w:tcPr>
            <w:tcW w:w="1214" w:type="dxa"/>
          </w:tcPr>
          <w:p w:rsidR="00CC3BA4" w:rsidRPr="00A17B9D" w:rsidRDefault="00A17B9D" w:rsidP="00D1356D">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A17B9D" w:rsidRDefault="00A17B9D" w:rsidP="00D1356D">
            <w:pPr>
              <w:pStyle w:val="Tabletext"/>
              <w:rPr>
                <w:rFonts w:cs="Tahoma"/>
                <w:highlight w:val="black"/>
              </w:rPr>
            </w:pPr>
            <w:r>
              <w:rPr>
                <w:rFonts w:cs="Tahoma"/>
                <w:noProof/>
                <w:color w:val="000000"/>
                <w:highlight w:val="black"/>
              </w:rPr>
              <w:t>'''''''''''''''''</w:t>
            </w:r>
          </w:p>
        </w:tc>
      </w:tr>
      <w:tr w:rsidR="00CC3BA4" w:rsidRPr="00835775" w:rsidTr="00F37FD2">
        <w:trPr>
          <w:trHeight w:val="319"/>
        </w:trPr>
        <w:tc>
          <w:tcPr>
            <w:tcW w:w="1493" w:type="dxa"/>
          </w:tcPr>
          <w:p w:rsidR="00CC3BA4" w:rsidRPr="00A17B9D" w:rsidRDefault="00A17B9D" w:rsidP="00D1356D">
            <w:pPr>
              <w:pStyle w:val="Tabletext"/>
              <w:rPr>
                <w:rFonts w:cs="Tahoma"/>
                <w:highlight w:val="black"/>
              </w:rPr>
            </w:pPr>
            <w:r>
              <w:rPr>
                <w:rFonts w:cs="Tahoma"/>
                <w:noProof/>
                <w:color w:val="000000"/>
                <w:highlight w:val="black"/>
              </w:rPr>
              <w:t>'''''''''''''''''''''''''''''''''''' ''''''''' ''''' ''''''''''</w:t>
            </w:r>
            <w:r>
              <w:rPr>
                <w:rFonts w:cs="Tahoma"/>
                <w:noProof/>
                <w:color w:val="000000"/>
                <w:highlight w:val="black"/>
              </w:rPr>
              <w:br/>
              <w:t>'''''''' ''''''''''''''''''</w:t>
            </w:r>
          </w:p>
        </w:tc>
        <w:tc>
          <w:tcPr>
            <w:tcW w:w="105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771"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07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276" w:type="dxa"/>
          </w:tcPr>
          <w:p w:rsidR="00CC3BA4" w:rsidRPr="00A17B9D" w:rsidRDefault="00A17B9D" w:rsidP="00D1356D">
            <w:pPr>
              <w:pStyle w:val="Tabletext"/>
              <w:rPr>
                <w:rFonts w:cs="Tahoma"/>
                <w:highlight w:val="black"/>
              </w:rPr>
            </w:pPr>
            <w:r>
              <w:rPr>
                <w:rFonts w:cs="Tahoma"/>
                <w:noProof/>
                <w:color w:val="000000"/>
                <w:highlight w:val="black"/>
              </w:rPr>
              <w:t>'''''''''''''</w:t>
            </w:r>
          </w:p>
        </w:tc>
        <w:tc>
          <w:tcPr>
            <w:tcW w:w="1417"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13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3" w:type="dxa"/>
          </w:tcPr>
          <w:p w:rsidR="00CC3BA4" w:rsidRPr="00A17B9D" w:rsidRDefault="00A17B9D" w:rsidP="00D1356D">
            <w:pPr>
              <w:pStyle w:val="Tabletext"/>
              <w:rPr>
                <w:rFonts w:cs="Tahoma"/>
                <w:highlight w:val="black"/>
              </w:rPr>
            </w:pPr>
            <w:r>
              <w:rPr>
                <w:rFonts w:cs="Tahoma"/>
                <w:noProof/>
                <w:color w:val="000000"/>
                <w:highlight w:val="black"/>
              </w:rPr>
              <w:t>''''''''' '''' ''''''''''' ''''''''''''''' ''''''''''''</w:t>
            </w:r>
          </w:p>
        </w:tc>
        <w:tc>
          <w:tcPr>
            <w:tcW w:w="2188" w:type="dxa"/>
          </w:tcPr>
          <w:p w:rsidR="00CC3BA4" w:rsidRPr="00A17B9D" w:rsidRDefault="00A17B9D" w:rsidP="00D1356D">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BE799B" w:rsidRPr="00A17B9D" w:rsidRDefault="00A17B9D" w:rsidP="00BE799B">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A17B9D" w:rsidRDefault="00A17B9D" w:rsidP="00D1356D">
            <w:pPr>
              <w:pStyle w:val="Tabletext"/>
              <w:rPr>
                <w:rFonts w:eastAsia="Times New Roman" w:cs="Cambria Math"/>
                <w:bCs/>
                <w:color w:val="00B050"/>
                <w:highlight w:val="black"/>
              </w:rPr>
            </w:pPr>
            <w:r>
              <w:rPr>
                <w:rFonts w:cs="Tahoma"/>
                <w:noProof/>
                <w:color w:val="000000"/>
                <w:highlight w:val="black"/>
              </w:rPr>
              <w:t>'''''''''''''''''''''''</w:t>
            </w:r>
          </w:p>
        </w:tc>
      </w:tr>
      <w:tr w:rsidR="00CC3BA4" w:rsidRPr="00835775" w:rsidTr="00F37FD2">
        <w:trPr>
          <w:trHeight w:val="319"/>
        </w:trPr>
        <w:tc>
          <w:tcPr>
            <w:tcW w:w="1493" w:type="dxa"/>
          </w:tcPr>
          <w:p w:rsidR="00CC3BA4" w:rsidRPr="00A17B9D" w:rsidRDefault="00A17B9D" w:rsidP="00D1356D">
            <w:pPr>
              <w:pStyle w:val="Tabletext"/>
              <w:rPr>
                <w:rFonts w:cs="Tahoma"/>
                <w:highlight w:val="black"/>
              </w:rPr>
            </w:pPr>
            <w:r>
              <w:rPr>
                <w:rFonts w:cs="Tahoma"/>
                <w:noProof/>
                <w:color w:val="000000"/>
                <w:highlight w:val="black"/>
              </w:rPr>
              <w:t>'''''''''''''''''''''''' '''''''''''''' ''''''''</w:t>
            </w:r>
            <w:r>
              <w:rPr>
                <w:rFonts w:cs="Tahoma"/>
                <w:noProof/>
                <w:color w:val="000000"/>
                <w:highlight w:val="black"/>
              </w:rPr>
              <w:br/>
              <w:t>''''''''' ''''''''''''''''''</w:t>
            </w:r>
          </w:p>
        </w:tc>
        <w:tc>
          <w:tcPr>
            <w:tcW w:w="105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771"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07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276" w:type="dxa"/>
          </w:tcPr>
          <w:p w:rsidR="00CC3BA4" w:rsidRPr="00A17B9D" w:rsidRDefault="00A17B9D" w:rsidP="00D1356D">
            <w:pPr>
              <w:pStyle w:val="Tabletext"/>
              <w:rPr>
                <w:rFonts w:cs="Tahoma"/>
                <w:highlight w:val="black"/>
              </w:rPr>
            </w:pPr>
            <w:r>
              <w:rPr>
                <w:rFonts w:cs="Tahoma"/>
                <w:noProof/>
                <w:color w:val="000000"/>
                <w:highlight w:val="black"/>
              </w:rPr>
              <w:t>''''''''''''''</w:t>
            </w:r>
          </w:p>
        </w:tc>
        <w:tc>
          <w:tcPr>
            <w:tcW w:w="1417"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13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3" w:type="dxa"/>
          </w:tcPr>
          <w:p w:rsidR="00CC3BA4" w:rsidRPr="00A17B9D" w:rsidRDefault="00A17B9D" w:rsidP="00D1356D">
            <w:pPr>
              <w:pStyle w:val="Tabletext"/>
              <w:rPr>
                <w:rFonts w:cs="Tahoma"/>
                <w:highlight w:val="black"/>
              </w:rPr>
            </w:pPr>
            <w:r>
              <w:rPr>
                <w:rFonts w:cs="Tahoma"/>
                <w:noProof/>
                <w:color w:val="000000"/>
                <w:highlight w:val="black"/>
              </w:rPr>
              <w:t>'''''''' ''' '''''''''''' '''''''''''''' '''''''''''''</w:t>
            </w:r>
          </w:p>
        </w:tc>
        <w:tc>
          <w:tcPr>
            <w:tcW w:w="2188" w:type="dxa"/>
          </w:tcPr>
          <w:p w:rsidR="00CC3BA4" w:rsidRPr="00A17B9D" w:rsidRDefault="00A17B9D" w:rsidP="00D1356D">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BE799B" w:rsidRPr="00A17B9D" w:rsidRDefault="00A17B9D" w:rsidP="00BE799B">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A17B9D" w:rsidRDefault="00A17B9D" w:rsidP="00D1356D">
            <w:pPr>
              <w:pStyle w:val="Tabletext"/>
              <w:rPr>
                <w:rFonts w:eastAsia="Times New Roman" w:cs="Cambria Math"/>
                <w:bCs/>
                <w:color w:val="00B050"/>
                <w:highlight w:val="black"/>
              </w:rPr>
            </w:pPr>
            <w:r>
              <w:rPr>
                <w:rFonts w:cs="Tahoma"/>
                <w:noProof/>
                <w:color w:val="000000"/>
                <w:highlight w:val="black"/>
              </w:rPr>
              <w:t>'''''''''''''''''''''''</w:t>
            </w:r>
          </w:p>
        </w:tc>
      </w:tr>
      <w:tr w:rsidR="00CC3BA4" w:rsidRPr="00835775" w:rsidTr="00F37FD2">
        <w:trPr>
          <w:trHeight w:val="319"/>
        </w:trPr>
        <w:tc>
          <w:tcPr>
            <w:tcW w:w="1493" w:type="dxa"/>
          </w:tcPr>
          <w:p w:rsidR="00CC3BA4" w:rsidRPr="00A17B9D" w:rsidRDefault="00A17B9D" w:rsidP="00D1356D">
            <w:pPr>
              <w:pStyle w:val="Tabletext"/>
              <w:rPr>
                <w:rFonts w:cs="Tahoma"/>
                <w:highlight w:val="black"/>
              </w:rPr>
            </w:pPr>
            <w:r>
              <w:rPr>
                <w:rFonts w:cs="Tahoma"/>
                <w:noProof/>
                <w:color w:val="000000"/>
                <w:highlight w:val="black"/>
              </w:rPr>
              <w:t>''''''''''''''''''''''' ''''''''''''' '''''''</w:t>
            </w:r>
            <w:r>
              <w:rPr>
                <w:rFonts w:cs="Tahoma"/>
                <w:noProof/>
                <w:color w:val="000000"/>
                <w:highlight w:val="black"/>
              </w:rPr>
              <w:br/>
              <w:t>'''''''' '''''''''''''''</w:t>
            </w:r>
          </w:p>
        </w:tc>
        <w:tc>
          <w:tcPr>
            <w:tcW w:w="105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771"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07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276" w:type="dxa"/>
          </w:tcPr>
          <w:p w:rsidR="00CC3BA4" w:rsidRPr="00A17B9D" w:rsidRDefault="00A17B9D" w:rsidP="00D1356D">
            <w:pPr>
              <w:pStyle w:val="Tabletext"/>
              <w:rPr>
                <w:rFonts w:cs="Tahoma"/>
                <w:highlight w:val="black"/>
              </w:rPr>
            </w:pPr>
            <w:r>
              <w:rPr>
                <w:rFonts w:cs="Tahoma"/>
                <w:noProof/>
                <w:color w:val="000000"/>
                <w:highlight w:val="black"/>
              </w:rPr>
              <w:t>''''''''''''</w:t>
            </w:r>
          </w:p>
        </w:tc>
        <w:tc>
          <w:tcPr>
            <w:tcW w:w="1417"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13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3" w:type="dxa"/>
          </w:tcPr>
          <w:p w:rsidR="00CC3BA4" w:rsidRPr="00A17B9D" w:rsidRDefault="00A17B9D" w:rsidP="00D1356D">
            <w:pPr>
              <w:pStyle w:val="Tabletext"/>
              <w:rPr>
                <w:rFonts w:cs="Tahoma"/>
                <w:highlight w:val="black"/>
              </w:rPr>
            </w:pPr>
            <w:r>
              <w:rPr>
                <w:rFonts w:cs="Tahoma"/>
                <w:noProof/>
                <w:color w:val="000000"/>
                <w:highlight w:val="black"/>
              </w:rPr>
              <w:t>'''''''' '''' ''''''''''' '''''''''''''' ''''''''''''</w:t>
            </w:r>
          </w:p>
        </w:tc>
        <w:tc>
          <w:tcPr>
            <w:tcW w:w="2188" w:type="dxa"/>
          </w:tcPr>
          <w:p w:rsidR="00CC3BA4" w:rsidRPr="00A17B9D" w:rsidRDefault="00A17B9D" w:rsidP="00D1356D">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BE799B" w:rsidRPr="00A17B9D" w:rsidRDefault="00A17B9D" w:rsidP="00BE799B">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A17B9D" w:rsidRDefault="00A17B9D" w:rsidP="00D1356D">
            <w:pPr>
              <w:pStyle w:val="Tabletext"/>
              <w:rPr>
                <w:rFonts w:eastAsia="Times New Roman" w:cs="Cambria Math"/>
                <w:bCs/>
                <w:color w:val="00B050"/>
                <w:highlight w:val="black"/>
              </w:rPr>
            </w:pPr>
            <w:r>
              <w:rPr>
                <w:rFonts w:cs="Tahoma"/>
                <w:noProof/>
                <w:color w:val="000000"/>
                <w:highlight w:val="black"/>
              </w:rPr>
              <w:t>''''''''''''''''''''''''</w:t>
            </w:r>
          </w:p>
        </w:tc>
      </w:tr>
      <w:tr w:rsidR="00B14FF5" w:rsidRPr="00835775" w:rsidTr="00F37FD2">
        <w:trPr>
          <w:trHeight w:val="319"/>
        </w:trPr>
        <w:tc>
          <w:tcPr>
            <w:tcW w:w="1493" w:type="dxa"/>
          </w:tcPr>
          <w:p w:rsidR="00B14FF5" w:rsidRPr="00A17B9D" w:rsidRDefault="00A17B9D" w:rsidP="00D1356D">
            <w:pPr>
              <w:pStyle w:val="Tabletext"/>
              <w:rPr>
                <w:rFonts w:cs="Tahoma"/>
                <w:highlight w:val="black"/>
              </w:rPr>
            </w:pPr>
            <w:r>
              <w:rPr>
                <w:rFonts w:cs="Tahoma"/>
                <w:noProof/>
                <w:color w:val="000000"/>
                <w:highlight w:val="black"/>
              </w:rPr>
              <w:lastRenderedPageBreak/>
              <w:t>''''''''''''''''''' ''''' '''''''''''''''' '''''''''' ''''''''''''''''''</w:t>
            </w:r>
            <w:r>
              <w:rPr>
                <w:rFonts w:cs="Tahoma"/>
                <w:noProof/>
                <w:color w:val="000000"/>
                <w:highlight w:val="black"/>
              </w:rPr>
              <w:br/>
              <w:t xml:space="preserve">'''''''' ''''''''''''''''''' </w:t>
            </w:r>
          </w:p>
        </w:tc>
        <w:tc>
          <w:tcPr>
            <w:tcW w:w="1054" w:type="dxa"/>
          </w:tcPr>
          <w:p w:rsidR="00B14FF5" w:rsidRPr="00A17B9D" w:rsidRDefault="00A17B9D" w:rsidP="00D1356D">
            <w:pPr>
              <w:pStyle w:val="Tabletext"/>
              <w:rPr>
                <w:rFonts w:cs="Tahoma"/>
                <w:highlight w:val="black"/>
              </w:rPr>
            </w:pPr>
            <w:r>
              <w:rPr>
                <w:rFonts w:cs="Tahoma"/>
                <w:noProof/>
                <w:color w:val="000000"/>
                <w:highlight w:val="black"/>
              </w:rPr>
              <w:t>'''' '''''''''''</w:t>
            </w:r>
          </w:p>
        </w:tc>
        <w:tc>
          <w:tcPr>
            <w:tcW w:w="771" w:type="dxa"/>
          </w:tcPr>
          <w:p w:rsidR="00B14FF5" w:rsidRPr="00A17B9D" w:rsidRDefault="00A17B9D" w:rsidP="00D1356D">
            <w:pPr>
              <w:pStyle w:val="Tabletext"/>
              <w:rPr>
                <w:rFonts w:cs="Tahoma"/>
                <w:highlight w:val="black"/>
              </w:rPr>
            </w:pPr>
            <w:r>
              <w:rPr>
                <w:rFonts w:cs="Tahoma"/>
                <w:noProof/>
                <w:color w:val="000000"/>
                <w:highlight w:val="black"/>
              </w:rPr>
              <w:t>'''''''' ''''''''''''''''</w:t>
            </w:r>
          </w:p>
        </w:tc>
        <w:tc>
          <w:tcPr>
            <w:tcW w:w="1072" w:type="dxa"/>
          </w:tcPr>
          <w:p w:rsidR="00B14FF5" w:rsidRPr="00A17B9D" w:rsidRDefault="00A17B9D" w:rsidP="00D1356D">
            <w:pPr>
              <w:pStyle w:val="Tabletext"/>
              <w:rPr>
                <w:rFonts w:cs="Tahoma"/>
                <w:highlight w:val="black"/>
              </w:rPr>
            </w:pPr>
            <w:r>
              <w:rPr>
                <w:rFonts w:cs="Tahoma"/>
                <w:noProof/>
                <w:color w:val="000000"/>
                <w:highlight w:val="black"/>
              </w:rPr>
              <w:t>'''''''' ''''''''''''''''</w:t>
            </w:r>
          </w:p>
        </w:tc>
        <w:tc>
          <w:tcPr>
            <w:tcW w:w="992" w:type="dxa"/>
          </w:tcPr>
          <w:p w:rsidR="00B14FF5" w:rsidRPr="00A17B9D" w:rsidRDefault="00A17B9D" w:rsidP="00D1356D">
            <w:pPr>
              <w:pStyle w:val="Tabletext"/>
              <w:rPr>
                <w:rFonts w:cs="Tahoma"/>
                <w:highlight w:val="black"/>
                <w:vertAlign w:val="superscript"/>
              </w:rPr>
            </w:pPr>
            <w:r>
              <w:rPr>
                <w:rFonts w:cs="Tahoma"/>
                <w:noProof/>
                <w:color w:val="000000"/>
                <w:highlight w:val="black"/>
              </w:rPr>
              <w:t>''''''''''''''''' ''''</w:t>
            </w:r>
          </w:p>
        </w:tc>
        <w:tc>
          <w:tcPr>
            <w:tcW w:w="992" w:type="dxa"/>
          </w:tcPr>
          <w:p w:rsidR="00B14FF5" w:rsidRPr="00A17B9D" w:rsidRDefault="00A17B9D" w:rsidP="00D1356D">
            <w:pPr>
              <w:pStyle w:val="Tabletext"/>
              <w:rPr>
                <w:rFonts w:cs="Tahoma"/>
                <w:highlight w:val="black"/>
              </w:rPr>
            </w:pPr>
            <w:r>
              <w:rPr>
                <w:rFonts w:cs="Tahoma"/>
                <w:noProof/>
                <w:color w:val="000000"/>
                <w:highlight w:val="black"/>
              </w:rPr>
              <w:t>'''''''' ''''''''''''''''</w:t>
            </w:r>
          </w:p>
        </w:tc>
        <w:tc>
          <w:tcPr>
            <w:tcW w:w="1276" w:type="dxa"/>
          </w:tcPr>
          <w:p w:rsidR="00B14FF5" w:rsidRPr="00A17B9D" w:rsidRDefault="00A17B9D" w:rsidP="00D1356D">
            <w:pPr>
              <w:pStyle w:val="Tabletext"/>
              <w:rPr>
                <w:rFonts w:cs="Tahoma"/>
                <w:highlight w:val="black"/>
              </w:rPr>
            </w:pPr>
            <w:r>
              <w:rPr>
                <w:rFonts w:cs="Tahoma"/>
                <w:noProof/>
                <w:color w:val="000000"/>
                <w:highlight w:val="black"/>
              </w:rPr>
              <w:t>'''''''''''''</w:t>
            </w:r>
          </w:p>
        </w:tc>
        <w:tc>
          <w:tcPr>
            <w:tcW w:w="1417" w:type="dxa"/>
          </w:tcPr>
          <w:p w:rsidR="00B14FF5" w:rsidRPr="00A17B9D" w:rsidRDefault="00A17B9D" w:rsidP="00D1356D">
            <w:pPr>
              <w:pStyle w:val="Tabletext"/>
              <w:rPr>
                <w:rFonts w:cs="Tahoma"/>
                <w:highlight w:val="black"/>
              </w:rPr>
            </w:pPr>
            <w:r>
              <w:rPr>
                <w:rFonts w:cs="Tahoma"/>
                <w:noProof/>
                <w:color w:val="000000"/>
                <w:highlight w:val="black"/>
              </w:rPr>
              <w:t>'''''''''' '''''''''''''''''' ''''''''''''''</w:t>
            </w:r>
          </w:p>
        </w:tc>
        <w:tc>
          <w:tcPr>
            <w:tcW w:w="1134" w:type="dxa"/>
          </w:tcPr>
          <w:p w:rsidR="00B14FF5" w:rsidRPr="00A17B9D" w:rsidRDefault="00A17B9D" w:rsidP="00D1356D">
            <w:pPr>
              <w:pStyle w:val="Tabletext"/>
              <w:rPr>
                <w:rFonts w:cs="Tahoma"/>
                <w:highlight w:val="black"/>
              </w:rPr>
            </w:pPr>
            <w:r>
              <w:rPr>
                <w:noProof/>
                <w:color w:val="000000"/>
                <w:highlight w:val="black"/>
              </w:rPr>
              <w:t>''''''' '''''''''''''''''' ''''''''''''''''</w:t>
            </w:r>
          </w:p>
        </w:tc>
        <w:tc>
          <w:tcPr>
            <w:tcW w:w="993" w:type="dxa"/>
          </w:tcPr>
          <w:p w:rsidR="00B14FF5" w:rsidRPr="00A17B9D" w:rsidRDefault="00A17B9D" w:rsidP="00D1356D">
            <w:pPr>
              <w:pStyle w:val="Tabletext"/>
              <w:rPr>
                <w:rFonts w:cs="Tahoma"/>
                <w:highlight w:val="black"/>
              </w:rPr>
            </w:pPr>
            <w:r>
              <w:rPr>
                <w:rFonts w:cs="Tahoma"/>
                <w:noProof/>
                <w:color w:val="000000"/>
                <w:highlight w:val="black"/>
              </w:rPr>
              <w:t>''</w:t>
            </w:r>
          </w:p>
        </w:tc>
        <w:tc>
          <w:tcPr>
            <w:tcW w:w="2188" w:type="dxa"/>
          </w:tcPr>
          <w:p w:rsidR="00B14FF5" w:rsidRPr="00A17B9D" w:rsidRDefault="00A17B9D" w:rsidP="00D1356D">
            <w:pPr>
              <w:pStyle w:val="Tabletext"/>
              <w:rPr>
                <w:rFonts w:cs="Tahoma"/>
                <w:highlight w:val="black"/>
              </w:rPr>
            </w:pPr>
            <w:r>
              <w:rPr>
                <w:rFonts w:cs="Tahoma"/>
                <w:noProof/>
                <w:color w:val="000000"/>
                <w:highlight w:val="black"/>
              </w:rPr>
              <w:t>'''''''' '''''''''' ''''' ''''''''''''''</w:t>
            </w:r>
            <w:r>
              <w:rPr>
                <w:rFonts w:cs="Tahoma"/>
                <w:noProof/>
                <w:color w:val="000000"/>
                <w:highlight w:val="black"/>
              </w:rPr>
              <w:br/>
              <w:t>''''''''' ''''' '''''''''''''''' '''' ''''''''''' ''''' '''''''''''''''''</w:t>
            </w:r>
          </w:p>
        </w:tc>
        <w:tc>
          <w:tcPr>
            <w:tcW w:w="1214" w:type="dxa"/>
          </w:tcPr>
          <w:p w:rsidR="00B14FF5" w:rsidRPr="00A17B9D" w:rsidRDefault="00A17B9D" w:rsidP="00D1356D">
            <w:pPr>
              <w:pStyle w:val="Tabletext"/>
              <w:rPr>
                <w:rFonts w:ascii="Cambria Math" w:eastAsia="Times New Roman" w:hAnsi="Cambria Math" w:cs="Cambria Math"/>
                <w:bCs/>
              </w:rPr>
            </w:pPr>
            <w:r>
              <w:rPr>
                <w:rFonts w:eastAsia="Times New Roman" w:cs="Tahoma"/>
                <w:bCs/>
                <w:noProof/>
                <w:color w:val="000000"/>
                <w:highlight w:val="black"/>
              </w:rPr>
              <w:t>'''''''''''''''''''''''''</w:t>
            </w:r>
            <w:r>
              <w:rPr>
                <w:rFonts w:eastAsia="Times New Roman" w:cs="Tahoma"/>
                <w:bCs/>
                <w:noProof/>
                <w:color w:val="000000"/>
                <w:highlight w:val="black"/>
              </w:rPr>
              <w:br/>
              <w:t>''''''''''''''</w:t>
            </w:r>
          </w:p>
          <w:p w:rsidR="00B14FF5" w:rsidRPr="00A17B9D" w:rsidRDefault="00A17B9D" w:rsidP="00D1356D">
            <w:pPr>
              <w:pStyle w:val="Tabletext"/>
              <w:rPr>
                <w:rFonts w:eastAsia="Times New Roman" w:cs="Tahoma"/>
                <w:bCs/>
                <w:highlight w:val="black"/>
              </w:rPr>
            </w:pPr>
            <w:r>
              <w:rPr>
                <w:rFonts w:cs="Tahoma"/>
                <w:noProof/>
                <w:color w:val="000000"/>
                <w:highlight w:val="black"/>
              </w:rPr>
              <w:t>'''''''''''''''''''''''''</w:t>
            </w:r>
          </w:p>
        </w:tc>
      </w:tr>
      <w:tr w:rsidR="00B14FF5" w:rsidRPr="00835775" w:rsidTr="00F37FD2">
        <w:trPr>
          <w:trHeight w:val="319"/>
        </w:trPr>
        <w:tc>
          <w:tcPr>
            <w:tcW w:w="1493" w:type="dxa"/>
          </w:tcPr>
          <w:p w:rsidR="00B14FF5" w:rsidRPr="00A17B9D" w:rsidRDefault="00A17B9D" w:rsidP="00D1356D">
            <w:pPr>
              <w:pStyle w:val="Tabletext"/>
              <w:rPr>
                <w:rFonts w:cs="Tahoma"/>
                <w:highlight w:val="black"/>
              </w:rPr>
            </w:pPr>
            <w:r>
              <w:rPr>
                <w:rFonts w:cs="Tahoma"/>
                <w:noProof/>
                <w:color w:val="000000"/>
                <w:highlight w:val="black"/>
              </w:rPr>
              <w:t xml:space="preserve">''''''''''''''''''''' ''''' ''''''''''' ''''''''''' '''''''''''''''''' ''''''''' ''''''''''''''''' </w:t>
            </w:r>
          </w:p>
        </w:tc>
        <w:tc>
          <w:tcPr>
            <w:tcW w:w="1054" w:type="dxa"/>
          </w:tcPr>
          <w:p w:rsidR="00B14FF5" w:rsidRPr="00A17B9D" w:rsidRDefault="00A17B9D" w:rsidP="00D1356D">
            <w:pPr>
              <w:pStyle w:val="Tabletext"/>
              <w:rPr>
                <w:rFonts w:cs="Tahoma"/>
                <w:highlight w:val="black"/>
              </w:rPr>
            </w:pPr>
            <w:r>
              <w:rPr>
                <w:rFonts w:cs="Tahoma"/>
                <w:noProof/>
                <w:color w:val="000000"/>
                <w:highlight w:val="black"/>
              </w:rPr>
              <w:t>'''' '''''''''''</w:t>
            </w:r>
          </w:p>
        </w:tc>
        <w:tc>
          <w:tcPr>
            <w:tcW w:w="771" w:type="dxa"/>
          </w:tcPr>
          <w:p w:rsidR="00B14FF5" w:rsidRPr="00A17B9D" w:rsidRDefault="00A17B9D" w:rsidP="00D1356D">
            <w:pPr>
              <w:pStyle w:val="Tabletext"/>
              <w:rPr>
                <w:rFonts w:cs="Tahoma"/>
                <w:highlight w:val="black"/>
              </w:rPr>
            </w:pPr>
            <w:r>
              <w:rPr>
                <w:rFonts w:cs="Tahoma"/>
                <w:noProof/>
                <w:color w:val="000000"/>
                <w:highlight w:val="black"/>
              </w:rPr>
              <w:t>'''''''' '''''''''''''''''</w:t>
            </w:r>
          </w:p>
        </w:tc>
        <w:tc>
          <w:tcPr>
            <w:tcW w:w="1072" w:type="dxa"/>
          </w:tcPr>
          <w:p w:rsidR="00B14FF5" w:rsidRPr="00A17B9D" w:rsidRDefault="00A17B9D" w:rsidP="00D1356D">
            <w:pPr>
              <w:pStyle w:val="Tabletext"/>
              <w:rPr>
                <w:rFonts w:cs="Tahoma"/>
                <w:highlight w:val="black"/>
              </w:rPr>
            </w:pPr>
            <w:r>
              <w:rPr>
                <w:rFonts w:cs="Tahoma"/>
                <w:noProof/>
                <w:color w:val="000000"/>
                <w:highlight w:val="black"/>
              </w:rPr>
              <w:t>''''''''' ''''''''''''''''</w:t>
            </w:r>
          </w:p>
        </w:tc>
        <w:tc>
          <w:tcPr>
            <w:tcW w:w="992" w:type="dxa"/>
          </w:tcPr>
          <w:p w:rsidR="00B14FF5" w:rsidRPr="00A17B9D" w:rsidRDefault="00A17B9D" w:rsidP="00D1356D">
            <w:pPr>
              <w:pStyle w:val="Tabletext"/>
              <w:rPr>
                <w:rFonts w:cs="Tahoma"/>
                <w:highlight w:val="black"/>
              </w:rPr>
            </w:pPr>
            <w:r>
              <w:rPr>
                <w:rFonts w:cs="Tahoma"/>
                <w:noProof/>
                <w:color w:val="000000"/>
                <w:highlight w:val="black"/>
              </w:rPr>
              <w:t>'''''''' '''''''''''''''''''</w:t>
            </w:r>
          </w:p>
        </w:tc>
        <w:tc>
          <w:tcPr>
            <w:tcW w:w="992" w:type="dxa"/>
          </w:tcPr>
          <w:p w:rsidR="00B14FF5" w:rsidRPr="00A17B9D" w:rsidRDefault="00A17B9D" w:rsidP="00D1356D">
            <w:pPr>
              <w:pStyle w:val="Tabletext"/>
              <w:rPr>
                <w:rFonts w:cs="Tahoma"/>
                <w:highlight w:val="black"/>
              </w:rPr>
            </w:pPr>
            <w:r>
              <w:rPr>
                <w:rFonts w:cs="Tahoma"/>
                <w:noProof/>
                <w:color w:val="000000"/>
                <w:highlight w:val="black"/>
              </w:rPr>
              <w:t>'''''''' ''''''''''''''''''</w:t>
            </w:r>
          </w:p>
        </w:tc>
        <w:tc>
          <w:tcPr>
            <w:tcW w:w="1276" w:type="dxa"/>
          </w:tcPr>
          <w:p w:rsidR="00B14FF5" w:rsidRPr="00A17B9D" w:rsidRDefault="00A17B9D" w:rsidP="00FF14C8">
            <w:pPr>
              <w:pStyle w:val="Tabletext"/>
              <w:rPr>
                <w:rFonts w:cs="Tahoma"/>
                <w:highlight w:val="black"/>
              </w:rPr>
            </w:pPr>
            <w:r>
              <w:rPr>
                <w:rFonts w:cs="Tahoma"/>
                <w:noProof/>
                <w:color w:val="000000"/>
                <w:highlight w:val="black"/>
              </w:rPr>
              <w:t>''''''''''''''' '''''''''''''''''''''''''''''</w:t>
            </w:r>
          </w:p>
          <w:p w:rsidR="00B14FF5" w:rsidRPr="00A17B9D" w:rsidRDefault="00A17B9D" w:rsidP="00FF14C8">
            <w:pPr>
              <w:pStyle w:val="Tabletext"/>
              <w:rPr>
                <w:rFonts w:cs="Tahoma"/>
                <w:highlight w:val="black"/>
              </w:rPr>
            </w:pPr>
            <w:r>
              <w:rPr>
                <w:rFonts w:cs="Tahoma"/>
                <w:noProof/>
                <w:color w:val="000000"/>
                <w:highlight w:val="black"/>
              </w:rPr>
              <w:t>'''''''''''''</w:t>
            </w:r>
          </w:p>
        </w:tc>
        <w:tc>
          <w:tcPr>
            <w:tcW w:w="1417" w:type="dxa"/>
          </w:tcPr>
          <w:p w:rsidR="00B14FF5" w:rsidRPr="00A17B9D" w:rsidRDefault="00A17B9D" w:rsidP="00D1356D">
            <w:pPr>
              <w:pStyle w:val="Tabletext"/>
              <w:rPr>
                <w:rFonts w:cs="Tahoma"/>
                <w:highlight w:val="black"/>
              </w:rPr>
            </w:pPr>
            <w:r>
              <w:rPr>
                <w:rFonts w:cs="Tahoma"/>
                <w:noProof/>
                <w:color w:val="000000"/>
                <w:highlight w:val="black"/>
              </w:rPr>
              <w:t>'''''''''' ''''''''''''''''' ''''''''''''''</w:t>
            </w:r>
          </w:p>
        </w:tc>
        <w:tc>
          <w:tcPr>
            <w:tcW w:w="1134" w:type="dxa"/>
          </w:tcPr>
          <w:p w:rsidR="00B14FF5" w:rsidRPr="00A17B9D" w:rsidRDefault="00A17B9D" w:rsidP="00D1356D">
            <w:pPr>
              <w:pStyle w:val="Tabletext"/>
              <w:rPr>
                <w:rFonts w:cs="Tahoma"/>
                <w:highlight w:val="black"/>
              </w:rPr>
            </w:pPr>
            <w:r>
              <w:rPr>
                <w:noProof/>
                <w:color w:val="000000"/>
                <w:highlight w:val="black"/>
              </w:rPr>
              <w:t>'''''' ''''''''''''''''''''' ''''''''''''''''</w:t>
            </w:r>
          </w:p>
        </w:tc>
        <w:tc>
          <w:tcPr>
            <w:tcW w:w="993" w:type="dxa"/>
          </w:tcPr>
          <w:p w:rsidR="00B14FF5" w:rsidRPr="00A17B9D" w:rsidRDefault="00A17B9D" w:rsidP="00D1356D">
            <w:pPr>
              <w:pStyle w:val="Tabletext"/>
              <w:rPr>
                <w:rFonts w:cs="Tahoma"/>
                <w:highlight w:val="black"/>
              </w:rPr>
            </w:pPr>
            <w:r>
              <w:rPr>
                <w:rFonts w:cs="Tahoma"/>
                <w:noProof/>
                <w:color w:val="000000"/>
                <w:highlight w:val="black"/>
              </w:rPr>
              <w:t>''</w:t>
            </w:r>
          </w:p>
        </w:tc>
        <w:tc>
          <w:tcPr>
            <w:tcW w:w="2188" w:type="dxa"/>
          </w:tcPr>
          <w:p w:rsidR="00B14FF5" w:rsidRPr="00A17B9D" w:rsidRDefault="00A17B9D" w:rsidP="00D1356D">
            <w:pPr>
              <w:pStyle w:val="Tabletext"/>
              <w:rPr>
                <w:rFonts w:cs="Tahoma"/>
                <w:highlight w:val="black"/>
              </w:rPr>
            </w:pPr>
            <w:r>
              <w:rPr>
                <w:rFonts w:cs="Tahoma"/>
                <w:noProof/>
                <w:color w:val="000000"/>
                <w:highlight w:val="black"/>
              </w:rPr>
              <w:t>'''''''''''''''''''''</w:t>
            </w:r>
            <w:r>
              <w:rPr>
                <w:rFonts w:cs="Tahoma"/>
                <w:noProof/>
                <w:color w:val="000000"/>
                <w:highlight w:val="black"/>
              </w:rPr>
              <w:br/>
              <w:t>'''''''' '''''''''' '''''''''''' ''''''''''''''''''''''''''''''''</w:t>
            </w:r>
          </w:p>
          <w:p w:rsidR="00B14FF5" w:rsidRPr="00A17B9D" w:rsidRDefault="00A17B9D" w:rsidP="00D1356D">
            <w:pPr>
              <w:pStyle w:val="Tabletext"/>
              <w:rPr>
                <w:rFonts w:cs="Tahoma"/>
                <w:highlight w:val="black"/>
              </w:rPr>
            </w:pPr>
            <w:r>
              <w:rPr>
                <w:rFonts w:cs="Tahoma"/>
                <w:noProof/>
                <w:color w:val="000000"/>
                <w:highlight w:val="black"/>
              </w:rPr>
              <w:t>'''''''''''</w:t>
            </w:r>
            <w:r>
              <w:rPr>
                <w:rFonts w:cs="Tahoma"/>
                <w:noProof/>
                <w:color w:val="000000"/>
                <w:highlight w:val="black"/>
              </w:rPr>
              <w:br/>
              <w:t>''''''''' ''''''''''' ''''''''''' ''''''''''''''''''''''''''''</w:t>
            </w:r>
          </w:p>
        </w:tc>
        <w:tc>
          <w:tcPr>
            <w:tcW w:w="1214" w:type="dxa"/>
          </w:tcPr>
          <w:p w:rsidR="00B14FF5" w:rsidRPr="00A17B9D" w:rsidRDefault="00A17B9D" w:rsidP="00D1356D">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B14FF5" w:rsidRPr="00A17B9D" w:rsidRDefault="00A17B9D" w:rsidP="00D1356D">
            <w:pPr>
              <w:pStyle w:val="Tabletext"/>
              <w:rPr>
                <w:rFonts w:eastAsia="Times New Roman" w:cs="Tahoma"/>
                <w:bCs/>
                <w:highlight w:val="black"/>
              </w:rPr>
            </w:pPr>
            <w:r>
              <w:rPr>
                <w:rFonts w:cs="Tahoma"/>
                <w:noProof/>
                <w:color w:val="000000"/>
                <w:highlight w:val="black"/>
              </w:rPr>
              <w:t>''''''''''''''''''''</w:t>
            </w:r>
          </w:p>
        </w:tc>
      </w:tr>
      <w:tr w:rsidR="00CC3BA4" w:rsidRPr="00835775" w:rsidTr="00F37FD2">
        <w:trPr>
          <w:trHeight w:val="902"/>
        </w:trPr>
        <w:tc>
          <w:tcPr>
            <w:tcW w:w="1493" w:type="dxa"/>
          </w:tcPr>
          <w:p w:rsidR="00CC3BA4" w:rsidRPr="00A17B9D" w:rsidRDefault="00A17B9D" w:rsidP="00D1356D">
            <w:pPr>
              <w:pStyle w:val="Tabletext"/>
              <w:rPr>
                <w:rFonts w:cs="Tahoma"/>
                <w:highlight w:val="black"/>
              </w:rPr>
            </w:pPr>
            <w:r>
              <w:rPr>
                <w:rFonts w:cs="Tahoma"/>
                <w:noProof/>
                <w:color w:val="000000"/>
                <w:highlight w:val="black"/>
              </w:rPr>
              <w:t>'''''''''''''''''''' ''''' ''''''''''''''''''''''''''''''''''''' '''''''''''''''''''''''''''' ''''''''' ''''''''''''''''''</w:t>
            </w:r>
            <w:r>
              <w:rPr>
                <w:rFonts w:cs="Tahoma"/>
                <w:noProof/>
                <w:color w:val="000000"/>
                <w:highlight w:val="black"/>
              </w:rPr>
              <w:br/>
              <w:t xml:space="preserve">''''''''' ''''''''''''''''' </w:t>
            </w:r>
          </w:p>
        </w:tc>
        <w:tc>
          <w:tcPr>
            <w:tcW w:w="105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771"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07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260588">
            <w:pPr>
              <w:pStyle w:val="Tabletext"/>
              <w:rPr>
                <w:rFonts w:cs="Tahoma"/>
                <w:highlight w:val="black"/>
                <w:vertAlign w:val="superscript"/>
              </w:rPr>
            </w:pPr>
            <w:r>
              <w:rPr>
                <w:rFonts w:cs="Tahoma"/>
                <w:noProof/>
                <w:color w:val="000000"/>
                <w:highlight w:val="black"/>
              </w:rPr>
              <w:t>''''''''''' '''''''''''''''''''''</w:t>
            </w:r>
          </w:p>
        </w:tc>
        <w:tc>
          <w:tcPr>
            <w:tcW w:w="99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276" w:type="dxa"/>
          </w:tcPr>
          <w:p w:rsidR="00CC3BA4" w:rsidRPr="00A17B9D" w:rsidRDefault="00A17B9D" w:rsidP="00D1356D">
            <w:pPr>
              <w:pStyle w:val="Tabletext"/>
              <w:rPr>
                <w:rFonts w:cs="Tahoma"/>
                <w:highlight w:val="black"/>
              </w:rPr>
            </w:pPr>
            <w:r>
              <w:rPr>
                <w:rFonts w:cs="Tahoma"/>
                <w:noProof/>
                <w:color w:val="000000"/>
                <w:highlight w:val="black"/>
              </w:rPr>
              <w:t>''''''''''''''</w:t>
            </w:r>
          </w:p>
        </w:tc>
        <w:tc>
          <w:tcPr>
            <w:tcW w:w="1417" w:type="dxa"/>
          </w:tcPr>
          <w:p w:rsidR="00CC3BA4" w:rsidRPr="00A17B9D" w:rsidRDefault="00A17B9D" w:rsidP="00D1356D">
            <w:pPr>
              <w:pStyle w:val="Tabletext"/>
              <w:rPr>
                <w:rFonts w:eastAsia="Times New Roman"/>
                <w:highlight w:val="black"/>
              </w:rPr>
            </w:pPr>
            <w:r>
              <w:rPr>
                <w:rFonts w:eastAsia="Times New Roman"/>
                <w:noProof/>
                <w:color w:val="000000"/>
                <w:highlight w:val="black"/>
              </w:rPr>
              <w:t>'''''''' '''''''''''''''''' ''''''''''''''</w:t>
            </w:r>
          </w:p>
        </w:tc>
        <w:tc>
          <w:tcPr>
            <w:tcW w:w="1134" w:type="dxa"/>
          </w:tcPr>
          <w:p w:rsidR="00CC3BA4" w:rsidRPr="00A17B9D" w:rsidRDefault="00A17B9D" w:rsidP="00D1356D">
            <w:pPr>
              <w:pStyle w:val="Tabletext"/>
              <w:rPr>
                <w:rFonts w:cs="Tahoma"/>
                <w:highlight w:val="black"/>
              </w:rPr>
            </w:pPr>
            <w:r>
              <w:rPr>
                <w:rFonts w:cs="Tahoma"/>
                <w:noProof/>
                <w:color w:val="000000"/>
                <w:highlight w:val="black"/>
              </w:rPr>
              <w:t>''''''' '''''''''''''''''''' '''''''''''''''</w:t>
            </w:r>
          </w:p>
        </w:tc>
        <w:tc>
          <w:tcPr>
            <w:tcW w:w="993" w:type="dxa"/>
          </w:tcPr>
          <w:p w:rsidR="00CC3BA4" w:rsidRPr="00A17B9D" w:rsidRDefault="00A17B9D" w:rsidP="00D1356D">
            <w:pPr>
              <w:pStyle w:val="Tabletext"/>
              <w:rPr>
                <w:rFonts w:cs="Tahoma"/>
                <w:highlight w:val="black"/>
              </w:rPr>
            </w:pPr>
            <w:r>
              <w:rPr>
                <w:rFonts w:cs="Tahoma"/>
                <w:noProof/>
                <w:color w:val="000000"/>
                <w:highlight w:val="black"/>
              </w:rPr>
              <w:t>''</w:t>
            </w:r>
          </w:p>
        </w:tc>
        <w:tc>
          <w:tcPr>
            <w:tcW w:w="2188" w:type="dxa"/>
          </w:tcPr>
          <w:p w:rsidR="00CC3BA4" w:rsidRPr="00A17B9D" w:rsidRDefault="00A17B9D" w:rsidP="00D1356D">
            <w:pPr>
              <w:pStyle w:val="Tabletext"/>
              <w:rPr>
                <w:rFonts w:cs="Tahoma"/>
                <w:highlight w:val="black"/>
              </w:rPr>
            </w:pPr>
            <w:r>
              <w:rPr>
                <w:rFonts w:cs="Tahoma"/>
                <w:noProof/>
                <w:color w:val="000000"/>
                <w:highlight w:val="black"/>
              </w:rPr>
              <w:t>'''''''''''</w:t>
            </w:r>
            <w:r>
              <w:rPr>
                <w:rFonts w:cs="Tahoma"/>
                <w:noProof/>
                <w:color w:val="000000"/>
                <w:highlight w:val="black"/>
              </w:rPr>
              <w:br/>
              <w:t>'''''''' '''''''''''''' ''''''''''''''''''''''''''''''</w:t>
            </w:r>
          </w:p>
        </w:tc>
        <w:tc>
          <w:tcPr>
            <w:tcW w:w="1214" w:type="dxa"/>
          </w:tcPr>
          <w:p w:rsidR="00CC3BA4" w:rsidRPr="00A17B9D" w:rsidRDefault="00A17B9D" w:rsidP="00D1356D">
            <w:pPr>
              <w:pStyle w:val="Tabletext"/>
              <w:rPr>
                <w:rFonts w:ascii="Cambria Math" w:eastAsia="Times New Roman" w:hAnsi="Cambria Math" w:cs="Cambria Math"/>
                <w:bCs/>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A17B9D" w:rsidRDefault="00A17B9D" w:rsidP="00D1356D">
            <w:pPr>
              <w:pStyle w:val="Tabletext"/>
              <w:rPr>
                <w:rFonts w:eastAsia="Times New Roman" w:cs="Tahoma"/>
                <w:bCs/>
                <w:highlight w:val="black"/>
              </w:rPr>
            </w:pPr>
            <w:r>
              <w:rPr>
                <w:rFonts w:cs="Tahoma"/>
                <w:noProof/>
                <w:color w:val="000000"/>
                <w:highlight w:val="black"/>
              </w:rPr>
              <w:t>'''''''' ''''''''''''''''''''''''</w:t>
            </w:r>
          </w:p>
        </w:tc>
      </w:tr>
    </w:tbl>
    <w:p w:rsidR="00CC3BA4" w:rsidRPr="00A17B9D" w:rsidRDefault="00A17B9D" w:rsidP="00D1356D">
      <w:pPr>
        <w:pStyle w:val="Tablenote"/>
        <w:rPr>
          <w:highlight w:val="black"/>
        </w:rPr>
      </w:pPr>
      <w:r>
        <w:rPr>
          <w:noProof/>
          <w:color w:val="000000"/>
          <w:highlight w:val="black"/>
          <w:vertAlign w:val="superscript"/>
        </w:rPr>
        <w:t>''' '''''''''''' '''''''''''''''''''''''''''''''''' '''''''''' '''''' ''''''''''''''''''''''''''' '''''''''' ''''''''' '''''''''''''' '''''''''</w:t>
      </w:r>
    </w:p>
    <w:p w:rsidR="00CC3BA4" w:rsidRPr="00A17B9D" w:rsidRDefault="00A17B9D" w:rsidP="00D1356D">
      <w:pPr>
        <w:pStyle w:val="Tablenote"/>
        <w:rPr>
          <w:highlight w:val="black"/>
        </w:rPr>
      </w:pPr>
      <w:r>
        <w:rPr>
          <w:noProof/>
          <w:color w:val="000000"/>
          <w:highlight w:val="black"/>
          <w:vertAlign w:val="superscript"/>
        </w:rPr>
        <w:t>''' '''''''''''''''''' ''''''''''''''''''' '''''''''''''''' '''''''''''''''''' ''''' '''''''''''''''''''''''''</w:t>
      </w:r>
    </w:p>
    <w:p w:rsidR="00CC3BA4" w:rsidRPr="00A17B9D" w:rsidRDefault="00A17B9D" w:rsidP="00D1356D">
      <w:pPr>
        <w:pStyle w:val="Tablenote"/>
        <w:rPr>
          <w:highlight w:val="black"/>
        </w:rPr>
      </w:pPr>
      <w:r>
        <w:rPr>
          <w:noProof/>
          <w:color w:val="000000"/>
          <w:highlight w:val="black"/>
          <w:vertAlign w:val="superscript"/>
        </w:rPr>
        <w:t>''' ''''''''''''' '''''''''' '''''''' ''''''''' ''''''''''' '''</w:t>
      </w:r>
    </w:p>
    <w:p w:rsidR="004104D8" w:rsidRPr="00A17B9D" w:rsidRDefault="00A17B9D" w:rsidP="00D1356D">
      <w:pPr>
        <w:pStyle w:val="Tablenote"/>
        <w:rPr>
          <w:highlight w:val="black"/>
        </w:rPr>
      </w:pPr>
      <w:r>
        <w:rPr>
          <w:noProof/>
          <w:color w:val="000000"/>
          <w:highlight w:val="black"/>
          <w:vertAlign w:val="superscript"/>
        </w:rPr>
        <w:t>''' ''''''''''''''''''''''''' ''''''''''''''''''</w:t>
      </w:r>
    </w:p>
    <w:p w:rsidR="00A76779" w:rsidRPr="00A17B9D" w:rsidRDefault="00A17B9D" w:rsidP="00A76779">
      <w:pPr>
        <w:pStyle w:val="Tablenote"/>
        <w:rPr>
          <w:highlight w:val="black"/>
        </w:rPr>
      </w:pPr>
      <w:r>
        <w:rPr>
          <w:noProof/>
          <w:color w:val="000000"/>
          <w:highlight w:val="black"/>
          <w:vertAlign w:val="superscript"/>
        </w:rPr>
        <w:t>''' ''''''''''''''' '''''''''''''' '''''''''''''''' ''''''''''''' '''''''''''' '''''''''''''' ''''' ''''''''''' '''' '''''''''''''' '''''''''''''' ''''''''''''''''''''''''''' '''''''''''''' ''''''''''''</w:t>
      </w:r>
    </w:p>
    <w:p w:rsidR="00A76779" w:rsidRPr="00A17B9D" w:rsidRDefault="00A17B9D" w:rsidP="00A76779">
      <w:pPr>
        <w:pStyle w:val="Tablenote"/>
        <w:rPr>
          <w:highlight w:val="black"/>
        </w:rPr>
      </w:pPr>
      <w:r>
        <w:rPr>
          <w:noProof/>
          <w:color w:val="000000"/>
          <w:highlight w:val="black"/>
          <w:vertAlign w:val="superscript"/>
        </w:rPr>
        <w:t>'' ''''''''''' ''''''''''' ''''''''''''''''' '''''''''''''' ''''''''''' ''' '''' ''''''''''' '''' '''''''''''''' '''''''''''' ''''''''''''''''''''''' '''''''''''''''' '''''''''''</w:t>
      </w:r>
    </w:p>
    <w:p w:rsidR="00CC3BA4" w:rsidRPr="00A17B9D" w:rsidRDefault="00A17B9D" w:rsidP="00D1356D">
      <w:pPr>
        <w:pStyle w:val="Tablenote"/>
      </w:pPr>
      <w:r>
        <w:rPr>
          <w:rFonts w:ascii="Cambria Math" w:hAnsi="Cambria Math" w:cs="Cambria Math"/>
          <w:noProof/>
          <w:color w:val="000000"/>
          <w:highlight w:val="black"/>
        </w:rPr>
        <w:t>'''''''''''''''''</w:t>
      </w:r>
      <w:r>
        <w:rPr>
          <w:noProof/>
          <w:color w:val="000000"/>
          <w:highlight w:val="black"/>
        </w:rPr>
        <w:t xml:space="preserve"> </w:t>
      </w:r>
      <w:r>
        <w:rPr>
          <w:b/>
          <w:noProof/>
          <w:color w:val="000000"/>
          <w:highlight w:val="black"/>
        </w:rPr>
        <w:t>''''''''' '''''''''''''''</w:t>
      </w:r>
      <w:r>
        <w:rPr>
          <w:noProof/>
          <w:color w:val="000000"/>
          <w:highlight w:val="black"/>
        </w:rPr>
        <w:t xml:space="preserve"> ''''''' ''''''''' ''''''''''' '''''''''''''''''''''' ''''''''' ''''''' ''''''''' ''''''''''''''' ''''''''' ''''''''''' ''''' ''''''''' ''''' '''''''' '''''''''''''''''''''' ''''' ''''''''''''</w:t>
      </w:r>
    </w:p>
    <w:p w:rsidR="004104D8" w:rsidRPr="00A17B9D" w:rsidRDefault="00A17B9D" w:rsidP="004104D8">
      <w:pPr>
        <w:pStyle w:val="Tablenote"/>
      </w:pPr>
      <w:r>
        <w:rPr>
          <w:rFonts w:ascii="Cambria Math" w:hAnsi="Cambria Math" w:cs="Cambria Math"/>
          <w:noProof/>
          <w:color w:val="000000"/>
          <w:highlight w:val="black"/>
        </w:rPr>
        <w:t>''''''''''''''''</w:t>
      </w:r>
      <w:r>
        <w:rPr>
          <w:rFonts w:cs="Cambria Math"/>
          <w:noProof/>
          <w:color w:val="000000"/>
          <w:highlight w:val="black"/>
        </w:rPr>
        <w:t xml:space="preserve"> </w:t>
      </w:r>
      <w:r>
        <w:rPr>
          <w:b/>
          <w:noProof/>
          <w:color w:val="000000"/>
          <w:highlight w:val="black"/>
        </w:rPr>
        <w:t>''''''''''''''''''' ''''''''''''''</w:t>
      </w:r>
      <w:r>
        <w:rPr>
          <w:noProof/>
          <w:color w:val="000000"/>
          <w:highlight w:val="black"/>
        </w:rPr>
        <w:t xml:space="preserve"> ''''''''' '''''''' ''''''''''''''''''''''''''' ''''''''''''''''''''''' ''''' '''''''' ''''''''''''' ''''''''''''''''''''''' ''''''''' ''''''''' '''''''''''''' '''' ''''''''''' ''''' '''''' '''''''''''' ''''' ''''''''' '''''''''''''''''''' '''' ''''''' ''''''''''''''' '''''''' '''''''''''' '''' ''' ''''''''''''''''''''' '''''''''' ''' '''' '''''''''''''''''''''''''''' ''''''''''''''''''''</w:t>
      </w:r>
    </w:p>
    <w:p w:rsidR="004104D8" w:rsidRPr="00A17B9D" w:rsidRDefault="00A17B9D" w:rsidP="004104D8">
      <w:pPr>
        <w:pStyle w:val="Tablenote"/>
      </w:pPr>
      <w:r>
        <w:rPr>
          <w:rFonts w:ascii="Cambria Math" w:hAnsi="Cambria Math" w:cs="Cambria Math"/>
          <w:noProof/>
          <w:color w:val="000000"/>
          <w:highlight w:val="black"/>
        </w:rPr>
        <w:t>''''''''''''''''</w:t>
      </w:r>
      <w:r>
        <w:rPr>
          <w:rFonts w:cs="Cambria Math"/>
          <w:noProof/>
          <w:color w:val="000000"/>
          <w:highlight w:val="black"/>
        </w:rPr>
        <w:t xml:space="preserve"> </w:t>
      </w:r>
      <w:r>
        <w:rPr>
          <w:b/>
          <w:noProof/>
          <w:color w:val="000000"/>
          <w:highlight w:val="black"/>
        </w:rPr>
        <w:t>'''''''' ''''''''''''''</w:t>
      </w:r>
      <w:r>
        <w:rPr>
          <w:noProof/>
          <w:color w:val="000000"/>
          <w:highlight w:val="black"/>
        </w:rPr>
        <w:t xml:space="preserve"> ''''''''' ''''''''''''''''''''''''' ''''' ''''''' ''''''''''''' ''''''''''''''''''''' '''' '''''''''''''''' '''''''''' '''''''''' '''''''''''''' '''''''''' '''''' ''''''''''''''''''''''''''''' ''''''''''''''''''''' '''''''''''' ''''''''' '''''''''''''''''' ''''' ''''''''' ''''''''''''</w:t>
      </w:r>
    </w:p>
    <w:p w:rsidR="00814438" w:rsidRPr="00A17B9D" w:rsidRDefault="00A17B9D" w:rsidP="00D1356D">
      <w:pPr>
        <w:pStyle w:val="Tablenote"/>
        <w:rPr>
          <w:highlight w:val="black"/>
        </w:rPr>
      </w:pPr>
      <w:r>
        <w:rPr>
          <w:noProof/>
          <w:color w:val="000000"/>
          <w:highlight w:val="black"/>
        </w:rPr>
        <w:t>''''''''''''''' ''' '''''''''''''''''''' '''''''''' '''''''''''''''''''''' '''''' ''' ''''''''''''''''''''''''''' ''''''''''''''''''' '''''''''''''''' ''' ''''''''''''''''''''''' ''' '''''''''''''''''''''''''' ''''''''''' ''' '''''''''''''''''''''''''' '''''''''''''''''''' '''''''''''''''''''''''''' ''''''' ''' '''''''''''''''''''' '''''''''''' '''''''''''''''''''' ''' '''''''''''''''''''' ''''' '''''''''''''''''''''''''''''''''''''''''''''' ''''''''''''''''''''''''''''''' '''''''''''''''''''''''''''' '''''''' ''''''''''''''''''''''''''' '''''''''' '''' '''''''''''' ''''''''''' '''''''''''''''''''''''' '''''''''''''''''''''''''''''' ''''''''' '''' '''''''''''''' '''''''''''''''''''''''' ''''''''''' '''' ''''''''''''''''''''''''' '''''''''''''''''' ''''''''''''''''''''''''''''''''' ''''''''''' ''' ''''''''''''''''''''''''' '''''''''''''''''' ''''''''''''''''''''''''''' '''''''''' '''' ''''''''''''''' ''''' ''''''''' '''''''''''' '''' ''''''''''''''''''''''''''''' ''''''''''''''''''''' '''''''''' ''''''' ''' '''''''''''''''' ''''''''' ''''''''''' ''' ''''''''''''''''' ''''''''''''''''''''''' '''''''''''''''' ''''''''''''''''''''''''' '''''''''''' '''' '''''''''''''' ''''''''''''''''' ''''''''''''''''''''''''''''''</w:t>
      </w:r>
    </w:p>
    <w:p w:rsidR="00CC3BA4" w:rsidRPr="00A17B9D" w:rsidRDefault="00A17B9D" w:rsidP="00BC5A2B">
      <w:pPr>
        <w:pStyle w:val="Caption"/>
        <w:rPr>
          <w:highlight w:val="black"/>
        </w:rPr>
      </w:pPr>
      <w:r>
        <w:rPr>
          <w:noProof/>
          <w:color w:val="000000"/>
          <w:highlight w:val="black"/>
        </w:rPr>
        <w:lastRenderedPageBreak/>
        <w:t>'''''''''' '''''''''''''''''''''''''''' '''''''''''' '''''''''' '''''' '''''''''''''''''''''' '''' '''''''' ''''''''''''''''''' '' '''''''' ''''''''''''''''''''' ''''''''''''' ''''''''''''''''' '''' '''''''' ''''''''''''''''''''''''' '''''' ''''''''''''''''' '''''''' ''''''''' '''' '''''''''' '''''''''</w:t>
      </w:r>
    </w:p>
    <w:tbl>
      <w:tblPr>
        <w:tblStyle w:val="TableGrid"/>
        <w:tblW w:w="14596" w:type="dxa"/>
        <w:tblLayout w:type="fixed"/>
        <w:tblLook w:val="04A0" w:firstRow="1" w:lastRow="0" w:firstColumn="1" w:lastColumn="0" w:noHBand="0" w:noVBand="1"/>
        <w:tblCaption w:val="Evidence profile table for effectiveness of sGC stimulator + ERA combination therapy compared to ERA monotherapy for patients with WHO FC III/IV PAH"/>
      </w:tblPr>
      <w:tblGrid>
        <w:gridCol w:w="1493"/>
        <w:gridCol w:w="1054"/>
        <w:gridCol w:w="771"/>
        <w:gridCol w:w="1072"/>
        <w:gridCol w:w="992"/>
        <w:gridCol w:w="992"/>
        <w:gridCol w:w="1276"/>
        <w:gridCol w:w="1417"/>
        <w:gridCol w:w="1134"/>
        <w:gridCol w:w="993"/>
        <w:gridCol w:w="2188"/>
        <w:gridCol w:w="1214"/>
      </w:tblGrid>
      <w:tr w:rsidR="00D1356D" w:rsidRPr="00835775" w:rsidTr="00BE3319">
        <w:trPr>
          <w:cnfStyle w:val="100000000000" w:firstRow="1" w:lastRow="0" w:firstColumn="0" w:lastColumn="0" w:oddVBand="0" w:evenVBand="0" w:oddHBand="0" w:evenHBand="0" w:firstRowFirstColumn="0" w:firstRowLastColumn="0" w:lastRowFirstColumn="0" w:lastRowLastColumn="0"/>
          <w:trHeight w:val="523"/>
        </w:trPr>
        <w:tc>
          <w:tcPr>
            <w:tcW w:w="1493" w:type="dxa"/>
          </w:tcPr>
          <w:p w:rsidR="00476F09" w:rsidRPr="00A17B9D" w:rsidRDefault="00A17B9D" w:rsidP="00D1356D">
            <w:pPr>
              <w:pStyle w:val="Tabletext"/>
              <w:rPr>
                <w:b/>
                <w:highlight w:val="black"/>
              </w:rPr>
            </w:pPr>
            <w:r>
              <w:rPr>
                <w:b/>
                <w:noProof/>
                <w:color w:val="000000"/>
                <w:highlight w:val="black"/>
              </w:rPr>
              <w:t>''''''''''''''''' '''''''''''''''''''''''</w:t>
            </w:r>
          </w:p>
        </w:tc>
        <w:tc>
          <w:tcPr>
            <w:tcW w:w="1054" w:type="dxa"/>
          </w:tcPr>
          <w:p w:rsidR="00476F09" w:rsidRPr="00A17B9D" w:rsidRDefault="00A17B9D" w:rsidP="00D1356D">
            <w:pPr>
              <w:pStyle w:val="Tabletext"/>
              <w:rPr>
                <w:b/>
                <w:highlight w:val="black"/>
              </w:rPr>
            </w:pPr>
            <w:r>
              <w:rPr>
                <w:b/>
                <w:noProof/>
                <w:color w:val="000000"/>
                <w:highlight w:val="black"/>
              </w:rPr>
              <w:t>'''''''' '''' '''''''''''''''' '''''''' ''''''''''' ''''''''''''''</w:t>
            </w:r>
          </w:p>
        </w:tc>
        <w:tc>
          <w:tcPr>
            <w:tcW w:w="771" w:type="dxa"/>
          </w:tcPr>
          <w:p w:rsidR="00476F09" w:rsidRPr="00A17B9D" w:rsidRDefault="00A17B9D" w:rsidP="00D1356D">
            <w:pPr>
              <w:pStyle w:val="Tabletext"/>
              <w:rPr>
                <w:b/>
                <w:highlight w:val="black"/>
              </w:rPr>
            </w:pPr>
            <w:r>
              <w:rPr>
                <w:b/>
                <w:noProof/>
                <w:color w:val="000000"/>
                <w:highlight w:val="black"/>
              </w:rPr>
              <w:t>'''''''' ''''' ''''''''''</w:t>
            </w:r>
          </w:p>
        </w:tc>
        <w:tc>
          <w:tcPr>
            <w:tcW w:w="1072" w:type="dxa"/>
          </w:tcPr>
          <w:p w:rsidR="00476F09" w:rsidRPr="00A17B9D" w:rsidRDefault="00A17B9D" w:rsidP="00D1356D">
            <w:pPr>
              <w:pStyle w:val="Tabletext"/>
              <w:rPr>
                <w:b/>
                <w:highlight w:val="black"/>
              </w:rPr>
            </w:pPr>
            <w:r>
              <w:rPr>
                <w:b/>
                <w:noProof/>
                <w:color w:val="000000"/>
                <w:highlight w:val="black"/>
              </w:rPr>
              <w:t>'''''''''''''''''''''''''''''</w:t>
            </w:r>
          </w:p>
        </w:tc>
        <w:tc>
          <w:tcPr>
            <w:tcW w:w="992" w:type="dxa"/>
          </w:tcPr>
          <w:p w:rsidR="00476F09" w:rsidRPr="00A17B9D" w:rsidRDefault="00A17B9D" w:rsidP="00D1356D">
            <w:pPr>
              <w:pStyle w:val="Tabletext"/>
              <w:rPr>
                <w:b/>
                <w:highlight w:val="black"/>
              </w:rPr>
            </w:pPr>
            <w:r>
              <w:rPr>
                <w:b/>
                <w:noProof/>
                <w:color w:val="000000"/>
                <w:highlight w:val="black"/>
              </w:rPr>
              <w:t>''''''''''''''''''''''''''</w:t>
            </w:r>
          </w:p>
        </w:tc>
        <w:tc>
          <w:tcPr>
            <w:tcW w:w="992" w:type="dxa"/>
          </w:tcPr>
          <w:p w:rsidR="00476F09" w:rsidRPr="00A17B9D" w:rsidRDefault="00A17B9D" w:rsidP="00D1356D">
            <w:pPr>
              <w:pStyle w:val="Tabletext"/>
              <w:rPr>
                <w:b/>
                <w:highlight w:val="black"/>
              </w:rPr>
            </w:pPr>
            <w:r>
              <w:rPr>
                <w:b/>
                <w:noProof/>
                <w:color w:val="000000"/>
                <w:highlight w:val="black"/>
              </w:rPr>
              <w:t>''''''''''''''''''''''''</w:t>
            </w:r>
          </w:p>
        </w:tc>
        <w:tc>
          <w:tcPr>
            <w:tcW w:w="1276" w:type="dxa"/>
          </w:tcPr>
          <w:p w:rsidR="00476F09" w:rsidRPr="00A17B9D" w:rsidRDefault="00A17B9D" w:rsidP="00D1356D">
            <w:pPr>
              <w:pStyle w:val="Tabletext"/>
              <w:rPr>
                <w:b/>
                <w:highlight w:val="black"/>
              </w:rPr>
            </w:pPr>
            <w:r>
              <w:rPr>
                <w:b/>
                <w:noProof/>
                <w:color w:val="000000"/>
                <w:highlight w:val="black"/>
              </w:rPr>
              <w:t>''''''''''' ''''''''''''''''''''''''''''''''</w:t>
            </w:r>
          </w:p>
        </w:tc>
        <w:tc>
          <w:tcPr>
            <w:tcW w:w="1417" w:type="dxa"/>
          </w:tcPr>
          <w:p w:rsidR="00476F09" w:rsidRPr="00A17B9D" w:rsidRDefault="00A17B9D" w:rsidP="00D1356D">
            <w:pPr>
              <w:pStyle w:val="Tabletext"/>
              <w:rPr>
                <w:b/>
                <w:highlight w:val="black"/>
              </w:rPr>
            </w:pPr>
            <w:r>
              <w:rPr>
                <w:b/>
                <w:noProof/>
                <w:color w:val="000000"/>
                <w:highlight w:val="black"/>
              </w:rPr>
              <w:t>''''''''''''' '''''''''''' ''''''''''' '''''' '''''''' ''''''''' ''' '''''''''</w:t>
            </w:r>
          </w:p>
        </w:tc>
        <w:tc>
          <w:tcPr>
            <w:tcW w:w="1134" w:type="dxa"/>
          </w:tcPr>
          <w:p w:rsidR="00476F09" w:rsidRPr="00A17B9D" w:rsidRDefault="00A17B9D" w:rsidP="00D1356D">
            <w:pPr>
              <w:pStyle w:val="Tabletext"/>
              <w:rPr>
                <w:b/>
                <w:highlight w:val="black"/>
              </w:rPr>
            </w:pPr>
            <w:r>
              <w:rPr>
                <w:b/>
                <w:noProof/>
                <w:color w:val="000000"/>
                <w:highlight w:val="black"/>
              </w:rPr>
              <w:t>'''''''''''' ''''''''''' '''''''''''' '''''''' ''''''''' '''''''''</w:t>
            </w:r>
          </w:p>
        </w:tc>
        <w:tc>
          <w:tcPr>
            <w:tcW w:w="993" w:type="dxa"/>
          </w:tcPr>
          <w:p w:rsidR="00476F09" w:rsidRPr="00A17B9D" w:rsidRDefault="00A17B9D" w:rsidP="00D1356D">
            <w:pPr>
              <w:pStyle w:val="Tabletext"/>
              <w:rPr>
                <w:b/>
                <w:highlight w:val="black"/>
              </w:rPr>
            </w:pPr>
            <w:r>
              <w:rPr>
                <w:b/>
                <w:noProof/>
                <w:color w:val="000000"/>
                <w:highlight w:val="black"/>
              </w:rPr>
              <w:t>''''''''''''' ''''''''''''''''' ''''''''''''''''</w:t>
            </w:r>
          </w:p>
        </w:tc>
        <w:tc>
          <w:tcPr>
            <w:tcW w:w="2188" w:type="dxa"/>
          </w:tcPr>
          <w:p w:rsidR="00476F09" w:rsidRPr="00A17B9D" w:rsidRDefault="00A17B9D" w:rsidP="00D1356D">
            <w:pPr>
              <w:pStyle w:val="Tabletext"/>
              <w:rPr>
                <w:b/>
                <w:highlight w:val="black"/>
              </w:rPr>
            </w:pPr>
            <w:r>
              <w:rPr>
                <w:b/>
                <w:noProof/>
                <w:color w:val="000000"/>
                <w:highlight w:val="black"/>
              </w:rPr>
              <w:t>''''''''''''''''' '''''''''''' '''''''''''''''''</w:t>
            </w:r>
          </w:p>
        </w:tc>
        <w:tc>
          <w:tcPr>
            <w:tcW w:w="1214" w:type="dxa"/>
          </w:tcPr>
          <w:p w:rsidR="00814438" w:rsidRPr="00A17B9D" w:rsidRDefault="00A17B9D" w:rsidP="00D1356D">
            <w:pPr>
              <w:pStyle w:val="Tabletext"/>
              <w:rPr>
                <w:b/>
                <w:highlight w:val="black"/>
              </w:rPr>
            </w:pPr>
            <w:r>
              <w:rPr>
                <w:b/>
                <w:noProof/>
                <w:color w:val="000000"/>
                <w:highlight w:val="black"/>
              </w:rPr>
              <w:t>'''''''''''''''''''</w:t>
            </w:r>
          </w:p>
          <w:p w:rsidR="00476F09" w:rsidRPr="00A17B9D" w:rsidRDefault="00A17B9D" w:rsidP="00D1356D">
            <w:pPr>
              <w:pStyle w:val="Tabletext"/>
              <w:rPr>
                <w:b/>
                <w:highlight w:val="black"/>
                <w:vertAlign w:val="superscript"/>
              </w:rPr>
            </w:pPr>
            <w:r>
              <w:rPr>
                <w:b/>
                <w:noProof/>
                <w:color w:val="000000"/>
                <w:highlight w:val="black"/>
              </w:rPr>
              <w:t>''''''''''''''''</w:t>
            </w:r>
          </w:p>
          <w:p w:rsidR="00476F09" w:rsidRPr="00A17B9D" w:rsidRDefault="00A17B9D" w:rsidP="00D1356D">
            <w:pPr>
              <w:pStyle w:val="Tabletext"/>
              <w:rPr>
                <w:b/>
                <w:highlight w:val="black"/>
              </w:rPr>
            </w:pPr>
            <w:r>
              <w:rPr>
                <w:b/>
                <w:noProof/>
                <w:color w:val="000000"/>
                <w:highlight w:val="black"/>
              </w:rPr>
              <w:t>'''''''''''''''''''''</w:t>
            </w:r>
          </w:p>
        </w:tc>
      </w:tr>
      <w:tr w:rsidR="00CC3BA4" w:rsidRPr="00835775" w:rsidTr="00BE3319">
        <w:trPr>
          <w:trHeight w:val="319"/>
        </w:trPr>
        <w:tc>
          <w:tcPr>
            <w:tcW w:w="1493" w:type="dxa"/>
          </w:tcPr>
          <w:p w:rsidR="00CC3BA4" w:rsidRPr="00A17B9D" w:rsidRDefault="00A17B9D" w:rsidP="00D1356D">
            <w:pPr>
              <w:pStyle w:val="Tabletext"/>
              <w:rPr>
                <w:rFonts w:cs="Tahoma"/>
                <w:highlight w:val="black"/>
              </w:rPr>
            </w:pPr>
            <w:r>
              <w:rPr>
                <w:rFonts w:cs="Tahoma"/>
                <w:noProof/>
                <w:color w:val="000000"/>
                <w:highlight w:val="black"/>
              </w:rPr>
              <w:t>''''''''''''''''''' ''''''''''''''''''''''''</w:t>
            </w:r>
            <w:r>
              <w:rPr>
                <w:rFonts w:cs="Tahoma"/>
                <w:noProof/>
                <w:color w:val="000000"/>
                <w:highlight w:val="black"/>
              </w:rPr>
              <w:br/>
              <w:t>'''''''' '''''''''''''''''''</w:t>
            </w:r>
          </w:p>
        </w:tc>
        <w:tc>
          <w:tcPr>
            <w:tcW w:w="105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771"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07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276" w:type="dxa"/>
          </w:tcPr>
          <w:p w:rsidR="00CC3BA4" w:rsidRPr="00A17B9D" w:rsidRDefault="00A17B9D" w:rsidP="00D1356D">
            <w:pPr>
              <w:pStyle w:val="Tabletext"/>
              <w:rPr>
                <w:rFonts w:cs="Tahoma"/>
                <w:highlight w:val="black"/>
              </w:rPr>
            </w:pPr>
            <w:r>
              <w:rPr>
                <w:rFonts w:cs="Tahoma"/>
                <w:noProof/>
                <w:color w:val="000000"/>
                <w:highlight w:val="black"/>
              </w:rPr>
              <w:t>''''''''''''''</w:t>
            </w:r>
          </w:p>
        </w:tc>
        <w:tc>
          <w:tcPr>
            <w:tcW w:w="1417"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13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3" w:type="dxa"/>
          </w:tcPr>
          <w:p w:rsidR="00CC3BA4" w:rsidRPr="00A17B9D" w:rsidRDefault="00A17B9D" w:rsidP="00D1356D">
            <w:pPr>
              <w:pStyle w:val="Tabletext"/>
              <w:rPr>
                <w:rFonts w:cs="Tahoma"/>
                <w:highlight w:val="black"/>
              </w:rPr>
            </w:pPr>
            <w:r>
              <w:rPr>
                <w:rFonts w:cs="Tahoma"/>
                <w:noProof/>
                <w:color w:val="000000"/>
                <w:highlight w:val="black"/>
              </w:rPr>
              <w:t>''''''' ''' '''''''''''' ''''''''''''''' ''''''''''''</w:t>
            </w:r>
          </w:p>
        </w:tc>
        <w:tc>
          <w:tcPr>
            <w:tcW w:w="2188" w:type="dxa"/>
          </w:tcPr>
          <w:p w:rsidR="00CC3BA4" w:rsidRPr="00A17B9D" w:rsidRDefault="00A17B9D" w:rsidP="00D1356D">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BE799B" w:rsidRPr="00A17B9D" w:rsidRDefault="00A17B9D" w:rsidP="00BE799B">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A17B9D" w:rsidRDefault="00A17B9D" w:rsidP="00D1356D">
            <w:pPr>
              <w:pStyle w:val="Tabletext"/>
              <w:rPr>
                <w:rFonts w:cs="Tahoma"/>
                <w:highlight w:val="black"/>
              </w:rPr>
            </w:pPr>
            <w:r>
              <w:rPr>
                <w:rFonts w:cs="Tahoma"/>
                <w:noProof/>
                <w:color w:val="000000"/>
                <w:highlight w:val="black"/>
              </w:rPr>
              <w:t>''''''''''''''''</w:t>
            </w:r>
          </w:p>
        </w:tc>
      </w:tr>
      <w:tr w:rsidR="00CC3BA4" w:rsidRPr="00835775" w:rsidTr="00BE3319">
        <w:trPr>
          <w:trHeight w:val="319"/>
        </w:trPr>
        <w:tc>
          <w:tcPr>
            <w:tcW w:w="1493" w:type="dxa"/>
          </w:tcPr>
          <w:p w:rsidR="00CC3BA4" w:rsidRPr="00A17B9D" w:rsidRDefault="00A17B9D" w:rsidP="00D1356D">
            <w:pPr>
              <w:pStyle w:val="Tabletext"/>
              <w:rPr>
                <w:rFonts w:cs="Tahoma"/>
                <w:highlight w:val="black"/>
              </w:rPr>
            </w:pPr>
            <w:r>
              <w:rPr>
                <w:rFonts w:cs="Tahoma"/>
                <w:noProof/>
                <w:color w:val="000000"/>
                <w:highlight w:val="black"/>
              </w:rPr>
              <w:t>''''''''''''''''''''</w:t>
            </w:r>
            <w:r>
              <w:rPr>
                <w:rFonts w:cs="Tahoma"/>
                <w:noProof/>
                <w:color w:val="000000"/>
                <w:highlight w:val="black"/>
              </w:rPr>
              <w:br/>
              <w:t>'''''''' ''''''''''''''''</w:t>
            </w:r>
          </w:p>
        </w:tc>
        <w:tc>
          <w:tcPr>
            <w:tcW w:w="105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771"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07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276" w:type="dxa"/>
          </w:tcPr>
          <w:p w:rsidR="00CC3BA4" w:rsidRPr="00A17B9D" w:rsidRDefault="00A17B9D" w:rsidP="00D1356D">
            <w:pPr>
              <w:pStyle w:val="Tabletext"/>
              <w:rPr>
                <w:rFonts w:cs="Tahoma"/>
                <w:highlight w:val="black"/>
              </w:rPr>
            </w:pPr>
            <w:r>
              <w:rPr>
                <w:rFonts w:cs="Tahoma"/>
                <w:noProof/>
                <w:color w:val="000000"/>
                <w:highlight w:val="black"/>
              </w:rPr>
              <w:t>'''''''''''''</w:t>
            </w:r>
          </w:p>
        </w:tc>
        <w:tc>
          <w:tcPr>
            <w:tcW w:w="1417"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13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3" w:type="dxa"/>
          </w:tcPr>
          <w:p w:rsidR="00CC3BA4" w:rsidRPr="00A17B9D" w:rsidRDefault="00A17B9D" w:rsidP="0088536B">
            <w:pPr>
              <w:pStyle w:val="Tabletext"/>
              <w:rPr>
                <w:rFonts w:cs="Tahoma"/>
                <w:highlight w:val="black"/>
              </w:rPr>
            </w:pPr>
            <w:r>
              <w:rPr>
                <w:rFonts w:cs="Tahoma"/>
                <w:noProof/>
                <w:color w:val="000000"/>
                <w:highlight w:val="black"/>
              </w:rPr>
              <w:t>''''''''''' '''' '''''''''''''''' ''''''''''''''''' ''''''''''</w:t>
            </w:r>
          </w:p>
        </w:tc>
        <w:tc>
          <w:tcPr>
            <w:tcW w:w="2188" w:type="dxa"/>
          </w:tcPr>
          <w:p w:rsidR="00CC3BA4" w:rsidRPr="00A17B9D" w:rsidRDefault="00A17B9D" w:rsidP="0088536B">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CC3BA4" w:rsidRPr="00A17B9D" w:rsidRDefault="00A17B9D" w:rsidP="00D1356D">
            <w:pPr>
              <w:pStyle w:val="Tabletext"/>
              <w:rPr>
                <w:rFonts w:ascii="Cambria Math" w:eastAsia="Times New Roman" w:hAnsi="Cambria Math" w:cs="Cambria Math"/>
                <w:bCs/>
              </w:rPr>
            </w:pPr>
            <w:r>
              <w:rPr>
                <w:rFonts w:eastAsia="Times New Roman" w:cs="Cambria Math"/>
                <w:bCs/>
                <w:noProof/>
                <w:color w:val="000000"/>
                <w:highlight w:val="black"/>
              </w:rPr>
              <w:t>''''''''''</w:t>
            </w:r>
            <w:r>
              <w:rPr>
                <w:rFonts w:eastAsia="Times New Roman" w:cs="Cambria Math"/>
                <w:bCs/>
                <w:noProof/>
                <w:color w:val="000000"/>
                <w:highlight w:val="black"/>
              </w:rPr>
              <w:br/>
              <w:t>'''''''''''''''</w:t>
            </w:r>
          </w:p>
          <w:p w:rsidR="00CC3BA4" w:rsidRPr="00A17B9D" w:rsidRDefault="00A17B9D" w:rsidP="00D1356D">
            <w:pPr>
              <w:pStyle w:val="Tabletext"/>
              <w:rPr>
                <w:rFonts w:cs="Tahoma"/>
                <w:highlight w:val="black"/>
              </w:rPr>
            </w:pPr>
            <w:r>
              <w:rPr>
                <w:rFonts w:cs="Tahoma"/>
                <w:noProof/>
                <w:color w:val="000000"/>
                <w:highlight w:val="black"/>
              </w:rPr>
              <w:t>''''''''''''''''</w:t>
            </w:r>
          </w:p>
        </w:tc>
      </w:tr>
      <w:tr w:rsidR="00CC3BA4" w:rsidRPr="00835775" w:rsidTr="00BE3319">
        <w:trPr>
          <w:trHeight w:val="319"/>
        </w:trPr>
        <w:tc>
          <w:tcPr>
            <w:tcW w:w="1493" w:type="dxa"/>
          </w:tcPr>
          <w:p w:rsidR="00CC3BA4" w:rsidRPr="00A17B9D" w:rsidRDefault="00A17B9D" w:rsidP="00D1356D">
            <w:pPr>
              <w:pStyle w:val="Tabletext"/>
              <w:rPr>
                <w:rFonts w:cs="Tahoma"/>
                <w:highlight w:val="black"/>
              </w:rPr>
            </w:pPr>
            <w:r>
              <w:rPr>
                <w:rFonts w:cs="Tahoma"/>
                <w:noProof/>
                <w:color w:val="000000"/>
                <w:highlight w:val="black"/>
              </w:rPr>
              <w:t>'''''''''''''''''''''''''''''''' '''''''''' ''''' '''''''''''</w:t>
            </w:r>
            <w:r>
              <w:rPr>
                <w:rFonts w:cs="Tahoma"/>
                <w:noProof/>
                <w:color w:val="000000"/>
                <w:highlight w:val="black"/>
              </w:rPr>
              <w:br/>
              <w:t>''''''' ''''''''''''''''</w:t>
            </w:r>
          </w:p>
        </w:tc>
        <w:tc>
          <w:tcPr>
            <w:tcW w:w="105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771"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07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276" w:type="dxa"/>
          </w:tcPr>
          <w:p w:rsidR="00CC3BA4" w:rsidRPr="00A17B9D" w:rsidRDefault="00A17B9D" w:rsidP="00D1356D">
            <w:pPr>
              <w:pStyle w:val="Tabletext"/>
              <w:rPr>
                <w:rFonts w:cs="Tahoma"/>
                <w:highlight w:val="black"/>
              </w:rPr>
            </w:pPr>
            <w:r>
              <w:rPr>
                <w:rFonts w:cs="Tahoma"/>
                <w:noProof/>
                <w:color w:val="000000"/>
                <w:highlight w:val="black"/>
              </w:rPr>
              <w:t>''''''''''''''</w:t>
            </w:r>
          </w:p>
        </w:tc>
        <w:tc>
          <w:tcPr>
            <w:tcW w:w="1417"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13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3" w:type="dxa"/>
          </w:tcPr>
          <w:p w:rsidR="00CC3BA4" w:rsidRPr="00A17B9D" w:rsidRDefault="00A17B9D" w:rsidP="00D1356D">
            <w:pPr>
              <w:pStyle w:val="Tabletext"/>
              <w:rPr>
                <w:rFonts w:cs="Tahoma"/>
                <w:highlight w:val="black"/>
              </w:rPr>
            </w:pPr>
            <w:r>
              <w:rPr>
                <w:rFonts w:cs="Tahoma"/>
                <w:noProof/>
                <w:color w:val="000000"/>
                <w:highlight w:val="black"/>
              </w:rPr>
              <w:t>'''''''' '''' ''''''''''' ''''''''''''' '''''''''''</w:t>
            </w:r>
          </w:p>
        </w:tc>
        <w:tc>
          <w:tcPr>
            <w:tcW w:w="2188" w:type="dxa"/>
          </w:tcPr>
          <w:p w:rsidR="00CC3BA4" w:rsidRPr="00A17B9D" w:rsidRDefault="00A17B9D" w:rsidP="00D1356D">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BE799B" w:rsidRPr="00A17B9D" w:rsidRDefault="00A17B9D" w:rsidP="00BE799B">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A17B9D" w:rsidRDefault="00A17B9D" w:rsidP="00D1356D">
            <w:pPr>
              <w:pStyle w:val="Tabletext"/>
              <w:rPr>
                <w:rFonts w:eastAsia="Times New Roman" w:cs="Cambria Math"/>
                <w:bCs/>
                <w:color w:val="00B050"/>
                <w:highlight w:val="black"/>
              </w:rPr>
            </w:pPr>
            <w:r>
              <w:rPr>
                <w:rFonts w:cs="Tahoma"/>
                <w:noProof/>
                <w:color w:val="000000"/>
                <w:highlight w:val="black"/>
              </w:rPr>
              <w:t>''''''''''''''''''''''</w:t>
            </w:r>
          </w:p>
        </w:tc>
      </w:tr>
      <w:tr w:rsidR="00CC3BA4" w:rsidRPr="00835775" w:rsidTr="00BE3319">
        <w:trPr>
          <w:trHeight w:val="319"/>
        </w:trPr>
        <w:tc>
          <w:tcPr>
            <w:tcW w:w="1493" w:type="dxa"/>
          </w:tcPr>
          <w:p w:rsidR="00CC3BA4" w:rsidRPr="00A17B9D" w:rsidRDefault="00A17B9D" w:rsidP="00D1356D">
            <w:pPr>
              <w:pStyle w:val="Tabletext"/>
              <w:rPr>
                <w:rFonts w:cs="Tahoma"/>
                <w:highlight w:val="black"/>
              </w:rPr>
            </w:pPr>
            <w:r>
              <w:rPr>
                <w:rFonts w:cs="Tahoma"/>
                <w:noProof/>
                <w:color w:val="000000"/>
                <w:highlight w:val="black"/>
              </w:rPr>
              <w:t>''''''''''''''''''''' '''''''''''' '''''''</w:t>
            </w:r>
            <w:r>
              <w:rPr>
                <w:rFonts w:cs="Tahoma"/>
                <w:noProof/>
                <w:color w:val="000000"/>
                <w:highlight w:val="black"/>
              </w:rPr>
              <w:br/>
              <w:t>''''''''' ''''''''''''''''</w:t>
            </w:r>
          </w:p>
        </w:tc>
        <w:tc>
          <w:tcPr>
            <w:tcW w:w="105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771"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07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276" w:type="dxa"/>
          </w:tcPr>
          <w:p w:rsidR="00CC3BA4" w:rsidRPr="00A17B9D" w:rsidRDefault="00A17B9D" w:rsidP="00D1356D">
            <w:pPr>
              <w:pStyle w:val="Tabletext"/>
              <w:rPr>
                <w:rFonts w:cs="Tahoma"/>
                <w:highlight w:val="black"/>
              </w:rPr>
            </w:pPr>
            <w:r>
              <w:rPr>
                <w:rFonts w:cs="Tahoma"/>
                <w:noProof/>
                <w:color w:val="000000"/>
                <w:highlight w:val="black"/>
              </w:rPr>
              <w:t>'''''''''''''</w:t>
            </w:r>
          </w:p>
        </w:tc>
        <w:tc>
          <w:tcPr>
            <w:tcW w:w="1417"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13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3" w:type="dxa"/>
          </w:tcPr>
          <w:p w:rsidR="00CC3BA4" w:rsidRPr="00A17B9D" w:rsidRDefault="00A17B9D" w:rsidP="00D1356D">
            <w:pPr>
              <w:pStyle w:val="Tabletext"/>
              <w:rPr>
                <w:rFonts w:cs="Tahoma"/>
                <w:highlight w:val="black"/>
              </w:rPr>
            </w:pPr>
            <w:r>
              <w:rPr>
                <w:rFonts w:cs="Tahoma"/>
                <w:noProof/>
                <w:color w:val="000000"/>
                <w:highlight w:val="black"/>
              </w:rPr>
              <w:t>''''''' '''' ''''''''''' ''''''''''''''' '''''''''''''</w:t>
            </w:r>
          </w:p>
        </w:tc>
        <w:tc>
          <w:tcPr>
            <w:tcW w:w="2188" w:type="dxa"/>
          </w:tcPr>
          <w:p w:rsidR="00CC3BA4" w:rsidRPr="00A17B9D" w:rsidRDefault="00A17B9D" w:rsidP="00D1356D">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BE799B" w:rsidRPr="00A17B9D" w:rsidRDefault="00A17B9D" w:rsidP="00BE799B">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A17B9D" w:rsidRDefault="00A17B9D" w:rsidP="00D1356D">
            <w:pPr>
              <w:pStyle w:val="Tabletext"/>
              <w:rPr>
                <w:rFonts w:eastAsia="Times New Roman" w:cs="Cambria Math"/>
                <w:bCs/>
                <w:color w:val="00B050"/>
                <w:highlight w:val="black"/>
              </w:rPr>
            </w:pPr>
            <w:r>
              <w:rPr>
                <w:rFonts w:cs="Tahoma"/>
                <w:noProof/>
                <w:color w:val="000000"/>
                <w:highlight w:val="black"/>
              </w:rPr>
              <w:t>'''''''''''''''''''''''</w:t>
            </w:r>
          </w:p>
        </w:tc>
      </w:tr>
      <w:tr w:rsidR="00CC3BA4" w:rsidRPr="00835775" w:rsidTr="00BE3319">
        <w:trPr>
          <w:trHeight w:val="319"/>
        </w:trPr>
        <w:tc>
          <w:tcPr>
            <w:tcW w:w="1493" w:type="dxa"/>
          </w:tcPr>
          <w:p w:rsidR="00CC3BA4" w:rsidRPr="00A17B9D" w:rsidRDefault="00A17B9D" w:rsidP="00D1356D">
            <w:pPr>
              <w:pStyle w:val="Tabletext"/>
              <w:rPr>
                <w:rFonts w:cs="Tahoma"/>
                <w:highlight w:val="black"/>
              </w:rPr>
            </w:pPr>
            <w:r>
              <w:rPr>
                <w:rFonts w:cs="Tahoma"/>
                <w:noProof/>
                <w:color w:val="000000"/>
                <w:highlight w:val="black"/>
              </w:rPr>
              <w:t>'''''''''''''''''''''' '''''''''''''' ''''''''</w:t>
            </w:r>
            <w:r>
              <w:rPr>
                <w:rFonts w:cs="Tahoma"/>
                <w:noProof/>
                <w:color w:val="000000"/>
                <w:highlight w:val="black"/>
              </w:rPr>
              <w:br/>
              <w:t>'''''''' '''''''''''''''''</w:t>
            </w:r>
          </w:p>
        </w:tc>
        <w:tc>
          <w:tcPr>
            <w:tcW w:w="105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771"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07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E86FC8">
            <w:pPr>
              <w:pStyle w:val="Tabletext"/>
              <w:rPr>
                <w:rFonts w:cs="Tahoma"/>
                <w:highlight w:val="black"/>
              </w:rPr>
            </w:pPr>
            <w:r>
              <w:rPr>
                <w:rFonts w:cs="Tahoma"/>
                <w:noProof/>
                <w:color w:val="000000"/>
                <w:highlight w:val="black"/>
              </w:rPr>
              <w:t>'''''''' '''''''''''''''''</w:t>
            </w:r>
          </w:p>
        </w:tc>
        <w:tc>
          <w:tcPr>
            <w:tcW w:w="1276" w:type="dxa"/>
          </w:tcPr>
          <w:p w:rsidR="00CC3BA4" w:rsidRPr="00A17B9D" w:rsidRDefault="00A17B9D" w:rsidP="00D1356D">
            <w:pPr>
              <w:pStyle w:val="Tabletext"/>
              <w:rPr>
                <w:rFonts w:cs="Tahoma"/>
                <w:highlight w:val="black"/>
              </w:rPr>
            </w:pPr>
            <w:r>
              <w:rPr>
                <w:rFonts w:cs="Tahoma"/>
                <w:noProof/>
                <w:color w:val="000000"/>
                <w:highlight w:val="black"/>
              </w:rPr>
              <w:t>''''''''''''''</w:t>
            </w:r>
          </w:p>
        </w:tc>
        <w:tc>
          <w:tcPr>
            <w:tcW w:w="1417"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13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3" w:type="dxa"/>
          </w:tcPr>
          <w:p w:rsidR="00CC3BA4" w:rsidRPr="00A17B9D" w:rsidRDefault="00A17B9D" w:rsidP="00645E4A">
            <w:pPr>
              <w:pStyle w:val="Tabletext"/>
              <w:rPr>
                <w:rFonts w:cs="Tahoma"/>
                <w:highlight w:val="black"/>
              </w:rPr>
            </w:pPr>
            <w:r>
              <w:rPr>
                <w:rFonts w:cs="Tahoma"/>
                <w:noProof/>
                <w:color w:val="000000"/>
                <w:highlight w:val="black"/>
              </w:rPr>
              <w:t>''''''''''''' '''' ''''''''''''''' '''''''''''''''''' '''''''''</w:t>
            </w:r>
          </w:p>
        </w:tc>
        <w:tc>
          <w:tcPr>
            <w:tcW w:w="2188" w:type="dxa"/>
          </w:tcPr>
          <w:p w:rsidR="00CC3BA4" w:rsidRPr="00A17B9D" w:rsidRDefault="00A17B9D" w:rsidP="00157440">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E86FC8" w:rsidRPr="00A17B9D" w:rsidRDefault="00A17B9D" w:rsidP="00E86FC8">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A17B9D" w:rsidRDefault="00A17B9D" w:rsidP="00D1356D">
            <w:pPr>
              <w:pStyle w:val="Tabletext"/>
              <w:rPr>
                <w:rFonts w:eastAsia="Times New Roman" w:cs="Cambria Math"/>
                <w:bCs/>
                <w:color w:val="00B050"/>
                <w:highlight w:val="black"/>
              </w:rPr>
            </w:pPr>
            <w:r>
              <w:rPr>
                <w:rFonts w:cs="Tahoma"/>
                <w:noProof/>
                <w:color w:val="000000"/>
                <w:highlight w:val="black"/>
              </w:rPr>
              <w:t>'''''''''''''''''''''''''</w:t>
            </w:r>
          </w:p>
        </w:tc>
      </w:tr>
      <w:tr w:rsidR="00981BDF" w:rsidRPr="00835775" w:rsidTr="00BE3319">
        <w:trPr>
          <w:trHeight w:val="319"/>
        </w:trPr>
        <w:tc>
          <w:tcPr>
            <w:tcW w:w="1493" w:type="dxa"/>
          </w:tcPr>
          <w:p w:rsidR="00981BDF" w:rsidRPr="00A17B9D" w:rsidRDefault="00A17B9D" w:rsidP="00D1356D">
            <w:pPr>
              <w:pStyle w:val="Tabletext"/>
              <w:rPr>
                <w:rFonts w:cs="Tahoma"/>
                <w:highlight w:val="black"/>
              </w:rPr>
            </w:pPr>
            <w:r>
              <w:rPr>
                <w:rFonts w:cs="Tahoma"/>
                <w:noProof/>
                <w:color w:val="000000"/>
                <w:highlight w:val="black"/>
              </w:rPr>
              <w:t>''''''''''''''''''' ''''' ''''''''''''''''' ''''''''''' '''''''''''''''''''''</w:t>
            </w:r>
            <w:r>
              <w:rPr>
                <w:rFonts w:cs="Tahoma"/>
                <w:noProof/>
                <w:color w:val="000000"/>
                <w:highlight w:val="black"/>
              </w:rPr>
              <w:br/>
              <w:t xml:space="preserve">''''''''' '''''''''''''''''' </w:t>
            </w:r>
          </w:p>
        </w:tc>
        <w:tc>
          <w:tcPr>
            <w:tcW w:w="1054" w:type="dxa"/>
          </w:tcPr>
          <w:p w:rsidR="00981BDF" w:rsidRPr="00A17B9D" w:rsidRDefault="00A17B9D" w:rsidP="00D1356D">
            <w:pPr>
              <w:pStyle w:val="Tabletext"/>
              <w:rPr>
                <w:rFonts w:cs="Tahoma"/>
                <w:highlight w:val="black"/>
              </w:rPr>
            </w:pPr>
            <w:r>
              <w:rPr>
                <w:rFonts w:cs="Tahoma"/>
                <w:noProof/>
                <w:color w:val="000000"/>
                <w:highlight w:val="black"/>
              </w:rPr>
              <w:t>'''' ''''''''''''</w:t>
            </w:r>
          </w:p>
        </w:tc>
        <w:tc>
          <w:tcPr>
            <w:tcW w:w="771" w:type="dxa"/>
          </w:tcPr>
          <w:p w:rsidR="00981BDF" w:rsidRPr="00A17B9D" w:rsidRDefault="00A17B9D" w:rsidP="00D1356D">
            <w:pPr>
              <w:pStyle w:val="Tabletext"/>
              <w:rPr>
                <w:rFonts w:cs="Tahoma"/>
                <w:highlight w:val="black"/>
              </w:rPr>
            </w:pPr>
            <w:r>
              <w:rPr>
                <w:rFonts w:cs="Tahoma"/>
                <w:noProof/>
                <w:color w:val="000000"/>
                <w:highlight w:val="black"/>
              </w:rPr>
              <w:t>'''''''' ''''''''''''''''</w:t>
            </w:r>
          </w:p>
        </w:tc>
        <w:tc>
          <w:tcPr>
            <w:tcW w:w="1072" w:type="dxa"/>
          </w:tcPr>
          <w:p w:rsidR="00981BDF" w:rsidRPr="00A17B9D" w:rsidRDefault="00A17B9D" w:rsidP="00D1356D">
            <w:pPr>
              <w:pStyle w:val="Tabletext"/>
              <w:rPr>
                <w:rFonts w:cs="Tahoma"/>
                <w:highlight w:val="black"/>
              </w:rPr>
            </w:pPr>
            <w:r>
              <w:rPr>
                <w:rFonts w:cs="Tahoma"/>
                <w:noProof/>
                <w:color w:val="000000"/>
                <w:highlight w:val="black"/>
              </w:rPr>
              <w:t>''''''''' '''''''''''''''''</w:t>
            </w:r>
          </w:p>
        </w:tc>
        <w:tc>
          <w:tcPr>
            <w:tcW w:w="992" w:type="dxa"/>
          </w:tcPr>
          <w:p w:rsidR="00981BDF" w:rsidRPr="00A17B9D" w:rsidRDefault="00A17B9D" w:rsidP="00D1356D">
            <w:pPr>
              <w:pStyle w:val="Tabletext"/>
              <w:rPr>
                <w:rFonts w:cs="Tahoma"/>
                <w:highlight w:val="black"/>
                <w:vertAlign w:val="superscript"/>
              </w:rPr>
            </w:pPr>
            <w:r>
              <w:rPr>
                <w:rFonts w:cs="Tahoma"/>
                <w:noProof/>
                <w:color w:val="000000"/>
                <w:highlight w:val="black"/>
              </w:rPr>
              <w:t>'''''''''''''''''''' '''</w:t>
            </w:r>
          </w:p>
        </w:tc>
        <w:tc>
          <w:tcPr>
            <w:tcW w:w="992" w:type="dxa"/>
          </w:tcPr>
          <w:p w:rsidR="00981BDF" w:rsidRPr="00A17B9D" w:rsidRDefault="00A17B9D" w:rsidP="00D1356D">
            <w:pPr>
              <w:pStyle w:val="Tabletext"/>
              <w:rPr>
                <w:rFonts w:cs="Tahoma"/>
                <w:highlight w:val="black"/>
              </w:rPr>
            </w:pPr>
            <w:r>
              <w:rPr>
                <w:rFonts w:cs="Tahoma"/>
                <w:noProof/>
                <w:color w:val="000000"/>
                <w:highlight w:val="black"/>
              </w:rPr>
              <w:t>''''''''' '''''''''''''''''</w:t>
            </w:r>
          </w:p>
        </w:tc>
        <w:tc>
          <w:tcPr>
            <w:tcW w:w="1276" w:type="dxa"/>
          </w:tcPr>
          <w:p w:rsidR="00981BDF" w:rsidRPr="00A17B9D" w:rsidRDefault="00A17B9D" w:rsidP="00D1356D">
            <w:pPr>
              <w:pStyle w:val="Tabletext"/>
              <w:rPr>
                <w:rFonts w:cs="Tahoma"/>
                <w:highlight w:val="black"/>
              </w:rPr>
            </w:pPr>
            <w:r>
              <w:rPr>
                <w:rFonts w:cs="Tahoma"/>
                <w:noProof/>
                <w:color w:val="000000"/>
                <w:highlight w:val="black"/>
              </w:rPr>
              <w:t>'''''''''''''''' ''''''''''''''''''''''''''''</w:t>
            </w:r>
          </w:p>
        </w:tc>
        <w:tc>
          <w:tcPr>
            <w:tcW w:w="1417" w:type="dxa"/>
          </w:tcPr>
          <w:p w:rsidR="00981BDF" w:rsidRPr="00A17B9D" w:rsidRDefault="00A17B9D" w:rsidP="00D1356D">
            <w:pPr>
              <w:pStyle w:val="Tabletext"/>
              <w:rPr>
                <w:rFonts w:cs="Tahoma"/>
                <w:highlight w:val="black"/>
              </w:rPr>
            </w:pPr>
            <w:r>
              <w:rPr>
                <w:rFonts w:cs="Tahoma"/>
                <w:noProof/>
                <w:color w:val="000000"/>
                <w:highlight w:val="black"/>
              </w:rPr>
              <w:t>'''''' ''''''''''''''''' '''''''''''''</w:t>
            </w:r>
          </w:p>
        </w:tc>
        <w:tc>
          <w:tcPr>
            <w:tcW w:w="1134" w:type="dxa"/>
          </w:tcPr>
          <w:p w:rsidR="00981BDF" w:rsidRPr="00A17B9D" w:rsidRDefault="00A17B9D" w:rsidP="00D1356D">
            <w:pPr>
              <w:pStyle w:val="Tabletext"/>
              <w:rPr>
                <w:rFonts w:cs="Tahoma"/>
                <w:highlight w:val="black"/>
              </w:rPr>
            </w:pPr>
            <w:r>
              <w:rPr>
                <w:noProof/>
                <w:color w:val="000000"/>
                <w:highlight w:val="black"/>
              </w:rPr>
              <w:t>'''''' ''''''''''''''''''''' '''''''''''''''</w:t>
            </w:r>
          </w:p>
        </w:tc>
        <w:tc>
          <w:tcPr>
            <w:tcW w:w="993" w:type="dxa"/>
          </w:tcPr>
          <w:p w:rsidR="00981BDF" w:rsidRPr="00A17B9D" w:rsidRDefault="00A17B9D" w:rsidP="00D1356D">
            <w:pPr>
              <w:pStyle w:val="Tabletext"/>
              <w:rPr>
                <w:rFonts w:cs="Tahoma"/>
                <w:highlight w:val="black"/>
              </w:rPr>
            </w:pPr>
            <w:r>
              <w:rPr>
                <w:rFonts w:cs="Tahoma"/>
                <w:noProof/>
                <w:color w:val="000000"/>
                <w:highlight w:val="black"/>
              </w:rPr>
              <w:t>''</w:t>
            </w:r>
          </w:p>
        </w:tc>
        <w:tc>
          <w:tcPr>
            <w:tcW w:w="2188" w:type="dxa"/>
          </w:tcPr>
          <w:p w:rsidR="00981BDF" w:rsidRPr="00A17B9D" w:rsidRDefault="00A17B9D" w:rsidP="00D1356D">
            <w:pPr>
              <w:pStyle w:val="Tabletext"/>
              <w:rPr>
                <w:rFonts w:cs="Tahoma"/>
                <w:highlight w:val="black"/>
              </w:rPr>
            </w:pPr>
            <w:r>
              <w:rPr>
                <w:rFonts w:cs="Tahoma"/>
                <w:noProof/>
                <w:color w:val="000000"/>
                <w:highlight w:val="black"/>
              </w:rPr>
              <w:t>'''''''' ''''''''''' ''''' '''''''''''''''</w:t>
            </w:r>
            <w:r>
              <w:rPr>
                <w:rFonts w:cs="Tahoma"/>
                <w:noProof/>
                <w:color w:val="000000"/>
                <w:highlight w:val="black"/>
              </w:rPr>
              <w:br/>
              <w:t>'''''''''''''' ''''' ''''''''''''''''' ''''' '''''''''''' ''''' '''''''''''''''''</w:t>
            </w:r>
          </w:p>
        </w:tc>
        <w:tc>
          <w:tcPr>
            <w:tcW w:w="1214" w:type="dxa"/>
          </w:tcPr>
          <w:p w:rsidR="00981BDF" w:rsidRPr="00A17B9D" w:rsidRDefault="00A17B9D" w:rsidP="00D1356D">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981BDF" w:rsidRPr="00A17B9D" w:rsidRDefault="00A17B9D" w:rsidP="00D1356D">
            <w:pPr>
              <w:pStyle w:val="Tabletext"/>
              <w:rPr>
                <w:rFonts w:eastAsia="Times New Roman" w:cs="Tahoma"/>
                <w:bCs/>
                <w:highlight w:val="black"/>
              </w:rPr>
            </w:pPr>
            <w:r>
              <w:rPr>
                <w:rFonts w:cs="Tahoma"/>
                <w:noProof/>
                <w:color w:val="000000"/>
                <w:highlight w:val="black"/>
              </w:rPr>
              <w:t>''''''''''''''''''''''</w:t>
            </w:r>
          </w:p>
        </w:tc>
      </w:tr>
      <w:tr w:rsidR="00981BDF" w:rsidRPr="00835775" w:rsidTr="00BE3319">
        <w:trPr>
          <w:trHeight w:val="319"/>
        </w:trPr>
        <w:tc>
          <w:tcPr>
            <w:tcW w:w="1493" w:type="dxa"/>
          </w:tcPr>
          <w:p w:rsidR="00981BDF" w:rsidRPr="00A17B9D" w:rsidRDefault="00A17B9D" w:rsidP="00D1356D">
            <w:pPr>
              <w:pStyle w:val="Tabletext"/>
              <w:rPr>
                <w:rFonts w:cs="Tahoma"/>
                <w:highlight w:val="black"/>
              </w:rPr>
            </w:pPr>
            <w:r>
              <w:rPr>
                <w:rFonts w:cs="Tahoma"/>
                <w:noProof/>
                <w:color w:val="000000"/>
                <w:highlight w:val="black"/>
              </w:rPr>
              <w:t xml:space="preserve">''''''''''''''''''''' ''''' ''''''''''' '''''''''' ''''''''''''''''''''' '''''''' ''''''''''''''''' </w:t>
            </w:r>
          </w:p>
        </w:tc>
        <w:tc>
          <w:tcPr>
            <w:tcW w:w="1054" w:type="dxa"/>
          </w:tcPr>
          <w:p w:rsidR="00981BDF" w:rsidRPr="00A17B9D" w:rsidRDefault="00A17B9D" w:rsidP="00D1356D">
            <w:pPr>
              <w:pStyle w:val="Tabletext"/>
              <w:rPr>
                <w:rFonts w:cs="Tahoma"/>
                <w:highlight w:val="black"/>
              </w:rPr>
            </w:pPr>
            <w:r>
              <w:rPr>
                <w:rFonts w:cs="Tahoma"/>
                <w:noProof/>
                <w:color w:val="000000"/>
                <w:highlight w:val="black"/>
              </w:rPr>
              <w:t>''' ''''''''''''</w:t>
            </w:r>
          </w:p>
        </w:tc>
        <w:tc>
          <w:tcPr>
            <w:tcW w:w="771" w:type="dxa"/>
          </w:tcPr>
          <w:p w:rsidR="00981BDF" w:rsidRPr="00A17B9D" w:rsidRDefault="00A17B9D" w:rsidP="00D1356D">
            <w:pPr>
              <w:pStyle w:val="Tabletext"/>
              <w:rPr>
                <w:rFonts w:cs="Tahoma"/>
                <w:highlight w:val="black"/>
              </w:rPr>
            </w:pPr>
            <w:r>
              <w:rPr>
                <w:rFonts w:cs="Tahoma"/>
                <w:noProof/>
                <w:color w:val="000000"/>
                <w:highlight w:val="black"/>
              </w:rPr>
              <w:t>'''''''' '''''''''''''''''''</w:t>
            </w:r>
          </w:p>
        </w:tc>
        <w:tc>
          <w:tcPr>
            <w:tcW w:w="1072" w:type="dxa"/>
          </w:tcPr>
          <w:p w:rsidR="00981BDF" w:rsidRPr="00A17B9D" w:rsidRDefault="00A17B9D" w:rsidP="00D1356D">
            <w:pPr>
              <w:pStyle w:val="Tabletext"/>
              <w:rPr>
                <w:rFonts w:cs="Tahoma"/>
                <w:highlight w:val="black"/>
              </w:rPr>
            </w:pPr>
            <w:r>
              <w:rPr>
                <w:rFonts w:cs="Tahoma"/>
                <w:noProof/>
                <w:color w:val="000000"/>
                <w:highlight w:val="black"/>
              </w:rPr>
              <w:t>''''''''' '''''''''''''''''</w:t>
            </w:r>
          </w:p>
        </w:tc>
        <w:tc>
          <w:tcPr>
            <w:tcW w:w="992" w:type="dxa"/>
          </w:tcPr>
          <w:p w:rsidR="00981BDF" w:rsidRPr="00A17B9D" w:rsidRDefault="00A17B9D" w:rsidP="00D1356D">
            <w:pPr>
              <w:pStyle w:val="Tabletext"/>
              <w:rPr>
                <w:rFonts w:cs="Tahoma"/>
                <w:highlight w:val="black"/>
              </w:rPr>
            </w:pPr>
            <w:r>
              <w:rPr>
                <w:rFonts w:cs="Tahoma"/>
                <w:noProof/>
                <w:color w:val="000000"/>
                <w:highlight w:val="black"/>
              </w:rPr>
              <w:t>'''''''' ''''''''''''''''''</w:t>
            </w:r>
          </w:p>
        </w:tc>
        <w:tc>
          <w:tcPr>
            <w:tcW w:w="992" w:type="dxa"/>
          </w:tcPr>
          <w:p w:rsidR="00981BDF" w:rsidRPr="00A17B9D" w:rsidRDefault="00A17B9D" w:rsidP="00D1356D">
            <w:pPr>
              <w:pStyle w:val="Tabletext"/>
              <w:rPr>
                <w:rFonts w:cs="Tahoma"/>
                <w:highlight w:val="black"/>
              </w:rPr>
            </w:pPr>
            <w:r>
              <w:rPr>
                <w:rFonts w:cs="Tahoma"/>
                <w:noProof/>
                <w:color w:val="000000"/>
                <w:highlight w:val="black"/>
              </w:rPr>
              <w:t>'''''''' ''''''''''''''''</w:t>
            </w:r>
          </w:p>
        </w:tc>
        <w:tc>
          <w:tcPr>
            <w:tcW w:w="1276" w:type="dxa"/>
          </w:tcPr>
          <w:p w:rsidR="00981BDF" w:rsidRPr="00A17B9D" w:rsidRDefault="00A17B9D" w:rsidP="00D1356D">
            <w:pPr>
              <w:pStyle w:val="Tabletext"/>
              <w:rPr>
                <w:rFonts w:cs="Tahoma"/>
                <w:highlight w:val="black"/>
              </w:rPr>
            </w:pPr>
            <w:r>
              <w:rPr>
                <w:rFonts w:cs="Tahoma"/>
                <w:noProof/>
                <w:color w:val="000000"/>
                <w:highlight w:val="black"/>
              </w:rPr>
              <w:t>''''''''''''''' ''''''''''''''''''''''''</w:t>
            </w:r>
          </w:p>
          <w:p w:rsidR="00981BDF" w:rsidRPr="00A17B9D" w:rsidRDefault="00A17B9D" w:rsidP="00D1356D">
            <w:pPr>
              <w:pStyle w:val="Tabletext"/>
              <w:rPr>
                <w:rFonts w:cs="Tahoma"/>
                <w:highlight w:val="black"/>
              </w:rPr>
            </w:pPr>
            <w:r>
              <w:rPr>
                <w:rFonts w:cs="Tahoma"/>
                <w:noProof/>
                <w:color w:val="000000"/>
                <w:highlight w:val="black"/>
              </w:rPr>
              <w:t>''''''''''''''</w:t>
            </w:r>
          </w:p>
        </w:tc>
        <w:tc>
          <w:tcPr>
            <w:tcW w:w="1417" w:type="dxa"/>
          </w:tcPr>
          <w:p w:rsidR="00981BDF" w:rsidRPr="00A17B9D" w:rsidRDefault="00A17B9D" w:rsidP="00D1356D">
            <w:pPr>
              <w:pStyle w:val="Tabletext"/>
              <w:rPr>
                <w:rFonts w:cs="Tahoma"/>
                <w:highlight w:val="black"/>
              </w:rPr>
            </w:pPr>
            <w:r>
              <w:rPr>
                <w:rFonts w:cs="Tahoma"/>
                <w:noProof/>
                <w:color w:val="000000"/>
                <w:highlight w:val="black"/>
              </w:rPr>
              <w:t>'''''' ''''''''''''''''''''' ''''''''''''''''</w:t>
            </w:r>
          </w:p>
        </w:tc>
        <w:tc>
          <w:tcPr>
            <w:tcW w:w="1134" w:type="dxa"/>
          </w:tcPr>
          <w:p w:rsidR="00981BDF" w:rsidRPr="00A17B9D" w:rsidRDefault="00A17B9D" w:rsidP="00D1356D">
            <w:pPr>
              <w:pStyle w:val="Tabletext"/>
              <w:rPr>
                <w:rFonts w:cs="Tahoma"/>
                <w:highlight w:val="black"/>
              </w:rPr>
            </w:pPr>
            <w:r>
              <w:rPr>
                <w:noProof/>
                <w:color w:val="000000"/>
                <w:highlight w:val="black"/>
              </w:rPr>
              <w:t>'''''' ''''''''''''''''' ''''''''''''''''</w:t>
            </w:r>
          </w:p>
        </w:tc>
        <w:tc>
          <w:tcPr>
            <w:tcW w:w="993" w:type="dxa"/>
          </w:tcPr>
          <w:p w:rsidR="00981BDF" w:rsidRPr="00A17B9D" w:rsidRDefault="00A17B9D" w:rsidP="00D1356D">
            <w:pPr>
              <w:pStyle w:val="Tabletext"/>
              <w:rPr>
                <w:rFonts w:cs="Tahoma"/>
                <w:highlight w:val="black"/>
              </w:rPr>
            </w:pPr>
            <w:r>
              <w:rPr>
                <w:rFonts w:cs="Tahoma"/>
                <w:noProof/>
                <w:color w:val="000000"/>
                <w:highlight w:val="black"/>
              </w:rPr>
              <w:t>'''</w:t>
            </w:r>
          </w:p>
        </w:tc>
        <w:tc>
          <w:tcPr>
            <w:tcW w:w="2188" w:type="dxa"/>
          </w:tcPr>
          <w:p w:rsidR="00981BDF" w:rsidRPr="00A17B9D" w:rsidRDefault="00A17B9D" w:rsidP="00D1356D">
            <w:pPr>
              <w:pStyle w:val="Tabletext"/>
              <w:rPr>
                <w:rFonts w:cs="Tahoma"/>
                <w:highlight w:val="black"/>
              </w:rPr>
            </w:pPr>
            <w:r>
              <w:rPr>
                <w:rFonts w:cs="Tahoma"/>
                <w:noProof/>
                <w:color w:val="000000"/>
                <w:highlight w:val="black"/>
              </w:rPr>
              <w:t>''''''''''''''''''''</w:t>
            </w:r>
            <w:r>
              <w:rPr>
                <w:rFonts w:cs="Tahoma"/>
                <w:noProof/>
                <w:color w:val="000000"/>
                <w:highlight w:val="black"/>
              </w:rPr>
              <w:br/>
              <w:t>''''''''' '''''''''''' ''''''''''' '''''''''''''''''''''''''''''''</w:t>
            </w:r>
          </w:p>
          <w:p w:rsidR="00981BDF" w:rsidRPr="00A17B9D" w:rsidRDefault="00A17B9D" w:rsidP="00D1356D">
            <w:pPr>
              <w:pStyle w:val="Tabletext"/>
              <w:rPr>
                <w:rFonts w:cs="Tahoma"/>
                <w:highlight w:val="black"/>
              </w:rPr>
            </w:pPr>
            <w:r>
              <w:rPr>
                <w:rFonts w:cs="Tahoma"/>
                <w:noProof/>
                <w:color w:val="000000"/>
                <w:highlight w:val="black"/>
              </w:rPr>
              <w:t>''''''''''''</w:t>
            </w:r>
            <w:r>
              <w:rPr>
                <w:rFonts w:cs="Tahoma"/>
                <w:noProof/>
                <w:color w:val="000000"/>
                <w:highlight w:val="black"/>
              </w:rPr>
              <w:br/>
              <w:t>'''''''' '''''''''' ''''''''''''' '''''''''''''''''''''''''''''''''</w:t>
            </w:r>
          </w:p>
        </w:tc>
        <w:tc>
          <w:tcPr>
            <w:tcW w:w="1214" w:type="dxa"/>
          </w:tcPr>
          <w:p w:rsidR="00981BDF" w:rsidRPr="00A17B9D" w:rsidRDefault="00A17B9D" w:rsidP="00D1356D">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981BDF" w:rsidRPr="00A17B9D" w:rsidRDefault="00A17B9D" w:rsidP="00D1356D">
            <w:pPr>
              <w:pStyle w:val="Tabletext"/>
              <w:rPr>
                <w:rFonts w:eastAsia="Times New Roman" w:cs="Tahoma"/>
                <w:bCs/>
                <w:highlight w:val="black"/>
              </w:rPr>
            </w:pPr>
            <w:r>
              <w:rPr>
                <w:rFonts w:cs="Tahoma"/>
                <w:noProof/>
                <w:color w:val="000000"/>
                <w:highlight w:val="black"/>
              </w:rPr>
              <w:t>'''''''''''''''''''''''''</w:t>
            </w:r>
          </w:p>
        </w:tc>
      </w:tr>
      <w:tr w:rsidR="00CC3BA4" w:rsidRPr="00835775" w:rsidTr="00BE3319">
        <w:trPr>
          <w:trHeight w:val="319"/>
        </w:trPr>
        <w:tc>
          <w:tcPr>
            <w:tcW w:w="1493" w:type="dxa"/>
          </w:tcPr>
          <w:p w:rsidR="00CC3BA4" w:rsidRPr="00A17B9D" w:rsidRDefault="00A17B9D" w:rsidP="00D1356D">
            <w:pPr>
              <w:pStyle w:val="Tabletext"/>
              <w:rPr>
                <w:rFonts w:cs="Tahoma"/>
                <w:highlight w:val="black"/>
              </w:rPr>
            </w:pPr>
            <w:r>
              <w:rPr>
                <w:rFonts w:cs="Tahoma"/>
                <w:noProof/>
                <w:color w:val="000000"/>
                <w:highlight w:val="black"/>
              </w:rPr>
              <w:lastRenderedPageBreak/>
              <w:t>'''''''''''''''''''' ''''' ''''''''''''''''''''''''''''''''''''' ''''''''''''''''''''''''' ''''''''''' '''''''''''''''''''''</w:t>
            </w:r>
            <w:r>
              <w:rPr>
                <w:rFonts w:cs="Tahoma"/>
                <w:noProof/>
                <w:color w:val="000000"/>
                <w:highlight w:val="black"/>
              </w:rPr>
              <w:br/>
              <w:t xml:space="preserve">'''''''' ''''''''''''''''' </w:t>
            </w:r>
          </w:p>
        </w:tc>
        <w:tc>
          <w:tcPr>
            <w:tcW w:w="1054"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771"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07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992" w:type="dxa"/>
          </w:tcPr>
          <w:p w:rsidR="00CC3BA4" w:rsidRPr="00A17B9D" w:rsidRDefault="00A17B9D" w:rsidP="00A76779">
            <w:pPr>
              <w:pStyle w:val="Tabletext"/>
              <w:rPr>
                <w:rFonts w:cs="Tahoma"/>
                <w:highlight w:val="black"/>
                <w:vertAlign w:val="superscript"/>
              </w:rPr>
            </w:pPr>
            <w:r>
              <w:rPr>
                <w:rFonts w:cs="Tahoma"/>
                <w:noProof/>
                <w:color w:val="000000"/>
                <w:highlight w:val="black"/>
              </w:rPr>
              <w:t>'''''''''' ''''''''''''''''''''''</w:t>
            </w:r>
          </w:p>
        </w:tc>
        <w:tc>
          <w:tcPr>
            <w:tcW w:w="992"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276" w:type="dxa"/>
          </w:tcPr>
          <w:p w:rsidR="00CC3BA4" w:rsidRPr="00A17B9D" w:rsidRDefault="00A17B9D" w:rsidP="00D1356D">
            <w:pPr>
              <w:pStyle w:val="Tabletext"/>
              <w:rPr>
                <w:rFonts w:cs="Tahoma"/>
                <w:highlight w:val="black"/>
              </w:rPr>
            </w:pPr>
            <w:r>
              <w:rPr>
                <w:rFonts w:cs="Tahoma"/>
                <w:noProof/>
                <w:color w:val="000000"/>
                <w:highlight w:val="black"/>
              </w:rPr>
              <w:t>'''''''''''''''' '''''''''''''''''''''''''</w:t>
            </w:r>
          </w:p>
        </w:tc>
        <w:tc>
          <w:tcPr>
            <w:tcW w:w="1417" w:type="dxa"/>
          </w:tcPr>
          <w:p w:rsidR="00CC3BA4" w:rsidRPr="00A17B9D" w:rsidRDefault="00A17B9D" w:rsidP="00D1356D">
            <w:pPr>
              <w:pStyle w:val="Tabletext"/>
              <w:rPr>
                <w:rFonts w:eastAsia="Times New Roman"/>
                <w:highlight w:val="black"/>
              </w:rPr>
            </w:pPr>
            <w:r>
              <w:rPr>
                <w:rFonts w:eastAsia="Times New Roman"/>
                <w:noProof/>
                <w:color w:val="000000"/>
                <w:highlight w:val="black"/>
              </w:rPr>
              <w:t>''''''' '''''''''''''''''' ''''''''''''''</w:t>
            </w:r>
          </w:p>
        </w:tc>
        <w:tc>
          <w:tcPr>
            <w:tcW w:w="1134" w:type="dxa"/>
          </w:tcPr>
          <w:p w:rsidR="00CC3BA4" w:rsidRPr="00A17B9D" w:rsidRDefault="00A17B9D" w:rsidP="00D1356D">
            <w:pPr>
              <w:pStyle w:val="Tabletext"/>
              <w:rPr>
                <w:rFonts w:cs="Tahoma"/>
                <w:highlight w:val="black"/>
              </w:rPr>
            </w:pPr>
            <w:r>
              <w:rPr>
                <w:rFonts w:cs="Tahoma"/>
                <w:noProof/>
                <w:color w:val="000000"/>
                <w:highlight w:val="black"/>
              </w:rPr>
              <w:t>'''''' ''''''''''''''''' '''''''''''''</w:t>
            </w:r>
          </w:p>
        </w:tc>
        <w:tc>
          <w:tcPr>
            <w:tcW w:w="993" w:type="dxa"/>
          </w:tcPr>
          <w:p w:rsidR="00CC3BA4" w:rsidRPr="00A17B9D" w:rsidRDefault="00A17B9D" w:rsidP="00D1356D">
            <w:pPr>
              <w:pStyle w:val="Tabletext"/>
              <w:rPr>
                <w:rFonts w:cs="Tahoma"/>
                <w:highlight w:val="black"/>
              </w:rPr>
            </w:pPr>
            <w:r>
              <w:rPr>
                <w:rFonts w:cs="Tahoma"/>
                <w:noProof/>
                <w:color w:val="000000"/>
                <w:highlight w:val="black"/>
              </w:rPr>
              <w:t>''</w:t>
            </w:r>
          </w:p>
        </w:tc>
        <w:tc>
          <w:tcPr>
            <w:tcW w:w="2188" w:type="dxa"/>
          </w:tcPr>
          <w:p w:rsidR="00CC3BA4" w:rsidRPr="00A17B9D" w:rsidRDefault="00A17B9D" w:rsidP="00D1356D">
            <w:pPr>
              <w:pStyle w:val="Tabletext"/>
              <w:rPr>
                <w:rFonts w:cs="Tahoma"/>
                <w:highlight w:val="black"/>
              </w:rPr>
            </w:pPr>
            <w:r>
              <w:rPr>
                <w:rFonts w:cs="Tahoma"/>
                <w:noProof/>
                <w:color w:val="000000"/>
                <w:highlight w:val="black"/>
              </w:rPr>
              <w:t>'''''''''''</w:t>
            </w:r>
            <w:r>
              <w:rPr>
                <w:rFonts w:cs="Tahoma"/>
                <w:noProof/>
                <w:color w:val="000000"/>
                <w:highlight w:val="black"/>
              </w:rPr>
              <w:br/>
              <w:t>''''''''' '''''''''''''''' '''''''''''''''''''''''''''''''''</w:t>
            </w:r>
          </w:p>
        </w:tc>
        <w:tc>
          <w:tcPr>
            <w:tcW w:w="1214" w:type="dxa"/>
          </w:tcPr>
          <w:p w:rsidR="00CC3BA4" w:rsidRPr="00A17B9D" w:rsidRDefault="00A17B9D" w:rsidP="00D1356D">
            <w:pPr>
              <w:pStyle w:val="Tabletext"/>
              <w:rPr>
                <w:rFonts w:ascii="Cambria Math" w:eastAsia="Times New Roman" w:hAnsi="Cambria Math" w:cs="Cambria Math"/>
                <w:bCs/>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A17B9D" w:rsidRDefault="00A17B9D" w:rsidP="00D1356D">
            <w:pPr>
              <w:pStyle w:val="Tabletext"/>
              <w:rPr>
                <w:rFonts w:eastAsia="Times New Roman" w:cs="Tahoma"/>
                <w:bCs/>
                <w:highlight w:val="black"/>
              </w:rPr>
            </w:pPr>
            <w:r>
              <w:rPr>
                <w:rFonts w:cs="Tahoma"/>
                <w:noProof/>
                <w:color w:val="000000"/>
                <w:highlight w:val="black"/>
              </w:rPr>
              <w:t>'''''''' '''''''''''''''''''''</w:t>
            </w:r>
          </w:p>
        </w:tc>
      </w:tr>
    </w:tbl>
    <w:p w:rsidR="00CC3BA4" w:rsidRPr="00A17B9D" w:rsidRDefault="00A17B9D" w:rsidP="00D1356D">
      <w:pPr>
        <w:pStyle w:val="Tablenote"/>
        <w:rPr>
          <w:highlight w:val="black"/>
        </w:rPr>
      </w:pPr>
      <w:r>
        <w:rPr>
          <w:noProof/>
          <w:color w:val="000000"/>
          <w:highlight w:val="black"/>
          <w:vertAlign w:val="superscript"/>
        </w:rPr>
        <w:t>''' '''''''''''''' '''''''''''''''''''''''''''''''''''' ''''''''''' ''''''' '''''''''''''''''''''''''' '''''''''' ''''''''' '''''''''''''' '''''''''</w:t>
      </w:r>
    </w:p>
    <w:p w:rsidR="00CC3BA4" w:rsidRPr="00A17B9D" w:rsidRDefault="00A17B9D" w:rsidP="00D1356D">
      <w:pPr>
        <w:pStyle w:val="Tablenote"/>
        <w:rPr>
          <w:highlight w:val="black"/>
        </w:rPr>
      </w:pPr>
      <w:r>
        <w:rPr>
          <w:noProof/>
          <w:color w:val="000000"/>
          <w:highlight w:val="black"/>
          <w:vertAlign w:val="superscript"/>
        </w:rPr>
        <w:t>''' ''''''''''''''''' '''''''''''''''''''''' ''''''''''''''''' '''''''''''''''' ''''' '''''''''''''''''''''''''</w:t>
      </w:r>
    </w:p>
    <w:p w:rsidR="00CC3BA4" w:rsidRPr="00A17B9D" w:rsidRDefault="00A17B9D" w:rsidP="00D1356D">
      <w:pPr>
        <w:pStyle w:val="Tablenote"/>
        <w:rPr>
          <w:highlight w:val="black"/>
        </w:rPr>
      </w:pPr>
      <w:r>
        <w:rPr>
          <w:noProof/>
          <w:color w:val="000000"/>
          <w:highlight w:val="black"/>
          <w:vertAlign w:val="superscript"/>
        </w:rPr>
        <w:t>''' '''''''''''' '''''''''''' ''''''''' '''''''' '''''''''''' '''</w:t>
      </w:r>
    </w:p>
    <w:p w:rsidR="004104D8" w:rsidRPr="00A17B9D" w:rsidRDefault="00A17B9D" w:rsidP="00D1356D">
      <w:pPr>
        <w:pStyle w:val="Tablenote"/>
        <w:rPr>
          <w:highlight w:val="black"/>
        </w:rPr>
      </w:pPr>
      <w:r>
        <w:rPr>
          <w:noProof/>
          <w:color w:val="000000"/>
          <w:highlight w:val="black"/>
          <w:vertAlign w:val="superscript"/>
        </w:rPr>
        <w:t>''' ''''''''''''''''''''' '''''''''''''''''''</w:t>
      </w:r>
    </w:p>
    <w:p w:rsidR="00A76779" w:rsidRPr="00A17B9D" w:rsidRDefault="00A17B9D" w:rsidP="00A76779">
      <w:pPr>
        <w:pStyle w:val="Tablenote"/>
        <w:rPr>
          <w:highlight w:val="black"/>
        </w:rPr>
      </w:pPr>
      <w:r>
        <w:rPr>
          <w:noProof/>
          <w:color w:val="000000"/>
          <w:highlight w:val="black"/>
          <w:vertAlign w:val="superscript"/>
        </w:rPr>
        <w:t>''' ''''''''''''''''' '''''''''''' ''''''''''''''''' '''''''''''' ''''''''''' ''''''''''''' ''''' '''''''''''' ''' '''''''''''''' '''''''''''' ''''''''''''''''''''''' ''''''''''''' ''''''''''''</w:t>
      </w:r>
    </w:p>
    <w:p w:rsidR="00A76779" w:rsidRPr="00A17B9D" w:rsidRDefault="00A17B9D" w:rsidP="00A76779">
      <w:pPr>
        <w:pStyle w:val="Tablenote"/>
        <w:rPr>
          <w:highlight w:val="black"/>
        </w:rPr>
      </w:pPr>
      <w:r>
        <w:rPr>
          <w:noProof/>
          <w:color w:val="000000"/>
          <w:highlight w:val="black"/>
          <w:vertAlign w:val="superscript"/>
        </w:rPr>
        <w:t>'' ''''''''''' '''''''''' ''''''''''''''' ''''''''''''' '''''''''' ''' '''' ''''''''''' '''' '''''''''''''' '''''''''''''' '''''''''''''''''''' '''''''''''''' ''''''''''''</w:t>
      </w:r>
    </w:p>
    <w:p w:rsidR="00CC3BA4" w:rsidRPr="00A17B9D" w:rsidRDefault="00A17B9D" w:rsidP="00D1356D">
      <w:pPr>
        <w:pStyle w:val="Tablenote"/>
      </w:pPr>
      <w:r>
        <w:rPr>
          <w:rFonts w:ascii="Cambria Math" w:hAnsi="Cambria Math" w:cs="Cambria Math"/>
          <w:noProof/>
          <w:color w:val="000000"/>
          <w:highlight w:val="black"/>
        </w:rPr>
        <w:t>''''''''''''''</w:t>
      </w:r>
      <w:r>
        <w:rPr>
          <w:noProof/>
          <w:color w:val="000000"/>
          <w:highlight w:val="black"/>
        </w:rPr>
        <w:t xml:space="preserve"> </w:t>
      </w:r>
      <w:r>
        <w:rPr>
          <w:b/>
          <w:noProof/>
          <w:color w:val="000000"/>
          <w:highlight w:val="black"/>
        </w:rPr>
        <w:t>'''''''''' '''''''''''''''</w:t>
      </w:r>
      <w:r>
        <w:rPr>
          <w:noProof/>
          <w:color w:val="000000"/>
          <w:highlight w:val="black"/>
        </w:rPr>
        <w:t xml:space="preserve"> '''''''' '''''''' ''''''''''' ''''''''''''''''''''' ''''''''' ''''''''' ''''''''' ''''''''''''' '''''''' '''''''''''' ''''' ''''''''' ''''' ''''''' ''''''''''''''''''' '''' ''''''''''''</w:t>
      </w:r>
    </w:p>
    <w:p w:rsidR="00CC3BA4" w:rsidRPr="00A17B9D" w:rsidRDefault="00A17B9D" w:rsidP="00D1356D">
      <w:pPr>
        <w:pStyle w:val="Tablenote"/>
      </w:pPr>
      <w:r>
        <w:rPr>
          <w:rFonts w:ascii="Cambria Math" w:hAnsi="Cambria Math" w:cs="Cambria Math"/>
          <w:noProof/>
          <w:color w:val="000000"/>
          <w:highlight w:val="black"/>
        </w:rPr>
        <w:t>''''''''''''''''</w:t>
      </w:r>
      <w:r>
        <w:rPr>
          <w:rFonts w:cs="Cambria Math"/>
          <w:noProof/>
          <w:color w:val="000000"/>
          <w:highlight w:val="black"/>
        </w:rPr>
        <w:t xml:space="preserve"> </w:t>
      </w:r>
      <w:r>
        <w:rPr>
          <w:b/>
          <w:noProof/>
          <w:color w:val="000000"/>
          <w:highlight w:val="black"/>
        </w:rPr>
        <w:t>''''''''''''''''''' ''''''''''''''</w:t>
      </w:r>
      <w:r>
        <w:rPr>
          <w:noProof/>
          <w:color w:val="000000"/>
          <w:highlight w:val="black"/>
        </w:rPr>
        <w:t xml:space="preserve"> '''''''' '''''''' ''''''''''''''''''''''''''' '''''''''''''''''''''' ''''' ''''''''' ''''''''''''' '''''''''''''''''''''''' '''''''''' ''''''''''' '''''''''''' ''' ''''''''''''' ''''' '''''' ''''''''''''' ''''' ''''''''' '''''''''''''''''''' '''' ''''''' '''''''''''''' ''''''' '''''''''''' ''''' ''' ''''''''''''''''''''''' ''''''''' ''' '''' '''''''''''''''''''''''''''''''' ''''''''''''''''''''</w:t>
      </w:r>
    </w:p>
    <w:p w:rsidR="00814438" w:rsidRPr="00A17B9D" w:rsidRDefault="00A17B9D" w:rsidP="00D1356D">
      <w:pPr>
        <w:pStyle w:val="Tablenote"/>
        <w:rPr>
          <w:highlight w:val="black"/>
        </w:rPr>
      </w:pPr>
      <w:r>
        <w:rPr>
          <w:noProof/>
          <w:color w:val="000000"/>
          <w:highlight w:val="black"/>
        </w:rPr>
        <w:t>'''''''''''''''' ''' ''''''''''''''''''''' '''''''''' '''''''''''''''''''' '''''''''' ''' ''''''''''''''''''' ''''''''' '''''''''''''''''''''''' '''''' ''' '''''''''''''''''''''''''''' '''''''''''''''''''' '''''''''''''' ''' '''''''''''''''''''' ''' ''''''''''''''''''''''''' ''''''''''' '''' '''''''''''''''''''''''''' '''''''''''''''''' ''''''''''''''''''''''''' '''''' '''' '''''''''''''''''''''''' ''''''''''''''' '''''''''''''''''' ''' ''''''''''''''''' ''''' ''''''''''''''''''''''''''''''''''''''' ''''''''''''''''''''''''''''' ''''''''''''''''''''''''''''' ''''''''' ''''''''''''''''''''''''''' '''''''''' '''' ''''''''''' '''''''''' '''''''''''''''''''''''' '''''''''''''''''''''''''''''''' ''''''''' '''' '''''''''''' ''''''''''''''''''''''' '''''''''''' '''' '''''''''''''''''''''''''' ''''''''''''''''' '''''''''''''''''''''''''''''''' '''''''''' '''' ''''''''''''''''''''''' ''''''''''''''''''''' '''''''''''''''''''''''''''' ''''''''' ''' ''''''''''''''' '''' '''''''' '''''''''''' '''' ''''''''''''''''''''''''' '''''''''''''''''''''' '''''''''''' '''''''' '''' ''''''''''''''''' ''''''''' ''''''''''' ''' ''''''''''''''''' ''''''''''''''''''''''' '''''''''''''''''' ''''''''''''''''''''''' '''''''''''''' '''' ''''''''''''''' ''''''''''''''' ''''''''''''''''''''''''''''</w:t>
      </w:r>
    </w:p>
    <w:p w:rsidR="00CC3BA4" w:rsidRPr="006632FB" w:rsidRDefault="00CC3BA4" w:rsidP="00BF48DF">
      <w:pPr>
        <w:pStyle w:val="Heading4"/>
      </w:pPr>
      <w:r>
        <w:t>sGC stimulator</w:t>
      </w:r>
      <w:r w:rsidRPr="006632FB">
        <w:t xml:space="preserve"> in addition to PDE-5</w:t>
      </w:r>
      <w:r>
        <w:t xml:space="preserve"> </w:t>
      </w:r>
      <w:r w:rsidRPr="006632FB">
        <w:t>i</w:t>
      </w:r>
      <w:r>
        <w:t>nhibitor</w:t>
      </w:r>
    </w:p>
    <w:p w:rsidR="00CC3BA4" w:rsidRPr="005D4CA0" w:rsidRDefault="00796F18" w:rsidP="00BC5A2B">
      <w:pPr>
        <w:pStyle w:val="Caption"/>
      </w:pPr>
      <w:bookmarkStart w:id="535" w:name="_Ref506477740"/>
      <w:bookmarkStart w:id="536" w:name="_Toc512855571"/>
      <w:r>
        <w:t>Table 4.</w:t>
      </w:r>
      <w:r w:rsidR="00AA722D">
        <w:rPr>
          <w:noProof/>
        </w:rPr>
        <w:t>167</w:t>
      </w:r>
      <w:bookmarkEnd w:id="535"/>
      <w:r>
        <w:tab/>
      </w:r>
      <w:r w:rsidR="00CC3BA4" w:rsidRPr="005D4CA0">
        <w:t xml:space="preserve">Evidence profile table for </w:t>
      </w:r>
      <w:r w:rsidR="00CC3BA4">
        <w:t xml:space="preserve">effectiveness of </w:t>
      </w:r>
      <w:r w:rsidR="00CC3BA4" w:rsidRPr="00471ED8">
        <w:t xml:space="preserve">sGC stimulator </w:t>
      </w:r>
      <w:r w:rsidR="00CC3BA4">
        <w:t xml:space="preserve">+ PDE-5 inhibitor combination therapy </w:t>
      </w:r>
      <w:r w:rsidR="00CC3BA4" w:rsidRPr="005D4CA0">
        <w:t xml:space="preserve">compared to </w:t>
      </w:r>
      <w:r w:rsidR="00CC3BA4">
        <w:t>PDE-5 inhibitor</w:t>
      </w:r>
      <w:r w:rsidR="00CC3BA4" w:rsidRPr="005D4CA0">
        <w:t xml:space="preserve"> </w:t>
      </w:r>
      <w:r w:rsidR="00CC3BA4">
        <w:t xml:space="preserve">monotherapy </w:t>
      </w:r>
      <w:r w:rsidR="00CC3BA4" w:rsidRPr="005D4CA0">
        <w:t xml:space="preserve">for </w:t>
      </w:r>
      <w:r w:rsidR="00CC3BA4">
        <w:t>all PAH patients</w:t>
      </w:r>
      <w:bookmarkEnd w:id="536"/>
    </w:p>
    <w:tbl>
      <w:tblPr>
        <w:tblStyle w:val="TableGrid"/>
        <w:tblW w:w="14738" w:type="dxa"/>
        <w:tblLayout w:type="fixed"/>
        <w:tblLook w:val="04A0" w:firstRow="1" w:lastRow="0" w:firstColumn="1" w:lastColumn="0" w:noHBand="0" w:noVBand="1"/>
        <w:tblCaption w:val="Evidence profile table for effectiveness of sGC stimulator + PDE-5 inhibitor combination therapy compared to PDE-5 inhibitor monotherapy for all PAH patients"/>
      </w:tblPr>
      <w:tblGrid>
        <w:gridCol w:w="1493"/>
        <w:gridCol w:w="1054"/>
        <w:gridCol w:w="771"/>
        <w:gridCol w:w="1072"/>
        <w:gridCol w:w="992"/>
        <w:gridCol w:w="1134"/>
        <w:gridCol w:w="1276"/>
        <w:gridCol w:w="1417"/>
        <w:gridCol w:w="1134"/>
        <w:gridCol w:w="993"/>
        <w:gridCol w:w="2188"/>
        <w:gridCol w:w="1214"/>
      </w:tblGrid>
      <w:tr w:rsidR="00D1356D" w:rsidRPr="00D1356D" w:rsidTr="00BE3319">
        <w:trPr>
          <w:cnfStyle w:val="100000000000" w:firstRow="1" w:lastRow="0" w:firstColumn="0" w:lastColumn="0" w:oddVBand="0" w:evenVBand="0" w:oddHBand="0" w:evenHBand="0" w:firstRowFirstColumn="0" w:firstRowLastColumn="0" w:lastRowFirstColumn="0" w:lastRowLastColumn="0"/>
          <w:trHeight w:val="657"/>
        </w:trPr>
        <w:tc>
          <w:tcPr>
            <w:tcW w:w="1493" w:type="dxa"/>
          </w:tcPr>
          <w:p w:rsidR="00476F09" w:rsidRPr="00D1356D" w:rsidRDefault="00476F09" w:rsidP="00D1356D">
            <w:pPr>
              <w:pStyle w:val="Tabletext"/>
              <w:rPr>
                <w:b/>
              </w:rPr>
            </w:pPr>
            <w:r w:rsidRPr="00D1356D">
              <w:rPr>
                <w:b/>
              </w:rPr>
              <w:t>Outcome (follow-up)</w:t>
            </w:r>
          </w:p>
        </w:tc>
        <w:tc>
          <w:tcPr>
            <w:tcW w:w="1054" w:type="dxa"/>
          </w:tcPr>
          <w:p w:rsidR="00476F09" w:rsidRPr="00D1356D" w:rsidRDefault="00476F09" w:rsidP="00D1356D">
            <w:pPr>
              <w:pStyle w:val="Tabletext"/>
              <w:rPr>
                <w:b/>
              </w:rPr>
            </w:pPr>
            <w:r w:rsidRPr="00D1356D">
              <w:rPr>
                <w:b/>
              </w:rPr>
              <w:t>No. of studies and study design</w:t>
            </w:r>
          </w:p>
        </w:tc>
        <w:tc>
          <w:tcPr>
            <w:tcW w:w="771" w:type="dxa"/>
          </w:tcPr>
          <w:p w:rsidR="00476F09" w:rsidRPr="00D1356D" w:rsidRDefault="00476F09" w:rsidP="00D1356D">
            <w:pPr>
              <w:pStyle w:val="Tabletext"/>
              <w:rPr>
                <w:b/>
              </w:rPr>
            </w:pPr>
            <w:r w:rsidRPr="00D1356D">
              <w:rPr>
                <w:b/>
              </w:rPr>
              <w:t>Risk of bias</w:t>
            </w:r>
          </w:p>
        </w:tc>
        <w:tc>
          <w:tcPr>
            <w:tcW w:w="1072" w:type="dxa"/>
          </w:tcPr>
          <w:p w:rsidR="00476F09" w:rsidRPr="00D1356D" w:rsidRDefault="00476F09" w:rsidP="00D1356D">
            <w:pPr>
              <w:pStyle w:val="Tabletext"/>
              <w:rPr>
                <w:b/>
              </w:rPr>
            </w:pPr>
            <w:r w:rsidRPr="00D1356D">
              <w:rPr>
                <w:b/>
              </w:rPr>
              <w:t>Inconsis</w:t>
            </w:r>
            <w:r w:rsidR="00BE3319">
              <w:rPr>
                <w:b/>
              </w:rPr>
              <w:t>-</w:t>
            </w:r>
            <w:r w:rsidRPr="00D1356D">
              <w:rPr>
                <w:b/>
              </w:rPr>
              <w:t>tency</w:t>
            </w:r>
          </w:p>
        </w:tc>
        <w:tc>
          <w:tcPr>
            <w:tcW w:w="992" w:type="dxa"/>
          </w:tcPr>
          <w:p w:rsidR="00476F09" w:rsidRPr="00D1356D" w:rsidRDefault="00476F09" w:rsidP="00D1356D">
            <w:pPr>
              <w:pStyle w:val="Tabletext"/>
              <w:rPr>
                <w:b/>
              </w:rPr>
            </w:pPr>
            <w:r w:rsidRPr="00D1356D">
              <w:rPr>
                <w:b/>
              </w:rPr>
              <w:t>Indirect</w:t>
            </w:r>
            <w:r w:rsidR="00BE3319">
              <w:rPr>
                <w:b/>
              </w:rPr>
              <w:t>-</w:t>
            </w:r>
            <w:r w:rsidRPr="00D1356D">
              <w:rPr>
                <w:b/>
              </w:rPr>
              <w:t>ness</w:t>
            </w:r>
          </w:p>
        </w:tc>
        <w:tc>
          <w:tcPr>
            <w:tcW w:w="1134" w:type="dxa"/>
          </w:tcPr>
          <w:p w:rsidR="00476F09" w:rsidRPr="00D1356D" w:rsidRDefault="00476F09" w:rsidP="00D1356D">
            <w:pPr>
              <w:pStyle w:val="Tabletext"/>
              <w:rPr>
                <w:b/>
              </w:rPr>
            </w:pPr>
            <w:r w:rsidRPr="00D1356D">
              <w:rPr>
                <w:b/>
              </w:rPr>
              <w:t>Impre</w:t>
            </w:r>
            <w:r w:rsidR="00BE3319">
              <w:rPr>
                <w:b/>
              </w:rPr>
              <w:t>-</w:t>
            </w:r>
            <w:r w:rsidRPr="00D1356D">
              <w:rPr>
                <w:b/>
              </w:rPr>
              <w:t>cision</w:t>
            </w:r>
          </w:p>
        </w:tc>
        <w:tc>
          <w:tcPr>
            <w:tcW w:w="1276" w:type="dxa"/>
          </w:tcPr>
          <w:p w:rsidR="00476F09" w:rsidRPr="00D1356D" w:rsidRDefault="00476F09" w:rsidP="00D1356D">
            <w:pPr>
              <w:pStyle w:val="Tabletext"/>
              <w:rPr>
                <w:b/>
              </w:rPr>
            </w:pPr>
            <w:r w:rsidRPr="00D1356D">
              <w:rPr>
                <w:b/>
              </w:rPr>
              <w:t>Other conside</w:t>
            </w:r>
            <w:r w:rsidR="00BE3319">
              <w:rPr>
                <w:b/>
              </w:rPr>
              <w:t>-</w:t>
            </w:r>
            <w:r w:rsidRPr="00D1356D">
              <w:rPr>
                <w:b/>
              </w:rPr>
              <w:t>rations</w:t>
            </w:r>
            <w:r w:rsidRPr="00D1356D">
              <w:rPr>
                <w:b/>
                <w:vertAlign w:val="superscript"/>
              </w:rPr>
              <w:t>a</w:t>
            </w:r>
          </w:p>
        </w:tc>
        <w:tc>
          <w:tcPr>
            <w:tcW w:w="1417" w:type="dxa"/>
          </w:tcPr>
          <w:p w:rsidR="00476F09" w:rsidRPr="00D1356D" w:rsidRDefault="00476F09" w:rsidP="00D1356D">
            <w:pPr>
              <w:pStyle w:val="Tabletext"/>
              <w:rPr>
                <w:b/>
              </w:rPr>
            </w:pPr>
            <w:r w:rsidRPr="00D1356D">
              <w:rPr>
                <w:b/>
              </w:rPr>
              <w:t>Study event rates (%) with sGC + PDE-5i</w:t>
            </w:r>
          </w:p>
        </w:tc>
        <w:tc>
          <w:tcPr>
            <w:tcW w:w="1134" w:type="dxa"/>
          </w:tcPr>
          <w:p w:rsidR="00476F09" w:rsidRPr="00D1356D" w:rsidRDefault="00476F09" w:rsidP="00D1356D">
            <w:pPr>
              <w:pStyle w:val="Tabletext"/>
              <w:rPr>
                <w:b/>
              </w:rPr>
            </w:pPr>
            <w:r w:rsidRPr="00D1356D">
              <w:rPr>
                <w:b/>
              </w:rPr>
              <w:t>Study event rates (%) with PDE-5i</w:t>
            </w:r>
          </w:p>
        </w:tc>
        <w:tc>
          <w:tcPr>
            <w:tcW w:w="993" w:type="dxa"/>
          </w:tcPr>
          <w:p w:rsidR="00476F09" w:rsidRPr="00D1356D" w:rsidRDefault="00476F09" w:rsidP="00D1356D">
            <w:pPr>
              <w:pStyle w:val="Tabletext"/>
              <w:rPr>
                <w:b/>
              </w:rPr>
            </w:pPr>
            <w:r w:rsidRPr="00D1356D">
              <w:rPr>
                <w:b/>
              </w:rPr>
              <w:t>Effect measure (95%CI)</w:t>
            </w:r>
          </w:p>
        </w:tc>
        <w:tc>
          <w:tcPr>
            <w:tcW w:w="2188" w:type="dxa"/>
          </w:tcPr>
          <w:p w:rsidR="00476F09" w:rsidRPr="00D1356D" w:rsidRDefault="00476F09" w:rsidP="00D1356D">
            <w:pPr>
              <w:pStyle w:val="Tabletext"/>
              <w:rPr>
                <w:b/>
              </w:rPr>
            </w:pPr>
            <w:r w:rsidRPr="00D1356D">
              <w:rPr>
                <w:b/>
              </w:rPr>
              <w:t>Absolute effect (95%CI)</w:t>
            </w:r>
          </w:p>
        </w:tc>
        <w:tc>
          <w:tcPr>
            <w:tcW w:w="1214" w:type="dxa"/>
          </w:tcPr>
          <w:p w:rsidR="00814438" w:rsidRDefault="00814438" w:rsidP="00D1356D">
            <w:pPr>
              <w:pStyle w:val="Tabletext"/>
              <w:rPr>
                <w:b/>
              </w:rPr>
            </w:pPr>
            <w:r>
              <w:rPr>
                <w:b/>
              </w:rPr>
              <w:t>GRADE</w:t>
            </w:r>
            <w:r w:rsidRPr="00814438">
              <w:rPr>
                <w:b/>
                <w:vertAlign w:val="superscript"/>
              </w:rPr>
              <w:t>b</w:t>
            </w:r>
          </w:p>
          <w:p w:rsidR="00476F09" w:rsidRPr="00D1356D" w:rsidRDefault="00476F09" w:rsidP="00D1356D">
            <w:pPr>
              <w:pStyle w:val="Tabletext"/>
              <w:rPr>
                <w:b/>
                <w:vertAlign w:val="superscript"/>
              </w:rPr>
            </w:pPr>
            <w:r w:rsidRPr="00D1356D">
              <w:rPr>
                <w:b/>
              </w:rPr>
              <w:t>Quality</w:t>
            </w:r>
          </w:p>
          <w:p w:rsidR="00476F09" w:rsidRPr="00D1356D" w:rsidRDefault="00476F09" w:rsidP="00D1356D">
            <w:pPr>
              <w:pStyle w:val="Tabletext"/>
              <w:rPr>
                <w:b/>
              </w:rPr>
            </w:pPr>
            <w:r w:rsidRPr="00D1356D">
              <w:rPr>
                <w:b/>
              </w:rPr>
              <w:t>Importance</w:t>
            </w:r>
          </w:p>
        </w:tc>
      </w:tr>
      <w:tr w:rsidR="00CC3BA4" w:rsidRPr="00D36FBC" w:rsidTr="00BE3319">
        <w:trPr>
          <w:trHeight w:val="319"/>
        </w:trPr>
        <w:tc>
          <w:tcPr>
            <w:tcW w:w="1493" w:type="dxa"/>
          </w:tcPr>
          <w:p w:rsidR="00CC3BA4" w:rsidRPr="00D36FBC" w:rsidRDefault="00CC3BA4" w:rsidP="00D1356D">
            <w:pPr>
              <w:pStyle w:val="Tabletext"/>
              <w:rPr>
                <w:rFonts w:cs="Tahoma"/>
              </w:rPr>
            </w:pPr>
            <w:r w:rsidRPr="00D36FBC">
              <w:rPr>
                <w:rFonts w:cs="Tahoma"/>
              </w:rPr>
              <w:t>Mortality</w:t>
            </w:r>
            <w:r>
              <w:rPr>
                <w:rFonts w:cs="Tahoma"/>
              </w:rPr>
              <w:br/>
            </w:r>
            <w:r w:rsidRPr="00D36FBC">
              <w:rPr>
                <w:rFonts w:cs="Tahoma"/>
              </w:rPr>
              <w:t>(12 weeks)</w:t>
            </w:r>
          </w:p>
        </w:tc>
        <w:tc>
          <w:tcPr>
            <w:tcW w:w="1054" w:type="dxa"/>
          </w:tcPr>
          <w:p w:rsidR="00CC3BA4" w:rsidRPr="00D36FBC" w:rsidRDefault="00CC3BA4" w:rsidP="00D1356D">
            <w:pPr>
              <w:pStyle w:val="Tabletext"/>
              <w:rPr>
                <w:rFonts w:cs="Tahoma"/>
              </w:rPr>
            </w:pPr>
            <w:r w:rsidRPr="00D36FBC">
              <w:rPr>
                <w:rFonts w:cs="Tahoma"/>
              </w:rPr>
              <w:t>1 RCT</w:t>
            </w:r>
          </w:p>
        </w:tc>
        <w:tc>
          <w:tcPr>
            <w:tcW w:w="771" w:type="dxa"/>
          </w:tcPr>
          <w:p w:rsidR="00CC3BA4" w:rsidRPr="00D36FBC" w:rsidRDefault="00CC3BA4" w:rsidP="00D1356D">
            <w:pPr>
              <w:pStyle w:val="Tabletext"/>
              <w:rPr>
                <w:rFonts w:cs="Tahoma"/>
              </w:rPr>
            </w:pPr>
            <w:r w:rsidRPr="00D36FBC">
              <w:rPr>
                <w:rFonts w:cs="Tahoma"/>
              </w:rPr>
              <w:t>Not serious</w:t>
            </w:r>
          </w:p>
        </w:tc>
        <w:tc>
          <w:tcPr>
            <w:tcW w:w="1072" w:type="dxa"/>
          </w:tcPr>
          <w:p w:rsidR="00CC3BA4" w:rsidRPr="00D36FBC" w:rsidRDefault="00CC3BA4" w:rsidP="00D1356D">
            <w:pPr>
              <w:pStyle w:val="Tabletext"/>
              <w:rPr>
                <w:rFonts w:cs="Tahoma"/>
              </w:rPr>
            </w:pPr>
            <w:r w:rsidRPr="00D36FBC">
              <w:rPr>
                <w:rFonts w:cs="Tahoma"/>
              </w:rPr>
              <w:t>Not serious</w:t>
            </w:r>
          </w:p>
        </w:tc>
        <w:tc>
          <w:tcPr>
            <w:tcW w:w="992" w:type="dxa"/>
          </w:tcPr>
          <w:p w:rsidR="00CC3BA4" w:rsidRPr="00D36FBC" w:rsidRDefault="00CC3BA4" w:rsidP="00D1356D">
            <w:pPr>
              <w:pStyle w:val="Tabletext"/>
              <w:rPr>
                <w:rFonts w:cs="Tahoma"/>
              </w:rPr>
            </w:pPr>
            <w:r w:rsidRPr="00D36FBC">
              <w:rPr>
                <w:rFonts w:cs="Tahoma"/>
              </w:rPr>
              <w:t>Not serious</w:t>
            </w:r>
          </w:p>
        </w:tc>
        <w:tc>
          <w:tcPr>
            <w:tcW w:w="1134" w:type="dxa"/>
          </w:tcPr>
          <w:p w:rsidR="00CC3BA4" w:rsidRPr="00A867D8" w:rsidRDefault="00E86FC8" w:rsidP="00A867D8">
            <w:pPr>
              <w:pStyle w:val="Tabletext"/>
              <w:rPr>
                <w:rFonts w:cs="Tahoma"/>
                <w:vertAlign w:val="superscript"/>
              </w:rPr>
            </w:pPr>
            <w:r>
              <w:rPr>
                <w:rFonts w:cs="Tahoma"/>
              </w:rPr>
              <w:t>Very s</w:t>
            </w:r>
            <w:r w:rsidR="00CC3BA4">
              <w:rPr>
                <w:rFonts w:cs="Tahoma"/>
              </w:rPr>
              <w:t>erious</w:t>
            </w:r>
            <w:r w:rsidR="00A867D8">
              <w:rPr>
                <w:rFonts w:cs="Tahoma"/>
              </w:rPr>
              <w:t xml:space="preserve"> </w:t>
            </w:r>
            <w:r w:rsidR="00A867D8">
              <w:rPr>
                <w:rFonts w:cs="Tahoma"/>
                <w:vertAlign w:val="superscript"/>
              </w:rPr>
              <w:t>c</w:t>
            </w:r>
          </w:p>
        </w:tc>
        <w:tc>
          <w:tcPr>
            <w:tcW w:w="1276" w:type="dxa"/>
          </w:tcPr>
          <w:p w:rsidR="00CC3BA4" w:rsidRPr="00D36FBC" w:rsidRDefault="00CC3BA4" w:rsidP="00D1356D">
            <w:pPr>
              <w:pStyle w:val="Tabletext"/>
              <w:rPr>
                <w:rFonts w:cs="Tahoma"/>
              </w:rPr>
            </w:pPr>
            <w:r w:rsidRPr="00D36FBC">
              <w:rPr>
                <w:rFonts w:cs="Tahoma"/>
              </w:rPr>
              <w:t>None</w:t>
            </w:r>
          </w:p>
        </w:tc>
        <w:tc>
          <w:tcPr>
            <w:tcW w:w="1417" w:type="dxa"/>
          </w:tcPr>
          <w:p w:rsidR="00CC3BA4" w:rsidRPr="00485061" w:rsidRDefault="00CC3BA4" w:rsidP="00D1356D">
            <w:pPr>
              <w:pStyle w:val="Tabletext"/>
              <w:rPr>
                <w:rFonts w:cs="Tahoma"/>
              </w:rPr>
            </w:pPr>
            <w:r>
              <w:rPr>
                <w:rFonts w:cs="Tahoma"/>
              </w:rPr>
              <w:t>0/12 (0.0%)</w:t>
            </w:r>
          </w:p>
        </w:tc>
        <w:tc>
          <w:tcPr>
            <w:tcW w:w="1134" w:type="dxa"/>
          </w:tcPr>
          <w:p w:rsidR="00CC3BA4" w:rsidRPr="001D2AD7" w:rsidRDefault="00CC3BA4" w:rsidP="00D1356D">
            <w:pPr>
              <w:pStyle w:val="Tabletext"/>
              <w:rPr>
                <w:rFonts w:cs="Tahoma"/>
                <w:highlight w:val="cyan"/>
              </w:rPr>
            </w:pPr>
            <w:r w:rsidRPr="00B72870">
              <w:rPr>
                <w:rFonts w:cs="Tahoma"/>
              </w:rPr>
              <w:t>0/6 (0.0%)</w:t>
            </w:r>
          </w:p>
        </w:tc>
        <w:tc>
          <w:tcPr>
            <w:tcW w:w="993" w:type="dxa"/>
          </w:tcPr>
          <w:p w:rsidR="00CC3BA4" w:rsidRPr="001D2AD7" w:rsidRDefault="00CC3BA4" w:rsidP="00D1356D">
            <w:pPr>
              <w:pStyle w:val="Tabletext"/>
              <w:rPr>
                <w:rFonts w:cs="Tahoma"/>
                <w:highlight w:val="cyan"/>
              </w:rPr>
            </w:pPr>
            <w:r w:rsidRPr="00B72870">
              <w:rPr>
                <w:rFonts w:cs="Tahoma"/>
              </w:rPr>
              <w:t>Not estimable</w:t>
            </w:r>
          </w:p>
        </w:tc>
        <w:tc>
          <w:tcPr>
            <w:tcW w:w="2188" w:type="dxa"/>
          </w:tcPr>
          <w:p w:rsidR="00CC3BA4" w:rsidRPr="00D36FBC" w:rsidRDefault="00CC3BA4" w:rsidP="00D1356D">
            <w:pPr>
              <w:pStyle w:val="Tabletext"/>
              <w:rPr>
                <w:rFonts w:cs="Tahoma"/>
                <w:highlight w:val="cyan"/>
              </w:rPr>
            </w:pPr>
            <w:r w:rsidRPr="00B72870">
              <w:rPr>
                <w:rFonts w:cs="Tahoma"/>
              </w:rPr>
              <w:t>No</w:t>
            </w:r>
            <w:r>
              <w:rPr>
                <w:rFonts w:cs="Tahoma"/>
              </w:rPr>
              <w:t>t</w:t>
            </w:r>
            <w:r w:rsidRPr="00B72870">
              <w:rPr>
                <w:rFonts w:cs="Tahoma"/>
              </w:rPr>
              <w:t xml:space="preserve"> estimable</w:t>
            </w:r>
          </w:p>
        </w:tc>
        <w:tc>
          <w:tcPr>
            <w:tcW w:w="1214" w:type="dxa"/>
          </w:tcPr>
          <w:p w:rsidR="00A867D8" w:rsidRDefault="00A867D8" w:rsidP="00A867D8">
            <w:pPr>
              <w:pStyle w:val="Tabletext"/>
              <w:rPr>
                <w:rFonts w:ascii="Cambria Math" w:eastAsia="Times New Roman" w:hAnsi="Cambria Math" w:cs="Cambria Math"/>
                <w:bCs/>
              </w:rPr>
            </w:pPr>
            <w:r>
              <w:rPr>
                <w:rFonts w:eastAsia="Times New Roman" w:cs="Tahoma"/>
                <w:bCs/>
              </w:rPr>
              <w:t>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D36FBC" w:rsidRDefault="00CC3BA4" w:rsidP="00D1356D">
            <w:pPr>
              <w:pStyle w:val="Tabletext"/>
              <w:rPr>
                <w:rFonts w:cs="Tahoma"/>
              </w:rPr>
            </w:pPr>
            <w:r w:rsidRPr="00E564DD">
              <w:rPr>
                <w:rFonts w:cs="Tahoma"/>
              </w:rPr>
              <w:t>Critical</w:t>
            </w:r>
          </w:p>
        </w:tc>
      </w:tr>
      <w:tr w:rsidR="00A867D8" w:rsidRPr="00D36FBC" w:rsidTr="00BE3319">
        <w:trPr>
          <w:trHeight w:val="319"/>
        </w:trPr>
        <w:tc>
          <w:tcPr>
            <w:tcW w:w="1493" w:type="dxa"/>
          </w:tcPr>
          <w:p w:rsidR="00A867D8" w:rsidRPr="00D36FBC" w:rsidRDefault="00A867D8" w:rsidP="00A867D8">
            <w:pPr>
              <w:pStyle w:val="Tabletext"/>
              <w:rPr>
                <w:rFonts w:cs="Tahoma"/>
              </w:rPr>
            </w:pPr>
            <w:r w:rsidRPr="00D36FBC">
              <w:rPr>
                <w:rFonts w:cs="Tahoma"/>
              </w:rPr>
              <w:lastRenderedPageBreak/>
              <w:t>Improved WHO FC</w:t>
            </w:r>
            <w:r>
              <w:rPr>
                <w:rFonts w:cs="Tahoma"/>
              </w:rPr>
              <w:br/>
            </w:r>
            <w:r w:rsidRPr="00D36FBC">
              <w:rPr>
                <w:rFonts w:cs="Tahoma"/>
              </w:rPr>
              <w:t>(12 weeks)</w:t>
            </w:r>
          </w:p>
        </w:tc>
        <w:tc>
          <w:tcPr>
            <w:tcW w:w="1054" w:type="dxa"/>
          </w:tcPr>
          <w:p w:rsidR="00A867D8" w:rsidRPr="00D36FBC" w:rsidRDefault="00A867D8" w:rsidP="00A867D8">
            <w:pPr>
              <w:pStyle w:val="Tabletext"/>
              <w:rPr>
                <w:rFonts w:cs="Tahoma"/>
              </w:rPr>
            </w:pPr>
            <w:r w:rsidRPr="00D36FBC">
              <w:rPr>
                <w:rFonts w:cs="Tahoma"/>
              </w:rPr>
              <w:t>1 RCT</w:t>
            </w:r>
          </w:p>
        </w:tc>
        <w:tc>
          <w:tcPr>
            <w:tcW w:w="771" w:type="dxa"/>
          </w:tcPr>
          <w:p w:rsidR="00A867D8" w:rsidRPr="00D36FBC" w:rsidRDefault="00A867D8" w:rsidP="00A867D8">
            <w:pPr>
              <w:pStyle w:val="Tabletext"/>
              <w:rPr>
                <w:rFonts w:cs="Tahoma"/>
              </w:rPr>
            </w:pPr>
            <w:r w:rsidRPr="00D36FBC">
              <w:rPr>
                <w:rFonts w:cs="Tahoma"/>
              </w:rPr>
              <w:t>Not serious</w:t>
            </w:r>
          </w:p>
        </w:tc>
        <w:tc>
          <w:tcPr>
            <w:tcW w:w="1072" w:type="dxa"/>
          </w:tcPr>
          <w:p w:rsidR="00A867D8" w:rsidRPr="00D36FBC" w:rsidRDefault="00A867D8" w:rsidP="00A867D8">
            <w:pPr>
              <w:pStyle w:val="Tabletext"/>
              <w:rPr>
                <w:rFonts w:cs="Tahoma"/>
              </w:rPr>
            </w:pPr>
            <w:r w:rsidRPr="00D36FBC">
              <w:rPr>
                <w:rFonts w:cs="Tahoma"/>
              </w:rPr>
              <w:t>Not serious</w:t>
            </w:r>
          </w:p>
        </w:tc>
        <w:tc>
          <w:tcPr>
            <w:tcW w:w="992" w:type="dxa"/>
          </w:tcPr>
          <w:p w:rsidR="00A867D8" w:rsidRPr="00D36FBC" w:rsidRDefault="00A867D8" w:rsidP="00A867D8">
            <w:pPr>
              <w:pStyle w:val="Tabletext"/>
              <w:rPr>
                <w:rFonts w:cs="Tahoma"/>
              </w:rPr>
            </w:pPr>
            <w:r w:rsidRPr="00D36FBC">
              <w:rPr>
                <w:rFonts w:cs="Tahoma"/>
              </w:rPr>
              <w:t>Not serious</w:t>
            </w:r>
          </w:p>
        </w:tc>
        <w:tc>
          <w:tcPr>
            <w:tcW w:w="1134" w:type="dxa"/>
          </w:tcPr>
          <w:p w:rsidR="00A867D8" w:rsidRPr="00A867D8" w:rsidRDefault="00A94116" w:rsidP="00A867D8">
            <w:pPr>
              <w:pStyle w:val="Tabletext"/>
              <w:rPr>
                <w:rFonts w:cs="Tahoma"/>
                <w:vertAlign w:val="superscript"/>
              </w:rPr>
            </w:pPr>
            <w:r>
              <w:rPr>
                <w:rFonts w:cs="Tahoma"/>
              </w:rPr>
              <w:t>Very serious</w:t>
            </w:r>
            <w:r w:rsidR="00A867D8">
              <w:rPr>
                <w:rFonts w:cs="Tahoma"/>
                <w:vertAlign w:val="superscript"/>
              </w:rPr>
              <w:t>c, d</w:t>
            </w:r>
          </w:p>
        </w:tc>
        <w:tc>
          <w:tcPr>
            <w:tcW w:w="1276" w:type="dxa"/>
          </w:tcPr>
          <w:p w:rsidR="00A867D8" w:rsidRPr="00D36FBC" w:rsidRDefault="00A867D8" w:rsidP="00A867D8">
            <w:pPr>
              <w:pStyle w:val="Tabletext"/>
              <w:rPr>
                <w:rFonts w:cs="Tahoma"/>
              </w:rPr>
            </w:pPr>
            <w:r w:rsidRPr="00D36FBC">
              <w:rPr>
                <w:rFonts w:cs="Tahoma"/>
              </w:rPr>
              <w:t>None</w:t>
            </w:r>
          </w:p>
        </w:tc>
        <w:tc>
          <w:tcPr>
            <w:tcW w:w="1417" w:type="dxa"/>
          </w:tcPr>
          <w:p w:rsidR="00A867D8" w:rsidRPr="00456F1B" w:rsidRDefault="00A867D8" w:rsidP="00A867D8">
            <w:pPr>
              <w:pStyle w:val="Tabletext"/>
              <w:rPr>
                <w:rFonts w:cs="Tahoma"/>
              </w:rPr>
            </w:pPr>
            <w:r>
              <w:rPr>
                <w:rFonts w:cs="Tahoma"/>
              </w:rPr>
              <w:t>2/12 (16.7%)</w:t>
            </w:r>
          </w:p>
        </w:tc>
        <w:tc>
          <w:tcPr>
            <w:tcW w:w="1134" w:type="dxa"/>
          </w:tcPr>
          <w:p w:rsidR="00A867D8" w:rsidRPr="00456F1B" w:rsidRDefault="00A867D8" w:rsidP="00A867D8">
            <w:pPr>
              <w:pStyle w:val="Tabletext"/>
              <w:rPr>
                <w:rFonts w:cs="Tahoma"/>
              </w:rPr>
            </w:pPr>
            <w:r w:rsidRPr="00485061">
              <w:rPr>
                <w:rFonts w:cs="Tahoma"/>
              </w:rPr>
              <w:t>2/6 (33.3%)</w:t>
            </w:r>
          </w:p>
        </w:tc>
        <w:tc>
          <w:tcPr>
            <w:tcW w:w="993" w:type="dxa"/>
          </w:tcPr>
          <w:p w:rsidR="00A867D8" w:rsidRPr="00456F1B" w:rsidRDefault="00A867D8" w:rsidP="00A867D8">
            <w:pPr>
              <w:pStyle w:val="Tabletext"/>
              <w:rPr>
                <w:rFonts w:cs="Tahoma"/>
              </w:rPr>
            </w:pPr>
            <w:r w:rsidRPr="00485061">
              <w:rPr>
                <w:rFonts w:cs="Tahoma"/>
              </w:rPr>
              <w:t xml:space="preserve">RR </w:t>
            </w:r>
            <w:r>
              <w:rPr>
                <w:rFonts w:cs="Tahoma"/>
              </w:rPr>
              <w:t xml:space="preserve">= </w:t>
            </w:r>
            <w:r w:rsidRPr="00485061">
              <w:rPr>
                <w:rFonts w:cs="Tahoma"/>
              </w:rPr>
              <w:t>0.50</w:t>
            </w:r>
            <w:r>
              <w:rPr>
                <w:rFonts w:cs="Tahoma"/>
              </w:rPr>
              <w:t xml:space="preserve"> </w:t>
            </w:r>
            <w:r w:rsidRPr="00485061">
              <w:rPr>
                <w:rFonts w:cs="Tahoma"/>
              </w:rPr>
              <w:t>(0.09</w:t>
            </w:r>
            <w:r>
              <w:rPr>
                <w:rFonts w:cs="Tahoma"/>
              </w:rPr>
              <w:t>, 2.73)</w:t>
            </w:r>
          </w:p>
        </w:tc>
        <w:tc>
          <w:tcPr>
            <w:tcW w:w="2188" w:type="dxa"/>
          </w:tcPr>
          <w:p w:rsidR="00A867D8" w:rsidRPr="00D36FBC" w:rsidRDefault="00A867D8" w:rsidP="00A867D8">
            <w:pPr>
              <w:pStyle w:val="Tabletext"/>
              <w:rPr>
                <w:rFonts w:cs="Tahoma"/>
              </w:rPr>
            </w:pPr>
            <w:r w:rsidRPr="00485061">
              <w:rPr>
                <w:rFonts w:cs="Tahoma"/>
              </w:rPr>
              <w:t>167 fewer per 1,000</w:t>
            </w:r>
            <w:r>
              <w:rPr>
                <w:rFonts w:cs="Tahoma"/>
              </w:rPr>
              <w:br/>
            </w:r>
            <w:r w:rsidRPr="00485061">
              <w:rPr>
                <w:rFonts w:cs="Tahoma"/>
              </w:rPr>
              <w:t>(from 303 fewer to 577 more)</w:t>
            </w:r>
          </w:p>
        </w:tc>
        <w:tc>
          <w:tcPr>
            <w:tcW w:w="1214" w:type="dxa"/>
          </w:tcPr>
          <w:p w:rsidR="00A867D8" w:rsidRDefault="00A867D8" w:rsidP="00A867D8">
            <w:pPr>
              <w:pStyle w:val="Tabletext"/>
              <w:rPr>
                <w:rFonts w:ascii="Cambria Math" w:eastAsia="Times New Roman" w:hAnsi="Cambria Math" w:cs="Cambria Math"/>
                <w:bCs/>
              </w:rPr>
            </w:pPr>
            <w:r>
              <w:rPr>
                <w:rFonts w:eastAsia="Times New Roman" w:cs="Tahoma"/>
                <w:bCs/>
              </w:rPr>
              <w:t>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A867D8" w:rsidRPr="00D36FBC" w:rsidRDefault="00A867D8" w:rsidP="00A867D8">
            <w:pPr>
              <w:pStyle w:val="Tabletext"/>
              <w:rPr>
                <w:rFonts w:eastAsia="Times New Roman" w:cs="Cambria Math"/>
                <w:bCs/>
                <w:color w:val="00B050"/>
              </w:rPr>
            </w:pPr>
            <w:r w:rsidRPr="00E564DD">
              <w:rPr>
                <w:rFonts w:cs="Tahoma"/>
              </w:rPr>
              <w:t>Important</w:t>
            </w:r>
          </w:p>
        </w:tc>
      </w:tr>
      <w:tr w:rsidR="00A867D8" w:rsidRPr="00D36FBC" w:rsidTr="00BE3319">
        <w:trPr>
          <w:trHeight w:val="319"/>
        </w:trPr>
        <w:tc>
          <w:tcPr>
            <w:tcW w:w="1493" w:type="dxa"/>
          </w:tcPr>
          <w:p w:rsidR="00A867D8" w:rsidRPr="00D36FBC" w:rsidRDefault="00A867D8" w:rsidP="00A867D8">
            <w:pPr>
              <w:pStyle w:val="Tabletext"/>
              <w:rPr>
                <w:rFonts w:cs="Tahoma"/>
              </w:rPr>
            </w:pPr>
            <w:r w:rsidRPr="00D36FBC">
              <w:rPr>
                <w:rFonts w:cs="Tahoma"/>
              </w:rPr>
              <w:t>Worsened WHO FC</w:t>
            </w:r>
            <w:r>
              <w:rPr>
                <w:rFonts w:cs="Tahoma"/>
              </w:rPr>
              <w:br/>
            </w:r>
            <w:r w:rsidRPr="00D36FBC">
              <w:rPr>
                <w:rFonts w:cs="Tahoma"/>
              </w:rPr>
              <w:t>(12 weeks)</w:t>
            </w:r>
          </w:p>
        </w:tc>
        <w:tc>
          <w:tcPr>
            <w:tcW w:w="1054" w:type="dxa"/>
          </w:tcPr>
          <w:p w:rsidR="00A867D8" w:rsidRPr="00D36FBC" w:rsidRDefault="00A867D8" w:rsidP="00A867D8">
            <w:pPr>
              <w:pStyle w:val="Tabletext"/>
              <w:rPr>
                <w:rFonts w:cs="Tahoma"/>
              </w:rPr>
            </w:pPr>
            <w:r w:rsidRPr="00D36FBC">
              <w:rPr>
                <w:rFonts w:cs="Tahoma"/>
              </w:rPr>
              <w:t>1 RCT</w:t>
            </w:r>
          </w:p>
        </w:tc>
        <w:tc>
          <w:tcPr>
            <w:tcW w:w="771" w:type="dxa"/>
          </w:tcPr>
          <w:p w:rsidR="00A867D8" w:rsidRPr="00D36FBC" w:rsidRDefault="00A867D8" w:rsidP="00A867D8">
            <w:pPr>
              <w:pStyle w:val="Tabletext"/>
              <w:rPr>
                <w:rFonts w:cs="Tahoma"/>
              </w:rPr>
            </w:pPr>
            <w:r w:rsidRPr="00D36FBC">
              <w:rPr>
                <w:rFonts w:cs="Tahoma"/>
              </w:rPr>
              <w:t>Not serious</w:t>
            </w:r>
          </w:p>
        </w:tc>
        <w:tc>
          <w:tcPr>
            <w:tcW w:w="1072" w:type="dxa"/>
          </w:tcPr>
          <w:p w:rsidR="00A867D8" w:rsidRPr="00D36FBC" w:rsidRDefault="00A867D8" w:rsidP="00A867D8">
            <w:pPr>
              <w:pStyle w:val="Tabletext"/>
              <w:rPr>
                <w:rFonts w:cs="Tahoma"/>
              </w:rPr>
            </w:pPr>
            <w:r w:rsidRPr="00D36FBC">
              <w:rPr>
                <w:rFonts w:cs="Tahoma"/>
              </w:rPr>
              <w:t>Not serious</w:t>
            </w:r>
          </w:p>
        </w:tc>
        <w:tc>
          <w:tcPr>
            <w:tcW w:w="992" w:type="dxa"/>
          </w:tcPr>
          <w:p w:rsidR="00A867D8" w:rsidRPr="00D36FBC" w:rsidRDefault="00A867D8" w:rsidP="00A867D8">
            <w:pPr>
              <w:pStyle w:val="Tabletext"/>
              <w:rPr>
                <w:rFonts w:cs="Tahoma"/>
              </w:rPr>
            </w:pPr>
            <w:r w:rsidRPr="00D36FBC">
              <w:rPr>
                <w:rFonts w:cs="Tahoma"/>
              </w:rPr>
              <w:t>Not serious</w:t>
            </w:r>
          </w:p>
        </w:tc>
        <w:tc>
          <w:tcPr>
            <w:tcW w:w="1134" w:type="dxa"/>
          </w:tcPr>
          <w:p w:rsidR="00A867D8" w:rsidRPr="00A867D8" w:rsidRDefault="00A867D8" w:rsidP="00A867D8">
            <w:pPr>
              <w:pStyle w:val="Tabletext"/>
              <w:rPr>
                <w:rFonts w:cs="Tahoma"/>
                <w:vertAlign w:val="superscript"/>
              </w:rPr>
            </w:pPr>
            <w:r>
              <w:rPr>
                <w:rFonts w:cs="Tahoma"/>
              </w:rPr>
              <w:t>Very serious</w:t>
            </w:r>
            <w:r>
              <w:rPr>
                <w:rFonts w:cs="Tahoma"/>
                <w:vertAlign w:val="superscript"/>
              </w:rPr>
              <w:t xml:space="preserve"> c</w:t>
            </w:r>
          </w:p>
        </w:tc>
        <w:tc>
          <w:tcPr>
            <w:tcW w:w="1276" w:type="dxa"/>
          </w:tcPr>
          <w:p w:rsidR="00A867D8" w:rsidRPr="00D36FBC" w:rsidRDefault="00A867D8" w:rsidP="00A867D8">
            <w:pPr>
              <w:pStyle w:val="Tabletext"/>
              <w:rPr>
                <w:rFonts w:cs="Tahoma"/>
              </w:rPr>
            </w:pPr>
            <w:r w:rsidRPr="00D36FBC">
              <w:rPr>
                <w:rFonts w:cs="Tahoma"/>
              </w:rPr>
              <w:t>None</w:t>
            </w:r>
          </w:p>
        </w:tc>
        <w:tc>
          <w:tcPr>
            <w:tcW w:w="1417" w:type="dxa"/>
          </w:tcPr>
          <w:p w:rsidR="00A867D8" w:rsidRPr="00456F1B" w:rsidRDefault="00A867D8" w:rsidP="00A867D8">
            <w:pPr>
              <w:pStyle w:val="Tabletext"/>
              <w:rPr>
                <w:rFonts w:cs="Tahoma"/>
              </w:rPr>
            </w:pPr>
            <w:r>
              <w:rPr>
                <w:rFonts w:cs="Tahoma"/>
              </w:rPr>
              <w:t>0/12 (0.0%)</w:t>
            </w:r>
          </w:p>
        </w:tc>
        <w:tc>
          <w:tcPr>
            <w:tcW w:w="1134" w:type="dxa"/>
          </w:tcPr>
          <w:p w:rsidR="00A867D8" w:rsidRPr="00456F1B" w:rsidRDefault="00A867D8" w:rsidP="00A867D8">
            <w:pPr>
              <w:pStyle w:val="Tabletext"/>
              <w:rPr>
                <w:rFonts w:cs="Tahoma"/>
              </w:rPr>
            </w:pPr>
            <w:r w:rsidRPr="00B72870">
              <w:rPr>
                <w:rFonts w:cs="Tahoma"/>
              </w:rPr>
              <w:t>0/6 (0.0%)</w:t>
            </w:r>
          </w:p>
        </w:tc>
        <w:tc>
          <w:tcPr>
            <w:tcW w:w="993" w:type="dxa"/>
          </w:tcPr>
          <w:p w:rsidR="00A867D8" w:rsidRPr="00456F1B" w:rsidRDefault="00A867D8" w:rsidP="00A867D8">
            <w:pPr>
              <w:pStyle w:val="Tabletext"/>
              <w:rPr>
                <w:rFonts w:cs="Tahoma"/>
              </w:rPr>
            </w:pPr>
            <w:r w:rsidRPr="00B72870">
              <w:rPr>
                <w:rFonts w:cs="Tahoma"/>
              </w:rPr>
              <w:t>Not estimable</w:t>
            </w:r>
          </w:p>
        </w:tc>
        <w:tc>
          <w:tcPr>
            <w:tcW w:w="2188" w:type="dxa"/>
          </w:tcPr>
          <w:p w:rsidR="00A867D8" w:rsidRPr="00D36FBC" w:rsidRDefault="00A867D8" w:rsidP="00A867D8">
            <w:pPr>
              <w:pStyle w:val="Tabletext"/>
              <w:rPr>
                <w:rFonts w:cs="Tahoma"/>
              </w:rPr>
            </w:pPr>
            <w:r w:rsidRPr="00B72870">
              <w:rPr>
                <w:rFonts w:cs="Tahoma"/>
              </w:rPr>
              <w:t>No</w:t>
            </w:r>
            <w:r>
              <w:rPr>
                <w:rFonts w:cs="Tahoma"/>
              </w:rPr>
              <w:t>t</w:t>
            </w:r>
            <w:r w:rsidRPr="00B72870">
              <w:rPr>
                <w:rFonts w:cs="Tahoma"/>
              </w:rPr>
              <w:t xml:space="preserve"> estimable</w:t>
            </w:r>
          </w:p>
        </w:tc>
        <w:tc>
          <w:tcPr>
            <w:tcW w:w="1214" w:type="dxa"/>
          </w:tcPr>
          <w:p w:rsidR="00A867D8" w:rsidRDefault="00A867D8" w:rsidP="00A867D8">
            <w:pPr>
              <w:pStyle w:val="Tabletext"/>
              <w:rPr>
                <w:rFonts w:ascii="Cambria Math" w:eastAsia="Times New Roman" w:hAnsi="Cambria Math" w:cs="Cambria Math"/>
                <w:bCs/>
              </w:rPr>
            </w:pPr>
            <w:r>
              <w:rPr>
                <w:rFonts w:eastAsia="Times New Roman" w:cs="Tahoma"/>
                <w:bCs/>
              </w:rPr>
              <w:t>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A867D8" w:rsidRPr="00D36FBC" w:rsidRDefault="00A867D8" w:rsidP="00A867D8">
            <w:pPr>
              <w:pStyle w:val="Tabletext"/>
              <w:rPr>
                <w:rFonts w:eastAsia="Times New Roman" w:cs="Cambria Math"/>
                <w:bCs/>
                <w:color w:val="00B050"/>
              </w:rPr>
            </w:pPr>
            <w:r>
              <w:rPr>
                <w:rFonts w:cs="Tahoma"/>
              </w:rPr>
              <w:t>I</w:t>
            </w:r>
            <w:r w:rsidRPr="00E564DD">
              <w:rPr>
                <w:rFonts w:cs="Tahoma"/>
              </w:rPr>
              <w:t>mportant</w:t>
            </w:r>
          </w:p>
        </w:tc>
      </w:tr>
      <w:tr w:rsidR="00A867D8" w:rsidRPr="00D36FBC" w:rsidTr="00BE3319">
        <w:trPr>
          <w:trHeight w:val="319"/>
        </w:trPr>
        <w:tc>
          <w:tcPr>
            <w:tcW w:w="1493" w:type="dxa"/>
          </w:tcPr>
          <w:p w:rsidR="00A867D8" w:rsidRPr="00D36FBC" w:rsidRDefault="00A867D8" w:rsidP="00A867D8">
            <w:pPr>
              <w:pStyle w:val="Tabletext"/>
              <w:rPr>
                <w:rFonts w:cs="Tahoma"/>
              </w:rPr>
            </w:pPr>
            <w:r w:rsidRPr="00D36FBC">
              <w:rPr>
                <w:rFonts w:cs="Tahoma"/>
              </w:rPr>
              <w:t>Change in 6MWD from baseline</w:t>
            </w:r>
            <w:r>
              <w:rPr>
                <w:rFonts w:cs="Tahoma"/>
              </w:rPr>
              <w:br/>
            </w:r>
            <w:r w:rsidRPr="00D36FBC">
              <w:rPr>
                <w:rFonts w:cs="Tahoma"/>
              </w:rPr>
              <w:t>(</w:t>
            </w:r>
            <w:r>
              <w:rPr>
                <w:rFonts w:cs="Tahoma"/>
              </w:rPr>
              <w:t>1</w:t>
            </w:r>
            <w:r w:rsidRPr="00D36FBC">
              <w:rPr>
                <w:rFonts w:cs="Tahoma"/>
              </w:rPr>
              <w:t xml:space="preserve">2 weeks) </w:t>
            </w:r>
          </w:p>
        </w:tc>
        <w:tc>
          <w:tcPr>
            <w:tcW w:w="1054" w:type="dxa"/>
          </w:tcPr>
          <w:p w:rsidR="00A867D8" w:rsidRPr="00D36FBC" w:rsidRDefault="00A867D8" w:rsidP="00A867D8">
            <w:pPr>
              <w:pStyle w:val="Tabletext"/>
              <w:rPr>
                <w:rFonts w:cs="Tahoma"/>
              </w:rPr>
            </w:pPr>
            <w:r w:rsidRPr="00D36FBC">
              <w:rPr>
                <w:rFonts w:cs="Tahoma"/>
              </w:rPr>
              <w:t>1 RCT</w:t>
            </w:r>
          </w:p>
        </w:tc>
        <w:tc>
          <w:tcPr>
            <w:tcW w:w="771" w:type="dxa"/>
          </w:tcPr>
          <w:p w:rsidR="00A867D8" w:rsidRPr="00D36FBC" w:rsidRDefault="00A867D8" w:rsidP="00A867D8">
            <w:pPr>
              <w:pStyle w:val="Tabletext"/>
              <w:rPr>
                <w:rFonts w:cs="Tahoma"/>
              </w:rPr>
            </w:pPr>
            <w:r w:rsidRPr="00D36FBC">
              <w:rPr>
                <w:rFonts w:cs="Tahoma"/>
              </w:rPr>
              <w:t>Not serious</w:t>
            </w:r>
          </w:p>
        </w:tc>
        <w:tc>
          <w:tcPr>
            <w:tcW w:w="1072" w:type="dxa"/>
          </w:tcPr>
          <w:p w:rsidR="00A867D8" w:rsidRPr="00D36FBC" w:rsidRDefault="00A867D8" w:rsidP="00A867D8">
            <w:pPr>
              <w:pStyle w:val="Tabletext"/>
              <w:rPr>
                <w:rFonts w:cs="Tahoma"/>
              </w:rPr>
            </w:pPr>
            <w:r w:rsidRPr="00D36FBC">
              <w:rPr>
                <w:rFonts w:cs="Tahoma"/>
              </w:rPr>
              <w:t>Not serious</w:t>
            </w:r>
          </w:p>
        </w:tc>
        <w:tc>
          <w:tcPr>
            <w:tcW w:w="992" w:type="dxa"/>
          </w:tcPr>
          <w:p w:rsidR="00A867D8" w:rsidRPr="00BE799B" w:rsidRDefault="00A867D8" w:rsidP="00A867D8">
            <w:pPr>
              <w:pStyle w:val="Tabletext"/>
              <w:rPr>
                <w:rFonts w:cs="Tahoma"/>
                <w:vertAlign w:val="superscript"/>
              </w:rPr>
            </w:pPr>
            <w:r>
              <w:rPr>
                <w:rFonts w:cs="Tahoma"/>
              </w:rPr>
              <w:t>S</w:t>
            </w:r>
            <w:r w:rsidRPr="00D36FBC">
              <w:rPr>
                <w:rFonts w:cs="Tahoma"/>
              </w:rPr>
              <w:t>erious</w:t>
            </w:r>
            <w:r>
              <w:rPr>
                <w:rFonts w:cs="Tahoma"/>
                <w:vertAlign w:val="superscript"/>
              </w:rPr>
              <w:t xml:space="preserve"> e</w:t>
            </w:r>
          </w:p>
        </w:tc>
        <w:tc>
          <w:tcPr>
            <w:tcW w:w="1134" w:type="dxa"/>
          </w:tcPr>
          <w:p w:rsidR="00A867D8" w:rsidRPr="00A867D8" w:rsidRDefault="00A867D8" w:rsidP="00A867D8">
            <w:pPr>
              <w:pStyle w:val="Tabletext"/>
              <w:rPr>
                <w:rFonts w:cs="Tahoma"/>
                <w:vertAlign w:val="superscript"/>
              </w:rPr>
            </w:pPr>
            <w:r>
              <w:rPr>
                <w:rFonts w:cs="Tahoma"/>
              </w:rPr>
              <w:t>Very serious</w:t>
            </w:r>
            <w:r>
              <w:rPr>
                <w:rFonts w:cs="Tahoma"/>
                <w:vertAlign w:val="superscript"/>
              </w:rPr>
              <w:t xml:space="preserve"> c</w:t>
            </w:r>
          </w:p>
        </w:tc>
        <w:tc>
          <w:tcPr>
            <w:tcW w:w="1276" w:type="dxa"/>
          </w:tcPr>
          <w:p w:rsidR="00A867D8" w:rsidRPr="00D36FBC" w:rsidRDefault="00A867D8" w:rsidP="00A867D8">
            <w:pPr>
              <w:pStyle w:val="Tabletext"/>
              <w:rPr>
                <w:rFonts w:cs="Tahoma"/>
              </w:rPr>
            </w:pPr>
            <w:r w:rsidRPr="00D36FBC">
              <w:rPr>
                <w:rFonts w:cs="Tahoma"/>
              </w:rPr>
              <w:t>None</w:t>
            </w:r>
          </w:p>
        </w:tc>
        <w:tc>
          <w:tcPr>
            <w:tcW w:w="1417" w:type="dxa"/>
          </w:tcPr>
          <w:p w:rsidR="00A867D8" w:rsidRPr="00456F1B" w:rsidRDefault="00A867D8" w:rsidP="00A867D8">
            <w:pPr>
              <w:pStyle w:val="Tabletext"/>
              <w:rPr>
                <w:rFonts w:cs="Tahoma"/>
              </w:rPr>
            </w:pPr>
            <w:r w:rsidRPr="00456F1B">
              <w:rPr>
                <w:rFonts w:eastAsia="Times New Roman"/>
              </w:rPr>
              <w:t>1</w:t>
            </w:r>
            <w:r>
              <w:rPr>
                <w:rFonts w:eastAsia="Times New Roman"/>
              </w:rPr>
              <w:t>2</w:t>
            </w:r>
            <w:r w:rsidRPr="00456F1B">
              <w:rPr>
                <w:rFonts w:eastAsia="Times New Roman"/>
              </w:rPr>
              <w:t xml:space="preserve"> patients tested</w:t>
            </w:r>
          </w:p>
        </w:tc>
        <w:tc>
          <w:tcPr>
            <w:tcW w:w="1134" w:type="dxa"/>
          </w:tcPr>
          <w:p w:rsidR="00A867D8" w:rsidRPr="00456F1B" w:rsidRDefault="00A867D8" w:rsidP="00A867D8">
            <w:pPr>
              <w:pStyle w:val="Tabletext"/>
              <w:rPr>
                <w:rFonts w:cs="Tahoma"/>
              </w:rPr>
            </w:pPr>
            <w:r w:rsidRPr="00456F1B">
              <w:rPr>
                <w:rStyle w:val="cell-value"/>
                <w:rFonts w:asciiTheme="minorHAnsi" w:eastAsia="Times New Roman" w:hAnsiTheme="minorHAnsi"/>
              </w:rPr>
              <w:t>6</w:t>
            </w:r>
            <w:r w:rsidRPr="00456F1B">
              <w:rPr>
                <w:rFonts w:eastAsia="Times New Roman"/>
              </w:rPr>
              <w:t xml:space="preserve"> patients tested</w:t>
            </w:r>
          </w:p>
        </w:tc>
        <w:tc>
          <w:tcPr>
            <w:tcW w:w="993" w:type="dxa"/>
          </w:tcPr>
          <w:p w:rsidR="00A867D8" w:rsidRPr="001D2AD7" w:rsidRDefault="00A867D8" w:rsidP="00A867D8">
            <w:pPr>
              <w:pStyle w:val="Tabletext"/>
              <w:rPr>
                <w:rFonts w:cs="Tahoma"/>
              </w:rPr>
            </w:pPr>
            <w:r>
              <w:rPr>
                <w:rFonts w:cs="Tahoma"/>
              </w:rPr>
              <w:t>-</w:t>
            </w:r>
          </w:p>
        </w:tc>
        <w:tc>
          <w:tcPr>
            <w:tcW w:w="2188" w:type="dxa"/>
          </w:tcPr>
          <w:p w:rsidR="00A867D8" w:rsidRPr="00D36FBC" w:rsidRDefault="00A867D8" w:rsidP="00A867D8">
            <w:pPr>
              <w:pStyle w:val="Tabletext"/>
              <w:rPr>
                <w:rFonts w:cs="Tahoma"/>
                <w:highlight w:val="cyan"/>
              </w:rPr>
            </w:pPr>
            <w:r>
              <w:rPr>
                <w:rFonts w:cs="Tahoma"/>
              </w:rPr>
              <w:t>MD 23 m less</w:t>
            </w:r>
          </w:p>
        </w:tc>
        <w:tc>
          <w:tcPr>
            <w:tcW w:w="1214" w:type="dxa"/>
          </w:tcPr>
          <w:p w:rsidR="00A867D8" w:rsidRDefault="00A867D8" w:rsidP="00A867D8">
            <w:pPr>
              <w:pStyle w:val="Tabletext"/>
              <w:rPr>
                <w:rFonts w:ascii="Cambria Math" w:eastAsia="Times New Roman" w:hAnsi="Cambria Math" w:cs="Cambria Math"/>
                <w:bCs/>
              </w:rPr>
            </w:pPr>
            <w:r>
              <w:rPr>
                <w:rFonts w:eastAsia="Times New Roman" w:cs="Tahoma"/>
                <w:bCs/>
              </w:rPr>
              <w:t>Very 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A867D8" w:rsidRPr="00D36FBC" w:rsidRDefault="00A867D8" w:rsidP="00A867D8">
            <w:pPr>
              <w:pStyle w:val="Tabletext"/>
              <w:rPr>
                <w:rFonts w:cs="Tahoma"/>
              </w:rPr>
            </w:pPr>
            <w:r>
              <w:rPr>
                <w:rFonts w:cs="Tahoma"/>
              </w:rPr>
              <w:t>I</w:t>
            </w:r>
            <w:r w:rsidRPr="00E564DD">
              <w:rPr>
                <w:rFonts w:cs="Tahoma"/>
              </w:rPr>
              <w:t>mportant</w:t>
            </w:r>
          </w:p>
        </w:tc>
      </w:tr>
    </w:tbl>
    <w:p w:rsidR="00CC3BA4" w:rsidRPr="00AA018C" w:rsidRDefault="00CC3BA4" w:rsidP="00D1356D">
      <w:pPr>
        <w:pStyle w:val="Tablenote"/>
      </w:pPr>
      <w:r w:rsidRPr="00E564DD">
        <w:rPr>
          <w:vertAlign w:val="superscript"/>
        </w:rPr>
        <w:t xml:space="preserve">a </w:t>
      </w:r>
      <w:r w:rsidRPr="00AA018C">
        <w:t>O</w:t>
      </w:r>
      <w:r>
        <w:t>ther considerations such as publication bias and effect size</w:t>
      </w:r>
    </w:p>
    <w:p w:rsidR="00CC3BA4" w:rsidRDefault="00CC3BA4" w:rsidP="00D1356D">
      <w:pPr>
        <w:pStyle w:val="Tablenote"/>
      </w:pPr>
      <w:r>
        <w:rPr>
          <w:vertAlign w:val="superscript"/>
        </w:rPr>
        <w:t xml:space="preserve">b </w:t>
      </w:r>
      <w:r w:rsidRPr="00E564DD">
        <w:t>GRADE W</w:t>
      </w:r>
      <w:r>
        <w:t>orking Group grades of evidence</w:t>
      </w:r>
      <w:r w:rsidR="001D34EE" w:rsidRPr="001D34EE">
        <w:rPr>
          <w:noProof/>
          <w:vertAlign w:val="superscript"/>
        </w:rPr>
        <w:t>1</w:t>
      </w:r>
    </w:p>
    <w:p w:rsidR="00A867D8" w:rsidRPr="00A867D8" w:rsidRDefault="00A867D8" w:rsidP="00D1356D">
      <w:pPr>
        <w:pStyle w:val="Tablenote"/>
      </w:pPr>
      <w:r>
        <w:rPr>
          <w:vertAlign w:val="superscript"/>
        </w:rPr>
        <w:t xml:space="preserve">c </w:t>
      </w:r>
      <w:r>
        <w:t>Small study size</w:t>
      </w:r>
    </w:p>
    <w:p w:rsidR="00CC3BA4" w:rsidRDefault="00A867D8" w:rsidP="00D1356D">
      <w:pPr>
        <w:pStyle w:val="Tablenote"/>
      </w:pPr>
      <w:r>
        <w:rPr>
          <w:vertAlign w:val="superscript"/>
        </w:rPr>
        <w:t>d</w:t>
      </w:r>
      <w:r w:rsidR="00CC3BA4" w:rsidRPr="00E564DD">
        <w:t xml:space="preserve"> </w:t>
      </w:r>
      <w:r w:rsidR="00CC3BA4">
        <w:t>Wide 95% CIs that span 1</w:t>
      </w:r>
    </w:p>
    <w:p w:rsidR="004104D8" w:rsidRPr="004104D8" w:rsidRDefault="00A867D8" w:rsidP="00D1356D">
      <w:pPr>
        <w:pStyle w:val="Tablenote"/>
      </w:pPr>
      <w:r>
        <w:rPr>
          <w:vertAlign w:val="superscript"/>
        </w:rPr>
        <w:t>e</w:t>
      </w:r>
      <w:r w:rsidR="004104D8">
        <w:rPr>
          <w:vertAlign w:val="superscript"/>
        </w:rPr>
        <w:t xml:space="preserve"> </w:t>
      </w:r>
      <w:r w:rsidR="004104D8">
        <w:t>Surrogate outcome</w:t>
      </w:r>
    </w:p>
    <w:p w:rsidR="00A867D8" w:rsidRPr="006316DF" w:rsidRDefault="00A867D8" w:rsidP="00A867D8">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A867D8" w:rsidRPr="00E564DD" w:rsidRDefault="00A867D8" w:rsidP="00A867D8">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Very low quality:</w:t>
      </w:r>
      <w:r w:rsidRPr="00E564DD">
        <w:t xml:space="preserve"> We have very little confidence in the effect estimate: The true effect is likely to be substantially different from the estimate of effect</w:t>
      </w:r>
    </w:p>
    <w:p w:rsidR="00814438" w:rsidRDefault="00CC3BA4" w:rsidP="00D1356D">
      <w:pPr>
        <w:pStyle w:val="Tablenote"/>
      </w:pPr>
      <w:r>
        <w:t xml:space="preserve">6MWD = 6-minute </w:t>
      </w:r>
      <w:r w:rsidR="0082368E">
        <w:t>walk distance</w:t>
      </w:r>
      <w:r>
        <w:t xml:space="preserve">; CI = confidence interval; FC = functional class; </w:t>
      </w:r>
      <w:r w:rsidR="00385E5A">
        <w:t>GRADE = grading of recommendations assessment, development and evaluation</w:t>
      </w:r>
      <w:r w:rsidR="001D34EE" w:rsidRPr="001D34EE">
        <w:rPr>
          <w:noProof/>
          <w:vertAlign w:val="superscript"/>
        </w:rPr>
        <w:t>1</w:t>
      </w:r>
      <w:r w:rsidR="00814438" w:rsidRPr="00F24B06">
        <w:t xml:space="preserve">; </w:t>
      </w:r>
      <w:r>
        <w:t xml:space="preserve">MD = mean difference; </w:t>
      </w:r>
      <w:r w:rsidRPr="00C65B42">
        <w:t xml:space="preserve">PAH = pulmonary arterial hypertension; </w:t>
      </w:r>
      <w:r w:rsidRPr="009B5AB3">
        <w:t>PDE-5</w:t>
      </w:r>
      <w:r w:rsidR="00814438">
        <w:t>i</w:t>
      </w:r>
      <w:r w:rsidRPr="009B5AB3">
        <w:t xml:space="preserve"> = phosphodiesterase type-5</w:t>
      </w:r>
      <w:r w:rsidR="00814438">
        <w:t xml:space="preserve"> inhibitor</w:t>
      </w:r>
      <w:r>
        <w:t>;</w:t>
      </w:r>
      <w:r w:rsidRPr="009B5AB3">
        <w:t xml:space="preserve"> </w:t>
      </w:r>
      <w:r>
        <w:t xml:space="preserve">RCT = randomised controlled trial; RR = relative risk; </w:t>
      </w:r>
      <w:r w:rsidRPr="006C6F7B">
        <w:t xml:space="preserve">sGC = soluble guanylate cyclase stimulator; </w:t>
      </w:r>
      <w:r>
        <w:t>WHO = World Health Organization</w:t>
      </w:r>
    </w:p>
    <w:p w:rsidR="00CC3BA4" w:rsidRPr="005D4CA0" w:rsidRDefault="00796F18" w:rsidP="00BC5A2B">
      <w:pPr>
        <w:pStyle w:val="Caption"/>
      </w:pPr>
      <w:bookmarkStart w:id="537" w:name="_Ref505869980"/>
      <w:bookmarkStart w:id="538" w:name="_Toc512855572"/>
      <w:r>
        <w:t>Table 4.</w:t>
      </w:r>
      <w:r w:rsidR="00AA722D">
        <w:rPr>
          <w:noProof/>
        </w:rPr>
        <w:t>168</w:t>
      </w:r>
      <w:bookmarkEnd w:id="537"/>
      <w:r>
        <w:tab/>
      </w:r>
      <w:r w:rsidR="00CC3BA4" w:rsidRPr="005D4CA0">
        <w:t xml:space="preserve">Evidence profile table for </w:t>
      </w:r>
      <w:r w:rsidR="00CC3BA4">
        <w:t xml:space="preserve">comparative safety of </w:t>
      </w:r>
      <w:r w:rsidR="00CC3BA4" w:rsidRPr="0045259F">
        <w:t xml:space="preserve">sGC stimulator + PDE-5 inhibitor combination therapy compared to PDE-5 inhibitor </w:t>
      </w:r>
      <w:r w:rsidR="00CC3BA4">
        <w:t xml:space="preserve">monotherapy </w:t>
      </w:r>
      <w:r w:rsidR="00CC3BA4" w:rsidRPr="005D4CA0">
        <w:t xml:space="preserve">for </w:t>
      </w:r>
      <w:r w:rsidR="00CC3BA4">
        <w:t>all PAH patients</w:t>
      </w:r>
      <w:bookmarkEnd w:id="538"/>
    </w:p>
    <w:tbl>
      <w:tblPr>
        <w:tblStyle w:val="TableGrid"/>
        <w:tblW w:w="14738" w:type="dxa"/>
        <w:tblLayout w:type="fixed"/>
        <w:tblLook w:val="04A0" w:firstRow="1" w:lastRow="0" w:firstColumn="1" w:lastColumn="0" w:noHBand="0" w:noVBand="1"/>
        <w:tblCaption w:val="Evidence profile table for comparative safety of sGC stimulator + PDE-5 inhibitor combination therapy compared to PDE-5 inhibitor monotherapy for all PAH patients"/>
      </w:tblPr>
      <w:tblGrid>
        <w:gridCol w:w="1493"/>
        <w:gridCol w:w="1054"/>
        <w:gridCol w:w="771"/>
        <w:gridCol w:w="1072"/>
        <w:gridCol w:w="992"/>
        <w:gridCol w:w="1134"/>
        <w:gridCol w:w="1276"/>
        <w:gridCol w:w="1417"/>
        <w:gridCol w:w="1134"/>
        <w:gridCol w:w="993"/>
        <w:gridCol w:w="2188"/>
        <w:gridCol w:w="1214"/>
      </w:tblGrid>
      <w:tr w:rsidR="00D1356D" w:rsidRPr="00D1356D" w:rsidTr="00BE3319">
        <w:trPr>
          <w:cnfStyle w:val="100000000000" w:firstRow="1" w:lastRow="0" w:firstColumn="0" w:lastColumn="0" w:oddVBand="0" w:evenVBand="0" w:oddHBand="0" w:evenHBand="0" w:firstRowFirstColumn="0" w:firstRowLastColumn="0" w:lastRowFirstColumn="0" w:lastRowLastColumn="0"/>
          <w:trHeight w:val="555"/>
        </w:trPr>
        <w:tc>
          <w:tcPr>
            <w:tcW w:w="1493" w:type="dxa"/>
          </w:tcPr>
          <w:p w:rsidR="00476F09" w:rsidRPr="00D1356D" w:rsidRDefault="00476F09" w:rsidP="00D1356D">
            <w:pPr>
              <w:pStyle w:val="Tabletext"/>
              <w:rPr>
                <w:b/>
              </w:rPr>
            </w:pPr>
            <w:r w:rsidRPr="00D1356D">
              <w:rPr>
                <w:b/>
              </w:rPr>
              <w:t>Outcome (follow-up)</w:t>
            </w:r>
          </w:p>
        </w:tc>
        <w:tc>
          <w:tcPr>
            <w:tcW w:w="1054" w:type="dxa"/>
          </w:tcPr>
          <w:p w:rsidR="00476F09" w:rsidRPr="00D1356D" w:rsidRDefault="00476F09" w:rsidP="00D1356D">
            <w:pPr>
              <w:pStyle w:val="Tabletext"/>
              <w:rPr>
                <w:b/>
              </w:rPr>
            </w:pPr>
            <w:r w:rsidRPr="00D1356D">
              <w:rPr>
                <w:b/>
              </w:rPr>
              <w:t>No. of studies and study design</w:t>
            </w:r>
          </w:p>
        </w:tc>
        <w:tc>
          <w:tcPr>
            <w:tcW w:w="771" w:type="dxa"/>
          </w:tcPr>
          <w:p w:rsidR="00476F09" w:rsidRPr="00D1356D" w:rsidRDefault="00476F09" w:rsidP="00D1356D">
            <w:pPr>
              <w:pStyle w:val="Tabletext"/>
              <w:rPr>
                <w:b/>
              </w:rPr>
            </w:pPr>
            <w:r w:rsidRPr="00D1356D">
              <w:rPr>
                <w:b/>
              </w:rPr>
              <w:t>Risk of bias</w:t>
            </w:r>
          </w:p>
        </w:tc>
        <w:tc>
          <w:tcPr>
            <w:tcW w:w="1072" w:type="dxa"/>
          </w:tcPr>
          <w:p w:rsidR="00476F09" w:rsidRPr="00D1356D" w:rsidRDefault="00476F09" w:rsidP="00D1356D">
            <w:pPr>
              <w:pStyle w:val="Tabletext"/>
              <w:rPr>
                <w:b/>
              </w:rPr>
            </w:pPr>
            <w:r w:rsidRPr="00D1356D">
              <w:rPr>
                <w:b/>
              </w:rPr>
              <w:t>Inconsis</w:t>
            </w:r>
            <w:r w:rsidR="00BE3319">
              <w:rPr>
                <w:b/>
              </w:rPr>
              <w:t>-</w:t>
            </w:r>
            <w:r w:rsidRPr="00D1356D">
              <w:rPr>
                <w:b/>
              </w:rPr>
              <w:t>tency</w:t>
            </w:r>
          </w:p>
        </w:tc>
        <w:tc>
          <w:tcPr>
            <w:tcW w:w="992" w:type="dxa"/>
          </w:tcPr>
          <w:p w:rsidR="00476F09" w:rsidRPr="00D1356D" w:rsidRDefault="00476F09" w:rsidP="00D1356D">
            <w:pPr>
              <w:pStyle w:val="Tabletext"/>
              <w:rPr>
                <w:b/>
              </w:rPr>
            </w:pPr>
            <w:r w:rsidRPr="00D1356D">
              <w:rPr>
                <w:b/>
              </w:rPr>
              <w:t>Indirect</w:t>
            </w:r>
            <w:r w:rsidR="00BE3319">
              <w:rPr>
                <w:b/>
              </w:rPr>
              <w:t>-</w:t>
            </w:r>
            <w:r w:rsidRPr="00D1356D">
              <w:rPr>
                <w:b/>
              </w:rPr>
              <w:t>ness</w:t>
            </w:r>
          </w:p>
        </w:tc>
        <w:tc>
          <w:tcPr>
            <w:tcW w:w="1134" w:type="dxa"/>
          </w:tcPr>
          <w:p w:rsidR="00476F09" w:rsidRPr="00D1356D" w:rsidRDefault="00476F09" w:rsidP="00D1356D">
            <w:pPr>
              <w:pStyle w:val="Tabletext"/>
              <w:rPr>
                <w:b/>
              </w:rPr>
            </w:pPr>
            <w:r w:rsidRPr="00D1356D">
              <w:rPr>
                <w:b/>
              </w:rPr>
              <w:t>Impre</w:t>
            </w:r>
            <w:r w:rsidR="00BE3319">
              <w:rPr>
                <w:b/>
              </w:rPr>
              <w:t>-</w:t>
            </w:r>
            <w:r w:rsidRPr="00D1356D">
              <w:rPr>
                <w:b/>
              </w:rPr>
              <w:t>cision</w:t>
            </w:r>
          </w:p>
        </w:tc>
        <w:tc>
          <w:tcPr>
            <w:tcW w:w="1276" w:type="dxa"/>
          </w:tcPr>
          <w:p w:rsidR="00476F09" w:rsidRPr="00D1356D" w:rsidRDefault="00476F09" w:rsidP="00D1356D">
            <w:pPr>
              <w:pStyle w:val="Tabletext"/>
              <w:rPr>
                <w:b/>
              </w:rPr>
            </w:pPr>
            <w:r w:rsidRPr="00D1356D">
              <w:rPr>
                <w:b/>
              </w:rPr>
              <w:t>Other conside</w:t>
            </w:r>
            <w:r w:rsidR="00BE3319">
              <w:rPr>
                <w:b/>
              </w:rPr>
              <w:t>-</w:t>
            </w:r>
            <w:r w:rsidRPr="00D1356D">
              <w:rPr>
                <w:b/>
              </w:rPr>
              <w:t>rations</w:t>
            </w:r>
            <w:r w:rsidRPr="00D1356D">
              <w:rPr>
                <w:b/>
                <w:vertAlign w:val="superscript"/>
              </w:rPr>
              <w:t>a</w:t>
            </w:r>
          </w:p>
        </w:tc>
        <w:tc>
          <w:tcPr>
            <w:tcW w:w="1417" w:type="dxa"/>
          </w:tcPr>
          <w:p w:rsidR="00476F09" w:rsidRPr="00D1356D" w:rsidRDefault="00476F09" w:rsidP="00D1356D">
            <w:pPr>
              <w:pStyle w:val="Tabletext"/>
              <w:rPr>
                <w:b/>
              </w:rPr>
            </w:pPr>
            <w:r w:rsidRPr="00D1356D">
              <w:rPr>
                <w:b/>
              </w:rPr>
              <w:t>Study event rates (%) with sGC + PDE-5i</w:t>
            </w:r>
          </w:p>
        </w:tc>
        <w:tc>
          <w:tcPr>
            <w:tcW w:w="1134" w:type="dxa"/>
          </w:tcPr>
          <w:p w:rsidR="00476F09" w:rsidRPr="00D1356D" w:rsidRDefault="00476F09" w:rsidP="00D1356D">
            <w:pPr>
              <w:pStyle w:val="Tabletext"/>
              <w:rPr>
                <w:b/>
              </w:rPr>
            </w:pPr>
            <w:r w:rsidRPr="00D1356D">
              <w:rPr>
                <w:b/>
              </w:rPr>
              <w:t>Study event rates (%) with PDE-5i</w:t>
            </w:r>
          </w:p>
        </w:tc>
        <w:tc>
          <w:tcPr>
            <w:tcW w:w="993" w:type="dxa"/>
          </w:tcPr>
          <w:p w:rsidR="00476F09" w:rsidRPr="00D1356D" w:rsidRDefault="00476F09" w:rsidP="00D1356D">
            <w:pPr>
              <w:pStyle w:val="Tabletext"/>
              <w:rPr>
                <w:b/>
              </w:rPr>
            </w:pPr>
            <w:r w:rsidRPr="00D1356D">
              <w:rPr>
                <w:b/>
              </w:rPr>
              <w:t>Effect measure (95%CI)</w:t>
            </w:r>
          </w:p>
        </w:tc>
        <w:tc>
          <w:tcPr>
            <w:tcW w:w="2188" w:type="dxa"/>
          </w:tcPr>
          <w:p w:rsidR="00476F09" w:rsidRPr="00D1356D" w:rsidRDefault="00476F09" w:rsidP="00D1356D">
            <w:pPr>
              <w:pStyle w:val="Tabletext"/>
              <w:rPr>
                <w:b/>
              </w:rPr>
            </w:pPr>
            <w:r w:rsidRPr="00D1356D">
              <w:rPr>
                <w:b/>
              </w:rPr>
              <w:t>Absolute effect (95%CI)</w:t>
            </w:r>
          </w:p>
        </w:tc>
        <w:tc>
          <w:tcPr>
            <w:tcW w:w="1214" w:type="dxa"/>
          </w:tcPr>
          <w:p w:rsidR="00814438" w:rsidRDefault="00814438" w:rsidP="00D1356D">
            <w:pPr>
              <w:pStyle w:val="Tabletext"/>
              <w:rPr>
                <w:b/>
              </w:rPr>
            </w:pPr>
            <w:r>
              <w:rPr>
                <w:b/>
              </w:rPr>
              <w:t>GRADE</w:t>
            </w:r>
            <w:r w:rsidRPr="00814438">
              <w:rPr>
                <w:b/>
                <w:vertAlign w:val="superscript"/>
              </w:rPr>
              <w:t>b</w:t>
            </w:r>
          </w:p>
          <w:p w:rsidR="00476F09" w:rsidRPr="00D1356D" w:rsidRDefault="00476F09" w:rsidP="00D1356D">
            <w:pPr>
              <w:pStyle w:val="Tabletext"/>
              <w:rPr>
                <w:b/>
                <w:vertAlign w:val="superscript"/>
              </w:rPr>
            </w:pPr>
            <w:r w:rsidRPr="00D1356D">
              <w:rPr>
                <w:b/>
              </w:rPr>
              <w:t>Quality</w:t>
            </w:r>
          </w:p>
          <w:p w:rsidR="00476F09" w:rsidRPr="00D1356D" w:rsidRDefault="00476F09" w:rsidP="00D1356D">
            <w:pPr>
              <w:pStyle w:val="Tabletext"/>
              <w:rPr>
                <w:b/>
              </w:rPr>
            </w:pPr>
            <w:r w:rsidRPr="00D1356D">
              <w:rPr>
                <w:b/>
              </w:rPr>
              <w:t>Importance</w:t>
            </w:r>
          </w:p>
        </w:tc>
      </w:tr>
      <w:tr w:rsidR="00CC3BA4" w:rsidRPr="00E564DD" w:rsidTr="00BE3319">
        <w:trPr>
          <w:trHeight w:val="319"/>
        </w:trPr>
        <w:tc>
          <w:tcPr>
            <w:tcW w:w="1493" w:type="dxa"/>
          </w:tcPr>
          <w:p w:rsidR="00CC3BA4" w:rsidRPr="00E564DD" w:rsidRDefault="00CC3BA4" w:rsidP="00D1356D">
            <w:pPr>
              <w:pStyle w:val="Tabletext"/>
              <w:rPr>
                <w:rFonts w:cs="Tahoma"/>
              </w:rPr>
            </w:pPr>
            <w:r>
              <w:rPr>
                <w:rFonts w:cs="Tahoma"/>
              </w:rPr>
              <w:t>Any AE</w:t>
            </w:r>
            <w:r>
              <w:rPr>
                <w:rFonts w:cs="Tahoma"/>
              </w:rPr>
              <w:br/>
              <w:t>(104 weeks)</w:t>
            </w:r>
          </w:p>
        </w:tc>
        <w:tc>
          <w:tcPr>
            <w:tcW w:w="1054" w:type="dxa"/>
          </w:tcPr>
          <w:p w:rsidR="00CC3BA4" w:rsidRPr="00E564DD" w:rsidRDefault="00CC3BA4" w:rsidP="00D1356D">
            <w:pPr>
              <w:pStyle w:val="Tabletext"/>
              <w:rPr>
                <w:rFonts w:cs="Tahoma"/>
              </w:rPr>
            </w:pPr>
            <w:r>
              <w:rPr>
                <w:rFonts w:cs="Tahoma"/>
              </w:rPr>
              <w:t>1</w:t>
            </w:r>
            <w:r w:rsidRPr="00E564DD">
              <w:rPr>
                <w:rFonts w:cs="Tahoma"/>
              </w:rPr>
              <w:t xml:space="preserve"> RCT</w:t>
            </w:r>
          </w:p>
        </w:tc>
        <w:tc>
          <w:tcPr>
            <w:tcW w:w="771" w:type="dxa"/>
          </w:tcPr>
          <w:p w:rsidR="00CC3BA4" w:rsidRPr="00E564DD" w:rsidRDefault="00CC3BA4" w:rsidP="00D1356D">
            <w:pPr>
              <w:pStyle w:val="Tabletext"/>
              <w:rPr>
                <w:rFonts w:cs="Tahoma"/>
              </w:rPr>
            </w:pPr>
            <w:r w:rsidRPr="00E564DD">
              <w:rPr>
                <w:rFonts w:cs="Tahoma"/>
              </w:rPr>
              <w:t>Not serious</w:t>
            </w:r>
          </w:p>
        </w:tc>
        <w:tc>
          <w:tcPr>
            <w:tcW w:w="1072" w:type="dxa"/>
          </w:tcPr>
          <w:p w:rsidR="00CC3BA4" w:rsidRPr="00E564DD" w:rsidRDefault="00CC3BA4" w:rsidP="00D1356D">
            <w:pPr>
              <w:pStyle w:val="Tabletext"/>
              <w:rPr>
                <w:rFonts w:cs="Tahoma"/>
              </w:rPr>
            </w:pPr>
            <w:r w:rsidRPr="00E564DD">
              <w:rPr>
                <w:rFonts w:cs="Tahoma"/>
              </w:rPr>
              <w:t>Not serious</w:t>
            </w:r>
          </w:p>
        </w:tc>
        <w:tc>
          <w:tcPr>
            <w:tcW w:w="992" w:type="dxa"/>
          </w:tcPr>
          <w:p w:rsidR="00CC3BA4" w:rsidRPr="00E564DD" w:rsidRDefault="00CC3BA4" w:rsidP="00D1356D">
            <w:pPr>
              <w:pStyle w:val="Tabletext"/>
              <w:rPr>
                <w:rFonts w:cs="Tahoma"/>
              </w:rPr>
            </w:pPr>
            <w:r w:rsidRPr="00E564DD">
              <w:rPr>
                <w:rFonts w:cs="Tahoma"/>
              </w:rPr>
              <w:t>Not serious</w:t>
            </w:r>
          </w:p>
        </w:tc>
        <w:tc>
          <w:tcPr>
            <w:tcW w:w="1134" w:type="dxa"/>
          </w:tcPr>
          <w:p w:rsidR="00CC3BA4" w:rsidRPr="00A867D8" w:rsidRDefault="00A867D8" w:rsidP="00A867D8">
            <w:pPr>
              <w:pStyle w:val="Tabletext"/>
              <w:rPr>
                <w:rFonts w:cs="Tahoma"/>
                <w:vertAlign w:val="superscript"/>
              </w:rPr>
            </w:pPr>
            <w:r>
              <w:rPr>
                <w:rFonts w:cs="Tahoma"/>
              </w:rPr>
              <w:t>Very s</w:t>
            </w:r>
            <w:r w:rsidR="00CC3BA4" w:rsidRPr="00E564DD">
              <w:rPr>
                <w:rFonts w:cs="Tahoma"/>
              </w:rPr>
              <w:t>erious</w:t>
            </w:r>
            <w:r>
              <w:rPr>
                <w:rFonts w:cs="Tahoma"/>
                <w:vertAlign w:val="superscript"/>
              </w:rPr>
              <w:t xml:space="preserve"> c</w:t>
            </w:r>
          </w:p>
        </w:tc>
        <w:tc>
          <w:tcPr>
            <w:tcW w:w="1276" w:type="dxa"/>
          </w:tcPr>
          <w:p w:rsidR="00CC3BA4" w:rsidRPr="00E564DD" w:rsidRDefault="00CC3BA4" w:rsidP="00D1356D">
            <w:pPr>
              <w:pStyle w:val="Tabletext"/>
              <w:rPr>
                <w:rFonts w:cs="Tahoma"/>
              </w:rPr>
            </w:pPr>
            <w:r w:rsidRPr="00E564DD">
              <w:rPr>
                <w:rFonts w:cs="Tahoma"/>
              </w:rPr>
              <w:t>None</w:t>
            </w:r>
          </w:p>
        </w:tc>
        <w:tc>
          <w:tcPr>
            <w:tcW w:w="1417" w:type="dxa"/>
          </w:tcPr>
          <w:p w:rsidR="00CC3BA4" w:rsidRPr="00485061" w:rsidRDefault="00CC3BA4" w:rsidP="00D1356D">
            <w:pPr>
              <w:pStyle w:val="Tabletext"/>
              <w:rPr>
                <w:rFonts w:cs="Tahoma"/>
              </w:rPr>
            </w:pPr>
            <w:r>
              <w:rPr>
                <w:rFonts w:cs="Tahoma"/>
              </w:rPr>
              <w:t>12/12 (100%)</w:t>
            </w:r>
          </w:p>
        </w:tc>
        <w:tc>
          <w:tcPr>
            <w:tcW w:w="1134" w:type="dxa"/>
          </w:tcPr>
          <w:p w:rsidR="00CC3BA4" w:rsidRPr="00456F1B" w:rsidRDefault="00CC3BA4" w:rsidP="00D1356D">
            <w:pPr>
              <w:pStyle w:val="Tabletext"/>
              <w:rPr>
                <w:rFonts w:cs="Tahoma"/>
                <w:highlight w:val="cyan"/>
              </w:rPr>
            </w:pPr>
            <w:r w:rsidRPr="00485061">
              <w:rPr>
                <w:rFonts w:cs="Tahoma"/>
              </w:rPr>
              <w:t>4/6 (66.7%)</w:t>
            </w:r>
          </w:p>
        </w:tc>
        <w:tc>
          <w:tcPr>
            <w:tcW w:w="993" w:type="dxa"/>
          </w:tcPr>
          <w:p w:rsidR="00CC3BA4" w:rsidRPr="00456F1B" w:rsidRDefault="00CC3BA4" w:rsidP="00D1356D">
            <w:pPr>
              <w:pStyle w:val="Tabletext"/>
              <w:rPr>
                <w:rFonts w:cs="Tahoma"/>
                <w:highlight w:val="cyan"/>
              </w:rPr>
            </w:pPr>
            <w:r w:rsidRPr="00485061">
              <w:rPr>
                <w:rFonts w:cs="Tahoma"/>
              </w:rPr>
              <w:t xml:space="preserve">RR </w:t>
            </w:r>
            <w:r>
              <w:rPr>
                <w:rFonts w:cs="Tahoma"/>
              </w:rPr>
              <w:t xml:space="preserve">= </w:t>
            </w:r>
            <w:r w:rsidRPr="00485061">
              <w:rPr>
                <w:rFonts w:cs="Tahoma"/>
              </w:rPr>
              <w:t>1.50</w:t>
            </w:r>
            <w:r>
              <w:rPr>
                <w:rFonts w:cs="Tahoma"/>
              </w:rPr>
              <w:t xml:space="preserve"> </w:t>
            </w:r>
            <w:r w:rsidRPr="00485061">
              <w:rPr>
                <w:rFonts w:cs="Tahoma"/>
              </w:rPr>
              <w:t>(0.85</w:t>
            </w:r>
            <w:r>
              <w:rPr>
                <w:rFonts w:cs="Tahoma"/>
              </w:rPr>
              <w:t>,</w:t>
            </w:r>
            <w:r w:rsidRPr="00485061">
              <w:rPr>
                <w:rFonts w:cs="Tahoma"/>
              </w:rPr>
              <w:t xml:space="preserve"> 2.64)</w:t>
            </w:r>
          </w:p>
        </w:tc>
        <w:tc>
          <w:tcPr>
            <w:tcW w:w="2188" w:type="dxa"/>
          </w:tcPr>
          <w:p w:rsidR="00CC3BA4" w:rsidRPr="00456F1B" w:rsidRDefault="00CC3BA4" w:rsidP="00D1356D">
            <w:pPr>
              <w:pStyle w:val="Tabletext"/>
              <w:rPr>
                <w:rFonts w:cs="Tahoma"/>
                <w:highlight w:val="cyan"/>
              </w:rPr>
            </w:pPr>
            <w:r w:rsidRPr="00485061">
              <w:rPr>
                <w:rFonts w:cs="Tahoma"/>
              </w:rPr>
              <w:t>333 more per 1,000</w:t>
            </w:r>
            <w:r>
              <w:rPr>
                <w:rFonts w:cs="Tahoma"/>
              </w:rPr>
              <w:br/>
            </w:r>
            <w:r w:rsidRPr="00485061">
              <w:rPr>
                <w:rFonts w:cs="Tahoma"/>
              </w:rPr>
              <w:t>(from 100 fewer to 1,000 more)</w:t>
            </w:r>
          </w:p>
        </w:tc>
        <w:tc>
          <w:tcPr>
            <w:tcW w:w="1214" w:type="dxa"/>
          </w:tcPr>
          <w:p w:rsidR="00A867D8" w:rsidRDefault="00A867D8" w:rsidP="00A867D8">
            <w:pPr>
              <w:pStyle w:val="Tabletext"/>
              <w:rPr>
                <w:rFonts w:ascii="Cambria Math" w:eastAsia="Times New Roman" w:hAnsi="Cambria Math" w:cs="Cambria Math"/>
                <w:bCs/>
              </w:rPr>
            </w:pPr>
            <w:r>
              <w:rPr>
                <w:rFonts w:eastAsia="Times New Roman" w:cs="Tahoma"/>
                <w:bCs/>
              </w:rPr>
              <w:t>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E564DD" w:rsidRDefault="00CC3BA4" w:rsidP="00D1356D">
            <w:pPr>
              <w:pStyle w:val="Tabletext"/>
              <w:rPr>
                <w:rFonts w:cs="Tahoma"/>
              </w:rPr>
            </w:pPr>
            <w:r w:rsidRPr="00E564DD">
              <w:rPr>
                <w:rFonts w:cs="Tahoma"/>
              </w:rPr>
              <w:t>Important</w:t>
            </w:r>
          </w:p>
        </w:tc>
      </w:tr>
      <w:tr w:rsidR="00A867D8" w:rsidRPr="00E564DD" w:rsidTr="00BE3319">
        <w:trPr>
          <w:trHeight w:val="319"/>
        </w:trPr>
        <w:tc>
          <w:tcPr>
            <w:tcW w:w="1493" w:type="dxa"/>
          </w:tcPr>
          <w:p w:rsidR="00A867D8" w:rsidRPr="00BE59C4" w:rsidRDefault="00A867D8" w:rsidP="00A867D8">
            <w:pPr>
              <w:pStyle w:val="Tabletext"/>
              <w:rPr>
                <w:rFonts w:cs="Tahoma"/>
              </w:rPr>
            </w:pPr>
            <w:r w:rsidRPr="00BE59C4">
              <w:rPr>
                <w:rFonts w:cs="Tahoma"/>
              </w:rPr>
              <w:lastRenderedPageBreak/>
              <w:t>Serious AEs</w:t>
            </w:r>
            <w:r w:rsidRPr="00BE59C4">
              <w:rPr>
                <w:rFonts w:cs="Tahoma"/>
              </w:rPr>
              <w:br/>
              <w:t>(24−104 weeks)</w:t>
            </w:r>
          </w:p>
        </w:tc>
        <w:tc>
          <w:tcPr>
            <w:tcW w:w="1054" w:type="dxa"/>
          </w:tcPr>
          <w:p w:rsidR="00A867D8" w:rsidRPr="00E564DD" w:rsidRDefault="00A867D8" w:rsidP="00A867D8">
            <w:pPr>
              <w:pStyle w:val="Tabletext"/>
              <w:rPr>
                <w:rFonts w:cs="Tahoma"/>
              </w:rPr>
            </w:pPr>
            <w:r>
              <w:rPr>
                <w:rFonts w:cs="Tahoma"/>
              </w:rPr>
              <w:t>1</w:t>
            </w:r>
            <w:r w:rsidRPr="00E564DD">
              <w:rPr>
                <w:rFonts w:cs="Tahoma"/>
              </w:rPr>
              <w:t xml:space="preserve"> RCT</w:t>
            </w:r>
          </w:p>
        </w:tc>
        <w:tc>
          <w:tcPr>
            <w:tcW w:w="771" w:type="dxa"/>
          </w:tcPr>
          <w:p w:rsidR="00A867D8" w:rsidRPr="00E564DD" w:rsidRDefault="00A867D8" w:rsidP="00A867D8">
            <w:pPr>
              <w:pStyle w:val="Tabletext"/>
              <w:rPr>
                <w:rFonts w:cs="Tahoma"/>
              </w:rPr>
            </w:pPr>
            <w:r w:rsidRPr="00E564DD">
              <w:rPr>
                <w:rFonts w:cs="Tahoma"/>
              </w:rPr>
              <w:t>Not serious</w:t>
            </w:r>
          </w:p>
        </w:tc>
        <w:tc>
          <w:tcPr>
            <w:tcW w:w="1072" w:type="dxa"/>
          </w:tcPr>
          <w:p w:rsidR="00A867D8" w:rsidRPr="00E564DD" w:rsidRDefault="00A867D8" w:rsidP="00A867D8">
            <w:pPr>
              <w:pStyle w:val="Tabletext"/>
              <w:rPr>
                <w:rFonts w:cs="Tahoma"/>
              </w:rPr>
            </w:pPr>
            <w:r w:rsidRPr="00E564DD">
              <w:rPr>
                <w:rFonts w:cs="Tahoma"/>
              </w:rPr>
              <w:t>Not serious</w:t>
            </w:r>
          </w:p>
        </w:tc>
        <w:tc>
          <w:tcPr>
            <w:tcW w:w="992" w:type="dxa"/>
          </w:tcPr>
          <w:p w:rsidR="00A867D8" w:rsidRPr="00E564DD" w:rsidRDefault="00A867D8" w:rsidP="00A867D8">
            <w:pPr>
              <w:pStyle w:val="Tabletext"/>
              <w:rPr>
                <w:rFonts w:cs="Tahoma"/>
              </w:rPr>
            </w:pPr>
            <w:r w:rsidRPr="00E564DD">
              <w:rPr>
                <w:rFonts w:cs="Tahoma"/>
              </w:rPr>
              <w:t>Not serious</w:t>
            </w:r>
          </w:p>
        </w:tc>
        <w:tc>
          <w:tcPr>
            <w:tcW w:w="1134" w:type="dxa"/>
          </w:tcPr>
          <w:p w:rsidR="00A867D8" w:rsidRPr="00E564DD" w:rsidRDefault="00A867D8" w:rsidP="00A867D8">
            <w:pPr>
              <w:pStyle w:val="Tabletext"/>
              <w:rPr>
                <w:rFonts w:cs="Tahoma"/>
              </w:rPr>
            </w:pPr>
            <w:r>
              <w:rPr>
                <w:rFonts w:cs="Tahoma"/>
              </w:rPr>
              <w:t>Very s</w:t>
            </w:r>
            <w:r w:rsidRPr="00E564DD">
              <w:rPr>
                <w:rFonts w:cs="Tahoma"/>
              </w:rPr>
              <w:t>erious</w:t>
            </w:r>
            <w:r>
              <w:rPr>
                <w:rFonts w:cs="Tahoma"/>
                <w:vertAlign w:val="superscript"/>
              </w:rPr>
              <w:t xml:space="preserve"> c</w:t>
            </w:r>
          </w:p>
        </w:tc>
        <w:tc>
          <w:tcPr>
            <w:tcW w:w="1276" w:type="dxa"/>
          </w:tcPr>
          <w:p w:rsidR="00A867D8" w:rsidRPr="00E564DD" w:rsidRDefault="00A867D8" w:rsidP="00A867D8">
            <w:pPr>
              <w:pStyle w:val="Tabletext"/>
              <w:rPr>
                <w:rFonts w:cs="Tahoma"/>
              </w:rPr>
            </w:pPr>
            <w:r>
              <w:rPr>
                <w:rFonts w:cs="Tahoma"/>
              </w:rPr>
              <w:t>None</w:t>
            </w:r>
          </w:p>
        </w:tc>
        <w:tc>
          <w:tcPr>
            <w:tcW w:w="1417" w:type="dxa"/>
          </w:tcPr>
          <w:p w:rsidR="00A867D8" w:rsidRPr="00485061" w:rsidRDefault="00A867D8" w:rsidP="00A867D8">
            <w:pPr>
              <w:pStyle w:val="Tabletext"/>
              <w:rPr>
                <w:rFonts w:cs="Tahoma"/>
              </w:rPr>
            </w:pPr>
            <w:r>
              <w:rPr>
                <w:rFonts w:cs="Tahoma"/>
              </w:rPr>
              <w:t>2/12 (16.7%)</w:t>
            </w:r>
          </w:p>
        </w:tc>
        <w:tc>
          <w:tcPr>
            <w:tcW w:w="1134" w:type="dxa"/>
          </w:tcPr>
          <w:p w:rsidR="00A867D8" w:rsidRPr="00456F1B" w:rsidRDefault="00A867D8" w:rsidP="00A867D8">
            <w:pPr>
              <w:pStyle w:val="Tabletext"/>
              <w:rPr>
                <w:rFonts w:cs="Tahoma"/>
                <w:highlight w:val="cyan"/>
              </w:rPr>
            </w:pPr>
            <w:r w:rsidRPr="00485061">
              <w:rPr>
                <w:rFonts w:cs="Tahoma"/>
              </w:rPr>
              <w:t>0/6 (0.0%)</w:t>
            </w:r>
          </w:p>
        </w:tc>
        <w:tc>
          <w:tcPr>
            <w:tcW w:w="993" w:type="dxa"/>
          </w:tcPr>
          <w:p w:rsidR="00A867D8" w:rsidRPr="00485061" w:rsidRDefault="00A867D8" w:rsidP="00A867D8">
            <w:pPr>
              <w:pStyle w:val="Tabletext"/>
              <w:rPr>
                <w:rFonts w:cs="Tahoma"/>
              </w:rPr>
            </w:pPr>
            <w:r>
              <w:rPr>
                <w:rFonts w:cs="Tahoma"/>
              </w:rPr>
              <w:t>ARD</w:t>
            </w:r>
            <w:r w:rsidRPr="00485061">
              <w:rPr>
                <w:rFonts w:cs="Tahoma"/>
              </w:rPr>
              <w:t xml:space="preserve"> = </w:t>
            </w:r>
            <w:r>
              <w:rPr>
                <w:rFonts w:cs="Tahoma"/>
              </w:rPr>
              <w:t>16.7% (−4.4, 37.8)</w:t>
            </w:r>
          </w:p>
        </w:tc>
        <w:tc>
          <w:tcPr>
            <w:tcW w:w="2188" w:type="dxa"/>
          </w:tcPr>
          <w:p w:rsidR="00A867D8" w:rsidRPr="00456F1B" w:rsidRDefault="00A867D8" w:rsidP="00A867D8">
            <w:pPr>
              <w:pStyle w:val="Tabletext"/>
              <w:rPr>
                <w:rFonts w:cs="Tahoma"/>
                <w:highlight w:val="cyan"/>
              </w:rPr>
            </w:pPr>
            <w:r w:rsidRPr="00485061">
              <w:rPr>
                <w:rFonts w:cs="Tahoma"/>
              </w:rPr>
              <w:t>16</w:t>
            </w:r>
            <w:r>
              <w:rPr>
                <w:rFonts w:cs="Tahoma"/>
              </w:rPr>
              <w:t>7</w:t>
            </w:r>
            <w:r w:rsidRPr="00485061">
              <w:rPr>
                <w:rFonts w:cs="Tahoma"/>
              </w:rPr>
              <w:t xml:space="preserve"> more per 1,000</w:t>
            </w:r>
            <w:r>
              <w:rPr>
                <w:rFonts w:cs="Tahoma"/>
              </w:rPr>
              <w:br/>
            </w:r>
            <w:r w:rsidRPr="00485061">
              <w:rPr>
                <w:rFonts w:cs="Tahoma"/>
              </w:rPr>
              <w:t>(from 44 fewer to 378 more)</w:t>
            </w:r>
          </w:p>
        </w:tc>
        <w:tc>
          <w:tcPr>
            <w:tcW w:w="1214" w:type="dxa"/>
          </w:tcPr>
          <w:p w:rsidR="00A867D8" w:rsidRDefault="00A867D8" w:rsidP="00A867D8">
            <w:pPr>
              <w:pStyle w:val="Tabletext"/>
              <w:rPr>
                <w:rFonts w:ascii="Cambria Math" w:eastAsia="Times New Roman" w:hAnsi="Cambria Math" w:cs="Cambria Math"/>
                <w:bCs/>
              </w:rPr>
            </w:pPr>
            <w:r>
              <w:rPr>
                <w:rFonts w:eastAsia="Times New Roman" w:cs="Tahoma"/>
                <w:bCs/>
              </w:rPr>
              <w:t>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A867D8" w:rsidRPr="00E564DD" w:rsidRDefault="00A867D8" w:rsidP="00A867D8">
            <w:pPr>
              <w:pStyle w:val="Tabletext"/>
              <w:rPr>
                <w:rFonts w:cs="Tahoma"/>
              </w:rPr>
            </w:pPr>
            <w:r w:rsidRPr="00E564DD">
              <w:rPr>
                <w:rFonts w:cs="Tahoma"/>
              </w:rPr>
              <w:t>Important</w:t>
            </w:r>
          </w:p>
        </w:tc>
      </w:tr>
      <w:tr w:rsidR="00A867D8" w:rsidRPr="00E564DD" w:rsidTr="00BE3319">
        <w:trPr>
          <w:trHeight w:val="319"/>
        </w:trPr>
        <w:tc>
          <w:tcPr>
            <w:tcW w:w="1493" w:type="dxa"/>
          </w:tcPr>
          <w:p w:rsidR="00A867D8" w:rsidRPr="00BE59C4" w:rsidRDefault="00A867D8" w:rsidP="00A867D8">
            <w:pPr>
              <w:pStyle w:val="Tabletext"/>
              <w:rPr>
                <w:rFonts w:cs="Tahoma"/>
              </w:rPr>
            </w:pPr>
            <w:r w:rsidRPr="00BE59C4">
              <w:rPr>
                <w:rFonts w:cs="Tahoma"/>
              </w:rPr>
              <w:t>AEs leading to treatment discontinuation</w:t>
            </w:r>
            <w:r w:rsidRPr="00BE59C4">
              <w:rPr>
                <w:rFonts w:cs="Tahoma"/>
              </w:rPr>
              <w:br/>
              <w:t>(24−104 weeks)</w:t>
            </w:r>
          </w:p>
        </w:tc>
        <w:tc>
          <w:tcPr>
            <w:tcW w:w="1054" w:type="dxa"/>
          </w:tcPr>
          <w:p w:rsidR="00A867D8" w:rsidRPr="00E564DD" w:rsidRDefault="00A867D8" w:rsidP="00A867D8">
            <w:pPr>
              <w:pStyle w:val="Tabletext"/>
              <w:rPr>
                <w:rFonts w:cs="Tahoma"/>
              </w:rPr>
            </w:pPr>
            <w:r>
              <w:rPr>
                <w:rFonts w:cs="Tahoma"/>
              </w:rPr>
              <w:t>1</w:t>
            </w:r>
            <w:r w:rsidRPr="00E564DD">
              <w:rPr>
                <w:rFonts w:cs="Tahoma"/>
              </w:rPr>
              <w:t xml:space="preserve"> RCT</w:t>
            </w:r>
          </w:p>
        </w:tc>
        <w:tc>
          <w:tcPr>
            <w:tcW w:w="771" w:type="dxa"/>
          </w:tcPr>
          <w:p w:rsidR="00A867D8" w:rsidRPr="00E564DD" w:rsidRDefault="00A867D8" w:rsidP="00A867D8">
            <w:pPr>
              <w:pStyle w:val="Tabletext"/>
              <w:rPr>
                <w:rFonts w:cs="Tahoma"/>
              </w:rPr>
            </w:pPr>
            <w:r w:rsidRPr="00E564DD">
              <w:rPr>
                <w:rFonts w:cs="Tahoma"/>
              </w:rPr>
              <w:t>Not serious</w:t>
            </w:r>
          </w:p>
        </w:tc>
        <w:tc>
          <w:tcPr>
            <w:tcW w:w="1072" w:type="dxa"/>
          </w:tcPr>
          <w:p w:rsidR="00A867D8" w:rsidRPr="00E564DD" w:rsidRDefault="00A867D8" w:rsidP="00A867D8">
            <w:pPr>
              <w:pStyle w:val="Tabletext"/>
              <w:rPr>
                <w:rFonts w:cs="Tahoma"/>
              </w:rPr>
            </w:pPr>
            <w:r w:rsidRPr="00E564DD">
              <w:rPr>
                <w:rFonts w:cs="Tahoma"/>
              </w:rPr>
              <w:t>Not serious</w:t>
            </w:r>
          </w:p>
        </w:tc>
        <w:tc>
          <w:tcPr>
            <w:tcW w:w="992" w:type="dxa"/>
          </w:tcPr>
          <w:p w:rsidR="00A867D8" w:rsidRPr="00E564DD" w:rsidRDefault="00A867D8" w:rsidP="00A867D8">
            <w:pPr>
              <w:pStyle w:val="Tabletext"/>
              <w:rPr>
                <w:rFonts w:cs="Tahoma"/>
              </w:rPr>
            </w:pPr>
            <w:r w:rsidRPr="00E564DD">
              <w:rPr>
                <w:rFonts w:cs="Tahoma"/>
              </w:rPr>
              <w:t>Not serious</w:t>
            </w:r>
          </w:p>
        </w:tc>
        <w:tc>
          <w:tcPr>
            <w:tcW w:w="1134" w:type="dxa"/>
          </w:tcPr>
          <w:p w:rsidR="00A867D8" w:rsidRPr="00E564DD" w:rsidRDefault="00A867D8" w:rsidP="00A867D8">
            <w:pPr>
              <w:pStyle w:val="Tabletext"/>
              <w:rPr>
                <w:rFonts w:cs="Tahoma"/>
              </w:rPr>
            </w:pPr>
            <w:r>
              <w:rPr>
                <w:rFonts w:cs="Tahoma"/>
              </w:rPr>
              <w:t>Very s</w:t>
            </w:r>
            <w:r w:rsidRPr="00E564DD">
              <w:rPr>
                <w:rFonts w:cs="Tahoma"/>
              </w:rPr>
              <w:t>erious</w:t>
            </w:r>
            <w:r>
              <w:rPr>
                <w:rFonts w:cs="Tahoma"/>
                <w:vertAlign w:val="superscript"/>
              </w:rPr>
              <w:t xml:space="preserve"> c</w:t>
            </w:r>
          </w:p>
        </w:tc>
        <w:tc>
          <w:tcPr>
            <w:tcW w:w="1276" w:type="dxa"/>
          </w:tcPr>
          <w:p w:rsidR="00A867D8" w:rsidRPr="00E564DD" w:rsidRDefault="00A867D8" w:rsidP="00A867D8">
            <w:pPr>
              <w:pStyle w:val="Tabletext"/>
              <w:rPr>
                <w:rFonts w:cs="Tahoma"/>
              </w:rPr>
            </w:pPr>
            <w:r>
              <w:rPr>
                <w:rFonts w:cs="Tahoma"/>
              </w:rPr>
              <w:t>None</w:t>
            </w:r>
          </w:p>
        </w:tc>
        <w:tc>
          <w:tcPr>
            <w:tcW w:w="1417" w:type="dxa"/>
          </w:tcPr>
          <w:p w:rsidR="00A867D8" w:rsidRPr="00485061" w:rsidRDefault="00A867D8" w:rsidP="00A867D8">
            <w:pPr>
              <w:pStyle w:val="Tabletext"/>
              <w:rPr>
                <w:rFonts w:cs="Tahoma"/>
              </w:rPr>
            </w:pPr>
            <w:r>
              <w:rPr>
                <w:rFonts w:cs="Tahoma"/>
              </w:rPr>
              <w:t>1/12 (8.3%)</w:t>
            </w:r>
          </w:p>
        </w:tc>
        <w:tc>
          <w:tcPr>
            <w:tcW w:w="1134" w:type="dxa"/>
          </w:tcPr>
          <w:p w:rsidR="00A867D8" w:rsidRPr="00456F1B" w:rsidRDefault="00A867D8" w:rsidP="00A867D8">
            <w:pPr>
              <w:pStyle w:val="Tabletext"/>
              <w:rPr>
                <w:rFonts w:cs="Tahoma"/>
                <w:highlight w:val="cyan"/>
              </w:rPr>
            </w:pPr>
            <w:r w:rsidRPr="00485061">
              <w:rPr>
                <w:rFonts w:cs="Tahoma"/>
              </w:rPr>
              <w:t>0/6 (0.0%)</w:t>
            </w:r>
          </w:p>
        </w:tc>
        <w:tc>
          <w:tcPr>
            <w:tcW w:w="993" w:type="dxa"/>
          </w:tcPr>
          <w:p w:rsidR="00A867D8" w:rsidRPr="00456F1B" w:rsidRDefault="00A867D8" w:rsidP="00A867D8">
            <w:pPr>
              <w:pStyle w:val="Tabletext"/>
              <w:rPr>
                <w:rFonts w:cs="Tahoma"/>
                <w:highlight w:val="cyan"/>
              </w:rPr>
            </w:pPr>
            <w:r>
              <w:rPr>
                <w:rFonts w:cs="Tahoma"/>
              </w:rPr>
              <w:t>ARD</w:t>
            </w:r>
            <w:r w:rsidRPr="00485061">
              <w:rPr>
                <w:rFonts w:cs="Tahoma"/>
              </w:rPr>
              <w:t xml:space="preserve"> = </w:t>
            </w:r>
            <w:r>
              <w:rPr>
                <w:rFonts w:cs="Tahoma"/>
              </w:rPr>
              <w:t>8</w:t>
            </w:r>
            <w:r w:rsidRPr="00485061">
              <w:rPr>
                <w:rFonts w:cs="Tahoma"/>
              </w:rPr>
              <w:t>.</w:t>
            </w:r>
            <w:r>
              <w:rPr>
                <w:rFonts w:cs="Tahoma"/>
              </w:rPr>
              <w:t>3</w:t>
            </w:r>
            <w:r w:rsidRPr="00485061">
              <w:rPr>
                <w:rFonts w:cs="Tahoma"/>
              </w:rPr>
              <w:t>% (−</w:t>
            </w:r>
            <w:r>
              <w:rPr>
                <w:rFonts w:cs="Tahoma"/>
              </w:rPr>
              <w:t>7</w:t>
            </w:r>
            <w:r w:rsidRPr="00485061">
              <w:rPr>
                <w:rFonts w:cs="Tahoma"/>
              </w:rPr>
              <w:t>.</w:t>
            </w:r>
            <w:r>
              <w:rPr>
                <w:rFonts w:cs="Tahoma"/>
              </w:rPr>
              <w:t>3</w:t>
            </w:r>
            <w:r w:rsidRPr="00485061">
              <w:rPr>
                <w:rFonts w:cs="Tahoma"/>
              </w:rPr>
              <w:t xml:space="preserve">, </w:t>
            </w:r>
            <w:r>
              <w:rPr>
                <w:rFonts w:cs="Tahoma"/>
              </w:rPr>
              <w:t>24</w:t>
            </w:r>
            <w:r w:rsidRPr="00485061">
              <w:rPr>
                <w:rFonts w:cs="Tahoma"/>
              </w:rPr>
              <w:t>.</w:t>
            </w:r>
            <w:r>
              <w:rPr>
                <w:rFonts w:cs="Tahoma"/>
              </w:rPr>
              <w:t>0</w:t>
            </w:r>
            <w:r w:rsidRPr="00485061">
              <w:rPr>
                <w:rFonts w:cs="Tahoma"/>
              </w:rPr>
              <w:t>)</w:t>
            </w:r>
          </w:p>
        </w:tc>
        <w:tc>
          <w:tcPr>
            <w:tcW w:w="2188" w:type="dxa"/>
          </w:tcPr>
          <w:p w:rsidR="00A867D8" w:rsidRPr="00456F1B" w:rsidRDefault="00A867D8" w:rsidP="00A867D8">
            <w:pPr>
              <w:pStyle w:val="Tabletext"/>
              <w:rPr>
                <w:rFonts w:cs="Tahoma"/>
                <w:highlight w:val="cyan"/>
              </w:rPr>
            </w:pPr>
            <w:r w:rsidRPr="00485061">
              <w:rPr>
                <w:rFonts w:cs="Tahoma"/>
              </w:rPr>
              <w:t>83 more per 1,000</w:t>
            </w:r>
            <w:r>
              <w:rPr>
                <w:rFonts w:cs="Tahoma"/>
              </w:rPr>
              <w:br/>
            </w:r>
            <w:r w:rsidRPr="00485061">
              <w:rPr>
                <w:rFonts w:cs="Tahoma"/>
              </w:rPr>
              <w:t>(from 73 fewer to 240 more)</w:t>
            </w:r>
          </w:p>
        </w:tc>
        <w:tc>
          <w:tcPr>
            <w:tcW w:w="1214" w:type="dxa"/>
          </w:tcPr>
          <w:p w:rsidR="00A867D8" w:rsidRDefault="00A867D8" w:rsidP="00A867D8">
            <w:pPr>
              <w:pStyle w:val="Tabletext"/>
              <w:rPr>
                <w:rFonts w:ascii="Cambria Math" w:eastAsia="Times New Roman" w:hAnsi="Cambria Math" w:cs="Cambria Math"/>
                <w:bCs/>
              </w:rPr>
            </w:pPr>
            <w:r>
              <w:rPr>
                <w:rFonts w:eastAsia="Times New Roman" w:cs="Tahoma"/>
                <w:bCs/>
              </w:rPr>
              <w:t>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A867D8" w:rsidRPr="007E63F8" w:rsidRDefault="00A867D8" w:rsidP="00A867D8">
            <w:pPr>
              <w:pStyle w:val="Tabletext"/>
              <w:rPr>
                <w:rFonts w:ascii="Cambria Math" w:eastAsia="Times New Roman" w:hAnsi="Cambria Math" w:cs="Cambria Math"/>
                <w:bCs/>
                <w:color w:val="00B050"/>
              </w:rPr>
            </w:pPr>
            <w:r w:rsidRPr="00E564DD">
              <w:rPr>
                <w:rFonts w:cs="Tahoma"/>
              </w:rPr>
              <w:t>Important</w:t>
            </w:r>
          </w:p>
        </w:tc>
      </w:tr>
    </w:tbl>
    <w:p w:rsidR="00CC3BA4" w:rsidRPr="00AA018C" w:rsidRDefault="00CC3BA4" w:rsidP="00A93200">
      <w:pPr>
        <w:pStyle w:val="Tablenote"/>
      </w:pPr>
      <w:r w:rsidRPr="00E564DD">
        <w:rPr>
          <w:vertAlign w:val="superscript"/>
        </w:rPr>
        <w:t xml:space="preserve">a </w:t>
      </w:r>
      <w:r w:rsidRPr="00AA018C">
        <w:t>O</w:t>
      </w:r>
      <w:r>
        <w:t>ther considerations such as publication bias and effect size</w:t>
      </w:r>
    </w:p>
    <w:p w:rsidR="00CC3BA4" w:rsidRDefault="00CC3BA4" w:rsidP="00A93200">
      <w:pPr>
        <w:pStyle w:val="Tablenote"/>
      </w:pPr>
      <w:r>
        <w:rPr>
          <w:vertAlign w:val="superscript"/>
        </w:rPr>
        <w:t xml:space="preserve">b </w:t>
      </w:r>
      <w:r w:rsidRPr="00E564DD">
        <w:t>GRADE W</w:t>
      </w:r>
      <w:r>
        <w:t>orking Group grades of evidence</w:t>
      </w:r>
      <w:r w:rsidR="001D34EE" w:rsidRPr="001D34EE">
        <w:rPr>
          <w:noProof/>
          <w:vertAlign w:val="superscript"/>
        </w:rPr>
        <w:t>1</w:t>
      </w:r>
    </w:p>
    <w:p w:rsidR="00A867D8" w:rsidRPr="00A867D8" w:rsidRDefault="00A867D8" w:rsidP="00A93200">
      <w:pPr>
        <w:pStyle w:val="Tablenote"/>
      </w:pPr>
      <w:r>
        <w:rPr>
          <w:vertAlign w:val="superscript"/>
        </w:rPr>
        <w:t xml:space="preserve">c </w:t>
      </w:r>
      <w:r>
        <w:t>Small study size</w:t>
      </w:r>
    </w:p>
    <w:p w:rsidR="00A867D8" w:rsidRPr="006316DF" w:rsidRDefault="00A867D8" w:rsidP="00A867D8">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814438" w:rsidRDefault="00D3348D" w:rsidP="00A93200">
      <w:pPr>
        <w:pStyle w:val="Tablenote"/>
      </w:pPr>
      <w:r>
        <w:t>AE = adverse event</w:t>
      </w:r>
      <w:r w:rsidR="00CC3BA4">
        <w:t xml:space="preserve">; </w:t>
      </w:r>
      <w:r w:rsidR="00B21201">
        <w:t>ARD</w:t>
      </w:r>
      <w:r w:rsidR="00CC3BA4">
        <w:t xml:space="preserve"> = absolute risk </w:t>
      </w:r>
      <w:r w:rsidR="00B21201">
        <w:t>difference</w:t>
      </w:r>
      <w:r w:rsidR="00CC3BA4">
        <w:t xml:space="preserve">; CI = confidence interval; </w:t>
      </w:r>
      <w:r w:rsidR="00385E5A">
        <w:t>GRADE = grading of recommendations assessment, development and evaluation</w:t>
      </w:r>
      <w:r w:rsidR="001D34EE" w:rsidRPr="001D34EE">
        <w:rPr>
          <w:noProof/>
          <w:vertAlign w:val="superscript"/>
        </w:rPr>
        <w:t>1</w:t>
      </w:r>
      <w:r w:rsidR="00814438" w:rsidRPr="00F24B06">
        <w:t xml:space="preserve">; </w:t>
      </w:r>
      <w:r w:rsidR="00CC3BA4" w:rsidRPr="00C65B42">
        <w:t xml:space="preserve">PAH = pulmonary arterial hypertension; </w:t>
      </w:r>
      <w:r w:rsidR="00CC3BA4" w:rsidRPr="009B5AB3">
        <w:t>PDE-5</w:t>
      </w:r>
      <w:r w:rsidR="00814438">
        <w:t>i</w:t>
      </w:r>
      <w:r w:rsidR="00CC3BA4" w:rsidRPr="009B5AB3">
        <w:t xml:space="preserve"> = phosphodiesterase type-5</w:t>
      </w:r>
      <w:r w:rsidR="00814438">
        <w:t xml:space="preserve"> inhibitor</w:t>
      </w:r>
      <w:r w:rsidR="00CC3BA4">
        <w:t>;</w:t>
      </w:r>
      <w:r w:rsidR="00CC3BA4" w:rsidRPr="009B5AB3">
        <w:t xml:space="preserve"> </w:t>
      </w:r>
      <w:r w:rsidR="00CC3BA4">
        <w:t>RCT = randomised controlled trial; RR = relative risk</w:t>
      </w:r>
      <w:r w:rsidR="00074B5F">
        <w:t>;</w:t>
      </w:r>
      <w:r w:rsidR="00074B5F" w:rsidRPr="00074B5F">
        <w:t xml:space="preserve"> sGC = soluble guanylate cyclase stimulator</w:t>
      </w:r>
    </w:p>
    <w:p w:rsidR="00CC3BA4" w:rsidRPr="006632FB" w:rsidRDefault="00CC3BA4" w:rsidP="00BF48DF">
      <w:pPr>
        <w:pStyle w:val="Heading4"/>
      </w:pPr>
      <w:r>
        <w:t>sGC stimulator</w:t>
      </w:r>
      <w:r w:rsidRPr="006632FB">
        <w:t xml:space="preserve"> in addition to </w:t>
      </w:r>
      <w:r>
        <w:t xml:space="preserve">a </w:t>
      </w:r>
      <w:r w:rsidR="0017012F">
        <w:t>prostanoid</w:t>
      </w:r>
    </w:p>
    <w:p w:rsidR="00CC3BA4" w:rsidRPr="00A17B9D" w:rsidRDefault="00A17B9D" w:rsidP="00BC5A2B">
      <w:pPr>
        <w:pStyle w:val="Caption"/>
        <w:rPr>
          <w:highlight w:val="black"/>
        </w:rPr>
      </w:pPr>
      <w:r>
        <w:rPr>
          <w:noProof/>
          <w:color w:val="000000"/>
          <w:highlight w:val="black"/>
        </w:rPr>
        <w:t>'''''''''' '''''''''''''''''''''''''' ''''''''''' '''''''''' '''''' '''''''''''''''''''''''''' '''' ''''''' '''''''''''''''''' ''' '''''''''''''''''' ''''''''''''''''''''''''' ''''''''''''''' '''''''''''''''''' '''' '''''''''''''''''' ''''''''''''''''''''''' '''''' ''''' ''''''' ''''''''''''''''</w:t>
      </w:r>
    </w:p>
    <w:tbl>
      <w:tblPr>
        <w:tblStyle w:val="TableGrid"/>
        <w:tblW w:w="14738" w:type="dxa"/>
        <w:tblLayout w:type="fixed"/>
        <w:tblLook w:val="04A0" w:firstRow="1" w:lastRow="0" w:firstColumn="1" w:lastColumn="0" w:noHBand="0" w:noVBand="1"/>
        <w:tblCaption w:val="Evidence profile table for effectiveness of sGC stimulator + prostanoid combination therapy compared to prostanoid monotherapy for all PAH patients"/>
      </w:tblPr>
      <w:tblGrid>
        <w:gridCol w:w="1493"/>
        <w:gridCol w:w="1054"/>
        <w:gridCol w:w="912"/>
        <w:gridCol w:w="931"/>
        <w:gridCol w:w="992"/>
        <w:gridCol w:w="1134"/>
        <w:gridCol w:w="1276"/>
        <w:gridCol w:w="1417"/>
        <w:gridCol w:w="1134"/>
        <w:gridCol w:w="993"/>
        <w:gridCol w:w="2188"/>
        <w:gridCol w:w="1214"/>
      </w:tblGrid>
      <w:tr w:rsidR="00A93200" w:rsidRPr="00835775" w:rsidTr="00BE3319">
        <w:trPr>
          <w:cnfStyle w:val="100000000000" w:firstRow="1" w:lastRow="0" w:firstColumn="0" w:lastColumn="0" w:oddVBand="0" w:evenVBand="0" w:oddHBand="0" w:evenHBand="0" w:firstRowFirstColumn="0" w:firstRowLastColumn="0" w:lastRowFirstColumn="0" w:lastRowLastColumn="0"/>
          <w:trHeight w:val="597"/>
        </w:trPr>
        <w:tc>
          <w:tcPr>
            <w:tcW w:w="1493" w:type="dxa"/>
          </w:tcPr>
          <w:p w:rsidR="00476F09" w:rsidRPr="00A17B9D" w:rsidRDefault="00A17B9D" w:rsidP="00A93200">
            <w:pPr>
              <w:pStyle w:val="Tabletext"/>
              <w:rPr>
                <w:b/>
                <w:highlight w:val="black"/>
              </w:rPr>
            </w:pPr>
            <w:r>
              <w:rPr>
                <w:b/>
                <w:noProof/>
                <w:color w:val="000000"/>
                <w:highlight w:val="black"/>
              </w:rPr>
              <w:t>'''''''''''''''''''' ''''''''''''''''''''''</w:t>
            </w:r>
          </w:p>
        </w:tc>
        <w:tc>
          <w:tcPr>
            <w:tcW w:w="1054" w:type="dxa"/>
          </w:tcPr>
          <w:p w:rsidR="00476F09" w:rsidRPr="00A17B9D" w:rsidRDefault="00A17B9D" w:rsidP="00A93200">
            <w:pPr>
              <w:pStyle w:val="Tabletext"/>
              <w:rPr>
                <w:b/>
                <w:highlight w:val="black"/>
              </w:rPr>
            </w:pPr>
            <w:r>
              <w:rPr>
                <w:b/>
                <w:noProof/>
                <w:color w:val="000000"/>
                <w:highlight w:val="black"/>
              </w:rPr>
              <w:t>'''''' '''' '''''''''''''' '''''''' ''''''''''' ''''''''''''''</w:t>
            </w:r>
          </w:p>
        </w:tc>
        <w:tc>
          <w:tcPr>
            <w:tcW w:w="912" w:type="dxa"/>
          </w:tcPr>
          <w:p w:rsidR="00476F09" w:rsidRPr="00A17B9D" w:rsidRDefault="00A17B9D" w:rsidP="00A93200">
            <w:pPr>
              <w:pStyle w:val="Tabletext"/>
              <w:rPr>
                <w:b/>
                <w:highlight w:val="black"/>
              </w:rPr>
            </w:pPr>
            <w:r>
              <w:rPr>
                <w:b/>
                <w:noProof/>
                <w:color w:val="000000"/>
                <w:highlight w:val="black"/>
              </w:rPr>
              <w:t>'''''''''' '''' ''''''''</w:t>
            </w:r>
          </w:p>
        </w:tc>
        <w:tc>
          <w:tcPr>
            <w:tcW w:w="931" w:type="dxa"/>
          </w:tcPr>
          <w:p w:rsidR="00476F09" w:rsidRPr="00A17B9D" w:rsidRDefault="00A17B9D" w:rsidP="00A93200">
            <w:pPr>
              <w:pStyle w:val="Tabletext"/>
              <w:rPr>
                <w:b/>
                <w:highlight w:val="black"/>
              </w:rPr>
            </w:pPr>
            <w:r>
              <w:rPr>
                <w:b/>
                <w:noProof/>
                <w:color w:val="000000"/>
                <w:highlight w:val="black"/>
              </w:rPr>
              <w:t>'''''''''''''''''''''''''''</w:t>
            </w:r>
          </w:p>
        </w:tc>
        <w:tc>
          <w:tcPr>
            <w:tcW w:w="992" w:type="dxa"/>
          </w:tcPr>
          <w:p w:rsidR="00476F09" w:rsidRPr="00A17B9D" w:rsidRDefault="00A17B9D" w:rsidP="00A93200">
            <w:pPr>
              <w:pStyle w:val="Tabletext"/>
              <w:rPr>
                <w:b/>
                <w:highlight w:val="black"/>
              </w:rPr>
            </w:pPr>
            <w:r>
              <w:rPr>
                <w:b/>
                <w:noProof/>
                <w:color w:val="000000"/>
                <w:highlight w:val="black"/>
              </w:rPr>
              <w:t>'''''''''''''''''''''''''</w:t>
            </w:r>
          </w:p>
        </w:tc>
        <w:tc>
          <w:tcPr>
            <w:tcW w:w="1134" w:type="dxa"/>
          </w:tcPr>
          <w:p w:rsidR="00476F09" w:rsidRPr="00A17B9D" w:rsidRDefault="00A17B9D" w:rsidP="00A93200">
            <w:pPr>
              <w:pStyle w:val="Tabletext"/>
              <w:rPr>
                <w:b/>
                <w:highlight w:val="black"/>
              </w:rPr>
            </w:pPr>
            <w:r>
              <w:rPr>
                <w:b/>
                <w:noProof/>
                <w:color w:val="000000"/>
                <w:highlight w:val="black"/>
              </w:rPr>
              <w:t>''''''''''''''''''''''''</w:t>
            </w:r>
          </w:p>
        </w:tc>
        <w:tc>
          <w:tcPr>
            <w:tcW w:w="1276" w:type="dxa"/>
          </w:tcPr>
          <w:p w:rsidR="00476F09" w:rsidRPr="00A17B9D" w:rsidRDefault="00A17B9D" w:rsidP="00A93200">
            <w:pPr>
              <w:pStyle w:val="Tabletext"/>
              <w:rPr>
                <w:b/>
                <w:highlight w:val="black"/>
              </w:rPr>
            </w:pPr>
            <w:r>
              <w:rPr>
                <w:b/>
                <w:noProof/>
                <w:color w:val="000000"/>
                <w:highlight w:val="black"/>
              </w:rPr>
              <w:t>''''''''''' ''''''''''''''''''''''''''''''''''''</w:t>
            </w:r>
          </w:p>
        </w:tc>
        <w:tc>
          <w:tcPr>
            <w:tcW w:w="1417" w:type="dxa"/>
          </w:tcPr>
          <w:p w:rsidR="00476F09" w:rsidRPr="00A17B9D" w:rsidRDefault="00A17B9D" w:rsidP="00A93200">
            <w:pPr>
              <w:pStyle w:val="Tabletext"/>
              <w:rPr>
                <w:b/>
                <w:highlight w:val="black"/>
              </w:rPr>
            </w:pPr>
            <w:r>
              <w:rPr>
                <w:b/>
                <w:noProof/>
                <w:color w:val="000000"/>
                <w:highlight w:val="black"/>
              </w:rPr>
              <w:t>''''''''''''' '''''''''' '''''''''' ''''''' ''''''''' ''''''''' ''' '''''''''''''''''''''''</w:t>
            </w:r>
          </w:p>
        </w:tc>
        <w:tc>
          <w:tcPr>
            <w:tcW w:w="1134" w:type="dxa"/>
          </w:tcPr>
          <w:p w:rsidR="00476F09" w:rsidRPr="00A17B9D" w:rsidRDefault="00A17B9D" w:rsidP="00A93200">
            <w:pPr>
              <w:pStyle w:val="Tabletext"/>
              <w:rPr>
                <w:b/>
                <w:highlight w:val="black"/>
              </w:rPr>
            </w:pPr>
            <w:r>
              <w:rPr>
                <w:b/>
                <w:noProof/>
                <w:color w:val="000000"/>
                <w:highlight w:val="black"/>
              </w:rPr>
              <w:t>''''''''''''' ''''''''''' '''''''''' ''''''' ''''''''' ''''''''''''''''''''''''</w:t>
            </w:r>
          </w:p>
        </w:tc>
        <w:tc>
          <w:tcPr>
            <w:tcW w:w="993" w:type="dxa"/>
          </w:tcPr>
          <w:p w:rsidR="00476F09" w:rsidRPr="00A17B9D" w:rsidRDefault="00A17B9D" w:rsidP="00A93200">
            <w:pPr>
              <w:pStyle w:val="Tabletext"/>
              <w:rPr>
                <w:b/>
                <w:highlight w:val="black"/>
              </w:rPr>
            </w:pPr>
            <w:r>
              <w:rPr>
                <w:b/>
                <w:noProof/>
                <w:color w:val="000000"/>
                <w:highlight w:val="black"/>
              </w:rPr>
              <w:t>''''''''''' ''''''''''''''''' '''''''''''''''''</w:t>
            </w:r>
          </w:p>
        </w:tc>
        <w:tc>
          <w:tcPr>
            <w:tcW w:w="2188" w:type="dxa"/>
          </w:tcPr>
          <w:p w:rsidR="00476F09" w:rsidRPr="00A17B9D" w:rsidRDefault="00A17B9D" w:rsidP="00A93200">
            <w:pPr>
              <w:pStyle w:val="Tabletext"/>
              <w:rPr>
                <w:b/>
                <w:highlight w:val="black"/>
              </w:rPr>
            </w:pPr>
            <w:r>
              <w:rPr>
                <w:b/>
                <w:noProof/>
                <w:color w:val="000000"/>
                <w:highlight w:val="black"/>
              </w:rPr>
              <w:t>'''''''''''''''''''' ''''''''''''' '''''''''''''''</w:t>
            </w:r>
          </w:p>
        </w:tc>
        <w:tc>
          <w:tcPr>
            <w:tcW w:w="1214" w:type="dxa"/>
          </w:tcPr>
          <w:p w:rsidR="00D3348D" w:rsidRPr="00A17B9D" w:rsidRDefault="00A17B9D" w:rsidP="00A93200">
            <w:pPr>
              <w:pStyle w:val="Tabletext"/>
              <w:rPr>
                <w:b/>
                <w:highlight w:val="black"/>
              </w:rPr>
            </w:pPr>
            <w:r>
              <w:rPr>
                <w:b/>
                <w:noProof/>
                <w:color w:val="000000"/>
                <w:highlight w:val="black"/>
              </w:rPr>
              <w:t>'''''''''''''''''</w:t>
            </w:r>
          </w:p>
          <w:p w:rsidR="00476F09" w:rsidRPr="00A17B9D" w:rsidRDefault="00A17B9D" w:rsidP="00A93200">
            <w:pPr>
              <w:pStyle w:val="Tabletext"/>
              <w:rPr>
                <w:b/>
                <w:highlight w:val="black"/>
                <w:vertAlign w:val="superscript"/>
              </w:rPr>
            </w:pPr>
            <w:r>
              <w:rPr>
                <w:b/>
                <w:noProof/>
                <w:color w:val="000000"/>
                <w:highlight w:val="black"/>
              </w:rPr>
              <w:t>''''''''''''''</w:t>
            </w:r>
          </w:p>
          <w:p w:rsidR="00476F09" w:rsidRPr="00A17B9D" w:rsidRDefault="00A17B9D" w:rsidP="00A93200">
            <w:pPr>
              <w:pStyle w:val="Tabletext"/>
              <w:rPr>
                <w:b/>
                <w:highlight w:val="black"/>
              </w:rPr>
            </w:pPr>
            <w:r>
              <w:rPr>
                <w:b/>
                <w:noProof/>
                <w:color w:val="000000"/>
                <w:highlight w:val="black"/>
              </w:rPr>
              <w:t>'''''''''''''''''''''''''</w:t>
            </w:r>
          </w:p>
        </w:tc>
      </w:tr>
      <w:tr w:rsidR="00A867D8" w:rsidRPr="00835775" w:rsidTr="00BE3319">
        <w:trPr>
          <w:trHeight w:val="319"/>
        </w:trPr>
        <w:tc>
          <w:tcPr>
            <w:tcW w:w="1493" w:type="dxa"/>
          </w:tcPr>
          <w:p w:rsidR="00A867D8" w:rsidRPr="00A17B9D" w:rsidRDefault="00A17B9D" w:rsidP="00A867D8">
            <w:pPr>
              <w:pStyle w:val="Tabletext"/>
              <w:rPr>
                <w:rFonts w:cs="Tahoma"/>
                <w:highlight w:val="black"/>
              </w:rPr>
            </w:pPr>
            <w:r>
              <w:rPr>
                <w:rFonts w:cs="Tahoma"/>
                <w:noProof/>
                <w:color w:val="000000"/>
                <w:highlight w:val="black"/>
              </w:rPr>
              <w:t>'''''''''''''''' ''''''''''''''''''''''''''</w:t>
            </w:r>
            <w:r>
              <w:rPr>
                <w:rFonts w:cs="Tahoma"/>
                <w:noProof/>
                <w:color w:val="000000"/>
                <w:highlight w:val="black"/>
              </w:rPr>
              <w:br/>
              <w:t>''''''''' ''''''''''''''''</w:t>
            </w:r>
          </w:p>
        </w:tc>
        <w:tc>
          <w:tcPr>
            <w:tcW w:w="1054"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12"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31"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92"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1134" w:type="dxa"/>
          </w:tcPr>
          <w:p w:rsidR="00A867D8" w:rsidRPr="00A17B9D" w:rsidRDefault="00A17B9D" w:rsidP="00A867D8">
            <w:pPr>
              <w:pStyle w:val="Tabletext"/>
              <w:rPr>
                <w:rFonts w:cs="Tahoma"/>
                <w:highlight w:val="black"/>
                <w:vertAlign w:val="superscript"/>
              </w:rPr>
            </w:pPr>
            <w:r>
              <w:rPr>
                <w:rFonts w:cs="Tahoma"/>
                <w:noProof/>
                <w:color w:val="000000"/>
                <w:highlight w:val="black"/>
              </w:rPr>
              <w:t>''''''''''' '''''''''''''''' '''</w:t>
            </w:r>
          </w:p>
        </w:tc>
        <w:tc>
          <w:tcPr>
            <w:tcW w:w="1276" w:type="dxa"/>
          </w:tcPr>
          <w:p w:rsidR="00A867D8" w:rsidRPr="00A17B9D" w:rsidRDefault="00A17B9D" w:rsidP="00A867D8">
            <w:pPr>
              <w:pStyle w:val="Tabletext"/>
              <w:rPr>
                <w:rFonts w:cs="Tahoma"/>
                <w:highlight w:val="black"/>
              </w:rPr>
            </w:pPr>
            <w:r>
              <w:rPr>
                <w:rFonts w:cs="Tahoma"/>
                <w:noProof/>
                <w:color w:val="000000"/>
                <w:highlight w:val="black"/>
              </w:rPr>
              <w:t>'''''''''''''</w:t>
            </w:r>
          </w:p>
        </w:tc>
        <w:tc>
          <w:tcPr>
            <w:tcW w:w="1417"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1134"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93" w:type="dxa"/>
          </w:tcPr>
          <w:p w:rsidR="00A867D8" w:rsidRPr="00A17B9D" w:rsidRDefault="00A17B9D" w:rsidP="00A867D8">
            <w:pPr>
              <w:pStyle w:val="Tabletext"/>
              <w:rPr>
                <w:rFonts w:cs="Tahoma"/>
                <w:highlight w:val="black"/>
              </w:rPr>
            </w:pPr>
            <w:r>
              <w:rPr>
                <w:rFonts w:cs="Tahoma"/>
                <w:noProof/>
                <w:color w:val="000000"/>
                <w:highlight w:val="black"/>
              </w:rPr>
              <w:t>'''''''''''' ''' '''''''''''''''' ''''''''''''''''' ''''''''''''</w:t>
            </w:r>
          </w:p>
        </w:tc>
        <w:tc>
          <w:tcPr>
            <w:tcW w:w="2188" w:type="dxa"/>
          </w:tcPr>
          <w:p w:rsidR="00A867D8" w:rsidRPr="00A17B9D" w:rsidRDefault="00A17B9D" w:rsidP="00A867D8">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A867D8" w:rsidRPr="00A17B9D" w:rsidRDefault="00A17B9D" w:rsidP="00A867D8">
            <w:pPr>
              <w:pStyle w:val="Tabletext"/>
              <w:rPr>
                <w:rFonts w:cs="Cambria Math"/>
                <w:bCs/>
                <w:highlight w:val="black"/>
              </w:rPr>
            </w:pPr>
            <w:r>
              <w:rPr>
                <w:rFonts w:cs="Arial"/>
                <w:noProof/>
                <w:color w:val="000000"/>
                <w:highlight w:val="black"/>
              </w:rPr>
              <w:t>'''''''''</w:t>
            </w:r>
            <w:r>
              <w:rPr>
                <w:rFonts w:cs="Arial"/>
                <w:noProof/>
                <w:color w:val="000000"/>
                <w:highlight w:val="black"/>
              </w:rPr>
              <w:br/>
              <w:t>''''''''''''''</w:t>
            </w:r>
          </w:p>
          <w:p w:rsidR="00A867D8" w:rsidRPr="00A17B9D" w:rsidRDefault="00A17B9D" w:rsidP="00A867D8">
            <w:pPr>
              <w:pStyle w:val="Tabletext"/>
              <w:rPr>
                <w:rFonts w:cs="Tahoma"/>
                <w:highlight w:val="black"/>
              </w:rPr>
            </w:pPr>
            <w:r>
              <w:rPr>
                <w:rFonts w:cs="Cambria Math"/>
                <w:bCs/>
                <w:noProof/>
                <w:color w:val="000000"/>
                <w:highlight w:val="black"/>
              </w:rPr>
              <w:t xml:space="preserve">'''''''''''''''' </w:t>
            </w:r>
          </w:p>
        </w:tc>
      </w:tr>
      <w:tr w:rsidR="00A867D8" w:rsidRPr="00835775" w:rsidTr="00BE3319">
        <w:trPr>
          <w:trHeight w:val="319"/>
        </w:trPr>
        <w:tc>
          <w:tcPr>
            <w:tcW w:w="1493" w:type="dxa"/>
          </w:tcPr>
          <w:p w:rsidR="00A867D8" w:rsidRPr="00A17B9D" w:rsidRDefault="00A17B9D" w:rsidP="00A867D8">
            <w:pPr>
              <w:pStyle w:val="Tabletext"/>
              <w:rPr>
                <w:rFonts w:cs="Tahoma"/>
                <w:highlight w:val="black"/>
              </w:rPr>
            </w:pPr>
            <w:r>
              <w:rPr>
                <w:rFonts w:cs="Tahoma"/>
                <w:noProof/>
                <w:color w:val="000000"/>
                <w:highlight w:val="black"/>
              </w:rPr>
              <w:lastRenderedPageBreak/>
              <w:t>''''''''''''''''''</w:t>
            </w:r>
            <w:r>
              <w:rPr>
                <w:rFonts w:cs="Tahoma"/>
                <w:noProof/>
                <w:color w:val="000000"/>
                <w:highlight w:val="black"/>
              </w:rPr>
              <w:br/>
              <w:t>''''''''' '''''''''''''''''</w:t>
            </w:r>
          </w:p>
        </w:tc>
        <w:tc>
          <w:tcPr>
            <w:tcW w:w="1054"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12"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31"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92"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1134" w:type="dxa"/>
          </w:tcPr>
          <w:p w:rsidR="00A867D8" w:rsidRPr="00A17B9D" w:rsidRDefault="00A17B9D" w:rsidP="00A867D8">
            <w:pPr>
              <w:pStyle w:val="Tabletext"/>
              <w:rPr>
                <w:rFonts w:cs="Tahoma"/>
                <w:highlight w:val="black"/>
              </w:rPr>
            </w:pPr>
            <w:r>
              <w:rPr>
                <w:rFonts w:cs="Tahoma"/>
                <w:noProof/>
                <w:color w:val="000000"/>
                <w:highlight w:val="black"/>
              </w:rPr>
              <w:t>'''''''''' '''''''''''''''' '''</w:t>
            </w:r>
          </w:p>
        </w:tc>
        <w:tc>
          <w:tcPr>
            <w:tcW w:w="1276" w:type="dxa"/>
          </w:tcPr>
          <w:p w:rsidR="00A867D8" w:rsidRPr="00A17B9D" w:rsidRDefault="00A17B9D" w:rsidP="00A867D8">
            <w:pPr>
              <w:pStyle w:val="Tabletext"/>
              <w:rPr>
                <w:rFonts w:cs="Tahoma"/>
                <w:highlight w:val="black"/>
              </w:rPr>
            </w:pPr>
            <w:r>
              <w:rPr>
                <w:rFonts w:cs="Tahoma"/>
                <w:noProof/>
                <w:color w:val="000000"/>
                <w:highlight w:val="black"/>
              </w:rPr>
              <w:t>'''''''''''''</w:t>
            </w:r>
          </w:p>
        </w:tc>
        <w:tc>
          <w:tcPr>
            <w:tcW w:w="1417"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1134"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93" w:type="dxa"/>
          </w:tcPr>
          <w:p w:rsidR="00A867D8" w:rsidRPr="00A17B9D" w:rsidRDefault="00A17B9D" w:rsidP="00A867D8">
            <w:pPr>
              <w:pStyle w:val="Tabletext"/>
              <w:rPr>
                <w:rFonts w:cs="Tahoma"/>
                <w:highlight w:val="black"/>
              </w:rPr>
            </w:pPr>
            <w:r>
              <w:rPr>
                <w:rFonts w:cs="Tahoma"/>
                <w:noProof/>
                <w:color w:val="000000"/>
                <w:highlight w:val="black"/>
              </w:rPr>
              <w:t>'''''''''''' '''' ''''''''''''''''''' '''''''''''''''' '''''''''''</w:t>
            </w:r>
          </w:p>
        </w:tc>
        <w:tc>
          <w:tcPr>
            <w:tcW w:w="2188" w:type="dxa"/>
          </w:tcPr>
          <w:p w:rsidR="00A867D8" w:rsidRPr="00A17B9D" w:rsidRDefault="00A17B9D" w:rsidP="00A867D8">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A867D8" w:rsidRPr="00A17B9D" w:rsidRDefault="00A17B9D" w:rsidP="00A867D8">
            <w:pPr>
              <w:pStyle w:val="Tabletext"/>
              <w:rPr>
                <w:rFonts w:cs="Cambria Math"/>
                <w:bCs/>
                <w:highlight w:val="black"/>
              </w:rPr>
            </w:pPr>
            <w:r>
              <w:rPr>
                <w:rFonts w:cs="Arial"/>
                <w:noProof/>
                <w:color w:val="000000"/>
                <w:highlight w:val="black"/>
              </w:rPr>
              <w:t>'''''''''</w:t>
            </w:r>
            <w:r>
              <w:rPr>
                <w:rFonts w:cs="Arial"/>
                <w:noProof/>
                <w:color w:val="000000"/>
                <w:highlight w:val="black"/>
              </w:rPr>
              <w:br/>
              <w:t>'''''''''''''''</w:t>
            </w:r>
          </w:p>
          <w:p w:rsidR="00A867D8" w:rsidRPr="00A17B9D" w:rsidRDefault="00A17B9D" w:rsidP="00A867D8">
            <w:pPr>
              <w:pStyle w:val="Tabletext"/>
              <w:rPr>
                <w:rFonts w:cs="Tahoma"/>
                <w:highlight w:val="black"/>
              </w:rPr>
            </w:pPr>
            <w:r>
              <w:rPr>
                <w:rFonts w:cs="Arial"/>
                <w:noProof/>
                <w:color w:val="000000"/>
                <w:highlight w:val="black"/>
              </w:rPr>
              <w:t>'''''''''''''''''</w:t>
            </w:r>
          </w:p>
        </w:tc>
      </w:tr>
      <w:tr w:rsidR="00A867D8" w:rsidRPr="00835775" w:rsidTr="00BE3319">
        <w:trPr>
          <w:trHeight w:val="319"/>
        </w:trPr>
        <w:tc>
          <w:tcPr>
            <w:tcW w:w="1493" w:type="dxa"/>
          </w:tcPr>
          <w:p w:rsidR="00A867D8" w:rsidRPr="00A17B9D" w:rsidRDefault="00A17B9D" w:rsidP="00A867D8">
            <w:pPr>
              <w:pStyle w:val="Tabletext"/>
              <w:rPr>
                <w:rFonts w:cs="Tahoma"/>
                <w:highlight w:val="black"/>
              </w:rPr>
            </w:pPr>
            <w:r>
              <w:rPr>
                <w:rFonts w:cs="Tahoma"/>
                <w:noProof/>
                <w:color w:val="000000"/>
                <w:highlight w:val="black"/>
              </w:rPr>
              <w:t>''''''''''''''''''''''''''''''' ''''''''' ''''' '''''''''''</w:t>
            </w:r>
            <w:r>
              <w:rPr>
                <w:rFonts w:cs="Tahoma"/>
                <w:noProof/>
                <w:color w:val="000000"/>
                <w:highlight w:val="black"/>
              </w:rPr>
              <w:br/>
              <w:t>''''''' ''''''''''''''''''</w:t>
            </w:r>
          </w:p>
        </w:tc>
        <w:tc>
          <w:tcPr>
            <w:tcW w:w="1054"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12"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31"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92"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1134" w:type="dxa"/>
          </w:tcPr>
          <w:p w:rsidR="00A867D8" w:rsidRPr="00A17B9D" w:rsidRDefault="00A17B9D" w:rsidP="00A867D8">
            <w:pPr>
              <w:pStyle w:val="Tabletext"/>
              <w:rPr>
                <w:rFonts w:cs="Tahoma"/>
                <w:highlight w:val="black"/>
              </w:rPr>
            </w:pPr>
            <w:r>
              <w:rPr>
                <w:rFonts w:cs="Tahoma"/>
                <w:noProof/>
                <w:color w:val="000000"/>
                <w:highlight w:val="black"/>
              </w:rPr>
              <w:t>''''''''''' ''''''''''''''''' '''</w:t>
            </w:r>
          </w:p>
        </w:tc>
        <w:tc>
          <w:tcPr>
            <w:tcW w:w="1276" w:type="dxa"/>
          </w:tcPr>
          <w:p w:rsidR="00A867D8" w:rsidRPr="00A17B9D" w:rsidRDefault="00A17B9D" w:rsidP="00A867D8">
            <w:pPr>
              <w:pStyle w:val="Tabletext"/>
              <w:rPr>
                <w:rFonts w:cs="Tahoma"/>
                <w:highlight w:val="black"/>
              </w:rPr>
            </w:pPr>
            <w:r>
              <w:rPr>
                <w:rFonts w:cs="Tahoma"/>
                <w:noProof/>
                <w:color w:val="000000"/>
                <w:highlight w:val="black"/>
              </w:rPr>
              <w:t>''''''''''''</w:t>
            </w:r>
          </w:p>
        </w:tc>
        <w:tc>
          <w:tcPr>
            <w:tcW w:w="1417"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1134"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93"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2188"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1214" w:type="dxa"/>
          </w:tcPr>
          <w:p w:rsidR="00A867D8" w:rsidRPr="00A17B9D" w:rsidRDefault="00A17B9D" w:rsidP="00A867D8">
            <w:pPr>
              <w:pStyle w:val="Tabletext"/>
              <w:rPr>
                <w:rFonts w:cs="Cambria Math"/>
                <w:bCs/>
                <w:highlight w:val="black"/>
              </w:rPr>
            </w:pPr>
            <w:r>
              <w:rPr>
                <w:rFonts w:cs="Arial"/>
                <w:noProof/>
                <w:color w:val="000000"/>
                <w:highlight w:val="black"/>
              </w:rPr>
              <w:t>''''''''</w:t>
            </w:r>
            <w:r>
              <w:rPr>
                <w:rFonts w:cs="Arial"/>
                <w:noProof/>
                <w:color w:val="000000"/>
                <w:highlight w:val="black"/>
              </w:rPr>
              <w:br/>
              <w:t>'''''''''''''''''</w:t>
            </w:r>
          </w:p>
          <w:p w:rsidR="00A867D8" w:rsidRPr="00A17B9D" w:rsidRDefault="00A17B9D" w:rsidP="00A867D8">
            <w:pPr>
              <w:pStyle w:val="Tabletext"/>
              <w:rPr>
                <w:rFonts w:eastAsia="Times New Roman" w:cs="Cambria Math"/>
                <w:bCs/>
                <w:color w:val="00B050"/>
                <w:highlight w:val="black"/>
              </w:rPr>
            </w:pPr>
            <w:r>
              <w:rPr>
                <w:rFonts w:cs="Arial"/>
                <w:noProof/>
                <w:color w:val="000000"/>
                <w:highlight w:val="black"/>
              </w:rPr>
              <w:t>''''''''''''''''</w:t>
            </w:r>
          </w:p>
        </w:tc>
      </w:tr>
      <w:tr w:rsidR="00A867D8" w:rsidRPr="00835775" w:rsidTr="00BE3319">
        <w:trPr>
          <w:trHeight w:val="319"/>
        </w:trPr>
        <w:tc>
          <w:tcPr>
            <w:tcW w:w="1493" w:type="dxa"/>
          </w:tcPr>
          <w:p w:rsidR="00A867D8" w:rsidRPr="00A17B9D" w:rsidRDefault="00A17B9D" w:rsidP="00A867D8">
            <w:pPr>
              <w:pStyle w:val="Tabletext"/>
              <w:rPr>
                <w:rFonts w:cs="Tahoma"/>
                <w:highlight w:val="black"/>
              </w:rPr>
            </w:pPr>
            <w:r>
              <w:rPr>
                <w:rFonts w:cs="Tahoma"/>
                <w:noProof/>
                <w:color w:val="000000"/>
                <w:highlight w:val="black"/>
              </w:rPr>
              <w:t>'''''''''''''''''''''''' '''''''''''' '''''''</w:t>
            </w:r>
            <w:r>
              <w:rPr>
                <w:rFonts w:cs="Tahoma"/>
                <w:noProof/>
                <w:color w:val="000000"/>
                <w:highlight w:val="black"/>
              </w:rPr>
              <w:br/>
              <w:t>'''''''' ''''''''''''''''</w:t>
            </w:r>
          </w:p>
        </w:tc>
        <w:tc>
          <w:tcPr>
            <w:tcW w:w="1054"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12"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31"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92"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1134" w:type="dxa"/>
          </w:tcPr>
          <w:p w:rsidR="00A867D8" w:rsidRPr="00A17B9D" w:rsidRDefault="00A17B9D" w:rsidP="00A867D8">
            <w:pPr>
              <w:pStyle w:val="Tabletext"/>
              <w:rPr>
                <w:rFonts w:cs="Tahoma"/>
                <w:highlight w:val="black"/>
              </w:rPr>
            </w:pPr>
            <w:r>
              <w:rPr>
                <w:rFonts w:cs="Tahoma"/>
                <w:noProof/>
                <w:color w:val="000000"/>
                <w:highlight w:val="black"/>
              </w:rPr>
              <w:t>'''''''''''' '''''''''''''''''' '''</w:t>
            </w:r>
          </w:p>
        </w:tc>
        <w:tc>
          <w:tcPr>
            <w:tcW w:w="1276" w:type="dxa"/>
          </w:tcPr>
          <w:p w:rsidR="00A867D8" w:rsidRPr="00A17B9D" w:rsidRDefault="00A17B9D" w:rsidP="00A867D8">
            <w:pPr>
              <w:pStyle w:val="Tabletext"/>
              <w:rPr>
                <w:rFonts w:cs="Tahoma"/>
                <w:highlight w:val="black"/>
              </w:rPr>
            </w:pPr>
            <w:r>
              <w:rPr>
                <w:rFonts w:cs="Tahoma"/>
                <w:noProof/>
                <w:color w:val="000000"/>
                <w:highlight w:val="black"/>
              </w:rPr>
              <w:t>''''''''''''''</w:t>
            </w:r>
          </w:p>
        </w:tc>
        <w:tc>
          <w:tcPr>
            <w:tcW w:w="1417"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1134"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93" w:type="dxa"/>
          </w:tcPr>
          <w:p w:rsidR="00A867D8" w:rsidRPr="00A17B9D" w:rsidRDefault="00A17B9D" w:rsidP="00A867D8">
            <w:pPr>
              <w:pStyle w:val="Tabletext"/>
              <w:rPr>
                <w:rFonts w:cs="Tahoma"/>
                <w:highlight w:val="black"/>
              </w:rPr>
            </w:pPr>
            <w:r>
              <w:rPr>
                <w:rFonts w:cs="Tahoma"/>
                <w:noProof/>
                <w:color w:val="000000"/>
                <w:highlight w:val="black"/>
              </w:rPr>
              <w:t>'''''''' ''' '''''''''' ''''''''''''' ''''''''''''''''</w:t>
            </w:r>
          </w:p>
        </w:tc>
        <w:tc>
          <w:tcPr>
            <w:tcW w:w="2188" w:type="dxa"/>
          </w:tcPr>
          <w:p w:rsidR="00A867D8" w:rsidRPr="00A17B9D" w:rsidRDefault="00A17B9D" w:rsidP="00A867D8">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A867D8" w:rsidRPr="00A17B9D" w:rsidRDefault="00A17B9D" w:rsidP="00A867D8">
            <w:pPr>
              <w:pStyle w:val="Tabletext"/>
              <w:rPr>
                <w:rFonts w:ascii="Cambria Math" w:eastAsia="Times New Roman" w:hAnsi="Cambria Math" w:cs="Cambria Math"/>
                <w:bCs/>
                <w:highlight w:val="black"/>
              </w:rPr>
            </w:pPr>
            <w:r>
              <w:rPr>
                <w:rFonts w:eastAsia="Times New Roman" w:cs="Tahoma"/>
                <w:bCs/>
                <w:noProof/>
                <w:color w:val="000000"/>
                <w:highlight w:val="black"/>
              </w:rPr>
              <w:t>'''''''' ''''''''</w:t>
            </w:r>
            <w:r>
              <w:rPr>
                <w:rFonts w:eastAsia="Times New Roman" w:cs="Tahoma"/>
                <w:bCs/>
                <w:noProof/>
                <w:color w:val="000000"/>
                <w:highlight w:val="black"/>
              </w:rPr>
              <w:br/>
              <w:t>''''''''''''''''</w:t>
            </w:r>
          </w:p>
          <w:p w:rsidR="00A867D8" w:rsidRPr="00A17B9D" w:rsidRDefault="00A17B9D" w:rsidP="00A867D8">
            <w:pPr>
              <w:pStyle w:val="Tabletext"/>
              <w:rPr>
                <w:rFonts w:eastAsia="Times New Roman" w:cs="Cambria Math"/>
                <w:bCs/>
                <w:color w:val="00B050"/>
                <w:highlight w:val="black"/>
              </w:rPr>
            </w:pPr>
            <w:r>
              <w:rPr>
                <w:rFonts w:cs="Arial"/>
                <w:noProof/>
                <w:color w:val="000000"/>
                <w:highlight w:val="black"/>
              </w:rPr>
              <w:t>''''''''''''''''''''''</w:t>
            </w:r>
          </w:p>
        </w:tc>
      </w:tr>
      <w:tr w:rsidR="00A867D8" w:rsidRPr="00835775" w:rsidTr="00BE3319">
        <w:trPr>
          <w:trHeight w:val="319"/>
        </w:trPr>
        <w:tc>
          <w:tcPr>
            <w:tcW w:w="1493" w:type="dxa"/>
          </w:tcPr>
          <w:p w:rsidR="00A867D8" w:rsidRPr="00A17B9D" w:rsidRDefault="00A17B9D" w:rsidP="00A867D8">
            <w:pPr>
              <w:pStyle w:val="Tabletext"/>
              <w:rPr>
                <w:rFonts w:cs="Tahoma"/>
                <w:highlight w:val="black"/>
              </w:rPr>
            </w:pPr>
            <w:r>
              <w:rPr>
                <w:rFonts w:cs="Tahoma"/>
                <w:noProof/>
                <w:color w:val="000000"/>
                <w:highlight w:val="black"/>
              </w:rPr>
              <w:t>'''''''''''''''''''''' ''''''''''''' '''''''</w:t>
            </w:r>
            <w:r>
              <w:rPr>
                <w:rFonts w:cs="Tahoma"/>
                <w:noProof/>
                <w:color w:val="000000"/>
                <w:highlight w:val="black"/>
              </w:rPr>
              <w:br/>
              <w:t>'''''''' ''''''''''''''''</w:t>
            </w:r>
          </w:p>
        </w:tc>
        <w:tc>
          <w:tcPr>
            <w:tcW w:w="1054"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12"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31"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92"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1134" w:type="dxa"/>
          </w:tcPr>
          <w:p w:rsidR="00A867D8" w:rsidRPr="00A17B9D" w:rsidRDefault="00A17B9D" w:rsidP="00A867D8">
            <w:pPr>
              <w:pStyle w:val="Tabletext"/>
              <w:rPr>
                <w:rFonts w:cs="Tahoma"/>
                <w:highlight w:val="black"/>
              </w:rPr>
            </w:pPr>
            <w:r>
              <w:rPr>
                <w:rFonts w:cs="Tahoma"/>
                <w:noProof/>
                <w:color w:val="000000"/>
                <w:highlight w:val="black"/>
              </w:rPr>
              <w:t>'''''''''''' ''''''''''''''''''' '''</w:t>
            </w:r>
          </w:p>
        </w:tc>
        <w:tc>
          <w:tcPr>
            <w:tcW w:w="1276" w:type="dxa"/>
          </w:tcPr>
          <w:p w:rsidR="00A867D8" w:rsidRPr="00A17B9D" w:rsidRDefault="00A17B9D" w:rsidP="00A867D8">
            <w:pPr>
              <w:pStyle w:val="Tabletext"/>
              <w:rPr>
                <w:rFonts w:cs="Tahoma"/>
                <w:highlight w:val="black"/>
              </w:rPr>
            </w:pPr>
            <w:r>
              <w:rPr>
                <w:rFonts w:cs="Tahoma"/>
                <w:noProof/>
                <w:color w:val="000000"/>
                <w:highlight w:val="black"/>
              </w:rPr>
              <w:t>''''''''''''''</w:t>
            </w:r>
          </w:p>
        </w:tc>
        <w:tc>
          <w:tcPr>
            <w:tcW w:w="1417"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1134"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93" w:type="dxa"/>
          </w:tcPr>
          <w:p w:rsidR="00A867D8" w:rsidRPr="00A17B9D" w:rsidRDefault="00A17B9D" w:rsidP="00A867D8">
            <w:pPr>
              <w:pStyle w:val="Tabletext"/>
              <w:rPr>
                <w:rFonts w:cs="Tahoma"/>
                <w:highlight w:val="black"/>
              </w:rPr>
            </w:pPr>
            <w:r>
              <w:rPr>
                <w:rFonts w:cs="Tahoma"/>
                <w:noProof/>
                <w:color w:val="000000"/>
                <w:highlight w:val="black"/>
              </w:rPr>
              <w:t>'''''''''''' '''' ''''''''''''''''' '''''''''''''''' '''''''''''</w:t>
            </w:r>
          </w:p>
        </w:tc>
        <w:tc>
          <w:tcPr>
            <w:tcW w:w="2188" w:type="dxa"/>
          </w:tcPr>
          <w:p w:rsidR="00A867D8" w:rsidRPr="00A17B9D" w:rsidRDefault="00A17B9D" w:rsidP="00A867D8">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A867D8" w:rsidRPr="00A17B9D" w:rsidRDefault="00A17B9D" w:rsidP="00A867D8">
            <w:pPr>
              <w:pStyle w:val="Tabletext"/>
              <w:rPr>
                <w:rFonts w:cs="Cambria Math"/>
                <w:bCs/>
                <w:highlight w:val="black"/>
              </w:rPr>
            </w:pPr>
            <w:r>
              <w:rPr>
                <w:rFonts w:cs="Arial"/>
                <w:noProof/>
                <w:color w:val="000000"/>
                <w:highlight w:val="black"/>
              </w:rPr>
              <w:t>'''''''''</w:t>
            </w:r>
            <w:r>
              <w:rPr>
                <w:rFonts w:cs="Arial"/>
                <w:noProof/>
                <w:color w:val="000000"/>
                <w:highlight w:val="black"/>
              </w:rPr>
              <w:br/>
              <w:t>'''''''''''''''</w:t>
            </w:r>
          </w:p>
          <w:p w:rsidR="00A867D8" w:rsidRPr="00A17B9D" w:rsidRDefault="00A17B9D" w:rsidP="00A867D8">
            <w:pPr>
              <w:pStyle w:val="Tabletext"/>
              <w:rPr>
                <w:rFonts w:eastAsia="Times New Roman" w:cs="Cambria Math"/>
                <w:bCs/>
                <w:color w:val="00B050"/>
                <w:highlight w:val="black"/>
              </w:rPr>
            </w:pPr>
            <w:r>
              <w:rPr>
                <w:rFonts w:cs="Arial"/>
                <w:noProof/>
                <w:color w:val="000000"/>
                <w:highlight w:val="black"/>
              </w:rPr>
              <w:t>'''''''''''''''''''''</w:t>
            </w:r>
          </w:p>
        </w:tc>
      </w:tr>
      <w:tr w:rsidR="00A867D8" w:rsidRPr="00835775" w:rsidTr="00BE3319">
        <w:trPr>
          <w:trHeight w:val="319"/>
        </w:trPr>
        <w:tc>
          <w:tcPr>
            <w:tcW w:w="1493" w:type="dxa"/>
          </w:tcPr>
          <w:p w:rsidR="00A867D8" w:rsidRPr="00A17B9D" w:rsidRDefault="00A17B9D" w:rsidP="00A867D8">
            <w:pPr>
              <w:pStyle w:val="Tabletext"/>
              <w:rPr>
                <w:rFonts w:cs="Tahoma"/>
                <w:highlight w:val="black"/>
              </w:rPr>
            </w:pPr>
            <w:r>
              <w:rPr>
                <w:rFonts w:cs="Tahoma"/>
                <w:noProof/>
                <w:color w:val="000000"/>
                <w:highlight w:val="black"/>
              </w:rPr>
              <w:t>'''''''''''''''''' '''' '''''''''''''''''' '''''''''''' '''''''''''''''''''''</w:t>
            </w:r>
            <w:r>
              <w:rPr>
                <w:rFonts w:cs="Tahoma"/>
                <w:noProof/>
                <w:color w:val="000000"/>
                <w:highlight w:val="black"/>
              </w:rPr>
              <w:br/>
              <w:t xml:space="preserve">'''''''' ''''''''''''''''' </w:t>
            </w:r>
          </w:p>
        </w:tc>
        <w:tc>
          <w:tcPr>
            <w:tcW w:w="1054"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12"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31"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92" w:type="dxa"/>
          </w:tcPr>
          <w:p w:rsidR="00A867D8" w:rsidRPr="00A17B9D" w:rsidRDefault="00A17B9D" w:rsidP="00A867D8">
            <w:pPr>
              <w:pStyle w:val="Tabletext"/>
              <w:rPr>
                <w:rFonts w:cs="Tahoma"/>
                <w:highlight w:val="black"/>
                <w:vertAlign w:val="superscript"/>
              </w:rPr>
            </w:pPr>
            <w:r>
              <w:rPr>
                <w:rFonts w:cs="Tahoma"/>
                <w:noProof/>
                <w:color w:val="000000"/>
                <w:highlight w:val="black"/>
              </w:rPr>
              <w:t>'''''''''''''''''' ''''</w:t>
            </w:r>
          </w:p>
        </w:tc>
        <w:tc>
          <w:tcPr>
            <w:tcW w:w="1134" w:type="dxa"/>
          </w:tcPr>
          <w:p w:rsidR="00A867D8" w:rsidRPr="00A17B9D" w:rsidRDefault="00A17B9D" w:rsidP="00A867D8">
            <w:pPr>
              <w:pStyle w:val="Tabletext"/>
              <w:rPr>
                <w:rFonts w:cs="Tahoma"/>
                <w:highlight w:val="black"/>
              </w:rPr>
            </w:pPr>
            <w:r>
              <w:rPr>
                <w:rFonts w:cs="Tahoma"/>
                <w:noProof/>
                <w:color w:val="000000"/>
                <w:highlight w:val="black"/>
              </w:rPr>
              <w:t>''''''''''' '''''''''''''''''' '''</w:t>
            </w:r>
          </w:p>
        </w:tc>
        <w:tc>
          <w:tcPr>
            <w:tcW w:w="1276"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1417" w:type="dxa"/>
          </w:tcPr>
          <w:p w:rsidR="00A867D8" w:rsidRPr="00A17B9D" w:rsidRDefault="00A17B9D" w:rsidP="00A867D8">
            <w:pPr>
              <w:pStyle w:val="Tabletext"/>
              <w:rPr>
                <w:rFonts w:cs="Tahoma"/>
                <w:highlight w:val="black"/>
              </w:rPr>
            </w:pPr>
            <w:r>
              <w:rPr>
                <w:rFonts w:eastAsia="Times New Roman"/>
                <w:noProof/>
                <w:color w:val="000000"/>
                <w:highlight w:val="black"/>
              </w:rPr>
              <w:t>''''''' '''''''''''''''''''' ''''''''''''''</w:t>
            </w:r>
          </w:p>
        </w:tc>
        <w:tc>
          <w:tcPr>
            <w:tcW w:w="1134" w:type="dxa"/>
          </w:tcPr>
          <w:p w:rsidR="00A867D8" w:rsidRPr="00A17B9D" w:rsidRDefault="00A17B9D" w:rsidP="00A867D8">
            <w:pPr>
              <w:pStyle w:val="Tabletext"/>
              <w:rPr>
                <w:rFonts w:cs="Tahoma"/>
                <w:highlight w:val="green"/>
              </w:rPr>
            </w:pPr>
            <w:r>
              <w:rPr>
                <w:rStyle w:val="cell-value"/>
                <w:rFonts w:asciiTheme="minorHAnsi" w:eastAsia="Times New Roman" w:hAnsiTheme="minorHAnsi"/>
                <w:noProof/>
                <w:color w:val="000000"/>
                <w:highlight w:val="black"/>
              </w:rPr>
              <w:t>'''</w:t>
            </w:r>
            <w:r>
              <w:rPr>
                <w:rFonts w:eastAsia="Times New Roman"/>
                <w:noProof/>
                <w:color w:val="000000"/>
                <w:highlight w:val="black"/>
              </w:rPr>
              <w:t xml:space="preserve"> '''''''''''''''''''' ''''''''''''''</w:t>
            </w:r>
          </w:p>
        </w:tc>
        <w:tc>
          <w:tcPr>
            <w:tcW w:w="993" w:type="dxa"/>
          </w:tcPr>
          <w:p w:rsidR="00A867D8" w:rsidRPr="00A17B9D" w:rsidRDefault="00A17B9D" w:rsidP="00A867D8">
            <w:pPr>
              <w:pStyle w:val="Tabletext"/>
              <w:rPr>
                <w:rFonts w:cs="Tahoma"/>
                <w:highlight w:val="black"/>
              </w:rPr>
            </w:pPr>
            <w:r>
              <w:rPr>
                <w:rFonts w:cs="Tahoma"/>
                <w:noProof/>
                <w:color w:val="000000"/>
                <w:highlight w:val="black"/>
              </w:rPr>
              <w:t>''</w:t>
            </w:r>
          </w:p>
        </w:tc>
        <w:tc>
          <w:tcPr>
            <w:tcW w:w="2188" w:type="dxa"/>
          </w:tcPr>
          <w:p w:rsidR="00A867D8" w:rsidRPr="00A17B9D" w:rsidRDefault="00A17B9D" w:rsidP="00A867D8">
            <w:pPr>
              <w:pStyle w:val="Tabletext"/>
              <w:rPr>
                <w:rFonts w:cs="Tahoma"/>
                <w:highlight w:val="black"/>
              </w:rPr>
            </w:pPr>
            <w:r>
              <w:rPr>
                <w:rFonts w:cs="Tahoma"/>
                <w:noProof/>
                <w:color w:val="000000"/>
                <w:highlight w:val="black"/>
              </w:rPr>
              <w:t>''''''''' '''''''''''''' '''' '''''''''''''''''</w:t>
            </w:r>
            <w:r>
              <w:rPr>
                <w:rFonts w:cs="Tahoma"/>
                <w:noProof/>
                <w:color w:val="000000"/>
                <w:highlight w:val="black"/>
              </w:rPr>
              <w:br/>
              <w:t>''''''''''' ''''' '''''''''''''''' ''''' '''''''''''' ''''' '''''''''''''''''''</w:t>
            </w:r>
          </w:p>
        </w:tc>
        <w:tc>
          <w:tcPr>
            <w:tcW w:w="1214" w:type="dxa"/>
          </w:tcPr>
          <w:p w:rsidR="00A867D8" w:rsidRPr="00A17B9D" w:rsidRDefault="00A17B9D" w:rsidP="00A867D8">
            <w:pPr>
              <w:pStyle w:val="Tabletext"/>
              <w:rPr>
                <w:rFonts w:cs="Cambria Math"/>
                <w:bCs/>
                <w:highlight w:val="black"/>
              </w:rPr>
            </w:pPr>
            <w:r>
              <w:rPr>
                <w:rFonts w:cs="Arial"/>
                <w:noProof/>
                <w:color w:val="000000"/>
                <w:highlight w:val="black"/>
              </w:rPr>
              <w:t>'''''''</w:t>
            </w:r>
            <w:r>
              <w:rPr>
                <w:rFonts w:cs="Arial"/>
                <w:noProof/>
                <w:color w:val="000000"/>
                <w:highlight w:val="black"/>
              </w:rPr>
              <w:br/>
              <w:t>''''''''''''''</w:t>
            </w:r>
          </w:p>
          <w:p w:rsidR="00A867D8" w:rsidRPr="00A17B9D" w:rsidRDefault="00A17B9D" w:rsidP="00A867D8">
            <w:pPr>
              <w:pStyle w:val="Tabletext"/>
              <w:rPr>
                <w:rFonts w:cs="Tahoma"/>
                <w:highlight w:val="black"/>
              </w:rPr>
            </w:pPr>
            <w:r>
              <w:rPr>
                <w:rFonts w:cs="Arial"/>
                <w:noProof/>
                <w:color w:val="000000"/>
                <w:highlight w:val="black"/>
              </w:rPr>
              <w:t>''''''''''''''''''''''''</w:t>
            </w:r>
          </w:p>
        </w:tc>
      </w:tr>
      <w:tr w:rsidR="00A867D8" w:rsidRPr="00835775" w:rsidTr="00BE3319">
        <w:trPr>
          <w:trHeight w:val="319"/>
        </w:trPr>
        <w:tc>
          <w:tcPr>
            <w:tcW w:w="1493" w:type="dxa"/>
          </w:tcPr>
          <w:p w:rsidR="00A867D8" w:rsidRPr="00A17B9D" w:rsidRDefault="00A17B9D" w:rsidP="00A867D8">
            <w:pPr>
              <w:pStyle w:val="Tabletext"/>
              <w:rPr>
                <w:rFonts w:cs="Tahoma"/>
                <w:highlight w:val="black"/>
              </w:rPr>
            </w:pPr>
            <w:r>
              <w:rPr>
                <w:rFonts w:cs="Tahoma"/>
                <w:noProof/>
                <w:color w:val="000000"/>
                <w:highlight w:val="black"/>
              </w:rPr>
              <w:t xml:space="preserve">''''''''''''''''''' ''''' '''''''''' ''''''''''' ''''''''''''''''''''' ''''''' '''''''''''''''' </w:t>
            </w:r>
          </w:p>
        </w:tc>
        <w:tc>
          <w:tcPr>
            <w:tcW w:w="1054"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12"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31"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92"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1134" w:type="dxa"/>
          </w:tcPr>
          <w:p w:rsidR="00A867D8" w:rsidRPr="00A17B9D" w:rsidRDefault="00A17B9D" w:rsidP="00A867D8">
            <w:pPr>
              <w:pStyle w:val="Tabletext"/>
              <w:rPr>
                <w:rFonts w:cs="Tahoma"/>
                <w:highlight w:val="black"/>
              </w:rPr>
            </w:pPr>
            <w:r>
              <w:rPr>
                <w:rFonts w:cs="Tahoma"/>
                <w:noProof/>
                <w:color w:val="000000"/>
                <w:highlight w:val="black"/>
              </w:rPr>
              <w:t>'''''''''''' '''''''''''''''' '''</w:t>
            </w:r>
          </w:p>
        </w:tc>
        <w:tc>
          <w:tcPr>
            <w:tcW w:w="1276" w:type="dxa"/>
          </w:tcPr>
          <w:p w:rsidR="00A867D8" w:rsidRPr="00A17B9D" w:rsidRDefault="00A17B9D" w:rsidP="00A867D8">
            <w:pPr>
              <w:pStyle w:val="Tabletext"/>
              <w:rPr>
                <w:rFonts w:cs="Tahoma"/>
                <w:highlight w:val="black"/>
              </w:rPr>
            </w:pPr>
            <w:r>
              <w:rPr>
                <w:rFonts w:cs="Tahoma"/>
                <w:noProof/>
                <w:color w:val="000000"/>
                <w:highlight w:val="black"/>
              </w:rPr>
              <w:t>''''''''''''''''' '''''''''''''''''''''''''''''</w:t>
            </w:r>
          </w:p>
          <w:p w:rsidR="00A867D8" w:rsidRPr="00A17B9D" w:rsidRDefault="00A17B9D" w:rsidP="00A867D8">
            <w:pPr>
              <w:pStyle w:val="Tabletext"/>
              <w:rPr>
                <w:rFonts w:cs="Tahoma"/>
                <w:highlight w:val="black"/>
              </w:rPr>
            </w:pPr>
            <w:r>
              <w:rPr>
                <w:rFonts w:cs="Tahoma"/>
                <w:noProof/>
                <w:color w:val="000000"/>
                <w:highlight w:val="black"/>
              </w:rPr>
              <w:t>''''''''''''</w:t>
            </w:r>
          </w:p>
        </w:tc>
        <w:tc>
          <w:tcPr>
            <w:tcW w:w="1417" w:type="dxa"/>
          </w:tcPr>
          <w:p w:rsidR="00A867D8" w:rsidRPr="00A17B9D" w:rsidRDefault="00A17B9D" w:rsidP="00A867D8">
            <w:pPr>
              <w:pStyle w:val="Tabletext"/>
              <w:rPr>
                <w:rFonts w:cs="Tahoma"/>
                <w:highlight w:val="black"/>
              </w:rPr>
            </w:pPr>
            <w:r>
              <w:rPr>
                <w:rFonts w:eastAsia="Times New Roman"/>
                <w:noProof/>
                <w:color w:val="000000"/>
                <w:highlight w:val="black"/>
              </w:rPr>
              <w:t>''''' '''''''''''''''''''' ''''''''''''''''</w:t>
            </w:r>
          </w:p>
        </w:tc>
        <w:tc>
          <w:tcPr>
            <w:tcW w:w="1134" w:type="dxa"/>
          </w:tcPr>
          <w:p w:rsidR="00A867D8" w:rsidRPr="00A17B9D" w:rsidRDefault="00A17B9D" w:rsidP="00A867D8">
            <w:pPr>
              <w:pStyle w:val="Tabletext"/>
              <w:rPr>
                <w:rFonts w:cs="Tahoma"/>
                <w:highlight w:val="green"/>
              </w:rPr>
            </w:pPr>
            <w:r>
              <w:rPr>
                <w:rStyle w:val="cell-value"/>
                <w:rFonts w:asciiTheme="minorHAnsi" w:eastAsia="Times New Roman" w:hAnsiTheme="minorHAnsi"/>
                <w:noProof/>
                <w:color w:val="000000"/>
                <w:highlight w:val="black"/>
              </w:rPr>
              <w:t>'''</w:t>
            </w:r>
            <w:r>
              <w:rPr>
                <w:rFonts w:eastAsia="Times New Roman"/>
                <w:noProof/>
                <w:color w:val="000000"/>
                <w:highlight w:val="black"/>
              </w:rPr>
              <w:t xml:space="preserve"> '''''''''''''''''' ''''''''''''''</w:t>
            </w:r>
          </w:p>
        </w:tc>
        <w:tc>
          <w:tcPr>
            <w:tcW w:w="993" w:type="dxa"/>
          </w:tcPr>
          <w:p w:rsidR="00A867D8" w:rsidRPr="00A17B9D" w:rsidRDefault="00A17B9D" w:rsidP="00A867D8">
            <w:pPr>
              <w:pStyle w:val="Tabletext"/>
              <w:rPr>
                <w:rFonts w:cs="Tahoma"/>
                <w:highlight w:val="black"/>
              </w:rPr>
            </w:pPr>
            <w:r>
              <w:rPr>
                <w:rFonts w:cs="Tahoma"/>
                <w:noProof/>
                <w:color w:val="000000"/>
                <w:highlight w:val="black"/>
              </w:rPr>
              <w:t>'''</w:t>
            </w:r>
          </w:p>
        </w:tc>
        <w:tc>
          <w:tcPr>
            <w:tcW w:w="2188" w:type="dxa"/>
          </w:tcPr>
          <w:p w:rsidR="00A867D8" w:rsidRPr="00A17B9D" w:rsidRDefault="00A17B9D" w:rsidP="00A867D8">
            <w:pPr>
              <w:pStyle w:val="Tabletext"/>
              <w:rPr>
                <w:rFonts w:cs="Tahoma"/>
                <w:highlight w:val="black"/>
              </w:rPr>
            </w:pPr>
            <w:r>
              <w:rPr>
                <w:rFonts w:cs="Tahoma"/>
                <w:noProof/>
                <w:color w:val="000000"/>
                <w:highlight w:val="black"/>
              </w:rPr>
              <w:t>'''''''''''''''''''''</w:t>
            </w:r>
            <w:r>
              <w:rPr>
                <w:rFonts w:cs="Tahoma"/>
                <w:noProof/>
                <w:color w:val="000000"/>
                <w:highlight w:val="black"/>
              </w:rPr>
              <w:br/>
              <w:t>''''''''' ''''''''''''' '''''''''''' '''''''''''''''''''''''''''''</w:t>
            </w:r>
          </w:p>
          <w:p w:rsidR="00A867D8" w:rsidRPr="00A17B9D" w:rsidRDefault="00A17B9D" w:rsidP="00A867D8">
            <w:pPr>
              <w:pStyle w:val="Tabletext"/>
              <w:rPr>
                <w:rFonts w:cs="Tahoma"/>
                <w:highlight w:val="black"/>
              </w:rPr>
            </w:pPr>
            <w:r>
              <w:rPr>
                <w:rFonts w:cs="Tahoma"/>
                <w:noProof/>
                <w:color w:val="000000"/>
                <w:highlight w:val="black"/>
              </w:rPr>
              <w:t>'''''''''''</w:t>
            </w:r>
            <w:r>
              <w:rPr>
                <w:rFonts w:cs="Tahoma"/>
                <w:noProof/>
                <w:color w:val="000000"/>
                <w:highlight w:val="black"/>
              </w:rPr>
              <w:br/>
              <w:t>''''''''' '''''''' ''''''''''''' ''''''''''''''''''''''''''''</w:t>
            </w:r>
          </w:p>
        </w:tc>
        <w:tc>
          <w:tcPr>
            <w:tcW w:w="1214" w:type="dxa"/>
          </w:tcPr>
          <w:p w:rsidR="00A867D8" w:rsidRPr="00A17B9D" w:rsidRDefault="00A17B9D" w:rsidP="00A867D8">
            <w:pPr>
              <w:pStyle w:val="Tabletext"/>
              <w:rPr>
                <w:rFonts w:cs="Cambria Math"/>
                <w:bCs/>
                <w:highlight w:val="black"/>
              </w:rPr>
            </w:pPr>
            <w:r>
              <w:rPr>
                <w:rFonts w:cs="Arial"/>
                <w:noProof/>
                <w:color w:val="000000"/>
                <w:highlight w:val="black"/>
              </w:rPr>
              <w:t>''''''''''''''''''</w:t>
            </w:r>
            <w:r>
              <w:rPr>
                <w:rFonts w:cs="Arial"/>
                <w:noProof/>
                <w:color w:val="000000"/>
                <w:highlight w:val="black"/>
              </w:rPr>
              <w:br/>
              <w:t>''''''''''''''''</w:t>
            </w:r>
          </w:p>
          <w:p w:rsidR="00A867D8" w:rsidRPr="00A17B9D" w:rsidRDefault="00A17B9D" w:rsidP="00A867D8">
            <w:pPr>
              <w:pStyle w:val="Tabletext"/>
              <w:rPr>
                <w:rFonts w:eastAsia="Times New Roman" w:cs="Cambria Math"/>
                <w:bCs/>
                <w:color w:val="00B050"/>
                <w:highlight w:val="black"/>
              </w:rPr>
            </w:pPr>
            <w:r>
              <w:rPr>
                <w:rFonts w:cs="Arial"/>
                <w:noProof/>
                <w:color w:val="000000"/>
                <w:highlight w:val="black"/>
              </w:rPr>
              <w:t>'''''''''''''''''''''''</w:t>
            </w:r>
          </w:p>
        </w:tc>
      </w:tr>
      <w:tr w:rsidR="00A867D8" w:rsidRPr="00835775" w:rsidTr="00BE3319">
        <w:trPr>
          <w:trHeight w:val="945"/>
        </w:trPr>
        <w:tc>
          <w:tcPr>
            <w:tcW w:w="1493" w:type="dxa"/>
          </w:tcPr>
          <w:p w:rsidR="00A867D8" w:rsidRPr="00A17B9D" w:rsidRDefault="00A17B9D" w:rsidP="00A867D8">
            <w:pPr>
              <w:pStyle w:val="Tabletext"/>
              <w:rPr>
                <w:rFonts w:cs="Tahoma"/>
                <w:highlight w:val="black"/>
              </w:rPr>
            </w:pPr>
            <w:r>
              <w:rPr>
                <w:rFonts w:cs="Tahoma"/>
                <w:noProof/>
                <w:color w:val="000000"/>
                <w:highlight w:val="black"/>
              </w:rPr>
              <w:t>'''''''''''''''''' ''''' '''''''''''''''''''''''''''''''''''' ''''''''''''''''''''''''''''' ''''''''''' ''''''''''''''''''</w:t>
            </w:r>
            <w:r>
              <w:rPr>
                <w:rFonts w:cs="Tahoma"/>
                <w:noProof/>
                <w:color w:val="000000"/>
                <w:highlight w:val="black"/>
              </w:rPr>
              <w:br/>
              <w:t xml:space="preserve">''''''' ''''''''''''''''' </w:t>
            </w:r>
          </w:p>
        </w:tc>
        <w:tc>
          <w:tcPr>
            <w:tcW w:w="1054"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12"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31"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992" w:type="dxa"/>
          </w:tcPr>
          <w:p w:rsidR="00A867D8" w:rsidRPr="00A17B9D" w:rsidRDefault="00A17B9D" w:rsidP="00A867D8">
            <w:pPr>
              <w:pStyle w:val="Tabletext"/>
              <w:rPr>
                <w:rFonts w:cs="Tahoma"/>
                <w:highlight w:val="black"/>
                <w:vertAlign w:val="superscript"/>
              </w:rPr>
            </w:pPr>
            <w:r>
              <w:rPr>
                <w:rFonts w:cs="Tahoma"/>
                <w:noProof/>
                <w:color w:val="000000"/>
                <w:highlight w:val="black"/>
              </w:rPr>
              <w:t>''''''''''' '''''''''''''''''''''</w:t>
            </w:r>
          </w:p>
        </w:tc>
        <w:tc>
          <w:tcPr>
            <w:tcW w:w="1134" w:type="dxa"/>
          </w:tcPr>
          <w:p w:rsidR="00A867D8" w:rsidRPr="00A17B9D" w:rsidRDefault="00A17B9D" w:rsidP="00A867D8">
            <w:pPr>
              <w:pStyle w:val="Tabletext"/>
              <w:rPr>
                <w:rFonts w:cs="Tahoma"/>
                <w:highlight w:val="black"/>
              </w:rPr>
            </w:pPr>
            <w:r>
              <w:rPr>
                <w:rFonts w:cs="Tahoma"/>
                <w:noProof/>
                <w:color w:val="000000"/>
                <w:highlight w:val="black"/>
              </w:rPr>
              <w:t>''''''''''' '''''''''''''''' '''</w:t>
            </w:r>
          </w:p>
        </w:tc>
        <w:tc>
          <w:tcPr>
            <w:tcW w:w="1276" w:type="dxa"/>
          </w:tcPr>
          <w:p w:rsidR="00A867D8" w:rsidRPr="00A17B9D" w:rsidRDefault="00A17B9D" w:rsidP="00A867D8">
            <w:pPr>
              <w:pStyle w:val="Tabletext"/>
              <w:rPr>
                <w:rFonts w:cs="Tahoma"/>
                <w:highlight w:val="black"/>
              </w:rPr>
            </w:pPr>
            <w:r>
              <w:rPr>
                <w:rFonts w:cs="Tahoma"/>
                <w:noProof/>
                <w:color w:val="000000"/>
                <w:highlight w:val="black"/>
              </w:rPr>
              <w:t>''''''''''''''' ''''''''''''''''''''''''''</w:t>
            </w:r>
          </w:p>
        </w:tc>
        <w:tc>
          <w:tcPr>
            <w:tcW w:w="1417" w:type="dxa"/>
          </w:tcPr>
          <w:p w:rsidR="00A867D8" w:rsidRPr="00A17B9D" w:rsidRDefault="00A17B9D" w:rsidP="00A867D8">
            <w:pPr>
              <w:pStyle w:val="Tabletext"/>
              <w:rPr>
                <w:rFonts w:eastAsia="Times New Roman"/>
                <w:highlight w:val="black"/>
              </w:rPr>
            </w:pPr>
            <w:r>
              <w:rPr>
                <w:rFonts w:eastAsia="Times New Roman"/>
                <w:noProof/>
                <w:color w:val="000000"/>
                <w:highlight w:val="black"/>
              </w:rPr>
              <w:t>'''''' '''''''''''''''''''' ''''''''''''''''</w:t>
            </w:r>
          </w:p>
        </w:tc>
        <w:tc>
          <w:tcPr>
            <w:tcW w:w="1134" w:type="dxa"/>
          </w:tcPr>
          <w:p w:rsidR="00A867D8" w:rsidRPr="00A17B9D" w:rsidRDefault="00A17B9D" w:rsidP="00A867D8">
            <w:pPr>
              <w:pStyle w:val="Tabletext"/>
              <w:rPr>
                <w:rStyle w:val="cell-value"/>
                <w:rFonts w:asciiTheme="minorHAnsi" w:eastAsia="Times New Roman" w:hAnsiTheme="minorHAnsi"/>
                <w:highlight w:val="green"/>
              </w:rPr>
            </w:pPr>
            <w:r>
              <w:rPr>
                <w:rStyle w:val="cell-value"/>
                <w:rFonts w:asciiTheme="minorHAnsi" w:eastAsia="Times New Roman" w:hAnsiTheme="minorHAnsi"/>
                <w:noProof/>
                <w:color w:val="000000"/>
                <w:highlight w:val="black"/>
              </w:rPr>
              <w:t>'''</w:t>
            </w:r>
            <w:r>
              <w:rPr>
                <w:rFonts w:eastAsia="Times New Roman"/>
                <w:noProof/>
                <w:color w:val="000000"/>
                <w:highlight w:val="black"/>
              </w:rPr>
              <w:t xml:space="preserve"> ''''''''''''''''''' ''''''''''''''</w:t>
            </w:r>
          </w:p>
        </w:tc>
        <w:tc>
          <w:tcPr>
            <w:tcW w:w="993" w:type="dxa"/>
          </w:tcPr>
          <w:p w:rsidR="00A867D8" w:rsidRPr="00A17B9D" w:rsidRDefault="00A17B9D" w:rsidP="00A867D8">
            <w:pPr>
              <w:pStyle w:val="Tabletext"/>
              <w:rPr>
                <w:rFonts w:cs="Tahoma"/>
                <w:highlight w:val="black"/>
              </w:rPr>
            </w:pPr>
            <w:r>
              <w:rPr>
                <w:rFonts w:cs="Tahoma"/>
                <w:noProof/>
                <w:color w:val="000000"/>
                <w:highlight w:val="black"/>
              </w:rPr>
              <w:t>''</w:t>
            </w:r>
          </w:p>
        </w:tc>
        <w:tc>
          <w:tcPr>
            <w:tcW w:w="2188" w:type="dxa"/>
          </w:tcPr>
          <w:p w:rsidR="00A867D8" w:rsidRPr="00A17B9D" w:rsidRDefault="00A17B9D" w:rsidP="00A867D8">
            <w:pPr>
              <w:pStyle w:val="Tabletext"/>
              <w:rPr>
                <w:rFonts w:cs="Tahoma"/>
                <w:highlight w:val="black"/>
              </w:rPr>
            </w:pPr>
            <w:r>
              <w:rPr>
                <w:rFonts w:cs="Tahoma"/>
                <w:noProof/>
                <w:color w:val="000000"/>
                <w:highlight w:val="black"/>
              </w:rPr>
              <w:t>''''''''''</w:t>
            </w:r>
            <w:r>
              <w:rPr>
                <w:rFonts w:cs="Tahoma"/>
                <w:noProof/>
                <w:color w:val="000000"/>
                <w:highlight w:val="black"/>
              </w:rPr>
              <w:br/>
              <w:t>'''''''' '''''''''''''''' ''''''''''''''''''''''''''''''</w:t>
            </w:r>
          </w:p>
        </w:tc>
        <w:tc>
          <w:tcPr>
            <w:tcW w:w="1214" w:type="dxa"/>
          </w:tcPr>
          <w:p w:rsidR="00A867D8" w:rsidRPr="00A17B9D" w:rsidRDefault="00A17B9D" w:rsidP="00A867D8">
            <w:pPr>
              <w:pStyle w:val="Tabletext"/>
              <w:rPr>
                <w:rFonts w:cs="Cambria Math"/>
                <w:bCs/>
                <w:highlight w:val="black"/>
              </w:rPr>
            </w:pPr>
            <w:r>
              <w:rPr>
                <w:rFonts w:cs="Arial"/>
                <w:noProof/>
                <w:color w:val="000000"/>
                <w:highlight w:val="black"/>
              </w:rPr>
              <w:t>'''''''''' '''''''</w:t>
            </w:r>
            <w:r>
              <w:rPr>
                <w:rFonts w:cs="Arial"/>
                <w:noProof/>
                <w:color w:val="000000"/>
                <w:highlight w:val="black"/>
              </w:rPr>
              <w:br/>
              <w:t>''''''''''''''</w:t>
            </w:r>
          </w:p>
          <w:p w:rsidR="00A867D8" w:rsidRPr="00A17B9D" w:rsidRDefault="00A17B9D" w:rsidP="00A867D8">
            <w:pPr>
              <w:pStyle w:val="Tabletext"/>
              <w:rPr>
                <w:rFonts w:eastAsia="Times New Roman" w:cs="Tahoma"/>
                <w:bCs/>
                <w:highlight w:val="black"/>
              </w:rPr>
            </w:pPr>
            <w:r>
              <w:rPr>
                <w:rFonts w:cs="Arial"/>
                <w:noProof/>
                <w:color w:val="000000"/>
                <w:highlight w:val="black"/>
              </w:rPr>
              <w:t>'''''''' ''''''''''''''''''''''</w:t>
            </w:r>
          </w:p>
        </w:tc>
      </w:tr>
    </w:tbl>
    <w:p w:rsidR="00CC3BA4" w:rsidRPr="00A17B9D" w:rsidRDefault="00A17B9D" w:rsidP="00A93200">
      <w:pPr>
        <w:pStyle w:val="Tablenote"/>
        <w:rPr>
          <w:highlight w:val="black"/>
        </w:rPr>
      </w:pPr>
      <w:r>
        <w:rPr>
          <w:noProof/>
          <w:color w:val="000000"/>
          <w:highlight w:val="black"/>
          <w:vertAlign w:val="superscript"/>
        </w:rPr>
        <w:t>''' '''''''''''''' ''''''''''''''''''''''''''''''''''''' ''''''''''' '''''' ''''''''''''''''''''''' ''''''''''' ''''''''' ''''''''''''' '''''''''</w:t>
      </w:r>
    </w:p>
    <w:p w:rsidR="00CC3BA4" w:rsidRPr="00A17B9D" w:rsidRDefault="00A17B9D" w:rsidP="00A93200">
      <w:pPr>
        <w:pStyle w:val="Tablenote"/>
        <w:rPr>
          <w:highlight w:val="black"/>
        </w:rPr>
      </w:pPr>
      <w:r>
        <w:rPr>
          <w:noProof/>
          <w:color w:val="000000"/>
          <w:highlight w:val="black"/>
          <w:vertAlign w:val="superscript"/>
        </w:rPr>
        <w:lastRenderedPageBreak/>
        <w:t>''' '''''''''''''''''' '''''''''''''''''''' ''''''''''''''' ''''''''''''''' '''''' '''''''''''''''''''''''''</w:t>
      </w:r>
    </w:p>
    <w:p w:rsidR="00A867D8" w:rsidRPr="00A17B9D" w:rsidRDefault="00A17B9D" w:rsidP="00A93200">
      <w:pPr>
        <w:pStyle w:val="Tablenote"/>
        <w:rPr>
          <w:highlight w:val="black"/>
        </w:rPr>
      </w:pPr>
      <w:r>
        <w:rPr>
          <w:noProof/>
          <w:color w:val="000000"/>
          <w:highlight w:val="black"/>
          <w:vertAlign w:val="superscript"/>
        </w:rPr>
        <w:t>''' '''''''''''' '''''''''''''' ''''''''''</w:t>
      </w:r>
    </w:p>
    <w:p w:rsidR="00CC3BA4" w:rsidRPr="00A17B9D" w:rsidRDefault="00A17B9D" w:rsidP="00A93200">
      <w:pPr>
        <w:pStyle w:val="Tablenote"/>
        <w:rPr>
          <w:highlight w:val="black"/>
        </w:rPr>
      </w:pPr>
      <w:r>
        <w:rPr>
          <w:noProof/>
          <w:color w:val="000000"/>
          <w:highlight w:val="black"/>
          <w:vertAlign w:val="superscript"/>
        </w:rPr>
        <w:t>''' '''''''''''' '''''''''''' ''''''''' ''''''''' '''''''''''' '''</w:t>
      </w:r>
    </w:p>
    <w:p w:rsidR="00A76779" w:rsidRPr="00A17B9D" w:rsidRDefault="00A17B9D" w:rsidP="00A76779">
      <w:pPr>
        <w:pStyle w:val="Tablenote"/>
        <w:rPr>
          <w:highlight w:val="black"/>
        </w:rPr>
      </w:pPr>
      <w:r>
        <w:rPr>
          <w:noProof/>
          <w:color w:val="000000"/>
          <w:highlight w:val="black"/>
          <w:vertAlign w:val="superscript"/>
        </w:rPr>
        <w:t>''' ''''''''''''''' '''''''''''' ''''''''''''''' ''''''''''''' '''''''''''' '''''''''''''' ''''' '''''''''''' '''' '''''''''''''' '''''''''''''' '''''''''''''''''''''''' ''''''''''''' ''''''''''''</w:t>
      </w:r>
    </w:p>
    <w:p w:rsidR="00A76779" w:rsidRPr="00A17B9D" w:rsidRDefault="00A17B9D" w:rsidP="00A76779">
      <w:pPr>
        <w:pStyle w:val="Tablenote"/>
        <w:rPr>
          <w:highlight w:val="black"/>
        </w:rPr>
      </w:pPr>
      <w:r>
        <w:rPr>
          <w:noProof/>
          <w:color w:val="000000"/>
          <w:highlight w:val="black"/>
          <w:vertAlign w:val="superscript"/>
        </w:rPr>
        <w:t>'' '''''''''' '''''''''''' '''''''''''''' ''''''''''''''' '''''''''''' ''' ''''' ''''''''''' '''' ''''''''''''''' '''''''''''' ''''''''''''''''''''' ''''''''''''''' '''''''''''''</w:t>
      </w:r>
    </w:p>
    <w:p w:rsidR="00A867D8" w:rsidRPr="00A17B9D" w:rsidRDefault="00A17B9D" w:rsidP="00A76779">
      <w:pPr>
        <w:pStyle w:val="Tablenote"/>
        <w:rPr>
          <w:highlight w:val="black"/>
        </w:rPr>
      </w:pPr>
      <w:r>
        <w:rPr>
          <w:noProof/>
          <w:color w:val="000000"/>
          <w:highlight w:val="black"/>
          <w:vertAlign w:val="superscript"/>
        </w:rPr>
        <w:t>''' '''''''''''''''''''''' '''''''''''''''''''''</w:t>
      </w:r>
    </w:p>
    <w:p w:rsidR="00CC3BA4" w:rsidRPr="00A17B9D" w:rsidRDefault="00A17B9D" w:rsidP="00A93200">
      <w:pPr>
        <w:pStyle w:val="Tablenote"/>
      </w:pPr>
      <w:r>
        <w:rPr>
          <w:rFonts w:ascii="Cambria Math" w:hAnsi="Cambria Math" w:cs="Cambria Math"/>
          <w:noProof/>
          <w:color w:val="000000"/>
          <w:highlight w:val="black"/>
        </w:rPr>
        <w:t>'''''''''''''''''</w:t>
      </w:r>
      <w:r>
        <w:rPr>
          <w:noProof/>
          <w:color w:val="000000"/>
          <w:highlight w:val="black"/>
        </w:rPr>
        <w:t xml:space="preserve"> </w:t>
      </w:r>
      <w:r>
        <w:rPr>
          <w:b/>
          <w:noProof/>
          <w:color w:val="000000"/>
          <w:highlight w:val="black"/>
        </w:rPr>
        <w:t>''''''''' ''''''''''''''''</w:t>
      </w:r>
      <w:r>
        <w:rPr>
          <w:noProof/>
          <w:color w:val="000000"/>
          <w:highlight w:val="black"/>
        </w:rPr>
        <w:t xml:space="preserve"> ''''''''' '''''''' ''''''''''' ''''''''''''''''''''''' ''''''''' '''''''' '''''''''' '''''''''''' ''''''''' ''''''''''''' ''''' ''''''''' ''''' ''''''' '''''''''''''''''''' ''''' ''''''''''''</w:t>
      </w:r>
    </w:p>
    <w:p w:rsidR="004104D8" w:rsidRPr="00A17B9D" w:rsidRDefault="00A17B9D" w:rsidP="004104D8">
      <w:pPr>
        <w:pStyle w:val="Tablenote"/>
      </w:pPr>
      <w:r>
        <w:rPr>
          <w:rFonts w:ascii="Cambria Math" w:hAnsi="Cambria Math" w:cs="Cambria Math"/>
          <w:noProof/>
          <w:color w:val="000000"/>
          <w:highlight w:val="black"/>
        </w:rPr>
        <w:t>''''''''''''''</w:t>
      </w:r>
      <w:r>
        <w:rPr>
          <w:rFonts w:cs="Cambria Math"/>
          <w:noProof/>
          <w:color w:val="000000"/>
          <w:highlight w:val="black"/>
        </w:rPr>
        <w:t xml:space="preserve"> </w:t>
      </w:r>
      <w:r>
        <w:rPr>
          <w:b/>
          <w:noProof/>
          <w:color w:val="000000"/>
          <w:highlight w:val="black"/>
        </w:rPr>
        <w:t>'''''''''''''''''''' '''''''''''''''</w:t>
      </w:r>
      <w:r>
        <w:rPr>
          <w:noProof/>
          <w:color w:val="000000"/>
          <w:highlight w:val="black"/>
        </w:rPr>
        <w:t xml:space="preserve"> ''''''''' ''''''''' ''''''''''''''''''''''''''' '''''''''''''''''''' '''' ''''''' '''''''''''''' ''''''''''''''''''''' '''''''''' ''''''''' ''''''''''''' ''' '''''''''''' ''''' '''''' '''''''''''' ''''' ''''''' '''''''''''''''''''' ''''' ''''''''' ''''''''''''''' ''''''' '''''''''''' '''' ''' '''''''''''''''''''''' '''''''''' ''' ''''' '''''''''''''''''''''''''''''' '''''''''''''''''</w:t>
      </w:r>
    </w:p>
    <w:p w:rsidR="00D3348D" w:rsidRPr="00A17B9D" w:rsidRDefault="00A17B9D" w:rsidP="00A93200">
      <w:pPr>
        <w:pStyle w:val="Tablenote"/>
        <w:rPr>
          <w:highlight w:val="black"/>
        </w:rPr>
      </w:pPr>
      <w:r>
        <w:rPr>
          <w:noProof/>
          <w:color w:val="000000"/>
          <w:highlight w:val="black"/>
        </w:rPr>
        <w:t>'''''''''''''''' '''' ''''''''''''''''''' ''''''''''' ''''''''''''''''''''''' '''''''''''' '''' '''''''''''''''''' ''''''''' '''''''''''''''''''''''' '''''' ''' ''''''''''''''''''''''''''' ''''''''''''''''' ''''''''''''''''' ''' '''''''''''''''''''' ''' ''''''''''''''''''''''' ''''''' '''' ''''''''''''''''''''''' '''''''''''''' ''''''''''''''''' ''' '''''''''''''''''' ''''' ''''''''''''''''''''''''''''''''''''''' '''''''''''''''''''''''''''' '''''''''''''''''''''''''''' ''''''''' '''''''''''''''''''''''''''''' ''''''''''' ''' ''''''''''''' ''''''''''' '''''''''''''''''''''''' '''''''''''''''''''''''''''''''''' ''''''''' ''' '''''''''''''' ''''''''''''''''''''''' '''''''''''' '''' '''''''''''''''''''''' ''''''''''''''''' ''''''''''''''''''''''''''''''''' ''''''''''' ''' ''''''''''''''''''''''' ''''''''''''''''''''' '''''''''''''''''''''''''''' ''''''''''' ''' '''''''''''''' ''''' ''''''''' '''''''''''' ''' ''''''''''''''''''''''''' ''''''''''''''''''''''' ''''''''''' ''''''''' '''' ''''''''''''''' ''''''''''' '''''''''''' ''' ''''''''''''''''' '''''''''''''''''''''''' '''''''''''''''''''' ''''''''''''''''''''''' ''''''''''''''' ''' '''''''''''''' '''''''''''''''' '''''''''''''''''''''''''''''''</w:t>
      </w:r>
    </w:p>
    <w:sectPr w:rsidR="00D3348D" w:rsidRPr="00A17B9D" w:rsidSect="00CC3BA4">
      <w:headerReference w:type="even" r:id="rId45"/>
      <w:headerReference w:type="default" r:id="rId46"/>
      <w:footerReference w:type="default" r:id="rId47"/>
      <w:headerReference w:type="first" r:id="rId48"/>
      <w:footnotePr>
        <w:numFmt w:val="chicago"/>
      </w:footnotePr>
      <w:pgSz w:w="16838" w:h="11906" w:orient="landscape"/>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40F8E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B2C" w:rsidRDefault="00DE4B2C" w:rsidP="00DD796F">
      <w:pPr>
        <w:spacing w:before="0" w:line="240" w:lineRule="auto"/>
      </w:pPr>
      <w:r>
        <w:separator/>
      </w:r>
    </w:p>
    <w:p w:rsidR="00DE4B2C" w:rsidRDefault="00DE4B2C"/>
    <w:p w:rsidR="00DE4B2C" w:rsidRDefault="00DE4B2C"/>
  </w:endnote>
  <w:endnote w:type="continuationSeparator" w:id="0">
    <w:p w:rsidR="00DE4B2C" w:rsidRDefault="00DE4B2C" w:rsidP="00DD796F">
      <w:pPr>
        <w:spacing w:before="0" w:line="240" w:lineRule="auto"/>
      </w:pPr>
      <w:r>
        <w:continuationSeparator/>
      </w:r>
    </w:p>
    <w:p w:rsidR="00DE4B2C" w:rsidRDefault="00DE4B2C"/>
    <w:p w:rsidR="00DE4B2C" w:rsidRDefault="00DE4B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skerville">
    <w:altName w:val="Times New Roman"/>
    <w:charset w:val="00"/>
    <w:family w:val="auto"/>
    <w:pitch w:val="variable"/>
    <w:sig w:usb0="80000063" w:usb1="00000000" w:usb2="00000000" w:usb3="00000000" w:csb0="000001FB" w:csb1="00000000"/>
  </w:font>
  <w:font w:name="MuseeBold">
    <w:altName w:val="Cambria"/>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 77 7 BT">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B2C" w:rsidRDefault="00DE4B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B2C" w:rsidRDefault="00DE4B2C" w:rsidP="001C5235">
    <w:pPr>
      <w:pStyle w:val="FooterwithPortrait"/>
    </w:pPr>
    <w:r w:rsidRPr="001C5235">
      <w:t xml:space="preserve">Post-market Review of </w:t>
    </w:r>
    <w:r>
      <w:t>PAH</w:t>
    </w:r>
    <w:r w:rsidRPr="001C5235">
      <w:t xml:space="preserve"> Medicines</w:t>
    </w:r>
    <w:r>
      <w:tab/>
    </w: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B2C" w:rsidRDefault="00DE4B2C" w:rsidP="003F0B35">
    <w:pPr>
      <w:pStyle w:val="Footer"/>
      <w:pBdr>
        <w:top w:val="none" w:sz="0" w:space="0" w:color="auto"/>
      </w:pBd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B2C" w:rsidRPr="00750448" w:rsidRDefault="00DE4B2C" w:rsidP="00550EA7">
    <w:pPr>
      <w:pStyle w:val="FooterwithPortrait"/>
      <w:spacing w:before="120"/>
      <w:rPr>
        <w:noProof/>
      </w:rPr>
    </w:pPr>
    <w:r>
      <w:tab/>
    </w:r>
    <w:r>
      <w:fldChar w:fldCharType="begin"/>
    </w:r>
    <w:r>
      <w:instrText xml:space="preserve"> PAGE   \* MERGEFORMAT </w:instrText>
    </w:r>
    <w:r>
      <w:fldChar w:fldCharType="separate"/>
    </w:r>
    <w:r w:rsidR="00B5196D">
      <w:rPr>
        <w:noProof/>
      </w:rPr>
      <w:t>73</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B2C" w:rsidRPr="00750448" w:rsidRDefault="00DE4B2C" w:rsidP="001D0FDA">
    <w:pPr>
      <w:pStyle w:val="FooterwithPortrait"/>
      <w:tabs>
        <w:tab w:val="left" w:pos="9228"/>
      </w:tabs>
      <w:spacing w:before="120"/>
      <w:jc w:val="right"/>
      <w:rPr>
        <w:noProof/>
      </w:rPr>
    </w:pPr>
    <w:r>
      <w:tab/>
    </w:r>
    <w:r>
      <w:tab/>
    </w:r>
    <w:r>
      <w:fldChar w:fldCharType="begin"/>
    </w:r>
    <w:r>
      <w:instrText xml:space="preserve"> PAGE   \* MERGEFORMAT </w:instrText>
    </w:r>
    <w:r>
      <w:fldChar w:fldCharType="separate"/>
    </w:r>
    <w:r w:rsidR="00B5196D">
      <w:rPr>
        <w:noProof/>
      </w:rPr>
      <w:t>232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B2C" w:rsidRPr="00750448" w:rsidRDefault="00DE4B2C" w:rsidP="00CC3BA4">
    <w:pPr>
      <w:pStyle w:val="FooterwithPortrait"/>
      <w:tabs>
        <w:tab w:val="clear" w:pos="9639"/>
        <w:tab w:val="right" w:pos="14459"/>
      </w:tabs>
      <w:spacing w:before="120"/>
      <w:rPr>
        <w:noProof/>
      </w:rPr>
    </w:pPr>
    <w:r>
      <w:tab/>
    </w:r>
    <w:r>
      <w:fldChar w:fldCharType="begin"/>
    </w:r>
    <w:r>
      <w:instrText xml:space="preserve"> PAGE   \* MERGEFORMAT </w:instrText>
    </w:r>
    <w:r>
      <w:fldChar w:fldCharType="separate"/>
    </w:r>
    <w:r w:rsidR="00B5196D">
      <w:rPr>
        <w:noProof/>
      </w:rPr>
      <w:t>261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B2C" w:rsidRDefault="00DE4B2C" w:rsidP="00DD796F">
      <w:pPr>
        <w:spacing w:before="0" w:line="240" w:lineRule="auto"/>
      </w:pPr>
      <w:r>
        <w:separator/>
      </w:r>
    </w:p>
  </w:footnote>
  <w:footnote w:type="continuationSeparator" w:id="0">
    <w:p w:rsidR="00DE4B2C" w:rsidRDefault="00DE4B2C" w:rsidP="00DD796F">
      <w:pPr>
        <w:spacing w:before="0" w:line="240" w:lineRule="auto"/>
      </w:pPr>
      <w:r>
        <w:continuationSeparator/>
      </w:r>
    </w:p>
    <w:p w:rsidR="00DE4B2C" w:rsidRDefault="00DE4B2C"/>
    <w:p w:rsidR="00DE4B2C" w:rsidRDefault="00DE4B2C"/>
  </w:footnote>
  <w:footnote w:id="1">
    <w:p w:rsidR="00DE4B2C" w:rsidRDefault="00DE4B2C" w:rsidP="001D0FDA">
      <w:pPr>
        <w:pStyle w:val="FootnoteText"/>
      </w:pPr>
      <w:r>
        <w:rPr>
          <w:rStyle w:val="FootnoteReference"/>
        </w:rPr>
        <w:footnoteRef/>
      </w:r>
      <w:r>
        <w:t xml:space="preserve"> Safety results comparing the PAH medicines with their comparators in the appropriate subgroup(s) were presented in relevant research question sections (Section 4.4.1 to Section 4.4.4). If the safety data on the relevant subgroup(s) were not available, the systematic review reports the safety results in the overall mixed population as part of the extended assessment of safety of PAH medicines</w:t>
      </w:r>
      <w:r w:rsidRPr="00521789">
        <w:t xml:space="preserve"> </w:t>
      </w:r>
      <w:r>
        <w:t xml:space="preserve">in Section 4.4.5. </w:t>
      </w:r>
    </w:p>
  </w:footnote>
  <w:footnote w:id="2">
    <w:p w:rsidR="00DE4B2C" w:rsidRDefault="00DE4B2C" w:rsidP="001D0FDA">
      <w:pPr>
        <w:pStyle w:val="FootnoteText"/>
      </w:pPr>
      <w:r>
        <w:rPr>
          <w:rStyle w:val="FootnoteReference"/>
        </w:rPr>
        <w:footnoteRef/>
      </w:r>
      <w:r>
        <w:t xml:space="preserve"> </w:t>
      </w:r>
      <w:hyperlink r:id="rId1" w:tooltip="Rayyan QCRI webpage" w:history="1">
        <w:r w:rsidRPr="003C7601">
          <w:rPr>
            <w:rStyle w:val="Hyperlink"/>
          </w:rPr>
          <w:t>https://rayyan.qcri.org/</w:t>
        </w:r>
      </w:hyperlink>
    </w:p>
  </w:footnote>
  <w:footnote w:id="3">
    <w:p w:rsidR="00DE4B2C" w:rsidRDefault="00DE4B2C" w:rsidP="001F432E">
      <w:pPr>
        <w:pStyle w:val="FootnoteText"/>
      </w:pPr>
      <w:r>
        <w:rPr>
          <w:rStyle w:val="FootnoteReference"/>
        </w:rPr>
        <w:footnoteRef/>
      </w:r>
      <w:r>
        <w:t xml:space="preserve"> Source: </w:t>
      </w:r>
      <w:hyperlink r:id="rId2" w:tooltip="Guidelines for preparing submissions to the PBAC webpage" w:history="1">
        <w:r w:rsidRPr="00A62AD6">
          <w:rPr>
            <w:rStyle w:val="Hyperlink"/>
          </w:rPr>
          <w:t>https://pbac.pbs.gov.au/</w:t>
        </w:r>
      </w:hyperlink>
    </w:p>
  </w:footnote>
  <w:footnote w:id="4">
    <w:p w:rsidR="00DE4B2C" w:rsidRDefault="00DE4B2C" w:rsidP="001D0FDA">
      <w:pPr>
        <w:pStyle w:val="FootnoteText"/>
      </w:pPr>
      <w:r>
        <w:rPr>
          <w:rStyle w:val="FootnoteReference"/>
        </w:rPr>
        <w:footnoteRef/>
      </w:r>
      <w:r>
        <w:t xml:space="preserve"> </w:t>
      </w:r>
      <w:hyperlink r:id="rId3" w:tooltip="PRAC recommendations on safety signals webpage" w:history="1">
        <w:r w:rsidRPr="00412372">
          <w:rPr>
            <w:rStyle w:val="Hyperlink"/>
          </w:rPr>
          <w:t>http://www.ema.europa.eu/ema/index.jsp?curl=pages/regulation/document_listing/document_listing_000375.jsp</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B2C" w:rsidRDefault="00DE4B2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B2C" w:rsidRDefault="00DE4B2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B2C" w:rsidRDefault="00DE4B2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B2C" w:rsidRDefault="00DE4B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B2C" w:rsidRPr="00750448" w:rsidRDefault="00DE4B2C" w:rsidP="003F0B35">
    <w:pPr>
      <w:pStyle w:val="Header"/>
      <w:spacing w:after="120"/>
    </w:pPr>
    <w:r w:rsidRPr="00750448">
      <w:rPr>
        <w:noProof/>
      </w:rPr>
      <w:t xml:space="preserve">Post-market </w:t>
    </w:r>
    <w:r>
      <w:rPr>
        <w:noProof/>
      </w:rPr>
      <w:t>r</w:t>
    </w:r>
    <w:r w:rsidRPr="00750448">
      <w:rPr>
        <w:noProof/>
      </w:rPr>
      <w:t xml:space="preserve">eview of </w:t>
    </w:r>
    <w:r>
      <w:rPr>
        <w:noProof/>
      </w:rPr>
      <w:t>PAH</w:t>
    </w:r>
    <w:r w:rsidRPr="00750448">
      <w:rPr>
        <w:noProof/>
      </w:rPr>
      <w:t xml:space="preserve"> </w:t>
    </w:r>
    <w:r>
      <w:rPr>
        <w:noProof/>
      </w:rPr>
      <w:t>m</w:t>
    </w:r>
    <w:r w:rsidRPr="00750448">
      <w:rPr>
        <w:noProof/>
      </w:rPr>
      <w:t>edicines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B2C" w:rsidRDefault="00DE4B2C" w:rsidP="003F0B35">
    <w:pPr>
      <w:pStyle w:val="Header"/>
      <w:pBdr>
        <w:bottom w:val="none" w:sz="0" w:space="0" w:color="auto"/>
      </w:pBd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B2C" w:rsidRDefault="00DE4B2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80706"/>
      <w:docPartObj>
        <w:docPartGallery w:val="Watermarks"/>
        <w:docPartUnique/>
      </w:docPartObj>
    </w:sdtPr>
    <w:sdtEndPr/>
    <w:sdtContent>
      <w:p w:rsidR="00DE4B2C" w:rsidRDefault="00B5196D">
        <w:pPr>
          <w:pStyle w:val="Header"/>
        </w:pPr>
        <w:r>
          <w:rPr>
            <w:noProof/>
            <w:lang w:val="en-US" w:eastAsia="zh-TW"/>
          </w:rPr>
          <w:pict w14:anchorId="319FB6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2"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B2C" w:rsidRDefault="00DE4B2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B2C" w:rsidRDefault="00DE4B2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B2C" w:rsidRPr="00750448" w:rsidRDefault="00DE4B2C" w:rsidP="003F0B35">
    <w:pPr>
      <w:pStyle w:val="Header"/>
      <w:spacing w:after="120"/>
    </w:pPr>
    <w:r>
      <w:rPr>
        <w:noProof/>
      </w:rPr>
      <w:t>Post-market r</w:t>
    </w:r>
    <w:r w:rsidRPr="00750448">
      <w:rPr>
        <w:noProof/>
      </w:rPr>
      <w:t xml:space="preserve">eview of </w:t>
    </w:r>
    <w:r>
      <w:rPr>
        <w:noProof/>
      </w:rPr>
      <w:t>PAH m</w:t>
    </w:r>
    <w:r w:rsidRPr="00750448">
      <w:rPr>
        <w:noProof/>
      </w:rPr>
      <w:t>edicines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B2C" w:rsidRDefault="00DE4B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D0C29F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567342"/>
    <w:multiLevelType w:val="hybridMultilevel"/>
    <w:tmpl w:val="DE2E3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077482"/>
    <w:multiLevelType w:val="hybridMultilevel"/>
    <w:tmpl w:val="ED44FCB2"/>
    <w:lvl w:ilvl="0" w:tplc="FFC6DE9E">
      <w:start w:val="1"/>
      <w:numFmt w:val="bullet"/>
      <w:pStyle w:val="08Bulletsseriesofsentences"/>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nsid w:val="0378531F"/>
    <w:multiLevelType w:val="hybridMultilevel"/>
    <w:tmpl w:val="CC241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47937B0"/>
    <w:multiLevelType w:val="multilevel"/>
    <w:tmpl w:val="9A6ED8B2"/>
    <w:lvl w:ilvl="0">
      <w:start w:val="1"/>
      <w:numFmt w:val="decimal"/>
      <w:pStyle w:val="Tabletitle"/>
      <w:lvlText w:val="Table %1: "/>
      <w:lvlJc w:val="left"/>
      <w:pPr>
        <w:ind w:left="360" w:hanging="360"/>
      </w:pPr>
      <w:rPr>
        <w:rFonts w:asciiTheme="majorHAnsi" w:hAnsiTheme="majorHAnsi" w:hint="default"/>
        <w:b/>
        <w:bCs w:val="0"/>
        <w:i w:val="0"/>
        <w:iCs w:val="0"/>
        <w:caps/>
        <w:smallCaps w:val="0"/>
        <w:strike w:val="0"/>
        <w:dstrike w:val="0"/>
        <w:noProof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FA71DF7"/>
    <w:multiLevelType w:val="hybridMultilevel"/>
    <w:tmpl w:val="99E0D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315A83"/>
    <w:multiLevelType w:val="hybridMultilevel"/>
    <w:tmpl w:val="5A76B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4951C0"/>
    <w:multiLevelType w:val="hybridMultilevel"/>
    <w:tmpl w:val="DEB2F22A"/>
    <w:lvl w:ilvl="0" w:tplc="7ECA6BCC">
      <w:start w:val="1"/>
      <w:numFmt w:val="bullet"/>
      <w:pStyle w:val="Bullettextsecondlevel"/>
      <w:lvlText w:val=""/>
      <w:lvlJc w:val="left"/>
      <w:pPr>
        <w:ind w:left="814" w:hanging="360"/>
      </w:pPr>
      <w:rPr>
        <w:rFonts w:ascii="Wingdings" w:hAnsi="Wingdings" w:hint="default"/>
        <w:sz w:val="1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9">
    <w:nsid w:val="1643331C"/>
    <w:multiLevelType w:val="hybridMultilevel"/>
    <w:tmpl w:val="E5942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C4126D1"/>
    <w:multiLevelType w:val="hybridMultilevel"/>
    <w:tmpl w:val="A0684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FCF0BB9"/>
    <w:multiLevelType w:val="hybridMultilevel"/>
    <w:tmpl w:val="3A90012E"/>
    <w:lvl w:ilvl="0" w:tplc="D8A24D7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FDD14F8"/>
    <w:multiLevelType w:val="hybridMultilevel"/>
    <w:tmpl w:val="E524431A"/>
    <w:styleLink w:val="Numberedlist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1393025"/>
    <w:multiLevelType w:val="hybridMultilevel"/>
    <w:tmpl w:val="49D83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20A07EC"/>
    <w:multiLevelType w:val="singleLevel"/>
    <w:tmpl w:val="FC24B238"/>
    <w:lvl w:ilvl="0">
      <w:start w:val="1"/>
      <w:numFmt w:val="decimal"/>
      <w:pStyle w:val="ESNumberedSectionHeading"/>
      <w:lvlText w:val="A.%1"/>
      <w:lvlJc w:val="left"/>
      <w:pPr>
        <w:ind w:left="644" w:hanging="360"/>
      </w:pPr>
      <w:rPr>
        <w:rFonts w:ascii="Calibri" w:hAnsi="Calibri" w:hint="default"/>
        <w:b/>
        <w:i w:val="0"/>
        <w:color w:val="auto"/>
        <w:sz w:val="24"/>
      </w:rPr>
    </w:lvl>
  </w:abstractNum>
  <w:abstractNum w:abstractNumId="15">
    <w:nsid w:val="22D74B41"/>
    <w:multiLevelType w:val="hybridMultilevel"/>
    <w:tmpl w:val="A79A2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33D2098"/>
    <w:multiLevelType w:val="hybridMultilevel"/>
    <w:tmpl w:val="5172F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8">
    <w:nsid w:val="25200690"/>
    <w:multiLevelType w:val="hybridMultilevel"/>
    <w:tmpl w:val="CFCC5C68"/>
    <w:lvl w:ilvl="0" w:tplc="3D380E06">
      <w:start w:val="1"/>
      <w:numFmt w:val="bullet"/>
      <w:pStyle w:val="08Tablebulletsecondlevel"/>
      <w:lvlText w:val=""/>
      <w:lvlJc w:val="left"/>
      <w:pPr>
        <w:ind w:left="1117" w:hanging="360"/>
      </w:pPr>
      <w:rPr>
        <w:rFonts w:ascii="Wingdings" w:hAnsi="Wingdings" w:hint="default"/>
        <w:sz w:val="17"/>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9">
    <w:nsid w:val="25C53B03"/>
    <w:multiLevelType w:val="multilevel"/>
    <w:tmpl w:val="4CACDF0C"/>
    <w:styleLink w:val="Headings"/>
    <w:lvl w:ilvl="0">
      <w:start w:val="4"/>
      <w:numFmt w:val="decimal"/>
      <w:pStyle w:val="Heading1"/>
      <w:suff w:val="nothing"/>
      <w:lvlText w:val="Section %1"/>
      <w:lvlJc w:val="left"/>
      <w:pPr>
        <w:ind w:left="3403" w:firstLine="0"/>
      </w:pPr>
      <w:rPr>
        <w:rFonts w:hint="default"/>
      </w:rPr>
    </w:lvl>
    <w:lvl w:ilvl="1">
      <w:start w:val="1"/>
      <w:numFmt w:val="decimal"/>
      <w:pStyle w:val="Heading2"/>
      <w:lvlText w:val="%1.%2"/>
      <w:lvlJc w:val="left"/>
      <w:pPr>
        <w:tabs>
          <w:tab w:val="num" w:pos="851"/>
        </w:tabs>
        <w:ind w:left="0" w:firstLine="0"/>
      </w:pPr>
      <w:rPr>
        <w:rFonts w:hint="default"/>
      </w:rPr>
    </w:lvl>
    <w:lvl w:ilvl="2">
      <w:start w:val="1"/>
      <w:numFmt w:val="decimal"/>
      <w:pStyle w:val="Heading3"/>
      <w:lvlText w:val="%1.%2.%3"/>
      <w:lvlJc w:val="left"/>
      <w:pPr>
        <w:tabs>
          <w:tab w:val="num" w:pos="851"/>
        </w:tabs>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pStyle w:val="Heading7"/>
      <w:lvlText w:val="Appendix %7"/>
      <w:lvlJc w:val="left"/>
      <w:pPr>
        <w:ind w:left="3119" w:firstLine="0"/>
      </w:pPr>
      <w:rPr>
        <w:rFonts w:hint="default"/>
      </w:rPr>
    </w:lvl>
    <w:lvl w:ilvl="7">
      <w:start w:val="1"/>
      <w:numFmt w:val="decimal"/>
      <w:pStyle w:val="Heading8"/>
      <w:lvlText w:val="%7.%8"/>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0">
    <w:nsid w:val="25DF1388"/>
    <w:multiLevelType w:val="hybridMultilevel"/>
    <w:tmpl w:val="DDE2D382"/>
    <w:lvl w:ilvl="0" w:tplc="54886A3E">
      <w:start w:val="1"/>
      <w:numFmt w:val="bullet"/>
      <w:lvlText w:val="-"/>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7B45054"/>
    <w:multiLevelType w:val="hybridMultilevel"/>
    <w:tmpl w:val="B8CAC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A8A2787"/>
    <w:multiLevelType w:val="hybridMultilevel"/>
    <w:tmpl w:val="4F501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FB56E0D"/>
    <w:multiLevelType w:val="hybridMultilevel"/>
    <w:tmpl w:val="543AA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245371E"/>
    <w:multiLevelType w:val="hybridMultilevel"/>
    <w:tmpl w:val="58063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37956D8"/>
    <w:multiLevelType w:val="hybridMultilevel"/>
    <w:tmpl w:val="823CD69E"/>
    <w:lvl w:ilvl="0" w:tplc="E24AE6A4">
      <w:start w:val="1"/>
      <w:numFmt w:val="bullet"/>
      <w:pStyle w:val="Bullettex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4FA0F2B"/>
    <w:multiLevelType w:val="hybridMultilevel"/>
    <w:tmpl w:val="8A068968"/>
    <w:lvl w:ilvl="0" w:tplc="ECE0CFFE">
      <w:start w:val="1"/>
      <w:numFmt w:val="bullet"/>
      <w:pStyle w:val="07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68B2A81"/>
    <w:multiLevelType w:val="hybridMultilevel"/>
    <w:tmpl w:val="BEFA1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7894920"/>
    <w:multiLevelType w:val="hybridMultilevel"/>
    <w:tmpl w:val="3AB45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8F83C5D"/>
    <w:multiLevelType w:val="multilevel"/>
    <w:tmpl w:val="AB54405E"/>
    <w:lvl w:ilvl="0">
      <w:start w:val="1"/>
      <w:numFmt w:val="bullet"/>
      <w:pStyle w:val="ListBullet1"/>
      <w:lvlText w:val=""/>
      <w:lvlJc w:val="left"/>
      <w:pPr>
        <w:ind w:left="360" w:hanging="360"/>
      </w:pPr>
      <w:rPr>
        <w:rFonts w:ascii="Wingdings 3" w:hAnsi="Wingdings 3" w:hint="default"/>
        <w:b/>
        <w:i w:val="0"/>
        <w:color w:val="401E6C"/>
        <w:spacing w:val="0"/>
        <w:w w:val="100"/>
        <w:position w:val="3"/>
        <w:sz w:val="16"/>
      </w:rPr>
    </w:lvl>
    <w:lvl w:ilvl="1">
      <w:start w:val="1"/>
      <w:numFmt w:val="bullet"/>
      <w:lvlText w:val="–"/>
      <w:lvlJc w:val="left"/>
      <w:pPr>
        <w:tabs>
          <w:tab w:val="num" w:pos="714"/>
        </w:tabs>
        <w:ind w:left="714" w:hanging="357"/>
      </w:pPr>
      <w:rPr>
        <w:rFonts w:ascii="Times New Roman" w:hAnsi="Times New Roman" w:cs="Times New Roman" w:hint="default"/>
        <w:b w:val="0"/>
        <w:i w:val="0"/>
        <w:color w:val="00326C"/>
        <w:position w:val="2"/>
        <w:sz w:val="19"/>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3A517A55"/>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CC57EF4"/>
    <w:multiLevelType w:val="hybridMultilevel"/>
    <w:tmpl w:val="44DAC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D510C8E"/>
    <w:multiLevelType w:val="multilevel"/>
    <w:tmpl w:val="526C7668"/>
    <w:styleLink w:val="Numberedlist"/>
    <w:lvl w:ilvl="0">
      <w:start w:val="1"/>
      <w:numFmt w:val="none"/>
      <w:lvlText w:val="(%11)"/>
      <w:lvlJc w:val="left"/>
      <w:pPr>
        <w:ind w:left="0" w:firstLine="0"/>
      </w:pPr>
      <w:rPr>
        <w:rFonts w:hint="default"/>
      </w:rPr>
    </w:lvl>
    <w:lvl w:ilvl="1">
      <w:start w:val="2"/>
      <w:numFmt w:val="decimal"/>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3">
    <w:nsid w:val="44FF23C6"/>
    <w:multiLevelType w:val="hybridMultilevel"/>
    <w:tmpl w:val="4DB230CA"/>
    <w:lvl w:ilvl="0" w:tplc="675494AE">
      <w:start w:val="1"/>
      <w:numFmt w:val="bullet"/>
      <w:pStyle w:val="Tablebullet"/>
      <w:lvlText w:val="-"/>
      <w:lvlJc w:val="left"/>
      <w:pPr>
        <w:tabs>
          <w:tab w:val="num" w:pos="0"/>
        </w:tabs>
        <w:ind w:left="85" w:hanging="85"/>
      </w:pPr>
      <w:rPr>
        <w:rFonts w:ascii="Arial Narrow" w:hAnsi="Arial Narro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45C9616B"/>
    <w:multiLevelType w:val="hybridMultilevel"/>
    <w:tmpl w:val="0046C9B8"/>
    <w:styleLink w:val="1111111"/>
    <w:lvl w:ilvl="0" w:tplc="878C752C">
      <w:start w:val="1"/>
      <w:numFmt w:val="decimal"/>
      <w:lvlText w:val="%1."/>
      <w:lvlJc w:val="left"/>
      <w:pPr>
        <w:ind w:left="777" w:hanging="360"/>
      </w:pPr>
      <w:rPr>
        <w:b/>
      </w:rPr>
    </w:lvl>
    <w:lvl w:ilvl="1" w:tplc="0C090019">
      <w:start w:val="1"/>
      <w:numFmt w:val="lowerLetter"/>
      <w:lvlText w:val="%2."/>
      <w:lvlJc w:val="left"/>
      <w:pPr>
        <w:ind w:left="1497" w:hanging="360"/>
      </w:pPr>
    </w:lvl>
    <w:lvl w:ilvl="2" w:tplc="0C09001B">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35">
    <w:nsid w:val="49190F1A"/>
    <w:multiLevelType w:val="hybridMultilevel"/>
    <w:tmpl w:val="3828B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2181ED0"/>
    <w:multiLevelType w:val="hybridMultilevel"/>
    <w:tmpl w:val="8116B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9D762FC"/>
    <w:multiLevelType w:val="hybridMultilevel"/>
    <w:tmpl w:val="4126A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39">
    <w:nsid w:val="5FE34874"/>
    <w:multiLevelType w:val="hybridMultilevel"/>
    <w:tmpl w:val="BEEE2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15E2866"/>
    <w:multiLevelType w:val="hybridMultilevel"/>
    <w:tmpl w:val="FBBAC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3E400CF"/>
    <w:multiLevelType w:val="hybridMultilevel"/>
    <w:tmpl w:val="A1E42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43">
    <w:nsid w:val="66602CAE"/>
    <w:multiLevelType w:val="hybridMultilevel"/>
    <w:tmpl w:val="AB5A19D2"/>
    <w:styleLink w:val="ESSectionheading-numbered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C5262E3"/>
    <w:multiLevelType w:val="hybridMultilevel"/>
    <w:tmpl w:val="CEFC1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E404F4E"/>
    <w:multiLevelType w:val="hybridMultilevel"/>
    <w:tmpl w:val="66BE2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FEC0090"/>
    <w:multiLevelType w:val="hybridMultilevel"/>
    <w:tmpl w:val="3A90012E"/>
    <w:lvl w:ilvl="0" w:tplc="D8A24D7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72B00F9D"/>
    <w:multiLevelType w:val="hybridMultilevel"/>
    <w:tmpl w:val="51C0A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3915BD3"/>
    <w:multiLevelType w:val="hybridMultilevel"/>
    <w:tmpl w:val="F7226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3D87BAF"/>
    <w:multiLevelType w:val="hybridMultilevel"/>
    <w:tmpl w:val="8D7C5DC8"/>
    <w:lvl w:ilvl="0" w:tplc="54886A3E">
      <w:start w:val="1"/>
      <w:numFmt w:val="bullet"/>
      <w:lvlText w:val="-"/>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71C3D6A"/>
    <w:multiLevelType w:val="hybridMultilevel"/>
    <w:tmpl w:val="8CBA2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D200C70"/>
    <w:multiLevelType w:val="multilevel"/>
    <w:tmpl w:val="37B0CA18"/>
    <w:lvl w:ilvl="0">
      <w:start w:val="1"/>
      <w:numFmt w:val="none"/>
      <w:pStyle w:val="ESSectionHeading-numbered0"/>
      <w:lvlText w:val="A.1"/>
      <w:lvlJc w:val="left"/>
      <w:pPr>
        <w:ind w:left="1134" w:hanging="1134"/>
      </w:pPr>
      <w:rPr>
        <w:rFonts w:ascii="Calibri" w:hAnsi="Calibri" w:hint="default"/>
        <w:b/>
        <w:i w:val="0"/>
        <w:color w:val="auto"/>
        <w:sz w:val="24"/>
      </w:rPr>
    </w:lvl>
    <w:lvl w:ilvl="1">
      <w:start w:val="2"/>
      <w:numFmt w:val="decimal"/>
      <w:lvlText w:val="B.%2"/>
      <w:lvlJc w:val="left"/>
      <w:pPr>
        <w:ind w:left="1134" w:hanging="1134"/>
      </w:pPr>
      <w:rPr>
        <w:rFonts w:ascii="Calibri" w:hAnsi="Calibri" w:hint="default"/>
        <w:b/>
        <w:i w:val="0"/>
        <w:color w:val="auto"/>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52">
    <w:nsid w:val="7D903E9A"/>
    <w:multiLevelType w:val="hybridMultilevel"/>
    <w:tmpl w:val="A8E26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num w:numId="1">
    <w:abstractNumId w:val="25"/>
  </w:num>
  <w:num w:numId="2">
    <w:abstractNumId w:val="7"/>
  </w:num>
  <w:num w:numId="3">
    <w:abstractNumId w:val="26"/>
  </w:num>
  <w:num w:numId="4">
    <w:abstractNumId w:val="12"/>
  </w:num>
  <w:num w:numId="5">
    <w:abstractNumId w:val="18"/>
  </w:num>
  <w:num w:numId="6">
    <w:abstractNumId w:val="2"/>
  </w:num>
  <w:num w:numId="7">
    <w:abstractNumId w:val="32"/>
  </w:num>
  <w:num w:numId="8">
    <w:abstractNumId w:val="30"/>
  </w:num>
  <w:num w:numId="9">
    <w:abstractNumId w:val="34"/>
  </w:num>
  <w:num w:numId="10">
    <w:abstractNumId w:val="19"/>
    <w:lvlOverride w:ilvl="0">
      <w:lvl w:ilvl="0">
        <w:start w:val="4"/>
        <w:numFmt w:val="decimal"/>
        <w:pStyle w:val="Heading1"/>
        <w:suff w:val="nothing"/>
        <w:lvlText w:val="Section %1"/>
        <w:lvlJc w:val="left"/>
        <w:pPr>
          <w:ind w:left="3403" w:firstLine="0"/>
        </w:pPr>
        <w:rPr>
          <w:rFonts w:hint="default"/>
        </w:rPr>
      </w:lvl>
    </w:lvlOverride>
    <w:lvlOverride w:ilvl="1">
      <w:lvl w:ilvl="1">
        <w:start w:val="1"/>
        <w:numFmt w:val="decimal"/>
        <w:pStyle w:val="Heading2"/>
        <w:lvlText w:val="%1.%2"/>
        <w:lvlJc w:val="left"/>
        <w:pPr>
          <w:tabs>
            <w:tab w:val="num" w:pos="851"/>
          </w:tabs>
          <w:ind w:left="0" w:firstLine="0"/>
        </w:pPr>
        <w:rPr>
          <w:rFonts w:hint="default"/>
        </w:rPr>
      </w:lvl>
    </w:lvlOverride>
    <w:lvlOverride w:ilvl="2">
      <w:lvl w:ilvl="2">
        <w:start w:val="1"/>
        <w:numFmt w:val="decimal"/>
        <w:pStyle w:val="Heading3"/>
        <w:lvlText w:val="%1.%2.%3"/>
        <w:lvlJc w:val="left"/>
        <w:pPr>
          <w:tabs>
            <w:tab w:val="num" w:pos="851"/>
          </w:tabs>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upperLetter"/>
        <w:pStyle w:val="Heading7"/>
        <w:lvlText w:val="Appendix %7"/>
        <w:lvlJc w:val="left"/>
        <w:pPr>
          <w:ind w:left="3119"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11">
    <w:abstractNumId w:val="19"/>
  </w:num>
  <w:num w:numId="12">
    <w:abstractNumId w:val="10"/>
  </w:num>
  <w:num w:numId="13">
    <w:abstractNumId w:val="11"/>
  </w:num>
  <w:num w:numId="14">
    <w:abstractNumId w:val="46"/>
  </w:num>
  <w:num w:numId="15">
    <w:abstractNumId w:val="4"/>
  </w:num>
  <w:num w:numId="16">
    <w:abstractNumId w:val="33"/>
  </w:num>
  <w:num w:numId="17">
    <w:abstractNumId w:val="29"/>
  </w:num>
  <w:num w:numId="18">
    <w:abstractNumId w:val="17"/>
  </w:num>
  <w:num w:numId="19">
    <w:abstractNumId w:val="14"/>
  </w:num>
  <w:num w:numId="20">
    <w:abstractNumId w:val="3"/>
  </w:num>
  <w:num w:numId="21">
    <w:abstractNumId w:val="43"/>
  </w:num>
  <w:num w:numId="22">
    <w:abstractNumId w:val="31"/>
  </w:num>
  <w:num w:numId="23">
    <w:abstractNumId w:val="36"/>
  </w:num>
  <w:num w:numId="24">
    <w:abstractNumId w:val="21"/>
  </w:num>
  <w:num w:numId="25">
    <w:abstractNumId w:val="44"/>
  </w:num>
  <w:num w:numId="26">
    <w:abstractNumId w:val="47"/>
  </w:num>
  <w:num w:numId="27">
    <w:abstractNumId w:val="28"/>
  </w:num>
  <w:num w:numId="28">
    <w:abstractNumId w:val="35"/>
  </w:num>
  <w:num w:numId="29">
    <w:abstractNumId w:val="1"/>
  </w:num>
  <w:num w:numId="30">
    <w:abstractNumId w:val="24"/>
  </w:num>
  <w:num w:numId="31">
    <w:abstractNumId w:val="16"/>
  </w:num>
  <w:num w:numId="32">
    <w:abstractNumId w:val="6"/>
  </w:num>
  <w:num w:numId="33">
    <w:abstractNumId w:val="13"/>
  </w:num>
  <w:num w:numId="34">
    <w:abstractNumId w:val="48"/>
  </w:num>
  <w:num w:numId="35">
    <w:abstractNumId w:val="39"/>
  </w:num>
  <w:num w:numId="36">
    <w:abstractNumId w:val="41"/>
  </w:num>
  <w:num w:numId="37">
    <w:abstractNumId w:val="15"/>
  </w:num>
  <w:num w:numId="38">
    <w:abstractNumId w:val="9"/>
  </w:num>
  <w:num w:numId="39">
    <w:abstractNumId w:val="22"/>
  </w:num>
  <w:num w:numId="40">
    <w:abstractNumId w:val="52"/>
  </w:num>
  <w:num w:numId="41">
    <w:abstractNumId w:val="5"/>
  </w:num>
  <w:num w:numId="42">
    <w:abstractNumId w:val="40"/>
  </w:num>
  <w:num w:numId="43">
    <w:abstractNumId w:val="23"/>
  </w:num>
  <w:num w:numId="44">
    <w:abstractNumId w:val="37"/>
  </w:num>
  <w:num w:numId="45">
    <w:abstractNumId w:val="19"/>
    <w:lvlOverride w:ilvl="0">
      <w:lvl w:ilvl="0">
        <w:start w:val="1"/>
        <w:numFmt w:val="decimal"/>
        <w:pStyle w:val="Heading1"/>
        <w:suff w:val="nothing"/>
        <w:lvlText w:val="Section %1"/>
        <w:lvlJc w:val="left"/>
        <w:pPr>
          <w:ind w:left="3403" w:firstLine="0"/>
        </w:pPr>
        <w:rPr>
          <w:rFonts w:hint="default"/>
        </w:rPr>
      </w:lvl>
    </w:lvlOverride>
    <w:lvlOverride w:ilvl="1">
      <w:lvl w:ilvl="1">
        <w:start w:val="1"/>
        <w:numFmt w:val="decimal"/>
        <w:pStyle w:val="Heading2"/>
        <w:lvlText w:val="%1.%2"/>
        <w:lvlJc w:val="left"/>
        <w:pPr>
          <w:tabs>
            <w:tab w:val="num" w:pos="851"/>
          </w:tabs>
          <w:ind w:left="0" w:firstLine="0"/>
        </w:pPr>
        <w:rPr>
          <w:rFonts w:hint="default"/>
        </w:rPr>
      </w:lvl>
    </w:lvlOverride>
    <w:lvlOverride w:ilvl="2">
      <w:lvl w:ilvl="2">
        <w:start w:val="1"/>
        <w:numFmt w:val="decimal"/>
        <w:pStyle w:val="Heading3"/>
        <w:lvlText w:val="%1.%2.%3"/>
        <w:lvlJc w:val="left"/>
        <w:pPr>
          <w:tabs>
            <w:tab w:val="num" w:pos="2695"/>
          </w:tabs>
          <w:ind w:left="1844"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upperLetter"/>
        <w:pStyle w:val="Heading7"/>
        <w:lvlText w:val="Appendix %7"/>
        <w:lvlJc w:val="left"/>
        <w:pPr>
          <w:ind w:left="3119"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46">
    <w:abstractNumId w:val="27"/>
  </w:num>
  <w:num w:numId="47">
    <w:abstractNumId w:val="45"/>
  </w:num>
  <w:num w:numId="48">
    <w:abstractNumId w:val="38"/>
  </w:num>
  <w:num w:numId="49">
    <w:abstractNumId w:val="8"/>
  </w:num>
  <w:num w:numId="50">
    <w:abstractNumId w:val="53"/>
  </w:num>
  <w:num w:numId="51">
    <w:abstractNumId w:val="42"/>
  </w:num>
  <w:num w:numId="52">
    <w:abstractNumId w:val="51"/>
  </w:num>
  <w:num w:numId="53">
    <w:abstractNumId w:val="0"/>
  </w:num>
  <w:num w:numId="54">
    <w:abstractNumId w:val="49"/>
  </w:num>
  <w:num w:numId="55">
    <w:abstractNumId w:val="20"/>
  </w:num>
  <w:num w:numId="56">
    <w:abstractNumId w:val="50"/>
  </w:num>
  <w:num w:numId="57">
    <w:abstractNumId w:val="2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removePersonalInformation/>
  <w:removeDateAndTime/>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modifi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xe50xzxg2vx0gevxdivt900vt9dx9devw5f&quot;&gt;Literature review report&lt;record-ids&gt;&lt;item&gt;3&lt;/item&gt;&lt;item&gt;8&lt;/item&gt;&lt;item&gt;10&lt;/item&gt;&lt;item&gt;16&lt;/item&gt;&lt;item&gt;21&lt;/item&gt;&lt;item&gt;22&lt;/item&gt;&lt;item&gt;23&lt;/item&gt;&lt;item&gt;25&lt;/item&gt;&lt;item&gt;31&lt;/item&gt;&lt;item&gt;37&lt;/item&gt;&lt;item&gt;40&lt;/item&gt;&lt;item&gt;41&lt;/item&gt;&lt;item&gt;48&lt;/item&gt;&lt;item&gt;53&lt;/item&gt;&lt;item&gt;55&lt;/item&gt;&lt;item&gt;56&lt;/item&gt;&lt;item&gt;59&lt;/item&gt;&lt;item&gt;65&lt;/item&gt;&lt;item&gt;75&lt;/item&gt;&lt;item&gt;78&lt;/item&gt;&lt;item&gt;79&lt;/item&gt;&lt;item&gt;80&lt;/item&gt;&lt;item&gt;81&lt;/item&gt;&lt;item&gt;84&lt;/item&gt;&lt;item&gt;85&lt;/item&gt;&lt;item&gt;86&lt;/item&gt;&lt;item&gt;101&lt;/item&gt;&lt;item&gt;102&lt;/item&gt;&lt;item&gt;104&lt;/item&gt;&lt;item&gt;105&lt;/item&gt;&lt;item&gt;106&lt;/item&gt;&lt;item&gt;107&lt;/item&gt;&lt;item&gt;108&lt;/item&gt;&lt;item&gt;109&lt;/item&gt;&lt;item&gt;111&lt;/item&gt;&lt;item&gt;112&lt;/item&gt;&lt;item&gt;113&lt;/item&gt;&lt;item&gt;114&lt;/item&gt;&lt;item&gt;115&lt;/item&gt;&lt;item&gt;116&lt;/item&gt;&lt;item&gt;117&lt;/item&gt;&lt;item&gt;128&lt;/item&gt;&lt;item&gt;130&lt;/item&gt;&lt;item&gt;132&lt;/item&gt;&lt;item&gt;134&lt;/item&gt;&lt;item&gt;139&lt;/item&gt;&lt;item&gt;140&lt;/item&gt;&lt;item&gt;142&lt;/item&gt;&lt;item&gt;143&lt;/item&gt;&lt;item&gt;144&lt;/item&gt;&lt;item&gt;153&lt;/item&gt;&lt;item&gt;155&lt;/item&gt;&lt;item&gt;159&lt;/item&gt;&lt;item&gt;160&lt;/item&gt;&lt;item&gt;161&lt;/item&gt;&lt;item&gt;164&lt;/item&gt;&lt;item&gt;167&lt;/item&gt;&lt;item&gt;168&lt;/item&gt;&lt;item&gt;174&lt;/item&gt;&lt;item&gt;175&lt;/item&gt;&lt;item&gt;176&lt;/item&gt;&lt;item&gt;178&lt;/item&gt;&lt;item&gt;198&lt;/item&gt;&lt;item&gt;200&lt;/item&gt;&lt;item&gt;201&lt;/item&gt;&lt;item&gt;202&lt;/item&gt;&lt;item&gt;203&lt;/item&gt;&lt;item&gt;204&lt;/item&gt;&lt;item&gt;205&lt;/item&gt;&lt;item&gt;206&lt;/item&gt;&lt;item&gt;207&lt;/item&gt;&lt;item&gt;208&lt;/item&gt;&lt;item&gt;210&lt;/item&gt;&lt;item&gt;215&lt;/item&gt;&lt;item&gt;216&lt;/item&gt;&lt;item&gt;217&lt;/item&gt;&lt;item&gt;218&lt;/item&gt;&lt;item&gt;219&lt;/item&gt;&lt;item&gt;220&lt;/item&gt;&lt;item&gt;221&lt;/item&gt;&lt;item&gt;222&lt;/item&gt;&lt;item&gt;264&lt;/item&gt;&lt;item&gt;267&lt;/item&gt;&lt;item&gt;268&lt;/item&gt;&lt;item&gt;282&lt;/item&gt;&lt;item&gt;283&lt;/item&gt;&lt;item&gt;284&lt;/item&gt;&lt;item&gt;290&lt;/item&gt;&lt;item&gt;291&lt;/item&gt;&lt;item&gt;292&lt;/item&gt;&lt;/record-ids&gt;&lt;/item&gt;&lt;/Libraries&gt;"/>
  </w:docVars>
  <w:rsids>
    <w:rsidRoot w:val="000B0C8C"/>
    <w:rsid w:val="00000676"/>
    <w:rsid w:val="00001143"/>
    <w:rsid w:val="00001544"/>
    <w:rsid w:val="00002CBE"/>
    <w:rsid w:val="00002D3C"/>
    <w:rsid w:val="000039E6"/>
    <w:rsid w:val="00004311"/>
    <w:rsid w:val="000054CF"/>
    <w:rsid w:val="000058DE"/>
    <w:rsid w:val="0000707E"/>
    <w:rsid w:val="000077A0"/>
    <w:rsid w:val="000077CE"/>
    <w:rsid w:val="00012746"/>
    <w:rsid w:val="0001276B"/>
    <w:rsid w:val="00012A89"/>
    <w:rsid w:val="00012C43"/>
    <w:rsid w:val="00012EF0"/>
    <w:rsid w:val="0001351C"/>
    <w:rsid w:val="00013DEC"/>
    <w:rsid w:val="00013DF5"/>
    <w:rsid w:val="000145AF"/>
    <w:rsid w:val="00015854"/>
    <w:rsid w:val="000167B4"/>
    <w:rsid w:val="00016BF6"/>
    <w:rsid w:val="0001713E"/>
    <w:rsid w:val="00017C1F"/>
    <w:rsid w:val="00017FBF"/>
    <w:rsid w:val="0002051B"/>
    <w:rsid w:val="00020CE9"/>
    <w:rsid w:val="00020DDA"/>
    <w:rsid w:val="000211A3"/>
    <w:rsid w:val="0002235B"/>
    <w:rsid w:val="0002253F"/>
    <w:rsid w:val="00022B7B"/>
    <w:rsid w:val="00022DA6"/>
    <w:rsid w:val="00022E3F"/>
    <w:rsid w:val="000232A6"/>
    <w:rsid w:val="000245BD"/>
    <w:rsid w:val="0002479A"/>
    <w:rsid w:val="00024991"/>
    <w:rsid w:val="00026080"/>
    <w:rsid w:val="00026931"/>
    <w:rsid w:val="00026B3C"/>
    <w:rsid w:val="00026CB1"/>
    <w:rsid w:val="00027311"/>
    <w:rsid w:val="000273DB"/>
    <w:rsid w:val="00027957"/>
    <w:rsid w:val="00032398"/>
    <w:rsid w:val="00033623"/>
    <w:rsid w:val="00033681"/>
    <w:rsid w:val="00033E8C"/>
    <w:rsid w:val="0003409D"/>
    <w:rsid w:val="000342DC"/>
    <w:rsid w:val="000347D4"/>
    <w:rsid w:val="00034EAB"/>
    <w:rsid w:val="00035233"/>
    <w:rsid w:val="00035C43"/>
    <w:rsid w:val="00035CAA"/>
    <w:rsid w:val="0003622D"/>
    <w:rsid w:val="0003789A"/>
    <w:rsid w:val="00037D64"/>
    <w:rsid w:val="00040BD7"/>
    <w:rsid w:val="00041372"/>
    <w:rsid w:val="000416AB"/>
    <w:rsid w:val="00041984"/>
    <w:rsid w:val="00041A7E"/>
    <w:rsid w:val="00042458"/>
    <w:rsid w:val="000431F0"/>
    <w:rsid w:val="00043CB4"/>
    <w:rsid w:val="00045558"/>
    <w:rsid w:val="00045E4A"/>
    <w:rsid w:val="000460DF"/>
    <w:rsid w:val="00047E33"/>
    <w:rsid w:val="00050135"/>
    <w:rsid w:val="000504A4"/>
    <w:rsid w:val="00050842"/>
    <w:rsid w:val="00052353"/>
    <w:rsid w:val="0005309E"/>
    <w:rsid w:val="000546C2"/>
    <w:rsid w:val="0005536D"/>
    <w:rsid w:val="000559E2"/>
    <w:rsid w:val="00055DCD"/>
    <w:rsid w:val="00055F77"/>
    <w:rsid w:val="00056161"/>
    <w:rsid w:val="00056B0F"/>
    <w:rsid w:val="00057A82"/>
    <w:rsid w:val="000604DC"/>
    <w:rsid w:val="00062FC9"/>
    <w:rsid w:val="000633E2"/>
    <w:rsid w:val="000637FC"/>
    <w:rsid w:val="00063B4C"/>
    <w:rsid w:val="00064658"/>
    <w:rsid w:val="00064766"/>
    <w:rsid w:val="000647C6"/>
    <w:rsid w:val="00064FEF"/>
    <w:rsid w:val="0006512A"/>
    <w:rsid w:val="00065489"/>
    <w:rsid w:val="00065F42"/>
    <w:rsid w:val="000660F8"/>
    <w:rsid w:val="000662F1"/>
    <w:rsid w:val="00066698"/>
    <w:rsid w:val="00066834"/>
    <w:rsid w:val="00066AB2"/>
    <w:rsid w:val="000675D8"/>
    <w:rsid w:val="000676BE"/>
    <w:rsid w:val="000724B1"/>
    <w:rsid w:val="00072A71"/>
    <w:rsid w:val="00072E12"/>
    <w:rsid w:val="0007323D"/>
    <w:rsid w:val="00074B5F"/>
    <w:rsid w:val="0007521E"/>
    <w:rsid w:val="00075AE3"/>
    <w:rsid w:val="00075D0E"/>
    <w:rsid w:val="0007681B"/>
    <w:rsid w:val="00076A20"/>
    <w:rsid w:val="00076ADE"/>
    <w:rsid w:val="000775E9"/>
    <w:rsid w:val="000801F8"/>
    <w:rsid w:val="00080ED5"/>
    <w:rsid w:val="000824DB"/>
    <w:rsid w:val="000825E8"/>
    <w:rsid w:val="000828A1"/>
    <w:rsid w:val="00083208"/>
    <w:rsid w:val="000852FB"/>
    <w:rsid w:val="00085667"/>
    <w:rsid w:val="00085E98"/>
    <w:rsid w:val="00086A04"/>
    <w:rsid w:val="00087A6A"/>
    <w:rsid w:val="00087C8E"/>
    <w:rsid w:val="00091491"/>
    <w:rsid w:val="00091E7E"/>
    <w:rsid w:val="00092310"/>
    <w:rsid w:val="000940EB"/>
    <w:rsid w:val="00094EC1"/>
    <w:rsid w:val="000958F2"/>
    <w:rsid w:val="00097C45"/>
    <w:rsid w:val="00097C6E"/>
    <w:rsid w:val="00097E3A"/>
    <w:rsid w:val="000A193C"/>
    <w:rsid w:val="000A1B83"/>
    <w:rsid w:val="000A1EBA"/>
    <w:rsid w:val="000A2050"/>
    <w:rsid w:val="000A2DB5"/>
    <w:rsid w:val="000A30C5"/>
    <w:rsid w:val="000A3F7A"/>
    <w:rsid w:val="000A4602"/>
    <w:rsid w:val="000A4677"/>
    <w:rsid w:val="000A51F3"/>
    <w:rsid w:val="000A5911"/>
    <w:rsid w:val="000A6228"/>
    <w:rsid w:val="000A6697"/>
    <w:rsid w:val="000A6E36"/>
    <w:rsid w:val="000A7292"/>
    <w:rsid w:val="000A72FD"/>
    <w:rsid w:val="000A7CB9"/>
    <w:rsid w:val="000B0485"/>
    <w:rsid w:val="000B0C8C"/>
    <w:rsid w:val="000B12FE"/>
    <w:rsid w:val="000B1B9E"/>
    <w:rsid w:val="000B23AB"/>
    <w:rsid w:val="000B254C"/>
    <w:rsid w:val="000B524D"/>
    <w:rsid w:val="000B5265"/>
    <w:rsid w:val="000B6B79"/>
    <w:rsid w:val="000C06A9"/>
    <w:rsid w:val="000C0A78"/>
    <w:rsid w:val="000C0D98"/>
    <w:rsid w:val="000C2CB9"/>
    <w:rsid w:val="000C3AA8"/>
    <w:rsid w:val="000C4305"/>
    <w:rsid w:val="000C46DF"/>
    <w:rsid w:val="000C49E2"/>
    <w:rsid w:val="000C585D"/>
    <w:rsid w:val="000C60B4"/>
    <w:rsid w:val="000C61FF"/>
    <w:rsid w:val="000C66AF"/>
    <w:rsid w:val="000C66B3"/>
    <w:rsid w:val="000C70E2"/>
    <w:rsid w:val="000C745C"/>
    <w:rsid w:val="000C74B1"/>
    <w:rsid w:val="000D03B9"/>
    <w:rsid w:val="000D0670"/>
    <w:rsid w:val="000D06EF"/>
    <w:rsid w:val="000D1D1E"/>
    <w:rsid w:val="000D2511"/>
    <w:rsid w:val="000D27CF"/>
    <w:rsid w:val="000D2FC8"/>
    <w:rsid w:val="000D36D2"/>
    <w:rsid w:val="000D3BCC"/>
    <w:rsid w:val="000D40BF"/>
    <w:rsid w:val="000D4B07"/>
    <w:rsid w:val="000D564C"/>
    <w:rsid w:val="000D5DD0"/>
    <w:rsid w:val="000D6945"/>
    <w:rsid w:val="000D6FC6"/>
    <w:rsid w:val="000D7D01"/>
    <w:rsid w:val="000D7D43"/>
    <w:rsid w:val="000E0079"/>
    <w:rsid w:val="000E0ABD"/>
    <w:rsid w:val="000E0E91"/>
    <w:rsid w:val="000E153B"/>
    <w:rsid w:val="000E1BDD"/>
    <w:rsid w:val="000E1F27"/>
    <w:rsid w:val="000E294F"/>
    <w:rsid w:val="000E3539"/>
    <w:rsid w:val="000E36F8"/>
    <w:rsid w:val="000E38F8"/>
    <w:rsid w:val="000E512C"/>
    <w:rsid w:val="000E67F8"/>
    <w:rsid w:val="000E79FE"/>
    <w:rsid w:val="000E7F06"/>
    <w:rsid w:val="000F0119"/>
    <w:rsid w:val="000F044F"/>
    <w:rsid w:val="000F0E1B"/>
    <w:rsid w:val="000F2E0E"/>
    <w:rsid w:val="000F3079"/>
    <w:rsid w:val="000F3AFC"/>
    <w:rsid w:val="000F3EBE"/>
    <w:rsid w:val="000F4182"/>
    <w:rsid w:val="000F4BA3"/>
    <w:rsid w:val="000F5807"/>
    <w:rsid w:val="000F62A9"/>
    <w:rsid w:val="000F68D2"/>
    <w:rsid w:val="000F6EFC"/>
    <w:rsid w:val="000F7E14"/>
    <w:rsid w:val="00100017"/>
    <w:rsid w:val="00100197"/>
    <w:rsid w:val="0010025B"/>
    <w:rsid w:val="0010068E"/>
    <w:rsid w:val="00101225"/>
    <w:rsid w:val="00101863"/>
    <w:rsid w:val="00101A77"/>
    <w:rsid w:val="001024C8"/>
    <w:rsid w:val="001046AF"/>
    <w:rsid w:val="001051F9"/>
    <w:rsid w:val="0010546C"/>
    <w:rsid w:val="001055C5"/>
    <w:rsid w:val="00105AA9"/>
    <w:rsid w:val="00105B66"/>
    <w:rsid w:val="001066D2"/>
    <w:rsid w:val="001071DA"/>
    <w:rsid w:val="00107963"/>
    <w:rsid w:val="00110084"/>
    <w:rsid w:val="001103FF"/>
    <w:rsid w:val="00110455"/>
    <w:rsid w:val="00110ABA"/>
    <w:rsid w:val="00111D1E"/>
    <w:rsid w:val="00111E4E"/>
    <w:rsid w:val="00111FA3"/>
    <w:rsid w:val="001121F8"/>
    <w:rsid w:val="00113A4A"/>
    <w:rsid w:val="00113F1E"/>
    <w:rsid w:val="0011408C"/>
    <w:rsid w:val="00114427"/>
    <w:rsid w:val="00115045"/>
    <w:rsid w:val="00115AB1"/>
    <w:rsid w:val="00116B52"/>
    <w:rsid w:val="00116EDA"/>
    <w:rsid w:val="00120232"/>
    <w:rsid w:val="00120A7B"/>
    <w:rsid w:val="001211AE"/>
    <w:rsid w:val="001217C9"/>
    <w:rsid w:val="00121EF0"/>
    <w:rsid w:val="00122438"/>
    <w:rsid w:val="00122CE5"/>
    <w:rsid w:val="001234DA"/>
    <w:rsid w:val="00123AD8"/>
    <w:rsid w:val="00123C1B"/>
    <w:rsid w:val="00123E7D"/>
    <w:rsid w:val="00124027"/>
    <w:rsid w:val="001240F2"/>
    <w:rsid w:val="00124F08"/>
    <w:rsid w:val="001251DE"/>
    <w:rsid w:val="00125AF7"/>
    <w:rsid w:val="0012643A"/>
    <w:rsid w:val="00126D7C"/>
    <w:rsid w:val="00126F99"/>
    <w:rsid w:val="00127CC2"/>
    <w:rsid w:val="001301D0"/>
    <w:rsid w:val="00130B4A"/>
    <w:rsid w:val="00131C31"/>
    <w:rsid w:val="00132B2B"/>
    <w:rsid w:val="00132E10"/>
    <w:rsid w:val="0013307D"/>
    <w:rsid w:val="00133D05"/>
    <w:rsid w:val="001356C1"/>
    <w:rsid w:val="001363C5"/>
    <w:rsid w:val="001368CE"/>
    <w:rsid w:val="0013782E"/>
    <w:rsid w:val="00140687"/>
    <w:rsid w:val="001406D9"/>
    <w:rsid w:val="00140B62"/>
    <w:rsid w:val="00140C48"/>
    <w:rsid w:val="001413BB"/>
    <w:rsid w:val="00141508"/>
    <w:rsid w:val="00141AB4"/>
    <w:rsid w:val="00141E3A"/>
    <w:rsid w:val="001424AA"/>
    <w:rsid w:val="001428A7"/>
    <w:rsid w:val="001428E7"/>
    <w:rsid w:val="0014300C"/>
    <w:rsid w:val="00144722"/>
    <w:rsid w:val="00145CE3"/>
    <w:rsid w:val="00146692"/>
    <w:rsid w:val="00146880"/>
    <w:rsid w:val="00146A18"/>
    <w:rsid w:val="00146A6B"/>
    <w:rsid w:val="00146A8B"/>
    <w:rsid w:val="00147C70"/>
    <w:rsid w:val="0015014E"/>
    <w:rsid w:val="001504AA"/>
    <w:rsid w:val="00150D82"/>
    <w:rsid w:val="00150DBD"/>
    <w:rsid w:val="00150DC0"/>
    <w:rsid w:val="00150EEE"/>
    <w:rsid w:val="00151A01"/>
    <w:rsid w:val="00152A02"/>
    <w:rsid w:val="001532AF"/>
    <w:rsid w:val="0015420F"/>
    <w:rsid w:val="00154702"/>
    <w:rsid w:val="0015510C"/>
    <w:rsid w:val="00156EB5"/>
    <w:rsid w:val="00157440"/>
    <w:rsid w:val="001602A5"/>
    <w:rsid w:val="0016130F"/>
    <w:rsid w:val="00161444"/>
    <w:rsid w:val="001639A2"/>
    <w:rsid w:val="00163C75"/>
    <w:rsid w:val="00164021"/>
    <w:rsid w:val="0016423E"/>
    <w:rsid w:val="001647A0"/>
    <w:rsid w:val="00164C1C"/>
    <w:rsid w:val="001660ED"/>
    <w:rsid w:val="00167375"/>
    <w:rsid w:val="00167471"/>
    <w:rsid w:val="0016766E"/>
    <w:rsid w:val="00167B34"/>
    <w:rsid w:val="0017012F"/>
    <w:rsid w:val="00170708"/>
    <w:rsid w:val="00170E8E"/>
    <w:rsid w:val="00171297"/>
    <w:rsid w:val="00171DFA"/>
    <w:rsid w:val="00172729"/>
    <w:rsid w:val="0017449B"/>
    <w:rsid w:val="001750D5"/>
    <w:rsid w:val="001761C7"/>
    <w:rsid w:val="00176CE6"/>
    <w:rsid w:val="001776BF"/>
    <w:rsid w:val="0017797D"/>
    <w:rsid w:val="001779A4"/>
    <w:rsid w:val="00180812"/>
    <w:rsid w:val="0018092D"/>
    <w:rsid w:val="00181151"/>
    <w:rsid w:val="001812BB"/>
    <w:rsid w:val="00182493"/>
    <w:rsid w:val="0018288F"/>
    <w:rsid w:val="001835B6"/>
    <w:rsid w:val="00183A64"/>
    <w:rsid w:val="0018400D"/>
    <w:rsid w:val="00184332"/>
    <w:rsid w:val="00184ED9"/>
    <w:rsid w:val="00185623"/>
    <w:rsid w:val="00186004"/>
    <w:rsid w:val="001863E5"/>
    <w:rsid w:val="00186483"/>
    <w:rsid w:val="00186728"/>
    <w:rsid w:val="00187E28"/>
    <w:rsid w:val="001902A8"/>
    <w:rsid w:val="001904AD"/>
    <w:rsid w:val="001909F5"/>
    <w:rsid w:val="00191996"/>
    <w:rsid w:val="0019224F"/>
    <w:rsid w:val="0019235B"/>
    <w:rsid w:val="00192560"/>
    <w:rsid w:val="00193204"/>
    <w:rsid w:val="0019393C"/>
    <w:rsid w:val="00194011"/>
    <w:rsid w:val="00194614"/>
    <w:rsid w:val="00195E30"/>
    <w:rsid w:val="00195FC1"/>
    <w:rsid w:val="00196DB5"/>
    <w:rsid w:val="00196FAB"/>
    <w:rsid w:val="001976D5"/>
    <w:rsid w:val="001A03AD"/>
    <w:rsid w:val="001A0436"/>
    <w:rsid w:val="001A058C"/>
    <w:rsid w:val="001A1585"/>
    <w:rsid w:val="001A1802"/>
    <w:rsid w:val="001A1B19"/>
    <w:rsid w:val="001A1C44"/>
    <w:rsid w:val="001A20AE"/>
    <w:rsid w:val="001A293B"/>
    <w:rsid w:val="001A2E31"/>
    <w:rsid w:val="001A3284"/>
    <w:rsid w:val="001A4566"/>
    <w:rsid w:val="001A49DD"/>
    <w:rsid w:val="001A4CCF"/>
    <w:rsid w:val="001A4EB3"/>
    <w:rsid w:val="001A5334"/>
    <w:rsid w:val="001A57C7"/>
    <w:rsid w:val="001A599C"/>
    <w:rsid w:val="001A675B"/>
    <w:rsid w:val="001A69BE"/>
    <w:rsid w:val="001A6A82"/>
    <w:rsid w:val="001A747A"/>
    <w:rsid w:val="001A7F97"/>
    <w:rsid w:val="001B0312"/>
    <w:rsid w:val="001B199D"/>
    <w:rsid w:val="001B1DAA"/>
    <w:rsid w:val="001B2CBA"/>
    <w:rsid w:val="001B2FD2"/>
    <w:rsid w:val="001B38BB"/>
    <w:rsid w:val="001B53BA"/>
    <w:rsid w:val="001B552D"/>
    <w:rsid w:val="001B5669"/>
    <w:rsid w:val="001B59A9"/>
    <w:rsid w:val="001B6836"/>
    <w:rsid w:val="001B6EE5"/>
    <w:rsid w:val="001B7272"/>
    <w:rsid w:val="001B72DE"/>
    <w:rsid w:val="001C09B9"/>
    <w:rsid w:val="001C0AB9"/>
    <w:rsid w:val="001C1006"/>
    <w:rsid w:val="001C1A97"/>
    <w:rsid w:val="001C1E27"/>
    <w:rsid w:val="001C2742"/>
    <w:rsid w:val="001C295E"/>
    <w:rsid w:val="001C349D"/>
    <w:rsid w:val="001C372E"/>
    <w:rsid w:val="001C399C"/>
    <w:rsid w:val="001C39AA"/>
    <w:rsid w:val="001C3B62"/>
    <w:rsid w:val="001C41A4"/>
    <w:rsid w:val="001C4302"/>
    <w:rsid w:val="001C45C8"/>
    <w:rsid w:val="001C49D2"/>
    <w:rsid w:val="001C5235"/>
    <w:rsid w:val="001C54E0"/>
    <w:rsid w:val="001C6234"/>
    <w:rsid w:val="001C79F5"/>
    <w:rsid w:val="001D0185"/>
    <w:rsid w:val="001D0732"/>
    <w:rsid w:val="001D0FDA"/>
    <w:rsid w:val="001D1093"/>
    <w:rsid w:val="001D17E9"/>
    <w:rsid w:val="001D21EC"/>
    <w:rsid w:val="001D2A80"/>
    <w:rsid w:val="001D2BEA"/>
    <w:rsid w:val="001D2F0A"/>
    <w:rsid w:val="001D3236"/>
    <w:rsid w:val="001D34EE"/>
    <w:rsid w:val="001D3838"/>
    <w:rsid w:val="001D4A97"/>
    <w:rsid w:val="001D54F3"/>
    <w:rsid w:val="001D55A7"/>
    <w:rsid w:val="001D5973"/>
    <w:rsid w:val="001D61C0"/>
    <w:rsid w:val="001D6865"/>
    <w:rsid w:val="001D6E64"/>
    <w:rsid w:val="001D6F98"/>
    <w:rsid w:val="001D70D4"/>
    <w:rsid w:val="001D769E"/>
    <w:rsid w:val="001D7ED0"/>
    <w:rsid w:val="001E0756"/>
    <w:rsid w:val="001E16B8"/>
    <w:rsid w:val="001E17A1"/>
    <w:rsid w:val="001E1B87"/>
    <w:rsid w:val="001E4015"/>
    <w:rsid w:val="001E4C07"/>
    <w:rsid w:val="001E50F5"/>
    <w:rsid w:val="001E5DED"/>
    <w:rsid w:val="001E634F"/>
    <w:rsid w:val="001E793F"/>
    <w:rsid w:val="001E7F3E"/>
    <w:rsid w:val="001F044A"/>
    <w:rsid w:val="001F064C"/>
    <w:rsid w:val="001F06A3"/>
    <w:rsid w:val="001F09E7"/>
    <w:rsid w:val="001F149C"/>
    <w:rsid w:val="001F14CB"/>
    <w:rsid w:val="001F1F12"/>
    <w:rsid w:val="001F1FDD"/>
    <w:rsid w:val="001F40B2"/>
    <w:rsid w:val="001F432E"/>
    <w:rsid w:val="001F43F7"/>
    <w:rsid w:val="001F46A2"/>
    <w:rsid w:val="001F6496"/>
    <w:rsid w:val="001F65FA"/>
    <w:rsid w:val="001F6A4C"/>
    <w:rsid w:val="001F6AC1"/>
    <w:rsid w:val="001F70C1"/>
    <w:rsid w:val="001F73A8"/>
    <w:rsid w:val="001F7C70"/>
    <w:rsid w:val="002002A6"/>
    <w:rsid w:val="00200D9E"/>
    <w:rsid w:val="00200F50"/>
    <w:rsid w:val="00201497"/>
    <w:rsid w:val="00202D4D"/>
    <w:rsid w:val="00203356"/>
    <w:rsid w:val="00203E3E"/>
    <w:rsid w:val="002045AE"/>
    <w:rsid w:val="00205A79"/>
    <w:rsid w:val="00205AA5"/>
    <w:rsid w:val="00205B06"/>
    <w:rsid w:val="00205BCE"/>
    <w:rsid w:val="00205F79"/>
    <w:rsid w:val="00206369"/>
    <w:rsid w:val="00207AD0"/>
    <w:rsid w:val="002109F3"/>
    <w:rsid w:val="0021149E"/>
    <w:rsid w:val="00211F2D"/>
    <w:rsid w:val="00212382"/>
    <w:rsid w:val="00212941"/>
    <w:rsid w:val="00212C2E"/>
    <w:rsid w:val="002136BC"/>
    <w:rsid w:val="00214AC1"/>
    <w:rsid w:val="00215768"/>
    <w:rsid w:val="002160CD"/>
    <w:rsid w:val="002167A5"/>
    <w:rsid w:val="00216AD4"/>
    <w:rsid w:val="00216CC6"/>
    <w:rsid w:val="00216DA2"/>
    <w:rsid w:val="002174D7"/>
    <w:rsid w:val="00220C07"/>
    <w:rsid w:val="00221A10"/>
    <w:rsid w:val="0022228D"/>
    <w:rsid w:val="00222782"/>
    <w:rsid w:val="00224431"/>
    <w:rsid w:val="002258FA"/>
    <w:rsid w:val="00226B30"/>
    <w:rsid w:val="002274A5"/>
    <w:rsid w:val="002301D9"/>
    <w:rsid w:val="002303F7"/>
    <w:rsid w:val="00230C5A"/>
    <w:rsid w:val="002312DA"/>
    <w:rsid w:val="00231338"/>
    <w:rsid w:val="00231B1D"/>
    <w:rsid w:val="0023244F"/>
    <w:rsid w:val="0023265F"/>
    <w:rsid w:val="00233948"/>
    <w:rsid w:val="00234634"/>
    <w:rsid w:val="00234F49"/>
    <w:rsid w:val="00234FD7"/>
    <w:rsid w:val="002358E7"/>
    <w:rsid w:val="0023621C"/>
    <w:rsid w:val="002378DD"/>
    <w:rsid w:val="002378F3"/>
    <w:rsid w:val="00237FAE"/>
    <w:rsid w:val="0024003B"/>
    <w:rsid w:val="0024006E"/>
    <w:rsid w:val="00240B80"/>
    <w:rsid w:val="00240EE3"/>
    <w:rsid w:val="00241406"/>
    <w:rsid w:val="00242BA3"/>
    <w:rsid w:val="00242EA0"/>
    <w:rsid w:val="0024328B"/>
    <w:rsid w:val="00244545"/>
    <w:rsid w:val="00244675"/>
    <w:rsid w:val="0024467B"/>
    <w:rsid w:val="00244728"/>
    <w:rsid w:val="00246B68"/>
    <w:rsid w:val="00246F7A"/>
    <w:rsid w:val="00247929"/>
    <w:rsid w:val="002503CC"/>
    <w:rsid w:val="00250528"/>
    <w:rsid w:val="00250EBD"/>
    <w:rsid w:val="00251919"/>
    <w:rsid w:val="002522E0"/>
    <w:rsid w:val="0025314D"/>
    <w:rsid w:val="002532EC"/>
    <w:rsid w:val="00253B90"/>
    <w:rsid w:val="002541D8"/>
    <w:rsid w:val="00255731"/>
    <w:rsid w:val="00256659"/>
    <w:rsid w:val="00256CDC"/>
    <w:rsid w:val="0025736F"/>
    <w:rsid w:val="00257E1E"/>
    <w:rsid w:val="002600D5"/>
    <w:rsid w:val="00260588"/>
    <w:rsid w:val="00262AD2"/>
    <w:rsid w:val="00262C0A"/>
    <w:rsid w:val="00263222"/>
    <w:rsid w:val="002651ED"/>
    <w:rsid w:val="0026536F"/>
    <w:rsid w:val="00265391"/>
    <w:rsid w:val="00265798"/>
    <w:rsid w:val="002677E1"/>
    <w:rsid w:val="00267A57"/>
    <w:rsid w:val="00270357"/>
    <w:rsid w:val="00270A37"/>
    <w:rsid w:val="00271086"/>
    <w:rsid w:val="002718B3"/>
    <w:rsid w:val="002719D2"/>
    <w:rsid w:val="002729F8"/>
    <w:rsid w:val="00272F8F"/>
    <w:rsid w:val="002738E7"/>
    <w:rsid w:val="00280914"/>
    <w:rsid w:val="0028228D"/>
    <w:rsid w:val="002824C8"/>
    <w:rsid w:val="00282865"/>
    <w:rsid w:val="00283614"/>
    <w:rsid w:val="00283E6D"/>
    <w:rsid w:val="00284BD6"/>
    <w:rsid w:val="00284E18"/>
    <w:rsid w:val="00284EBE"/>
    <w:rsid w:val="0028628F"/>
    <w:rsid w:val="0028753E"/>
    <w:rsid w:val="002876CD"/>
    <w:rsid w:val="0028781C"/>
    <w:rsid w:val="0029005A"/>
    <w:rsid w:val="0029058D"/>
    <w:rsid w:val="00290B6A"/>
    <w:rsid w:val="00291747"/>
    <w:rsid w:val="002928D0"/>
    <w:rsid w:val="00293822"/>
    <w:rsid w:val="00293CC5"/>
    <w:rsid w:val="00293DE5"/>
    <w:rsid w:val="00294743"/>
    <w:rsid w:val="002963C1"/>
    <w:rsid w:val="002965EB"/>
    <w:rsid w:val="00296A77"/>
    <w:rsid w:val="00296C04"/>
    <w:rsid w:val="0029701D"/>
    <w:rsid w:val="0029749A"/>
    <w:rsid w:val="0029750E"/>
    <w:rsid w:val="00297721"/>
    <w:rsid w:val="00297A57"/>
    <w:rsid w:val="002A0DA1"/>
    <w:rsid w:val="002A15D3"/>
    <w:rsid w:val="002A22EC"/>
    <w:rsid w:val="002A44E0"/>
    <w:rsid w:val="002A5065"/>
    <w:rsid w:val="002A5572"/>
    <w:rsid w:val="002A5739"/>
    <w:rsid w:val="002A5820"/>
    <w:rsid w:val="002A59F9"/>
    <w:rsid w:val="002A5CA2"/>
    <w:rsid w:val="002A66C2"/>
    <w:rsid w:val="002A6729"/>
    <w:rsid w:val="002A73C2"/>
    <w:rsid w:val="002B03AB"/>
    <w:rsid w:val="002B11AF"/>
    <w:rsid w:val="002B11BF"/>
    <w:rsid w:val="002B14FA"/>
    <w:rsid w:val="002B15F2"/>
    <w:rsid w:val="002B16D4"/>
    <w:rsid w:val="002B17E6"/>
    <w:rsid w:val="002B3187"/>
    <w:rsid w:val="002B3E8B"/>
    <w:rsid w:val="002B4347"/>
    <w:rsid w:val="002B48B9"/>
    <w:rsid w:val="002B756B"/>
    <w:rsid w:val="002B78DA"/>
    <w:rsid w:val="002C0149"/>
    <w:rsid w:val="002C1053"/>
    <w:rsid w:val="002C1E4D"/>
    <w:rsid w:val="002C27FA"/>
    <w:rsid w:val="002C3038"/>
    <w:rsid w:val="002C383E"/>
    <w:rsid w:val="002C63B7"/>
    <w:rsid w:val="002C7600"/>
    <w:rsid w:val="002C7B12"/>
    <w:rsid w:val="002D170B"/>
    <w:rsid w:val="002D1BC0"/>
    <w:rsid w:val="002D1FA4"/>
    <w:rsid w:val="002D228E"/>
    <w:rsid w:val="002D27FE"/>
    <w:rsid w:val="002D2B12"/>
    <w:rsid w:val="002D2B52"/>
    <w:rsid w:val="002D2E0E"/>
    <w:rsid w:val="002D33AD"/>
    <w:rsid w:val="002D42F3"/>
    <w:rsid w:val="002D4A37"/>
    <w:rsid w:val="002D503C"/>
    <w:rsid w:val="002D583D"/>
    <w:rsid w:val="002D6BFF"/>
    <w:rsid w:val="002D6C5F"/>
    <w:rsid w:val="002D785D"/>
    <w:rsid w:val="002E0693"/>
    <w:rsid w:val="002E12C0"/>
    <w:rsid w:val="002E1B57"/>
    <w:rsid w:val="002E46A6"/>
    <w:rsid w:val="002E4833"/>
    <w:rsid w:val="002E4E0B"/>
    <w:rsid w:val="002E5CBD"/>
    <w:rsid w:val="002E5D56"/>
    <w:rsid w:val="002E5F67"/>
    <w:rsid w:val="002E68F1"/>
    <w:rsid w:val="002E6E59"/>
    <w:rsid w:val="002E7FF1"/>
    <w:rsid w:val="002F0002"/>
    <w:rsid w:val="002F06A0"/>
    <w:rsid w:val="002F18F7"/>
    <w:rsid w:val="002F1FF1"/>
    <w:rsid w:val="002F2907"/>
    <w:rsid w:val="002F2B03"/>
    <w:rsid w:val="002F2F6D"/>
    <w:rsid w:val="002F3008"/>
    <w:rsid w:val="002F3746"/>
    <w:rsid w:val="002F38B0"/>
    <w:rsid w:val="002F5F0B"/>
    <w:rsid w:val="002F60E8"/>
    <w:rsid w:val="002F61C4"/>
    <w:rsid w:val="002F692B"/>
    <w:rsid w:val="002F6D08"/>
    <w:rsid w:val="002F7095"/>
    <w:rsid w:val="002F7338"/>
    <w:rsid w:val="0030053F"/>
    <w:rsid w:val="00300A41"/>
    <w:rsid w:val="00300A50"/>
    <w:rsid w:val="00300E1B"/>
    <w:rsid w:val="00301A67"/>
    <w:rsid w:val="00301DF6"/>
    <w:rsid w:val="00302076"/>
    <w:rsid w:val="0030221C"/>
    <w:rsid w:val="00302512"/>
    <w:rsid w:val="00302C19"/>
    <w:rsid w:val="00303106"/>
    <w:rsid w:val="0030374E"/>
    <w:rsid w:val="003037BB"/>
    <w:rsid w:val="00303FB1"/>
    <w:rsid w:val="003041CB"/>
    <w:rsid w:val="0030435D"/>
    <w:rsid w:val="00305DD3"/>
    <w:rsid w:val="00306B37"/>
    <w:rsid w:val="00306DCF"/>
    <w:rsid w:val="003076D6"/>
    <w:rsid w:val="00307AEA"/>
    <w:rsid w:val="00310238"/>
    <w:rsid w:val="003108F0"/>
    <w:rsid w:val="003109CA"/>
    <w:rsid w:val="00310F4A"/>
    <w:rsid w:val="0031124B"/>
    <w:rsid w:val="003114C7"/>
    <w:rsid w:val="003118D5"/>
    <w:rsid w:val="00312FDE"/>
    <w:rsid w:val="00314783"/>
    <w:rsid w:val="00315A30"/>
    <w:rsid w:val="00315B21"/>
    <w:rsid w:val="00317610"/>
    <w:rsid w:val="00317DF1"/>
    <w:rsid w:val="00317E57"/>
    <w:rsid w:val="00321179"/>
    <w:rsid w:val="003214BC"/>
    <w:rsid w:val="003229AC"/>
    <w:rsid w:val="00322CC4"/>
    <w:rsid w:val="00324F88"/>
    <w:rsid w:val="00325071"/>
    <w:rsid w:val="00325A2E"/>
    <w:rsid w:val="0032616B"/>
    <w:rsid w:val="00327569"/>
    <w:rsid w:val="0032778B"/>
    <w:rsid w:val="00327B56"/>
    <w:rsid w:val="00330B2C"/>
    <w:rsid w:val="003315C7"/>
    <w:rsid w:val="0033164F"/>
    <w:rsid w:val="003316D9"/>
    <w:rsid w:val="00331D1A"/>
    <w:rsid w:val="00331FE5"/>
    <w:rsid w:val="00332C0A"/>
    <w:rsid w:val="003330DE"/>
    <w:rsid w:val="00333BD7"/>
    <w:rsid w:val="00333E1B"/>
    <w:rsid w:val="0033442A"/>
    <w:rsid w:val="003350B7"/>
    <w:rsid w:val="003357E6"/>
    <w:rsid w:val="0033633B"/>
    <w:rsid w:val="0033676F"/>
    <w:rsid w:val="00340CB4"/>
    <w:rsid w:val="00341FEC"/>
    <w:rsid w:val="00342246"/>
    <w:rsid w:val="0034246B"/>
    <w:rsid w:val="003425D2"/>
    <w:rsid w:val="0034296E"/>
    <w:rsid w:val="00342BE4"/>
    <w:rsid w:val="00342CF9"/>
    <w:rsid w:val="00342D87"/>
    <w:rsid w:val="0034378E"/>
    <w:rsid w:val="00343EB1"/>
    <w:rsid w:val="0034513B"/>
    <w:rsid w:val="00345789"/>
    <w:rsid w:val="003461B9"/>
    <w:rsid w:val="0034780D"/>
    <w:rsid w:val="00347EB8"/>
    <w:rsid w:val="00350357"/>
    <w:rsid w:val="003507C5"/>
    <w:rsid w:val="00350E5D"/>
    <w:rsid w:val="00351635"/>
    <w:rsid w:val="003520C2"/>
    <w:rsid w:val="0035316B"/>
    <w:rsid w:val="00353CA5"/>
    <w:rsid w:val="00355FC2"/>
    <w:rsid w:val="00355FEF"/>
    <w:rsid w:val="00356377"/>
    <w:rsid w:val="0035658B"/>
    <w:rsid w:val="003570F1"/>
    <w:rsid w:val="00357C25"/>
    <w:rsid w:val="00357C74"/>
    <w:rsid w:val="003606B3"/>
    <w:rsid w:val="0036146E"/>
    <w:rsid w:val="00361A31"/>
    <w:rsid w:val="00362678"/>
    <w:rsid w:val="00362B04"/>
    <w:rsid w:val="003636FD"/>
    <w:rsid w:val="00363DC4"/>
    <w:rsid w:val="00364C35"/>
    <w:rsid w:val="00364DA8"/>
    <w:rsid w:val="00364E7C"/>
    <w:rsid w:val="00365863"/>
    <w:rsid w:val="0036687A"/>
    <w:rsid w:val="00366ED2"/>
    <w:rsid w:val="0036792B"/>
    <w:rsid w:val="003679E1"/>
    <w:rsid w:val="00367B8B"/>
    <w:rsid w:val="00367EA5"/>
    <w:rsid w:val="0037014F"/>
    <w:rsid w:val="003718FE"/>
    <w:rsid w:val="00371DA1"/>
    <w:rsid w:val="00372290"/>
    <w:rsid w:val="00373E92"/>
    <w:rsid w:val="00374518"/>
    <w:rsid w:val="003748E9"/>
    <w:rsid w:val="00374974"/>
    <w:rsid w:val="00375777"/>
    <w:rsid w:val="0037584C"/>
    <w:rsid w:val="00376226"/>
    <w:rsid w:val="0037716C"/>
    <w:rsid w:val="00377908"/>
    <w:rsid w:val="00377D07"/>
    <w:rsid w:val="0038038B"/>
    <w:rsid w:val="003803FD"/>
    <w:rsid w:val="00380525"/>
    <w:rsid w:val="00381AA8"/>
    <w:rsid w:val="00382814"/>
    <w:rsid w:val="00383046"/>
    <w:rsid w:val="00384D2C"/>
    <w:rsid w:val="00385078"/>
    <w:rsid w:val="003853A4"/>
    <w:rsid w:val="00385515"/>
    <w:rsid w:val="00385E5A"/>
    <w:rsid w:val="00386993"/>
    <w:rsid w:val="00386B3D"/>
    <w:rsid w:val="00386CFD"/>
    <w:rsid w:val="003871E0"/>
    <w:rsid w:val="00387208"/>
    <w:rsid w:val="00387FC7"/>
    <w:rsid w:val="003900AD"/>
    <w:rsid w:val="003903A0"/>
    <w:rsid w:val="003903BC"/>
    <w:rsid w:val="00390EF7"/>
    <w:rsid w:val="003917B6"/>
    <w:rsid w:val="00391F0B"/>
    <w:rsid w:val="00392AF7"/>
    <w:rsid w:val="003932E0"/>
    <w:rsid w:val="00394BD2"/>
    <w:rsid w:val="00394D5B"/>
    <w:rsid w:val="0039532C"/>
    <w:rsid w:val="003958E3"/>
    <w:rsid w:val="00395AEC"/>
    <w:rsid w:val="00395E32"/>
    <w:rsid w:val="00395F6E"/>
    <w:rsid w:val="00396A99"/>
    <w:rsid w:val="003979C4"/>
    <w:rsid w:val="00397DC2"/>
    <w:rsid w:val="003A0136"/>
    <w:rsid w:val="003A1267"/>
    <w:rsid w:val="003A1886"/>
    <w:rsid w:val="003A2545"/>
    <w:rsid w:val="003A2E59"/>
    <w:rsid w:val="003A4614"/>
    <w:rsid w:val="003A4C1A"/>
    <w:rsid w:val="003A513F"/>
    <w:rsid w:val="003A5590"/>
    <w:rsid w:val="003A5FE7"/>
    <w:rsid w:val="003A6C5F"/>
    <w:rsid w:val="003A7256"/>
    <w:rsid w:val="003A78B3"/>
    <w:rsid w:val="003B0BB6"/>
    <w:rsid w:val="003B22BC"/>
    <w:rsid w:val="003B23BC"/>
    <w:rsid w:val="003B3F80"/>
    <w:rsid w:val="003B401C"/>
    <w:rsid w:val="003B436F"/>
    <w:rsid w:val="003B49A4"/>
    <w:rsid w:val="003B612D"/>
    <w:rsid w:val="003B61E8"/>
    <w:rsid w:val="003B75A8"/>
    <w:rsid w:val="003B7777"/>
    <w:rsid w:val="003B79F7"/>
    <w:rsid w:val="003B7B67"/>
    <w:rsid w:val="003C1705"/>
    <w:rsid w:val="003C19FC"/>
    <w:rsid w:val="003C1C78"/>
    <w:rsid w:val="003C2B55"/>
    <w:rsid w:val="003C391E"/>
    <w:rsid w:val="003C4687"/>
    <w:rsid w:val="003C5308"/>
    <w:rsid w:val="003C5912"/>
    <w:rsid w:val="003C5C6D"/>
    <w:rsid w:val="003C6123"/>
    <w:rsid w:val="003C6347"/>
    <w:rsid w:val="003C67FE"/>
    <w:rsid w:val="003C6E54"/>
    <w:rsid w:val="003C78F2"/>
    <w:rsid w:val="003D0211"/>
    <w:rsid w:val="003D028D"/>
    <w:rsid w:val="003D0736"/>
    <w:rsid w:val="003D1878"/>
    <w:rsid w:val="003D210A"/>
    <w:rsid w:val="003D22D0"/>
    <w:rsid w:val="003D29FB"/>
    <w:rsid w:val="003D34A6"/>
    <w:rsid w:val="003D49DB"/>
    <w:rsid w:val="003D5077"/>
    <w:rsid w:val="003D6003"/>
    <w:rsid w:val="003D6501"/>
    <w:rsid w:val="003D66A6"/>
    <w:rsid w:val="003D695A"/>
    <w:rsid w:val="003D77FF"/>
    <w:rsid w:val="003E046F"/>
    <w:rsid w:val="003E0741"/>
    <w:rsid w:val="003E0985"/>
    <w:rsid w:val="003E19C5"/>
    <w:rsid w:val="003E2952"/>
    <w:rsid w:val="003E2B15"/>
    <w:rsid w:val="003E2CD7"/>
    <w:rsid w:val="003E3104"/>
    <w:rsid w:val="003E40C5"/>
    <w:rsid w:val="003E46E7"/>
    <w:rsid w:val="003E59A2"/>
    <w:rsid w:val="003E65E9"/>
    <w:rsid w:val="003E6949"/>
    <w:rsid w:val="003E6962"/>
    <w:rsid w:val="003E6BCB"/>
    <w:rsid w:val="003E736B"/>
    <w:rsid w:val="003E7620"/>
    <w:rsid w:val="003F03FF"/>
    <w:rsid w:val="003F0B35"/>
    <w:rsid w:val="003F0E27"/>
    <w:rsid w:val="003F1021"/>
    <w:rsid w:val="003F1ABF"/>
    <w:rsid w:val="003F200F"/>
    <w:rsid w:val="003F28E0"/>
    <w:rsid w:val="003F29F5"/>
    <w:rsid w:val="003F2B7F"/>
    <w:rsid w:val="003F3323"/>
    <w:rsid w:val="003F3C2D"/>
    <w:rsid w:val="003F664B"/>
    <w:rsid w:val="003F6760"/>
    <w:rsid w:val="003F6AC4"/>
    <w:rsid w:val="003F6B25"/>
    <w:rsid w:val="003F7E3D"/>
    <w:rsid w:val="003F7EA5"/>
    <w:rsid w:val="003F7FC2"/>
    <w:rsid w:val="00400396"/>
    <w:rsid w:val="00401C78"/>
    <w:rsid w:val="004024C2"/>
    <w:rsid w:val="004033C7"/>
    <w:rsid w:val="00403921"/>
    <w:rsid w:val="00403EAA"/>
    <w:rsid w:val="00404EC4"/>
    <w:rsid w:val="004059B1"/>
    <w:rsid w:val="00405B82"/>
    <w:rsid w:val="00405F3C"/>
    <w:rsid w:val="0040603C"/>
    <w:rsid w:val="0040691A"/>
    <w:rsid w:val="00407050"/>
    <w:rsid w:val="004072A5"/>
    <w:rsid w:val="004078DC"/>
    <w:rsid w:val="00407B30"/>
    <w:rsid w:val="00407C06"/>
    <w:rsid w:val="00410011"/>
    <w:rsid w:val="004104D8"/>
    <w:rsid w:val="00410A95"/>
    <w:rsid w:val="00410B78"/>
    <w:rsid w:val="00411B59"/>
    <w:rsid w:val="00411BF3"/>
    <w:rsid w:val="00411DA3"/>
    <w:rsid w:val="00412154"/>
    <w:rsid w:val="0041311A"/>
    <w:rsid w:val="00413A4B"/>
    <w:rsid w:val="00413EE3"/>
    <w:rsid w:val="004143F6"/>
    <w:rsid w:val="00414614"/>
    <w:rsid w:val="00414E0C"/>
    <w:rsid w:val="00414F21"/>
    <w:rsid w:val="00415EC6"/>
    <w:rsid w:val="00416FE8"/>
    <w:rsid w:val="00417354"/>
    <w:rsid w:val="00417601"/>
    <w:rsid w:val="004178B2"/>
    <w:rsid w:val="00417A76"/>
    <w:rsid w:val="00420735"/>
    <w:rsid w:val="00421B3C"/>
    <w:rsid w:val="00423053"/>
    <w:rsid w:val="00423DCE"/>
    <w:rsid w:val="00424339"/>
    <w:rsid w:val="00424342"/>
    <w:rsid w:val="004246AD"/>
    <w:rsid w:val="00425085"/>
    <w:rsid w:val="004253F0"/>
    <w:rsid w:val="00425D10"/>
    <w:rsid w:val="0042686E"/>
    <w:rsid w:val="004273EA"/>
    <w:rsid w:val="00430F39"/>
    <w:rsid w:val="00431068"/>
    <w:rsid w:val="00431B1B"/>
    <w:rsid w:val="00432352"/>
    <w:rsid w:val="00432C93"/>
    <w:rsid w:val="004334B2"/>
    <w:rsid w:val="00433A16"/>
    <w:rsid w:val="004341C5"/>
    <w:rsid w:val="004341D3"/>
    <w:rsid w:val="00434ED4"/>
    <w:rsid w:val="00437012"/>
    <w:rsid w:val="00437968"/>
    <w:rsid w:val="00437AEA"/>
    <w:rsid w:val="00440ED1"/>
    <w:rsid w:val="00441F08"/>
    <w:rsid w:val="00443120"/>
    <w:rsid w:val="0044345F"/>
    <w:rsid w:val="00444C33"/>
    <w:rsid w:val="00444DBE"/>
    <w:rsid w:val="00445EBA"/>
    <w:rsid w:val="00446D86"/>
    <w:rsid w:val="00447A4C"/>
    <w:rsid w:val="00447E76"/>
    <w:rsid w:val="004504BE"/>
    <w:rsid w:val="004510DE"/>
    <w:rsid w:val="004522F0"/>
    <w:rsid w:val="00452BFD"/>
    <w:rsid w:val="00453911"/>
    <w:rsid w:val="0045396D"/>
    <w:rsid w:val="0045440E"/>
    <w:rsid w:val="00454B4A"/>
    <w:rsid w:val="00454BB8"/>
    <w:rsid w:val="00454D71"/>
    <w:rsid w:val="004553BB"/>
    <w:rsid w:val="00455DBE"/>
    <w:rsid w:val="00455F8B"/>
    <w:rsid w:val="004569B8"/>
    <w:rsid w:val="00456B7D"/>
    <w:rsid w:val="004571D9"/>
    <w:rsid w:val="00457FA6"/>
    <w:rsid w:val="004604F1"/>
    <w:rsid w:val="00460D54"/>
    <w:rsid w:val="00460E94"/>
    <w:rsid w:val="004610DD"/>
    <w:rsid w:val="004624D8"/>
    <w:rsid w:val="00463AEE"/>
    <w:rsid w:val="00464133"/>
    <w:rsid w:val="00464256"/>
    <w:rsid w:val="0046438C"/>
    <w:rsid w:val="00464AD2"/>
    <w:rsid w:val="0046562B"/>
    <w:rsid w:val="00465ACD"/>
    <w:rsid w:val="00466A07"/>
    <w:rsid w:val="00466BBD"/>
    <w:rsid w:val="00470678"/>
    <w:rsid w:val="00470E59"/>
    <w:rsid w:val="00471188"/>
    <w:rsid w:val="00471451"/>
    <w:rsid w:val="0047255E"/>
    <w:rsid w:val="004730D1"/>
    <w:rsid w:val="004745FF"/>
    <w:rsid w:val="00475727"/>
    <w:rsid w:val="00475F6C"/>
    <w:rsid w:val="004761F5"/>
    <w:rsid w:val="00476F09"/>
    <w:rsid w:val="0047767E"/>
    <w:rsid w:val="004776AC"/>
    <w:rsid w:val="00480351"/>
    <w:rsid w:val="00480633"/>
    <w:rsid w:val="00480FDF"/>
    <w:rsid w:val="0048170A"/>
    <w:rsid w:val="00482360"/>
    <w:rsid w:val="004823AB"/>
    <w:rsid w:val="004831F9"/>
    <w:rsid w:val="00483846"/>
    <w:rsid w:val="00483EC5"/>
    <w:rsid w:val="00483EFB"/>
    <w:rsid w:val="00484A97"/>
    <w:rsid w:val="00484F80"/>
    <w:rsid w:val="00485127"/>
    <w:rsid w:val="0048547C"/>
    <w:rsid w:val="004864BF"/>
    <w:rsid w:val="00486EDA"/>
    <w:rsid w:val="00487016"/>
    <w:rsid w:val="00487776"/>
    <w:rsid w:val="004878F1"/>
    <w:rsid w:val="00487A3E"/>
    <w:rsid w:val="00487E9D"/>
    <w:rsid w:val="004902F5"/>
    <w:rsid w:val="004906AD"/>
    <w:rsid w:val="004909FE"/>
    <w:rsid w:val="00491126"/>
    <w:rsid w:val="004915B2"/>
    <w:rsid w:val="00491F1A"/>
    <w:rsid w:val="00492B1D"/>
    <w:rsid w:val="00492ECC"/>
    <w:rsid w:val="004932AA"/>
    <w:rsid w:val="004933B8"/>
    <w:rsid w:val="0049386A"/>
    <w:rsid w:val="00494974"/>
    <w:rsid w:val="00494989"/>
    <w:rsid w:val="00494E79"/>
    <w:rsid w:val="004955C1"/>
    <w:rsid w:val="00497729"/>
    <w:rsid w:val="004977A9"/>
    <w:rsid w:val="00497A86"/>
    <w:rsid w:val="004A1247"/>
    <w:rsid w:val="004A1DB5"/>
    <w:rsid w:val="004A22FB"/>
    <w:rsid w:val="004A281B"/>
    <w:rsid w:val="004A2DAC"/>
    <w:rsid w:val="004A32FE"/>
    <w:rsid w:val="004A42D5"/>
    <w:rsid w:val="004A440D"/>
    <w:rsid w:val="004A571D"/>
    <w:rsid w:val="004A5E3D"/>
    <w:rsid w:val="004A67A6"/>
    <w:rsid w:val="004B0076"/>
    <w:rsid w:val="004B09CC"/>
    <w:rsid w:val="004B11AD"/>
    <w:rsid w:val="004B15BA"/>
    <w:rsid w:val="004B1AC2"/>
    <w:rsid w:val="004B1AD2"/>
    <w:rsid w:val="004B2444"/>
    <w:rsid w:val="004B2947"/>
    <w:rsid w:val="004B3085"/>
    <w:rsid w:val="004B35EA"/>
    <w:rsid w:val="004B3ACD"/>
    <w:rsid w:val="004B3BDC"/>
    <w:rsid w:val="004B3CA1"/>
    <w:rsid w:val="004B4168"/>
    <w:rsid w:val="004B50B3"/>
    <w:rsid w:val="004B5582"/>
    <w:rsid w:val="004B5821"/>
    <w:rsid w:val="004B5C24"/>
    <w:rsid w:val="004B6002"/>
    <w:rsid w:val="004B668A"/>
    <w:rsid w:val="004B6AD1"/>
    <w:rsid w:val="004B79F2"/>
    <w:rsid w:val="004B7C88"/>
    <w:rsid w:val="004C01A3"/>
    <w:rsid w:val="004C0FF0"/>
    <w:rsid w:val="004C1BD6"/>
    <w:rsid w:val="004C1FAC"/>
    <w:rsid w:val="004C24B0"/>
    <w:rsid w:val="004C31C4"/>
    <w:rsid w:val="004C3CB8"/>
    <w:rsid w:val="004C6601"/>
    <w:rsid w:val="004C6982"/>
    <w:rsid w:val="004C7053"/>
    <w:rsid w:val="004C707D"/>
    <w:rsid w:val="004C7BB4"/>
    <w:rsid w:val="004D002A"/>
    <w:rsid w:val="004D004A"/>
    <w:rsid w:val="004D0B97"/>
    <w:rsid w:val="004D2553"/>
    <w:rsid w:val="004D3838"/>
    <w:rsid w:val="004D3E68"/>
    <w:rsid w:val="004D6835"/>
    <w:rsid w:val="004D6BA7"/>
    <w:rsid w:val="004D77F9"/>
    <w:rsid w:val="004D7C94"/>
    <w:rsid w:val="004E0A8C"/>
    <w:rsid w:val="004E1863"/>
    <w:rsid w:val="004E1B5A"/>
    <w:rsid w:val="004E1E8D"/>
    <w:rsid w:val="004E2622"/>
    <w:rsid w:val="004E289E"/>
    <w:rsid w:val="004E2BCA"/>
    <w:rsid w:val="004E2E2A"/>
    <w:rsid w:val="004E3008"/>
    <w:rsid w:val="004E35BF"/>
    <w:rsid w:val="004E3670"/>
    <w:rsid w:val="004E3B9D"/>
    <w:rsid w:val="004E3DE7"/>
    <w:rsid w:val="004E3FBA"/>
    <w:rsid w:val="004E4602"/>
    <w:rsid w:val="004E5209"/>
    <w:rsid w:val="004E5399"/>
    <w:rsid w:val="004E6220"/>
    <w:rsid w:val="004E6CF0"/>
    <w:rsid w:val="004F0FBF"/>
    <w:rsid w:val="004F1506"/>
    <w:rsid w:val="004F1557"/>
    <w:rsid w:val="004F1882"/>
    <w:rsid w:val="004F21C9"/>
    <w:rsid w:val="004F2441"/>
    <w:rsid w:val="004F2B0B"/>
    <w:rsid w:val="004F2DC1"/>
    <w:rsid w:val="004F300A"/>
    <w:rsid w:val="004F34C5"/>
    <w:rsid w:val="004F3579"/>
    <w:rsid w:val="004F3821"/>
    <w:rsid w:val="004F3C29"/>
    <w:rsid w:val="004F3E11"/>
    <w:rsid w:val="004F3EA6"/>
    <w:rsid w:val="004F48F6"/>
    <w:rsid w:val="004F560A"/>
    <w:rsid w:val="004F6A6B"/>
    <w:rsid w:val="004F6D9A"/>
    <w:rsid w:val="004F7BBE"/>
    <w:rsid w:val="00500769"/>
    <w:rsid w:val="00500B3C"/>
    <w:rsid w:val="00501401"/>
    <w:rsid w:val="0050164C"/>
    <w:rsid w:val="00501D63"/>
    <w:rsid w:val="0050270A"/>
    <w:rsid w:val="005035F1"/>
    <w:rsid w:val="00503ED6"/>
    <w:rsid w:val="00504D62"/>
    <w:rsid w:val="005059B2"/>
    <w:rsid w:val="0050638A"/>
    <w:rsid w:val="00506B62"/>
    <w:rsid w:val="00507955"/>
    <w:rsid w:val="00510722"/>
    <w:rsid w:val="00510D5F"/>
    <w:rsid w:val="00510DC8"/>
    <w:rsid w:val="00511DD8"/>
    <w:rsid w:val="00511F7C"/>
    <w:rsid w:val="00512442"/>
    <w:rsid w:val="005133E5"/>
    <w:rsid w:val="00513C8D"/>
    <w:rsid w:val="00514154"/>
    <w:rsid w:val="00515169"/>
    <w:rsid w:val="00515348"/>
    <w:rsid w:val="0051596A"/>
    <w:rsid w:val="00515ED8"/>
    <w:rsid w:val="00517155"/>
    <w:rsid w:val="00517818"/>
    <w:rsid w:val="00520066"/>
    <w:rsid w:val="00520120"/>
    <w:rsid w:val="00520971"/>
    <w:rsid w:val="00520E9E"/>
    <w:rsid w:val="00522F3E"/>
    <w:rsid w:val="00523242"/>
    <w:rsid w:val="00524D64"/>
    <w:rsid w:val="00524F40"/>
    <w:rsid w:val="0052547F"/>
    <w:rsid w:val="005267B0"/>
    <w:rsid w:val="005269D4"/>
    <w:rsid w:val="005270DD"/>
    <w:rsid w:val="00530493"/>
    <w:rsid w:val="005313AD"/>
    <w:rsid w:val="0053171D"/>
    <w:rsid w:val="00531E2B"/>
    <w:rsid w:val="00532271"/>
    <w:rsid w:val="00533936"/>
    <w:rsid w:val="00534393"/>
    <w:rsid w:val="00534ADA"/>
    <w:rsid w:val="00536001"/>
    <w:rsid w:val="00536105"/>
    <w:rsid w:val="00536864"/>
    <w:rsid w:val="00536E7B"/>
    <w:rsid w:val="00537B65"/>
    <w:rsid w:val="00540527"/>
    <w:rsid w:val="00540959"/>
    <w:rsid w:val="00541584"/>
    <w:rsid w:val="00541AE5"/>
    <w:rsid w:val="00541F61"/>
    <w:rsid w:val="0054248E"/>
    <w:rsid w:val="005425F7"/>
    <w:rsid w:val="0054272D"/>
    <w:rsid w:val="00543C03"/>
    <w:rsid w:val="00544588"/>
    <w:rsid w:val="00544B4E"/>
    <w:rsid w:val="00545328"/>
    <w:rsid w:val="0054680E"/>
    <w:rsid w:val="00546890"/>
    <w:rsid w:val="00546B6E"/>
    <w:rsid w:val="00547651"/>
    <w:rsid w:val="00547BA5"/>
    <w:rsid w:val="00547CB0"/>
    <w:rsid w:val="00550EA7"/>
    <w:rsid w:val="005510C8"/>
    <w:rsid w:val="00553362"/>
    <w:rsid w:val="00553F4B"/>
    <w:rsid w:val="0055519E"/>
    <w:rsid w:val="00555E5D"/>
    <w:rsid w:val="00556562"/>
    <w:rsid w:val="00556EB6"/>
    <w:rsid w:val="005577A2"/>
    <w:rsid w:val="00557AAF"/>
    <w:rsid w:val="00557DAB"/>
    <w:rsid w:val="00561DAB"/>
    <w:rsid w:val="00561DEA"/>
    <w:rsid w:val="005625F4"/>
    <w:rsid w:val="005628A1"/>
    <w:rsid w:val="00562B76"/>
    <w:rsid w:val="00562F0C"/>
    <w:rsid w:val="00564A78"/>
    <w:rsid w:val="00564BCE"/>
    <w:rsid w:val="00564BF5"/>
    <w:rsid w:val="00564C9C"/>
    <w:rsid w:val="00564DDB"/>
    <w:rsid w:val="00565278"/>
    <w:rsid w:val="005653F2"/>
    <w:rsid w:val="00565B06"/>
    <w:rsid w:val="0056656A"/>
    <w:rsid w:val="00567AFC"/>
    <w:rsid w:val="00570223"/>
    <w:rsid w:val="005708CC"/>
    <w:rsid w:val="00571626"/>
    <w:rsid w:val="00572AE9"/>
    <w:rsid w:val="00572F5C"/>
    <w:rsid w:val="0057316F"/>
    <w:rsid w:val="00574C0D"/>
    <w:rsid w:val="005756F4"/>
    <w:rsid w:val="00575C09"/>
    <w:rsid w:val="00575ECF"/>
    <w:rsid w:val="005769C5"/>
    <w:rsid w:val="005771C2"/>
    <w:rsid w:val="00577EEF"/>
    <w:rsid w:val="0058075E"/>
    <w:rsid w:val="0058099A"/>
    <w:rsid w:val="0058283B"/>
    <w:rsid w:val="0058335A"/>
    <w:rsid w:val="00583C7B"/>
    <w:rsid w:val="00583D01"/>
    <w:rsid w:val="0058444D"/>
    <w:rsid w:val="00584A21"/>
    <w:rsid w:val="00585084"/>
    <w:rsid w:val="00585268"/>
    <w:rsid w:val="0058528C"/>
    <w:rsid w:val="00585C90"/>
    <w:rsid w:val="0058657B"/>
    <w:rsid w:val="00586BD2"/>
    <w:rsid w:val="00586DAB"/>
    <w:rsid w:val="005920CA"/>
    <w:rsid w:val="005935CF"/>
    <w:rsid w:val="005940CE"/>
    <w:rsid w:val="00595172"/>
    <w:rsid w:val="005952D3"/>
    <w:rsid w:val="00595AAA"/>
    <w:rsid w:val="00595F70"/>
    <w:rsid w:val="00596C5A"/>
    <w:rsid w:val="005A0693"/>
    <w:rsid w:val="005A0C4F"/>
    <w:rsid w:val="005A0C83"/>
    <w:rsid w:val="005A1876"/>
    <w:rsid w:val="005A1E1C"/>
    <w:rsid w:val="005A20F4"/>
    <w:rsid w:val="005A2984"/>
    <w:rsid w:val="005A3267"/>
    <w:rsid w:val="005A38D6"/>
    <w:rsid w:val="005A6395"/>
    <w:rsid w:val="005A65D4"/>
    <w:rsid w:val="005A690B"/>
    <w:rsid w:val="005A6967"/>
    <w:rsid w:val="005B041A"/>
    <w:rsid w:val="005B0EAE"/>
    <w:rsid w:val="005B1314"/>
    <w:rsid w:val="005B1EA0"/>
    <w:rsid w:val="005B35AB"/>
    <w:rsid w:val="005B45F8"/>
    <w:rsid w:val="005B5D2A"/>
    <w:rsid w:val="005B5D32"/>
    <w:rsid w:val="005B5D33"/>
    <w:rsid w:val="005B698C"/>
    <w:rsid w:val="005B6BCC"/>
    <w:rsid w:val="005B6E37"/>
    <w:rsid w:val="005C0D11"/>
    <w:rsid w:val="005C0F6F"/>
    <w:rsid w:val="005C12D4"/>
    <w:rsid w:val="005C160C"/>
    <w:rsid w:val="005C17E3"/>
    <w:rsid w:val="005C19BC"/>
    <w:rsid w:val="005C2D4B"/>
    <w:rsid w:val="005C3000"/>
    <w:rsid w:val="005C371E"/>
    <w:rsid w:val="005C489C"/>
    <w:rsid w:val="005C4DCD"/>
    <w:rsid w:val="005C4EFD"/>
    <w:rsid w:val="005C7344"/>
    <w:rsid w:val="005C76DD"/>
    <w:rsid w:val="005C77B1"/>
    <w:rsid w:val="005D22DF"/>
    <w:rsid w:val="005D238B"/>
    <w:rsid w:val="005D3751"/>
    <w:rsid w:val="005D377E"/>
    <w:rsid w:val="005D4A7A"/>
    <w:rsid w:val="005D4F0A"/>
    <w:rsid w:val="005D5814"/>
    <w:rsid w:val="005D597D"/>
    <w:rsid w:val="005D61F7"/>
    <w:rsid w:val="005D68B2"/>
    <w:rsid w:val="005E048F"/>
    <w:rsid w:val="005E097C"/>
    <w:rsid w:val="005E0F89"/>
    <w:rsid w:val="005E1BF0"/>
    <w:rsid w:val="005E574A"/>
    <w:rsid w:val="005E5A64"/>
    <w:rsid w:val="005E5CF5"/>
    <w:rsid w:val="005E60A7"/>
    <w:rsid w:val="005E6576"/>
    <w:rsid w:val="005E6B71"/>
    <w:rsid w:val="005E6B72"/>
    <w:rsid w:val="005E70D3"/>
    <w:rsid w:val="005E7127"/>
    <w:rsid w:val="005F18FE"/>
    <w:rsid w:val="005F3D9C"/>
    <w:rsid w:val="005F3FE3"/>
    <w:rsid w:val="005F46F0"/>
    <w:rsid w:val="005F4A50"/>
    <w:rsid w:val="005F6CED"/>
    <w:rsid w:val="005F6E76"/>
    <w:rsid w:val="005F738E"/>
    <w:rsid w:val="005F7965"/>
    <w:rsid w:val="005F7C24"/>
    <w:rsid w:val="005F7C39"/>
    <w:rsid w:val="00600108"/>
    <w:rsid w:val="0060020B"/>
    <w:rsid w:val="00600372"/>
    <w:rsid w:val="0060055F"/>
    <w:rsid w:val="00600C83"/>
    <w:rsid w:val="00601EE7"/>
    <w:rsid w:val="0060259F"/>
    <w:rsid w:val="0060538E"/>
    <w:rsid w:val="006055B4"/>
    <w:rsid w:val="00605CC0"/>
    <w:rsid w:val="00605CD9"/>
    <w:rsid w:val="00605E8B"/>
    <w:rsid w:val="006060C4"/>
    <w:rsid w:val="006068D9"/>
    <w:rsid w:val="006069DE"/>
    <w:rsid w:val="00606E1E"/>
    <w:rsid w:val="00606F24"/>
    <w:rsid w:val="006074DB"/>
    <w:rsid w:val="00607CD3"/>
    <w:rsid w:val="00607DAA"/>
    <w:rsid w:val="0061001D"/>
    <w:rsid w:val="006101F6"/>
    <w:rsid w:val="0061091A"/>
    <w:rsid w:val="0061251F"/>
    <w:rsid w:val="006135AB"/>
    <w:rsid w:val="00613E37"/>
    <w:rsid w:val="00614500"/>
    <w:rsid w:val="006152C4"/>
    <w:rsid w:val="00616140"/>
    <w:rsid w:val="00616319"/>
    <w:rsid w:val="00616993"/>
    <w:rsid w:val="006170BA"/>
    <w:rsid w:val="00617B53"/>
    <w:rsid w:val="006204E2"/>
    <w:rsid w:val="0062061D"/>
    <w:rsid w:val="00621726"/>
    <w:rsid w:val="00621DD4"/>
    <w:rsid w:val="00622316"/>
    <w:rsid w:val="00623B9C"/>
    <w:rsid w:val="00623FC0"/>
    <w:rsid w:val="00625781"/>
    <w:rsid w:val="00626BE8"/>
    <w:rsid w:val="00626C56"/>
    <w:rsid w:val="006325A4"/>
    <w:rsid w:val="00632F7C"/>
    <w:rsid w:val="006333E9"/>
    <w:rsid w:val="0063355B"/>
    <w:rsid w:val="006336CD"/>
    <w:rsid w:val="00633861"/>
    <w:rsid w:val="00633F87"/>
    <w:rsid w:val="006346DB"/>
    <w:rsid w:val="0063506B"/>
    <w:rsid w:val="00635B21"/>
    <w:rsid w:val="006406A6"/>
    <w:rsid w:val="00640806"/>
    <w:rsid w:val="0064129B"/>
    <w:rsid w:val="006416AE"/>
    <w:rsid w:val="0064203F"/>
    <w:rsid w:val="00642CBF"/>
    <w:rsid w:val="006433EF"/>
    <w:rsid w:val="00643CDE"/>
    <w:rsid w:val="00645D4A"/>
    <w:rsid w:val="00645E4A"/>
    <w:rsid w:val="00646E0A"/>
    <w:rsid w:val="00646FBF"/>
    <w:rsid w:val="006477B4"/>
    <w:rsid w:val="00650B25"/>
    <w:rsid w:val="006512DF"/>
    <w:rsid w:val="00651A08"/>
    <w:rsid w:val="006522D4"/>
    <w:rsid w:val="0065262D"/>
    <w:rsid w:val="00652C91"/>
    <w:rsid w:val="00653A91"/>
    <w:rsid w:val="00654A1A"/>
    <w:rsid w:val="006556A8"/>
    <w:rsid w:val="006576DE"/>
    <w:rsid w:val="006604E2"/>
    <w:rsid w:val="00660E47"/>
    <w:rsid w:val="00661581"/>
    <w:rsid w:val="0066218C"/>
    <w:rsid w:val="00662DCF"/>
    <w:rsid w:val="0066300C"/>
    <w:rsid w:val="00663CBC"/>
    <w:rsid w:val="006641C2"/>
    <w:rsid w:val="006645F2"/>
    <w:rsid w:val="00664F2E"/>
    <w:rsid w:val="00665167"/>
    <w:rsid w:val="00667BDC"/>
    <w:rsid w:val="006701F2"/>
    <w:rsid w:val="006708E5"/>
    <w:rsid w:val="006713D3"/>
    <w:rsid w:val="006728A4"/>
    <w:rsid w:val="00672B68"/>
    <w:rsid w:val="00673790"/>
    <w:rsid w:val="00673CB2"/>
    <w:rsid w:val="00674E0D"/>
    <w:rsid w:val="00675476"/>
    <w:rsid w:val="006756B5"/>
    <w:rsid w:val="00675C84"/>
    <w:rsid w:val="00675E77"/>
    <w:rsid w:val="006760D4"/>
    <w:rsid w:val="006769EC"/>
    <w:rsid w:val="00676B78"/>
    <w:rsid w:val="00676D38"/>
    <w:rsid w:val="006776D2"/>
    <w:rsid w:val="006778E8"/>
    <w:rsid w:val="00680250"/>
    <w:rsid w:val="00680468"/>
    <w:rsid w:val="00680476"/>
    <w:rsid w:val="0068098A"/>
    <w:rsid w:val="006818C0"/>
    <w:rsid w:val="0068271B"/>
    <w:rsid w:val="00682F21"/>
    <w:rsid w:val="00682F9C"/>
    <w:rsid w:val="006831D9"/>
    <w:rsid w:val="00683965"/>
    <w:rsid w:val="00683D01"/>
    <w:rsid w:val="00684BAB"/>
    <w:rsid w:val="00685B08"/>
    <w:rsid w:val="00686EDC"/>
    <w:rsid w:val="006875EE"/>
    <w:rsid w:val="00687948"/>
    <w:rsid w:val="00690DD5"/>
    <w:rsid w:val="006917D9"/>
    <w:rsid w:val="0069215C"/>
    <w:rsid w:val="00693F55"/>
    <w:rsid w:val="00693F70"/>
    <w:rsid w:val="00693FEC"/>
    <w:rsid w:val="00695728"/>
    <w:rsid w:val="006957D0"/>
    <w:rsid w:val="006962A1"/>
    <w:rsid w:val="006966DC"/>
    <w:rsid w:val="00696AC8"/>
    <w:rsid w:val="00696BA6"/>
    <w:rsid w:val="00697BEE"/>
    <w:rsid w:val="006A004D"/>
    <w:rsid w:val="006A0576"/>
    <w:rsid w:val="006A0B6E"/>
    <w:rsid w:val="006A0BF0"/>
    <w:rsid w:val="006A0F9A"/>
    <w:rsid w:val="006A152F"/>
    <w:rsid w:val="006A201F"/>
    <w:rsid w:val="006A32C5"/>
    <w:rsid w:val="006A34FC"/>
    <w:rsid w:val="006A35BA"/>
    <w:rsid w:val="006A397E"/>
    <w:rsid w:val="006A4F43"/>
    <w:rsid w:val="006A593B"/>
    <w:rsid w:val="006A5D37"/>
    <w:rsid w:val="006A5D40"/>
    <w:rsid w:val="006A66FA"/>
    <w:rsid w:val="006A6969"/>
    <w:rsid w:val="006A6E88"/>
    <w:rsid w:val="006A6F9F"/>
    <w:rsid w:val="006A7882"/>
    <w:rsid w:val="006A7E57"/>
    <w:rsid w:val="006B07F0"/>
    <w:rsid w:val="006B12F7"/>
    <w:rsid w:val="006B2908"/>
    <w:rsid w:val="006B2A7D"/>
    <w:rsid w:val="006B2C7A"/>
    <w:rsid w:val="006B2E03"/>
    <w:rsid w:val="006B31FE"/>
    <w:rsid w:val="006B3423"/>
    <w:rsid w:val="006B366D"/>
    <w:rsid w:val="006B498F"/>
    <w:rsid w:val="006B49D5"/>
    <w:rsid w:val="006B4B22"/>
    <w:rsid w:val="006B5DF1"/>
    <w:rsid w:val="006B6A54"/>
    <w:rsid w:val="006B6D9C"/>
    <w:rsid w:val="006C13BE"/>
    <w:rsid w:val="006C1DFA"/>
    <w:rsid w:val="006C297E"/>
    <w:rsid w:val="006C3393"/>
    <w:rsid w:val="006C4B5F"/>
    <w:rsid w:val="006C561D"/>
    <w:rsid w:val="006C5C55"/>
    <w:rsid w:val="006C6C08"/>
    <w:rsid w:val="006C6FAE"/>
    <w:rsid w:val="006C71C1"/>
    <w:rsid w:val="006C74E7"/>
    <w:rsid w:val="006C75A0"/>
    <w:rsid w:val="006C787C"/>
    <w:rsid w:val="006D01E8"/>
    <w:rsid w:val="006D0484"/>
    <w:rsid w:val="006D0E77"/>
    <w:rsid w:val="006D10A7"/>
    <w:rsid w:val="006D15EB"/>
    <w:rsid w:val="006D27FC"/>
    <w:rsid w:val="006D2969"/>
    <w:rsid w:val="006D5751"/>
    <w:rsid w:val="006D5CA4"/>
    <w:rsid w:val="006D6315"/>
    <w:rsid w:val="006D6ED3"/>
    <w:rsid w:val="006D7258"/>
    <w:rsid w:val="006D7B0C"/>
    <w:rsid w:val="006E0197"/>
    <w:rsid w:val="006E03EA"/>
    <w:rsid w:val="006E0764"/>
    <w:rsid w:val="006E0D10"/>
    <w:rsid w:val="006E1435"/>
    <w:rsid w:val="006E1A43"/>
    <w:rsid w:val="006E1D35"/>
    <w:rsid w:val="006E1D91"/>
    <w:rsid w:val="006E45EB"/>
    <w:rsid w:val="006E5396"/>
    <w:rsid w:val="006E53E7"/>
    <w:rsid w:val="006E5548"/>
    <w:rsid w:val="006E67ED"/>
    <w:rsid w:val="006E7433"/>
    <w:rsid w:val="006F1431"/>
    <w:rsid w:val="006F1826"/>
    <w:rsid w:val="006F2460"/>
    <w:rsid w:val="006F28D3"/>
    <w:rsid w:val="006F52B4"/>
    <w:rsid w:val="006F5806"/>
    <w:rsid w:val="006F6725"/>
    <w:rsid w:val="006F6DCC"/>
    <w:rsid w:val="006F774E"/>
    <w:rsid w:val="00701049"/>
    <w:rsid w:val="007011D5"/>
    <w:rsid w:val="0070192A"/>
    <w:rsid w:val="00702B5C"/>
    <w:rsid w:val="007039D9"/>
    <w:rsid w:val="007047ED"/>
    <w:rsid w:val="007048DD"/>
    <w:rsid w:val="00705E3A"/>
    <w:rsid w:val="007064B3"/>
    <w:rsid w:val="00706951"/>
    <w:rsid w:val="007070EB"/>
    <w:rsid w:val="0070795F"/>
    <w:rsid w:val="00707E7A"/>
    <w:rsid w:val="00710ABC"/>
    <w:rsid w:val="007121F2"/>
    <w:rsid w:val="00712B14"/>
    <w:rsid w:val="00712D29"/>
    <w:rsid w:val="00713859"/>
    <w:rsid w:val="00713B3B"/>
    <w:rsid w:val="00713F9D"/>
    <w:rsid w:val="00714CAC"/>
    <w:rsid w:val="00715D78"/>
    <w:rsid w:val="00715FE0"/>
    <w:rsid w:val="007162D0"/>
    <w:rsid w:val="00716C73"/>
    <w:rsid w:val="00717262"/>
    <w:rsid w:val="00720284"/>
    <w:rsid w:val="00720ECF"/>
    <w:rsid w:val="00722609"/>
    <w:rsid w:val="007227D9"/>
    <w:rsid w:val="00722E18"/>
    <w:rsid w:val="00722FE3"/>
    <w:rsid w:val="007249B1"/>
    <w:rsid w:val="00724A37"/>
    <w:rsid w:val="00724B96"/>
    <w:rsid w:val="007256DA"/>
    <w:rsid w:val="007263A4"/>
    <w:rsid w:val="007265BC"/>
    <w:rsid w:val="0072793D"/>
    <w:rsid w:val="0073004B"/>
    <w:rsid w:val="0073018C"/>
    <w:rsid w:val="00730401"/>
    <w:rsid w:val="00730CF8"/>
    <w:rsid w:val="00733295"/>
    <w:rsid w:val="007349AB"/>
    <w:rsid w:val="00734B37"/>
    <w:rsid w:val="0073511B"/>
    <w:rsid w:val="007360B8"/>
    <w:rsid w:val="00736852"/>
    <w:rsid w:val="00736A72"/>
    <w:rsid w:val="00737AD3"/>
    <w:rsid w:val="00737C40"/>
    <w:rsid w:val="00737EA5"/>
    <w:rsid w:val="00740E93"/>
    <w:rsid w:val="00741C38"/>
    <w:rsid w:val="00741ED0"/>
    <w:rsid w:val="00741F5F"/>
    <w:rsid w:val="007420FA"/>
    <w:rsid w:val="00742283"/>
    <w:rsid w:val="0074243E"/>
    <w:rsid w:val="0074269E"/>
    <w:rsid w:val="007429E7"/>
    <w:rsid w:val="00743483"/>
    <w:rsid w:val="00743606"/>
    <w:rsid w:val="00744350"/>
    <w:rsid w:val="0074456F"/>
    <w:rsid w:val="007445A0"/>
    <w:rsid w:val="007446CB"/>
    <w:rsid w:val="007448CC"/>
    <w:rsid w:val="00744A5C"/>
    <w:rsid w:val="00744B92"/>
    <w:rsid w:val="00745BC6"/>
    <w:rsid w:val="0074627B"/>
    <w:rsid w:val="007463BE"/>
    <w:rsid w:val="007464D8"/>
    <w:rsid w:val="00746A02"/>
    <w:rsid w:val="00747709"/>
    <w:rsid w:val="00747A32"/>
    <w:rsid w:val="00747AB0"/>
    <w:rsid w:val="00750448"/>
    <w:rsid w:val="0075063A"/>
    <w:rsid w:val="007511D0"/>
    <w:rsid w:val="0075283B"/>
    <w:rsid w:val="00753572"/>
    <w:rsid w:val="00753761"/>
    <w:rsid w:val="00753D1F"/>
    <w:rsid w:val="00754189"/>
    <w:rsid w:val="00754236"/>
    <w:rsid w:val="00754558"/>
    <w:rsid w:val="00754A76"/>
    <w:rsid w:val="00754C65"/>
    <w:rsid w:val="00754E3C"/>
    <w:rsid w:val="00756449"/>
    <w:rsid w:val="00756D3E"/>
    <w:rsid w:val="00756DDD"/>
    <w:rsid w:val="00757493"/>
    <w:rsid w:val="00757507"/>
    <w:rsid w:val="0075777C"/>
    <w:rsid w:val="007577E9"/>
    <w:rsid w:val="00757EE4"/>
    <w:rsid w:val="00760D71"/>
    <w:rsid w:val="00760E24"/>
    <w:rsid w:val="00761752"/>
    <w:rsid w:val="007619CD"/>
    <w:rsid w:val="0076241E"/>
    <w:rsid w:val="00762E16"/>
    <w:rsid w:val="007641DD"/>
    <w:rsid w:val="00764F4B"/>
    <w:rsid w:val="0076503B"/>
    <w:rsid w:val="00765491"/>
    <w:rsid w:val="00765B59"/>
    <w:rsid w:val="00765FF0"/>
    <w:rsid w:val="007660BB"/>
    <w:rsid w:val="007666AA"/>
    <w:rsid w:val="0076735F"/>
    <w:rsid w:val="00767832"/>
    <w:rsid w:val="00767852"/>
    <w:rsid w:val="00767896"/>
    <w:rsid w:val="0077044B"/>
    <w:rsid w:val="00771186"/>
    <w:rsid w:val="0077126A"/>
    <w:rsid w:val="0077137C"/>
    <w:rsid w:val="00771A08"/>
    <w:rsid w:val="00771CD0"/>
    <w:rsid w:val="00772546"/>
    <w:rsid w:val="0077344D"/>
    <w:rsid w:val="00773726"/>
    <w:rsid w:val="007743C2"/>
    <w:rsid w:val="00774E89"/>
    <w:rsid w:val="00774F83"/>
    <w:rsid w:val="00775C2E"/>
    <w:rsid w:val="00776099"/>
    <w:rsid w:val="00776E8A"/>
    <w:rsid w:val="00777978"/>
    <w:rsid w:val="007808A6"/>
    <w:rsid w:val="00781174"/>
    <w:rsid w:val="007815A9"/>
    <w:rsid w:val="007819EE"/>
    <w:rsid w:val="00782550"/>
    <w:rsid w:val="007836C5"/>
    <w:rsid w:val="007849BD"/>
    <w:rsid w:val="00784B31"/>
    <w:rsid w:val="0078562C"/>
    <w:rsid w:val="007868A9"/>
    <w:rsid w:val="00787215"/>
    <w:rsid w:val="007872E5"/>
    <w:rsid w:val="00787DD0"/>
    <w:rsid w:val="0079008B"/>
    <w:rsid w:val="007903D1"/>
    <w:rsid w:val="0079066B"/>
    <w:rsid w:val="00791134"/>
    <w:rsid w:val="0079162F"/>
    <w:rsid w:val="0079211F"/>
    <w:rsid w:val="0079256B"/>
    <w:rsid w:val="00794C6E"/>
    <w:rsid w:val="007950CF"/>
    <w:rsid w:val="007952BE"/>
    <w:rsid w:val="007957A0"/>
    <w:rsid w:val="00795AD0"/>
    <w:rsid w:val="00796817"/>
    <w:rsid w:val="00796DAC"/>
    <w:rsid w:val="00796E53"/>
    <w:rsid w:val="00796F18"/>
    <w:rsid w:val="00797895"/>
    <w:rsid w:val="007A0654"/>
    <w:rsid w:val="007A0DBF"/>
    <w:rsid w:val="007A1315"/>
    <w:rsid w:val="007A1A55"/>
    <w:rsid w:val="007A1D58"/>
    <w:rsid w:val="007A264E"/>
    <w:rsid w:val="007A30E8"/>
    <w:rsid w:val="007A338E"/>
    <w:rsid w:val="007A3397"/>
    <w:rsid w:val="007A3C7A"/>
    <w:rsid w:val="007A3CC9"/>
    <w:rsid w:val="007A3E34"/>
    <w:rsid w:val="007A437F"/>
    <w:rsid w:val="007A51FC"/>
    <w:rsid w:val="007A57F0"/>
    <w:rsid w:val="007A6899"/>
    <w:rsid w:val="007A7D76"/>
    <w:rsid w:val="007B0368"/>
    <w:rsid w:val="007B05D3"/>
    <w:rsid w:val="007B087A"/>
    <w:rsid w:val="007B0F52"/>
    <w:rsid w:val="007B3912"/>
    <w:rsid w:val="007B3C09"/>
    <w:rsid w:val="007B3E45"/>
    <w:rsid w:val="007B4820"/>
    <w:rsid w:val="007B4D42"/>
    <w:rsid w:val="007B51D7"/>
    <w:rsid w:val="007B53CF"/>
    <w:rsid w:val="007B581A"/>
    <w:rsid w:val="007B6A32"/>
    <w:rsid w:val="007B6C7C"/>
    <w:rsid w:val="007B6EF7"/>
    <w:rsid w:val="007B6F4C"/>
    <w:rsid w:val="007C028C"/>
    <w:rsid w:val="007C1311"/>
    <w:rsid w:val="007C16D6"/>
    <w:rsid w:val="007C1C7F"/>
    <w:rsid w:val="007C1CC6"/>
    <w:rsid w:val="007C2310"/>
    <w:rsid w:val="007C2CD3"/>
    <w:rsid w:val="007C2D07"/>
    <w:rsid w:val="007C2D99"/>
    <w:rsid w:val="007C3385"/>
    <w:rsid w:val="007C3461"/>
    <w:rsid w:val="007C3647"/>
    <w:rsid w:val="007C4609"/>
    <w:rsid w:val="007C5D3D"/>
    <w:rsid w:val="007C6024"/>
    <w:rsid w:val="007C6357"/>
    <w:rsid w:val="007C6567"/>
    <w:rsid w:val="007C71D5"/>
    <w:rsid w:val="007D14C2"/>
    <w:rsid w:val="007D1985"/>
    <w:rsid w:val="007D2180"/>
    <w:rsid w:val="007D218C"/>
    <w:rsid w:val="007D2929"/>
    <w:rsid w:val="007D34F5"/>
    <w:rsid w:val="007D3EAF"/>
    <w:rsid w:val="007D3F6C"/>
    <w:rsid w:val="007D4DF1"/>
    <w:rsid w:val="007D5559"/>
    <w:rsid w:val="007D55AF"/>
    <w:rsid w:val="007D61C1"/>
    <w:rsid w:val="007D7183"/>
    <w:rsid w:val="007D7404"/>
    <w:rsid w:val="007E038D"/>
    <w:rsid w:val="007E0651"/>
    <w:rsid w:val="007E0829"/>
    <w:rsid w:val="007E22A2"/>
    <w:rsid w:val="007E29B9"/>
    <w:rsid w:val="007E3A84"/>
    <w:rsid w:val="007E3E1D"/>
    <w:rsid w:val="007E3E71"/>
    <w:rsid w:val="007E4208"/>
    <w:rsid w:val="007E4909"/>
    <w:rsid w:val="007E5786"/>
    <w:rsid w:val="007E59EC"/>
    <w:rsid w:val="007E6052"/>
    <w:rsid w:val="007E658F"/>
    <w:rsid w:val="007E6E6A"/>
    <w:rsid w:val="007E7714"/>
    <w:rsid w:val="007E7C95"/>
    <w:rsid w:val="007F0049"/>
    <w:rsid w:val="007F0556"/>
    <w:rsid w:val="007F0705"/>
    <w:rsid w:val="007F0849"/>
    <w:rsid w:val="007F0CF0"/>
    <w:rsid w:val="007F0E94"/>
    <w:rsid w:val="007F2895"/>
    <w:rsid w:val="007F3320"/>
    <w:rsid w:val="007F339F"/>
    <w:rsid w:val="007F380D"/>
    <w:rsid w:val="007F389B"/>
    <w:rsid w:val="007F3DFE"/>
    <w:rsid w:val="007F498D"/>
    <w:rsid w:val="007F4B0C"/>
    <w:rsid w:val="007F54EF"/>
    <w:rsid w:val="007F6775"/>
    <w:rsid w:val="007F67A6"/>
    <w:rsid w:val="008019B2"/>
    <w:rsid w:val="00801C89"/>
    <w:rsid w:val="008021AA"/>
    <w:rsid w:val="00802365"/>
    <w:rsid w:val="00803406"/>
    <w:rsid w:val="008050A3"/>
    <w:rsid w:val="00805480"/>
    <w:rsid w:val="0080549E"/>
    <w:rsid w:val="00805885"/>
    <w:rsid w:val="00805B6F"/>
    <w:rsid w:val="00805F1D"/>
    <w:rsid w:val="00805FFC"/>
    <w:rsid w:val="008060FB"/>
    <w:rsid w:val="0080777B"/>
    <w:rsid w:val="00810797"/>
    <w:rsid w:val="00810A43"/>
    <w:rsid w:val="00810C3D"/>
    <w:rsid w:val="0081171D"/>
    <w:rsid w:val="008126B4"/>
    <w:rsid w:val="00812ACA"/>
    <w:rsid w:val="008130AF"/>
    <w:rsid w:val="00813A0D"/>
    <w:rsid w:val="00813B75"/>
    <w:rsid w:val="00813D05"/>
    <w:rsid w:val="00814438"/>
    <w:rsid w:val="008155C6"/>
    <w:rsid w:val="0081581A"/>
    <w:rsid w:val="00815A04"/>
    <w:rsid w:val="00815A33"/>
    <w:rsid w:val="0081710F"/>
    <w:rsid w:val="0081764C"/>
    <w:rsid w:val="008179EC"/>
    <w:rsid w:val="00817FE2"/>
    <w:rsid w:val="0082039D"/>
    <w:rsid w:val="00820495"/>
    <w:rsid w:val="0082108D"/>
    <w:rsid w:val="00821404"/>
    <w:rsid w:val="00821A34"/>
    <w:rsid w:val="00822CE5"/>
    <w:rsid w:val="008230E9"/>
    <w:rsid w:val="0082368E"/>
    <w:rsid w:val="00823BBD"/>
    <w:rsid w:val="00823E67"/>
    <w:rsid w:val="008254D0"/>
    <w:rsid w:val="008257A8"/>
    <w:rsid w:val="008261B8"/>
    <w:rsid w:val="008264DD"/>
    <w:rsid w:val="008269E8"/>
    <w:rsid w:val="00826A82"/>
    <w:rsid w:val="00826A8F"/>
    <w:rsid w:val="00826B5E"/>
    <w:rsid w:val="008272CF"/>
    <w:rsid w:val="00827AAF"/>
    <w:rsid w:val="00827D83"/>
    <w:rsid w:val="00830534"/>
    <w:rsid w:val="008316FE"/>
    <w:rsid w:val="008323BB"/>
    <w:rsid w:val="00834197"/>
    <w:rsid w:val="00834DC2"/>
    <w:rsid w:val="008351C6"/>
    <w:rsid w:val="008352BF"/>
    <w:rsid w:val="00835775"/>
    <w:rsid w:val="008362F8"/>
    <w:rsid w:val="00836AAD"/>
    <w:rsid w:val="00840122"/>
    <w:rsid w:val="00840B7D"/>
    <w:rsid w:val="00841049"/>
    <w:rsid w:val="00842075"/>
    <w:rsid w:val="0084232B"/>
    <w:rsid w:val="00843DF8"/>
    <w:rsid w:val="0084434D"/>
    <w:rsid w:val="00844921"/>
    <w:rsid w:val="00844F6F"/>
    <w:rsid w:val="008458C0"/>
    <w:rsid w:val="008468FA"/>
    <w:rsid w:val="00846BE0"/>
    <w:rsid w:val="00847462"/>
    <w:rsid w:val="00847A11"/>
    <w:rsid w:val="00851139"/>
    <w:rsid w:val="008511F4"/>
    <w:rsid w:val="0085196B"/>
    <w:rsid w:val="0085272C"/>
    <w:rsid w:val="00854483"/>
    <w:rsid w:val="00854F17"/>
    <w:rsid w:val="00855E8E"/>
    <w:rsid w:val="0085664C"/>
    <w:rsid w:val="00857D2B"/>
    <w:rsid w:val="00857DBE"/>
    <w:rsid w:val="0086175F"/>
    <w:rsid w:val="008617E4"/>
    <w:rsid w:val="008628B3"/>
    <w:rsid w:val="00862E9C"/>
    <w:rsid w:val="0086399C"/>
    <w:rsid w:val="00863A40"/>
    <w:rsid w:val="00863ADB"/>
    <w:rsid w:val="00864148"/>
    <w:rsid w:val="00864C88"/>
    <w:rsid w:val="00864E0D"/>
    <w:rsid w:val="0086510D"/>
    <w:rsid w:val="00865B4E"/>
    <w:rsid w:val="00866876"/>
    <w:rsid w:val="008676F1"/>
    <w:rsid w:val="00870EBB"/>
    <w:rsid w:val="00872747"/>
    <w:rsid w:val="008727D6"/>
    <w:rsid w:val="008739E4"/>
    <w:rsid w:val="008739F8"/>
    <w:rsid w:val="00874CC1"/>
    <w:rsid w:val="00875EE4"/>
    <w:rsid w:val="00876124"/>
    <w:rsid w:val="0087714C"/>
    <w:rsid w:val="00877CA0"/>
    <w:rsid w:val="00880228"/>
    <w:rsid w:val="008802C1"/>
    <w:rsid w:val="0088097A"/>
    <w:rsid w:val="00881096"/>
    <w:rsid w:val="00881371"/>
    <w:rsid w:val="0088224C"/>
    <w:rsid w:val="008822C7"/>
    <w:rsid w:val="0088264B"/>
    <w:rsid w:val="00882A2F"/>
    <w:rsid w:val="00883A8A"/>
    <w:rsid w:val="00883B82"/>
    <w:rsid w:val="00883EE0"/>
    <w:rsid w:val="00883F0C"/>
    <w:rsid w:val="00884F0A"/>
    <w:rsid w:val="0088536B"/>
    <w:rsid w:val="008861B5"/>
    <w:rsid w:val="00887161"/>
    <w:rsid w:val="00887686"/>
    <w:rsid w:val="008877E5"/>
    <w:rsid w:val="0088796B"/>
    <w:rsid w:val="00887E55"/>
    <w:rsid w:val="00890B4D"/>
    <w:rsid w:val="00891AEF"/>
    <w:rsid w:val="0089221E"/>
    <w:rsid w:val="00893445"/>
    <w:rsid w:val="00893B00"/>
    <w:rsid w:val="00893B38"/>
    <w:rsid w:val="008940E7"/>
    <w:rsid w:val="00894600"/>
    <w:rsid w:val="00894B40"/>
    <w:rsid w:val="00895270"/>
    <w:rsid w:val="00896006"/>
    <w:rsid w:val="0089664D"/>
    <w:rsid w:val="00896B0E"/>
    <w:rsid w:val="00896B6A"/>
    <w:rsid w:val="00896DC0"/>
    <w:rsid w:val="00897658"/>
    <w:rsid w:val="00897DB1"/>
    <w:rsid w:val="008A00DA"/>
    <w:rsid w:val="008A1E92"/>
    <w:rsid w:val="008A2985"/>
    <w:rsid w:val="008A4355"/>
    <w:rsid w:val="008A5D9B"/>
    <w:rsid w:val="008A721C"/>
    <w:rsid w:val="008B030A"/>
    <w:rsid w:val="008B0C25"/>
    <w:rsid w:val="008B0C36"/>
    <w:rsid w:val="008B150C"/>
    <w:rsid w:val="008B2319"/>
    <w:rsid w:val="008B268D"/>
    <w:rsid w:val="008B4E49"/>
    <w:rsid w:val="008B5A87"/>
    <w:rsid w:val="008B6973"/>
    <w:rsid w:val="008B751B"/>
    <w:rsid w:val="008B7B51"/>
    <w:rsid w:val="008C0289"/>
    <w:rsid w:val="008C0DBC"/>
    <w:rsid w:val="008C1F49"/>
    <w:rsid w:val="008C3EAF"/>
    <w:rsid w:val="008C3F43"/>
    <w:rsid w:val="008C4687"/>
    <w:rsid w:val="008C4D8F"/>
    <w:rsid w:val="008C52AB"/>
    <w:rsid w:val="008C5303"/>
    <w:rsid w:val="008C5CA7"/>
    <w:rsid w:val="008C66FD"/>
    <w:rsid w:val="008C679F"/>
    <w:rsid w:val="008C6E42"/>
    <w:rsid w:val="008C7FDE"/>
    <w:rsid w:val="008D05D4"/>
    <w:rsid w:val="008D092A"/>
    <w:rsid w:val="008D13CD"/>
    <w:rsid w:val="008D1AEA"/>
    <w:rsid w:val="008D2AE4"/>
    <w:rsid w:val="008D2C2D"/>
    <w:rsid w:val="008D3B22"/>
    <w:rsid w:val="008D4184"/>
    <w:rsid w:val="008D440A"/>
    <w:rsid w:val="008D455A"/>
    <w:rsid w:val="008D4567"/>
    <w:rsid w:val="008D4D09"/>
    <w:rsid w:val="008D58AF"/>
    <w:rsid w:val="008D640A"/>
    <w:rsid w:val="008D6E18"/>
    <w:rsid w:val="008D73C9"/>
    <w:rsid w:val="008D7AD5"/>
    <w:rsid w:val="008D7C61"/>
    <w:rsid w:val="008E0D4A"/>
    <w:rsid w:val="008E14CF"/>
    <w:rsid w:val="008E1D91"/>
    <w:rsid w:val="008E29BE"/>
    <w:rsid w:val="008E413F"/>
    <w:rsid w:val="008E48C3"/>
    <w:rsid w:val="008E4DB6"/>
    <w:rsid w:val="008E4E6A"/>
    <w:rsid w:val="008E565E"/>
    <w:rsid w:val="008E5B3E"/>
    <w:rsid w:val="008E5BB7"/>
    <w:rsid w:val="008E5E1A"/>
    <w:rsid w:val="008E6DA8"/>
    <w:rsid w:val="008E745C"/>
    <w:rsid w:val="008F0365"/>
    <w:rsid w:val="008F14F1"/>
    <w:rsid w:val="008F15C2"/>
    <w:rsid w:val="008F1F6B"/>
    <w:rsid w:val="008F2254"/>
    <w:rsid w:val="008F3005"/>
    <w:rsid w:val="008F40F8"/>
    <w:rsid w:val="008F4176"/>
    <w:rsid w:val="008F58B5"/>
    <w:rsid w:val="008F75FE"/>
    <w:rsid w:val="009006D0"/>
    <w:rsid w:val="0090167D"/>
    <w:rsid w:val="00902475"/>
    <w:rsid w:val="00903C67"/>
    <w:rsid w:val="00903C7A"/>
    <w:rsid w:val="009047C6"/>
    <w:rsid w:val="00904869"/>
    <w:rsid w:val="00904A5B"/>
    <w:rsid w:val="00906F47"/>
    <w:rsid w:val="00907130"/>
    <w:rsid w:val="00907F3E"/>
    <w:rsid w:val="00907F4C"/>
    <w:rsid w:val="00910536"/>
    <w:rsid w:val="00910AF8"/>
    <w:rsid w:val="009113EF"/>
    <w:rsid w:val="009124E5"/>
    <w:rsid w:val="00913697"/>
    <w:rsid w:val="009138D5"/>
    <w:rsid w:val="0091401F"/>
    <w:rsid w:val="00914D1B"/>
    <w:rsid w:val="00915DE8"/>
    <w:rsid w:val="00916C10"/>
    <w:rsid w:val="00916E6D"/>
    <w:rsid w:val="00917790"/>
    <w:rsid w:val="00920393"/>
    <w:rsid w:val="009210E7"/>
    <w:rsid w:val="00921F25"/>
    <w:rsid w:val="00922154"/>
    <w:rsid w:val="00923E87"/>
    <w:rsid w:val="009248FB"/>
    <w:rsid w:val="00925541"/>
    <w:rsid w:val="00925A9C"/>
    <w:rsid w:val="0092600E"/>
    <w:rsid w:val="0092736A"/>
    <w:rsid w:val="00931109"/>
    <w:rsid w:val="00931139"/>
    <w:rsid w:val="00931223"/>
    <w:rsid w:val="00932555"/>
    <w:rsid w:val="0093268E"/>
    <w:rsid w:val="00932EAE"/>
    <w:rsid w:val="009332C9"/>
    <w:rsid w:val="00933892"/>
    <w:rsid w:val="00933A3E"/>
    <w:rsid w:val="00934338"/>
    <w:rsid w:val="009349AC"/>
    <w:rsid w:val="00934E09"/>
    <w:rsid w:val="0093675F"/>
    <w:rsid w:val="00937296"/>
    <w:rsid w:val="00937F58"/>
    <w:rsid w:val="00940468"/>
    <w:rsid w:val="009411F3"/>
    <w:rsid w:val="009421CC"/>
    <w:rsid w:val="0094293D"/>
    <w:rsid w:val="00942D12"/>
    <w:rsid w:val="00943115"/>
    <w:rsid w:val="00943DFC"/>
    <w:rsid w:val="009450E2"/>
    <w:rsid w:val="009453BA"/>
    <w:rsid w:val="00945E6E"/>
    <w:rsid w:val="00945F8D"/>
    <w:rsid w:val="009462B7"/>
    <w:rsid w:val="009463F4"/>
    <w:rsid w:val="0094744D"/>
    <w:rsid w:val="009474A6"/>
    <w:rsid w:val="00947C6F"/>
    <w:rsid w:val="00947DC2"/>
    <w:rsid w:val="009503BD"/>
    <w:rsid w:val="00950573"/>
    <w:rsid w:val="00950825"/>
    <w:rsid w:val="00950856"/>
    <w:rsid w:val="0095089E"/>
    <w:rsid w:val="00951198"/>
    <w:rsid w:val="009514C4"/>
    <w:rsid w:val="0095153E"/>
    <w:rsid w:val="0095257E"/>
    <w:rsid w:val="00952A83"/>
    <w:rsid w:val="00953DCB"/>
    <w:rsid w:val="009542C4"/>
    <w:rsid w:val="00954966"/>
    <w:rsid w:val="00954ED8"/>
    <w:rsid w:val="00955FF7"/>
    <w:rsid w:val="0095774A"/>
    <w:rsid w:val="0096052D"/>
    <w:rsid w:val="0096056C"/>
    <w:rsid w:val="00960BF1"/>
    <w:rsid w:val="00962049"/>
    <w:rsid w:val="0096243F"/>
    <w:rsid w:val="0096271D"/>
    <w:rsid w:val="00962FBF"/>
    <w:rsid w:val="00963EDC"/>
    <w:rsid w:val="00964831"/>
    <w:rsid w:val="00964D9E"/>
    <w:rsid w:val="0096531D"/>
    <w:rsid w:val="00965831"/>
    <w:rsid w:val="00966618"/>
    <w:rsid w:val="00966D50"/>
    <w:rsid w:val="00967C30"/>
    <w:rsid w:val="009700A2"/>
    <w:rsid w:val="00971455"/>
    <w:rsid w:val="0097190D"/>
    <w:rsid w:val="00972686"/>
    <w:rsid w:val="00972E50"/>
    <w:rsid w:val="00973227"/>
    <w:rsid w:val="009736CB"/>
    <w:rsid w:val="00974995"/>
    <w:rsid w:val="00974AD8"/>
    <w:rsid w:val="00975155"/>
    <w:rsid w:val="00975557"/>
    <w:rsid w:val="009757AD"/>
    <w:rsid w:val="0097591F"/>
    <w:rsid w:val="00976974"/>
    <w:rsid w:val="00976CAA"/>
    <w:rsid w:val="0097780F"/>
    <w:rsid w:val="009800DB"/>
    <w:rsid w:val="009800DE"/>
    <w:rsid w:val="009806FB"/>
    <w:rsid w:val="00981B83"/>
    <w:rsid w:val="00981BDF"/>
    <w:rsid w:val="0098271C"/>
    <w:rsid w:val="009828FD"/>
    <w:rsid w:val="0098300E"/>
    <w:rsid w:val="00987F82"/>
    <w:rsid w:val="009901D6"/>
    <w:rsid w:val="0099024A"/>
    <w:rsid w:val="00990D59"/>
    <w:rsid w:val="00991AA5"/>
    <w:rsid w:val="00991BFB"/>
    <w:rsid w:val="00991D3B"/>
    <w:rsid w:val="009922BE"/>
    <w:rsid w:val="009924A5"/>
    <w:rsid w:val="00992E4B"/>
    <w:rsid w:val="00993B8B"/>
    <w:rsid w:val="0099401A"/>
    <w:rsid w:val="009945D2"/>
    <w:rsid w:val="00995976"/>
    <w:rsid w:val="009969BD"/>
    <w:rsid w:val="00996D81"/>
    <w:rsid w:val="009970DD"/>
    <w:rsid w:val="0099721F"/>
    <w:rsid w:val="00997232"/>
    <w:rsid w:val="00997241"/>
    <w:rsid w:val="00997AB2"/>
    <w:rsid w:val="009A0320"/>
    <w:rsid w:val="009A10CC"/>
    <w:rsid w:val="009A153B"/>
    <w:rsid w:val="009A18E3"/>
    <w:rsid w:val="009A22A5"/>
    <w:rsid w:val="009A3000"/>
    <w:rsid w:val="009A3B2F"/>
    <w:rsid w:val="009A46A0"/>
    <w:rsid w:val="009A5231"/>
    <w:rsid w:val="009A57D8"/>
    <w:rsid w:val="009A6001"/>
    <w:rsid w:val="009A6AEA"/>
    <w:rsid w:val="009A7EF8"/>
    <w:rsid w:val="009B0A06"/>
    <w:rsid w:val="009B2620"/>
    <w:rsid w:val="009B35CE"/>
    <w:rsid w:val="009B3FE7"/>
    <w:rsid w:val="009B47AA"/>
    <w:rsid w:val="009B49D9"/>
    <w:rsid w:val="009B4BF7"/>
    <w:rsid w:val="009B4D20"/>
    <w:rsid w:val="009B6314"/>
    <w:rsid w:val="009B6434"/>
    <w:rsid w:val="009B6770"/>
    <w:rsid w:val="009B6C11"/>
    <w:rsid w:val="009B75A5"/>
    <w:rsid w:val="009B7CF3"/>
    <w:rsid w:val="009C0DB1"/>
    <w:rsid w:val="009C1181"/>
    <w:rsid w:val="009C124D"/>
    <w:rsid w:val="009C1310"/>
    <w:rsid w:val="009C27C8"/>
    <w:rsid w:val="009C31EB"/>
    <w:rsid w:val="009C3786"/>
    <w:rsid w:val="009C3C61"/>
    <w:rsid w:val="009C5372"/>
    <w:rsid w:val="009C58E8"/>
    <w:rsid w:val="009C60A7"/>
    <w:rsid w:val="009C65FF"/>
    <w:rsid w:val="009C6872"/>
    <w:rsid w:val="009C7D61"/>
    <w:rsid w:val="009D0670"/>
    <w:rsid w:val="009D3242"/>
    <w:rsid w:val="009D367C"/>
    <w:rsid w:val="009D373F"/>
    <w:rsid w:val="009D3832"/>
    <w:rsid w:val="009D3E9F"/>
    <w:rsid w:val="009D48A9"/>
    <w:rsid w:val="009D58D5"/>
    <w:rsid w:val="009D617B"/>
    <w:rsid w:val="009D6433"/>
    <w:rsid w:val="009D6A8A"/>
    <w:rsid w:val="009D6DDC"/>
    <w:rsid w:val="009D7142"/>
    <w:rsid w:val="009D77E2"/>
    <w:rsid w:val="009E020E"/>
    <w:rsid w:val="009E04E9"/>
    <w:rsid w:val="009E1259"/>
    <w:rsid w:val="009E1614"/>
    <w:rsid w:val="009E17E1"/>
    <w:rsid w:val="009E24C1"/>
    <w:rsid w:val="009E3B52"/>
    <w:rsid w:val="009E45CB"/>
    <w:rsid w:val="009E46A7"/>
    <w:rsid w:val="009E54E2"/>
    <w:rsid w:val="009E709C"/>
    <w:rsid w:val="009E73EB"/>
    <w:rsid w:val="009E7AF4"/>
    <w:rsid w:val="009E7BBE"/>
    <w:rsid w:val="009F126C"/>
    <w:rsid w:val="009F139D"/>
    <w:rsid w:val="009F2B23"/>
    <w:rsid w:val="009F4016"/>
    <w:rsid w:val="009F446F"/>
    <w:rsid w:val="009F4F18"/>
    <w:rsid w:val="009F5A65"/>
    <w:rsid w:val="009F6BDD"/>
    <w:rsid w:val="00A01DE8"/>
    <w:rsid w:val="00A02135"/>
    <w:rsid w:val="00A023EC"/>
    <w:rsid w:val="00A02892"/>
    <w:rsid w:val="00A0321C"/>
    <w:rsid w:val="00A0351C"/>
    <w:rsid w:val="00A039FA"/>
    <w:rsid w:val="00A03E34"/>
    <w:rsid w:val="00A03F9D"/>
    <w:rsid w:val="00A046AA"/>
    <w:rsid w:val="00A05298"/>
    <w:rsid w:val="00A0593A"/>
    <w:rsid w:val="00A063C5"/>
    <w:rsid w:val="00A06E67"/>
    <w:rsid w:val="00A073C5"/>
    <w:rsid w:val="00A07835"/>
    <w:rsid w:val="00A107DD"/>
    <w:rsid w:val="00A108DF"/>
    <w:rsid w:val="00A12F67"/>
    <w:rsid w:val="00A134B0"/>
    <w:rsid w:val="00A13CEF"/>
    <w:rsid w:val="00A14B50"/>
    <w:rsid w:val="00A14CA8"/>
    <w:rsid w:val="00A156F0"/>
    <w:rsid w:val="00A15A1A"/>
    <w:rsid w:val="00A160C6"/>
    <w:rsid w:val="00A16371"/>
    <w:rsid w:val="00A175E2"/>
    <w:rsid w:val="00A1774E"/>
    <w:rsid w:val="00A17767"/>
    <w:rsid w:val="00A17B9D"/>
    <w:rsid w:val="00A2043B"/>
    <w:rsid w:val="00A2150C"/>
    <w:rsid w:val="00A21884"/>
    <w:rsid w:val="00A21CC3"/>
    <w:rsid w:val="00A225BE"/>
    <w:rsid w:val="00A2320B"/>
    <w:rsid w:val="00A2354C"/>
    <w:rsid w:val="00A247D9"/>
    <w:rsid w:val="00A2500C"/>
    <w:rsid w:val="00A2513B"/>
    <w:rsid w:val="00A25B65"/>
    <w:rsid w:val="00A27A1B"/>
    <w:rsid w:val="00A27B71"/>
    <w:rsid w:val="00A27C4C"/>
    <w:rsid w:val="00A30938"/>
    <w:rsid w:val="00A332E5"/>
    <w:rsid w:val="00A332EB"/>
    <w:rsid w:val="00A35BA5"/>
    <w:rsid w:val="00A36179"/>
    <w:rsid w:val="00A36AE2"/>
    <w:rsid w:val="00A3778B"/>
    <w:rsid w:val="00A377ED"/>
    <w:rsid w:val="00A37FC3"/>
    <w:rsid w:val="00A40E26"/>
    <w:rsid w:val="00A4103C"/>
    <w:rsid w:val="00A42875"/>
    <w:rsid w:val="00A42BF3"/>
    <w:rsid w:val="00A42D61"/>
    <w:rsid w:val="00A43C0C"/>
    <w:rsid w:val="00A44BFF"/>
    <w:rsid w:val="00A45DDC"/>
    <w:rsid w:val="00A4660F"/>
    <w:rsid w:val="00A5013B"/>
    <w:rsid w:val="00A50ACF"/>
    <w:rsid w:val="00A51279"/>
    <w:rsid w:val="00A51C05"/>
    <w:rsid w:val="00A5249C"/>
    <w:rsid w:val="00A5311B"/>
    <w:rsid w:val="00A54385"/>
    <w:rsid w:val="00A54B74"/>
    <w:rsid w:val="00A55480"/>
    <w:rsid w:val="00A56E19"/>
    <w:rsid w:val="00A5769A"/>
    <w:rsid w:val="00A578C5"/>
    <w:rsid w:val="00A603C0"/>
    <w:rsid w:val="00A609BA"/>
    <w:rsid w:val="00A60FB4"/>
    <w:rsid w:val="00A611FD"/>
    <w:rsid w:val="00A61F6B"/>
    <w:rsid w:val="00A634D7"/>
    <w:rsid w:val="00A64AAD"/>
    <w:rsid w:val="00A64F2A"/>
    <w:rsid w:val="00A66468"/>
    <w:rsid w:val="00A671BD"/>
    <w:rsid w:val="00A67D61"/>
    <w:rsid w:val="00A67F43"/>
    <w:rsid w:val="00A700F7"/>
    <w:rsid w:val="00A7277F"/>
    <w:rsid w:val="00A72B1D"/>
    <w:rsid w:val="00A738EB"/>
    <w:rsid w:val="00A73BA6"/>
    <w:rsid w:val="00A73E34"/>
    <w:rsid w:val="00A740DC"/>
    <w:rsid w:val="00A74122"/>
    <w:rsid w:val="00A74172"/>
    <w:rsid w:val="00A742A3"/>
    <w:rsid w:val="00A744F4"/>
    <w:rsid w:val="00A74630"/>
    <w:rsid w:val="00A74F27"/>
    <w:rsid w:val="00A750B2"/>
    <w:rsid w:val="00A75F19"/>
    <w:rsid w:val="00A7635E"/>
    <w:rsid w:val="00A76779"/>
    <w:rsid w:val="00A76D0A"/>
    <w:rsid w:val="00A7700C"/>
    <w:rsid w:val="00A7777A"/>
    <w:rsid w:val="00A77AD5"/>
    <w:rsid w:val="00A81CE3"/>
    <w:rsid w:val="00A839C6"/>
    <w:rsid w:val="00A83C72"/>
    <w:rsid w:val="00A83F3F"/>
    <w:rsid w:val="00A8513C"/>
    <w:rsid w:val="00A85A90"/>
    <w:rsid w:val="00A85AB7"/>
    <w:rsid w:val="00A862BF"/>
    <w:rsid w:val="00A8643B"/>
    <w:rsid w:val="00A865FF"/>
    <w:rsid w:val="00A86753"/>
    <w:rsid w:val="00A867D8"/>
    <w:rsid w:val="00A878FD"/>
    <w:rsid w:val="00A87BEF"/>
    <w:rsid w:val="00A87E2D"/>
    <w:rsid w:val="00A90890"/>
    <w:rsid w:val="00A90E19"/>
    <w:rsid w:val="00A91735"/>
    <w:rsid w:val="00A917D2"/>
    <w:rsid w:val="00A920AB"/>
    <w:rsid w:val="00A92818"/>
    <w:rsid w:val="00A92AF3"/>
    <w:rsid w:val="00A93200"/>
    <w:rsid w:val="00A94102"/>
    <w:rsid w:val="00A94116"/>
    <w:rsid w:val="00A946A0"/>
    <w:rsid w:val="00A955C4"/>
    <w:rsid w:val="00A95695"/>
    <w:rsid w:val="00A95C32"/>
    <w:rsid w:val="00A964E4"/>
    <w:rsid w:val="00A96B79"/>
    <w:rsid w:val="00A97C10"/>
    <w:rsid w:val="00AA08D3"/>
    <w:rsid w:val="00AA1157"/>
    <w:rsid w:val="00AA1206"/>
    <w:rsid w:val="00AA16AC"/>
    <w:rsid w:val="00AA238A"/>
    <w:rsid w:val="00AA3C1A"/>
    <w:rsid w:val="00AA4B72"/>
    <w:rsid w:val="00AA5A76"/>
    <w:rsid w:val="00AA5DF4"/>
    <w:rsid w:val="00AA6113"/>
    <w:rsid w:val="00AA61A9"/>
    <w:rsid w:val="00AA718A"/>
    <w:rsid w:val="00AA722D"/>
    <w:rsid w:val="00AA7927"/>
    <w:rsid w:val="00AA7C86"/>
    <w:rsid w:val="00AA7D14"/>
    <w:rsid w:val="00AB1645"/>
    <w:rsid w:val="00AB1A87"/>
    <w:rsid w:val="00AB1B2B"/>
    <w:rsid w:val="00AB1D40"/>
    <w:rsid w:val="00AB1EFE"/>
    <w:rsid w:val="00AB35A5"/>
    <w:rsid w:val="00AB4587"/>
    <w:rsid w:val="00AB4AA2"/>
    <w:rsid w:val="00AB4F49"/>
    <w:rsid w:val="00AB7926"/>
    <w:rsid w:val="00AB7AE7"/>
    <w:rsid w:val="00AC0686"/>
    <w:rsid w:val="00AC105C"/>
    <w:rsid w:val="00AC17EE"/>
    <w:rsid w:val="00AC3855"/>
    <w:rsid w:val="00AC5BE9"/>
    <w:rsid w:val="00AC6B0E"/>
    <w:rsid w:val="00AC7BC4"/>
    <w:rsid w:val="00AD0911"/>
    <w:rsid w:val="00AD0E3F"/>
    <w:rsid w:val="00AD1588"/>
    <w:rsid w:val="00AD1C9F"/>
    <w:rsid w:val="00AD22F5"/>
    <w:rsid w:val="00AD2827"/>
    <w:rsid w:val="00AD297C"/>
    <w:rsid w:val="00AD2B3C"/>
    <w:rsid w:val="00AD2B4C"/>
    <w:rsid w:val="00AD2EF6"/>
    <w:rsid w:val="00AD2F26"/>
    <w:rsid w:val="00AD3645"/>
    <w:rsid w:val="00AD37F6"/>
    <w:rsid w:val="00AD3A80"/>
    <w:rsid w:val="00AD3C2B"/>
    <w:rsid w:val="00AD46B9"/>
    <w:rsid w:val="00AD52AC"/>
    <w:rsid w:val="00AD60AB"/>
    <w:rsid w:val="00AD65E4"/>
    <w:rsid w:val="00AD7383"/>
    <w:rsid w:val="00AD76AC"/>
    <w:rsid w:val="00AD7BD9"/>
    <w:rsid w:val="00AE02E0"/>
    <w:rsid w:val="00AE06FC"/>
    <w:rsid w:val="00AE0F63"/>
    <w:rsid w:val="00AE1061"/>
    <w:rsid w:val="00AE19E8"/>
    <w:rsid w:val="00AE1C00"/>
    <w:rsid w:val="00AE21B6"/>
    <w:rsid w:val="00AE5251"/>
    <w:rsid w:val="00AE6653"/>
    <w:rsid w:val="00AE6800"/>
    <w:rsid w:val="00AE6C8B"/>
    <w:rsid w:val="00AE7377"/>
    <w:rsid w:val="00AE77DC"/>
    <w:rsid w:val="00AF1D3A"/>
    <w:rsid w:val="00AF1EA3"/>
    <w:rsid w:val="00AF240A"/>
    <w:rsid w:val="00AF439E"/>
    <w:rsid w:val="00AF5421"/>
    <w:rsid w:val="00AF5A10"/>
    <w:rsid w:val="00AF6570"/>
    <w:rsid w:val="00AF74B9"/>
    <w:rsid w:val="00AF7B62"/>
    <w:rsid w:val="00AF7C09"/>
    <w:rsid w:val="00B006C1"/>
    <w:rsid w:val="00B009E4"/>
    <w:rsid w:val="00B00F64"/>
    <w:rsid w:val="00B01F73"/>
    <w:rsid w:val="00B02745"/>
    <w:rsid w:val="00B02801"/>
    <w:rsid w:val="00B02A7F"/>
    <w:rsid w:val="00B03355"/>
    <w:rsid w:val="00B03431"/>
    <w:rsid w:val="00B03B07"/>
    <w:rsid w:val="00B04125"/>
    <w:rsid w:val="00B04567"/>
    <w:rsid w:val="00B046F8"/>
    <w:rsid w:val="00B04BFF"/>
    <w:rsid w:val="00B050ED"/>
    <w:rsid w:val="00B057CB"/>
    <w:rsid w:val="00B06704"/>
    <w:rsid w:val="00B069DC"/>
    <w:rsid w:val="00B07275"/>
    <w:rsid w:val="00B0730C"/>
    <w:rsid w:val="00B101B3"/>
    <w:rsid w:val="00B11439"/>
    <w:rsid w:val="00B119D5"/>
    <w:rsid w:val="00B12AD8"/>
    <w:rsid w:val="00B144AC"/>
    <w:rsid w:val="00B14A50"/>
    <w:rsid w:val="00B14FF5"/>
    <w:rsid w:val="00B17704"/>
    <w:rsid w:val="00B179F1"/>
    <w:rsid w:val="00B203E1"/>
    <w:rsid w:val="00B20F94"/>
    <w:rsid w:val="00B21201"/>
    <w:rsid w:val="00B21E79"/>
    <w:rsid w:val="00B225A3"/>
    <w:rsid w:val="00B225A4"/>
    <w:rsid w:val="00B2264E"/>
    <w:rsid w:val="00B22734"/>
    <w:rsid w:val="00B22CAD"/>
    <w:rsid w:val="00B22DA4"/>
    <w:rsid w:val="00B23368"/>
    <w:rsid w:val="00B23442"/>
    <w:rsid w:val="00B23726"/>
    <w:rsid w:val="00B23975"/>
    <w:rsid w:val="00B245C5"/>
    <w:rsid w:val="00B24C9F"/>
    <w:rsid w:val="00B24CB7"/>
    <w:rsid w:val="00B24E6D"/>
    <w:rsid w:val="00B256B5"/>
    <w:rsid w:val="00B26174"/>
    <w:rsid w:val="00B264C5"/>
    <w:rsid w:val="00B27105"/>
    <w:rsid w:val="00B27192"/>
    <w:rsid w:val="00B27A3F"/>
    <w:rsid w:val="00B3296A"/>
    <w:rsid w:val="00B32A7C"/>
    <w:rsid w:val="00B33526"/>
    <w:rsid w:val="00B35164"/>
    <w:rsid w:val="00B358F2"/>
    <w:rsid w:val="00B360D9"/>
    <w:rsid w:val="00B3667E"/>
    <w:rsid w:val="00B36965"/>
    <w:rsid w:val="00B37053"/>
    <w:rsid w:val="00B37D37"/>
    <w:rsid w:val="00B40240"/>
    <w:rsid w:val="00B403AD"/>
    <w:rsid w:val="00B406CB"/>
    <w:rsid w:val="00B40790"/>
    <w:rsid w:val="00B4079B"/>
    <w:rsid w:val="00B419BF"/>
    <w:rsid w:val="00B420AB"/>
    <w:rsid w:val="00B438B0"/>
    <w:rsid w:val="00B43B3C"/>
    <w:rsid w:val="00B43D19"/>
    <w:rsid w:val="00B451DA"/>
    <w:rsid w:val="00B4581D"/>
    <w:rsid w:val="00B4639E"/>
    <w:rsid w:val="00B46EE5"/>
    <w:rsid w:val="00B47190"/>
    <w:rsid w:val="00B47224"/>
    <w:rsid w:val="00B502DA"/>
    <w:rsid w:val="00B50337"/>
    <w:rsid w:val="00B518C9"/>
    <w:rsid w:val="00B5196D"/>
    <w:rsid w:val="00B51C8E"/>
    <w:rsid w:val="00B521CF"/>
    <w:rsid w:val="00B525BC"/>
    <w:rsid w:val="00B538B4"/>
    <w:rsid w:val="00B53BB6"/>
    <w:rsid w:val="00B545D0"/>
    <w:rsid w:val="00B5470F"/>
    <w:rsid w:val="00B55CCE"/>
    <w:rsid w:val="00B565D9"/>
    <w:rsid w:val="00B56C8D"/>
    <w:rsid w:val="00B5745D"/>
    <w:rsid w:val="00B575EB"/>
    <w:rsid w:val="00B57A4F"/>
    <w:rsid w:val="00B603BC"/>
    <w:rsid w:val="00B60655"/>
    <w:rsid w:val="00B607A5"/>
    <w:rsid w:val="00B60ABD"/>
    <w:rsid w:val="00B61FF9"/>
    <w:rsid w:val="00B623C7"/>
    <w:rsid w:val="00B62F6D"/>
    <w:rsid w:val="00B634DC"/>
    <w:rsid w:val="00B63A3F"/>
    <w:rsid w:val="00B63B1D"/>
    <w:rsid w:val="00B63EC9"/>
    <w:rsid w:val="00B64A81"/>
    <w:rsid w:val="00B64E57"/>
    <w:rsid w:val="00B656E7"/>
    <w:rsid w:val="00B65826"/>
    <w:rsid w:val="00B66560"/>
    <w:rsid w:val="00B66CC1"/>
    <w:rsid w:val="00B67150"/>
    <w:rsid w:val="00B67603"/>
    <w:rsid w:val="00B67938"/>
    <w:rsid w:val="00B67C3B"/>
    <w:rsid w:val="00B7018E"/>
    <w:rsid w:val="00B70855"/>
    <w:rsid w:val="00B7123C"/>
    <w:rsid w:val="00B71F03"/>
    <w:rsid w:val="00B72D30"/>
    <w:rsid w:val="00B741FF"/>
    <w:rsid w:val="00B744A8"/>
    <w:rsid w:val="00B74616"/>
    <w:rsid w:val="00B74DF7"/>
    <w:rsid w:val="00B7534E"/>
    <w:rsid w:val="00B758DC"/>
    <w:rsid w:val="00B75E93"/>
    <w:rsid w:val="00B76E11"/>
    <w:rsid w:val="00B76E2D"/>
    <w:rsid w:val="00B771FE"/>
    <w:rsid w:val="00B77439"/>
    <w:rsid w:val="00B77C4C"/>
    <w:rsid w:val="00B806EA"/>
    <w:rsid w:val="00B82864"/>
    <w:rsid w:val="00B82A26"/>
    <w:rsid w:val="00B833FB"/>
    <w:rsid w:val="00B83B1E"/>
    <w:rsid w:val="00B83CE7"/>
    <w:rsid w:val="00B83EA6"/>
    <w:rsid w:val="00B84666"/>
    <w:rsid w:val="00B8486E"/>
    <w:rsid w:val="00B860D2"/>
    <w:rsid w:val="00B867E7"/>
    <w:rsid w:val="00B8682C"/>
    <w:rsid w:val="00B917BF"/>
    <w:rsid w:val="00B91F3F"/>
    <w:rsid w:val="00B923F1"/>
    <w:rsid w:val="00B924EC"/>
    <w:rsid w:val="00B92CC9"/>
    <w:rsid w:val="00B92E5F"/>
    <w:rsid w:val="00B933A9"/>
    <w:rsid w:val="00B93F4B"/>
    <w:rsid w:val="00B95A58"/>
    <w:rsid w:val="00B95CD5"/>
    <w:rsid w:val="00B970A7"/>
    <w:rsid w:val="00B97B32"/>
    <w:rsid w:val="00BA0380"/>
    <w:rsid w:val="00BA25A7"/>
    <w:rsid w:val="00BA274C"/>
    <w:rsid w:val="00BA2E75"/>
    <w:rsid w:val="00BA52D1"/>
    <w:rsid w:val="00BA5322"/>
    <w:rsid w:val="00BA5338"/>
    <w:rsid w:val="00BA58EF"/>
    <w:rsid w:val="00BA5CE0"/>
    <w:rsid w:val="00BA7CEB"/>
    <w:rsid w:val="00BB0414"/>
    <w:rsid w:val="00BB04C9"/>
    <w:rsid w:val="00BB0746"/>
    <w:rsid w:val="00BB1098"/>
    <w:rsid w:val="00BB1273"/>
    <w:rsid w:val="00BB14CF"/>
    <w:rsid w:val="00BB1BFB"/>
    <w:rsid w:val="00BB2EC2"/>
    <w:rsid w:val="00BB3466"/>
    <w:rsid w:val="00BB3609"/>
    <w:rsid w:val="00BB390F"/>
    <w:rsid w:val="00BB3B4D"/>
    <w:rsid w:val="00BB3D10"/>
    <w:rsid w:val="00BB5950"/>
    <w:rsid w:val="00BB7124"/>
    <w:rsid w:val="00BB78B9"/>
    <w:rsid w:val="00BC0629"/>
    <w:rsid w:val="00BC0E60"/>
    <w:rsid w:val="00BC132E"/>
    <w:rsid w:val="00BC22F4"/>
    <w:rsid w:val="00BC24BB"/>
    <w:rsid w:val="00BC2735"/>
    <w:rsid w:val="00BC2B2C"/>
    <w:rsid w:val="00BC43A8"/>
    <w:rsid w:val="00BC4B63"/>
    <w:rsid w:val="00BC4E6E"/>
    <w:rsid w:val="00BC5A2B"/>
    <w:rsid w:val="00BC7F74"/>
    <w:rsid w:val="00BD003C"/>
    <w:rsid w:val="00BD065F"/>
    <w:rsid w:val="00BD0E70"/>
    <w:rsid w:val="00BD0F57"/>
    <w:rsid w:val="00BD2CDB"/>
    <w:rsid w:val="00BD3EF5"/>
    <w:rsid w:val="00BD489D"/>
    <w:rsid w:val="00BD4A44"/>
    <w:rsid w:val="00BD4A53"/>
    <w:rsid w:val="00BD4F6E"/>
    <w:rsid w:val="00BD512F"/>
    <w:rsid w:val="00BD517A"/>
    <w:rsid w:val="00BD53A5"/>
    <w:rsid w:val="00BD5577"/>
    <w:rsid w:val="00BD6CAC"/>
    <w:rsid w:val="00BD743C"/>
    <w:rsid w:val="00BE1D4C"/>
    <w:rsid w:val="00BE29DF"/>
    <w:rsid w:val="00BE2B33"/>
    <w:rsid w:val="00BE2F81"/>
    <w:rsid w:val="00BE3319"/>
    <w:rsid w:val="00BE3517"/>
    <w:rsid w:val="00BE3606"/>
    <w:rsid w:val="00BE4CB5"/>
    <w:rsid w:val="00BE4F56"/>
    <w:rsid w:val="00BE5266"/>
    <w:rsid w:val="00BE535A"/>
    <w:rsid w:val="00BE59C4"/>
    <w:rsid w:val="00BE5BCE"/>
    <w:rsid w:val="00BE5CAB"/>
    <w:rsid w:val="00BE6E74"/>
    <w:rsid w:val="00BE799B"/>
    <w:rsid w:val="00BE7D82"/>
    <w:rsid w:val="00BE7EE0"/>
    <w:rsid w:val="00BF0C06"/>
    <w:rsid w:val="00BF291C"/>
    <w:rsid w:val="00BF2C11"/>
    <w:rsid w:val="00BF476A"/>
    <w:rsid w:val="00BF48DF"/>
    <w:rsid w:val="00BF4C85"/>
    <w:rsid w:val="00BF4F3C"/>
    <w:rsid w:val="00BF652C"/>
    <w:rsid w:val="00BF66E6"/>
    <w:rsid w:val="00BF6AA5"/>
    <w:rsid w:val="00C01E26"/>
    <w:rsid w:val="00C02217"/>
    <w:rsid w:val="00C02361"/>
    <w:rsid w:val="00C0293A"/>
    <w:rsid w:val="00C03175"/>
    <w:rsid w:val="00C035C0"/>
    <w:rsid w:val="00C0390F"/>
    <w:rsid w:val="00C04871"/>
    <w:rsid w:val="00C04CBB"/>
    <w:rsid w:val="00C05257"/>
    <w:rsid w:val="00C0618C"/>
    <w:rsid w:val="00C069EA"/>
    <w:rsid w:val="00C06D37"/>
    <w:rsid w:val="00C06D9B"/>
    <w:rsid w:val="00C076F5"/>
    <w:rsid w:val="00C102DA"/>
    <w:rsid w:val="00C107D8"/>
    <w:rsid w:val="00C10FF6"/>
    <w:rsid w:val="00C11A08"/>
    <w:rsid w:val="00C1211E"/>
    <w:rsid w:val="00C12457"/>
    <w:rsid w:val="00C1317F"/>
    <w:rsid w:val="00C13FA8"/>
    <w:rsid w:val="00C14922"/>
    <w:rsid w:val="00C15A5C"/>
    <w:rsid w:val="00C163E9"/>
    <w:rsid w:val="00C21A19"/>
    <w:rsid w:val="00C23087"/>
    <w:rsid w:val="00C234D0"/>
    <w:rsid w:val="00C23E86"/>
    <w:rsid w:val="00C24ED8"/>
    <w:rsid w:val="00C26F4F"/>
    <w:rsid w:val="00C274DC"/>
    <w:rsid w:val="00C27B14"/>
    <w:rsid w:val="00C301CA"/>
    <w:rsid w:val="00C306D1"/>
    <w:rsid w:val="00C30B1C"/>
    <w:rsid w:val="00C30B32"/>
    <w:rsid w:val="00C3118A"/>
    <w:rsid w:val="00C31B32"/>
    <w:rsid w:val="00C3387A"/>
    <w:rsid w:val="00C3503C"/>
    <w:rsid w:val="00C35148"/>
    <w:rsid w:val="00C35BF4"/>
    <w:rsid w:val="00C36202"/>
    <w:rsid w:val="00C37410"/>
    <w:rsid w:val="00C37735"/>
    <w:rsid w:val="00C37A79"/>
    <w:rsid w:val="00C41039"/>
    <w:rsid w:val="00C41087"/>
    <w:rsid w:val="00C410A3"/>
    <w:rsid w:val="00C413D3"/>
    <w:rsid w:val="00C43DE4"/>
    <w:rsid w:val="00C44E9D"/>
    <w:rsid w:val="00C45F60"/>
    <w:rsid w:val="00C46CE8"/>
    <w:rsid w:val="00C47430"/>
    <w:rsid w:val="00C47782"/>
    <w:rsid w:val="00C47C21"/>
    <w:rsid w:val="00C5098E"/>
    <w:rsid w:val="00C50AF1"/>
    <w:rsid w:val="00C50EE6"/>
    <w:rsid w:val="00C52089"/>
    <w:rsid w:val="00C52153"/>
    <w:rsid w:val="00C52478"/>
    <w:rsid w:val="00C53490"/>
    <w:rsid w:val="00C539B6"/>
    <w:rsid w:val="00C549B0"/>
    <w:rsid w:val="00C5538B"/>
    <w:rsid w:val="00C56020"/>
    <w:rsid w:val="00C56892"/>
    <w:rsid w:val="00C569DB"/>
    <w:rsid w:val="00C56A89"/>
    <w:rsid w:val="00C57123"/>
    <w:rsid w:val="00C57319"/>
    <w:rsid w:val="00C57644"/>
    <w:rsid w:val="00C605CE"/>
    <w:rsid w:val="00C60824"/>
    <w:rsid w:val="00C60CEB"/>
    <w:rsid w:val="00C60DCE"/>
    <w:rsid w:val="00C61A19"/>
    <w:rsid w:val="00C61C3E"/>
    <w:rsid w:val="00C61C97"/>
    <w:rsid w:val="00C61D9F"/>
    <w:rsid w:val="00C62770"/>
    <w:rsid w:val="00C62BBB"/>
    <w:rsid w:val="00C62CA7"/>
    <w:rsid w:val="00C63477"/>
    <w:rsid w:val="00C64466"/>
    <w:rsid w:val="00C64B08"/>
    <w:rsid w:val="00C64C8D"/>
    <w:rsid w:val="00C64DAD"/>
    <w:rsid w:val="00C66162"/>
    <w:rsid w:val="00C6654C"/>
    <w:rsid w:val="00C67236"/>
    <w:rsid w:val="00C70DFB"/>
    <w:rsid w:val="00C71A86"/>
    <w:rsid w:val="00C7222E"/>
    <w:rsid w:val="00C7351C"/>
    <w:rsid w:val="00C73ACA"/>
    <w:rsid w:val="00C73C64"/>
    <w:rsid w:val="00C747BF"/>
    <w:rsid w:val="00C74B65"/>
    <w:rsid w:val="00C7581F"/>
    <w:rsid w:val="00C767CF"/>
    <w:rsid w:val="00C7681F"/>
    <w:rsid w:val="00C7734B"/>
    <w:rsid w:val="00C77CFA"/>
    <w:rsid w:val="00C80790"/>
    <w:rsid w:val="00C80A83"/>
    <w:rsid w:val="00C80DC9"/>
    <w:rsid w:val="00C81229"/>
    <w:rsid w:val="00C81799"/>
    <w:rsid w:val="00C8193F"/>
    <w:rsid w:val="00C81AE8"/>
    <w:rsid w:val="00C81E4A"/>
    <w:rsid w:val="00C821EB"/>
    <w:rsid w:val="00C82290"/>
    <w:rsid w:val="00C8237F"/>
    <w:rsid w:val="00C82592"/>
    <w:rsid w:val="00C828F9"/>
    <w:rsid w:val="00C8308F"/>
    <w:rsid w:val="00C832C1"/>
    <w:rsid w:val="00C8363D"/>
    <w:rsid w:val="00C83CA7"/>
    <w:rsid w:val="00C8402D"/>
    <w:rsid w:val="00C84392"/>
    <w:rsid w:val="00C8554B"/>
    <w:rsid w:val="00C85735"/>
    <w:rsid w:val="00C8599B"/>
    <w:rsid w:val="00C8682A"/>
    <w:rsid w:val="00C871F2"/>
    <w:rsid w:val="00C8746F"/>
    <w:rsid w:val="00C87545"/>
    <w:rsid w:val="00C87EC4"/>
    <w:rsid w:val="00C90582"/>
    <w:rsid w:val="00C924C6"/>
    <w:rsid w:val="00C9284A"/>
    <w:rsid w:val="00C92AE3"/>
    <w:rsid w:val="00C93363"/>
    <w:rsid w:val="00C93BAA"/>
    <w:rsid w:val="00C94B75"/>
    <w:rsid w:val="00C95108"/>
    <w:rsid w:val="00C95257"/>
    <w:rsid w:val="00C95A2F"/>
    <w:rsid w:val="00C95D82"/>
    <w:rsid w:val="00C96ACA"/>
    <w:rsid w:val="00C97379"/>
    <w:rsid w:val="00CA01D8"/>
    <w:rsid w:val="00CA0346"/>
    <w:rsid w:val="00CA043B"/>
    <w:rsid w:val="00CA0711"/>
    <w:rsid w:val="00CA3E84"/>
    <w:rsid w:val="00CA3E8E"/>
    <w:rsid w:val="00CA40B9"/>
    <w:rsid w:val="00CA456B"/>
    <w:rsid w:val="00CA5F9A"/>
    <w:rsid w:val="00CA66BF"/>
    <w:rsid w:val="00CA6CD8"/>
    <w:rsid w:val="00CA7BCC"/>
    <w:rsid w:val="00CA7EE3"/>
    <w:rsid w:val="00CB03FE"/>
    <w:rsid w:val="00CB0DA8"/>
    <w:rsid w:val="00CB145A"/>
    <w:rsid w:val="00CB1F64"/>
    <w:rsid w:val="00CB1FEC"/>
    <w:rsid w:val="00CB2EED"/>
    <w:rsid w:val="00CB3D44"/>
    <w:rsid w:val="00CB4308"/>
    <w:rsid w:val="00CB4D24"/>
    <w:rsid w:val="00CB565A"/>
    <w:rsid w:val="00CB590C"/>
    <w:rsid w:val="00CB707A"/>
    <w:rsid w:val="00CB773D"/>
    <w:rsid w:val="00CB794E"/>
    <w:rsid w:val="00CC0111"/>
    <w:rsid w:val="00CC1772"/>
    <w:rsid w:val="00CC18D4"/>
    <w:rsid w:val="00CC1BDA"/>
    <w:rsid w:val="00CC22A0"/>
    <w:rsid w:val="00CC24F3"/>
    <w:rsid w:val="00CC2C77"/>
    <w:rsid w:val="00CC2F12"/>
    <w:rsid w:val="00CC3216"/>
    <w:rsid w:val="00CC3303"/>
    <w:rsid w:val="00CC3BA4"/>
    <w:rsid w:val="00CC4573"/>
    <w:rsid w:val="00CC523A"/>
    <w:rsid w:val="00CC5A88"/>
    <w:rsid w:val="00CC5C21"/>
    <w:rsid w:val="00CC5F92"/>
    <w:rsid w:val="00CC62DB"/>
    <w:rsid w:val="00CC67A6"/>
    <w:rsid w:val="00CC69D0"/>
    <w:rsid w:val="00CC6F31"/>
    <w:rsid w:val="00CC763A"/>
    <w:rsid w:val="00CD0CC2"/>
    <w:rsid w:val="00CD0EDA"/>
    <w:rsid w:val="00CD1175"/>
    <w:rsid w:val="00CD1C5E"/>
    <w:rsid w:val="00CD25B9"/>
    <w:rsid w:val="00CD2BB2"/>
    <w:rsid w:val="00CD3897"/>
    <w:rsid w:val="00CD3DB8"/>
    <w:rsid w:val="00CD51EE"/>
    <w:rsid w:val="00CD5286"/>
    <w:rsid w:val="00CD5478"/>
    <w:rsid w:val="00CD5935"/>
    <w:rsid w:val="00CD5BFC"/>
    <w:rsid w:val="00CD72DA"/>
    <w:rsid w:val="00CD7A6F"/>
    <w:rsid w:val="00CD7B8E"/>
    <w:rsid w:val="00CE02B2"/>
    <w:rsid w:val="00CE0CDB"/>
    <w:rsid w:val="00CE1579"/>
    <w:rsid w:val="00CE246F"/>
    <w:rsid w:val="00CE43F2"/>
    <w:rsid w:val="00CE5390"/>
    <w:rsid w:val="00CE53BA"/>
    <w:rsid w:val="00CE56D8"/>
    <w:rsid w:val="00CE7D21"/>
    <w:rsid w:val="00CF03B6"/>
    <w:rsid w:val="00CF07CB"/>
    <w:rsid w:val="00CF144F"/>
    <w:rsid w:val="00CF1F6B"/>
    <w:rsid w:val="00CF234D"/>
    <w:rsid w:val="00CF3711"/>
    <w:rsid w:val="00CF3840"/>
    <w:rsid w:val="00CF3C5F"/>
    <w:rsid w:val="00CF43B7"/>
    <w:rsid w:val="00CF4702"/>
    <w:rsid w:val="00CF528B"/>
    <w:rsid w:val="00CF5BBF"/>
    <w:rsid w:val="00CF5DCB"/>
    <w:rsid w:val="00D00F67"/>
    <w:rsid w:val="00D0151F"/>
    <w:rsid w:val="00D0193C"/>
    <w:rsid w:val="00D02164"/>
    <w:rsid w:val="00D02689"/>
    <w:rsid w:val="00D0283D"/>
    <w:rsid w:val="00D03617"/>
    <w:rsid w:val="00D03AF8"/>
    <w:rsid w:val="00D0435A"/>
    <w:rsid w:val="00D04D70"/>
    <w:rsid w:val="00D05462"/>
    <w:rsid w:val="00D05874"/>
    <w:rsid w:val="00D067B2"/>
    <w:rsid w:val="00D073E1"/>
    <w:rsid w:val="00D07DF9"/>
    <w:rsid w:val="00D07FDD"/>
    <w:rsid w:val="00D103A9"/>
    <w:rsid w:val="00D10AAC"/>
    <w:rsid w:val="00D10DBA"/>
    <w:rsid w:val="00D120B0"/>
    <w:rsid w:val="00D1265E"/>
    <w:rsid w:val="00D12E45"/>
    <w:rsid w:val="00D1356D"/>
    <w:rsid w:val="00D13A5D"/>
    <w:rsid w:val="00D13FF8"/>
    <w:rsid w:val="00D14116"/>
    <w:rsid w:val="00D14599"/>
    <w:rsid w:val="00D14AB4"/>
    <w:rsid w:val="00D153D2"/>
    <w:rsid w:val="00D15A05"/>
    <w:rsid w:val="00D1612C"/>
    <w:rsid w:val="00D17F30"/>
    <w:rsid w:val="00D2075A"/>
    <w:rsid w:val="00D2108F"/>
    <w:rsid w:val="00D21214"/>
    <w:rsid w:val="00D215A3"/>
    <w:rsid w:val="00D21E9C"/>
    <w:rsid w:val="00D227B3"/>
    <w:rsid w:val="00D23289"/>
    <w:rsid w:val="00D236E7"/>
    <w:rsid w:val="00D24282"/>
    <w:rsid w:val="00D24E86"/>
    <w:rsid w:val="00D2587B"/>
    <w:rsid w:val="00D26220"/>
    <w:rsid w:val="00D26869"/>
    <w:rsid w:val="00D26C51"/>
    <w:rsid w:val="00D270D4"/>
    <w:rsid w:val="00D27594"/>
    <w:rsid w:val="00D30D5E"/>
    <w:rsid w:val="00D30E4B"/>
    <w:rsid w:val="00D30FA7"/>
    <w:rsid w:val="00D311E1"/>
    <w:rsid w:val="00D32790"/>
    <w:rsid w:val="00D3348D"/>
    <w:rsid w:val="00D34435"/>
    <w:rsid w:val="00D353E3"/>
    <w:rsid w:val="00D35699"/>
    <w:rsid w:val="00D36492"/>
    <w:rsid w:val="00D3683E"/>
    <w:rsid w:val="00D36C3C"/>
    <w:rsid w:val="00D37241"/>
    <w:rsid w:val="00D40BF6"/>
    <w:rsid w:val="00D412C6"/>
    <w:rsid w:val="00D4141C"/>
    <w:rsid w:val="00D419F1"/>
    <w:rsid w:val="00D42352"/>
    <w:rsid w:val="00D42384"/>
    <w:rsid w:val="00D42450"/>
    <w:rsid w:val="00D4275C"/>
    <w:rsid w:val="00D43175"/>
    <w:rsid w:val="00D4411F"/>
    <w:rsid w:val="00D443A9"/>
    <w:rsid w:val="00D4474B"/>
    <w:rsid w:val="00D45823"/>
    <w:rsid w:val="00D46B6A"/>
    <w:rsid w:val="00D471E5"/>
    <w:rsid w:val="00D478B6"/>
    <w:rsid w:val="00D510C8"/>
    <w:rsid w:val="00D52262"/>
    <w:rsid w:val="00D52C9E"/>
    <w:rsid w:val="00D5388A"/>
    <w:rsid w:val="00D54BF2"/>
    <w:rsid w:val="00D55902"/>
    <w:rsid w:val="00D559E8"/>
    <w:rsid w:val="00D562FC"/>
    <w:rsid w:val="00D5633D"/>
    <w:rsid w:val="00D5639B"/>
    <w:rsid w:val="00D56C84"/>
    <w:rsid w:val="00D56F16"/>
    <w:rsid w:val="00D600B3"/>
    <w:rsid w:val="00D605E1"/>
    <w:rsid w:val="00D611C7"/>
    <w:rsid w:val="00D63589"/>
    <w:rsid w:val="00D63B76"/>
    <w:rsid w:val="00D63BEB"/>
    <w:rsid w:val="00D63C81"/>
    <w:rsid w:val="00D649A7"/>
    <w:rsid w:val="00D649D7"/>
    <w:rsid w:val="00D66143"/>
    <w:rsid w:val="00D66696"/>
    <w:rsid w:val="00D66A62"/>
    <w:rsid w:val="00D70A7E"/>
    <w:rsid w:val="00D70F81"/>
    <w:rsid w:val="00D726A1"/>
    <w:rsid w:val="00D72786"/>
    <w:rsid w:val="00D7278D"/>
    <w:rsid w:val="00D73EC8"/>
    <w:rsid w:val="00D7561D"/>
    <w:rsid w:val="00D758A1"/>
    <w:rsid w:val="00D759C4"/>
    <w:rsid w:val="00D806F8"/>
    <w:rsid w:val="00D80E5F"/>
    <w:rsid w:val="00D81008"/>
    <w:rsid w:val="00D81BC8"/>
    <w:rsid w:val="00D8289F"/>
    <w:rsid w:val="00D82DEE"/>
    <w:rsid w:val="00D84687"/>
    <w:rsid w:val="00D8503C"/>
    <w:rsid w:val="00D85C62"/>
    <w:rsid w:val="00D85FEE"/>
    <w:rsid w:val="00D86496"/>
    <w:rsid w:val="00D866EC"/>
    <w:rsid w:val="00D86D3A"/>
    <w:rsid w:val="00D86D62"/>
    <w:rsid w:val="00D875C8"/>
    <w:rsid w:val="00D87CEC"/>
    <w:rsid w:val="00D903B5"/>
    <w:rsid w:val="00D904E5"/>
    <w:rsid w:val="00D90CEC"/>
    <w:rsid w:val="00D90FDB"/>
    <w:rsid w:val="00D92A39"/>
    <w:rsid w:val="00D92D51"/>
    <w:rsid w:val="00D92F94"/>
    <w:rsid w:val="00D93391"/>
    <w:rsid w:val="00D942DE"/>
    <w:rsid w:val="00D94BC7"/>
    <w:rsid w:val="00D951CB"/>
    <w:rsid w:val="00D9546B"/>
    <w:rsid w:val="00D965A9"/>
    <w:rsid w:val="00D96BD1"/>
    <w:rsid w:val="00D96CCC"/>
    <w:rsid w:val="00DA0A3E"/>
    <w:rsid w:val="00DA0C23"/>
    <w:rsid w:val="00DA0C52"/>
    <w:rsid w:val="00DA0FB3"/>
    <w:rsid w:val="00DA2145"/>
    <w:rsid w:val="00DA2636"/>
    <w:rsid w:val="00DA2AB3"/>
    <w:rsid w:val="00DA3D12"/>
    <w:rsid w:val="00DA494B"/>
    <w:rsid w:val="00DA4B38"/>
    <w:rsid w:val="00DA4C53"/>
    <w:rsid w:val="00DA4F6D"/>
    <w:rsid w:val="00DA61D8"/>
    <w:rsid w:val="00DA6636"/>
    <w:rsid w:val="00DA71AF"/>
    <w:rsid w:val="00DB128F"/>
    <w:rsid w:val="00DB1395"/>
    <w:rsid w:val="00DB1648"/>
    <w:rsid w:val="00DB1CDB"/>
    <w:rsid w:val="00DB2009"/>
    <w:rsid w:val="00DB21C9"/>
    <w:rsid w:val="00DB4269"/>
    <w:rsid w:val="00DB48CD"/>
    <w:rsid w:val="00DB4D9C"/>
    <w:rsid w:val="00DB52B7"/>
    <w:rsid w:val="00DB5599"/>
    <w:rsid w:val="00DB5C2C"/>
    <w:rsid w:val="00DB5E7C"/>
    <w:rsid w:val="00DB6ACB"/>
    <w:rsid w:val="00DB7B69"/>
    <w:rsid w:val="00DC16A3"/>
    <w:rsid w:val="00DC1CD9"/>
    <w:rsid w:val="00DC1EE8"/>
    <w:rsid w:val="00DC2165"/>
    <w:rsid w:val="00DC5080"/>
    <w:rsid w:val="00DC56F1"/>
    <w:rsid w:val="00DC576A"/>
    <w:rsid w:val="00DC60A9"/>
    <w:rsid w:val="00DC6D5A"/>
    <w:rsid w:val="00DC78CC"/>
    <w:rsid w:val="00DD03D3"/>
    <w:rsid w:val="00DD078A"/>
    <w:rsid w:val="00DD082F"/>
    <w:rsid w:val="00DD0C8D"/>
    <w:rsid w:val="00DD1215"/>
    <w:rsid w:val="00DD2073"/>
    <w:rsid w:val="00DD21F2"/>
    <w:rsid w:val="00DD28A9"/>
    <w:rsid w:val="00DD2D7E"/>
    <w:rsid w:val="00DD37D3"/>
    <w:rsid w:val="00DD383E"/>
    <w:rsid w:val="00DD4DEC"/>
    <w:rsid w:val="00DD50F0"/>
    <w:rsid w:val="00DD5668"/>
    <w:rsid w:val="00DD6FBA"/>
    <w:rsid w:val="00DD704F"/>
    <w:rsid w:val="00DD796F"/>
    <w:rsid w:val="00DD79EF"/>
    <w:rsid w:val="00DE0922"/>
    <w:rsid w:val="00DE1F44"/>
    <w:rsid w:val="00DE24A2"/>
    <w:rsid w:val="00DE2C42"/>
    <w:rsid w:val="00DE31E4"/>
    <w:rsid w:val="00DE447E"/>
    <w:rsid w:val="00DE4B2C"/>
    <w:rsid w:val="00DE4CDA"/>
    <w:rsid w:val="00DE5700"/>
    <w:rsid w:val="00DE5B84"/>
    <w:rsid w:val="00DE5D12"/>
    <w:rsid w:val="00DE5F5F"/>
    <w:rsid w:val="00DE60B1"/>
    <w:rsid w:val="00DE7C61"/>
    <w:rsid w:val="00DF00E0"/>
    <w:rsid w:val="00DF039B"/>
    <w:rsid w:val="00DF0DAE"/>
    <w:rsid w:val="00DF0ED0"/>
    <w:rsid w:val="00DF2090"/>
    <w:rsid w:val="00DF293F"/>
    <w:rsid w:val="00DF4082"/>
    <w:rsid w:val="00DF4187"/>
    <w:rsid w:val="00DF4B37"/>
    <w:rsid w:val="00DF6179"/>
    <w:rsid w:val="00DF62C0"/>
    <w:rsid w:val="00DF7477"/>
    <w:rsid w:val="00E007C4"/>
    <w:rsid w:val="00E00863"/>
    <w:rsid w:val="00E00C88"/>
    <w:rsid w:val="00E01A78"/>
    <w:rsid w:val="00E01B01"/>
    <w:rsid w:val="00E02BEB"/>
    <w:rsid w:val="00E02C5B"/>
    <w:rsid w:val="00E02E59"/>
    <w:rsid w:val="00E0306C"/>
    <w:rsid w:val="00E0339F"/>
    <w:rsid w:val="00E03A9B"/>
    <w:rsid w:val="00E05486"/>
    <w:rsid w:val="00E055DF"/>
    <w:rsid w:val="00E05863"/>
    <w:rsid w:val="00E06AB5"/>
    <w:rsid w:val="00E102A4"/>
    <w:rsid w:val="00E102DA"/>
    <w:rsid w:val="00E10697"/>
    <w:rsid w:val="00E10E0C"/>
    <w:rsid w:val="00E110CE"/>
    <w:rsid w:val="00E12085"/>
    <w:rsid w:val="00E12340"/>
    <w:rsid w:val="00E13021"/>
    <w:rsid w:val="00E13B60"/>
    <w:rsid w:val="00E14685"/>
    <w:rsid w:val="00E14E19"/>
    <w:rsid w:val="00E1509D"/>
    <w:rsid w:val="00E153A4"/>
    <w:rsid w:val="00E161ED"/>
    <w:rsid w:val="00E16366"/>
    <w:rsid w:val="00E16CE1"/>
    <w:rsid w:val="00E20538"/>
    <w:rsid w:val="00E20AB7"/>
    <w:rsid w:val="00E20FAF"/>
    <w:rsid w:val="00E22FA6"/>
    <w:rsid w:val="00E23107"/>
    <w:rsid w:val="00E23B0C"/>
    <w:rsid w:val="00E240AB"/>
    <w:rsid w:val="00E240AC"/>
    <w:rsid w:val="00E25FAA"/>
    <w:rsid w:val="00E269D0"/>
    <w:rsid w:val="00E26A38"/>
    <w:rsid w:val="00E273E8"/>
    <w:rsid w:val="00E27457"/>
    <w:rsid w:val="00E27A7D"/>
    <w:rsid w:val="00E3070E"/>
    <w:rsid w:val="00E31988"/>
    <w:rsid w:val="00E32C9F"/>
    <w:rsid w:val="00E34048"/>
    <w:rsid w:val="00E3485B"/>
    <w:rsid w:val="00E34C75"/>
    <w:rsid w:val="00E35D60"/>
    <w:rsid w:val="00E35EDB"/>
    <w:rsid w:val="00E37B3C"/>
    <w:rsid w:val="00E40ACA"/>
    <w:rsid w:val="00E411CE"/>
    <w:rsid w:val="00E41ABF"/>
    <w:rsid w:val="00E4266D"/>
    <w:rsid w:val="00E42737"/>
    <w:rsid w:val="00E43898"/>
    <w:rsid w:val="00E44586"/>
    <w:rsid w:val="00E44B8A"/>
    <w:rsid w:val="00E44FDD"/>
    <w:rsid w:val="00E45296"/>
    <w:rsid w:val="00E45401"/>
    <w:rsid w:val="00E45501"/>
    <w:rsid w:val="00E45512"/>
    <w:rsid w:val="00E46D63"/>
    <w:rsid w:val="00E50379"/>
    <w:rsid w:val="00E50793"/>
    <w:rsid w:val="00E518AC"/>
    <w:rsid w:val="00E5237E"/>
    <w:rsid w:val="00E52EB0"/>
    <w:rsid w:val="00E54F41"/>
    <w:rsid w:val="00E56C35"/>
    <w:rsid w:val="00E56EDD"/>
    <w:rsid w:val="00E57D5C"/>
    <w:rsid w:val="00E6010F"/>
    <w:rsid w:val="00E60F82"/>
    <w:rsid w:val="00E61095"/>
    <w:rsid w:val="00E61162"/>
    <w:rsid w:val="00E61884"/>
    <w:rsid w:val="00E62FF0"/>
    <w:rsid w:val="00E632C4"/>
    <w:rsid w:val="00E6350D"/>
    <w:rsid w:val="00E63678"/>
    <w:rsid w:val="00E638F2"/>
    <w:rsid w:val="00E65581"/>
    <w:rsid w:val="00E65C83"/>
    <w:rsid w:val="00E664A5"/>
    <w:rsid w:val="00E668F5"/>
    <w:rsid w:val="00E67A95"/>
    <w:rsid w:val="00E67CCD"/>
    <w:rsid w:val="00E70CF1"/>
    <w:rsid w:val="00E70D1D"/>
    <w:rsid w:val="00E70EAE"/>
    <w:rsid w:val="00E72C51"/>
    <w:rsid w:val="00E72DC8"/>
    <w:rsid w:val="00E72F62"/>
    <w:rsid w:val="00E73F26"/>
    <w:rsid w:val="00E74857"/>
    <w:rsid w:val="00E7528C"/>
    <w:rsid w:val="00E760DA"/>
    <w:rsid w:val="00E7616C"/>
    <w:rsid w:val="00E76317"/>
    <w:rsid w:val="00E77D7C"/>
    <w:rsid w:val="00E80101"/>
    <w:rsid w:val="00E80CDC"/>
    <w:rsid w:val="00E80F4E"/>
    <w:rsid w:val="00E81A71"/>
    <w:rsid w:val="00E81CE2"/>
    <w:rsid w:val="00E829FD"/>
    <w:rsid w:val="00E82D9C"/>
    <w:rsid w:val="00E8383F"/>
    <w:rsid w:val="00E83BBD"/>
    <w:rsid w:val="00E85CDD"/>
    <w:rsid w:val="00E86344"/>
    <w:rsid w:val="00E86EBC"/>
    <w:rsid w:val="00E86FC8"/>
    <w:rsid w:val="00E87BEB"/>
    <w:rsid w:val="00E90C6A"/>
    <w:rsid w:val="00E90C8F"/>
    <w:rsid w:val="00E91AF2"/>
    <w:rsid w:val="00E922C8"/>
    <w:rsid w:val="00E9295C"/>
    <w:rsid w:val="00E94E82"/>
    <w:rsid w:val="00E9635D"/>
    <w:rsid w:val="00E963C8"/>
    <w:rsid w:val="00E96591"/>
    <w:rsid w:val="00E96EBB"/>
    <w:rsid w:val="00E97083"/>
    <w:rsid w:val="00EA0FF5"/>
    <w:rsid w:val="00EA140F"/>
    <w:rsid w:val="00EA17C2"/>
    <w:rsid w:val="00EA33A7"/>
    <w:rsid w:val="00EA3ABD"/>
    <w:rsid w:val="00EA3D9F"/>
    <w:rsid w:val="00EA3F2C"/>
    <w:rsid w:val="00EA5424"/>
    <w:rsid w:val="00EA54AB"/>
    <w:rsid w:val="00EA54E5"/>
    <w:rsid w:val="00EA5DEE"/>
    <w:rsid w:val="00EA6FC3"/>
    <w:rsid w:val="00EB11AA"/>
    <w:rsid w:val="00EB1471"/>
    <w:rsid w:val="00EB3480"/>
    <w:rsid w:val="00EB3902"/>
    <w:rsid w:val="00EB4F04"/>
    <w:rsid w:val="00EB514E"/>
    <w:rsid w:val="00EB5595"/>
    <w:rsid w:val="00EB6547"/>
    <w:rsid w:val="00EB7149"/>
    <w:rsid w:val="00EB768B"/>
    <w:rsid w:val="00EB779C"/>
    <w:rsid w:val="00EB7B32"/>
    <w:rsid w:val="00EB7BEA"/>
    <w:rsid w:val="00EB7E11"/>
    <w:rsid w:val="00EC073B"/>
    <w:rsid w:val="00EC1E44"/>
    <w:rsid w:val="00EC2524"/>
    <w:rsid w:val="00EC260C"/>
    <w:rsid w:val="00EC4819"/>
    <w:rsid w:val="00EC5396"/>
    <w:rsid w:val="00EC5CFD"/>
    <w:rsid w:val="00EC5E7B"/>
    <w:rsid w:val="00EC5F20"/>
    <w:rsid w:val="00EC6093"/>
    <w:rsid w:val="00EC6604"/>
    <w:rsid w:val="00EC6BFD"/>
    <w:rsid w:val="00EC7252"/>
    <w:rsid w:val="00EC75B2"/>
    <w:rsid w:val="00ED04B7"/>
    <w:rsid w:val="00ED0695"/>
    <w:rsid w:val="00ED1021"/>
    <w:rsid w:val="00ED17E9"/>
    <w:rsid w:val="00ED1904"/>
    <w:rsid w:val="00ED3D82"/>
    <w:rsid w:val="00ED410B"/>
    <w:rsid w:val="00ED6106"/>
    <w:rsid w:val="00ED61E9"/>
    <w:rsid w:val="00ED7065"/>
    <w:rsid w:val="00ED72D7"/>
    <w:rsid w:val="00ED79D8"/>
    <w:rsid w:val="00EE03F7"/>
    <w:rsid w:val="00EE09B2"/>
    <w:rsid w:val="00EE0B11"/>
    <w:rsid w:val="00EE0F22"/>
    <w:rsid w:val="00EE17FC"/>
    <w:rsid w:val="00EE18F8"/>
    <w:rsid w:val="00EE2098"/>
    <w:rsid w:val="00EE29A9"/>
    <w:rsid w:val="00EE326E"/>
    <w:rsid w:val="00EE3CAD"/>
    <w:rsid w:val="00EE4DF7"/>
    <w:rsid w:val="00EE570B"/>
    <w:rsid w:val="00EE601E"/>
    <w:rsid w:val="00EE6D6D"/>
    <w:rsid w:val="00EE6EE1"/>
    <w:rsid w:val="00EE729E"/>
    <w:rsid w:val="00EE73E9"/>
    <w:rsid w:val="00EE7D4B"/>
    <w:rsid w:val="00EF19F1"/>
    <w:rsid w:val="00EF23BC"/>
    <w:rsid w:val="00EF2A91"/>
    <w:rsid w:val="00EF31DA"/>
    <w:rsid w:val="00EF33F8"/>
    <w:rsid w:val="00EF46AC"/>
    <w:rsid w:val="00EF485F"/>
    <w:rsid w:val="00EF4CF6"/>
    <w:rsid w:val="00EF64B0"/>
    <w:rsid w:val="00EF711D"/>
    <w:rsid w:val="00EF7184"/>
    <w:rsid w:val="00EF74A5"/>
    <w:rsid w:val="00EF7C25"/>
    <w:rsid w:val="00F00CB9"/>
    <w:rsid w:val="00F01736"/>
    <w:rsid w:val="00F01C4C"/>
    <w:rsid w:val="00F01FE3"/>
    <w:rsid w:val="00F0201F"/>
    <w:rsid w:val="00F020D1"/>
    <w:rsid w:val="00F022E0"/>
    <w:rsid w:val="00F02D11"/>
    <w:rsid w:val="00F03019"/>
    <w:rsid w:val="00F0306D"/>
    <w:rsid w:val="00F03788"/>
    <w:rsid w:val="00F037BA"/>
    <w:rsid w:val="00F0415C"/>
    <w:rsid w:val="00F04C7B"/>
    <w:rsid w:val="00F051C7"/>
    <w:rsid w:val="00F05B92"/>
    <w:rsid w:val="00F05DD4"/>
    <w:rsid w:val="00F05E1B"/>
    <w:rsid w:val="00F067E4"/>
    <w:rsid w:val="00F10128"/>
    <w:rsid w:val="00F119F1"/>
    <w:rsid w:val="00F1256D"/>
    <w:rsid w:val="00F12C6D"/>
    <w:rsid w:val="00F12CE7"/>
    <w:rsid w:val="00F13458"/>
    <w:rsid w:val="00F13836"/>
    <w:rsid w:val="00F13BD6"/>
    <w:rsid w:val="00F13C4A"/>
    <w:rsid w:val="00F141A8"/>
    <w:rsid w:val="00F143EE"/>
    <w:rsid w:val="00F148D1"/>
    <w:rsid w:val="00F14FB9"/>
    <w:rsid w:val="00F1531B"/>
    <w:rsid w:val="00F1643A"/>
    <w:rsid w:val="00F16F70"/>
    <w:rsid w:val="00F177DF"/>
    <w:rsid w:val="00F17E21"/>
    <w:rsid w:val="00F17E74"/>
    <w:rsid w:val="00F207B9"/>
    <w:rsid w:val="00F20C66"/>
    <w:rsid w:val="00F21B7D"/>
    <w:rsid w:val="00F22077"/>
    <w:rsid w:val="00F221C6"/>
    <w:rsid w:val="00F2294E"/>
    <w:rsid w:val="00F238AE"/>
    <w:rsid w:val="00F23C6F"/>
    <w:rsid w:val="00F24116"/>
    <w:rsid w:val="00F24B06"/>
    <w:rsid w:val="00F2510C"/>
    <w:rsid w:val="00F25925"/>
    <w:rsid w:val="00F30334"/>
    <w:rsid w:val="00F319E9"/>
    <w:rsid w:val="00F325E6"/>
    <w:rsid w:val="00F32FD6"/>
    <w:rsid w:val="00F337AD"/>
    <w:rsid w:val="00F351D5"/>
    <w:rsid w:val="00F35579"/>
    <w:rsid w:val="00F35F38"/>
    <w:rsid w:val="00F37FD2"/>
    <w:rsid w:val="00F4042C"/>
    <w:rsid w:val="00F405C4"/>
    <w:rsid w:val="00F40620"/>
    <w:rsid w:val="00F40645"/>
    <w:rsid w:val="00F40C3D"/>
    <w:rsid w:val="00F416D8"/>
    <w:rsid w:val="00F421C9"/>
    <w:rsid w:val="00F423D3"/>
    <w:rsid w:val="00F424B3"/>
    <w:rsid w:val="00F42EBF"/>
    <w:rsid w:val="00F4339D"/>
    <w:rsid w:val="00F439AF"/>
    <w:rsid w:val="00F4539A"/>
    <w:rsid w:val="00F4676A"/>
    <w:rsid w:val="00F505BD"/>
    <w:rsid w:val="00F50ADC"/>
    <w:rsid w:val="00F514B1"/>
    <w:rsid w:val="00F51BE8"/>
    <w:rsid w:val="00F523E9"/>
    <w:rsid w:val="00F52801"/>
    <w:rsid w:val="00F5284C"/>
    <w:rsid w:val="00F53ACA"/>
    <w:rsid w:val="00F53FAD"/>
    <w:rsid w:val="00F5414B"/>
    <w:rsid w:val="00F543B0"/>
    <w:rsid w:val="00F5507A"/>
    <w:rsid w:val="00F552D2"/>
    <w:rsid w:val="00F55EEB"/>
    <w:rsid w:val="00F56027"/>
    <w:rsid w:val="00F566CD"/>
    <w:rsid w:val="00F56D69"/>
    <w:rsid w:val="00F56D79"/>
    <w:rsid w:val="00F57412"/>
    <w:rsid w:val="00F60D13"/>
    <w:rsid w:val="00F60D27"/>
    <w:rsid w:val="00F61D20"/>
    <w:rsid w:val="00F62524"/>
    <w:rsid w:val="00F62E63"/>
    <w:rsid w:val="00F62EB6"/>
    <w:rsid w:val="00F64453"/>
    <w:rsid w:val="00F6463A"/>
    <w:rsid w:val="00F648B5"/>
    <w:rsid w:val="00F7015C"/>
    <w:rsid w:val="00F705F8"/>
    <w:rsid w:val="00F70738"/>
    <w:rsid w:val="00F70A1F"/>
    <w:rsid w:val="00F71264"/>
    <w:rsid w:val="00F71327"/>
    <w:rsid w:val="00F719E1"/>
    <w:rsid w:val="00F71D4F"/>
    <w:rsid w:val="00F720FC"/>
    <w:rsid w:val="00F7324C"/>
    <w:rsid w:val="00F73CBC"/>
    <w:rsid w:val="00F742FA"/>
    <w:rsid w:val="00F7472A"/>
    <w:rsid w:val="00F751CC"/>
    <w:rsid w:val="00F753E8"/>
    <w:rsid w:val="00F766CD"/>
    <w:rsid w:val="00F7695D"/>
    <w:rsid w:val="00F76C3F"/>
    <w:rsid w:val="00F76CED"/>
    <w:rsid w:val="00F77209"/>
    <w:rsid w:val="00F80798"/>
    <w:rsid w:val="00F807D1"/>
    <w:rsid w:val="00F8097B"/>
    <w:rsid w:val="00F80E98"/>
    <w:rsid w:val="00F81148"/>
    <w:rsid w:val="00F819A1"/>
    <w:rsid w:val="00F82904"/>
    <w:rsid w:val="00F83B5B"/>
    <w:rsid w:val="00F8498A"/>
    <w:rsid w:val="00F84A67"/>
    <w:rsid w:val="00F85C88"/>
    <w:rsid w:val="00F87050"/>
    <w:rsid w:val="00F87A5B"/>
    <w:rsid w:val="00F9106F"/>
    <w:rsid w:val="00F91388"/>
    <w:rsid w:val="00F92D0D"/>
    <w:rsid w:val="00F92F48"/>
    <w:rsid w:val="00F9316D"/>
    <w:rsid w:val="00F9353A"/>
    <w:rsid w:val="00F9446B"/>
    <w:rsid w:val="00F94B6F"/>
    <w:rsid w:val="00F95747"/>
    <w:rsid w:val="00F95BAD"/>
    <w:rsid w:val="00F96063"/>
    <w:rsid w:val="00F9638D"/>
    <w:rsid w:val="00F97F2F"/>
    <w:rsid w:val="00FA02B5"/>
    <w:rsid w:val="00FA05A9"/>
    <w:rsid w:val="00FA1E45"/>
    <w:rsid w:val="00FA2050"/>
    <w:rsid w:val="00FA20C1"/>
    <w:rsid w:val="00FA20E7"/>
    <w:rsid w:val="00FA22D4"/>
    <w:rsid w:val="00FA2508"/>
    <w:rsid w:val="00FA38FB"/>
    <w:rsid w:val="00FA44AA"/>
    <w:rsid w:val="00FA54E6"/>
    <w:rsid w:val="00FA60D5"/>
    <w:rsid w:val="00FA63FD"/>
    <w:rsid w:val="00FA727B"/>
    <w:rsid w:val="00FA7484"/>
    <w:rsid w:val="00FA7680"/>
    <w:rsid w:val="00FB01E0"/>
    <w:rsid w:val="00FB0828"/>
    <w:rsid w:val="00FB0A80"/>
    <w:rsid w:val="00FB15AA"/>
    <w:rsid w:val="00FB2ED3"/>
    <w:rsid w:val="00FB3405"/>
    <w:rsid w:val="00FB46ED"/>
    <w:rsid w:val="00FB48BB"/>
    <w:rsid w:val="00FB4D60"/>
    <w:rsid w:val="00FB4DFC"/>
    <w:rsid w:val="00FB4E9A"/>
    <w:rsid w:val="00FB5052"/>
    <w:rsid w:val="00FB5AE0"/>
    <w:rsid w:val="00FB5B27"/>
    <w:rsid w:val="00FB642B"/>
    <w:rsid w:val="00FB675E"/>
    <w:rsid w:val="00FB6CC6"/>
    <w:rsid w:val="00FC11FC"/>
    <w:rsid w:val="00FC1353"/>
    <w:rsid w:val="00FC1362"/>
    <w:rsid w:val="00FC2752"/>
    <w:rsid w:val="00FC2B73"/>
    <w:rsid w:val="00FC3493"/>
    <w:rsid w:val="00FC3EBB"/>
    <w:rsid w:val="00FC47EE"/>
    <w:rsid w:val="00FC5174"/>
    <w:rsid w:val="00FC52FB"/>
    <w:rsid w:val="00FC5C9F"/>
    <w:rsid w:val="00FC5E75"/>
    <w:rsid w:val="00FC649C"/>
    <w:rsid w:val="00FC6A1A"/>
    <w:rsid w:val="00FC70B7"/>
    <w:rsid w:val="00FC7441"/>
    <w:rsid w:val="00FD0519"/>
    <w:rsid w:val="00FD09F7"/>
    <w:rsid w:val="00FD0BAE"/>
    <w:rsid w:val="00FD1409"/>
    <w:rsid w:val="00FD2254"/>
    <w:rsid w:val="00FD235A"/>
    <w:rsid w:val="00FD2422"/>
    <w:rsid w:val="00FD508C"/>
    <w:rsid w:val="00FD53EB"/>
    <w:rsid w:val="00FD5A29"/>
    <w:rsid w:val="00FD6CDB"/>
    <w:rsid w:val="00FD7448"/>
    <w:rsid w:val="00FE0019"/>
    <w:rsid w:val="00FE021C"/>
    <w:rsid w:val="00FE06A1"/>
    <w:rsid w:val="00FE092D"/>
    <w:rsid w:val="00FE0951"/>
    <w:rsid w:val="00FE09FD"/>
    <w:rsid w:val="00FE0A96"/>
    <w:rsid w:val="00FE1506"/>
    <w:rsid w:val="00FE1F13"/>
    <w:rsid w:val="00FE269E"/>
    <w:rsid w:val="00FE2728"/>
    <w:rsid w:val="00FE4796"/>
    <w:rsid w:val="00FE48AF"/>
    <w:rsid w:val="00FE50AF"/>
    <w:rsid w:val="00FE5144"/>
    <w:rsid w:val="00FE610F"/>
    <w:rsid w:val="00FE66FB"/>
    <w:rsid w:val="00FE67B5"/>
    <w:rsid w:val="00FE73CD"/>
    <w:rsid w:val="00FE756C"/>
    <w:rsid w:val="00FE7D9F"/>
    <w:rsid w:val="00FF0534"/>
    <w:rsid w:val="00FF0B4F"/>
    <w:rsid w:val="00FF0E1F"/>
    <w:rsid w:val="00FF14C8"/>
    <w:rsid w:val="00FF1A9C"/>
    <w:rsid w:val="00FF1B22"/>
    <w:rsid w:val="00FF1D5A"/>
    <w:rsid w:val="00FF20DE"/>
    <w:rsid w:val="00FF34B5"/>
    <w:rsid w:val="00FF53E7"/>
    <w:rsid w:val="00FF5B8F"/>
    <w:rsid w:val="00FF67CA"/>
    <w:rsid w:val="00FF6CC5"/>
    <w:rsid w:val="00FF6EB7"/>
    <w:rsid w:val="00FF70FB"/>
    <w:rsid w:val="00FF7A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annotation reference" w:qFormat="1"/>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C83"/>
    <w:pPr>
      <w:spacing w:before="240" w:line="276" w:lineRule="auto"/>
    </w:pPr>
    <w:rPr>
      <w:rFonts w:asciiTheme="minorHAnsi" w:hAnsiTheme="minorHAnsi"/>
      <w:sz w:val="24"/>
      <w:szCs w:val="24"/>
      <w:lang w:eastAsia="en-US"/>
    </w:rPr>
  </w:style>
  <w:style w:type="paragraph" w:styleId="Heading1">
    <w:name w:val="heading 1"/>
    <w:next w:val="BodyText"/>
    <w:link w:val="Heading1Char"/>
    <w:qFormat/>
    <w:rsid w:val="006068D9"/>
    <w:pPr>
      <w:pageBreakBefore/>
      <w:numPr>
        <w:numId w:val="10"/>
      </w:numPr>
      <w:spacing w:before="120" w:after="480"/>
      <w:ind w:left="0"/>
      <w:jc w:val="center"/>
      <w:outlineLvl w:val="0"/>
    </w:pPr>
    <w:rPr>
      <w:rFonts w:eastAsia="Times New Roman"/>
      <w:b/>
      <w:color w:val="4F81BD"/>
      <w:sz w:val="36"/>
      <w:szCs w:val="32"/>
      <w:lang w:eastAsia="en-US"/>
    </w:rPr>
  </w:style>
  <w:style w:type="paragraph" w:styleId="Heading2">
    <w:name w:val="heading 2"/>
    <w:next w:val="BodyText"/>
    <w:link w:val="Heading2Char"/>
    <w:unhideWhenUsed/>
    <w:qFormat/>
    <w:rsid w:val="00A66468"/>
    <w:pPr>
      <w:keepNext/>
      <w:numPr>
        <w:ilvl w:val="1"/>
        <w:numId w:val="10"/>
      </w:numPr>
      <w:spacing w:before="200" w:after="240"/>
      <w:jc w:val="both"/>
      <w:outlineLvl w:val="1"/>
    </w:pPr>
    <w:rPr>
      <w:rFonts w:asciiTheme="minorHAnsi" w:eastAsia="Times New Roman" w:hAnsiTheme="minorHAnsi"/>
      <w:b/>
      <w:color w:val="4F81BD"/>
      <w:sz w:val="32"/>
      <w:szCs w:val="26"/>
      <w:lang w:eastAsia="en-US"/>
    </w:rPr>
  </w:style>
  <w:style w:type="paragraph" w:styleId="Heading3">
    <w:name w:val="heading 3"/>
    <w:next w:val="BodyText"/>
    <w:link w:val="Heading3Char"/>
    <w:unhideWhenUsed/>
    <w:qFormat/>
    <w:rsid w:val="00A66468"/>
    <w:pPr>
      <w:keepNext/>
      <w:numPr>
        <w:ilvl w:val="2"/>
        <w:numId w:val="10"/>
      </w:numPr>
      <w:tabs>
        <w:tab w:val="left" w:pos="0"/>
      </w:tabs>
      <w:spacing w:before="200"/>
      <w:jc w:val="both"/>
      <w:outlineLvl w:val="2"/>
    </w:pPr>
    <w:rPr>
      <w:rFonts w:asciiTheme="minorHAnsi" w:eastAsia="Times New Roman" w:hAnsiTheme="minorHAnsi"/>
      <w:b/>
      <w:i/>
      <w:sz w:val="30"/>
      <w:szCs w:val="24"/>
      <w:lang w:eastAsia="en-US"/>
    </w:rPr>
  </w:style>
  <w:style w:type="paragraph" w:styleId="Heading4">
    <w:name w:val="heading 4"/>
    <w:next w:val="BodyText"/>
    <w:link w:val="Heading4Char"/>
    <w:unhideWhenUsed/>
    <w:qFormat/>
    <w:rsid w:val="00B607A5"/>
    <w:pPr>
      <w:keepNext/>
      <w:keepLines/>
      <w:numPr>
        <w:ilvl w:val="3"/>
        <w:numId w:val="10"/>
      </w:numPr>
      <w:spacing w:before="240" w:line="276" w:lineRule="auto"/>
      <w:jc w:val="both"/>
      <w:outlineLvl w:val="3"/>
    </w:pPr>
    <w:rPr>
      <w:rFonts w:asciiTheme="minorHAnsi" w:eastAsia="Times New Roman" w:hAnsiTheme="minorHAnsi"/>
      <w:b/>
      <w:iCs/>
      <w:sz w:val="24"/>
      <w:szCs w:val="24"/>
      <w:lang w:eastAsia="en-US"/>
    </w:rPr>
  </w:style>
  <w:style w:type="paragraph" w:styleId="Heading5">
    <w:name w:val="heading 5"/>
    <w:next w:val="BodyText"/>
    <w:link w:val="Heading5Char"/>
    <w:unhideWhenUsed/>
    <w:qFormat/>
    <w:rsid w:val="00B607A5"/>
    <w:pPr>
      <w:keepNext/>
      <w:numPr>
        <w:ilvl w:val="4"/>
        <w:numId w:val="10"/>
      </w:numPr>
      <w:spacing w:before="240" w:line="276" w:lineRule="auto"/>
      <w:jc w:val="both"/>
      <w:outlineLvl w:val="4"/>
    </w:pPr>
    <w:rPr>
      <w:rFonts w:asciiTheme="minorHAnsi" w:eastAsia="Times New Roman" w:hAnsiTheme="minorHAnsi"/>
      <w:sz w:val="24"/>
      <w:szCs w:val="24"/>
      <w:u w:val="single"/>
      <w:lang w:eastAsia="en-US"/>
    </w:rPr>
  </w:style>
  <w:style w:type="paragraph" w:styleId="Heading6">
    <w:name w:val="heading 6"/>
    <w:next w:val="BodyText"/>
    <w:link w:val="Heading6Char"/>
    <w:unhideWhenUsed/>
    <w:qFormat/>
    <w:rsid w:val="00B607A5"/>
    <w:pPr>
      <w:keepNext/>
      <w:keepLines/>
      <w:numPr>
        <w:ilvl w:val="5"/>
        <w:numId w:val="10"/>
      </w:numPr>
      <w:spacing w:before="240"/>
      <w:outlineLvl w:val="5"/>
    </w:pPr>
    <w:rPr>
      <w:rFonts w:asciiTheme="minorHAnsi" w:eastAsia="Times New Roman" w:hAnsiTheme="minorHAnsi"/>
      <w:i/>
      <w:sz w:val="24"/>
      <w:szCs w:val="24"/>
      <w:lang w:eastAsia="en-US"/>
    </w:rPr>
  </w:style>
  <w:style w:type="paragraph" w:styleId="Heading7">
    <w:name w:val="heading 7"/>
    <w:aliases w:val="App Heading 1"/>
    <w:next w:val="BodyText"/>
    <w:link w:val="Heading7Char"/>
    <w:unhideWhenUsed/>
    <w:qFormat/>
    <w:rsid w:val="006068D9"/>
    <w:pPr>
      <w:pageBreakBefore/>
      <w:numPr>
        <w:ilvl w:val="6"/>
        <w:numId w:val="10"/>
      </w:numPr>
      <w:tabs>
        <w:tab w:val="left" w:pos="2268"/>
      </w:tabs>
      <w:spacing w:after="360" w:line="276" w:lineRule="auto"/>
      <w:ind w:left="0"/>
      <w:jc w:val="both"/>
      <w:outlineLvl w:val="6"/>
    </w:pPr>
    <w:rPr>
      <w:rFonts w:eastAsia="Times New Roman"/>
      <w:b/>
      <w:iCs/>
      <w:color w:val="4F81BD"/>
      <w:sz w:val="36"/>
      <w:szCs w:val="24"/>
      <w:lang w:eastAsia="en-US"/>
    </w:rPr>
  </w:style>
  <w:style w:type="paragraph" w:styleId="Heading8">
    <w:name w:val="heading 8"/>
    <w:aliases w:val="App Heading 2"/>
    <w:next w:val="BodyText"/>
    <w:link w:val="Heading8Char"/>
    <w:unhideWhenUsed/>
    <w:qFormat/>
    <w:rsid w:val="006068D9"/>
    <w:pPr>
      <w:keepNext/>
      <w:numPr>
        <w:ilvl w:val="7"/>
        <w:numId w:val="10"/>
      </w:numPr>
      <w:tabs>
        <w:tab w:val="left" w:pos="851"/>
      </w:tabs>
      <w:spacing w:before="360" w:line="276" w:lineRule="auto"/>
      <w:jc w:val="both"/>
      <w:outlineLvl w:val="7"/>
    </w:pPr>
    <w:rPr>
      <w:rFonts w:eastAsia="Times New Roman"/>
      <w:color w:val="4F81BD"/>
      <w:sz w:val="32"/>
      <w:szCs w:val="21"/>
      <w:lang w:eastAsia="en-US"/>
    </w:rPr>
  </w:style>
  <w:style w:type="paragraph" w:styleId="Heading9">
    <w:name w:val="heading 9"/>
    <w:aliases w:val="App Heading 3"/>
    <w:next w:val="BodyText"/>
    <w:link w:val="Heading9Char"/>
    <w:unhideWhenUsed/>
    <w:qFormat/>
    <w:rsid w:val="006068D9"/>
    <w:pPr>
      <w:keepNext/>
      <w:numPr>
        <w:ilvl w:val="8"/>
        <w:numId w:val="10"/>
      </w:numPr>
      <w:tabs>
        <w:tab w:val="left" w:pos="851"/>
      </w:tabs>
      <w:spacing w:before="360" w:line="276" w:lineRule="auto"/>
      <w:jc w:val="both"/>
      <w:outlineLvl w:val="8"/>
    </w:pPr>
    <w:rPr>
      <w:rFonts w:eastAsia="Times New Roman"/>
      <w:b/>
      <w:i/>
      <w:iCs/>
      <w:color w:val="272727"/>
      <w:sz w:val="28"/>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52C9E"/>
    <w:rPr>
      <w:rFonts w:eastAsia="Times New Roman"/>
      <w:b/>
      <w:color w:val="4F81BD"/>
      <w:sz w:val="36"/>
      <w:szCs w:val="32"/>
      <w:lang w:eastAsia="en-US"/>
    </w:rPr>
  </w:style>
  <w:style w:type="paragraph" w:customStyle="1" w:styleId="ToR">
    <w:name w:val="ToR"/>
    <w:next w:val="BodyText"/>
    <w:qFormat/>
    <w:rsid w:val="003F03FF"/>
    <w:pPr>
      <w:tabs>
        <w:tab w:val="left" w:pos="794"/>
      </w:tabs>
      <w:spacing w:before="240" w:line="276" w:lineRule="auto"/>
      <w:jc w:val="both"/>
    </w:pPr>
    <w:rPr>
      <w:i/>
      <w:sz w:val="24"/>
      <w:szCs w:val="24"/>
      <w:lang w:eastAsia="en-US"/>
    </w:rPr>
  </w:style>
  <w:style w:type="paragraph" w:styleId="BodyText">
    <w:name w:val="Body Text"/>
    <w:link w:val="BodyTextChar"/>
    <w:unhideWhenUsed/>
    <w:rsid w:val="008E29BE"/>
    <w:pPr>
      <w:spacing w:before="240" w:line="276" w:lineRule="auto"/>
      <w:jc w:val="both"/>
    </w:pPr>
    <w:rPr>
      <w:sz w:val="24"/>
      <w:szCs w:val="24"/>
      <w:lang w:eastAsia="en-US"/>
    </w:rPr>
  </w:style>
  <w:style w:type="character" w:customStyle="1" w:styleId="BodyTextChar">
    <w:name w:val="Body Text Char"/>
    <w:basedOn w:val="DefaultParagraphFont"/>
    <w:link w:val="BodyText"/>
    <w:rsid w:val="008E29BE"/>
  </w:style>
  <w:style w:type="paragraph" w:customStyle="1" w:styleId="ToRsinboxwithhangingindent">
    <w:name w:val="ToRs in box with hanging indent"/>
    <w:qFormat/>
    <w:rsid w:val="005B5D2A"/>
    <w:pPr>
      <w:keepNext/>
      <w:pBdr>
        <w:top w:val="single" w:sz="4" w:space="8" w:color="auto"/>
        <w:left w:val="single" w:sz="4" w:space="4" w:color="auto"/>
        <w:bottom w:val="single" w:sz="4" w:space="8" w:color="auto"/>
        <w:right w:val="single" w:sz="4" w:space="4" w:color="auto"/>
      </w:pBdr>
      <w:shd w:val="clear" w:color="auto" w:fill="F2F2F2"/>
      <w:tabs>
        <w:tab w:val="left" w:pos="1304"/>
      </w:tabs>
      <w:spacing w:before="120" w:line="276" w:lineRule="auto"/>
      <w:ind w:left="1304" w:hanging="1304"/>
      <w:jc w:val="both"/>
    </w:pPr>
    <w:rPr>
      <w:sz w:val="24"/>
      <w:szCs w:val="24"/>
      <w:lang w:eastAsia="en-US"/>
    </w:rPr>
  </w:style>
  <w:style w:type="character" w:customStyle="1" w:styleId="Heading2Char">
    <w:name w:val="Heading 2 Char"/>
    <w:link w:val="Heading2"/>
    <w:rsid w:val="00A66468"/>
    <w:rPr>
      <w:rFonts w:asciiTheme="minorHAnsi" w:eastAsia="Times New Roman" w:hAnsiTheme="minorHAnsi"/>
      <w:b/>
      <w:color w:val="4F81BD"/>
      <w:sz w:val="32"/>
      <w:szCs w:val="26"/>
      <w:lang w:eastAsia="en-US"/>
    </w:rPr>
  </w:style>
  <w:style w:type="paragraph" w:customStyle="1" w:styleId="ToRinbox">
    <w:name w:val="ToR in box"/>
    <w:basedOn w:val="ToRsinboxwithhangingindent"/>
    <w:qFormat/>
    <w:rsid w:val="00BB390F"/>
    <w:pPr>
      <w:pBdr>
        <w:top w:val="single" w:sz="4" w:space="6" w:color="auto"/>
        <w:bottom w:val="single" w:sz="4" w:space="6" w:color="auto"/>
      </w:pBdr>
      <w:tabs>
        <w:tab w:val="clear" w:pos="1304"/>
      </w:tabs>
      <w:ind w:left="0" w:firstLine="0"/>
    </w:pPr>
  </w:style>
  <w:style w:type="character" w:customStyle="1" w:styleId="Heading3Char">
    <w:name w:val="Heading 3 Char"/>
    <w:link w:val="Heading3"/>
    <w:rsid w:val="00A66468"/>
    <w:rPr>
      <w:rFonts w:asciiTheme="minorHAnsi" w:eastAsia="Times New Roman" w:hAnsiTheme="minorHAnsi"/>
      <w:b/>
      <w:i/>
      <w:sz w:val="30"/>
      <w:szCs w:val="24"/>
      <w:lang w:eastAsia="en-US"/>
    </w:rPr>
  </w:style>
  <w:style w:type="paragraph" w:customStyle="1" w:styleId="Bullettext">
    <w:name w:val="Bullet text"/>
    <w:link w:val="BullettextChar"/>
    <w:qFormat/>
    <w:rsid w:val="0086175F"/>
    <w:pPr>
      <w:numPr>
        <w:numId w:val="1"/>
      </w:numPr>
      <w:spacing w:before="120" w:line="276" w:lineRule="auto"/>
      <w:contextualSpacing/>
    </w:pPr>
    <w:rPr>
      <w:rFonts w:asciiTheme="minorHAnsi" w:hAnsiTheme="minorHAnsi"/>
      <w:sz w:val="24"/>
      <w:szCs w:val="24"/>
      <w:lang w:eastAsia="en-US"/>
    </w:rPr>
  </w:style>
  <w:style w:type="paragraph" w:customStyle="1" w:styleId="Bullettextsecondlevel">
    <w:name w:val="Bullet text second level"/>
    <w:qFormat/>
    <w:rsid w:val="00907F4C"/>
    <w:pPr>
      <w:numPr>
        <w:numId w:val="2"/>
      </w:numPr>
      <w:spacing w:line="276" w:lineRule="auto"/>
      <w:ind w:left="851" w:hanging="284"/>
      <w:jc w:val="both"/>
    </w:pPr>
    <w:rPr>
      <w:sz w:val="24"/>
      <w:szCs w:val="24"/>
      <w:lang w:eastAsia="en-US"/>
    </w:rPr>
  </w:style>
  <w:style w:type="character" w:customStyle="1" w:styleId="Heading4Char">
    <w:name w:val="Heading 4 Char"/>
    <w:link w:val="Heading4"/>
    <w:rsid w:val="00B607A5"/>
    <w:rPr>
      <w:rFonts w:asciiTheme="minorHAnsi" w:eastAsia="Times New Roman" w:hAnsiTheme="minorHAnsi"/>
      <w:b/>
      <w:iCs/>
      <w:sz w:val="24"/>
      <w:szCs w:val="24"/>
      <w:lang w:eastAsia="en-US"/>
    </w:rPr>
  </w:style>
  <w:style w:type="character" w:customStyle="1" w:styleId="Heading5Char">
    <w:name w:val="Heading 5 Char"/>
    <w:link w:val="Heading5"/>
    <w:rsid w:val="00B607A5"/>
    <w:rPr>
      <w:rFonts w:asciiTheme="minorHAnsi" w:eastAsia="Times New Roman" w:hAnsiTheme="minorHAnsi"/>
      <w:sz w:val="24"/>
      <w:szCs w:val="24"/>
      <w:u w:val="single"/>
      <w:lang w:eastAsia="en-US"/>
    </w:rPr>
  </w:style>
  <w:style w:type="paragraph" w:customStyle="1" w:styleId="BodyTextnospacebefore">
    <w:name w:val="Body Text – no space before"/>
    <w:next w:val="BodyText"/>
    <w:qFormat/>
    <w:rsid w:val="00A66468"/>
    <w:pPr>
      <w:spacing w:after="200" w:line="276" w:lineRule="auto"/>
    </w:pPr>
    <w:rPr>
      <w:rFonts w:asciiTheme="minorHAnsi" w:hAnsiTheme="minorHAnsi"/>
      <w:sz w:val="24"/>
      <w:szCs w:val="24"/>
      <w:lang w:eastAsia="en-US"/>
    </w:rPr>
  </w:style>
  <w:style w:type="paragraph" w:styleId="TableofAuthorities">
    <w:name w:val="table of authorities"/>
    <w:basedOn w:val="Normal"/>
    <w:next w:val="Normal"/>
    <w:uiPriority w:val="99"/>
    <w:semiHidden/>
    <w:unhideWhenUsed/>
    <w:rsid w:val="00834197"/>
    <w:pPr>
      <w:ind w:left="240" w:hanging="240"/>
    </w:pPr>
  </w:style>
  <w:style w:type="paragraph" w:customStyle="1" w:styleId="05Tabletext">
    <w:name w:val="05 Table text"/>
    <w:next w:val="06Tabletextspacebefore"/>
    <w:qFormat/>
    <w:rsid w:val="005940CE"/>
    <w:pPr>
      <w:spacing w:before="20"/>
      <w:ind w:left="57" w:right="57"/>
    </w:pPr>
    <w:rPr>
      <w:rFonts w:ascii="Arial Narrow" w:hAnsi="Arial Narrow"/>
      <w:sz w:val="18"/>
      <w:szCs w:val="24"/>
      <w:lang w:eastAsia="en-US"/>
    </w:rPr>
  </w:style>
  <w:style w:type="table" w:styleId="TableGrid">
    <w:name w:val="Table Grid"/>
    <w:basedOn w:val="TableNormal"/>
    <w:rsid w:val="00E35D60"/>
    <w:pPr>
      <w:spacing w:before="20" w:after="20"/>
    </w:pPr>
    <w:rPr>
      <w:rFonts w:ascii="Arial Narrow" w:hAnsi="Arial Narrow"/>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shd w:val="clear" w:color="auto" w:fill="auto"/>
    </w:tcPr>
    <w:tblStylePr w:type="firstRow">
      <w:tblPr/>
      <w:trPr>
        <w:tblHeader/>
      </w:trPr>
      <w:tcPr>
        <w:shd w:val="clear" w:color="auto" w:fill="BFBFBF"/>
      </w:tcPr>
    </w:tblStyle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next w:val="05Tabletext"/>
    <w:link w:val="CaptionChar"/>
    <w:unhideWhenUsed/>
    <w:qFormat/>
    <w:rsid w:val="00163C75"/>
    <w:pPr>
      <w:keepNext/>
      <w:spacing w:before="240" w:after="40"/>
      <w:ind w:left="1418" w:hanging="1418"/>
      <w:jc w:val="both"/>
    </w:pPr>
    <w:rPr>
      <w:rFonts w:asciiTheme="minorHAnsi" w:hAnsiTheme="minorHAnsi"/>
      <w:b/>
      <w:iCs/>
      <w:sz w:val="24"/>
      <w:szCs w:val="18"/>
      <w:lang w:eastAsia="en-US"/>
    </w:rPr>
  </w:style>
  <w:style w:type="paragraph" w:customStyle="1" w:styleId="06Tabletextspacebefore">
    <w:name w:val="06 Table text space before"/>
    <w:qFormat/>
    <w:rsid w:val="00055F77"/>
    <w:pPr>
      <w:spacing w:before="80"/>
      <w:ind w:left="57" w:right="57"/>
    </w:pPr>
    <w:rPr>
      <w:rFonts w:ascii="Arial Narrow" w:hAnsi="Arial Narrow"/>
      <w:sz w:val="18"/>
      <w:szCs w:val="24"/>
      <w:lang w:eastAsia="en-US"/>
    </w:rPr>
  </w:style>
  <w:style w:type="paragraph" w:customStyle="1" w:styleId="10TableorFigurefootnote">
    <w:name w:val="10 Table or Figure footnote"/>
    <w:qFormat/>
    <w:rsid w:val="0063506B"/>
    <w:pPr>
      <w:keepNext/>
    </w:pPr>
    <w:rPr>
      <w:rFonts w:ascii="Arial Narrow" w:hAnsi="Arial Narrow"/>
      <w:sz w:val="16"/>
      <w:szCs w:val="24"/>
      <w:lang w:eastAsia="en-US"/>
    </w:rPr>
  </w:style>
  <w:style w:type="paragraph" w:customStyle="1" w:styleId="11TableorFigurefootnotenostick">
    <w:name w:val="11 Table or Figure footnote – no stick"/>
    <w:next w:val="BodyText"/>
    <w:qFormat/>
    <w:rsid w:val="0099024A"/>
    <w:pPr>
      <w:spacing w:after="360"/>
    </w:pPr>
    <w:rPr>
      <w:rFonts w:ascii="Arial Narrow" w:hAnsi="Arial Narrow"/>
      <w:sz w:val="16"/>
      <w:szCs w:val="24"/>
      <w:lang w:eastAsia="en-US"/>
    </w:rPr>
  </w:style>
  <w:style w:type="paragraph" w:customStyle="1" w:styleId="01TableHEADINGleftaligned">
    <w:name w:val="01 Table HEADING left aligned"/>
    <w:basedOn w:val="BodyText"/>
    <w:qFormat/>
    <w:rsid w:val="003D0211"/>
    <w:pPr>
      <w:keepNext/>
      <w:spacing w:before="60" w:line="240" w:lineRule="auto"/>
      <w:ind w:left="57" w:right="57"/>
      <w:jc w:val="left"/>
    </w:pPr>
    <w:rPr>
      <w:rFonts w:ascii="Arial Narrow" w:hAnsi="Arial Narrow"/>
      <w:b/>
      <w:sz w:val="18"/>
    </w:rPr>
  </w:style>
  <w:style w:type="paragraph" w:customStyle="1" w:styleId="02TableHEADINGcentred">
    <w:name w:val="02 Table HEADING centred"/>
    <w:qFormat/>
    <w:rsid w:val="009800DE"/>
    <w:pPr>
      <w:keepNext/>
      <w:spacing w:before="60"/>
      <w:ind w:left="57" w:right="57"/>
      <w:jc w:val="center"/>
    </w:pPr>
    <w:rPr>
      <w:rFonts w:ascii="Arial Narrow" w:hAnsi="Arial Narrow"/>
      <w:b/>
      <w:sz w:val="18"/>
      <w:szCs w:val="24"/>
      <w:lang w:eastAsia="en-US"/>
    </w:rPr>
  </w:style>
  <w:style w:type="paragraph" w:customStyle="1" w:styleId="09Tablerightaligned">
    <w:name w:val="09 Table right aligned ($)"/>
    <w:qFormat/>
    <w:rsid w:val="00E01A78"/>
    <w:pPr>
      <w:spacing w:before="20"/>
      <w:ind w:left="57" w:right="170"/>
      <w:jc w:val="right"/>
    </w:pPr>
    <w:rPr>
      <w:rFonts w:ascii="Arial Narrow" w:hAnsi="Arial Narrow"/>
      <w:sz w:val="18"/>
      <w:szCs w:val="24"/>
      <w:lang w:eastAsia="en-US"/>
    </w:rPr>
  </w:style>
  <w:style w:type="paragraph" w:customStyle="1" w:styleId="07Tablebullet">
    <w:name w:val="07 Table bullet"/>
    <w:qFormat/>
    <w:rsid w:val="0029750E"/>
    <w:pPr>
      <w:numPr>
        <w:numId w:val="3"/>
      </w:numPr>
      <w:ind w:left="227" w:right="57" w:hanging="170"/>
    </w:pPr>
    <w:rPr>
      <w:rFonts w:ascii="Arial Narrow" w:hAnsi="Arial Narrow"/>
      <w:sz w:val="18"/>
      <w:szCs w:val="24"/>
      <w:lang w:eastAsia="en-US"/>
    </w:rPr>
  </w:style>
  <w:style w:type="numbering" w:customStyle="1" w:styleId="Headings">
    <w:name w:val="Headings"/>
    <w:uiPriority w:val="99"/>
    <w:rsid w:val="006068D9"/>
    <w:pPr>
      <w:numPr>
        <w:numId w:val="11"/>
      </w:numPr>
    </w:pPr>
  </w:style>
  <w:style w:type="paragraph" w:styleId="TOC2">
    <w:name w:val="toc 2"/>
    <w:basedOn w:val="Normal"/>
    <w:next w:val="Normal"/>
    <w:autoRedefine/>
    <w:uiPriority w:val="39"/>
    <w:unhideWhenUsed/>
    <w:qFormat/>
    <w:rsid w:val="00515169"/>
    <w:pPr>
      <w:tabs>
        <w:tab w:val="left" w:pos="1134"/>
        <w:tab w:val="right" w:leader="dot" w:pos="9628"/>
      </w:tabs>
      <w:spacing w:before="60"/>
      <w:ind w:left="1134" w:right="567" w:hanging="567"/>
    </w:pPr>
  </w:style>
  <w:style w:type="paragraph" w:styleId="TOC1">
    <w:name w:val="toc 1"/>
    <w:autoRedefine/>
    <w:uiPriority w:val="39"/>
    <w:unhideWhenUsed/>
    <w:qFormat/>
    <w:rsid w:val="00BA0380"/>
    <w:pPr>
      <w:tabs>
        <w:tab w:val="right" w:leader="dot" w:pos="9628"/>
      </w:tabs>
      <w:spacing w:before="120" w:line="276" w:lineRule="auto"/>
      <w:ind w:left="1134" w:right="567" w:hanging="1134"/>
    </w:pPr>
    <w:rPr>
      <w:noProof/>
      <w:sz w:val="24"/>
      <w:szCs w:val="24"/>
      <w:lang w:eastAsia="en-US"/>
    </w:rPr>
  </w:style>
  <w:style w:type="paragraph" w:styleId="TOC3">
    <w:name w:val="toc 3"/>
    <w:basedOn w:val="Normal"/>
    <w:next w:val="Normal"/>
    <w:autoRedefine/>
    <w:uiPriority w:val="39"/>
    <w:unhideWhenUsed/>
    <w:qFormat/>
    <w:rsid w:val="00150D82"/>
    <w:pPr>
      <w:tabs>
        <w:tab w:val="left" w:pos="1320"/>
        <w:tab w:val="right" w:leader="dot" w:pos="9628"/>
      </w:tabs>
      <w:spacing w:before="0"/>
      <w:ind w:left="1701" w:right="567" w:hanging="567"/>
    </w:pPr>
  </w:style>
  <w:style w:type="character" w:styleId="Hyperlink">
    <w:name w:val="Hyperlink"/>
    <w:uiPriority w:val="99"/>
    <w:unhideWhenUsed/>
    <w:rsid w:val="00663CBC"/>
    <w:rPr>
      <w:color w:val="0000FF"/>
      <w:u w:val="single"/>
    </w:rPr>
  </w:style>
  <w:style w:type="paragraph" w:styleId="TOCHeading">
    <w:name w:val="TOC Heading"/>
    <w:next w:val="BodyText"/>
    <w:uiPriority w:val="39"/>
    <w:unhideWhenUsed/>
    <w:qFormat/>
    <w:rsid w:val="001C5235"/>
    <w:pPr>
      <w:pageBreakBefore/>
      <w:spacing w:before="360" w:after="360" w:line="276" w:lineRule="auto"/>
      <w:jc w:val="center"/>
    </w:pPr>
    <w:rPr>
      <w:rFonts w:eastAsia="Times New Roman"/>
      <w:b/>
      <w:color w:val="4F81BD"/>
      <w:sz w:val="40"/>
      <w:szCs w:val="32"/>
      <w:lang w:eastAsia="en-US"/>
    </w:rPr>
  </w:style>
  <w:style w:type="character" w:styleId="CommentReference">
    <w:name w:val="annotation reference"/>
    <w:aliases w:val="Table Title"/>
    <w:uiPriority w:val="99"/>
    <w:unhideWhenUsed/>
    <w:qFormat/>
    <w:rsid w:val="007C6357"/>
    <w:rPr>
      <w:sz w:val="16"/>
      <w:szCs w:val="16"/>
    </w:rPr>
  </w:style>
  <w:style w:type="paragraph" w:styleId="CommentText">
    <w:name w:val="annotation text"/>
    <w:basedOn w:val="Normal"/>
    <w:link w:val="CommentTextChar"/>
    <w:uiPriority w:val="99"/>
    <w:unhideWhenUsed/>
    <w:rsid w:val="007C6357"/>
    <w:pPr>
      <w:spacing w:line="240" w:lineRule="auto"/>
    </w:pPr>
    <w:rPr>
      <w:sz w:val="20"/>
      <w:szCs w:val="20"/>
    </w:rPr>
  </w:style>
  <w:style w:type="character" w:customStyle="1" w:styleId="CommentTextChar">
    <w:name w:val="Comment Text Char"/>
    <w:link w:val="CommentText"/>
    <w:uiPriority w:val="99"/>
    <w:rsid w:val="007C6357"/>
    <w:rPr>
      <w:sz w:val="20"/>
      <w:szCs w:val="20"/>
    </w:rPr>
  </w:style>
  <w:style w:type="paragraph" w:styleId="CommentSubject">
    <w:name w:val="annotation subject"/>
    <w:basedOn w:val="CommentText"/>
    <w:next w:val="CommentText"/>
    <w:link w:val="CommentSubjectChar"/>
    <w:unhideWhenUsed/>
    <w:rsid w:val="007C6357"/>
    <w:rPr>
      <w:b/>
      <w:bCs/>
    </w:rPr>
  </w:style>
  <w:style w:type="character" w:customStyle="1" w:styleId="CommentSubjectChar">
    <w:name w:val="Comment Subject Char"/>
    <w:link w:val="CommentSubject"/>
    <w:rsid w:val="007C6357"/>
    <w:rPr>
      <w:b/>
      <w:bCs/>
      <w:sz w:val="20"/>
      <w:szCs w:val="20"/>
    </w:rPr>
  </w:style>
  <w:style w:type="paragraph" w:styleId="BalloonText">
    <w:name w:val="Balloon Text"/>
    <w:basedOn w:val="Normal"/>
    <w:link w:val="BalloonTextChar"/>
    <w:unhideWhenUsed/>
    <w:rsid w:val="007C6357"/>
    <w:pPr>
      <w:spacing w:before="0" w:line="240" w:lineRule="auto"/>
    </w:pPr>
    <w:rPr>
      <w:rFonts w:ascii="Segoe UI" w:hAnsi="Segoe UI" w:cs="Segoe UI"/>
      <w:sz w:val="18"/>
      <w:szCs w:val="18"/>
    </w:rPr>
  </w:style>
  <w:style w:type="character" w:customStyle="1" w:styleId="BalloonTextChar">
    <w:name w:val="Balloon Text Char"/>
    <w:link w:val="BalloonText"/>
    <w:rsid w:val="007C6357"/>
    <w:rPr>
      <w:rFonts w:ascii="Segoe UI" w:hAnsi="Segoe UI" w:cs="Segoe UI"/>
      <w:sz w:val="18"/>
      <w:szCs w:val="18"/>
    </w:rPr>
  </w:style>
  <w:style w:type="paragraph" w:customStyle="1" w:styleId="Picturewithbox">
    <w:name w:val="Picture with box"/>
    <w:next w:val="11TableorFigurefootnotenostick"/>
    <w:qFormat/>
    <w:rsid w:val="00C076F5"/>
    <w:pPr>
      <w:pBdr>
        <w:top w:val="single" w:sz="4" w:space="4" w:color="auto"/>
        <w:left w:val="single" w:sz="4" w:space="0" w:color="auto"/>
        <w:bottom w:val="single" w:sz="4" w:space="4" w:color="auto"/>
        <w:right w:val="single" w:sz="4" w:space="0" w:color="auto"/>
      </w:pBdr>
      <w:jc w:val="center"/>
    </w:pPr>
    <w:rPr>
      <w:sz w:val="24"/>
      <w:szCs w:val="24"/>
      <w:lang w:eastAsia="en-US"/>
    </w:rPr>
  </w:style>
  <w:style w:type="paragraph" w:styleId="TableofFigures">
    <w:name w:val="table of figures"/>
    <w:aliases w:val="- TOC for list of Figures or Tables"/>
    <w:uiPriority w:val="99"/>
    <w:unhideWhenUsed/>
    <w:rsid w:val="00A54385"/>
    <w:pPr>
      <w:ind w:left="1418" w:right="567" w:hanging="1418"/>
    </w:pPr>
    <w:rPr>
      <w:sz w:val="24"/>
      <w:szCs w:val="24"/>
      <w:lang w:eastAsia="en-US"/>
    </w:rPr>
  </w:style>
  <w:style w:type="paragraph" w:customStyle="1" w:styleId="Titlepage">
    <w:name w:val="Title page"/>
    <w:qFormat/>
    <w:rsid w:val="005B5D2A"/>
    <w:pPr>
      <w:spacing w:before="120" w:line="276" w:lineRule="auto"/>
      <w:jc w:val="center"/>
    </w:pPr>
    <w:rPr>
      <w:sz w:val="40"/>
      <w:szCs w:val="40"/>
      <w:lang w:eastAsia="en-US"/>
    </w:rPr>
  </w:style>
  <w:style w:type="character" w:customStyle="1" w:styleId="Heading6Char">
    <w:name w:val="Heading 6 Char"/>
    <w:link w:val="Heading6"/>
    <w:rsid w:val="00B607A5"/>
    <w:rPr>
      <w:rFonts w:asciiTheme="minorHAnsi" w:eastAsia="Times New Roman" w:hAnsiTheme="minorHAnsi"/>
      <w:i/>
      <w:sz w:val="24"/>
      <w:szCs w:val="24"/>
      <w:lang w:eastAsia="en-US"/>
    </w:rPr>
  </w:style>
  <w:style w:type="character" w:customStyle="1" w:styleId="Heading7Char">
    <w:name w:val="Heading 7 Char"/>
    <w:aliases w:val="App Heading 1 Char"/>
    <w:link w:val="Heading7"/>
    <w:rsid w:val="00683D01"/>
    <w:rPr>
      <w:rFonts w:eastAsia="Times New Roman"/>
      <w:b/>
      <w:iCs/>
      <w:color w:val="4F81BD"/>
      <w:sz w:val="36"/>
      <w:szCs w:val="24"/>
      <w:lang w:eastAsia="en-US"/>
    </w:rPr>
  </w:style>
  <w:style w:type="character" w:customStyle="1" w:styleId="Heading8Char">
    <w:name w:val="Heading 8 Char"/>
    <w:aliases w:val="App Heading 2 Char"/>
    <w:link w:val="Heading8"/>
    <w:rsid w:val="00916C10"/>
    <w:rPr>
      <w:rFonts w:eastAsia="Times New Roman"/>
      <w:color w:val="4F81BD"/>
      <w:sz w:val="32"/>
      <w:szCs w:val="21"/>
      <w:lang w:eastAsia="en-US"/>
    </w:rPr>
  </w:style>
  <w:style w:type="character" w:customStyle="1" w:styleId="Heading9Char">
    <w:name w:val="Heading 9 Char"/>
    <w:aliases w:val="App Heading 3 Char"/>
    <w:link w:val="Heading9"/>
    <w:rsid w:val="00343EB1"/>
    <w:rPr>
      <w:rFonts w:eastAsia="Times New Roman"/>
      <w:b/>
      <w:i/>
      <w:iCs/>
      <w:color w:val="272727"/>
      <w:sz w:val="28"/>
      <w:szCs w:val="21"/>
      <w:lang w:eastAsia="en-US"/>
    </w:rPr>
  </w:style>
  <w:style w:type="paragraph" w:styleId="Footer">
    <w:name w:val="footer"/>
    <w:link w:val="FooterChar"/>
    <w:uiPriority w:val="99"/>
    <w:unhideWhenUsed/>
    <w:rsid w:val="006C71C1"/>
    <w:pPr>
      <w:pBdr>
        <w:top w:val="single" w:sz="4" w:space="1" w:color="auto"/>
      </w:pBdr>
    </w:pPr>
    <w:rPr>
      <w:szCs w:val="24"/>
      <w:lang w:eastAsia="en-US"/>
    </w:rPr>
  </w:style>
  <w:style w:type="paragraph" w:styleId="Header">
    <w:name w:val="header"/>
    <w:link w:val="HeaderChar"/>
    <w:unhideWhenUsed/>
    <w:rsid w:val="008D13CD"/>
    <w:pPr>
      <w:pBdr>
        <w:bottom w:val="single" w:sz="4" w:space="1" w:color="auto"/>
      </w:pBdr>
      <w:tabs>
        <w:tab w:val="center" w:pos="4513"/>
        <w:tab w:val="right" w:pos="9026"/>
      </w:tabs>
      <w:spacing w:after="240"/>
    </w:pPr>
    <w:rPr>
      <w:szCs w:val="24"/>
      <w:lang w:eastAsia="en-US"/>
    </w:rPr>
  </w:style>
  <w:style w:type="character" w:customStyle="1" w:styleId="HeaderChar">
    <w:name w:val="Header Char"/>
    <w:link w:val="Header"/>
    <w:rsid w:val="008D13CD"/>
    <w:rPr>
      <w:sz w:val="20"/>
    </w:rPr>
  </w:style>
  <w:style w:type="character" w:customStyle="1" w:styleId="FooterChar">
    <w:name w:val="Footer Char"/>
    <w:link w:val="Footer"/>
    <w:uiPriority w:val="99"/>
    <w:rsid w:val="006C71C1"/>
    <w:rPr>
      <w:szCs w:val="24"/>
      <w:lang w:eastAsia="en-US"/>
    </w:rPr>
  </w:style>
  <w:style w:type="character" w:customStyle="1" w:styleId="BullettextChar">
    <w:name w:val="Bullet text Char"/>
    <w:link w:val="Bullettext"/>
    <w:rsid w:val="0086175F"/>
    <w:rPr>
      <w:rFonts w:asciiTheme="minorHAnsi" w:hAnsiTheme="minorHAnsi"/>
      <w:sz w:val="24"/>
      <w:szCs w:val="24"/>
      <w:lang w:eastAsia="en-US"/>
    </w:rPr>
  </w:style>
  <w:style w:type="paragraph" w:styleId="FootnoteText">
    <w:name w:val="footnote text"/>
    <w:basedOn w:val="Normal"/>
    <w:link w:val="FootnoteTextChar"/>
    <w:unhideWhenUsed/>
    <w:rsid w:val="00CC24F3"/>
    <w:pPr>
      <w:spacing w:before="0" w:line="240" w:lineRule="auto"/>
    </w:pPr>
    <w:rPr>
      <w:rFonts w:ascii="Arial Narrow" w:hAnsi="Arial Narrow"/>
      <w:sz w:val="18"/>
      <w:szCs w:val="20"/>
    </w:rPr>
  </w:style>
  <w:style w:type="character" w:customStyle="1" w:styleId="FootnoteTextChar">
    <w:name w:val="Footnote Text Char"/>
    <w:link w:val="FootnoteText"/>
    <w:rsid w:val="00CC24F3"/>
    <w:rPr>
      <w:rFonts w:ascii="Arial Narrow" w:hAnsi="Arial Narrow"/>
      <w:sz w:val="18"/>
      <w:lang w:eastAsia="en-US"/>
    </w:rPr>
  </w:style>
  <w:style w:type="paragraph" w:styleId="TOAHeading">
    <w:name w:val="toa heading"/>
    <w:basedOn w:val="Normal"/>
    <w:next w:val="Normal"/>
    <w:uiPriority w:val="99"/>
    <w:semiHidden/>
    <w:unhideWhenUsed/>
    <w:rsid w:val="00834197"/>
    <w:rPr>
      <w:rFonts w:asciiTheme="majorHAnsi" w:eastAsiaTheme="majorEastAsia" w:hAnsiTheme="majorHAnsi" w:cstheme="majorBidi"/>
      <w:b/>
      <w:bCs/>
    </w:rPr>
  </w:style>
  <w:style w:type="paragraph" w:customStyle="1" w:styleId="TableorFigurefootnote">
    <w:name w:val="Table or Figure footnote"/>
    <w:next w:val="BodyText"/>
    <w:qFormat/>
    <w:rsid w:val="00ED6106"/>
    <w:pPr>
      <w:spacing w:after="240"/>
      <w:contextualSpacing/>
    </w:pPr>
    <w:rPr>
      <w:rFonts w:ascii="Garamond" w:hAnsi="Garamond"/>
      <w:sz w:val="16"/>
      <w:szCs w:val="22"/>
      <w:lang w:eastAsia="en-US"/>
    </w:rPr>
  </w:style>
  <w:style w:type="character" w:styleId="FootnoteReference">
    <w:name w:val="footnote reference"/>
    <w:unhideWhenUsed/>
    <w:rsid w:val="00A332EB"/>
    <w:rPr>
      <w:vertAlign w:val="superscript"/>
    </w:rPr>
  </w:style>
  <w:style w:type="paragraph" w:customStyle="1" w:styleId="08Tablebulletsecondlevel">
    <w:name w:val="08 Table bullet second level"/>
    <w:qFormat/>
    <w:rsid w:val="0029750E"/>
    <w:pPr>
      <w:numPr>
        <w:numId w:val="5"/>
      </w:numPr>
      <w:ind w:left="397" w:hanging="170"/>
    </w:pPr>
    <w:rPr>
      <w:rFonts w:ascii="Arial Narrow" w:hAnsi="Arial Narrow"/>
      <w:sz w:val="18"/>
      <w:szCs w:val="24"/>
      <w:lang w:eastAsia="en-US"/>
    </w:rPr>
  </w:style>
  <w:style w:type="paragraph" w:customStyle="1" w:styleId="03TableHEADINGrightaligned">
    <w:name w:val="03 Table HEADING right aligned ($)"/>
    <w:qFormat/>
    <w:rsid w:val="00241406"/>
    <w:pPr>
      <w:keepNext/>
      <w:spacing w:before="60"/>
      <w:ind w:left="57" w:right="170"/>
      <w:jc w:val="right"/>
    </w:pPr>
    <w:rPr>
      <w:rFonts w:ascii="Arial Narrow" w:hAnsi="Arial Narrow"/>
      <w:b/>
      <w:sz w:val="18"/>
      <w:szCs w:val="24"/>
      <w:lang w:eastAsia="en-US"/>
    </w:rPr>
  </w:style>
  <w:style w:type="paragraph" w:styleId="Revision">
    <w:name w:val="Revision"/>
    <w:hidden/>
    <w:uiPriority w:val="99"/>
    <w:semiHidden/>
    <w:rsid w:val="007660BB"/>
    <w:rPr>
      <w:sz w:val="24"/>
      <w:szCs w:val="24"/>
      <w:lang w:eastAsia="en-US"/>
    </w:rPr>
  </w:style>
  <w:style w:type="paragraph" w:styleId="EndnoteText">
    <w:name w:val="endnote text"/>
    <w:basedOn w:val="Normal"/>
    <w:link w:val="EndnoteTextChar"/>
    <w:unhideWhenUsed/>
    <w:rsid w:val="00A3778B"/>
    <w:pPr>
      <w:spacing w:before="0" w:line="240" w:lineRule="auto"/>
    </w:pPr>
    <w:rPr>
      <w:sz w:val="20"/>
      <w:szCs w:val="20"/>
    </w:rPr>
  </w:style>
  <w:style w:type="character" w:customStyle="1" w:styleId="EndnoteTextChar">
    <w:name w:val="Endnote Text Char"/>
    <w:link w:val="EndnoteText"/>
    <w:rsid w:val="00A3778B"/>
    <w:rPr>
      <w:sz w:val="20"/>
      <w:szCs w:val="20"/>
    </w:rPr>
  </w:style>
  <w:style w:type="character" w:styleId="EndnoteReference">
    <w:name w:val="endnote reference"/>
    <w:unhideWhenUsed/>
    <w:rsid w:val="00A3778B"/>
    <w:rPr>
      <w:vertAlign w:val="superscript"/>
    </w:rPr>
  </w:style>
  <w:style w:type="paragraph" w:customStyle="1" w:styleId="Default">
    <w:name w:val="Default"/>
    <w:rsid w:val="00E45401"/>
    <w:pPr>
      <w:autoSpaceDE w:val="0"/>
      <w:autoSpaceDN w:val="0"/>
      <w:adjustRightInd w:val="0"/>
    </w:pPr>
    <w:rPr>
      <w:rFonts w:ascii="Calibri" w:hAnsi="Calibri" w:cs="Calibri"/>
      <w:color w:val="000000"/>
      <w:sz w:val="24"/>
      <w:szCs w:val="24"/>
      <w:lang w:eastAsia="en-US"/>
    </w:rPr>
  </w:style>
  <w:style w:type="paragraph" w:customStyle="1" w:styleId="04Tablesubheading">
    <w:name w:val="04 Table subheading"/>
    <w:qFormat/>
    <w:rsid w:val="00055F77"/>
    <w:pPr>
      <w:keepNext/>
      <w:spacing w:before="20"/>
      <w:ind w:left="57" w:right="57"/>
    </w:pPr>
    <w:rPr>
      <w:rFonts w:ascii="Arial Narrow" w:hAnsi="Arial Narrow"/>
      <w:b/>
      <w:sz w:val="18"/>
      <w:szCs w:val="24"/>
      <w:lang w:eastAsia="en-US"/>
    </w:rPr>
  </w:style>
  <w:style w:type="paragraph" w:customStyle="1" w:styleId="FooterwithLandscape">
    <w:name w:val="Footer with # Landscape"/>
    <w:qFormat/>
    <w:rsid w:val="006C71C1"/>
    <w:pPr>
      <w:pBdr>
        <w:top w:val="single" w:sz="4" w:space="1" w:color="auto"/>
      </w:pBdr>
      <w:tabs>
        <w:tab w:val="right" w:pos="14572"/>
      </w:tabs>
      <w:spacing w:before="240"/>
    </w:pPr>
    <w:rPr>
      <w:szCs w:val="24"/>
      <w:lang w:eastAsia="en-US"/>
    </w:rPr>
  </w:style>
  <w:style w:type="paragraph" w:customStyle="1" w:styleId="FooterwithPortrait">
    <w:name w:val="Footer with # Portrait"/>
    <w:basedOn w:val="FooterwithLandscape"/>
    <w:qFormat/>
    <w:rsid w:val="006C71C1"/>
    <w:pPr>
      <w:tabs>
        <w:tab w:val="clear" w:pos="14572"/>
        <w:tab w:val="right" w:pos="9639"/>
      </w:tabs>
    </w:pPr>
  </w:style>
  <w:style w:type="character" w:styleId="FollowedHyperlink">
    <w:name w:val="FollowedHyperlink"/>
    <w:unhideWhenUsed/>
    <w:rsid w:val="00916E6D"/>
    <w:rPr>
      <w:color w:val="800080"/>
      <w:u w:val="single"/>
    </w:rPr>
  </w:style>
  <w:style w:type="paragraph" w:customStyle="1" w:styleId="08Bulletsseriesofsentences">
    <w:name w:val="08. Bullets – series of sentences"/>
    <w:link w:val="08BulletsseriesofsentencesChar"/>
    <w:qFormat/>
    <w:rsid w:val="00325A2E"/>
    <w:pPr>
      <w:numPr>
        <w:numId w:val="6"/>
      </w:numPr>
      <w:spacing w:before="120"/>
      <w:ind w:left="357" w:hanging="357"/>
    </w:pPr>
    <w:rPr>
      <w:rFonts w:ascii="Garamond" w:hAnsi="Garamond"/>
      <w:sz w:val="24"/>
      <w:szCs w:val="22"/>
      <w:lang w:eastAsia="en-US"/>
    </w:rPr>
  </w:style>
  <w:style w:type="character" w:customStyle="1" w:styleId="08BulletsseriesofsentencesChar">
    <w:name w:val="08. Bullets – series of sentences Char"/>
    <w:link w:val="08Bulletsseriesofsentences"/>
    <w:rsid w:val="00325A2E"/>
    <w:rPr>
      <w:rFonts w:ascii="Garamond" w:hAnsi="Garamond"/>
      <w:sz w:val="24"/>
      <w:szCs w:val="22"/>
      <w:lang w:eastAsia="en-US"/>
    </w:rPr>
  </w:style>
  <w:style w:type="numbering" w:customStyle="1" w:styleId="NoList1">
    <w:name w:val="No List1"/>
    <w:next w:val="NoList"/>
    <w:uiPriority w:val="99"/>
    <w:semiHidden/>
    <w:unhideWhenUsed/>
    <w:rsid w:val="00B92CC9"/>
  </w:style>
  <w:style w:type="table" w:customStyle="1" w:styleId="TableGrid1">
    <w:name w:val="Table Grid1"/>
    <w:basedOn w:val="TableNormal"/>
    <w:next w:val="TableGrid"/>
    <w:uiPriority w:val="59"/>
    <w:rsid w:val="00B92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Pr>
    <w:trPr>
      <w:cantSplit/>
    </w:trPr>
    <w:tcPr>
      <w:shd w:val="clear" w:color="auto" w:fill="auto"/>
    </w:tcPr>
    <w:tblStylePr w:type="firstRow">
      <w:rPr>
        <w:color w:val="BFBFBF"/>
      </w:rPr>
      <w:tblPr/>
      <w:trPr>
        <w:tblHeader/>
      </w:trPr>
      <w:tcPr>
        <w:shd w:val="clear" w:color="auto" w:fill="BFBFBF"/>
      </w:tcPr>
    </w:tblStylePr>
  </w:style>
  <w:style w:type="numbering" w:customStyle="1" w:styleId="Numberedlist">
    <w:name w:val="Numbered list"/>
    <w:uiPriority w:val="99"/>
    <w:rsid w:val="00B92CC9"/>
    <w:pPr>
      <w:numPr>
        <w:numId w:val="7"/>
      </w:numPr>
    </w:pPr>
  </w:style>
  <w:style w:type="paragraph" w:styleId="ListParagraph">
    <w:name w:val="List Paragraph"/>
    <w:aliases w:val="Footnote,BulletPoints,Paragraph"/>
    <w:basedOn w:val="Normal"/>
    <w:link w:val="ListParagraphChar"/>
    <w:uiPriority w:val="34"/>
    <w:qFormat/>
    <w:rsid w:val="00B92CC9"/>
    <w:pPr>
      <w:ind w:left="720"/>
      <w:contextualSpacing/>
    </w:pPr>
  </w:style>
  <w:style w:type="numbering" w:styleId="111111">
    <w:name w:val="Outline List 2"/>
    <w:basedOn w:val="NoList"/>
    <w:uiPriority w:val="99"/>
    <w:semiHidden/>
    <w:unhideWhenUsed/>
    <w:rsid w:val="00B92CC9"/>
    <w:pPr>
      <w:numPr>
        <w:numId w:val="8"/>
      </w:numPr>
    </w:pPr>
  </w:style>
  <w:style w:type="character" w:styleId="Emphasis">
    <w:name w:val="Emphasis"/>
    <w:uiPriority w:val="20"/>
    <w:qFormat/>
    <w:rsid w:val="00B92CC9"/>
    <w:rPr>
      <w:i/>
      <w:iCs/>
    </w:rPr>
  </w:style>
  <w:style w:type="numbering" w:customStyle="1" w:styleId="NoList2">
    <w:name w:val="No List2"/>
    <w:next w:val="NoList"/>
    <w:uiPriority w:val="99"/>
    <w:semiHidden/>
    <w:unhideWhenUsed/>
    <w:rsid w:val="000E79FE"/>
  </w:style>
  <w:style w:type="table" w:customStyle="1" w:styleId="TableGrid2">
    <w:name w:val="Table Grid2"/>
    <w:basedOn w:val="TableNormal"/>
    <w:next w:val="TableGrid"/>
    <w:rsid w:val="00100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shd w:val="clear" w:color="auto" w:fill="auto"/>
    </w:tcPr>
    <w:tblStylePr w:type="firstRow">
      <w:rPr>
        <w:color w:val="BFBFBF"/>
      </w:rPr>
      <w:tblPr/>
      <w:trPr>
        <w:tblHeader/>
      </w:trPr>
      <w:tcPr>
        <w:shd w:val="clear" w:color="auto" w:fill="BFBFBF"/>
      </w:tcPr>
    </w:tblStylePr>
  </w:style>
  <w:style w:type="numbering" w:customStyle="1" w:styleId="Numberedlist1">
    <w:name w:val="Numbered list1"/>
    <w:uiPriority w:val="99"/>
    <w:rsid w:val="000E79FE"/>
    <w:pPr>
      <w:numPr>
        <w:numId w:val="4"/>
      </w:numPr>
    </w:pPr>
  </w:style>
  <w:style w:type="numbering" w:customStyle="1" w:styleId="1111111">
    <w:name w:val="1 / 1.1 / 1.1.11"/>
    <w:basedOn w:val="NoList"/>
    <w:next w:val="111111"/>
    <w:uiPriority w:val="99"/>
    <w:semiHidden/>
    <w:unhideWhenUsed/>
    <w:rsid w:val="000E79FE"/>
    <w:pPr>
      <w:numPr>
        <w:numId w:val="9"/>
      </w:numPr>
    </w:pPr>
  </w:style>
  <w:style w:type="paragraph" w:styleId="TOC4">
    <w:name w:val="toc 4"/>
    <w:basedOn w:val="Normal"/>
    <w:next w:val="Normal"/>
    <w:autoRedefine/>
    <w:uiPriority w:val="39"/>
    <w:unhideWhenUsed/>
    <w:rsid w:val="005F738E"/>
    <w:pPr>
      <w:tabs>
        <w:tab w:val="left" w:pos="1588"/>
        <w:tab w:val="right" w:leader="dot" w:pos="9639"/>
      </w:tabs>
      <w:ind w:left="680" w:right="567" w:hanging="680"/>
    </w:pPr>
    <w:rPr>
      <w:rFonts w:eastAsia="Times New Roman"/>
      <w:szCs w:val="22"/>
      <w:lang w:eastAsia="en-AU"/>
    </w:rPr>
  </w:style>
  <w:style w:type="paragraph" w:styleId="TOC5">
    <w:name w:val="toc 5"/>
    <w:basedOn w:val="Normal"/>
    <w:next w:val="Normal"/>
    <w:autoRedefine/>
    <w:uiPriority w:val="39"/>
    <w:unhideWhenUsed/>
    <w:rsid w:val="00FA02B5"/>
    <w:pPr>
      <w:spacing w:before="0" w:after="100" w:line="259" w:lineRule="auto"/>
      <w:ind w:left="880"/>
    </w:pPr>
    <w:rPr>
      <w:rFonts w:ascii="Calibri" w:eastAsia="Times New Roman" w:hAnsi="Calibri"/>
      <w:sz w:val="22"/>
      <w:szCs w:val="22"/>
      <w:lang w:eastAsia="en-AU"/>
    </w:rPr>
  </w:style>
  <w:style w:type="paragraph" w:styleId="TOC6">
    <w:name w:val="toc 6"/>
    <w:basedOn w:val="Normal"/>
    <w:next w:val="Normal"/>
    <w:autoRedefine/>
    <w:uiPriority w:val="39"/>
    <w:unhideWhenUsed/>
    <w:rsid w:val="00FA02B5"/>
    <w:pPr>
      <w:spacing w:before="0" w:after="100" w:line="259" w:lineRule="auto"/>
      <w:ind w:left="1100"/>
    </w:pPr>
    <w:rPr>
      <w:rFonts w:ascii="Calibri" w:eastAsia="Times New Roman" w:hAnsi="Calibri"/>
      <w:sz w:val="22"/>
      <w:szCs w:val="22"/>
      <w:lang w:eastAsia="en-AU"/>
    </w:rPr>
  </w:style>
  <w:style w:type="paragraph" w:styleId="TOC7">
    <w:name w:val="toc 7"/>
    <w:basedOn w:val="Normal"/>
    <w:next w:val="Normal"/>
    <w:autoRedefine/>
    <w:uiPriority w:val="39"/>
    <w:unhideWhenUsed/>
    <w:rsid w:val="00FA02B5"/>
    <w:pPr>
      <w:spacing w:before="0" w:after="100" w:line="259" w:lineRule="auto"/>
      <w:ind w:left="1320"/>
    </w:pPr>
    <w:rPr>
      <w:rFonts w:ascii="Calibri" w:eastAsia="Times New Roman" w:hAnsi="Calibri"/>
      <w:sz w:val="22"/>
      <w:szCs w:val="22"/>
      <w:lang w:eastAsia="en-AU"/>
    </w:rPr>
  </w:style>
  <w:style w:type="paragraph" w:styleId="TOC8">
    <w:name w:val="toc 8"/>
    <w:basedOn w:val="Normal"/>
    <w:next w:val="Normal"/>
    <w:autoRedefine/>
    <w:uiPriority w:val="39"/>
    <w:unhideWhenUsed/>
    <w:rsid w:val="00FA02B5"/>
    <w:pPr>
      <w:spacing w:before="0" w:after="100" w:line="259" w:lineRule="auto"/>
      <w:ind w:left="1540"/>
    </w:pPr>
    <w:rPr>
      <w:rFonts w:ascii="Calibri" w:eastAsia="Times New Roman" w:hAnsi="Calibri"/>
      <w:sz w:val="22"/>
      <w:szCs w:val="22"/>
      <w:lang w:eastAsia="en-AU"/>
    </w:rPr>
  </w:style>
  <w:style w:type="paragraph" w:styleId="TOC9">
    <w:name w:val="toc 9"/>
    <w:basedOn w:val="Normal"/>
    <w:next w:val="Normal"/>
    <w:autoRedefine/>
    <w:uiPriority w:val="39"/>
    <w:unhideWhenUsed/>
    <w:rsid w:val="00FA02B5"/>
    <w:pPr>
      <w:spacing w:before="0" w:after="100" w:line="259" w:lineRule="auto"/>
      <w:ind w:left="1760"/>
    </w:pPr>
    <w:rPr>
      <w:rFonts w:ascii="Calibri" w:eastAsia="Times New Roman" w:hAnsi="Calibri"/>
      <w:sz w:val="22"/>
      <w:szCs w:val="22"/>
      <w:lang w:eastAsia="en-AU"/>
    </w:rPr>
  </w:style>
  <w:style w:type="paragraph" w:customStyle="1" w:styleId="References">
    <w:name w:val="References"/>
    <w:qFormat/>
    <w:rsid w:val="004504BE"/>
    <w:pPr>
      <w:spacing w:before="80"/>
      <w:ind w:left="284" w:hanging="284"/>
    </w:pPr>
    <w:rPr>
      <w:sz w:val="18"/>
      <w:szCs w:val="24"/>
      <w:lang w:eastAsia="en-US"/>
    </w:rPr>
  </w:style>
  <w:style w:type="paragraph" w:styleId="NormalWeb">
    <w:name w:val="Normal (Web)"/>
    <w:basedOn w:val="Normal"/>
    <w:link w:val="NormalWebChar"/>
    <w:uiPriority w:val="99"/>
    <w:unhideWhenUsed/>
    <w:rsid w:val="009D3242"/>
    <w:pPr>
      <w:spacing w:before="100" w:beforeAutospacing="1" w:after="100" w:afterAutospacing="1" w:line="240" w:lineRule="auto"/>
    </w:pPr>
    <w:rPr>
      <w:rFonts w:ascii="Times New Roman" w:eastAsia="Times New Roman" w:hAnsi="Times New Roman"/>
      <w:lang w:eastAsia="en-AU"/>
    </w:rPr>
  </w:style>
  <w:style w:type="character" w:styleId="IntenseEmphasis">
    <w:name w:val="Intense Emphasis"/>
    <w:basedOn w:val="DefaultParagraphFont"/>
    <w:uiPriority w:val="21"/>
    <w:qFormat/>
    <w:rsid w:val="00D32790"/>
    <w:rPr>
      <w:b/>
      <w:bCs/>
      <w:i/>
      <w:iCs/>
      <w:color w:val="4F81BD" w:themeColor="accent1"/>
    </w:rPr>
  </w:style>
  <w:style w:type="paragraph" w:styleId="Subtitle">
    <w:name w:val="Subtitle"/>
    <w:basedOn w:val="Normal"/>
    <w:next w:val="Normal"/>
    <w:link w:val="SubtitleChar"/>
    <w:qFormat/>
    <w:rsid w:val="00D32790"/>
    <w:pPr>
      <w:numPr>
        <w:ilvl w:val="1"/>
      </w:numPr>
      <w:spacing w:before="0" w:line="240" w:lineRule="auto"/>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D32790"/>
    <w:rPr>
      <w:rFonts w:asciiTheme="majorHAnsi" w:eastAsiaTheme="majorEastAsia" w:hAnsiTheme="majorHAnsi" w:cstheme="majorBidi"/>
      <w:iCs/>
      <w:spacing w:val="15"/>
      <w:sz w:val="24"/>
      <w:szCs w:val="24"/>
      <w:lang w:eastAsia="en-US"/>
    </w:rPr>
  </w:style>
  <w:style w:type="character" w:customStyle="1" w:styleId="ListParagraphChar">
    <w:name w:val="List Paragraph Char"/>
    <w:aliases w:val="Footnote Char,BulletPoints Char,Paragraph Char"/>
    <w:basedOn w:val="DefaultParagraphFont"/>
    <w:link w:val="ListParagraph"/>
    <w:uiPriority w:val="34"/>
    <w:rsid w:val="00ED61E9"/>
    <w:rPr>
      <w:sz w:val="24"/>
      <w:szCs w:val="24"/>
      <w:lang w:eastAsia="en-US"/>
    </w:rPr>
  </w:style>
  <w:style w:type="paragraph" w:customStyle="1" w:styleId="HeaderTable">
    <w:name w:val="Header Table"/>
    <w:basedOn w:val="Caption"/>
    <w:link w:val="HeaderTableChar"/>
    <w:qFormat/>
    <w:rsid w:val="00B860D2"/>
  </w:style>
  <w:style w:type="paragraph" w:customStyle="1" w:styleId="HeaderFigure">
    <w:name w:val="Header Figure"/>
    <w:basedOn w:val="Caption"/>
    <w:link w:val="HeaderFigureChar"/>
    <w:qFormat/>
    <w:rsid w:val="002C7600"/>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
    <w:basedOn w:val="DefaultParagraphFont"/>
    <w:link w:val="Caption"/>
    <w:rsid w:val="00163C75"/>
    <w:rPr>
      <w:rFonts w:asciiTheme="minorHAnsi" w:hAnsiTheme="minorHAnsi"/>
      <w:b/>
      <w:iCs/>
      <w:sz w:val="24"/>
      <w:szCs w:val="18"/>
      <w:lang w:eastAsia="en-US"/>
    </w:rPr>
  </w:style>
  <w:style w:type="character" w:customStyle="1" w:styleId="HeaderTableChar">
    <w:name w:val="Header Table Char"/>
    <w:basedOn w:val="CaptionChar"/>
    <w:link w:val="HeaderTable"/>
    <w:rsid w:val="00B860D2"/>
    <w:rPr>
      <w:rFonts w:ascii="Arial" w:hAnsi="Arial"/>
      <w:b/>
      <w:iCs/>
      <w:sz w:val="24"/>
      <w:szCs w:val="18"/>
      <w:lang w:eastAsia="en-US"/>
    </w:rPr>
  </w:style>
  <w:style w:type="character" w:customStyle="1" w:styleId="HeaderFigureChar">
    <w:name w:val="Header Figure Char"/>
    <w:basedOn w:val="CaptionChar"/>
    <w:link w:val="HeaderFigure"/>
    <w:rsid w:val="002C7600"/>
    <w:rPr>
      <w:rFonts w:ascii="Arial" w:hAnsi="Arial"/>
      <w:b/>
      <w:iCs/>
      <w:sz w:val="24"/>
      <w:szCs w:val="18"/>
      <w:lang w:eastAsia="en-US"/>
    </w:rPr>
  </w:style>
  <w:style w:type="paragraph" w:customStyle="1" w:styleId="ToR3Tableheader">
    <w:name w:val="ToR3 Table header"/>
    <w:basedOn w:val="Caption"/>
    <w:link w:val="ToR3TableheaderChar"/>
    <w:qFormat/>
    <w:rsid w:val="00AE0F63"/>
  </w:style>
  <w:style w:type="character" w:customStyle="1" w:styleId="ToR3TableheaderChar">
    <w:name w:val="ToR3 Table header Char"/>
    <w:basedOn w:val="DefaultParagraphFont"/>
    <w:link w:val="ToR3Tableheader"/>
    <w:rsid w:val="00AE0F63"/>
    <w:rPr>
      <w:rFonts w:ascii="Arial" w:hAnsi="Arial"/>
      <w:b/>
      <w:iCs/>
      <w:szCs w:val="18"/>
      <w:lang w:eastAsia="en-US"/>
    </w:rPr>
  </w:style>
  <w:style w:type="paragraph" w:customStyle="1" w:styleId="Tabletext">
    <w:name w:val="Table text"/>
    <w:basedOn w:val="Normal"/>
    <w:link w:val="TabletextChar"/>
    <w:qFormat/>
    <w:rsid w:val="00B607A5"/>
    <w:pPr>
      <w:autoSpaceDE w:val="0"/>
      <w:autoSpaceDN w:val="0"/>
      <w:adjustRightInd w:val="0"/>
      <w:spacing w:before="20" w:after="20" w:line="240" w:lineRule="auto"/>
    </w:pPr>
    <w:rPr>
      <w:rFonts w:ascii="Arial" w:eastAsiaTheme="minorEastAsia" w:hAnsi="Arial" w:cs="Calibri"/>
      <w:sz w:val="20"/>
      <w:szCs w:val="20"/>
      <w:lang w:eastAsia="en-AU"/>
    </w:rPr>
  </w:style>
  <w:style w:type="paragraph" w:customStyle="1" w:styleId="Tablenote">
    <w:name w:val="Table note"/>
    <w:basedOn w:val="Normal"/>
    <w:link w:val="TablenoteChar"/>
    <w:qFormat/>
    <w:rsid w:val="00B607A5"/>
    <w:pPr>
      <w:spacing w:before="0" w:after="200" w:line="240" w:lineRule="auto"/>
      <w:contextualSpacing/>
    </w:pPr>
    <w:rPr>
      <w:rFonts w:ascii="Arial" w:eastAsiaTheme="minorEastAsia" w:hAnsi="Arial" w:cs="Baskerville"/>
      <w:sz w:val="18"/>
      <w:szCs w:val="20"/>
      <w:lang w:eastAsia="en-AU"/>
    </w:rPr>
  </w:style>
  <w:style w:type="character" w:customStyle="1" w:styleId="TabletextChar">
    <w:name w:val="Table text Char"/>
    <w:basedOn w:val="DefaultParagraphFont"/>
    <w:link w:val="Tabletext"/>
    <w:rsid w:val="00B607A5"/>
    <w:rPr>
      <w:rFonts w:ascii="Arial" w:eastAsiaTheme="minorEastAsia" w:hAnsi="Arial" w:cs="Calibri"/>
    </w:rPr>
  </w:style>
  <w:style w:type="character" w:customStyle="1" w:styleId="TablenoteChar">
    <w:name w:val="Table note Char"/>
    <w:basedOn w:val="DefaultParagraphFont"/>
    <w:link w:val="Tablenote"/>
    <w:rsid w:val="00B607A5"/>
    <w:rPr>
      <w:rFonts w:ascii="Arial" w:eastAsiaTheme="minorEastAsia" w:hAnsi="Arial" w:cs="Baskerville"/>
      <w:sz w:val="18"/>
    </w:rPr>
  </w:style>
  <w:style w:type="character" w:customStyle="1" w:styleId="normalchar">
    <w:name w:val="normal_char"/>
    <w:rsid w:val="008060FB"/>
    <w:rPr>
      <w:color w:val="auto"/>
    </w:rPr>
  </w:style>
  <w:style w:type="paragraph" w:styleId="BodyTextIndent3">
    <w:name w:val="Body Text Indent 3"/>
    <w:basedOn w:val="Normal"/>
    <w:link w:val="BodyTextIndent3Char"/>
    <w:rsid w:val="008060FB"/>
    <w:pPr>
      <w:spacing w:before="0" w:after="120" w:line="240" w:lineRule="auto"/>
      <w:ind w:left="283"/>
    </w:pPr>
    <w:rPr>
      <w:rFonts w:ascii="Calibri" w:eastAsia="Times New Roman" w:hAnsi="Calibri"/>
      <w:sz w:val="16"/>
      <w:szCs w:val="16"/>
      <w:lang w:eastAsia="en-AU"/>
    </w:rPr>
  </w:style>
  <w:style w:type="character" w:customStyle="1" w:styleId="BodyTextIndent3Char">
    <w:name w:val="Body Text Indent 3 Char"/>
    <w:basedOn w:val="DefaultParagraphFont"/>
    <w:link w:val="BodyTextIndent3"/>
    <w:rsid w:val="008060FB"/>
    <w:rPr>
      <w:rFonts w:ascii="Calibri" w:eastAsia="Times New Roman" w:hAnsi="Calibri"/>
      <w:sz w:val="16"/>
      <w:szCs w:val="16"/>
    </w:rPr>
  </w:style>
  <w:style w:type="paragraph" w:styleId="NoSpacing">
    <w:name w:val="No Spacing"/>
    <w:uiPriority w:val="1"/>
    <w:qFormat/>
    <w:rsid w:val="008060FB"/>
    <w:rPr>
      <w:rFonts w:ascii="Times New Roman" w:eastAsiaTheme="minorHAnsi" w:hAnsi="Times New Roman" w:cstheme="minorBidi"/>
      <w:sz w:val="24"/>
      <w:szCs w:val="22"/>
    </w:rPr>
  </w:style>
  <w:style w:type="character" w:customStyle="1" w:styleId="apple-converted-space">
    <w:name w:val="apple-converted-space"/>
    <w:basedOn w:val="DefaultParagraphFont"/>
    <w:rsid w:val="008060FB"/>
  </w:style>
  <w:style w:type="character" w:styleId="HTMLCite">
    <w:name w:val="HTML Cite"/>
    <w:uiPriority w:val="99"/>
    <w:semiHidden/>
    <w:unhideWhenUsed/>
    <w:rsid w:val="008060FB"/>
    <w:rPr>
      <w:b w:val="0"/>
      <w:bCs w:val="0"/>
      <w:i w:val="0"/>
      <w:iCs w:val="0"/>
      <w:vanish w:val="0"/>
      <w:webHidden w:val="0"/>
      <w:specVanish w:val="0"/>
    </w:rPr>
  </w:style>
  <w:style w:type="character" w:customStyle="1" w:styleId="author4">
    <w:name w:val="author4"/>
    <w:rsid w:val="008060FB"/>
    <w:rPr>
      <w:b w:val="0"/>
      <w:bCs w:val="0"/>
      <w:i w:val="0"/>
      <w:iCs w:val="0"/>
      <w:smallCaps w:val="0"/>
      <w:sz w:val="24"/>
      <w:szCs w:val="24"/>
    </w:rPr>
  </w:style>
  <w:style w:type="character" w:customStyle="1" w:styleId="articletitle7">
    <w:name w:val="articletitle7"/>
    <w:basedOn w:val="DefaultParagraphFont"/>
    <w:rsid w:val="008060FB"/>
  </w:style>
  <w:style w:type="character" w:customStyle="1" w:styleId="journaltitle4">
    <w:name w:val="journaltitle4"/>
    <w:rsid w:val="008060FB"/>
    <w:rPr>
      <w:i/>
      <w:iCs/>
    </w:rPr>
  </w:style>
  <w:style w:type="character" w:customStyle="1" w:styleId="pubyear">
    <w:name w:val="pubyear"/>
    <w:basedOn w:val="DefaultParagraphFont"/>
    <w:rsid w:val="008060FB"/>
  </w:style>
  <w:style w:type="character" w:customStyle="1" w:styleId="citedissue">
    <w:name w:val="citedissue"/>
    <w:basedOn w:val="DefaultParagraphFont"/>
    <w:rsid w:val="008060FB"/>
  </w:style>
  <w:style w:type="character" w:customStyle="1" w:styleId="frlabel1">
    <w:name w:val="fr_label1"/>
    <w:rsid w:val="008060FB"/>
    <w:rPr>
      <w:b/>
      <w:bCs/>
    </w:rPr>
  </w:style>
  <w:style w:type="character" w:styleId="Strong">
    <w:name w:val="Strong"/>
    <w:uiPriority w:val="22"/>
    <w:qFormat/>
    <w:rsid w:val="008060FB"/>
    <w:rPr>
      <w:b/>
      <w:bCs/>
    </w:rPr>
  </w:style>
  <w:style w:type="character" w:customStyle="1" w:styleId="hithilite3">
    <w:name w:val="hithilite3"/>
    <w:rsid w:val="008060FB"/>
    <w:rPr>
      <w:shd w:val="clear" w:color="auto" w:fill="FFFF00"/>
    </w:rPr>
  </w:style>
  <w:style w:type="character" w:customStyle="1" w:styleId="maintitle4">
    <w:name w:val="maintitle4"/>
    <w:rsid w:val="008060FB"/>
    <w:rPr>
      <w:vanish w:val="0"/>
      <w:webHidden w:val="0"/>
      <w:specVanish w:val="0"/>
    </w:rPr>
  </w:style>
  <w:style w:type="character" w:customStyle="1" w:styleId="override-xref-content-element7">
    <w:name w:val="override-xref-content-element7"/>
    <w:rsid w:val="008060FB"/>
    <w:rPr>
      <w:color w:val="007E8A"/>
    </w:rPr>
  </w:style>
  <w:style w:type="paragraph" w:customStyle="1" w:styleId="para10">
    <w:name w:val="para10"/>
    <w:basedOn w:val="Normal"/>
    <w:rsid w:val="008060FB"/>
    <w:pPr>
      <w:spacing w:before="0" w:after="240" w:line="360" w:lineRule="atLeast"/>
    </w:pPr>
    <w:rPr>
      <w:rFonts w:ascii="Calibri" w:eastAsia="Times New Roman" w:hAnsi="Calibri"/>
      <w:sz w:val="29"/>
      <w:szCs w:val="29"/>
      <w:lang w:eastAsia="en-AU"/>
    </w:rPr>
  </w:style>
  <w:style w:type="character" w:customStyle="1" w:styleId="i7">
    <w:name w:val="i7"/>
    <w:rsid w:val="008060FB"/>
    <w:rPr>
      <w:i/>
      <w:iCs/>
    </w:rPr>
  </w:style>
  <w:style w:type="paragraph" w:customStyle="1" w:styleId="CM18">
    <w:name w:val="CM18"/>
    <w:basedOn w:val="Normal"/>
    <w:next w:val="Normal"/>
    <w:uiPriority w:val="99"/>
    <w:rsid w:val="008060FB"/>
    <w:pPr>
      <w:widowControl w:val="0"/>
      <w:autoSpaceDE w:val="0"/>
      <w:autoSpaceDN w:val="0"/>
      <w:adjustRightInd w:val="0"/>
      <w:spacing w:before="0" w:line="240" w:lineRule="auto"/>
    </w:pPr>
    <w:rPr>
      <w:rFonts w:ascii="MuseeBold" w:eastAsia="Times New Roman" w:hAnsi="MuseeBold"/>
      <w:lang w:eastAsia="en-AU"/>
    </w:rPr>
  </w:style>
  <w:style w:type="paragraph" w:customStyle="1" w:styleId="Heading5new">
    <w:name w:val="Heading 5 new"/>
    <w:basedOn w:val="NormalWeb"/>
    <w:link w:val="Heading5newChar"/>
    <w:qFormat/>
    <w:rsid w:val="008060FB"/>
    <w:pPr>
      <w:spacing w:before="0" w:beforeAutospacing="0" w:after="240" w:afterAutospacing="0" w:line="312" w:lineRule="atLeast"/>
    </w:pPr>
    <w:rPr>
      <w:b/>
      <w:i/>
      <w:color w:val="000000"/>
      <w:u w:val="single"/>
    </w:rPr>
  </w:style>
  <w:style w:type="character" w:customStyle="1" w:styleId="NormalWebChar">
    <w:name w:val="Normal (Web) Char"/>
    <w:link w:val="NormalWeb"/>
    <w:uiPriority w:val="99"/>
    <w:rsid w:val="008060FB"/>
    <w:rPr>
      <w:rFonts w:ascii="Times New Roman" w:eastAsia="Times New Roman" w:hAnsi="Times New Roman"/>
      <w:sz w:val="24"/>
      <w:szCs w:val="24"/>
    </w:rPr>
  </w:style>
  <w:style w:type="character" w:customStyle="1" w:styleId="Heading5newChar">
    <w:name w:val="Heading 5 new Char"/>
    <w:link w:val="Heading5new"/>
    <w:rsid w:val="008060FB"/>
    <w:rPr>
      <w:rFonts w:ascii="Times New Roman" w:eastAsia="Times New Roman" w:hAnsi="Times New Roman"/>
      <w:b/>
      <w:i/>
      <w:color w:val="000000"/>
      <w:sz w:val="24"/>
      <w:szCs w:val="24"/>
      <w:u w:val="single"/>
    </w:rPr>
  </w:style>
  <w:style w:type="paragraph" w:customStyle="1" w:styleId="Heading4new">
    <w:name w:val="Heading 4 new"/>
    <w:basedOn w:val="Heading5new"/>
    <w:link w:val="Heading4newChar"/>
    <w:qFormat/>
    <w:rsid w:val="008060FB"/>
  </w:style>
  <w:style w:type="character" w:customStyle="1" w:styleId="Heading4newChar">
    <w:name w:val="Heading 4 new Char"/>
    <w:link w:val="Heading4new"/>
    <w:rsid w:val="008060FB"/>
    <w:rPr>
      <w:rFonts w:ascii="Times New Roman" w:eastAsia="Times New Roman" w:hAnsi="Times New Roman"/>
      <w:b/>
      <w:i/>
      <w:color w:val="000000"/>
      <w:sz w:val="24"/>
      <w:szCs w:val="24"/>
      <w:u w:val="single"/>
    </w:rPr>
  </w:style>
  <w:style w:type="character" w:customStyle="1" w:styleId="label31">
    <w:name w:val="label31"/>
    <w:basedOn w:val="DefaultParagraphFont"/>
    <w:rsid w:val="008060FB"/>
  </w:style>
  <w:style w:type="character" w:customStyle="1" w:styleId="b7">
    <w:name w:val="b7"/>
    <w:rsid w:val="008060FB"/>
    <w:rPr>
      <w:b/>
      <w:bCs/>
    </w:rPr>
  </w:style>
  <w:style w:type="character" w:customStyle="1" w:styleId="tablenotes-note">
    <w:name w:val="tablenotes-note"/>
    <w:basedOn w:val="DefaultParagraphFont"/>
    <w:rsid w:val="008060FB"/>
  </w:style>
  <w:style w:type="character" w:customStyle="1" w:styleId="section-title3">
    <w:name w:val="section-title3"/>
    <w:rsid w:val="008060FB"/>
    <w:rPr>
      <w:vanish w:val="0"/>
      <w:webHidden w:val="0"/>
      <w:specVanish w:val="0"/>
    </w:rPr>
  </w:style>
  <w:style w:type="paragraph" w:styleId="Quote">
    <w:name w:val="Quote"/>
    <w:basedOn w:val="Normal"/>
    <w:next w:val="Normal"/>
    <w:link w:val="QuoteChar"/>
    <w:qFormat/>
    <w:rsid w:val="008060FB"/>
    <w:pPr>
      <w:spacing w:before="0" w:after="200" w:line="240" w:lineRule="auto"/>
    </w:pPr>
    <w:rPr>
      <w:rFonts w:ascii="Calibri" w:eastAsia="Times New Roman" w:hAnsi="Calibri"/>
      <w:i/>
      <w:iCs/>
      <w:color w:val="000000"/>
      <w:sz w:val="22"/>
      <w:szCs w:val="22"/>
      <w:lang w:eastAsia="en-AU"/>
    </w:rPr>
  </w:style>
  <w:style w:type="character" w:customStyle="1" w:styleId="QuoteChar">
    <w:name w:val="Quote Char"/>
    <w:basedOn w:val="DefaultParagraphFont"/>
    <w:link w:val="Quote"/>
    <w:rsid w:val="008060FB"/>
    <w:rPr>
      <w:rFonts w:ascii="Calibri" w:eastAsia="Times New Roman" w:hAnsi="Calibri"/>
      <w:i/>
      <w:iCs/>
      <w:color w:val="000000"/>
      <w:sz w:val="22"/>
      <w:szCs w:val="22"/>
    </w:rPr>
  </w:style>
  <w:style w:type="paragraph" w:customStyle="1" w:styleId="para">
    <w:name w:val="para"/>
    <w:basedOn w:val="Normal"/>
    <w:rsid w:val="008060FB"/>
    <w:pPr>
      <w:spacing w:before="100" w:beforeAutospacing="1" w:after="100" w:afterAutospacing="1" w:line="240" w:lineRule="auto"/>
    </w:pPr>
    <w:rPr>
      <w:rFonts w:ascii="Calibri" w:eastAsia="Times New Roman" w:hAnsi="Calibri"/>
      <w:lang w:eastAsia="en-AU"/>
    </w:rPr>
  </w:style>
  <w:style w:type="paragraph" w:customStyle="1" w:styleId="ListBullet1">
    <w:name w:val="List Bullet1"/>
    <w:basedOn w:val="Normal"/>
    <w:uiPriority w:val="5"/>
    <w:qFormat/>
    <w:rsid w:val="008060FB"/>
    <w:pPr>
      <w:numPr>
        <w:numId w:val="17"/>
      </w:numPr>
      <w:shd w:val="clear" w:color="auto" w:fill="FFFFFF" w:themeFill="background1"/>
      <w:spacing w:after="120" w:line="260" w:lineRule="exact"/>
      <w:contextualSpacing/>
    </w:pPr>
    <w:rPr>
      <w:rFonts w:ascii="Arial" w:eastAsia="Times New Roman" w:hAnsi="Arial" w:cs="Arial"/>
      <w:sz w:val="20"/>
      <w:szCs w:val="20"/>
      <w:lang w:eastAsia="en-AU"/>
    </w:rPr>
  </w:style>
  <w:style w:type="character" w:customStyle="1" w:styleId="Bold">
    <w:name w:val="Bold"/>
    <w:uiPriority w:val="99"/>
    <w:qFormat/>
    <w:rsid w:val="008060FB"/>
    <w:rPr>
      <w:b/>
      <w:lang w:val="en-AU" w:eastAsia="en-US"/>
    </w:rPr>
  </w:style>
  <w:style w:type="character" w:customStyle="1" w:styleId="Italic">
    <w:name w:val="Italic"/>
    <w:uiPriority w:val="3"/>
    <w:rsid w:val="008060FB"/>
    <w:rPr>
      <w:i/>
      <w:lang w:val="en-AU" w:eastAsia="en-US"/>
    </w:rPr>
  </w:style>
  <w:style w:type="character" w:customStyle="1" w:styleId="HighlightOrange">
    <w:name w:val="Highlight Orange"/>
    <w:basedOn w:val="DefaultParagraphFont"/>
    <w:uiPriority w:val="75"/>
    <w:qFormat/>
    <w:rsid w:val="008060FB"/>
    <w:rPr>
      <w:color w:val="F47B28"/>
    </w:rPr>
  </w:style>
  <w:style w:type="table" w:customStyle="1" w:styleId="Boxorange">
    <w:name w:val="Box orange"/>
    <w:basedOn w:val="TableNormal"/>
    <w:uiPriority w:val="99"/>
    <w:qFormat/>
    <w:rsid w:val="008060FB"/>
    <w:rPr>
      <w:rFonts w:ascii="Times New Roman" w:eastAsia="Times New Roman" w:hAnsi="Times New Roman"/>
    </w:rPr>
    <w:tblPr>
      <w:tblInd w:w="113" w:type="dxa"/>
      <w:tblBorders>
        <w:top w:val="single" w:sz="18" w:space="0" w:color="F47B28"/>
        <w:left w:val="single" w:sz="18" w:space="0" w:color="F47B28"/>
        <w:bottom w:val="single" w:sz="18" w:space="0" w:color="F47B28"/>
        <w:right w:val="single" w:sz="18" w:space="0" w:color="F47B28"/>
      </w:tblBorders>
    </w:tblPr>
    <w:trPr>
      <w:cantSplit/>
    </w:trPr>
  </w:style>
  <w:style w:type="character" w:customStyle="1" w:styleId="Highlighter">
    <w:name w:val="Highlighter"/>
    <w:basedOn w:val="DefaultParagraphFont"/>
    <w:uiPriority w:val="21"/>
    <w:rsid w:val="008060FB"/>
    <w:rPr>
      <w:bdr w:val="none" w:sz="0" w:space="0" w:color="auto"/>
      <w:shd w:val="clear" w:color="auto" w:fill="FFFF00"/>
    </w:rPr>
  </w:style>
  <w:style w:type="character" w:styleId="IntenseReference">
    <w:name w:val="Intense Reference"/>
    <w:basedOn w:val="DefaultParagraphFont"/>
    <w:uiPriority w:val="32"/>
    <w:qFormat/>
    <w:rsid w:val="008060FB"/>
    <w:rPr>
      <w:b/>
      <w:bCs/>
      <w:i/>
      <w:smallCaps/>
      <w:color w:val="C0504D" w:themeColor="accent2"/>
      <w:spacing w:val="5"/>
      <w:u w:val="none"/>
    </w:rPr>
  </w:style>
  <w:style w:type="table" w:styleId="LightGrid-Accent4">
    <w:name w:val="Light Grid Accent 4"/>
    <w:basedOn w:val="TableNormal"/>
    <w:uiPriority w:val="62"/>
    <w:rsid w:val="008060FB"/>
    <w:rPr>
      <w:rFonts w:ascii="Times New Roman" w:eastAsiaTheme="minorHAnsi" w:hAnsi="Times New Roman" w:cstheme="minorBidi"/>
      <w:sz w:val="24"/>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8060FB"/>
    <w:rPr>
      <w:rFonts w:ascii="Times New Roman" w:eastAsiaTheme="minorHAnsi" w:hAnsi="Times New Roman" w:cstheme="minorBidi"/>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rm-strength">
    <w:name w:val="form-strength"/>
    <w:basedOn w:val="DefaultParagraphFont"/>
    <w:rsid w:val="008060FB"/>
  </w:style>
  <w:style w:type="table" w:styleId="LightGrid-Accent6">
    <w:name w:val="Light Grid Accent 6"/>
    <w:basedOn w:val="TableNormal"/>
    <w:uiPriority w:val="62"/>
    <w:rsid w:val="008060FB"/>
    <w:rPr>
      <w:rFonts w:ascii="Times New Roman" w:eastAsiaTheme="minorHAnsi" w:hAnsi="Times New Roman" w:cstheme="minorBidi"/>
      <w:sz w:val="24"/>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3">
    <w:name w:val="Light Grid Accent 3"/>
    <w:basedOn w:val="TableNormal"/>
    <w:uiPriority w:val="62"/>
    <w:rsid w:val="008060FB"/>
    <w:rPr>
      <w:rFonts w:ascii="Times New Roman" w:eastAsiaTheme="minorHAnsi" w:hAnsi="Times New Roman" w:cstheme="minorBidi"/>
      <w:sz w:val="24"/>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Heading51">
    <w:name w:val="Heading 51"/>
    <w:basedOn w:val="Normal"/>
    <w:link w:val="heading5Char0"/>
    <w:qFormat/>
    <w:rsid w:val="008060FB"/>
    <w:pPr>
      <w:keepNext/>
      <w:keepLines/>
      <w:spacing w:after="120" w:line="240" w:lineRule="auto"/>
    </w:pPr>
    <w:rPr>
      <w:rFonts w:asciiTheme="majorHAnsi" w:eastAsiaTheme="minorHAnsi" w:hAnsiTheme="majorHAnsi" w:cstheme="minorBidi"/>
      <w:b/>
      <w:i/>
      <w:lang w:eastAsia="en-AU"/>
    </w:rPr>
  </w:style>
  <w:style w:type="character" w:customStyle="1" w:styleId="heading5Char0">
    <w:name w:val="heading 5 Char"/>
    <w:basedOn w:val="DefaultParagraphFont"/>
    <w:link w:val="Heading51"/>
    <w:rsid w:val="008060FB"/>
    <w:rPr>
      <w:rFonts w:asciiTheme="majorHAnsi" w:eastAsiaTheme="minorHAnsi" w:hAnsiTheme="majorHAnsi" w:cstheme="minorBidi"/>
      <w:b/>
      <w:i/>
      <w:sz w:val="24"/>
      <w:szCs w:val="24"/>
    </w:rPr>
  </w:style>
  <w:style w:type="paragraph" w:customStyle="1" w:styleId="BodyText1">
    <w:name w:val="Body Text1"/>
    <w:basedOn w:val="Normal"/>
    <w:link w:val="BodytextChar0"/>
    <w:uiPriority w:val="1"/>
    <w:qFormat/>
    <w:rsid w:val="008060FB"/>
    <w:pPr>
      <w:shd w:val="clear" w:color="auto" w:fill="FFFFFF" w:themeFill="background1"/>
      <w:spacing w:after="120" w:line="260" w:lineRule="exact"/>
    </w:pPr>
    <w:rPr>
      <w:rFonts w:ascii="Arial" w:eastAsia="Times New Roman" w:hAnsi="Arial" w:cs="Arial"/>
      <w:sz w:val="20"/>
      <w:szCs w:val="20"/>
      <w:lang w:eastAsia="en-AU"/>
    </w:rPr>
  </w:style>
  <w:style w:type="character" w:customStyle="1" w:styleId="BodytextChar0">
    <w:name w:val="Body text Char"/>
    <w:basedOn w:val="DefaultParagraphFont"/>
    <w:link w:val="BodyText1"/>
    <w:uiPriority w:val="1"/>
    <w:rsid w:val="008060FB"/>
    <w:rPr>
      <w:rFonts w:ascii="Arial" w:eastAsia="Times New Roman" w:hAnsi="Arial" w:cs="Arial"/>
      <w:shd w:val="clear" w:color="auto" w:fill="FFFFFF" w:themeFill="background1"/>
    </w:rPr>
  </w:style>
  <w:style w:type="paragraph" w:customStyle="1" w:styleId="Tablefootnote">
    <w:name w:val="Table footnote"/>
    <w:basedOn w:val="Normal"/>
    <w:next w:val="BodyText1"/>
    <w:link w:val="TablefootnoteCharChar"/>
    <w:uiPriority w:val="57"/>
    <w:rsid w:val="008060FB"/>
    <w:pPr>
      <w:spacing w:before="60" w:after="60" w:line="240" w:lineRule="auto"/>
      <w:ind w:left="426"/>
    </w:pPr>
    <w:rPr>
      <w:rFonts w:ascii="Arial Narrow" w:eastAsia="Times New Roman" w:hAnsi="Arial Narrow"/>
      <w:sz w:val="16"/>
      <w:szCs w:val="20"/>
      <w:lang w:eastAsia="en-AU"/>
    </w:rPr>
  </w:style>
  <w:style w:type="character" w:customStyle="1" w:styleId="TablefootnoteCharChar">
    <w:name w:val="Table footnote Char Char"/>
    <w:basedOn w:val="DefaultParagraphFont"/>
    <w:link w:val="Tablefootnote"/>
    <w:uiPriority w:val="57"/>
    <w:rsid w:val="008060FB"/>
    <w:rPr>
      <w:rFonts w:ascii="Arial Narrow" w:eastAsia="Times New Roman" w:hAnsi="Arial Narrow"/>
      <w:sz w:val="16"/>
    </w:rPr>
  </w:style>
  <w:style w:type="paragraph" w:customStyle="1" w:styleId="Tabletitle">
    <w:name w:val="Table title"/>
    <w:basedOn w:val="Normal"/>
    <w:next w:val="BodyText1"/>
    <w:uiPriority w:val="99"/>
    <w:rsid w:val="008060FB"/>
    <w:pPr>
      <w:keepNext/>
      <w:numPr>
        <w:numId w:val="15"/>
      </w:numPr>
      <w:shd w:val="clear" w:color="auto" w:fill="FFFFFF" w:themeFill="background1"/>
      <w:spacing w:after="120" w:line="260" w:lineRule="exact"/>
      <w:outlineLvl w:val="2"/>
    </w:pPr>
    <w:rPr>
      <w:rFonts w:ascii="Arial Narrow" w:eastAsia="Times New Roman" w:hAnsi="Arial Narrow" w:cs="Arial"/>
      <w:b/>
      <w:caps/>
      <w:color w:val="4B306A"/>
      <w:sz w:val="16"/>
      <w:szCs w:val="20"/>
      <w:lang w:eastAsia="en-AU"/>
    </w:rPr>
  </w:style>
  <w:style w:type="table" w:customStyle="1" w:styleId="TableNPSstandard">
    <w:name w:val="Table NPS standard"/>
    <w:basedOn w:val="TableNormal"/>
    <w:rsid w:val="008060FB"/>
    <w:pPr>
      <w:spacing w:before="60" w:line="264" w:lineRule="auto"/>
    </w:pPr>
    <w:rPr>
      <w:rFonts w:ascii="Arial Narrow" w:eastAsia="Times New Roman" w:hAnsi="Arial Narrow"/>
    </w:rPr>
    <w:tblPr>
      <w:tblInd w:w="142" w:type="dxa"/>
      <w:tblBorders>
        <w:bottom w:val="single" w:sz="12" w:space="0" w:color="401E6C"/>
        <w:insideH w:val="single" w:sz="4" w:space="0" w:color="C0C0C0"/>
        <w:insideV w:val="single" w:sz="8" w:space="0" w:color="FFFFFF"/>
      </w:tblBorders>
      <w:tblCellMar>
        <w:top w:w="28" w:type="dxa"/>
        <w:bottom w:w="28" w:type="dxa"/>
      </w:tblCellMar>
    </w:tblPr>
    <w:trPr>
      <w:cantSplit/>
    </w:trPr>
    <w:tblStylePr w:type="firstRow">
      <w:pPr>
        <w:jc w:val="left"/>
      </w:pPr>
      <w:rPr>
        <w:b/>
        <w:sz w:val="20"/>
      </w:rPr>
      <w:tblPr/>
      <w:trPr>
        <w:cantSplit w:val="0"/>
        <w:tblHeader/>
      </w:tr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nil"/>
          <w:left w:val="nil"/>
          <w:bottom w:val="single" w:sz="12" w:space="0" w:color="401E6C"/>
          <w:right w:val="nil"/>
          <w:insideH w:val="nil"/>
          <w:insideV w:val="single" w:sz="8" w:space="0" w:color="FFFFFF"/>
          <w:tl2br w:val="nil"/>
          <w:tr2bl w:val="nil"/>
        </w:tcBorders>
      </w:tcPr>
    </w:tblStylePr>
  </w:style>
  <w:style w:type="paragraph" w:customStyle="1" w:styleId="Tablebullet">
    <w:name w:val="Table bullet"/>
    <w:basedOn w:val="Normal"/>
    <w:uiPriority w:val="53"/>
    <w:rsid w:val="008060FB"/>
    <w:pPr>
      <w:numPr>
        <w:numId w:val="16"/>
      </w:numPr>
      <w:spacing w:before="0" w:line="240" w:lineRule="auto"/>
    </w:pPr>
    <w:rPr>
      <w:rFonts w:ascii="Arial Narrow" w:eastAsia="Times New Roman" w:hAnsi="Arial Narrow"/>
      <w:sz w:val="20"/>
      <w:lang w:eastAsia="en-AU"/>
    </w:rPr>
  </w:style>
  <w:style w:type="character" w:customStyle="1" w:styleId="Superscript">
    <w:name w:val="Superscript"/>
    <w:uiPriority w:val="18"/>
    <w:rsid w:val="008060FB"/>
    <w:rPr>
      <w:vertAlign w:val="superscript"/>
    </w:rPr>
  </w:style>
  <w:style w:type="paragraph" w:customStyle="1" w:styleId="ReportSubtitle">
    <w:name w:val="Report Subtitle"/>
    <w:basedOn w:val="Normal"/>
    <w:rsid w:val="008060FB"/>
    <w:pPr>
      <w:spacing w:before="0" w:after="240" w:line="240" w:lineRule="auto"/>
      <w:ind w:left="720"/>
      <w:jc w:val="right"/>
    </w:pPr>
    <w:rPr>
      <w:rFonts w:ascii="Arial Bold" w:eastAsia="Times New Roman" w:hAnsi="Arial Bold"/>
      <w:b/>
      <w:bCs/>
      <w:color w:val="000000"/>
      <w:sz w:val="40"/>
      <w:szCs w:val="20"/>
      <w:lang w:eastAsia="en-AU"/>
    </w:rPr>
  </w:style>
  <w:style w:type="character" w:customStyle="1" w:styleId="label-">
    <w:name w:val="label-"/>
    <w:basedOn w:val="DefaultParagraphFont"/>
    <w:rsid w:val="008060FB"/>
  </w:style>
  <w:style w:type="table" w:customStyle="1" w:styleId="TableGrid3">
    <w:name w:val="Table Grid3"/>
    <w:basedOn w:val="TableNormal"/>
    <w:next w:val="TableGrid"/>
    <w:rsid w:val="008060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060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060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8060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8060FB"/>
    <w:rPr>
      <w:rFonts w:ascii="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8060FB"/>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ofreference">
    <w:name w:val="Term of reference"/>
    <w:basedOn w:val="Normal"/>
    <w:link w:val="TermofreferenceChar"/>
    <w:qFormat/>
    <w:rsid w:val="008060FB"/>
    <w:pPr>
      <w:pBdr>
        <w:top w:val="single" w:sz="4" w:space="1" w:color="auto"/>
        <w:left w:val="single" w:sz="4" w:space="4" w:color="auto"/>
        <w:bottom w:val="single" w:sz="4" w:space="1" w:color="auto"/>
        <w:right w:val="single" w:sz="4" w:space="4" w:color="auto"/>
      </w:pBdr>
      <w:spacing w:before="0" w:after="200" w:line="240" w:lineRule="auto"/>
      <w:jc w:val="center"/>
    </w:pPr>
    <w:rPr>
      <w:rFonts w:ascii="Calibri" w:eastAsiaTheme="minorEastAsia" w:hAnsi="Calibri" w:cstheme="minorBidi"/>
      <w:b/>
      <w:color w:val="365F91" w:themeColor="accent1" w:themeShade="BF"/>
      <w:lang w:eastAsia="en-AU"/>
    </w:rPr>
  </w:style>
  <w:style w:type="paragraph" w:customStyle="1" w:styleId="Tablename">
    <w:name w:val="Table name"/>
    <w:basedOn w:val="Caption"/>
    <w:link w:val="TablenameChar"/>
    <w:qFormat/>
    <w:rsid w:val="008060FB"/>
    <w:pPr>
      <w:spacing w:before="60" w:after="60"/>
      <w:ind w:left="0" w:firstLine="0"/>
      <w:jc w:val="left"/>
    </w:pPr>
    <w:rPr>
      <w:rFonts w:ascii="Calibri" w:eastAsiaTheme="minorEastAsia" w:hAnsi="Calibri"/>
      <w:bCs/>
      <w:iCs w:val="0"/>
    </w:rPr>
  </w:style>
  <w:style w:type="character" w:customStyle="1" w:styleId="TermofreferenceChar">
    <w:name w:val="Term of reference Char"/>
    <w:basedOn w:val="DefaultParagraphFont"/>
    <w:link w:val="Termofreference"/>
    <w:rsid w:val="008060FB"/>
    <w:rPr>
      <w:rFonts w:ascii="Calibri" w:eastAsiaTheme="minorEastAsia" w:hAnsi="Calibri" w:cstheme="minorBidi"/>
      <w:b/>
      <w:color w:val="365F91" w:themeColor="accent1" w:themeShade="BF"/>
      <w:sz w:val="24"/>
      <w:szCs w:val="24"/>
    </w:rPr>
  </w:style>
  <w:style w:type="character" w:customStyle="1" w:styleId="TablenameChar">
    <w:name w:val="Table name Char"/>
    <w:basedOn w:val="CaptionChar"/>
    <w:link w:val="Tablename"/>
    <w:rsid w:val="008060FB"/>
    <w:rPr>
      <w:rFonts w:ascii="Calibri" w:eastAsiaTheme="minorEastAsia" w:hAnsi="Calibri"/>
      <w:b/>
      <w:bCs/>
      <w:iCs w:val="0"/>
      <w:sz w:val="24"/>
      <w:szCs w:val="18"/>
      <w:lang w:eastAsia="en-US"/>
    </w:rPr>
  </w:style>
  <w:style w:type="paragraph" w:customStyle="1" w:styleId="Figurename">
    <w:name w:val="Figure name"/>
    <w:basedOn w:val="Normal"/>
    <w:link w:val="FigurenameChar"/>
    <w:qFormat/>
    <w:rsid w:val="008060FB"/>
    <w:pPr>
      <w:spacing w:before="60" w:after="60" w:line="240" w:lineRule="auto"/>
    </w:pPr>
    <w:rPr>
      <w:rFonts w:ascii="Calibri" w:eastAsiaTheme="minorEastAsia" w:hAnsi="Calibri" w:cstheme="minorBidi"/>
      <w:b/>
      <w:lang w:val="en-US"/>
    </w:rPr>
  </w:style>
  <w:style w:type="paragraph" w:customStyle="1" w:styleId="Figurenote">
    <w:name w:val="Figure note"/>
    <w:basedOn w:val="Normal"/>
    <w:link w:val="FigurenoteChar"/>
    <w:qFormat/>
    <w:rsid w:val="008060FB"/>
    <w:pPr>
      <w:spacing w:before="60" w:after="60" w:line="240" w:lineRule="auto"/>
    </w:pPr>
    <w:rPr>
      <w:rFonts w:eastAsiaTheme="minorEastAsia" w:cstheme="minorBidi"/>
      <w:sz w:val="20"/>
      <w:szCs w:val="20"/>
    </w:rPr>
  </w:style>
  <w:style w:type="character" w:customStyle="1" w:styleId="FigurenameChar">
    <w:name w:val="Figure name Char"/>
    <w:basedOn w:val="DefaultParagraphFont"/>
    <w:link w:val="Figurename"/>
    <w:rsid w:val="008060FB"/>
    <w:rPr>
      <w:rFonts w:ascii="Calibri" w:eastAsiaTheme="minorEastAsia" w:hAnsi="Calibri" w:cstheme="minorBidi"/>
      <w:b/>
      <w:sz w:val="24"/>
      <w:szCs w:val="24"/>
      <w:lang w:val="en-US" w:eastAsia="en-US"/>
    </w:rPr>
  </w:style>
  <w:style w:type="character" w:customStyle="1" w:styleId="FigurenoteChar">
    <w:name w:val="Figure note Char"/>
    <w:basedOn w:val="DefaultParagraphFont"/>
    <w:link w:val="Figurenote"/>
    <w:rsid w:val="008060FB"/>
    <w:rPr>
      <w:rFonts w:asciiTheme="minorHAnsi" w:eastAsiaTheme="minorEastAsia" w:hAnsiTheme="minorHAnsi" w:cstheme="minorBidi"/>
      <w:lang w:eastAsia="en-US"/>
    </w:rPr>
  </w:style>
  <w:style w:type="paragraph" w:customStyle="1" w:styleId="EndNoteBibliographyTitle">
    <w:name w:val="EndNote Bibliography Title"/>
    <w:basedOn w:val="Normal"/>
    <w:link w:val="EndNoteBibliographyTitleChar"/>
    <w:rsid w:val="008060FB"/>
    <w:pPr>
      <w:spacing w:before="0" w:line="240" w:lineRule="auto"/>
      <w:jc w:val="center"/>
    </w:pPr>
    <w:rPr>
      <w:rFonts w:eastAsiaTheme="minorHAnsi" w:cstheme="minorBidi"/>
      <w:noProof/>
      <w:szCs w:val="22"/>
      <w:lang w:eastAsia="en-AU"/>
    </w:rPr>
  </w:style>
  <w:style w:type="character" w:customStyle="1" w:styleId="EndNoteBibliographyTitleChar">
    <w:name w:val="EndNote Bibliography Title Char"/>
    <w:basedOn w:val="TabletextChar"/>
    <w:link w:val="EndNoteBibliographyTitle"/>
    <w:rsid w:val="008060FB"/>
    <w:rPr>
      <w:rFonts w:ascii="Arial Narrow" w:eastAsiaTheme="minorHAnsi" w:hAnsi="Arial Narrow" w:cstheme="minorBidi"/>
      <w:noProof/>
      <w:sz w:val="24"/>
      <w:szCs w:val="22"/>
    </w:rPr>
  </w:style>
  <w:style w:type="paragraph" w:customStyle="1" w:styleId="EndNoteBibliography">
    <w:name w:val="EndNote Bibliography"/>
    <w:basedOn w:val="Normal"/>
    <w:link w:val="EndNoteBibliographyChar"/>
    <w:rsid w:val="008060FB"/>
    <w:pPr>
      <w:spacing w:before="0" w:after="200" w:line="240" w:lineRule="auto"/>
    </w:pPr>
    <w:rPr>
      <w:rFonts w:eastAsiaTheme="minorHAnsi" w:cstheme="minorBidi"/>
      <w:noProof/>
      <w:szCs w:val="22"/>
      <w:lang w:eastAsia="en-AU"/>
    </w:rPr>
  </w:style>
  <w:style w:type="character" w:customStyle="1" w:styleId="EndNoteBibliographyChar">
    <w:name w:val="EndNote Bibliography Char"/>
    <w:basedOn w:val="TabletextChar"/>
    <w:link w:val="EndNoteBibliography"/>
    <w:rsid w:val="008060FB"/>
    <w:rPr>
      <w:rFonts w:ascii="Arial Narrow" w:eastAsiaTheme="minorHAnsi" w:hAnsi="Arial Narrow" w:cstheme="minorBidi"/>
      <w:noProof/>
      <w:sz w:val="24"/>
      <w:szCs w:val="22"/>
    </w:rPr>
  </w:style>
  <w:style w:type="table" w:customStyle="1" w:styleId="TableGrid8">
    <w:name w:val="Table Grid8"/>
    <w:basedOn w:val="TableNormal"/>
    <w:next w:val="TableGrid"/>
    <w:rsid w:val="008060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Sectionheading-numbered">
    <w:name w:val="ES. Section heading - numbered"/>
    <w:uiPriority w:val="99"/>
    <w:rsid w:val="008060FB"/>
    <w:pPr>
      <w:numPr>
        <w:numId w:val="18"/>
      </w:numPr>
    </w:pPr>
  </w:style>
  <w:style w:type="paragraph" w:customStyle="1" w:styleId="TableHeading">
    <w:name w:val="TableHeading"/>
    <w:basedOn w:val="Normal"/>
    <w:link w:val="TableHeadingChar"/>
    <w:qFormat/>
    <w:rsid w:val="008060FB"/>
    <w:pPr>
      <w:keepNext/>
      <w:tabs>
        <w:tab w:val="left" w:pos="993"/>
      </w:tabs>
      <w:spacing w:before="40" w:after="40" w:line="240" w:lineRule="auto"/>
      <w:ind w:left="992" w:hanging="992"/>
    </w:pPr>
    <w:rPr>
      <w:rFonts w:ascii="Arial Narrow" w:eastAsia="Times New Roman" w:hAnsi="Arial Narrow" w:cs="Tahoma"/>
      <w:b/>
      <w:sz w:val="20"/>
      <w:szCs w:val="20"/>
      <w:lang w:eastAsia="en-AU"/>
    </w:rPr>
  </w:style>
  <w:style w:type="character" w:customStyle="1" w:styleId="TableHeadingChar">
    <w:name w:val="TableHeading Char"/>
    <w:link w:val="TableHeading"/>
    <w:rsid w:val="008060FB"/>
    <w:rPr>
      <w:rFonts w:ascii="Arial Narrow" w:eastAsia="Times New Roman" w:hAnsi="Arial Narrow" w:cs="Tahoma"/>
      <w:b/>
    </w:rPr>
  </w:style>
  <w:style w:type="paragraph" w:customStyle="1" w:styleId="ESNumberedSectionHeading">
    <w:name w:val="ES Numbered Section Heading"/>
    <w:link w:val="ESNumberedSectionHeadingChar"/>
    <w:qFormat/>
    <w:rsid w:val="008060FB"/>
    <w:pPr>
      <w:keepNext/>
      <w:numPr>
        <w:numId w:val="19"/>
      </w:numPr>
      <w:spacing w:before="240" w:after="120" w:line="312" w:lineRule="auto"/>
      <w:ind w:left="1134" w:hanging="1134"/>
      <w:outlineLvl w:val="2"/>
    </w:pPr>
    <w:rPr>
      <w:rFonts w:ascii="Times New Roman" w:eastAsiaTheme="minorHAnsi" w:hAnsi="Times New Roman" w:cs="Tahoma"/>
      <w:smallCaps/>
      <w:sz w:val="24"/>
      <w:szCs w:val="24"/>
    </w:rPr>
  </w:style>
  <w:style w:type="character" w:customStyle="1" w:styleId="ESNumberedSectionHeadingChar">
    <w:name w:val="ES Numbered Section Heading Char"/>
    <w:basedOn w:val="DefaultParagraphFont"/>
    <w:link w:val="ESNumberedSectionHeading"/>
    <w:rsid w:val="008060FB"/>
    <w:rPr>
      <w:rFonts w:ascii="Times New Roman" w:eastAsiaTheme="minorHAnsi" w:hAnsi="Times New Roman" w:cs="Tahoma"/>
      <w:smallCaps/>
      <w:sz w:val="24"/>
      <w:szCs w:val="24"/>
    </w:rPr>
  </w:style>
  <w:style w:type="table" w:customStyle="1" w:styleId="TableGrid9">
    <w:name w:val="Table Grid9"/>
    <w:basedOn w:val="TableNormal"/>
    <w:next w:val="TableGrid"/>
    <w:uiPriority w:val="59"/>
    <w:rsid w:val="008060FB"/>
    <w:pPr>
      <w:spacing w:before="40" w:after="4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854F17"/>
    <w:pPr>
      <w:spacing w:before="60" w:after="60" w:line="240" w:lineRule="auto"/>
    </w:pPr>
    <w:rPr>
      <w:rFonts w:ascii="Arial Narrow" w:eastAsia="Times New Roman" w:hAnsi="Arial Narrow" w:cs="Arial"/>
      <w:sz w:val="18"/>
      <w:szCs w:val="22"/>
      <w:lang w:eastAsia="en-AU"/>
    </w:rPr>
  </w:style>
  <w:style w:type="paragraph" w:customStyle="1" w:styleId="tabletext1">
    <w:name w:val="table text"/>
    <w:basedOn w:val="TableText0"/>
    <w:rsid w:val="008060FB"/>
    <w:pPr>
      <w:keepNext/>
    </w:pPr>
    <w:rPr>
      <w:color w:val="000000"/>
      <w:szCs w:val="20"/>
    </w:rPr>
  </w:style>
  <w:style w:type="paragraph" w:customStyle="1" w:styleId="TableParagraph">
    <w:name w:val="Table Paragraph"/>
    <w:basedOn w:val="Normal"/>
    <w:uiPriority w:val="1"/>
    <w:qFormat/>
    <w:rsid w:val="008060FB"/>
    <w:pPr>
      <w:widowControl w:val="0"/>
      <w:spacing w:before="0" w:line="240" w:lineRule="auto"/>
    </w:pPr>
    <w:rPr>
      <w:rFonts w:eastAsiaTheme="minorHAnsi" w:cstheme="minorBidi"/>
      <w:sz w:val="22"/>
      <w:szCs w:val="22"/>
      <w:lang w:val="en-US"/>
    </w:rPr>
  </w:style>
  <w:style w:type="table" w:customStyle="1" w:styleId="TableGrid10">
    <w:name w:val="Table Grid10"/>
    <w:basedOn w:val="TableNormal"/>
    <w:next w:val="TableGrid"/>
    <w:rsid w:val="008060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ckgroundTable">
    <w:name w:val="Background Table"/>
    <w:basedOn w:val="Caption"/>
    <w:link w:val="BackgroundTableChar"/>
    <w:qFormat/>
    <w:rsid w:val="008060FB"/>
    <w:pPr>
      <w:spacing w:before="0"/>
    </w:pPr>
  </w:style>
  <w:style w:type="character" w:customStyle="1" w:styleId="BackgroundTableChar">
    <w:name w:val="Background Table Char"/>
    <w:basedOn w:val="CaptionChar"/>
    <w:link w:val="BackgroundTable"/>
    <w:rsid w:val="008060FB"/>
    <w:rPr>
      <w:rFonts w:ascii="Arial" w:hAnsi="Arial"/>
      <w:b/>
      <w:iCs/>
      <w:sz w:val="24"/>
      <w:szCs w:val="18"/>
      <w:lang w:eastAsia="en-US"/>
    </w:rPr>
  </w:style>
  <w:style w:type="numbering" w:customStyle="1" w:styleId="ESSectionheading-numbered1">
    <w:name w:val="ES. Section heading - numbered1"/>
    <w:uiPriority w:val="99"/>
    <w:rsid w:val="00FB5052"/>
    <w:pPr>
      <w:numPr>
        <w:numId w:val="21"/>
      </w:numPr>
    </w:pPr>
  </w:style>
  <w:style w:type="character" w:customStyle="1" w:styleId="cell-value">
    <w:name w:val="cell-value"/>
    <w:basedOn w:val="DefaultParagraphFont"/>
    <w:rsid w:val="00FB5052"/>
  </w:style>
  <w:style w:type="character" w:customStyle="1" w:styleId="cell">
    <w:name w:val="cell"/>
    <w:basedOn w:val="DefaultParagraphFont"/>
    <w:rsid w:val="00FB5052"/>
  </w:style>
  <w:style w:type="character" w:customStyle="1" w:styleId="block">
    <w:name w:val="block"/>
    <w:basedOn w:val="DefaultParagraphFont"/>
    <w:rsid w:val="00FB5052"/>
  </w:style>
  <w:style w:type="paragraph" w:customStyle="1" w:styleId="CM27">
    <w:name w:val="CM27"/>
    <w:basedOn w:val="Normal"/>
    <w:next w:val="Normal"/>
    <w:uiPriority w:val="99"/>
    <w:rsid w:val="00D0193C"/>
    <w:pPr>
      <w:autoSpaceDE w:val="0"/>
      <w:autoSpaceDN w:val="0"/>
      <w:adjustRightInd w:val="0"/>
      <w:spacing w:before="0" w:line="240" w:lineRule="auto"/>
    </w:pPr>
    <w:rPr>
      <w:rFonts w:ascii="Arial" w:eastAsiaTheme="minorHAnsi" w:hAnsi="Arial" w:cs="Arial"/>
    </w:rPr>
  </w:style>
  <w:style w:type="paragraph" w:customStyle="1" w:styleId="CM34">
    <w:name w:val="CM34"/>
    <w:basedOn w:val="Normal"/>
    <w:next w:val="Normal"/>
    <w:uiPriority w:val="99"/>
    <w:rsid w:val="00D0193C"/>
    <w:pPr>
      <w:autoSpaceDE w:val="0"/>
      <w:autoSpaceDN w:val="0"/>
      <w:adjustRightInd w:val="0"/>
      <w:spacing w:before="0" w:line="240" w:lineRule="auto"/>
    </w:pPr>
    <w:rPr>
      <w:rFonts w:ascii="Times New Roman" w:eastAsiaTheme="minorHAnsi" w:hAnsi="Times New Roman"/>
    </w:rPr>
  </w:style>
  <w:style w:type="paragraph" w:customStyle="1" w:styleId="CM28">
    <w:name w:val="CM28"/>
    <w:basedOn w:val="Normal"/>
    <w:next w:val="Normal"/>
    <w:uiPriority w:val="99"/>
    <w:rsid w:val="00D0193C"/>
    <w:pPr>
      <w:autoSpaceDE w:val="0"/>
      <w:autoSpaceDN w:val="0"/>
      <w:adjustRightInd w:val="0"/>
      <w:spacing w:before="0" w:line="240" w:lineRule="auto"/>
    </w:pPr>
    <w:rPr>
      <w:rFonts w:ascii="Times New Roman" w:eastAsiaTheme="minorHAnsi" w:hAnsi="Times New Roman"/>
    </w:rPr>
  </w:style>
  <w:style w:type="character" w:customStyle="1" w:styleId="PersonalComposeStyle">
    <w:name w:val="Personal Compose Style"/>
    <w:basedOn w:val="DefaultParagraphFont"/>
    <w:rsid w:val="001D0FDA"/>
    <w:rPr>
      <w:rFonts w:ascii="Arial" w:hAnsi="Arial" w:cs="Arial"/>
      <w:color w:val="auto"/>
      <w:sz w:val="20"/>
    </w:rPr>
  </w:style>
  <w:style w:type="character" w:customStyle="1" w:styleId="PersonalReplyStyle">
    <w:name w:val="Personal Reply Style"/>
    <w:basedOn w:val="DefaultParagraphFont"/>
    <w:rsid w:val="001D0FDA"/>
    <w:rPr>
      <w:rFonts w:ascii="Arial" w:hAnsi="Arial" w:cs="Arial"/>
      <w:color w:val="auto"/>
      <w:sz w:val="20"/>
    </w:rPr>
  </w:style>
  <w:style w:type="paragraph" w:customStyle="1" w:styleId="Bullet">
    <w:name w:val="Bullet"/>
    <w:basedOn w:val="Normal"/>
    <w:rsid w:val="001D0FDA"/>
    <w:pPr>
      <w:numPr>
        <w:numId w:val="48"/>
      </w:numPr>
      <w:spacing w:before="0" w:after="240" w:line="312" w:lineRule="auto"/>
    </w:pPr>
    <w:rPr>
      <w:rFonts w:ascii="Calibri" w:eastAsia="Times New Roman" w:hAnsi="Calibri" w:cs="Tahoma"/>
      <w:sz w:val="22"/>
      <w:szCs w:val="22"/>
      <w:lang w:eastAsia="en-AU"/>
    </w:rPr>
  </w:style>
  <w:style w:type="paragraph" w:styleId="Date">
    <w:name w:val="Date"/>
    <w:basedOn w:val="Normal"/>
    <w:next w:val="Normal"/>
    <w:link w:val="DateChar"/>
    <w:rsid w:val="001D0FDA"/>
    <w:pPr>
      <w:spacing w:before="0" w:after="240" w:line="312" w:lineRule="auto"/>
      <w:ind w:right="113"/>
      <w:jc w:val="right"/>
    </w:pPr>
    <w:rPr>
      <w:rFonts w:ascii="Arial" w:eastAsia="Times New Roman" w:hAnsi="Arial" w:cs="Tahoma"/>
      <w:b/>
      <w:sz w:val="36"/>
      <w:szCs w:val="22"/>
      <w:lang w:eastAsia="en-AU"/>
    </w:rPr>
  </w:style>
  <w:style w:type="character" w:customStyle="1" w:styleId="DateChar">
    <w:name w:val="Date Char"/>
    <w:basedOn w:val="DefaultParagraphFont"/>
    <w:link w:val="Date"/>
    <w:rsid w:val="001D0FDA"/>
    <w:rPr>
      <w:rFonts w:ascii="Arial" w:eastAsia="Times New Roman" w:hAnsi="Arial" w:cs="Tahoma"/>
      <w:b/>
      <w:sz w:val="36"/>
      <w:szCs w:val="22"/>
    </w:rPr>
  </w:style>
  <w:style w:type="paragraph" w:customStyle="1" w:styleId="Summaryboxtext">
    <w:name w:val="Summary box text"/>
    <w:basedOn w:val="Normal"/>
    <w:rsid w:val="001D0FDA"/>
    <w:pPr>
      <w:spacing w:before="0" w:after="100" w:afterAutospacing="1" w:line="312" w:lineRule="auto"/>
    </w:pPr>
    <w:rPr>
      <w:rFonts w:ascii="Arial Narrow" w:eastAsia="Times New Roman" w:hAnsi="Arial Narrow" w:cs="Tahoma"/>
      <w:sz w:val="22"/>
      <w:szCs w:val="22"/>
      <w:lang w:eastAsia="en-AU"/>
    </w:rPr>
  </w:style>
  <w:style w:type="paragraph" w:customStyle="1" w:styleId="Summaryboxheading">
    <w:name w:val="Summary box heading"/>
    <w:basedOn w:val="Summaryboxtext"/>
    <w:rsid w:val="001D0FDA"/>
    <w:pPr>
      <w:spacing w:before="120"/>
    </w:pPr>
    <w:rPr>
      <w:b/>
    </w:rPr>
  </w:style>
  <w:style w:type="paragraph" w:customStyle="1" w:styleId="Heading2a">
    <w:name w:val="Heading 2a"/>
    <w:basedOn w:val="Heading2"/>
    <w:rsid w:val="001D0FDA"/>
    <w:pPr>
      <w:numPr>
        <w:ilvl w:val="0"/>
        <w:numId w:val="0"/>
      </w:numPr>
      <w:spacing w:before="0" w:after="120"/>
      <w:jc w:val="left"/>
      <w:outlineLvl w:val="9"/>
    </w:pPr>
    <w:rPr>
      <w:rFonts w:ascii="Arial Narrow" w:hAnsi="Arial Narrow" w:cs="Tahoma"/>
      <w:bCs/>
      <w:color w:val="auto"/>
      <w:sz w:val="22"/>
      <w:szCs w:val="22"/>
      <w:lang w:eastAsia="en-AU"/>
    </w:rPr>
  </w:style>
  <w:style w:type="character" w:styleId="PageNumber">
    <w:name w:val="page number"/>
    <w:rsid w:val="001D0FDA"/>
    <w:rPr>
      <w:rFonts w:ascii="Tahoma" w:hAnsi="Tahoma"/>
      <w:b/>
      <w:sz w:val="18"/>
    </w:rPr>
  </w:style>
  <w:style w:type="paragraph" w:customStyle="1" w:styleId="PublicationTitle">
    <w:name w:val="PublicationTitle"/>
    <w:basedOn w:val="Normal"/>
    <w:rsid w:val="001D0FDA"/>
    <w:pPr>
      <w:spacing w:before="0" w:after="240" w:line="480" w:lineRule="exact"/>
      <w:ind w:right="113"/>
      <w:jc w:val="right"/>
    </w:pPr>
    <w:rPr>
      <w:rFonts w:ascii="Arial" w:eastAsia="Times New Roman" w:hAnsi="Arial" w:cs="Tahoma"/>
      <w:b/>
      <w:i/>
      <w:sz w:val="44"/>
      <w:szCs w:val="22"/>
      <w:lang w:eastAsia="en-AU"/>
    </w:rPr>
  </w:style>
  <w:style w:type="paragraph" w:customStyle="1" w:styleId="Sub-title">
    <w:name w:val="Sub-title"/>
    <w:basedOn w:val="Normal"/>
    <w:rsid w:val="001D0FDA"/>
    <w:pPr>
      <w:spacing w:before="0" w:after="240" w:line="312" w:lineRule="auto"/>
      <w:ind w:right="113"/>
      <w:jc w:val="right"/>
    </w:pPr>
    <w:rPr>
      <w:rFonts w:ascii="Arial" w:eastAsia="Times New Roman" w:hAnsi="Arial" w:cs="Tahoma"/>
      <w:b/>
      <w:sz w:val="32"/>
      <w:szCs w:val="22"/>
      <w:lang w:eastAsia="en-AU"/>
    </w:rPr>
  </w:style>
  <w:style w:type="paragraph" w:customStyle="1" w:styleId="TableText2">
    <w:name w:val="TableText"/>
    <w:basedOn w:val="Normal"/>
    <w:link w:val="TableTextChar1"/>
    <w:rsid w:val="001D0FDA"/>
    <w:pPr>
      <w:keepNext/>
      <w:spacing w:before="40" w:after="40" w:line="312" w:lineRule="auto"/>
    </w:pPr>
    <w:rPr>
      <w:rFonts w:ascii="Arial Narrow" w:eastAsia="Times New Roman" w:hAnsi="Arial Narrow" w:cs="Tahoma"/>
      <w:sz w:val="18"/>
      <w:szCs w:val="22"/>
      <w:lang w:eastAsia="en-AU"/>
    </w:rPr>
  </w:style>
  <w:style w:type="character" w:customStyle="1" w:styleId="TableTextChar1">
    <w:name w:val="TableText Char"/>
    <w:link w:val="TableText2"/>
    <w:rsid w:val="001D0FDA"/>
    <w:rPr>
      <w:rFonts w:ascii="Arial Narrow" w:eastAsia="Times New Roman" w:hAnsi="Arial Narrow" w:cs="Tahoma"/>
      <w:sz w:val="18"/>
      <w:szCs w:val="22"/>
    </w:rPr>
  </w:style>
  <w:style w:type="paragraph" w:customStyle="1" w:styleId="TableName0">
    <w:name w:val="TableName"/>
    <w:basedOn w:val="TableText2"/>
    <w:link w:val="TableNameChar0"/>
    <w:rsid w:val="001D0FDA"/>
    <w:pPr>
      <w:ind w:left="1440" w:hanging="720"/>
    </w:pPr>
    <w:rPr>
      <w:b/>
      <w:sz w:val="20"/>
    </w:rPr>
  </w:style>
  <w:style w:type="character" w:customStyle="1" w:styleId="TableNameChar0">
    <w:name w:val="TableName Char"/>
    <w:link w:val="TableName0"/>
    <w:rsid w:val="001D0FDA"/>
    <w:rPr>
      <w:rFonts w:ascii="Arial Narrow" w:eastAsia="Times New Roman" w:hAnsi="Arial Narrow" w:cs="Tahoma"/>
      <w:b/>
      <w:szCs w:val="22"/>
    </w:rPr>
  </w:style>
  <w:style w:type="paragraph" w:customStyle="1" w:styleId="TableNotes">
    <w:name w:val="TableNotes"/>
    <w:basedOn w:val="TableText2"/>
    <w:link w:val="TableNotesChar"/>
    <w:rsid w:val="001D0FDA"/>
    <w:pPr>
      <w:keepNext w:val="0"/>
      <w:keepLines/>
      <w:spacing w:before="0" w:after="360"/>
      <w:ind w:left="720"/>
      <w:contextualSpacing/>
    </w:pPr>
    <w:rPr>
      <w:sz w:val="16"/>
    </w:rPr>
  </w:style>
  <w:style w:type="character" w:customStyle="1" w:styleId="TableNotesChar">
    <w:name w:val="TableNotes Char"/>
    <w:link w:val="TableNotes"/>
    <w:rsid w:val="001D0FDA"/>
    <w:rPr>
      <w:rFonts w:ascii="Arial Narrow" w:eastAsia="Times New Roman" w:hAnsi="Arial Narrow" w:cs="Tahoma"/>
      <w:sz w:val="16"/>
      <w:szCs w:val="22"/>
    </w:rPr>
  </w:style>
  <w:style w:type="paragraph" w:styleId="Title">
    <w:name w:val="Title"/>
    <w:basedOn w:val="Normal"/>
    <w:link w:val="TitleChar"/>
    <w:qFormat/>
    <w:rsid w:val="001D0FDA"/>
    <w:pPr>
      <w:spacing w:before="0" w:after="240" w:line="312" w:lineRule="auto"/>
      <w:jc w:val="center"/>
    </w:pPr>
    <w:rPr>
      <w:rFonts w:ascii="Arial" w:eastAsia="Times New Roman" w:hAnsi="Arial" w:cs="Tahoma"/>
      <w:b/>
      <w:smallCaps/>
      <w:sz w:val="44"/>
      <w:szCs w:val="22"/>
      <w:lang w:eastAsia="en-AU"/>
    </w:rPr>
  </w:style>
  <w:style w:type="character" w:customStyle="1" w:styleId="TitleChar">
    <w:name w:val="Title Char"/>
    <w:basedOn w:val="DefaultParagraphFont"/>
    <w:link w:val="Title"/>
    <w:rsid w:val="001D0FDA"/>
    <w:rPr>
      <w:rFonts w:ascii="Arial" w:eastAsia="Times New Roman" w:hAnsi="Arial" w:cs="Tahoma"/>
      <w:b/>
      <w:smallCaps/>
      <w:sz w:val="44"/>
      <w:szCs w:val="22"/>
    </w:rPr>
  </w:style>
  <w:style w:type="paragraph" w:customStyle="1" w:styleId="Dash">
    <w:name w:val="Dash"/>
    <w:basedOn w:val="Normal"/>
    <w:rsid w:val="001D0FDA"/>
    <w:pPr>
      <w:numPr>
        <w:numId w:val="49"/>
      </w:numPr>
      <w:spacing w:before="0" w:after="240" w:line="312" w:lineRule="auto"/>
    </w:pPr>
    <w:rPr>
      <w:rFonts w:ascii="Calibri" w:eastAsia="Times New Roman" w:hAnsi="Calibri" w:cs="Tahoma"/>
      <w:sz w:val="22"/>
      <w:szCs w:val="22"/>
      <w:lang w:eastAsia="en-AU"/>
    </w:rPr>
  </w:style>
  <w:style w:type="paragraph" w:customStyle="1" w:styleId="TableHeading0">
    <w:name w:val="Table Heading"/>
    <w:basedOn w:val="Normal"/>
    <w:next w:val="Normal"/>
    <w:rsid w:val="001D0FDA"/>
    <w:pPr>
      <w:keepNext/>
      <w:spacing w:before="40" w:after="40" w:line="312" w:lineRule="auto"/>
    </w:pPr>
    <w:rPr>
      <w:rFonts w:ascii="Arial" w:eastAsia="Times New Roman" w:hAnsi="Arial" w:cs="Tahoma"/>
      <w:b/>
      <w:sz w:val="18"/>
      <w:szCs w:val="22"/>
      <w:lang w:val="en-GB"/>
    </w:rPr>
  </w:style>
  <w:style w:type="character" w:customStyle="1" w:styleId="TableTextChar0">
    <w:name w:val="Table Text Char"/>
    <w:link w:val="TableText0"/>
    <w:rsid w:val="001D0FDA"/>
    <w:rPr>
      <w:rFonts w:ascii="Arial Narrow" w:eastAsia="Times New Roman" w:hAnsi="Arial Narrow" w:cs="Arial"/>
      <w:sz w:val="18"/>
      <w:szCs w:val="22"/>
    </w:rPr>
  </w:style>
  <w:style w:type="paragraph" w:customStyle="1" w:styleId="Boxname">
    <w:name w:val="Box name"/>
    <w:basedOn w:val="TableName0"/>
    <w:link w:val="BoxnameChar"/>
    <w:rsid w:val="001D0FDA"/>
  </w:style>
  <w:style w:type="character" w:customStyle="1" w:styleId="BoxnameChar">
    <w:name w:val="Box name Char"/>
    <w:basedOn w:val="TableNameChar0"/>
    <w:link w:val="Boxname"/>
    <w:rsid w:val="001D0FDA"/>
    <w:rPr>
      <w:rFonts w:ascii="Arial Narrow" w:eastAsia="Times New Roman" w:hAnsi="Arial Narrow" w:cs="Tahoma"/>
      <w:b/>
      <w:szCs w:val="22"/>
    </w:rPr>
  </w:style>
  <w:style w:type="paragraph" w:customStyle="1" w:styleId="StyleTableTextArialNarrowFirstline045cm">
    <w:name w:val="Style Table Text + Arial Narrow First line:  0.45 cm"/>
    <w:basedOn w:val="TableText0"/>
    <w:rsid w:val="001D0FDA"/>
    <w:pPr>
      <w:keepNext/>
      <w:spacing w:before="40" w:after="360"/>
      <w:ind w:firstLine="720"/>
    </w:pPr>
    <w:rPr>
      <w:rFonts w:cs="Tahoma"/>
      <w:sz w:val="20"/>
      <w:lang w:eastAsia="en-US"/>
    </w:rPr>
  </w:style>
  <w:style w:type="paragraph" w:customStyle="1" w:styleId="TableNamea">
    <w:name w:val="Table Name(a)"/>
    <w:basedOn w:val="Normal"/>
    <w:rsid w:val="001D0FDA"/>
    <w:pPr>
      <w:keepNext/>
      <w:spacing w:before="120" w:after="120" w:line="312" w:lineRule="auto"/>
      <w:ind w:left="1077" w:hanging="1077"/>
    </w:pPr>
    <w:rPr>
      <w:rFonts w:ascii="Arial" w:eastAsia="Times New Roman" w:hAnsi="Arial" w:cs="Tahoma"/>
      <w:b/>
      <w:sz w:val="20"/>
      <w:szCs w:val="22"/>
    </w:rPr>
  </w:style>
  <w:style w:type="paragraph" w:styleId="DocumentMap">
    <w:name w:val="Document Map"/>
    <w:basedOn w:val="Normal"/>
    <w:link w:val="DocumentMapChar"/>
    <w:rsid w:val="001D0FDA"/>
    <w:pPr>
      <w:spacing w:before="0" w:after="240" w:line="312" w:lineRule="auto"/>
    </w:pPr>
    <w:rPr>
      <w:rFonts w:ascii="Calibri" w:eastAsia="Times New Roman" w:hAnsi="Calibri" w:cs="Tahoma"/>
      <w:sz w:val="16"/>
      <w:szCs w:val="16"/>
      <w:lang w:eastAsia="en-AU"/>
    </w:rPr>
  </w:style>
  <w:style w:type="character" w:customStyle="1" w:styleId="DocumentMapChar">
    <w:name w:val="Document Map Char"/>
    <w:basedOn w:val="DefaultParagraphFont"/>
    <w:link w:val="DocumentMap"/>
    <w:rsid w:val="001D0FDA"/>
    <w:rPr>
      <w:rFonts w:ascii="Calibri" w:eastAsia="Times New Roman" w:hAnsi="Calibri" w:cs="Tahoma"/>
      <w:sz w:val="16"/>
      <w:szCs w:val="16"/>
    </w:rPr>
  </w:style>
  <w:style w:type="paragraph" w:customStyle="1" w:styleId="figureheading">
    <w:name w:val="figure heading"/>
    <w:basedOn w:val="Normal"/>
    <w:rsid w:val="001D0FDA"/>
    <w:pPr>
      <w:keepNext/>
      <w:spacing w:before="120" w:after="120" w:line="312" w:lineRule="auto"/>
      <w:ind w:left="1077" w:hanging="1077"/>
    </w:pPr>
    <w:rPr>
      <w:rFonts w:ascii="Arial" w:eastAsia="Times New Roman" w:hAnsi="Arial" w:cs="Tahoma"/>
      <w:b/>
      <w:sz w:val="20"/>
      <w:szCs w:val="22"/>
    </w:rPr>
  </w:style>
  <w:style w:type="paragraph" w:customStyle="1" w:styleId="Nnumberedlist">
    <w:name w:val="Nnumbered list"/>
    <w:basedOn w:val="Normal"/>
    <w:rsid w:val="001D0FDA"/>
    <w:pPr>
      <w:numPr>
        <w:numId w:val="50"/>
      </w:numPr>
      <w:spacing w:before="0" w:after="240" w:line="312" w:lineRule="auto"/>
    </w:pPr>
    <w:rPr>
      <w:rFonts w:ascii="Calibri" w:eastAsia="Times New Roman" w:hAnsi="Calibri" w:cs="Tahoma"/>
      <w:sz w:val="22"/>
      <w:szCs w:val="22"/>
      <w:lang w:eastAsia="en-AU"/>
    </w:rPr>
  </w:style>
  <w:style w:type="paragraph" w:customStyle="1" w:styleId="Figure">
    <w:name w:val="Figure"/>
    <w:basedOn w:val="TableName0"/>
    <w:rsid w:val="001D0FDA"/>
    <w:pPr>
      <w:spacing w:before="120" w:after="120"/>
      <w:ind w:left="1800" w:hanging="1080"/>
    </w:pPr>
  </w:style>
  <w:style w:type="paragraph" w:customStyle="1" w:styleId="Equation">
    <w:name w:val="Equation"/>
    <w:basedOn w:val="Header"/>
    <w:rsid w:val="001D0FDA"/>
    <w:pPr>
      <w:pBdr>
        <w:bottom w:val="none" w:sz="0" w:space="0" w:color="auto"/>
      </w:pBdr>
      <w:tabs>
        <w:tab w:val="clear" w:pos="4513"/>
        <w:tab w:val="clear" w:pos="9026"/>
      </w:tabs>
      <w:spacing w:line="312" w:lineRule="auto"/>
    </w:pPr>
    <w:rPr>
      <w:rFonts w:ascii="Arial Narrow" w:eastAsia="Times New Roman" w:hAnsi="Arial Narrow" w:cs="Tahoma"/>
      <w:szCs w:val="22"/>
      <w:lang w:eastAsia="en-AU"/>
    </w:rPr>
  </w:style>
  <w:style w:type="paragraph" w:customStyle="1" w:styleId="AHTAaddresslines">
    <w:name w:val="AHTA address lines"/>
    <w:basedOn w:val="PlainText"/>
    <w:rsid w:val="001D0FDA"/>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1D0FDA"/>
    <w:pPr>
      <w:spacing w:before="0" w:line="312" w:lineRule="auto"/>
    </w:pPr>
    <w:rPr>
      <w:rFonts w:ascii="Courier New" w:eastAsia="Times New Roman" w:hAnsi="Courier New" w:cs="Courier New"/>
      <w:sz w:val="20"/>
      <w:szCs w:val="22"/>
    </w:rPr>
  </w:style>
  <w:style w:type="character" w:customStyle="1" w:styleId="PlainTextChar">
    <w:name w:val="Plain Text Char"/>
    <w:basedOn w:val="DefaultParagraphFont"/>
    <w:link w:val="PlainText"/>
    <w:rsid w:val="001D0FDA"/>
    <w:rPr>
      <w:rFonts w:ascii="Courier New" w:eastAsia="Times New Roman" w:hAnsi="Courier New" w:cs="Courier New"/>
      <w:szCs w:val="22"/>
      <w:lang w:eastAsia="en-US"/>
    </w:rPr>
  </w:style>
  <w:style w:type="character" w:customStyle="1" w:styleId="regulartext">
    <w:name w:val="regulartext"/>
    <w:basedOn w:val="DefaultParagraphFont"/>
    <w:rsid w:val="001D0FDA"/>
  </w:style>
  <w:style w:type="paragraph" w:customStyle="1" w:styleId="bodytext0">
    <w:name w:val="bodytext"/>
    <w:basedOn w:val="Normal"/>
    <w:rsid w:val="001D0FDA"/>
    <w:pPr>
      <w:spacing w:before="100" w:beforeAutospacing="1" w:after="100" w:afterAutospacing="1" w:line="312" w:lineRule="auto"/>
    </w:pPr>
    <w:rPr>
      <w:rFonts w:ascii="Times New Roman" w:eastAsia="Times New Roman" w:hAnsi="Times New Roman" w:cs="Tahoma"/>
      <w:sz w:val="22"/>
      <w:lang w:eastAsia="en-AU"/>
    </w:rPr>
  </w:style>
  <w:style w:type="character" w:customStyle="1" w:styleId="mainsubheader1">
    <w:name w:val="mainsubheader1"/>
    <w:rsid w:val="001D0FDA"/>
    <w:rPr>
      <w:b/>
      <w:bCs/>
    </w:rPr>
  </w:style>
  <w:style w:type="paragraph" w:customStyle="1" w:styleId="Bullet12">
    <w:name w:val="Bullet+12"/>
    <w:basedOn w:val="Normal"/>
    <w:rsid w:val="001D0FDA"/>
    <w:pPr>
      <w:tabs>
        <w:tab w:val="num" w:pos="357"/>
      </w:tabs>
      <w:spacing w:before="0" w:after="240" w:line="312" w:lineRule="auto"/>
      <w:ind w:left="357" w:hanging="357"/>
    </w:pPr>
    <w:rPr>
      <w:rFonts w:ascii="Times New Roman" w:eastAsia="Times New Roman" w:hAnsi="Times New Roman" w:cs="Tahoma"/>
      <w:sz w:val="22"/>
      <w:szCs w:val="22"/>
    </w:rPr>
  </w:style>
  <w:style w:type="paragraph" w:customStyle="1" w:styleId="Bullet6">
    <w:name w:val="Bullet+6"/>
    <w:basedOn w:val="Normal"/>
    <w:rsid w:val="001D0FDA"/>
    <w:pPr>
      <w:tabs>
        <w:tab w:val="num" w:pos="578"/>
      </w:tabs>
      <w:spacing w:before="0" w:line="312" w:lineRule="auto"/>
      <w:ind w:left="578" w:hanging="360"/>
    </w:pPr>
    <w:rPr>
      <w:rFonts w:ascii="Times New Roman" w:eastAsia="Times New Roman" w:hAnsi="Times New Roman" w:cs="Tahoma"/>
      <w:sz w:val="22"/>
      <w:lang w:eastAsia="en-AU"/>
    </w:rPr>
  </w:style>
  <w:style w:type="table" w:styleId="TableClassic1">
    <w:name w:val="Table Classic 1"/>
    <w:basedOn w:val="TableNormal"/>
    <w:rsid w:val="001D0FDA"/>
    <w:pPr>
      <w:spacing w:after="240" w:line="312" w:lineRule="auto"/>
    </w:pPr>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1">
    <w:name w:val="Style1"/>
    <w:basedOn w:val="Normal"/>
    <w:rsid w:val="001D0FDA"/>
    <w:pPr>
      <w:tabs>
        <w:tab w:val="left" w:pos="720"/>
      </w:tabs>
      <w:spacing w:before="0" w:line="240" w:lineRule="auto"/>
    </w:pPr>
    <w:rPr>
      <w:rFonts w:ascii="Bookman Old Style" w:eastAsia="Times New Roman" w:hAnsi="Bookman Old Style"/>
      <w:sz w:val="20"/>
      <w:szCs w:val="20"/>
      <w:lang w:val="en-US"/>
    </w:rPr>
  </w:style>
  <w:style w:type="character" w:customStyle="1" w:styleId="st1">
    <w:name w:val="st1"/>
    <w:basedOn w:val="DefaultParagraphFont"/>
    <w:rsid w:val="001D0FDA"/>
  </w:style>
  <w:style w:type="table" w:customStyle="1" w:styleId="TableGrid11">
    <w:name w:val="Table Grid11"/>
    <w:basedOn w:val="TableNormal"/>
    <w:next w:val="TableGrid"/>
    <w:rsid w:val="001D0FDA"/>
    <w:pPr>
      <w:spacing w:before="40" w:after="40"/>
    </w:pPr>
    <w:rPr>
      <w:rFonts w:ascii="Arial Narrow" w:eastAsia="Times New Roman"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1D0FDA"/>
    <w:pPr>
      <w:spacing w:before="100" w:beforeAutospacing="1" w:after="100" w:afterAutospacing="1" w:line="240" w:lineRule="auto"/>
    </w:pPr>
    <w:rPr>
      <w:rFonts w:ascii="Times New Roman" w:eastAsia="Times New Roman" w:hAnsi="Times New Roman"/>
      <w:sz w:val="22"/>
      <w:lang w:eastAsia="en-AU"/>
    </w:rPr>
  </w:style>
  <w:style w:type="paragraph" w:customStyle="1" w:styleId="details">
    <w:name w:val="details"/>
    <w:basedOn w:val="Normal"/>
    <w:rsid w:val="001D0FDA"/>
    <w:pPr>
      <w:spacing w:before="100" w:beforeAutospacing="1" w:after="100" w:afterAutospacing="1" w:line="240" w:lineRule="auto"/>
    </w:pPr>
    <w:rPr>
      <w:rFonts w:ascii="Times New Roman" w:eastAsia="Times New Roman" w:hAnsi="Times New Roman"/>
      <w:sz w:val="22"/>
      <w:lang w:eastAsia="en-AU"/>
    </w:rPr>
  </w:style>
  <w:style w:type="character" w:customStyle="1" w:styleId="jrnl">
    <w:name w:val="jrnl"/>
    <w:basedOn w:val="DefaultParagraphFont"/>
    <w:rsid w:val="001D0FDA"/>
  </w:style>
  <w:style w:type="character" w:customStyle="1" w:styleId="A5">
    <w:name w:val="A5"/>
    <w:uiPriority w:val="99"/>
    <w:rsid w:val="001D0FDA"/>
    <w:rPr>
      <w:rFonts w:cs="Humanist 77 7 BT"/>
      <w:color w:val="000000"/>
      <w:sz w:val="11"/>
      <w:szCs w:val="11"/>
    </w:rPr>
  </w:style>
  <w:style w:type="paragraph" w:customStyle="1" w:styleId="TOCHeading1">
    <w:name w:val="TOC Heading1"/>
    <w:basedOn w:val="Heading1"/>
    <w:next w:val="Normal"/>
    <w:uiPriority w:val="39"/>
    <w:unhideWhenUsed/>
    <w:qFormat/>
    <w:rsid w:val="001D0FDA"/>
    <w:pPr>
      <w:keepNext/>
      <w:keepLines/>
      <w:pageBreakBefore w:val="0"/>
      <w:numPr>
        <w:numId w:val="0"/>
      </w:numPr>
      <w:spacing w:before="480" w:after="0" w:line="276" w:lineRule="auto"/>
      <w:jc w:val="left"/>
      <w:outlineLvl w:val="9"/>
    </w:pPr>
    <w:rPr>
      <w:rFonts w:eastAsia="MS Gothic"/>
      <w:bCs/>
      <w:smallCaps/>
      <w:color w:val="365F91"/>
      <w:sz w:val="28"/>
      <w:szCs w:val="28"/>
      <w:lang w:val="en-US"/>
    </w:rPr>
  </w:style>
  <w:style w:type="character" w:customStyle="1" w:styleId="highlight">
    <w:name w:val="highlight"/>
    <w:basedOn w:val="DefaultParagraphFont"/>
    <w:rsid w:val="001D0FDA"/>
  </w:style>
  <w:style w:type="paragraph" w:customStyle="1" w:styleId="ESSectionHeading-numbered0">
    <w:name w:val="ES. Section Heading - numbered"/>
    <w:basedOn w:val="Heading3"/>
    <w:link w:val="ESSectionHeading-numberedChar"/>
    <w:rsid w:val="001D0FDA"/>
    <w:pPr>
      <w:numPr>
        <w:ilvl w:val="0"/>
        <w:numId w:val="52"/>
      </w:numPr>
      <w:tabs>
        <w:tab w:val="clear" w:pos="0"/>
      </w:tabs>
      <w:spacing w:before="240" w:after="120" w:line="312" w:lineRule="auto"/>
      <w:jc w:val="left"/>
    </w:pPr>
    <w:rPr>
      <w:rFonts w:ascii="Calibri" w:hAnsi="Calibri" w:cs="Tahoma"/>
      <w:i w:val="0"/>
      <w:smallCaps/>
      <w:sz w:val="24"/>
    </w:rPr>
  </w:style>
  <w:style w:type="paragraph" w:customStyle="1" w:styleId="MainBodySectionHeading-numbered">
    <w:name w:val="Main Body Section Heading - numbered"/>
    <w:basedOn w:val="Heading2"/>
    <w:link w:val="MainBodySectionHeading-numberedChar"/>
    <w:rsid w:val="001D0FDA"/>
    <w:pPr>
      <w:numPr>
        <w:ilvl w:val="0"/>
        <w:numId w:val="51"/>
      </w:numPr>
      <w:spacing w:before="0" w:after="120"/>
      <w:ind w:left="567" w:hanging="567"/>
      <w:jc w:val="left"/>
    </w:pPr>
    <w:rPr>
      <w:rFonts w:ascii="Arial Narrow" w:hAnsi="Arial Narrow" w:cs="Tahoma"/>
      <w:bCs/>
      <w:szCs w:val="22"/>
    </w:rPr>
  </w:style>
  <w:style w:type="character" w:customStyle="1" w:styleId="ESSectionHeading-numberedChar">
    <w:name w:val="ES. Section Heading - numbered Char"/>
    <w:basedOn w:val="Heading3Char"/>
    <w:link w:val="ESSectionHeading-numbered0"/>
    <w:rsid w:val="001D0FDA"/>
    <w:rPr>
      <w:rFonts w:ascii="Calibri" w:eastAsia="Times New Roman" w:hAnsi="Calibri" w:cs="Tahoma"/>
      <w:b/>
      <w:i w:val="0"/>
      <w:smallCaps/>
      <w:sz w:val="24"/>
      <w:szCs w:val="24"/>
      <w:lang w:eastAsia="en-US"/>
    </w:rPr>
  </w:style>
  <w:style w:type="character" w:customStyle="1" w:styleId="MainBodySectionHeading-numberedChar">
    <w:name w:val="Main Body Section Heading - numbered Char"/>
    <w:basedOn w:val="Heading2Char"/>
    <w:link w:val="MainBodySectionHeading-numbered"/>
    <w:rsid w:val="001D0FDA"/>
    <w:rPr>
      <w:rFonts w:ascii="Arial Narrow" w:eastAsia="Times New Roman" w:hAnsi="Arial Narrow" w:cs="Tahoma"/>
      <w:b/>
      <w:bCs/>
      <w:color w:val="4F81BD"/>
      <w:sz w:val="32"/>
      <w:szCs w:val="22"/>
      <w:lang w:eastAsia="en-US"/>
    </w:rPr>
  </w:style>
  <w:style w:type="paragraph" w:customStyle="1" w:styleId="Tablenotes0">
    <w:name w:val="Tablenotes"/>
    <w:basedOn w:val="Normal"/>
    <w:link w:val="TablenotesChar0"/>
    <w:qFormat/>
    <w:rsid w:val="001D0FDA"/>
    <w:pPr>
      <w:widowControl w:val="0"/>
      <w:spacing w:before="40" w:after="240" w:line="240" w:lineRule="auto"/>
    </w:pPr>
    <w:rPr>
      <w:rFonts w:ascii="Arial Narrow" w:eastAsia="SimSun" w:hAnsi="Arial Narrow" w:cs="Arial"/>
      <w:snapToGrid w:val="0"/>
      <w:sz w:val="20"/>
      <w:szCs w:val="20"/>
    </w:rPr>
  </w:style>
  <w:style w:type="character" w:customStyle="1" w:styleId="TablenotesChar0">
    <w:name w:val="Tablenotes Char"/>
    <w:basedOn w:val="DefaultParagraphFont"/>
    <w:link w:val="Tablenotes0"/>
    <w:rsid w:val="001D0FDA"/>
    <w:rPr>
      <w:rFonts w:ascii="Arial Narrow" w:eastAsia="SimSun" w:hAnsi="Arial Narrow" w:cs="Arial"/>
      <w:snapToGrid w:val="0"/>
      <w:lang w:eastAsia="en-US"/>
    </w:rPr>
  </w:style>
  <w:style w:type="paragraph" w:customStyle="1" w:styleId="TableNotes18">
    <w:name w:val="TableNotes+18"/>
    <w:basedOn w:val="TableText2"/>
    <w:uiPriority w:val="99"/>
    <w:rsid w:val="001D0FDA"/>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1D0FDA"/>
    <w:pPr>
      <w:keepNext/>
      <w:spacing w:after="0"/>
    </w:pPr>
  </w:style>
  <w:style w:type="paragraph" w:customStyle="1" w:styleId="TFAbbrevs0">
    <w:name w:val="TFAbbrevs+0"/>
    <w:basedOn w:val="Normal"/>
    <w:qFormat/>
    <w:rsid w:val="001D0FDA"/>
    <w:pPr>
      <w:keepNext/>
      <w:keepLines/>
      <w:spacing w:before="0" w:line="240" w:lineRule="auto"/>
    </w:pPr>
    <w:rPr>
      <w:rFonts w:ascii="Arial Narrow" w:eastAsia="Times New Roman" w:hAnsi="Arial Narrow"/>
      <w:color w:val="000000"/>
      <w:sz w:val="18"/>
      <w:szCs w:val="18"/>
      <w:lang w:eastAsia="en-AU"/>
    </w:rPr>
  </w:style>
  <w:style w:type="paragraph" w:customStyle="1" w:styleId="TFAbbrevs18">
    <w:name w:val="TFAbbrevs+18"/>
    <w:basedOn w:val="TFAbbrevs0"/>
    <w:next w:val="Normal"/>
    <w:qFormat/>
    <w:rsid w:val="001D0FDA"/>
    <w:pPr>
      <w:spacing w:after="360"/>
    </w:pPr>
  </w:style>
  <w:style w:type="paragraph" w:customStyle="1" w:styleId="Comment">
    <w:name w:val="Comment"/>
    <w:basedOn w:val="Normal"/>
    <w:link w:val="CommentChar"/>
    <w:rsid w:val="001D0FDA"/>
    <w:pPr>
      <w:tabs>
        <w:tab w:val="num" w:pos="720"/>
      </w:tabs>
      <w:spacing w:before="0" w:after="240" w:line="312" w:lineRule="auto"/>
    </w:pPr>
    <w:rPr>
      <w:rFonts w:ascii="Calibri" w:eastAsia="Times New Roman" w:hAnsi="Calibri" w:cs="Tahoma"/>
      <w:i/>
      <w:sz w:val="22"/>
      <w:szCs w:val="22"/>
      <w:lang w:eastAsia="en-AU"/>
    </w:rPr>
  </w:style>
  <w:style w:type="character" w:customStyle="1" w:styleId="CommentChar">
    <w:name w:val="Comment Char"/>
    <w:basedOn w:val="DefaultParagraphFont"/>
    <w:link w:val="Comment"/>
    <w:rsid w:val="001D0FDA"/>
    <w:rPr>
      <w:rFonts w:ascii="Calibri" w:eastAsia="Times New Roman" w:hAnsi="Calibri" w:cs="Tahoma"/>
      <w:i/>
      <w:sz w:val="22"/>
      <w:szCs w:val="22"/>
    </w:rPr>
  </w:style>
  <w:style w:type="paragraph" w:customStyle="1" w:styleId="hidden">
    <w:name w:val="hidden"/>
    <w:basedOn w:val="Normal"/>
    <w:qFormat/>
    <w:rsid w:val="001D0FDA"/>
    <w:pPr>
      <w:spacing w:before="0" w:after="240" w:line="312" w:lineRule="auto"/>
    </w:pPr>
    <w:rPr>
      <w:rFonts w:ascii="Calibri" w:eastAsia="Times New Roman" w:hAnsi="Calibri" w:cs="Tahoma"/>
      <w:sz w:val="22"/>
      <w:szCs w:val="22"/>
      <w:lang w:eastAsia="en-AU"/>
    </w:rPr>
  </w:style>
  <w:style w:type="paragraph" w:customStyle="1" w:styleId="Guidelines">
    <w:name w:val="Guidelines"/>
    <w:basedOn w:val="Normal"/>
    <w:link w:val="GuidelinesChar"/>
    <w:qFormat/>
    <w:rsid w:val="001D0FDA"/>
    <w:pPr>
      <w:spacing w:before="0" w:after="240" w:line="312" w:lineRule="auto"/>
    </w:pPr>
    <w:rPr>
      <w:rFonts w:ascii="Calibri" w:eastAsia="Times New Roman" w:hAnsi="Calibri" w:cs="Tahoma"/>
      <w:vanish/>
      <w:color w:val="C00000"/>
      <w:sz w:val="22"/>
      <w:szCs w:val="22"/>
      <w:lang w:eastAsia="en-AU"/>
    </w:rPr>
  </w:style>
  <w:style w:type="character" w:customStyle="1" w:styleId="GuidelinesChar">
    <w:name w:val="Guidelines Char"/>
    <w:basedOn w:val="DefaultParagraphFont"/>
    <w:link w:val="Guidelines"/>
    <w:rsid w:val="001D0FDA"/>
    <w:rPr>
      <w:rFonts w:ascii="Calibri" w:eastAsia="Times New Roman" w:hAnsi="Calibri" w:cs="Tahoma"/>
      <w:vanish/>
      <w:color w:val="C00000"/>
      <w:sz w:val="22"/>
      <w:szCs w:val="22"/>
    </w:rPr>
  </w:style>
  <w:style w:type="table" w:customStyle="1" w:styleId="TableGrid51">
    <w:name w:val="Table Grid5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nt">
    <w:name w:val="Table font"/>
    <w:basedOn w:val="Normal"/>
    <w:link w:val="TablefontChar"/>
    <w:qFormat/>
    <w:rsid w:val="001D0FDA"/>
    <w:pPr>
      <w:spacing w:before="120" w:after="120" w:line="240" w:lineRule="auto"/>
    </w:pPr>
    <w:rPr>
      <w:rFonts w:ascii="Arial Narrow" w:hAnsi="Arial Narrow"/>
      <w:sz w:val="18"/>
      <w:szCs w:val="22"/>
    </w:rPr>
  </w:style>
  <w:style w:type="character" w:customStyle="1" w:styleId="TablefontChar">
    <w:name w:val="Table font Char"/>
    <w:basedOn w:val="DefaultParagraphFont"/>
    <w:link w:val="Tablefont"/>
    <w:rsid w:val="001D0FDA"/>
    <w:rPr>
      <w:rFonts w:ascii="Arial Narrow" w:hAnsi="Arial Narrow"/>
      <w:sz w:val="18"/>
      <w:szCs w:val="22"/>
      <w:lang w:eastAsia="en-US"/>
    </w:rPr>
  </w:style>
  <w:style w:type="character" w:customStyle="1" w:styleId="label">
    <w:name w:val="label"/>
    <w:basedOn w:val="DefaultParagraphFont"/>
    <w:rsid w:val="001D0FDA"/>
  </w:style>
  <w:style w:type="character" w:customStyle="1" w:styleId="quality-sign">
    <w:name w:val="quality-sign"/>
    <w:basedOn w:val="DefaultParagraphFont"/>
    <w:rsid w:val="001D0FDA"/>
  </w:style>
  <w:style w:type="table" w:customStyle="1" w:styleId="TableGrid52">
    <w:name w:val="Table Grid52"/>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1D0FDA"/>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left">
    <w:name w:val="Table Text 1 (left)"/>
    <w:basedOn w:val="Normal"/>
    <w:link w:val="TableText1leftChar"/>
    <w:qFormat/>
    <w:rsid w:val="001D0FDA"/>
    <w:pPr>
      <w:spacing w:before="40" w:after="40" w:line="240" w:lineRule="auto"/>
    </w:pPr>
    <w:rPr>
      <w:rFonts w:ascii="Calibri" w:eastAsia="SimSun" w:hAnsi="Calibri" w:cs="Calibri"/>
      <w:sz w:val="20"/>
      <w:szCs w:val="20"/>
      <w:lang w:val="en-GB"/>
    </w:rPr>
  </w:style>
  <w:style w:type="character" w:customStyle="1" w:styleId="TableText1leftChar">
    <w:name w:val="Table Text 1 (left) Char"/>
    <w:link w:val="TableText1left"/>
    <w:locked/>
    <w:rsid w:val="001D0FDA"/>
    <w:rPr>
      <w:rFonts w:ascii="Calibri" w:eastAsia="SimSun" w:hAnsi="Calibri" w:cs="Calibri"/>
      <w:lang w:val="en-GB" w:eastAsia="en-US"/>
    </w:rPr>
  </w:style>
  <w:style w:type="table" w:customStyle="1" w:styleId="TableGrid581">
    <w:name w:val="Table Grid58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1D0FDA"/>
    <w:pPr>
      <w:spacing w:before="40" w:after="40"/>
    </w:pPr>
    <w:rPr>
      <w:rFonts w:ascii="Arial Narrow" w:eastAsia="Times New Roman"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ahoma" w:hAnsi="Tahoma"/>
        <w:b w:val="0"/>
        <w:sz w:val="20"/>
      </w:rPr>
    </w:tblStylePr>
  </w:style>
  <w:style w:type="numbering" w:customStyle="1" w:styleId="NoList11">
    <w:name w:val="No List11"/>
    <w:next w:val="NoList"/>
    <w:uiPriority w:val="99"/>
    <w:semiHidden/>
    <w:unhideWhenUsed/>
    <w:rsid w:val="001D0FDA"/>
  </w:style>
  <w:style w:type="table" w:customStyle="1" w:styleId="TableGrid12">
    <w:name w:val="Table Grid12"/>
    <w:basedOn w:val="TableNormal"/>
    <w:next w:val="TableGrid"/>
    <w:uiPriority w:val="59"/>
    <w:rsid w:val="001D0FDA"/>
    <w:pPr>
      <w:spacing w:before="40" w:after="40"/>
    </w:pPr>
    <w:rPr>
      <w:rFonts w:ascii="Calibri" w:eastAsia="Times New Roman" w:hAnsi="Calibri"/>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
    <w:name w:val="Table Classic 11"/>
    <w:basedOn w:val="TableNormal"/>
    <w:next w:val="TableClassic1"/>
    <w:rsid w:val="001D0FDA"/>
    <w:pPr>
      <w:spacing w:after="240" w:line="312" w:lineRule="auto"/>
    </w:pPr>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512">
    <w:name w:val="Table Grid512"/>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 Grid510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59"/>
    <w:rsid w:val="001D0FDA"/>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1D0FDA"/>
    <w:pPr>
      <w:numPr>
        <w:numId w:val="53"/>
      </w:numPr>
      <w:spacing w:before="0" w:line="240" w:lineRule="auto"/>
      <w:contextualSpacing/>
    </w:pPr>
    <w:rPr>
      <w:rFonts w:ascii="Times New Roman" w:eastAsia="Times New Roman" w:hAnsi="Times New Roman"/>
      <w:szCs w:val="20"/>
    </w:rPr>
  </w:style>
  <w:style w:type="paragraph" w:customStyle="1" w:styleId="ToRText">
    <w:name w:val="ToR Text"/>
    <w:basedOn w:val="Normal"/>
    <w:link w:val="ToRTextChar"/>
    <w:qFormat/>
    <w:rsid w:val="005A0C83"/>
    <w:pPr>
      <w:pBdr>
        <w:top w:val="single" w:sz="4" w:space="1" w:color="auto"/>
        <w:left w:val="single" w:sz="4" w:space="4" w:color="auto"/>
        <w:bottom w:val="single" w:sz="4" w:space="1" w:color="auto"/>
        <w:right w:val="single" w:sz="4" w:space="4" w:color="auto"/>
      </w:pBdr>
      <w:spacing w:before="0" w:after="200" w:line="240" w:lineRule="auto"/>
    </w:pPr>
    <w:rPr>
      <w:rFonts w:eastAsiaTheme="minorHAnsi" w:cstheme="minorHAnsi"/>
      <w:b/>
      <w:color w:val="365F91" w:themeColor="accent1" w:themeShade="BF"/>
      <w:szCs w:val="22"/>
      <w:lang w:eastAsia="en-AU"/>
    </w:rPr>
  </w:style>
  <w:style w:type="character" w:customStyle="1" w:styleId="ToRTextChar">
    <w:name w:val="ToR Text Char"/>
    <w:basedOn w:val="DefaultParagraphFont"/>
    <w:link w:val="ToRText"/>
    <w:rsid w:val="005A0C83"/>
    <w:rPr>
      <w:rFonts w:asciiTheme="minorHAnsi" w:eastAsiaTheme="minorHAnsi" w:hAnsiTheme="minorHAnsi" w:cstheme="minorHAnsi"/>
      <w:b/>
      <w:color w:val="365F91" w:themeColor="accent1" w:themeShade="BF"/>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annotation reference" w:qFormat="1"/>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C83"/>
    <w:pPr>
      <w:spacing w:before="240" w:line="276" w:lineRule="auto"/>
    </w:pPr>
    <w:rPr>
      <w:rFonts w:asciiTheme="minorHAnsi" w:hAnsiTheme="minorHAnsi"/>
      <w:sz w:val="24"/>
      <w:szCs w:val="24"/>
      <w:lang w:eastAsia="en-US"/>
    </w:rPr>
  </w:style>
  <w:style w:type="paragraph" w:styleId="Heading1">
    <w:name w:val="heading 1"/>
    <w:next w:val="BodyText"/>
    <w:link w:val="Heading1Char"/>
    <w:qFormat/>
    <w:rsid w:val="006068D9"/>
    <w:pPr>
      <w:pageBreakBefore/>
      <w:numPr>
        <w:numId w:val="10"/>
      </w:numPr>
      <w:spacing w:before="120" w:after="480"/>
      <w:ind w:left="0"/>
      <w:jc w:val="center"/>
      <w:outlineLvl w:val="0"/>
    </w:pPr>
    <w:rPr>
      <w:rFonts w:eastAsia="Times New Roman"/>
      <w:b/>
      <w:color w:val="4F81BD"/>
      <w:sz w:val="36"/>
      <w:szCs w:val="32"/>
      <w:lang w:eastAsia="en-US"/>
    </w:rPr>
  </w:style>
  <w:style w:type="paragraph" w:styleId="Heading2">
    <w:name w:val="heading 2"/>
    <w:next w:val="BodyText"/>
    <w:link w:val="Heading2Char"/>
    <w:unhideWhenUsed/>
    <w:qFormat/>
    <w:rsid w:val="00A66468"/>
    <w:pPr>
      <w:keepNext/>
      <w:numPr>
        <w:ilvl w:val="1"/>
        <w:numId w:val="10"/>
      </w:numPr>
      <w:spacing w:before="200" w:after="240"/>
      <w:jc w:val="both"/>
      <w:outlineLvl w:val="1"/>
    </w:pPr>
    <w:rPr>
      <w:rFonts w:asciiTheme="minorHAnsi" w:eastAsia="Times New Roman" w:hAnsiTheme="minorHAnsi"/>
      <w:b/>
      <w:color w:val="4F81BD"/>
      <w:sz w:val="32"/>
      <w:szCs w:val="26"/>
      <w:lang w:eastAsia="en-US"/>
    </w:rPr>
  </w:style>
  <w:style w:type="paragraph" w:styleId="Heading3">
    <w:name w:val="heading 3"/>
    <w:next w:val="BodyText"/>
    <w:link w:val="Heading3Char"/>
    <w:unhideWhenUsed/>
    <w:qFormat/>
    <w:rsid w:val="00A66468"/>
    <w:pPr>
      <w:keepNext/>
      <w:numPr>
        <w:ilvl w:val="2"/>
        <w:numId w:val="10"/>
      </w:numPr>
      <w:tabs>
        <w:tab w:val="left" w:pos="0"/>
      </w:tabs>
      <w:spacing w:before="200"/>
      <w:jc w:val="both"/>
      <w:outlineLvl w:val="2"/>
    </w:pPr>
    <w:rPr>
      <w:rFonts w:asciiTheme="minorHAnsi" w:eastAsia="Times New Roman" w:hAnsiTheme="minorHAnsi"/>
      <w:b/>
      <w:i/>
      <w:sz w:val="30"/>
      <w:szCs w:val="24"/>
      <w:lang w:eastAsia="en-US"/>
    </w:rPr>
  </w:style>
  <w:style w:type="paragraph" w:styleId="Heading4">
    <w:name w:val="heading 4"/>
    <w:next w:val="BodyText"/>
    <w:link w:val="Heading4Char"/>
    <w:unhideWhenUsed/>
    <w:qFormat/>
    <w:rsid w:val="00B607A5"/>
    <w:pPr>
      <w:keepNext/>
      <w:keepLines/>
      <w:numPr>
        <w:ilvl w:val="3"/>
        <w:numId w:val="10"/>
      </w:numPr>
      <w:spacing w:before="240" w:line="276" w:lineRule="auto"/>
      <w:jc w:val="both"/>
      <w:outlineLvl w:val="3"/>
    </w:pPr>
    <w:rPr>
      <w:rFonts w:asciiTheme="minorHAnsi" w:eastAsia="Times New Roman" w:hAnsiTheme="minorHAnsi"/>
      <w:b/>
      <w:iCs/>
      <w:sz w:val="24"/>
      <w:szCs w:val="24"/>
      <w:lang w:eastAsia="en-US"/>
    </w:rPr>
  </w:style>
  <w:style w:type="paragraph" w:styleId="Heading5">
    <w:name w:val="heading 5"/>
    <w:next w:val="BodyText"/>
    <w:link w:val="Heading5Char"/>
    <w:unhideWhenUsed/>
    <w:qFormat/>
    <w:rsid w:val="00B607A5"/>
    <w:pPr>
      <w:keepNext/>
      <w:numPr>
        <w:ilvl w:val="4"/>
        <w:numId w:val="10"/>
      </w:numPr>
      <w:spacing w:before="240" w:line="276" w:lineRule="auto"/>
      <w:jc w:val="both"/>
      <w:outlineLvl w:val="4"/>
    </w:pPr>
    <w:rPr>
      <w:rFonts w:asciiTheme="minorHAnsi" w:eastAsia="Times New Roman" w:hAnsiTheme="minorHAnsi"/>
      <w:sz w:val="24"/>
      <w:szCs w:val="24"/>
      <w:u w:val="single"/>
      <w:lang w:eastAsia="en-US"/>
    </w:rPr>
  </w:style>
  <w:style w:type="paragraph" w:styleId="Heading6">
    <w:name w:val="heading 6"/>
    <w:next w:val="BodyText"/>
    <w:link w:val="Heading6Char"/>
    <w:unhideWhenUsed/>
    <w:qFormat/>
    <w:rsid w:val="00B607A5"/>
    <w:pPr>
      <w:keepNext/>
      <w:keepLines/>
      <w:numPr>
        <w:ilvl w:val="5"/>
        <w:numId w:val="10"/>
      </w:numPr>
      <w:spacing w:before="240"/>
      <w:outlineLvl w:val="5"/>
    </w:pPr>
    <w:rPr>
      <w:rFonts w:asciiTheme="minorHAnsi" w:eastAsia="Times New Roman" w:hAnsiTheme="minorHAnsi"/>
      <w:i/>
      <w:sz w:val="24"/>
      <w:szCs w:val="24"/>
      <w:lang w:eastAsia="en-US"/>
    </w:rPr>
  </w:style>
  <w:style w:type="paragraph" w:styleId="Heading7">
    <w:name w:val="heading 7"/>
    <w:aliases w:val="App Heading 1"/>
    <w:next w:val="BodyText"/>
    <w:link w:val="Heading7Char"/>
    <w:unhideWhenUsed/>
    <w:qFormat/>
    <w:rsid w:val="006068D9"/>
    <w:pPr>
      <w:pageBreakBefore/>
      <w:numPr>
        <w:ilvl w:val="6"/>
        <w:numId w:val="10"/>
      </w:numPr>
      <w:tabs>
        <w:tab w:val="left" w:pos="2268"/>
      </w:tabs>
      <w:spacing w:after="360" w:line="276" w:lineRule="auto"/>
      <w:ind w:left="0"/>
      <w:jc w:val="both"/>
      <w:outlineLvl w:val="6"/>
    </w:pPr>
    <w:rPr>
      <w:rFonts w:eastAsia="Times New Roman"/>
      <w:b/>
      <w:iCs/>
      <w:color w:val="4F81BD"/>
      <w:sz w:val="36"/>
      <w:szCs w:val="24"/>
      <w:lang w:eastAsia="en-US"/>
    </w:rPr>
  </w:style>
  <w:style w:type="paragraph" w:styleId="Heading8">
    <w:name w:val="heading 8"/>
    <w:aliases w:val="App Heading 2"/>
    <w:next w:val="BodyText"/>
    <w:link w:val="Heading8Char"/>
    <w:unhideWhenUsed/>
    <w:qFormat/>
    <w:rsid w:val="006068D9"/>
    <w:pPr>
      <w:keepNext/>
      <w:numPr>
        <w:ilvl w:val="7"/>
        <w:numId w:val="10"/>
      </w:numPr>
      <w:tabs>
        <w:tab w:val="left" w:pos="851"/>
      </w:tabs>
      <w:spacing w:before="360" w:line="276" w:lineRule="auto"/>
      <w:jc w:val="both"/>
      <w:outlineLvl w:val="7"/>
    </w:pPr>
    <w:rPr>
      <w:rFonts w:eastAsia="Times New Roman"/>
      <w:color w:val="4F81BD"/>
      <w:sz w:val="32"/>
      <w:szCs w:val="21"/>
      <w:lang w:eastAsia="en-US"/>
    </w:rPr>
  </w:style>
  <w:style w:type="paragraph" w:styleId="Heading9">
    <w:name w:val="heading 9"/>
    <w:aliases w:val="App Heading 3"/>
    <w:next w:val="BodyText"/>
    <w:link w:val="Heading9Char"/>
    <w:unhideWhenUsed/>
    <w:qFormat/>
    <w:rsid w:val="006068D9"/>
    <w:pPr>
      <w:keepNext/>
      <w:numPr>
        <w:ilvl w:val="8"/>
        <w:numId w:val="10"/>
      </w:numPr>
      <w:tabs>
        <w:tab w:val="left" w:pos="851"/>
      </w:tabs>
      <w:spacing w:before="360" w:line="276" w:lineRule="auto"/>
      <w:jc w:val="both"/>
      <w:outlineLvl w:val="8"/>
    </w:pPr>
    <w:rPr>
      <w:rFonts w:eastAsia="Times New Roman"/>
      <w:b/>
      <w:i/>
      <w:iCs/>
      <w:color w:val="272727"/>
      <w:sz w:val="28"/>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52C9E"/>
    <w:rPr>
      <w:rFonts w:eastAsia="Times New Roman"/>
      <w:b/>
      <w:color w:val="4F81BD"/>
      <w:sz w:val="36"/>
      <w:szCs w:val="32"/>
      <w:lang w:eastAsia="en-US"/>
    </w:rPr>
  </w:style>
  <w:style w:type="paragraph" w:customStyle="1" w:styleId="ToR">
    <w:name w:val="ToR"/>
    <w:next w:val="BodyText"/>
    <w:qFormat/>
    <w:rsid w:val="003F03FF"/>
    <w:pPr>
      <w:tabs>
        <w:tab w:val="left" w:pos="794"/>
      </w:tabs>
      <w:spacing w:before="240" w:line="276" w:lineRule="auto"/>
      <w:jc w:val="both"/>
    </w:pPr>
    <w:rPr>
      <w:i/>
      <w:sz w:val="24"/>
      <w:szCs w:val="24"/>
      <w:lang w:eastAsia="en-US"/>
    </w:rPr>
  </w:style>
  <w:style w:type="paragraph" w:styleId="BodyText">
    <w:name w:val="Body Text"/>
    <w:link w:val="BodyTextChar"/>
    <w:unhideWhenUsed/>
    <w:rsid w:val="008E29BE"/>
    <w:pPr>
      <w:spacing w:before="240" w:line="276" w:lineRule="auto"/>
      <w:jc w:val="both"/>
    </w:pPr>
    <w:rPr>
      <w:sz w:val="24"/>
      <w:szCs w:val="24"/>
      <w:lang w:eastAsia="en-US"/>
    </w:rPr>
  </w:style>
  <w:style w:type="character" w:customStyle="1" w:styleId="BodyTextChar">
    <w:name w:val="Body Text Char"/>
    <w:basedOn w:val="DefaultParagraphFont"/>
    <w:link w:val="BodyText"/>
    <w:rsid w:val="008E29BE"/>
  </w:style>
  <w:style w:type="paragraph" w:customStyle="1" w:styleId="ToRsinboxwithhangingindent">
    <w:name w:val="ToRs in box with hanging indent"/>
    <w:qFormat/>
    <w:rsid w:val="005B5D2A"/>
    <w:pPr>
      <w:keepNext/>
      <w:pBdr>
        <w:top w:val="single" w:sz="4" w:space="8" w:color="auto"/>
        <w:left w:val="single" w:sz="4" w:space="4" w:color="auto"/>
        <w:bottom w:val="single" w:sz="4" w:space="8" w:color="auto"/>
        <w:right w:val="single" w:sz="4" w:space="4" w:color="auto"/>
      </w:pBdr>
      <w:shd w:val="clear" w:color="auto" w:fill="F2F2F2"/>
      <w:tabs>
        <w:tab w:val="left" w:pos="1304"/>
      </w:tabs>
      <w:spacing w:before="120" w:line="276" w:lineRule="auto"/>
      <w:ind w:left="1304" w:hanging="1304"/>
      <w:jc w:val="both"/>
    </w:pPr>
    <w:rPr>
      <w:sz w:val="24"/>
      <w:szCs w:val="24"/>
      <w:lang w:eastAsia="en-US"/>
    </w:rPr>
  </w:style>
  <w:style w:type="character" w:customStyle="1" w:styleId="Heading2Char">
    <w:name w:val="Heading 2 Char"/>
    <w:link w:val="Heading2"/>
    <w:rsid w:val="00A66468"/>
    <w:rPr>
      <w:rFonts w:asciiTheme="minorHAnsi" w:eastAsia="Times New Roman" w:hAnsiTheme="minorHAnsi"/>
      <w:b/>
      <w:color w:val="4F81BD"/>
      <w:sz w:val="32"/>
      <w:szCs w:val="26"/>
      <w:lang w:eastAsia="en-US"/>
    </w:rPr>
  </w:style>
  <w:style w:type="paragraph" w:customStyle="1" w:styleId="ToRinbox">
    <w:name w:val="ToR in box"/>
    <w:basedOn w:val="ToRsinboxwithhangingindent"/>
    <w:qFormat/>
    <w:rsid w:val="00BB390F"/>
    <w:pPr>
      <w:pBdr>
        <w:top w:val="single" w:sz="4" w:space="6" w:color="auto"/>
        <w:bottom w:val="single" w:sz="4" w:space="6" w:color="auto"/>
      </w:pBdr>
      <w:tabs>
        <w:tab w:val="clear" w:pos="1304"/>
      </w:tabs>
      <w:ind w:left="0" w:firstLine="0"/>
    </w:pPr>
  </w:style>
  <w:style w:type="character" w:customStyle="1" w:styleId="Heading3Char">
    <w:name w:val="Heading 3 Char"/>
    <w:link w:val="Heading3"/>
    <w:rsid w:val="00A66468"/>
    <w:rPr>
      <w:rFonts w:asciiTheme="minorHAnsi" w:eastAsia="Times New Roman" w:hAnsiTheme="minorHAnsi"/>
      <w:b/>
      <w:i/>
      <w:sz w:val="30"/>
      <w:szCs w:val="24"/>
      <w:lang w:eastAsia="en-US"/>
    </w:rPr>
  </w:style>
  <w:style w:type="paragraph" w:customStyle="1" w:styleId="Bullettext">
    <w:name w:val="Bullet text"/>
    <w:link w:val="BullettextChar"/>
    <w:qFormat/>
    <w:rsid w:val="0086175F"/>
    <w:pPr>
      <w:numPr>
        <w:numId w:val="1"/>
      </w:numPr>
      <w:spacing w:before="120" w:line="276" w:lineRule="auto"/>
      <w:contextualSpacing/>
    </w:pPr>
    <w:rPr>
      <w:rFonts w:asciiTheme="minorHAnsi" w:hAnsiTheme="minorHAnsi"/>
      <w:sz w:val="24"/>
      <w:szCs w:val="24"/>
      <w:lang w:eastAsia="en-US"/>
    </w:rPr>
  </w:style>
  <w:style w:type="paragraph" w:customStyle="1" w:styleId="Bullettextsecondlevel">
    <w:name w:val="Bullet text second level"/>
    <w:qFormat/>
    <w:rsid w:val="00907F4C"/>
    <w:pPr>
      <w:numPr>
        <w:numId w:val="2"/>
      </w:numPr>
      <w:spacing w:line="276" w:lineRule="auto"/>
      <w:ind w:left="851" w:hanging="284"/>
      <w:jc w:val="both"/>
    </w:pPr>
    <w:rPr>
      <w:sz w:val="24"/>
      <w:szCs w:val="24"/>
      <w:lang w:eastAsia="en-US"/>
    </w:rPr>
  </w:style>
  <w:style w:type="character" w:customStyle="1" w:styleId="Heading4Char">
    <w:name w:val="Heading 4 Char"/>
    <w:link w:val="Heading4"/>
    <w:rsid w:val="00B607A5"/>
    <w:rPr>
      <w:rFonts w:asciiTheme="minorHAnsi" w:eastAsia="Times New Roman" w:hAnsiTheme="minorHAnsi"/>
      <w:b/>
      <w:iCs/>
      <w:sz w:val="24"/>
      <w:szCs w:val="24"/>
      <w:lang w:eastAsia="en-US"/>
    </w:rPr>
  </w:style>
  <w:style w:type="character" w:customStyle="1" w:styleId="Heading5Char">
    <w:name w:val="Heading 5 Char"/>
    <w:link w:val="Heading5"/>
    <w:rsid w:val="00B607A5"/>
    <w:rPr>
      <w:rFonts w:asciiTheme="minorHAnsi" w:eastAsia="Times New Roman" w:hAnsiTheme="minorHAnsi"/>
      <w:sz w:val="24"/>
      <w:szCs w:val="24"/>
      <w:u w:val="single"/>
      <w:lang w:eastAsia="en-US"/>
    </w:rPr>
  </w:style>
  <w:style w:type="paragraph" w:customStyle="1" w:styleId="BodyTextnospacebefore">
    <w:name w:val="Body Text – no space before"/>
    <w:next w:val="BodyText"/>
    <w:qFormat/>
    <w:rsid w:val="00A66468"/>
    <w:pPr>
      <w:spacing w:after="200" w:line="276" w:lineRule="auto"/>
    </w:pPr>
    <w:rPr>
      <w:rFonts w:asciiTheme="minorHAnsi" w:hAnsiTheme="minorHAnsi"/>
      <w:sz w:val="24"/>
      <w:szCs w:val="24"/>
      <w:lang w:eastAsia="en-US"/>
    </w:rPr>
  </w:style>
  <w:style w:type="paragraph" w:styleId="TableofAuthorities">
    <w:name w:val="table of authorities"/>
    <w:basedOn w:val="Normal"/>
    <w:next w:val="Normal"/>
    <w:uiPriority w:val="99"/>
    <w:semiHidden/>
    <w:unhideWhenUsed/>
    <w:rsid w:val="00834197"/>
    <w:pPr>
      <w:ind w:left="240" w:hanging="240"/>
    </w:pPr>
  </w:style>
  <w:style w:type="paragraph" w:customStyle="1" w:styleId="05Tabletext">
    <w:name w:val="05 Table text"/>
    <w:next w:val="06Tabletextspacebefore"/>
    <w:qFormat/>
    <w:rsid w:val="005940CE"/>
    <w:pPr>
      <w:spacing w:before="20"/>
      <w:ind w:left="57" w:right="57"/>
    </w:pPr>
    <w:rPr>
      <w:rFonts w:ascii="Arial Narrow" w:hAnsi="Arial Narrow"/>
      <w:sz w:val="18"/>
      <w:szCs w:val="24"/>
      <w:lang w:eastAsia="en-US"/>
    </w:rPr>
  </w:style>
  <w:style w:type="table" w:styleId="TableGrid">
    <w:name w:val="Table Grid"/>
    <w:basedOn w:val="TableNormal"/>
    <w:rsid w:val="00E35D60"/>
    <w:pPr>
      <w:spacing w:before="20" w:after="20"/>
    </w:pPr>
    <w:rPr>
      <w:rFonts w:ascii="Arial Narrow" w:hAnsi="Arial Narrow"/>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shd w:val="clear" w:color="auto" w:fill="auto"/>
    </w:tcPr>
    <w:tblStylePr w:type="firstRow">
      <w:tblPr/>
      <w:trPr>
        <w:tblHeader/>
      </w:trPr>
      <w:tcPr>
        <w:shd w:val="clear" w:color="auto" w:fill="BFBFBF"/>
      </w:tcPr>
    </w:tblStyle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next w:val="05Tabletext"/>
    <w:link w:val="CaptionChar"/>
    <w:unhideWhenUsed/>
    <w:qFormat/>
    <w:rsid w:val="00163C75"/>
    <w:pPr>
      <w:keepNext/>
      <w:spacing w:before="240" w:after="40"/>
      <w:ind w:left="1418" w:hanging="1418"/>
      <w:jc w:val="both"/>
    </w:pPr>
    <w:rPr>
      <w:rFonts w:asciiTheme="minorHAnsi" w:hAnsiTheme="minorHAnsi"/>
      <w:b/>
      <w:iCs/>
      <w:sz w:val="24"/>
      <w:szCs w:val="18"/>
      <w:lang w:eastAsia="en-US"/>
    </w:rPr>
  </w:style>
  <w:style w:type="paragraph" w:customStyle="1" w:styleId="06Tabletextspacebefore">
    <w:name w:val="06 Table text space before"/>
    <w:qFormat/>
    <w:rsid w:val="00055F77"/>
    <w:pPr>
      <w:spacing w:before="80"/>
      <w:ind w:left="57" w:right="57"/>
    </w:pPr>
    <w:rPr>
      <w:rFonts w:ascii="Arial Narrow" w:hAnsi="Arial Narrow"/>
      <w:sz w:val="18"/>
      <w:szCs w:val="24"/>
      <w:lang w:eastAsia="en-US"/>
    </w:rPr>
  </w:style>
  <w:style w:type="paragraph" w:customStyle="1" w:styleId="10TableorFigurefootnote">
    <w:name w:val="10 Table or Figure footnote"/>
    <w:qFormat/>
    <w:rsid w:val="0063506B"/>
    <w:pPr>
      <w:keepNext/>
    </w:pPr>
    <w:rPr>
      <w:rFonts w:ascii="Arial Narrow" w:hAnsi="Arial Narrow"/>
      <w:sz w:val="16"/>
      <w:szCs w:val="24"/>
      <w:lang w:eastAsia="en-US"/>
    </w:rPr>
  </w:style>
  <w:style w:type="paragraph" w:customStyle="1" w:styleId="11TableorFigurefootnotenostick">
    <w:name w:val="11 Table or Figure footnote – no stick"/>
    <w:next w:val="BodyText"/>
    <w:qFormat/>
    <w:rsid w:val="0099024A"/>
    <w:pPr>
      <w:spacing w:after="360"/>
    </w:pPr>
    <w:rPr>
      <w:rFonts w:ascii="Arial Narrow" w:hAnsi="Arial Narrow"/>
      <w:sz w:val="16"/>
      <w:szCs w:val="24"/>
      <w:lang w:eastAsia="en-US"/>
    </w:rPr>
  </w:style>
  <w:style w:type="paragraph" w:customStyle="1" w:styleId="01TableHEADINGleftaligned">
    <w:name w:val="01 Table HEADING left aligned"/>
    <w:basedOn w:val="BodyText"/>
    <w:qFormat/>
    <w:rsid w:val="003D0211"/>
    <w:pPr>
      <w:keepNext/>
      <w:spacing w:before="60" w:line="240" w:lineRule="auto"/>
      <w:ind w:left="57" w:right="57"/>
      <w:jc w:val="left"/>
    </w:pPr>
    <w:rPr>
      <w:rFonts w:ascii="Arial Narrow" w:hAnsi="Arial Narrow"/>
      <w:b/>
      <w:sz w:val="18"/>
    </w:rPr>
  </w:style>
  <w:style w:type="paragraph" w:customStyle="1" w:styleId="02TableHEADINGcentred">
    <w:name w:val="02 Table HEADING centred"/>
    <w:qFormat/>
    <w:rsid w:val="009800DE"/>
    <w:pPr>
      <w:keepNext/>
      <w:spacing w:before="60"/>
      <w:ind w:left="57" w:right="57"/>
      <w:jc w:val="center"/>
    </w:pPr>
    <w:rPr>
      <w:rFonts w:ascii="Arial Narrow" w:hAnsi="Arial Narrow"/>
      <w:b/>
      <w:sz w:val="18"/>
      <w:szCs w:val="24"/>
      <w:lang w:eastAsia="en-US"/>
    </w:rPr>
  </w:style>
  <w:style w:type="paragraph" w:customStyle="1" w:styleId="09Tablerightaligned">
    <w:name w:val="09 Table right aligned ($)"/>
    <w:qFormat/>
    <w:rsid w:val="00E01A78"/>
    <w:pPr>
      <w:spacing w:before="20"/>
      <w:ind w:left="57" w:right="170"/>
      <w:jc w:val="right"/>
    </w:pPr>
    <w:rPr>
      <w:rFonts w:ascii="Arial Narrow" w:hAnsi="Arial Narrow"/>
      <w:sz w:val="18"/>
      <w:szCs w:val="24"/>
      <w:lang w:eastAsia="en-US"/>
    </w:rPr>
  </w:style>
  <w:style w:type="paragraph" w:customStyle="1" w:styleId="07Tablebullet">
    <w:name w:val="07 Table bullet"/>
    <w:qFormat/>
    <w:rsid w:val="0029750E"/>
    <w:pPr>
      <w:numPr>
        <w:numId w:val="3"/>
      </w:numPr>
      <w:ind w:left="227" w:right="57" w:hanging="170"/>
    </w:pPr>
    <w:rPr>
      <w:rFonts w:ascii="Arial Narrow" w:hAnsi="Arial Narrow"/>
      <w:sz w:val="18"/>
      <w:szCs w:val="24"/>
      <w:lang w:eastAsia="en-US"/>
    </w:rPr>
  </w:style>
  <w:style w:type="numbering" w:customStyle="1" w:styleId="Headings">
    <w:name w:val="Headings"/>
    <w:uiPriority w:val="99"/>
    <w:rsid w:val="006068D9"/>
    <w:pPr>
      <w:numPr>
        <w:numId w:val="11"/>
      </w:numPr>
    </w:pPr>
  </w:style>
  <w:style w:type="paragraph" w:styleId="TOC2">
    <w:name w:val="toc 2"/>
    <w:basedOn w:val="Normal"/>
    <w:next w:val="Normal"/>
    <w:autoRedefine/>
    <w:uiPriority w:val="39"/>
    <w:unhideWhenUsed/>
    <w:qFormat/>
    <w:rsid w:val="00515169"/>
    <w:pPr>
      <w:tabs>
        <w:tab w:val="left" w:pos="1134"/>
        <w:tab w:val="right" w:leader="dot" w:pos="9628"/>
      </w:tabs>
      <w:spacing w:before="60"/>
      <w:ind w:left="1134" w:right="567" w:hanging="567"/>
    </w:pPr>
  </w:style>
  <w:style w:type="paragraph" w:styleId="TOC1">
    <w:name w:val="toc 1"/>
    <w:autoRedefine/>
    <w:uiPriority w:val="39"/>
    <w:unhideWhenUsed/>
    <w:qFormat/>
    <w:rsid w:val="00BA0380"/>
    <w:pPr>
      <w:tabs>
        <w:tab w:val="right" w:leader="dot" w:pos="9628"/>
      </w:tabs>
      <w:spacing w:before="120" w:line="276" w:lineRule="auto"/>
      <w:ind w:left="1134" w:right="567" w:hanging="1134"/>
    </w:pPr>
    <w:rPr>
      <w:noProof/>
      <w:sz w:val="24"/>
      <w:szCs w:val="24"/>
      <w:lang w:eastAsia="en-US"/>
    </w:rPr>
  </w:style>
  <w:style w:type="paragraph" w:styleId="TOC3">
    <w:name w:val="toc 3"/>
    <w:basedOn w:val="Normal"/>
    <w:next w:val="Normal"/>
    <w:autoRedefine/>
    <w:uiPriority w:val="39"/>
    <w:unhideWhenUsed/>
    <w:qFormat/>
    <w:rsid w:val="00150D82"/>
    <w:pPr>
      <w:tabs>
        <w:tab w:val="left" w:pos="1320"/>
        <w:tab w:val="right" w:leader="dot" w:pos="9628"/>
      </w:tabs>
      <w:spacing w:before="0"/>
      <w:ind w:left="1701" w:right="567" w:hanging="567"/>
    </w:pPr>
  </w:style>
  <w:style w:type="character" w:styleId="Hyperlink">
    <w:name w:val="Hyperlink"/>
    <w:uiPriority w:val="99"/>
    <w:unhideWhenUsed/>
    <w:rsid w:val="00663CBC"/>
    <w:rPr>
      <w:color w:val="0000FF"/>
      <w:u w:val="single"/>
    </w:rPr>
  </w:style>
  <w:style w:type="paragraph" w:styleId="TOCHeading">
    <w:name w:val="TOC Heading"/>
    <w:next w:val="BodyText"/>
    <w:uiPriority w:val="39"/>
    <w:unhideWhenUsed/>
    <w:qFormat/>
    <w:rsid w:val="001C5235"/>
    <w:pPr>
      <w:pageBreakBefore/>
      <w:spacing w:before="360" w:after="360" w:line="276" w:lineRule="auto"/>
      <w:jc w:val="center"/>
    </w:pPr>
    <w:rPr>
      <w:rFonts w:eastAsia="Times New Roman"/>
      <w:b/>
      <w:color w:val="4F81BD"/>
      <w:sz w:val="40"/>
      <w:szCs w:val="32"/>
      <w:lang w:eastAsia="en-US"/>
    </w:rPr>
  </w:style>
  <w:style w:type="character" w:styleId="CommentReference">
    <w:name w:val="annotation reference"/>
    <w:aliases w:val="Table Title"/>
    <w:uiPriority w:val="99"/>
    <w:unhideWhenUsed/>
    <w:qFormat/>
    <w:rsid w:val="007C6357"/>
    <w:rPr>
      <w:sz w:val="16"/>
      <w:szCs w:val="16"/>
    </w:rPr>
  </w:style>
  <w:style w:type="paragraph" w:styleId="CommentText">
    <w:name w:val="annotation text"/>
    <w:basedOn w:val="Normal"/>
    <w:link w:val="CommentTextChar"/>
    <w:uiPriority w:val="99"/>
    <w:unhideWhenUsed/>
    <w:rsid w:val="007C6357"/>
    <w:pPr>
      <w:spacing w:line="240" w:lineRule="auto"/>
    </w:pPr>
    <w:rPr>
      <w:sz w:val="20"/>
      <w:szCs w:val="20"/>
    </w:rPr>
  </w:style>
  <w:style w:type="character" w:customStyle="1" w:styleId="CommentTextChar">
    <w:name w:val="Comment Text Char"/>
    <w:link w:val="CommentText"/>
    <w:uiPriority w:val="99"/>
    <w:rsid w:val="007C6357"/>
    <w:rPr>
      <w:sz w:val="20"/>
      <w:szCs w:val="20"/>
    </w:rPr>
  </w:style>
  <w:style w:type="paragraph" w:styleId="CommentSubject">
    <w:name w:val="annotation subject"/>
    <w:basedOn w:val="CommentText"/>
    <w:next w:val="CommentText"/>
    <w:link w:val="CommentSubjectChar"/>
    <w:unhideWhenUsed/>
    <w:rsid w:val="007C6357"/>
    <w:rPr>
      <w:b/>
      <w:bCs/>
    </w:rPr>
  </w:style>
  <w:style w:type="character" w:customStyle="1" w:styleId="CommentSubjectChar">
    <w:name w:val="Comment Subject Char"/>
    <w:link w:val="CommentSubject"/>
    <w:rsid w:val="007C6357"/>
    <w:rPr>
      <w:b/>
      <w:bCs/>
      <w:sz w:val="20"/>
      <w:szCs w:val="20"/>
    </w:rPr>
  </w:style>
  <w:style w:type="paragraph" w:styleId="BalloonText">
    <w:name w:val="Balloon Text"/>
    <w:basedOn w:val="Normal"/>
    <w:link w:val="BalloonTextChar"/>
    <w:unhideWhenUsed/>
    <w:rsid w:val="007C6357"/>
    <w:pPr>
      <w:spacing w:before="0" w:line="240" w:lineRule="auto"/>
    </w:pPr>
    <w:rPr>
      <w:rFonts w:ascii="Segoe UI" w:hAnsi="Segoe UI" w:cs="Segoe UI"/>
      <w:sz w:val="18"/>
      <w:szCs w:val="18"/>
    </w:rPr>
  </w:style>
  <w:style w:type="character" w:customStyle="1" w:styleId="BalloonTextChar">
    <w:name w:val="Balloon Text Char"/>
    <w:link w:val="BalloonText"/>
    <w:rsid w:val="007C6357"/>
    <w:rPr>
      <w:rFonts w:ascii="Segoe UI" w:hAnsi="Segoe UI" w:cs="Segoe UI"/>
      <w:sz w:val="18"/>
      <w:szCs w:val="18"/>
    </w:rPr>
  </w:style>
  <w:style w:type="paragraph" w:customStyle="1" w:styleId="Picturewithbox">
    <w:name w:val="Picture with box"/>
    <w:next w:val="11TableorFigurefootnotenostick"/>
    <w:qFormat/>
    <w:rsid w:val="00C076F5"/>
    <w:pPr>
      <w:pBdr>
        <w:top w:val="single" w:sz="4" w:space="4" w:color="auto"/>
        <w:left w:val="single" w:sz="4" w:space="0" w:color="auto"/>
        <w:bottom w:val="single" w:sz="4" w:space="4" w:color="auto"/>
        <w:right w:val="single" w:sz="4" w:space="0" w:color="auto"/>
      </w:pBdr>
      <w:jc w:val="center"/>
    </w:pPr>
    <w:rPr>
      <w:sz w:val="24"/>
      <w:szCs w:val="24"/>
      <w:lang w:eastAsia="en-US"/>
    </w:rPr>
  </w:style>
  <w:style w:type="paragraph" w:styleId="TableofFigures">
    <w:name w:val="table of figures"/>
    <w:aliases w:val="- TOC for list of Figures or Tables"/>
    <w:uiPriority w:val="99"/>
    <w:unhideWhenUsed/>
    <w:rsid w:val="00A54385"/>
    <w:pPr>
      <w:ind w:left="1418" w:right="567" w:hanging="1418"/>
    </w:pPr>
    <w:rPr>
      <w:sz w:val="24"/>
      <w:szCs w:val="24"/>
      <w:lang w:eastAsia="en-US"/>
    </w:rPr>
  </w:style>
  <w:style w:type="paragraph" w:customStyle="1" w:styleId="Titlepage">
    <w:name w:val="Title page"/>
    <w:qFormat/>
    <w:rsid w:val="005B5D2A"/>
    <w:pPr>
      <w:spacing w:before="120" w:line="276" w:lineRule="auto"/>
      <w:jc w:val="center"/>
    </w:pPr>
    <w:rPr>
      <w:sz w:val="40"/>
      <w:szCs w:val="40"/>
      <w:lang w:eastAsia="en-US"/>
    </w:rPr>
  </w:style>
  <w:style w:type="character" w:customStyle="1" w:styleId="Heading6Char">
    <w:name w:val="Heading 6 Char"/>
    <w:link w:val="Heading6"/>
    <w:rsid w:val="00B607A5"/>
    <w:rPr>
      <w:rFonts w:asciiTheme="minorHAnsi" w:eastAsia="Times New Roman" w:hAnsiTheme="minorHAnsi"/>
      <w:i/>
      <w:sz w:val="24"/>
      <w:szCs w:val="24"/>
      <w:lang w:eastAsia="en-US"/>
    </w:rPr>
  </w:style>
  <w:style w:type="character" w:customStyle="1" w:styleId="Heading7Char">
    <w:name w:val="Heading 7 Char"/>
    <w:aliases w:val="App Heading 1 Char"/>
    <w:link w:val="Heading7"/>
    <w:rsid w:val="00683D01"/>
    <w:rPr>
      <w:rFonts w:eastAsia="Times New Roman"/>
      <w:b/>
      <w:iCs/>
      <w:color w:val="4F81BD"/>
      <w:sz w:val="36"/>
      <w:szCs w:val="24"/>
      <w:lang w:eastAsia="en-US"/>
    </w:rPr>
  </w:style>
  <w:style w:type="character" w:customStyle="1" w:styleId="Heading8Char">
    <w:name w:val="Heading 8 Char"/>
    <w:aliases w:val="App Heading 2 Char"/>
    <w:link w:val="Heading8"/>
    <w:rsid w:val="00916C10"/>
    <w:rPr>
      <w:rFonts w:eastAsia="Times New Roman"/>
      <w:color w:val="4F81BD"/>
      <w:sz w:val="32"/>
      <w:szCs w:val="21"/>
      <w:lang w:eastAsia="en-US"/>
    </w:rPr>
  </w:style>
  <w:style w:type="character" w:customStyle="1" w:styleId="Heading9Char">
    <w:name w:val="Heading 9 Char"/>
    <w:aliases w:val="App Heading 3 Char"/>
    <w:link w:val="Heading9"/>
    <w:rsid w:val="00343EB1"/>
    <w:rPr>
      <w:rFonts w:eastAsia="Times New Roman"/>
      <w:b/>
      <w:i/>
      <w:iCs/>
      <w:color w:val="272727"/>
      <w:sz w:val="28"/>
      <w:szCs w:val="21"/>
      <w:lang w:eastAsia="en-US"/>
    </w:rPr>
  </w:style>
  <w:style w:type="paragraph" w:styleId="Footer">
    <w:name w:val="footer"/>
    <w:link w:val="FooterChar"/>
    <w:uiPriority w:val="99"/>
    <w:unhideWhenUsed/>
    <w:rsid w:val="006C71C1"/>
    <w:pPr>
      <w:pBdr>
        <w:top w:val="single" w:sz="4" w:space="1" w:color="auto"/>
      </w:pBdr>
    </w:pPr>
    <w:rPr>
      <w:szCs w:val="24"/>
      <w:lang w:eastAsia="en-US"/>
    </w:rPr>
  </w:style>
  <w:style w:type="paragraph" w:styleId="Header">
    <w:name w:val="header"/>
    <w:link w:val="HeaderChar"/>
    <w:unhideWhenUsed/>
    <w:rsid w:val="008D13CD"/>
    <w:pPr>
      <w:pBdr>
        <w:bottom w:val="single" w:sz="4" w:space="1" w:color="auto"/>
      </w:pBdr>
      <w:tabs>
        <w:tab w:val="center" w:pos="4513"/>
        <w:tab w:val="right" w:pos="9026"/>
      </w:tabs>
      <w:spacing w:after="240"/>
    </w:pPr>
    <w:rPr>
      <w:szCs w:val="24"/>
      <w:lang w:eastAsia="en-US"/>
    </w:rPr>
  </w:style>
  <w:style w:type="character" w:customStyle="1" w:styleId="HeaderChar">
    <w:name w:val="Header Char"/>
    <w:link w:val="Header"/>
    <w:rsid w:val="008D13CD"/>
    <w:rPr>
      <w:sz w:val="20"/>
    </w:rPr>
  </w:style>
  <w:style w:type="character" w:customStyle="1" w:styleId="FooterChar">
    <w:name w:val="Footer Char"/>
    <w:link w:val="Footer"/>
    <w:uiPriority w:val="99"/>
    <w:rsid w:val="006C71C1"/>
    <w:rPr>
      <w:szCs w:val="24"/>
      <w:lang w:eastAsia="en-US"/>
    </w:rPr>
  </w:style>
  <w:style w:type="character" w:customStyle="1" w:styleId="BullettextChar">
    <w:name w:val="Bullet text Char"/>
    <w:link w:val="Bullettext"/>
    <w:rsid w:val="0086175F"/>
    <w:rPr>
      <w:rFonts w:asciiTheme="minorHAnsi" w:hAnsiTheme="minorHAnsi"/>
      <w:sz w:val="24"/>
      <w:szCs w:val="24"/>
      <w:lang w:eastAsia="en-US"/>
    </w:rPr>
  </w:style>
  <w:style w:type="paragraph" w:styleId="FootnoteText">
    <w:name w:val="footnote text"/>
    <w:basedOn w:val="Normal"/>
    <w:link w:val="FootnoteTextChar"/>
    <w:unhideWhenUsed/>
    <w:rsid w:val="00CC24F3"/>
    <w:pPr>
      <w:spacing w:before="0" w:line="240" w:lineRule="auto"/>
    </w:pPr>
    <w:rPr>
      <w:rFonts w:ascii="Arial Narrow" w:hAnsi="Arial Narrow"/>
      <w:sz w:val="18"/>
      <w:szCs w:val="20"/>
    </w:rPr>
  </w:style>
  <w:style w:type="character" w:customStyle="1" w:styleId="FootnoteTextChar">
    <w:name w:val="Footnote Text Char"/>
    <w:link w:val="FootnoteText"/>
    <w:rsid w:val="00CC24F3"/>
    <w:rPr>
      <w:rFonts w:ascii="Arial Narrow" w:hAnsi="Arial Narrow"/>
      <w:sz w:val="18"/>
      <w:lang w:eastAsia="en-US"/>
    </w:rPr>
  </w:style>
  <w:style w:type="paragraph" w:styleId="TOAHeading">
    <w:name w:val="toa heading"/>
    <w:basedOn w:val="Normal"/>
    <w:next w:val="Normal"/>
    <w:uiPriority w:val="99"/>
    <w:semiHidden/>
    <w:unhideWhenUsed/>
    <w:rsid w:val="00834197"/>
    <w:rPr>
      <w:rFonts w:asciiTheme="majorHAnsi" w:eastAsiaTheme="majorEastAsia" w:hAnsiTheme="majorHAnsi" w:cstheme="majorBidi"/>
      <w:b/>
      <w:bCs/>
    </w:rPr>
  </w:style>
  <w:style w:type="paragraph" w:customStyle="1" w:styleId="TableorFigurefootnote">
    <w:name w:val="Table or Figure footnote"/>
    <w:next w:val="BodyText"/>
    <w:qFormat/>
    <w:rsid w:val="00ED6106"/>
    <w:pPr>
      <w:spacing w:after="240"/>
      <w:contextualSpacing/>
    </w:pPr>
    <w:rPr>
      <w:rFonts w:ascii="Garamond" w:hAnsi="Garamond"/>
      <w:sz w:val="16"/>
      <w:szCs w:val="22"/>
      <w:lang w:eastAsia="en-US"/>
    </w:rPr>
  </w:style>
  <w:style w:type="character" w:styleId="FootnoteReference">
    <w:name w:val="footnote reference"/>
    <w:unhideWhenUsed/>
    <w:rsid w:val="00A332EB"/>
    <w:rPr>
      <w:vertAlign w:val="superscript"/>
    </w:rPr>
  </w:style>
  <w:style w:type="paragraph" w:customStyle="1" w:styleId="08Tablebulletsecondlevel">
    <w:name w:val="08 Table bullet second level"/>
    <w:qFormat/>
    <w:rsid w:val="0029750E"/>
    <w:pPr>
      <w:numPr>
        <w:numId w:val="5"/>
      </w:numPr>
      <w:ind w:left="397" w:hanging="170"/>
    </w:pPr>
    <w:rPr>
      <w:rFonts w:ascii="Arial Narrow" w:hAnsi="Arial Narrow"/>
      <w:sz w:val="18"/>
      <w:szCs w:val="24"/>
      <w:lang w:eastAsia="en-US"/>
    </w:rPr>
  </w:style>
  <w:style w:type="paragraph" w:customStyle="1" w:styleId="03TableHEADINGrightaligned">
    <w:name w:val="03 Table HEADING right aligned ($)"/>
    <w:qFormat/>
    <w:rsid w:val="00241406"/>
    <w:pPr>
      <w:keepNext/>
      <w:spacing w:before="60"/>
      <w:ind w:left="57" w:right="170"/>
      <w:jc w:val="right"/>
    </w:pPr>
    <w:rPr>
      <w:rFonts w:ascii="Arial Narrow" w:hAnsi="Arial Narrow"/>
      <w:b/>
      <w:sz w:val="18"/>
      <w:szCs w:val="24"/>
      <w:lang w:eastAsia="en-US"/>
    </w:rPr>
  </w:style>
  <w:style w:type="paragraph" w:styleId="Revision">
    <w:name w:val="Revision"/>
    <w:hidden/>
    <w:uiPriority w:val="99"/>
    <w:semiHidden/>
    <w:rsid w:val="007660BB"/>
    <w:rPr>
      <w:sz w:val="24"/>
      <w:szCs w:val="24"/>
      <w:lang w:eastAsia="en-US"/>
    </w:rPr>
  </w:style>
  <w:style w:type="paragraph" w:styleId="EndnoteText">
    <w:name w:val="endnote text"/>
    <w:basedOn w:val="Normal"/>
    <w:link w:val="EndnoteTextChar"/>
    <w:unhideWhenUsed/>
    <w:rsid w:val="00A3778B"/>
    <w:pPr>
      <w:spacing w:before="0" w:line="240" w:lineRule="auto"/>
    </w:pPr>
    <w:rPr>
      <w:sz w:val="20"/>
      <w:szCs w:val="20"/>
    </w:rPr>
  </w:style>
  <w:style w:type="character" w:customStyle="1" w:styleId="EndnoteTextChar">
    <w:name w:val="Endnote Text Char"/>
    <w:link w:val="EndnoteText"/>
    <w:rsid w:val="00A3778B"/>
    <w:rPr>
      <w:sz w:val="20"/>
      <w:szCs w:val="20"/>
    </w:rPr>
  </w:style>
  <w:style w:type="character" w:styleId="EndnoteReference">
    <w:name w:val="endnote reference"/>
    <w:unhideWhenUsed/>
    <w:rsid w:val="00A3778B"/>
    <w:rPr>
      <w:vertAlign w:val="superscript"/>
    </w:rPr>
  </w:style>
  <w:style w:type="paragraph" w:customStyle="1" w:styleId="Default">
    <w:name w:val="Default"/>
    <w:rsid w:val="00E45401"/>
    <w:pPr>
      <w:autoSpaceDE w:val="0"/>
      <w:autoSpaceDN w:val="0"/>
      <w:adjustRightInd w:val="0"/>
    </w:pPr>
    <w:rPr>
      <w:rFonts w:ascii="Calibri" w:hAnsi="Calibri" w:cs="Calibri"/>
      <w:color w:val="000000"/>
      <w:sz w:val="24"/>
      <w:szCs w:val="24"/>
      <w:lang w:eastAsia="en-US"/>
    </w:rPr>
  </w:style>
  <w:style w:type="paragraph" w:customStyle="1" w:styleId="04Tablesubheading">
    <w:name w:val="04 Table subheading"/>
    <w:qFormat/>
    <w:rsid w:val="00055F77"/>
    <w:pPr>
      <w:keepNext/>
      <w:spacing w:before="20"/>
      <w:ind w:left="57" w:right="57"/>
    </w:pPr>
    <w:rPr>
      <w:rFonts w:ascii="Arial Narrow" w:hAnsi="Arial Narrow"/>
      <w:b/>
      <w:sz w:val="18"/>
      <w:szCs w:val="24"/>
      <w:lang w:eastAsia="en-US"/>
    </w:rPr>
  </w:style>
  <w:style w:type="paragraph" w:customStyle="1" w:styleId="FooterwithLandscape">
    <w:name w:val="Footer with # Landscape"/>
    <w:qFormat/>
    <w:rsid w:val="006C71C1"/>
    <w:pPr>
      <w:pBdr>
        <w:top w:val="single" w:sz="4" w:space="1" w:color="auto"/>
      </w:pBdr>
      <w:tabs>
        <w:tab w:val="right" w:pos="14572"/>
      </w:tabs>
      <w:spacing w:before="240"/>
    </w:pPr>
    <w:rPr>
      <w:szCs w:val="24"/>
      <w:lang w:eastAsia="en-US"/>
    </w:rPr>
  </w:style>
  <w:style w:type="paragraph" w:customStyle="1" w:styleId="FooterwithPortrait">
    <w:name w:val="Footer with # Portrait"/>
    <w:basedOn w:val="FooterwithLandscape"/>
    <w:qFormat/>
    <w:rsid w:val="006C71C1"/>
    <w:pPr>
      <w:tabs>
        <w:tab w:val="clear" w:pos="14572"/>
        <w:tab w:val="right" w:pos="9639"/>
      </w:tabs>
    </w:pPr>
  </w:style>
  <w:style w:type="character" w:styleId="FollowedHyperlink">
    <w:name w:val="FollowedHyperlink"/>
    <w:unhideWhenUsed/>
    <w:rsid w:val="00916E6D"/>
    <w:rPr>
      <w:color w:val="800080"/>
      <w:u w:val="single"/>
    </w:rPr>
  </w:style>
  <w:style w:type="paragraph" w:customStyle="1" w:styleId="08Bulletsseriesofsentences">
    <w:name w:val="08. Bullets – series of sentences"/>
    <w:link w:val="08BulletsseriesofsentencesChar"/>
    <w:qFormat/>
    <w:rsid w:val="00325A2E"/>
    <w:pPr>
      <w:numPr>
        <w:numId w:val="6"/>
      </w:numPr>
      <w:spacing w:before="120"/>
      <w:ind w:left="357" w:hanging="357"/>
    </w:pPr>
    <w:rPr>
      <w:rFonts w:ascii="Garamond" w:hAnsi="Garamond"/>
      <w:sz w:val="24"/>
      <w:szCs w:val="22"/>
      <w:lang w:eastAsia="en-US"/>
    </w:rPr>
  </w:style>
  <w:style w:type="character" w:customStyle="1" w:styleId="08BulletsseriesofsentencesChar">
    <w:name w:val="08. Bullets – series of sentences Char"/>
    <w:link w:val="08Bulletsseriesofsentences"/>
    <w:rsid w:val="00325A2E"/>
    <w:rPr>
      <w:rFonts w:ascii="Garamond" w:hAnsi="Garamond"/>
      <w:sz w:val="24"/>
      <w:szCs w:val="22"/>
      <w:lang w:eastAsia="en-US"/>
    </w:rPr>
  </w:style>
  <w:style w:type="numbering" w:customStyle="1" w:styleId="NoList1">
    <w:name w:val="No List1"/>
    <w:next w:val="NoList"/>
    <w:uiPriority w:val="99"/>
    <w:semiHidden/>
    <w:unhideWhenUsed/>
    <w:rsid w:val="00B92CC9"/>
  </w:style>
  <w:style w:type="table" w:customStyle="1" w:styleId="TableGrid1">
    <w:name w:val="Table Grid1"/>
    <w:basedOn w:val="TableNormal"/>
    <w:next w:val="TableGrid"/>
    <w:uiPriority w:val="59"/>
    <w:rsid w:val="00B92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Pr>
    <w:trPr>
      <w:cantSplit/>
    </w:trPr>
    <w:tcPr>
      <w:shd w:val="clear" w:color="auto" w:fill="auto"/>
    </w:tcPr>
    <w:tblStylePr w:type="firstRow">
      <w:rPr>
        <w:color w:val="BFBFBF"/>
      </w:rPr>
      <w:tblPr/>
      <w:trPr>
        <w:tblHeader/>
      </w:trPr>
      <w:tcPr>
        <w:shd w:val="clear" w:color="auto" w:fill="BFBFBF"/>
      </w:tcPr>
    </w:tblStylePr>
  </w:style>
  <w:style w:type="numbering" w:customStyle="1" w:styleId="Numberedlist">
    <w:name w:val="Numbered list"/>
    <w:uiPriority w:val="99"/>
    <w:rsid w:val="00B92CC9"/>
    <w:pPr>
      <w:numPr>
        <w:numId w:val="7"/>
      </w:numPr>
    </w:pPr>
  </w:style>
  <w:style w:type="paragraph" w:styleId="ListParagraph">
    <w:name w:val="List Paragraph"/>
    <w:aliases w:val="Footnote,BulletPoints,Paragraph"/>
    <w:basedOn w:val="Normal"/>
    <w:link w:val="ListParagraphChar"/>
    <w:uiPriority w:val="34"/>
    <w:qFormat/>
    <w:rsid w:val="00B92CC9"/>
    <w:pPr>
      <w:ind w:left="720"/>
      <w:contextualSpacing/>
    </w:pPr>
  </w:style>
  <w:style w:type="numbering" w:styleId="111111">
    <w:name w:val="Outline List 2"/>
    <w:basedOn w:val="NoList"/>
    <w:uiPriority w:val="99"/>
    <w:semiHidden/>
    <w:unhideWhenUsed/>
    <w:rsid w:val="00B92CC9"/>
    <w:pPr>
      <w:numPr>
        <w:numId w:val="8"/>
      </w:numPr>
    </w:pPr>
  </w:style>
  <w:style w:type="character" w:styleId="Emphasis">
    <w:name w:val="Emphasis"/>
    <w:uiPriority w:val="20"/>
    <w:qFormat/>
    <w:rsid w:val="00B92CC9"/>
    <w:rPr>
      <w:i/>
      <w:iCs/>
    </w:rPr>
  </w:style>
  <w:style w:type="numbering" w:customStyle="1" w:styleId="NoList2">
    <w:name w:val="No List2"/>
    <w:next w:val="NoList"/>
    <w:uiPriority w:val="99"/>
    <w:semiHidden/>
    <w:unhideWhenUsed/>
    <w:rsid w:val="000E79FE"/>
  </w:style>
  <w:style w:type="table" w:customStyle="1" w:styleId="TableGrid2">
    <w:name w:val="Table Grid2"/>
    <w:basedOn w:val="TableNormal"/>
    <w:next w:val="TableGrid"/>
    <w:rsid w:val="00100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shd w:val="clear" w:color="auto" w:fill="auto"/>
    </w:tcPr>
    <w:tblStylePr w:type="firstRow">
      <w:rPr>
        <w:color w:val="BFBFBF"/>
      </w:rPr>
      <w:tblPr/>
      <w:trPr>
        <w:tblHeader/>
      </w:trPr>
      <w:tcPr>
        <w:shd w:val="clear" w:color="auto" w:fill="BFBFBF"/>
      </w:tcPr>
    </w:tblStylePr>
  </w:style>
  <w:style w:type="numbering" w:customStyle="1" w:styleId="Numberedlist1">
    <w:name w:val="Numbered list1"/>
    <w:uiPriority w:val="99"/>
    <w:rsid w:val="000E79FE"/>
    <w:pPr>
      <w:numPr>
        <w:numId w:val="4"/>
      </w:numPr>
    </w:pPr>
  </w:style>
  <w:style w:type="numbering" w:customStyle="1" w:styleId="1111111">
    <w:name w:val="1 / 1.1 / 1.1.11"/>
    <w:basedOn w:val="NoList"/>
    <w:next w:val="111111"/>
    <w:uiPriority w:val="99"/>
    <w:semiHidden/>
    <w:unhideWhenUsed/>
    <w:rsid w:val="000E79FE"/>
    <w:pPr>
      <w:numPr>
        <w:numId w:val="9"/>
      </w:numPr>
    </w:pPr>
  </w:style>
  <w:style w:type="paragraph" w:styleId="TOC4">
    <w:name w:val="toc 4"/>
    <w:basedOn w:val="Normal"/>
    <w:next w:val="Normal"/>
    <w:autoRedefine/>
    <w:uiPriority w:val="39"/>
    <w:unhideWhenUsed/>
    <w:rsid w:val="005F738E"/>
    <w:pPr>
      <w:tabs>
        <w:tab w:val="left" w:pos="1588"/>
        <w:tab w:val="right" w:leader="dot" w:pos="9639"/>
      </w:tabs>
      <w:ind w:left="680" w:right="567" w:hanging="680"/>
    </w:pPr>
    <w:rPr>
      <w:rFonts w:eastAsia="Times New Roman"/>
      <w:szCs w:val="22"/>
      <w:lang w:eastAsia="en-AU"/>
    </w:rPr>
  </w:style>
  <w:style w:type="paragraph" w:styleId="TOC5">
    <w:name w:val="toc 5"/>
    <w:basedOn w:val="Normal"/>
    <w:next w:val="Normal"/>
    <w:autoRedefine/>
    <w:uiPriority w:val="39"/>
    <w:unhideWhenUsed/>
    <w:rsid w:val="00FA02B5"/>
    <w:pPr>
      <w:spacing w:before="0" w:after="100" w:line="259" w:lineRule="auto"/>
      <w:ind w:left="880"/>
    </w:pPr>
    <w:rPr>
      <w:rFonts w:ascii="Calibri" w:eastAsia="Times New Roman" w:hAnsi="Calibri"/>
      <w:sz w:val="22"/>
      <w:szCs w:val="22"/>
      <w:lang w:eastAsia="en-AU"/>
    </w:rPr>
  </w:style>
  <w:style w:type="paragraph" w:styleId="TOC6">
    <w:name w:val="toc 6"/>
    <w:basedOn w:val="Normal"/>
    <w:next w:val="Normal"/>
    <w:autoRedefine/>
    <w:uiPriority w:val="39"/>
    <w:unhideWhenUsed/>
    <w:rsid w:val="00FA02B5"/>
    <w:pPr>
      <w:spacing w:before="0" w:after="100" w:line="259" w:lineRule="auto"/>
      <w:ind w:left="1100"/>
    </w:pPr>
    <w:rPr>
      <w:rFonts w:ascii="Calibri" w:eastAsia="Times New Roman" w:hAnsi="Calibri"/>
      <w:sz w:val="22"/>
      <w:szCs w:val="22"/>
      <w:lang w:eastAsia="en-AU"/>
    </w:rPr>
  </w:style>
  <w:style w:type="paragraph" w:styleId="TOC7">
    <w:name w:val="toc 7"/>
    <w:basedOn w:val="Normal"/>
    <w:next w:val="Normal"/>
    <w:autoRedefine/>
    <w:uiPriority w:val="39"/>
    <w:unhideWhenUsed/>
    <w:rsid w:val="00FA02B5"/>
    <w:pPr>
      <w:spacing w:before="0" w:after="100" w:line="259" w:lineRule="auto"/>
      <w:ind w:left="1320"/>
    </w:pPr>
    <w:rPr>
      <w:rFonts w:ascii="Calibri" w:eastAsia="Times New Roman" w:hAnsi="Calibri"/>
      <w:sz w:val="22"/>
      <w:szCs w:val="22"/>
      <w:lang w:eastAsia="en-AU"/>
    </w:rPr>
  </w:style>
  <w:style w:type="paragraph" w:styleId="TOC8">
    <w:name w:val="toc 8"/>
    <w:basedOn w:val="Normal"/>
    <w:next w:val="Normal"/>
    <w:autoRedefine/>
    <w:uiPriority w:val="39"/>
    <w:unhideWhenUsed/>
    <w:rsid w:val="00FA02B5"/>
    <w:pPr>
      <w:spacing w:before="0" w:after="100" w:line="259" w:lineRule="auto"/>
      <w:ind w:left="1540"/>
    </w:pPr>
    <w:rPr>
      <w:rFonts w:ascii="Calibri" w:eastAsia="Times New Roman" w:hAnsi="Calibri"/>
      <w:sz w:val="22"/>
      <w:szCs w:val="22"/>
      <w:lang w:eastAsia="en-AU"/>
    </w:rPr>
  </w:style>
  <w:style w:type="paragraph" w:styleId="TOC9">
    <w:name w:val="toc 9"/>
    <w:basedOn w:val="Normal"/>
    <w:next w:val="Normal"/>
    <w:autoRedefine/>
    <w:uiPriority w:val="39"/>
    <w:unhideWhenUsed/>
    <w:rsid w:val="00FA02B5"/>
    <w:pPr>
      <w:spacing w:before="0" w:after="100" w:line="259" w:lineRule="auto"/>
      <w:ind w:left="1760"/>
    </w:pPr>
    <w:rPr>
      <w:rFonts w:ascii="Calibri" w:eastAsia="Times New Roman" w:hAnsi="Calibri"/>
      <w:sz w:val="22"/>
      <w:szCs w:val="22"/>
      <w:lang w:eastAsia="en-AU"/>
    </w:rPr>
  </w:style>
  <w:style w:type="paragraph" w:customStyle="1" w:styleId="References">
    <w:name w:val="References"/>
    <w:qFormat/>
    <w:rsid w:val="004504BE"/>
    <w:pPr>
      <w:spacing w:before="80"/>
      <w:ind w:left="284" w:hanging="284"/>
    </w:pPr>
    <w:rPr>
      <w:sz w:val="18"/>
      <w:szCs w:val="24"/>
      <w:lang w:eastAsia="en-US"/>
    </w:rPr>
  </w:style>
  <w:style w:type="paragraph" w:styleId="NormalWeb">
    <w:name w:val="Normal (Web)"/>
    <w:basedOn w:val="Normal"/>
    <w:link w:val="NormalWebChar"/>
    <w:uiPriority w:val="99"/>
    <w:unhideWhenUsed/>
    <w:rsid w:val="009D3242"/>
    <w:pPr>
      <w:spacing w:before="100" w:beforeAutospacing="1" w:after="100" w:afterAutospacing="1" w:line="240" w:lineRule="auto"/>
    </w:pPr>
    <w:rPr>
      <w:rFonts w:ascii="Times New Roman" w:eastAsia="Times New Roman" w:hAnsi="Times New Roman"/>
      <w:lang w:eastAsia="en-AU"/>
    </w:rPr>
  </w:style>
  <w:style w:type="character" w:styleId="IntenseEmphasis">
    <w:name w:val="Intense Emphasis"/>
    <w:basedOn w:val="DefaultParagraphFont"/>
    <w:uiPriority w:val="21"/>
    <w:qFormat/>
    <w:rsid w:val="00D32790"/>
    <w:rPr>
      <w:b/>
      <w:bCs/>
      <w:i/>
      <w:iCs/>
      <w:color w:val="4F81BD" w:themeColor="accent1"/>
    </w:rPr>
  </w:style>
  <w:style w:type="paragraph" w:styleId="Subtitle">
    <w:name w:val="Subtitle"/>
    <w:basedOn w:val="Normal"/>
    <w:next w:val="Normal"/>
    <w:link w:val="SubtitleChar"/>
    <w:qFormat/>
    <w:rsid w:val="00D32790"/>
    <w:pPr>
      <w:numPr>
        <w:ilvl w:val="1"/>
      </w:numPr>
      <w:spacing w:before="0" w:line="240" w:lineRule="auto"/>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D32790"/>
    <w:rPr>
      <w:rFonts w:asciiTheme="majorHAnsi" w:eastAsiaTheme="majorEastAsia" w:hAnsiTheme="majorHAnsi" w:cstheme="majorBidi"/>
      <w:iCs/>
      <w:spacing w:val="15"/>
      <w:sz w:val="24"/>
      <w:szCs w:val="24"/>
      <w:lang w:eastAsia="en-US"/>
    </w:rPr>
  </w:style>
  <w:style w:type="character" w:customStyle="1" w:styleId="ListParagraphChar">
    <w:name w:val="List Paragraph Char"/>
    <w:aliases w:val="Footnote Char,BulletPoints Char,Paragraph Char"/>
    <w:basedOn w:val="DefaultParagraphFont"/>
    <w:link w:val="ListParagraph"/>
    <w:uiPriority w:val="34"/>
    <w:rsid w:val="00ED61E9"/>
    <w:rPr>
      <w:sz w:val="24"/>
      <w:szCs w:val="24"/>
      <w:lang w:eastAsia="en-US"/>
    </w:rPr>
  </w:style>
  <w:style w:type="paragraph" w:customStyle="1" w:styleId="HeaderTable">
    <w:name w:val="Header Table"/>
    <w:basedOn w:val="Caption"/>
    <w:link w:val="HeaderTableChar"/>
    <w:qFormat/>
    <w:rsid w:val="00B860D2"/>
  </w:style>
  <w:style w:type="paragraph" w:customStyle="1" w:styleId="HeaderFigure">
    <w:name w:val="Header Figure"/>
    <w:basedOn w:val="Caption"/>
    <w:link w:val="HeaderFigureChar"/>
    <w:qFormat/>
    <w:rsid w:val="002C7600"/>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
    <w:basedOn w:val="DefaultParagraphFont"/>
    <w:link w:val="Caption"/>
    <w:rsid w:val="00163C75"/>
    <w:rPr>
      <w:rFonts w:asciiTheme="minorHAnsi" w:hAnsiTheme="minorHAnsi"/>
      <w:b/>
      <w:iCs/>
      <w:sz w:val="24"/>
      <w:szCs w:val="18"/>
      <w:lang w:eastAsia="en-US"/>
    </w:rPr>
  </w:style>
  <w:style w:type="character" w:customStyle="1" w:styleId="HeaderTableChar">
    <w:name w:val="Header Table Char"/>
    <w:basedOn w:val="CaptionChar"/>
    <w:link w:val="HeaderTable"/>
    <w:rsid w:val="00B860D2"/>
    <w:rPr>
      <w:rFonts w:ascii="Arial" w:hAnsi="Arial"/>
      <w:b/>
      <w:iCs/>
      <w:sz w:val="24"/>
      <w:szCs w:val="18"/>
      <w:lang w:eastAsia="en-US"/>
    </w:rPr>
  </w:style>
  <w:style w:type="character" w:customStyle="1" w:styleId="HeaderFigureChar">
    <w:name w:val="Header Figure Char"/>
    <w:basedOn w:val="CaptionChar"/>
    <w:link w:val="HeaderFigure"/>
    <w:rsid w:val="002C7600"/>
    <w:rPr>
      <w:rFonts w:ascii="Arial" w:hAnsi="Arial"/>
      <w:b/>
      <w:iCs/>
      <w:sz w:val="24"/>
      <w:szCs w:val="18"/>
      <w:lang w:eastAsia="en-US"/>
    </w:rPr>
  </w:style>
  <w:style w:type="paragraph" w:customStyle="1" w:styleId="ToR3Tableheader">
    <w:name w:val="ToR3 Table header"/>
    <w:basedOn w:val="Caption"/>
    <w:link w:val="ToR3TableheaderChar"/>
    <w:qFormat/>
    <w:rsid w:val="00AE0F63"/>
  </w:style>
  <w:style w:type="character" w:customStyle="1" w:styleId="ToR3TableheaderChar">
    <w:name w:val="ToR3 Table header Char"/>
    <w:basedOn w:val="DefaultParagraphFont"/>
    <w:link w:val="ToR3Tableheader"/>
    <w:rsid w:val="00AE0F63"/>
    <w:rPr>
      <w:rFonts w:ascii="Arial" w:hAnsi="Arial"/>
      <w:b/>
      <w:iCs/>
      <w:szCs w:val="18"/>
      <w:lang w:eastAsia="en-US"/>
    </w:rPr>
  </w:style>
  <w:style w:type="paragraph" w:customStyle="1" w:styleId="Tabletext">
    <w:name w:val="Table text"/>
    <w:basedOn w:val="Normal"/>
    <w:link w:val="TabletextChar"/>
    <w:qFormat/>
    <w:rsid w:val="00B607A5"/>
    <w:pPr>
      <w:autoSpaceDE w:val="0"/>
      <w:autoSpaceDN w:val="0"/>
      <w:adjustRightInd w:val="0"/>
      <w:spacing w:before="20" w:after="20" w:line="240" w:lineRule="auto"/>
    </w:pPr>
    <w:rPr>
      <w:rFonts w:ascii="Arial" w:eastAsiaTheme="minorEastAsia" w:hAnsi="Arial" w:cs="Calibri"/>
      <w:sz w:val="20"/>
      <w:szCs w:val="20"/>
      <w:lang w:eastAsia="en-AU"/>
    </w:rPr>
  </w:style>
  <w:style w:type="paragraph" w:customStyle="1" w:styleId="Tablenote">
    <w:name w:val="Table note"/>
    <w:basedOn w:val="Normal"/>
    <w:link w:val="TablenoteChar"/>
    <w:qFormat/>
    <w:rsid w:val="00B607A5"/>
    <w:pPr>
      <w:spacing w:before="0" w:after="200" w:line="240" w:lineRule="auto"/>
      <w:contextualSpacing/>
    </w:pPr>
    <w:rPr>
      <w:rFonts w:ascii="Arial" w:eastAsiaTheme="minorEastAsia" w:hAnsi="Arial" w:cs="Baskerville"/>
      <w:sz w:val="18"/>
      <w:szCs w:val="20"/>
      <w:lang w:eastAsia="en-AU"/>
    </w:rPr>
  </w:style>
  <w:style w:type="character" w:customStyle="1" w:styleId="TabletextChar">
    <w:name w:val="Table text Char"/>
    <w:basedOn w:val="DefaultParagraphFont"/>
    <w:link w:val="Tabletext"/>
    <w:rsid w:val="00B607A5"/>
    <w:rPr>
      <w:rFonts w:ascii="Arial" w:eastAsiaTheme="minorEastAsia" w:hAnsi="Arial" w:cs="Calibri"/>
    </w:rPr>
  </w:style>
  <w:style w:type="character" w:customStyle="1" w:styleId="TablenoteChar">
    <w:name w:val="Table note Char"/>
    <w:basedOn w:val="DefaultParagraphFont"/>
    <w:link w:val="Tablenote"/>
    <w:rsid w:val="00B607A5"/>
    <w:rPr>
      <w:rFonts w:ascii="Arial" w:eastAsiaTheme="minorEastAsia" w:hAnsi="Arial" w:cs="Baskerville"/>
      <w:sz w:val="18"/>
    </w:rPr>
  </w:style>
  <w:style w:type="character" w:customStyle="1" w:styleId="normalchar">
    <w:name w:val="normal_char"/>
    <w:rsid w:val="008060FB"/>
    <w:rPr>
      <w:color w:val="auto"/>
    </w:rPr>
  </w:style>
  <w:style w:type="paragraph" w:styleId="BodyTextIndent3">
    <w:name w:val="Body Text Indent 3"/>
    <w:basedOn w:val="Normal"/>
    <w:link w:val="BodyTextIndent3Char"/>
    <w:rsid w:val="008060FB"/>
    <w:pPr>
      <w:spacing w:before="0" w:after="120" w:line="240" w:lineRule="auto"/>
      <w:ind w:left="283"/>
    </w:pPr>
    <w:rPr>
      <w:rFonts w:ascii="Calibri" w:eastAsia="Times New Roman" w:hAnsi="Calibri"/>
      <w:sz w:val="16"/>
      <w:szCs w:val="16"/>
      <w:lang w:eastAsia="en-AU"/>
    </w:rPr>
  </w:style>
  <w:style w:type="character" w:customStyle="1" w:styleId="BodyTextIndent3Char">
    <w:name w:val="Body Text Indent 3 Char"/>
    <w:basedOn w:val="DefaultParagraphFont"/>
    <w:link w:val="BodyTextIndent3"/>
    <w:rsid w:val="008060FB"/>
    <w:rPr>
      <w:rFonts w:ascii="Calibri" w:eastAsia="Times New Roman" w:hAnsi="Calibri"/>
      <w:sz w:val="16"/>
      <w:szCs w:val="16"/>
    </w:rPr>
  </w:style>
  <w:style w:type="paragraph" w:styleId="NoSpacing">
    <w:name w:val="No Spacing"/>
    <w:uiPriority w:val="1"/>
    <w:qFormat/>
    <w:rsid w:val="008060FB"/>
    <w:rPr>
      <w:rFonts w:ascii="Times New Roman" w:eastAsiaTheme="minorHAnsi" w:hAnsi="Times New Roman" w:cstheme="minorBidi"/>
      <w:sz w:val="24"/>
      <w:szCs w:val="22"/>
    </w:rPr>
  </w:style>
  <w:style w:type="character" w:customStyle="1" w:styleId="apple-converted-space">
    <w:name w:val="apple-converted-space"/>
    <w:basedOn w:val="DefaultParagraphFont"/>
    <w:rsid w:val="008060FB"/>
  </w:style>
  <w:style w:type="character" w:styleId="HTMLCite">
    <w:name w:val="HTML Cite"/>
    <w:uiPriority w:val="99"/>
    <w:semiHidden/>
    <w:unhideWhenUsed/>
    <w:rsid w:val="008060FB"/>
    <w:rPr>
      <w:b w:val="0"/>
      <w:bCs w:val="0"/>
      <w:i w:val="0"/>
      <w:iCs w:val="0"/>
      <w:vanish w:val="0"/>
      <w:webHidden w:val="0"/>
      <w:specVanish w:val="0"/>
    </w:rPr>
  </w:style>
  <w:style w:type="character" w:customStyle="1" w:styleId="author4">
    <w:name w:val="author4"/>
    <w:rsid w:val="008060FB"/>
    <w:rPr>
      <w:b w:val="0"/>
      <w:bCs w:val="0"/>
      <w:i w:val="0"/>
      <w:iCs w:val="0"/>
      <w:smallCaps w:val="0"/>
      <w:sz w:val="24"/>
      <w:szCs w:val="24"/>
    </w:rPr>
  </w:style>
  <w:style w:type="character" w:customStyle="1" w:styleId="articletitle7">
    <w:name w:val="articletitle7"/>
    <w:basedOn w:val="DefaultParagraphFont"/>
    <w:rsid w:val="008060FB"/>
  </w:style>
  <w:style w:type="character" w:customStyle="1" w:styleId="journaltitle4">
    <w:name w:val="journaltitle4"/>
    <w:rsid w:val="008060FB"/>
    <w:rPr>
      <w:i/>
      <w:iCs/>
    </w:rPr>
  </w:style>
  <w:style w:type="character" w:customStyle="1" w:styleId="pubyear">
    <w:name w:val="pubyear"/>
    <w:basedOn w:val="DefaultParagraphFont"/>
    <w:rsid w:val="008060FB"/>
  </w:style>
  <w:style w:type="character" w:customStyle="1" w:styleId="citedissue">
    <w:name w:val="citedissue"/>
    <w:basedOn w:val="DefaultParagraphFont"/>
    <w:rsid w:val="008060FB"/>
  </w:style>
  <w:style w:type="character" w:customStyle="1" w:styleId="frlabel1">
    <w:name w:val="fr_label1"/>
    <w:rsid w:val="008060FB"/>
    <w:rPr>
      <w:b/>
      <w:bCs/>
    </w:rPr>
  </w:style>
  <w:style w:type="character" w:styleId="Strong">
    <w:name w:val="Strong"/>
    <w:uiPriority w:val="22"/>
    <w:qFormat/>
    <w:rsid w:val="008060FB"/>
    <w:rPr>
      <w:b/>
      <w:bCs/>
    </w:rPr>
  </w:style>
  <w:style w:type="character" w:customStyle="1" w:styleId="hithilite3">
    <w:name w:val="hithilite3"/>
    <w:rsid w:val="008060FB"/>
    <w:rPr>
      <w:shd w:val="clear" w:color="auto" w:fill="FFFF00"/>
    </w:rPr>
  </w:style>
  <w:style w:type="character" w:customStyle="1" w:styleId="maintitle4">
    <w:name w:val="maintitle4"/>
    <w:rsid w:val="008060FB"/>
    <w:rPr>
      <w:vanish w:val="0"/>
      <w:webHidden w:val="0"/>
      <w:specVanish w:val="0"/>
    </w:rPr>
  </w:style>
  <w:style w:type="character" w:customStyle="1" w:styleId="override-xref-content-element7">
    <w:name w:val="override-xref-content-element7"/>
    <w:rsid w:val="008060FB"/>
    <w:rPr>
      <w:color w:val="007E8A"/>
    </w:rPr>
  </w:style>
  <w:style w:type="paragraph" w:customStyle="1" w:styleId="para10">
    <w:name w:val="para10"/>
    <w:basedOn w:val="Normal"/>
    <w:rsid w:val="008060FB"/>
    <w:pPr>
      <w:spacing w:before="0" w:after="240" w:line="360" w:lineRule="atLeast"/>
    </w:pPr>
    <w:rPr>
      <w:rFonts w:ascii="Calibri" w:eastAsia="Times New Roman" w:hAnsi="Calibri"/>
      <w:sz w:val="29"/>
      <w:szCs w:val="29"/>
      <w:lang w:eastAsia="en-AU"/>
    </w:rPr>
  </w:style>
  <w:style w:type="character" w:customStyle="1" w:styleId="i7">
    <w:name w:val="i7"/>
    <w:rsid w:val="008060FB"/>
    <w:rPr>
      <w:i/>
      <w:iCs/>
    </w:rPr>
  </w:style>
  <w:style w:type="paragraph" w:customStyle="1" w:styleId="CM18">
    <w:name w:val="CM18"/>
    <w:basedOn w:val="Normal"/>
    <w:next w:val="Normal"/>
    <w:uiPriority w:val="99"/>
    <w:rsid w:val="008060FB"/>
    <w:pPr>
      <w:widowControl w:val="0"/>
      <w:autoSpaceDE w:val="0"/>
      <w:autoSpaceDN w:val="0"/>
      <w:adjustRightInd w:val="0"/>
      <w:spacing w:before="0" w:line="240" w:lineRule="auto"/>
    </w:pPr>
    <w:rPr>
      <w:rFonts w:ascii="MuseeBold" w:eastAsia="Times New Roman" w:hAnsi="MuseeBold"/>
      <w:lang w:eastAsia="en-AU"/>
    </w:rPr>
  </w:style>
  <w:style w:type="paragraph" w:customStyle="1" w:styleId="Heading5new">
    <w:name w:val="Heading 5 new"/>
    <w:basedOn w:val="NormalWeb"/>
    <w:link w:val="Heading5newChar"/>
    <w:qFormat/>
    <w:rsid w:val="008060FB"/>
    <w:pPr>
      <w:spacing w:before="0" w:beforeAutospacing="0" w:after="240" w:afterAutospacing="0" w:line="312" w:lineRule="atLeast"/>
    </w:pPr>
    <w:rPr>
      <w:b/>
      <w:i/>
      <w:color w:val="000000"/>
      <w:u w:val="single"/>
    </w:rPr>
  </w:style>
  <w:style w:type="character" w:customStyle="1" w:styleId="NormalWebChar">
    <w:name w:val="Normal (Web) Char"/>
    <w:link w:val="NormalWeb"/>
    <w:uiPriority w:val="99"/>
    <w:rsid w:val="008060FB"/>
    <w:rPr>
      <w:rFonts w:ascii="Times New Roman" w:eastAsia="Times New Roman" w:hAnsi="Times New Roman"/>
      <w:sz w:val="24"/>
      <w:szCs w:val="24"/>
    </w:rPr>
  </w:style>
  <w:style w:type="character" w:customStyle="1" w:styleId="Heading5newChar">
    <w:name w:val="Heading 5 new Char"/>
    <w:link w:val="Heading5new"/>
    <w:rsid w:val="008060FB"/>
    <w:rPr>
      <w:rFonts w:ascii="Times New Roman" w:eastAsia="Times New Roman" w:hAnsi="Times New Roman"/>
      <w:b/>
      <w:i/>
      <w:color w:val="000000"/>
      <w:sz w:val="24"/>
      <w:szCs w:val="24"/>
      <w:u w:val="single"/>
    </w:rPr>
  </w:style>
  <w:style w:type="paragraph" w:customStyle="1" w:styleId="Heading4new">
    <w:name w:val="Heading 4 new"/>
    <w:basedOn w:val="Heading5new"/>
    <w:link w:val="Heading4newChar"/>
    <w:qFormat/>
    <w:rsid w:val="008060FB"/>
  </w:style>
  <w:style w:type="character" w:customStyle="1" w:styleId="Heading4newChar">
    <w:name w:val="Heading 4 new Char"/>
    <w:link w:val="Heading4new"/>
    <w:rsid w:val="008060FB"/>
    <w:rPr>
      <w:rFonts w:ascii="Times New Roman" w:eastAsia="Times New Roman" w:hAnsi="Times New Roman"/>
      <w:b/>
      <w:i/>
      <w:color w:val="000000"/>
      <w:sz w:val="24"/>
      <w:szCs w:val="24"/>
      <w:u w:val="single"/>
    </w:rPr>
  </w:style>
  <w:style w:type="character" w:customStyle="1" w:styleId="label31">
    <w:name w:val="label31"/>
    <w:basedOn w:val="DefaultParagraphFont"/>
    <w:rsid w:val="008060FB"/>
  </w:style>
  <w:style w:type="character" w:customStyle="1" w:styleId="b7">
    <w:name w:val="b7"/>
    <w:rsid w:val="008060FB"/>
    <w:rPr>
      <w:b/>
      <w:bCs/>
    </w:rPr>
  </w:style>
  <w:style w:type="character" w:customStyle="1" w:styleId="tablenotes-note">
    <w:name w:val="tablenotes-note"/>
    <w:basedOn w:val="DefaultParagraphFont"/>
    <w:rsid w:val="008060FB"/>
  </w:style>
  <w:style w:type="character" w:customStyle="1" w:styleId="section-title3">
    <w:name w:val="section-title3"/>
    <w:rsid w:val="008060FB"/>
    <w:rPr>
      <w:vanish w:val="0"/>
      <w:webHidden w:val="0"/>
      <w:specVanish w:val="0"/>
    </w:rPr>
  </w:style>
  <w:style w:type="paragraph" w:styleId="Quote">
    <w:name w:val="Quote"/>
    <w:basedOn w:val="Normal"/>
    <w:next w:val="Normal"/>
    <w:link w:val="QuoteChar"/>
    <w:qFormat/>
    <w:rsid w:val="008060FB"/>
    <w:pPr>
      <w:spacing w:before="0" w:after="200" w:line="240" w:lineRule="auto"/>
    </w:pPr>
    <w:rPr>
      <w:rFonts w:ascii="Calibri" w:eastAsia="Times New Roman" w:hAnsi="Calibri"/>
      <w:i/>
      <w:iCs/>
      <w:color w:val="000000"/>
      <w:sz w:val="22"/>
      <w:szCs w:val="22"/>
      <w:lang w:eastAsia="en-AU"/>
    </w:rPr>
  </w:style>
  <w:style w:type="character" w:customStyle="1" w:styleId="QuoteChar">
    <w:name w:val="Quote Char"/>
    <w:basedOn w:val="DefaultParagraphFont"/>
    <w:link w:val="Quote"/>
    <w:rsid w:val="008060FB"/>
    <w:rPr>
      <w:rFonts w:ascii="Calibri" w:eastAsia="Times New Roman" w:hAnsi="Calibri"/>
      <w:i/>
      <w:iCs/>
      <w:color w:val="000000"/>
      <w:sz w:val="22"/>
      <w:szCs w:val="22"/>
    </w:rPr>
  </w:style>
  <w:style w:type="paragraph" w:customStyle="1" w:styleId="para">
    <w:name w:val="para"/>
    <w:basedOn w:val="Normal"/>
    <w:rsid w:val="008060FB"/>
    <w:pPr>
      <w:spacing w:before="100" w:beforeAutospacing="1" w:after="100" w:afterAutospacing="1" w:line="240" w:lineRule="auto"/>
    </w:pPr>
    <w:rPr>
      <w:rFonts w:ascii="Calibri" w:eastAsia="Times New Roman" w:hAnsi="Calibri"/>
      <w:lang w:eastAsia="en-AU"/>
    </w:rPr>
  </w:style>
  <w:style w:type="paragraph" w:customStyle="1" w:styleId="ListBullet1">
    <w:name w:val="List Bullet1"/>
    <w:basedOn w:val="Normal"/>
    <w:uiPriority w:val="5"/>
    <w:qFormat/>
    <w:rsid w:val="008060FB"/>
    <w:pPr>
      <w:numPr>
        <w:numId w:val="17"/>
      </w:numPr>
      <w:shd w:val="clear" w:color="auto" w:fill="FFFFFF" w:themeFill="background1"/>
      <w:spacing w:after="120" w:line="260" w:lineRule="exact"/>
      <w:contextualSpacing/>
    </w:pPr>
    <w:rPr>
      <w:rFonts w:ascii="Arial" w:eastAsia="Times New Roman" w:hAnsi="Arial" w:cs="Arial"/>
      <w:sz w:val="20"/>
      <w:szCs w:val="20"/>
      <w:lang w:eastAsia="en-AU"/>
    </w:rPr>
  </w:style>
  <w:style w:type="character" w:customStyle="1" w:styleId="Bold">
    <w:name w:val="Bold"/>
    <w:uiPriority w:val="99"/>
    <w:qFormat/>
    <w:rsid w:val="008060FB"/>
    <w:rPr>
      <w:b/>
      <w:lang w:val="en-AU" w:eastAsia="en-US"/>
    </w:rPr>
  </w:style>
  <w:style w:type="character" w:customStyle="1" w:styleId="Italic">
    <w:name w:val="Italic"/>
    <w:uiPriority w:val="3"/>
    <w:rsid w:val="008060FB"/>
    <w:rPr>
      <w:i/>
      <w:lang w:val="en-AU" w:eastAsia="en-US"/>
    </w:rPr>
  </w:style>
  <w:style w:type="character" w:customStyle="1" w:styleId="HighlightOrange">
    <w:name w:val="Highlight Orange"/>
    <w:basedOn w:val="DefaultParagraphFont"/>
    <w:uiPriority w:val="75"/>
    <w:qFormat/>
    <w:rsid w:val="008060FB"/>
    <w:rPr>
      <w:color w:val="F47B28"/>
    </w:rPr>
  </w:style>
  <w:style w:type="table" w:customStyle="1" w:styleId="Boxorange">
    <w:name w:val="Box orange"/>
    <w:basedOn w:val="TableNormal"/>
    <w:uiPriority w:val="99"/>
    <w:qFormat/>
    <w:rsid w:val="008060FB"/>
    <w:rPr>
      <w:rFonts w:ascii="Times New Roman" w:eastAsia="Times New Roman" w:hAnsi="Times New Roman"/>
    </w:rPr>
    <w:tblPr>
      <w:tblInd w:w="113" w:type="dxa"/>
      <w:tblBorders>
        <w:top w:val="single" w:sz="18" w:space="0" w:color="F47B28"/>
        <w:left w:val="single" w:sz="18" w:space="0" w:color="F47B28"/>
        <w:bottom w:val="single" w:sz="18" w:space="0" w:color="F47B28"/>
        <w:right w:val="single" w:sz="18" w:space="0" w:color="F47B28"/>
      </w:tblBorders>
    </w:tblPr>
    <w:trPr>
      <w:cantSplit/>
    </w:trPr>
  </w:style>
  <w:style w:type="character" w:customStyle="1" w:styleId="Highlighter">
    <w:name w:val="Highlighter"/>
    <w:basedOn w:val="DefaultParagraphFont"/>
    <w:uiPriority w:val="21"/>
    <w:rsid w:val="008060FB"/>
    <w:rPr>
      <w:bdr w:val="none" w:sz="0" w:space="0" w:color="auto"/>
      <w:shd w:val="clear" w:color="auto" w:fill="FFFF00"/>
    </w:rPr>
  </w:style>
  <w:style w:type="character" w:styleId="IntenseReference">
    <w:name w:val="Intense Reference"/>
    <w:basedOn w:val="DefaultParagraphFont"/>
    <w:uiPriority w:val="32"/>
    <w:qFormat/>
    <w:rsid w:val="008060FB"/>
    <w:rPr>
      <w:b/>
      <w:bCs/>
      <w:i/>
      <w:smallCaps/>
      <w:color w:val="C0504D" w:themeColor="accent2"/>
      <w:spacing w:val="5"/>
      <w:u w:val="none"/>
    </w:rPr>
  </w:style>
  <w:style w:type="table" w:styleId="LightGrid-Accent4">
    <w:name w:val="Light Grid Accent 4"/>
    <w:basedOn w:val="TableNormal"/>
    <w:uiPriority w:val="62"/>
    <w:rsid w:val="008060FB"/>
    <w:rPr>
      <w:rFonts w:ascii="Times New Roman" w:eastAsiaTheme="minorHAnsi" w:hAnsi="Times New Roman" w:cstheme="minorBidi"/>
      <w:sz w:val="24"/>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8060FB"/>
    <w:rPr>
      <w:rFonts w:ascii="Times New Roman" w:eastAsiaTheme="minorHAnsi" w:hAnsi="Times New Roman" w:cstheme="minorBidi"/>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rm-strength">
    <w:name w:val="form-strength"/>
    <w:basedOn w:val="DefaultParagraphFont"/>
    <w:rsid w:val="008060FB"/>
  </w:style>
  <w:style w:type="table" w:styleId="LightGrid-Accent6">
    <w:name w:val="Light Grid Accent 6"/>
    <w:basedOn w:val="TableNormal"/>
    <w:uiPriority w:val="62"/>
    <w:rsid w:val="008060FB"/>
    <w:rPr>
      <w:rFonts w:ascii="Times New Roman" w:eastAsiaTheme="minorHAnsi" w:hAnsi="Times New Roman" w:cstheme="minorBidi"/>
      <w:sz w:val="24"/>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3">
    <w:name w:val="Light Grid Accent 3"/>
    <w:basedOn w:val="TableNormal"/>
    <w:uiPriority w:val="62"/>
    <w:rsid w:val="008060FB"/>
    <w:rPr>
      <w:rFonts w:ascii="Times New Roman" w:eastAsiaTheme="minorHAnsi" w:hAnsi="Times New Roman" w:cstheme="minorBidi"/>
      <w:sz w:val="24"/>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Heading51">
    <w:name w:val="Heading 51"/>
    <w:basedOn w:val="Normal"/>
    <w:link w:val="heading5Char0"/>
    <w:qFormat/>
    <w:rsid w:val="008060FB"/>
    <w:pPr>
      <w:keepNext/>
      <w:keepLines/>
      <w:spacing w:after="120" w:line="240" w:lineRule="auto"/>
    </w:pPr>
    <w:rPr>
      <w:rFonts w:asciiTheme="majorHAnsi" w:eastAsiaTheme="minorHAnsi" w:hAnsiTheme="majorHAnsi" w:cstheme="minorBidi"/>
      <w:b/>
      <w:i/>
      <w:lang w:eastAsia="en-AU"/>
    </w:rPr>
  </w:style>
  <w:style w:type="character" w:customStyle="1" w:styleId="heading5Char0">
    <w:name w:val="heading 5 Char"/>
    <w:basedOn w:val="DefaultParagraphFont"/>
    <w:link w:val="Heading51"/>
    <w:rsid w:val="008060FB"/>
    <w:rPr>
      <w:rFonts w:asciiTheme="majorHAnsi" w:eastAsiaTheme="minorHAnsi" w:hAnsiTheme="majorHAnsi" w:cstheme="minorBidi"/>
      <w:b/>
      <w:i/>
      <w:sz w:val="24"/>
      <w:szCs w:val="24"/>
    </w:rPr>
  </w:style>
  <w:style w:type="paragraph" w:customStyle="1" w:styleId="BodyText1">
    <w:name w:val="Body Text1"/>
    <w:basedOn w:val="Normal"/>
    <w:link w:val="BodytextChar0"/>
    <w:uiPriority w:val="1"/>
    <w:qFormat/>
    <w:rsid w:val="008060FB"/>
    <w:pPr>
      <w:shd w:val="clear" w:color="auto" w:fill="FFFFFF" w:themeFill="background1"/>
      <w:spacing w:after="120" w:line="260" w:lineRule="exact"/>
    </w:pPr>
    <w:rPr>
      <w:rFonts w:ascii="Arial" w:eastAsia="Times New Roman" w:hAnsi="Arial" w:cs="Arial"/>
      <w:sz w:val="20"/>
      <w:szCs w:val="20"/>
      <w:lang w:eastAsia="en-AU"/>
    </w:rPr>
  </w:style>
  <w:style w:type="character" w:customStyle="1" w:styleId="BodytextChar0">
    <w:name w:val="Body text Char"/>
    <w:basedOn w:val="DefaultParagraphFont"/>
    <w:link w:val="BodyText1"/>
    <w:uiPriority w:val="1"/>
    <w:rsid w:val="008060FB"/>
    <w:rPr>
      <w:rFonts w:ascii="Arial" w:eastAsia="Times New Roman" w:hAnsi="Arial" w:cs="Arial"/>
      <w:shd w:val="clear" w:color="auto" w:fill="FFFFFF" w:themeFill="background1"/>
    </w:rPr>
  </w:style>
  <w:style w:type="paragraph" w:customStyle="1" w:styleId="Tablefootnote">
    <w:name w:val="Table footnote"/>
    <w:basedOn w:val="Normal"/>
    <w:next w:val="BodyText1"/>
    <w:link w:val="TablefootnoteCharChar"/>
    <w:uiPriority w:val="57"/>
    <w:rsid w:val="008060FB"/>
    <w:pPr>
      <w:spacing w:before="60" w:after="60" w:line="240" w:lineRule="auto"/>
      <w:ind w:left="426"/>
    </w:pPr>
    <w:rPr>
      <w:rFonts w:ascii="Arial Narrow" w:eastAsia="Times New Roman" w:hAnsi="Arial Narrow"/>
      <w:sz w:val="16"/>
      <w:szCs w:val="20"/>
      <w:lang w:eastAsia="en-AU"/>
    </w:rPr>
  </w:style>
  <w:style w:type="character" w:customStyle="1" w:styleId="TablefootnoteCharChar">
    <w:name w:val="Table footnote Char Char"/>
    <w:basedOn w:val="DefaultParagraphFont"/>
    <w:link w:val="Tablefootnote"/>
    <w:uiPriority w:val="57"/>
    <w:rsid w:val="008060FB"/>
    <w:rPr>
      <w:rFonts w:ascii="Arial Narrow" w:eastAsia="Times New Roman" w:hAnsi="Arial Narrow"/>
      <w:sz w:val="16"/>
    </w:rPr>
  </w:style>
  <w:style w:type="paragraph" w:customStyle="1" w:styleId="Tabletitle">
    <w:name w:val="Table title"/>
    <w:basedOn w:val="Normal"/>
    <w:next w:val="BodyText1"/>
    <w:uiPriority w:val="99"/>
    <w:rsid w:val="008060FB"/>
    <w:pPr>
      <w:keepNext/>
      <w:numPr>
        <w:numId w:val="15"/>
      </w:numPr>
      <w:shd w:val="clear" w:color="auto" w:fill="FFFFFF" w:themeFill="background1"/>
      <w:spacing w:after="120" w:line="260" w:lineRule="exact"/>
      <w:outlineLvl w:val="2"/>
    </w:pPr>
    <w:rPr>
      <w:rFonts w:ascii="Arial Narrow" w:eastAsia="Times New Roman" w:hAnsi="Arial Narrow" w:cs="Arial"/>
      <w:b/>
      <w:caps/>
      <w:color w:val="4B306A"/>
      <w:sz w:val="16"/>
      <w:szCs w:val="20"/>
      <w:lang w:eastAsia="en-AU"/>
    </w:rPr>
  </w:style>
  <w:style w:type="table" w:customStyle="1" w:styleId="TableNPSstandard">
    <w:name w:val="Table NPS standard"/>
    <w:basedOn w:val="TableNormal"/>
    <w:rsid w:val="008060FB"/>
    <w:pPr>
      <w:spacing w:before="60" w:line="264" w:lineRule="auto"/>
    </w:pPr>
    <w:rPr>
      <w:rFonts w:ascii="Arial Narrow" w:eastAsia="Times New Roman" w:hAnsi="Arial Narrow"/>
    </w:rPr>
    <w:tblPr>
      <w:tblInd w:w="142" w:type="dxa"/>
      <w:tblBorders>
        <w:bottom w:val="single" w:sz="12" w:space="0" w:color="401E6C"/>
        <w:insideH w:val="single" w:sz="4" w:space="0" w:color="C0C0C0"/>
        <w:insideV w:val="single" w:sz="8" w:space="0" w:color="FFFFFF"/>
      </w:tblBorders>
      <w:tblCellMar>
        <w:top w:w="28" w:type="dxa"/>
        <w:bottom w:w="28" w:type="dxa"/>
      </w:tblCellMar>
    </w:tblPr>
    <w:trPr>
      <w:cantSplit/>
    </w:trPr>
    <w:tblStylePr w:type="firstRow">
      <w:pPr>
        <w:jc w:val="left"/>
      </w:pPr>
      <w:rPr>
        <w:b/>
        <w:sz w:val="20"/>
      </w:rPr>
      <w:tblPr/>
      <w:trPr>
        <w:cantSplit w:val="0"/>
        <w:tblHeader/>
      </w:tr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nil"/>
          <w:left w:val="nil"/>
          <w:bottom w:val="single" w:sz="12" w:space="0" w:color="401E6C"/>
          <w:right w:val="nil"/>
          <w:insideH w:val="nil"/>
          <w:insideV w:val="single" w:sz="8" w:space="0" w:color="FFFFFF"/>
          <w:tl2br w:val="nil"/>
          <w:tr2bl w:val="nil"/>
        </w:tcBorders>
      </w:tcPr>
    </w:tblStylePr>
  </w:style>
  <w:style w:type="paragraph" w:customStyle="1" w:styleId="Tablebullet">
    <w:name w:val="Table bullet"/>
    <w:basedOn w:val="Normal"/>
    <w:uiPriority w:val="53"/>
    <w:rsid w:val="008060FB"/>
    <w:pPr>
      <w:numPr>
        <w:numId w:val="16"/>
      </w:numPr>
      <w:spacing w:before="0" w:line="240" w:lineRule="auto"/>
    </w:pPr>
    <w:rPr>
      <w:rFonts w:ascii="Arial Narrow" w:eastAsia="Times New Roman" w:hAnsi="Arial Narrow"/>
      <w:sz w:val="20"/>
      <w:lang w:eastAsia="en-AU"/>
    </w:rPr>
  </w:style>
  <w:style w:type="character" w:customStyle="1" w:styleId="Superscript">
    <w:name w:val="Superscript"/>
    <w:uiPriority w:val="18"/>
    <w:rsid w:val="008060FB"/>
    <w:rPr>
      <w:vertAlign w:val="superscript"/>
    </w:rPr>
  </w:style>
  <w:style w:type="paragraph" w:customStyle="1" w:styleId="ReportSubtitle">
    <w:name w:val="Report Subtitle"/>
    <w:basedOn w:val="Normal"/>
    <w:rsid w:val="008060FB"/>
    <w:pPr>
      <w:spacing w:before="0" w:after="240" w:line="240" w:lineRule="auto"/>
      <w:ind w:left="720"/>
      <w:jc w:val="right"/>
    </w:pPr>
    <w:rPr>
      <w:rFonts w:ascii="Arial Bold" w:eastAsia="Times New Roman" w:hAnsi="Arial Bold"/>
      <w:b/>
      <w:bCs/>
      <w:color w:val="000000"/>
      <w:sz w:val="40"/>
      <w:szCs w:val="20"/>
      <w:lang w:eastAsia="en-AU"/>
    </w:rPr>
  </w:style>
  <w:style w:type="character" w:customStyle="1" w:styleId="label-">
    <w:name w:val="label-"/>
    <w:basedOn w:val="DefaultParagraphFont"/>
    <w:rsid w:val="008060FB"/>
  </w:style>
  <w:style w:type="table" w:customStyle="1" w:styleId="TableGrid3">
    <w:name w:val="Table Grid3"/>
    <w:basedOn w:val="TableNormal"/>
    <w:next w:val="TableGrid"/>
    <w:rsid w:val="008060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060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060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8060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8060FB"/>
    <w:rPr>
      <w:rFonts w:ascii="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8060FB"/>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ofreference">
    <w:name w:val="Term of reference"/>
    <w:basedOn w:val="Normal"/>
    <w:link w:val="TermofreferenceChar"/>
    <w:qFormat/>
    <w:rsid w:val="008060FB"/>
    <w:pPr>
      <w:pBdr>
        <w:top w:val="single" w:sz="4" w:space="1" w:color="auto"/>
        <w:left w:val="single" w:sz="4" w:space="4" w:color="auto"/>
        <w:bottom w:val="single" w:sz="4" w:space="1" w:color="auto"/>
        <w:right w:val="single" w:sz="4" w:space="4" w:color="auto"/>
      </w:pBdr>
      <w:spacing w:before="0" w:after="200" w:line="240" w:lineRule="auto"/>
      <w:jc w:val="center"/>
    </w:pPr>
    <w:rPr>
      <w:rFonts w:ascii="Calibri" w:eastAsiaTheme="minorEastAsia" w:hAnsi="Calibri" w:cstheme="minorBidi"/>
      <w:b/>
      <w:color w:val="365F91" w:themeColor="accent1" w:themeShade="BF"/>
      <w:lang w:eastAsia="en-AU"/>
    </w:rPr>
  </w:style>
  <w:style w:type="paragraph" w:customStyle="1" w:styleId="Tablename">
    <w:name w:val="Table name"/>
    <w:basedOn w:val="Caption"/>
    <w:link w:val="TablenameChar"/>
    <w:qFormat/>
    <w:rsid w:val="008060FB"/>
    <w:pPr>
      <w:spacing w:before="60" w:after="60"/>
      <w:ind w:left="0" w:firstLine="0"/>
      <w:jc w:val="left"/>
    </w:pPr>
    <w:rPr>
      <w:rFonts w:ascii="Calibri" w:eastAsiaTheme="minorEastAsia" w:hAnsi="Calibri"/>
      <w:bCs/>
      <w:iCs w:val="0"/>
    </w:rPr>
  </w:style>
  <w:style w:type="character" w:customStyle="1" w:styleId="TermofreferenceChar">
    <w:name w:val="Term of reference Char"/>
    <w:basedOn w:val="DefaultParagraphFont"/>
    <w:link w:val="Termofreference"/>
    <w:rsid w:val="008060FB"/>
    <w:rPr>
      <w:rFonts w:ascii="Calibri" w:eastAsiaTheme="minorEastAsia" w:hAnsi="Calibri" w:cstheme="minorBidi"/>
      <w:b/>
      <w:color w:val="365F91" w:themeColor="accent1" w:themeShade="BF"/>
      <w:sz w:val="24"/>
      <w:szCs w:val="24"/>
    </w:rPr>
  </w:style>
  <w:style w:type="character" w:customStyle="1" w:styleId="TablenameChar">
    <w:name w:val="Table name Char"/>
    <w:basedOn w:val="CaptionChar"/>
    <w:link w:val="Tablename"/>
    <w:rsid w:val="008060FB"/>
    <w:rPr>
      <w:rFonts w:ascii="Calibri" w:eastAsiaTheme="minorEastAsia" w:hAnsi="Calibri"/>
      <w:b/>
      <w:bCs/>
      <w:iCs w:val="0"/>
      <w:sz w:val="24"/>
      <w:szCs w:val="18"/>
      <w:lang w:eastAsia="en-US"/>
    </w:rPr>
  </w:style>
  <w:style w:type="paragraph" w:customStyle="1" w:styleId="Figurename">
    <w:name w:val="Figure name"/>
    <w:basedOn w:val="Normal"/>
    <w:link w:val="FigurenameChar"/>
    <w:qFormat/>
    <w:rsid w:val="008060FB"/>
    <w:pPr>
      <w:spacing w:before="60" w:after="60" w:line="240" w:lineRule="auto"/>
    </w:pPr>
    <w:rPr>
      <w:rFonts w:ascii="Calibri" w:eastAsiaTheme="minorEastAsia" w:hAnsi="Calibri" w:cstheme="minorBidi"/>
      <w:b/>
      <w:lang w:val="en-US"/>
    </w:rPr>
  </w:style>
  <w:style w:type="paragraph" w:customStyle="1" w:styleId="Figurenote">
    <w:name w:val="Figure note"/>
    <w:basedOn w:val="Normal"/>
    <w:link w:val="FigurenoteChar"/>
    <w:qFormat/>
    <w:rsid w:val="008060FB"/>
    <w:pPr>
      <w:spacing w:before="60" w:after="60" w:line="240" w:lineRule="auto"/>
    </w:pPr>
    <w:rPr>
      <w:rFonts w:eastAsiaTheme="minorEastAsia" w:cstheme="minorBidi"/>
      <w:sz w:val="20"/>
      <w:szCs w:val="20"/>
    </w:rPr>
  </w:style>
  <w:style w:type="character" w:customStyle="1" w:styleId="FigurenameChar">
    <w:name w:val="Figure name Char"/>
    <w:basedOn w:val="DefaultParagraphFont"/>
    <w:link w:val="Figurename"/>
    <w:rsid w:val="008060FB"/>
    <w:rPr>
      <w:rFonts w:ascii="Calibri" w:eastAsiaTheme="minorEastAsia" w:hAnsi="Calibri" w:cstheme="minorBidi"/>
      <w:b/>
      <w:sz w:val="24"/>
      <w:szCs w:val="24"/>
      <w:lang w:val="en-US" w:eastAsia="en-US"/>
    </w:rPr>
  </w:style>
  <w:style w:type="character" w:customStyle="1" w:styleId="FigurenoteChar">
    <w:name w:val="Figure note Char"/>
    <w:basedOn w:val="DefaultParagraphFont"/>
    <w:link w:val="Figurenote"/>
    <w:rsid w:val="008060FB"/>
    <w:rPr>
      <w:rFonts w:asciiTheme="minorHAnsi" w:eastAsiaTheme="minorEastAsia" w:hAnsiTheme="minorHAnsi" w:cstheme="minorBidi"/>
      <w:lang w:eastAsia="en-US"/>
    </w:rPr>
  </w:style>
  <w:style w:type="paragraph" w:customStyle="1" w:styleId="EndNoteBibliographyTitle">
    <w:name w:val="EndNote Bibliography Title"/>
    <w:basedOn w:val="Normal"/>
    <w:link w:val="EndNoteBibliographyTitleChar"/>
    <w:rsid w:val="008060FB"/>
    <w:pPr>
      <w:spacing w:before="0" w:line="240" w:lineRule="auto"/>
      <w:jc w:val="center"/>
    </w:pPr>
    <w:rPr>
      <w:rFonts w:eastAsiaTheme="minorHAnsi" w:cstheme="minorBidi"/>
      <w:noProof/>
      <w:szCs w:val="22"/>
      <w:lang w:eastAsia="en-AU"/>
    </w:rPr>
  </w:style>
  <w:style w:type="character" w:customStyle="1" w:styleId="EndNoteBibliographyTitleChar">
    <w:name w:val="EndNote Bibliography Title Char"/>
    <w:basedOn w:val="TabletextChar"/>
    <w:link w:val="EndNoteBibliographyTitle"/>
    <w:rsid w:val="008060FB"/>
    <w:rPr>
      <w:rFonts w:ascii="Arial Narrow" w:eastAsiaTheme="minorHAnsi" w:hAnsi="Arial Narrow" w:cstheme="minorBidi"/>
      <w:noProof/>
      <w:sz w:val="24"/>
      <w:szCs w:val="22"/>
    </w:rPr>
  </w:style>
  <w:style w:type="paragraph" w:customStyle="1" w:styleId="EndNoteBibliography">
    <w:name w:val="EndNote Bibliography"/>
    <w:basedOn w:val="Normal"/>
    <w:link w:val="EndNoteBibliographyChar"/>
    <w:rsid w:val="008060FB"/>
    <w:pPr>
      <w:spacing w:before="0" w:after="200" w:line="240" w:lineRule="auto"/>
    </w:pPr>
    <w:rPr>
      <w:rFonts w:eastAsiaTheme="minorHAnsi" w:cstheme="minorBidi"/>
      <w:noProof/>
      <w:szCs w:val="22"/>
      <w:lang w:eastAsia="en-AU"/>
    </w:rPr>
  </w:style>
  <w:style w:type="character" w:customStyle="1" w:styleId="EndNoteBibliographyChar">
    <w:name w:val="EndNote Bibliography Char"/>
    <w:basedOn w:val="TabletextChar"/>
    <w:link w:val="EndNoteBibliography"/>
    <w:rsid w:val="008060FB"/>
    <w:rPr>
      <w:rFonts w:ascii="Arial Narrow" w:eastAsiaTheme="minorHAnsi" w:hAnsi="Arial Narrow" w:cstheme="minorBidi"/>
      <w:noProof/>
      <w:sz w:val="24"/>
      <w:szCs w:val="22"/>
    </w:rPr>
  </w:style>
  <w:style w:type="table" w:customStyle="1" w:styleId="TableGrid8">
    <w:name w:val="Table Grid8"/>
    <w:basedOn w:val="TableNormal"/>
    <w:next w:val="TableGrid"/>
    <w:rsid w:val="008060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Sectionheading-numbered">
    <w:name w:val="ES. Section heading - numbered"/>
    <w:uiPriority w:val="99"/>
    <w:rsid w:val="008060FB"/>
    <w:pPr>
      <w:numPr>
        <w:numId w:val="18"/>
      </w:numPr>
    </w:pPr>
  </w:style>
  <w:style w:type="paragraph" w:customStyle="1" w:styleId="TableHeading">
    <w:name w:val="TableHeading"/>
    <w:basedOn w:val="Normal"/>
    <w:link w:val="TableHeadingChar"/>
    <w:qFormat/>
    <w:rsid w:val="008060FB"/>
    <w:pPr>
      <w:keepNext/>
      <w:tabs>
        <w:tab w:val="left" w:pos="993"/>
      </w:tabs>
      <w:spacing w:before="40" w:after="40" w:line="240" w:lineRule="auto"/>
      <w:ind w:left="992" w:hanging="992"/>
    </w:pPr>
    <w:rPr>
      <w:rFonts w:ascii="Arial Narrow" w:eastAsia="Times New Roman" w:hAnsi="Arial Narrow" w:cs="Tahoma"/>
      <w:b/>
      <w:sz w:val="20"/>
      <w:szCs w:val="20"/>
      <w:lang w:eastAsia="en-AU"/>
    </w:rPr>
  </w:style>
  <w:style w:type="character" w:customStyle="1" w:styleId="TableHeadingChar">
    <w:name w:val="TableHeading Char"/>
    <w:link w:val="TableHeading"/>
    <w:rsid w:val="008060FB"/>
    <w:rPr>
      <w:rFonts w:ascii="Arial Narrow" w:eastAsia="Times New Roman" w:hAnsi="Arial Narrow" w:cs="Tahoma"/>
      <w:b/>
    </w:rPr>
  </w:style>
  <w:style w:type="paragraph" w:customStyle="1" w:styleId="ESNumberedSectionHeading">
    <w:name w:val="ES Numbered Section Heading"/>
    <w:link w:val="ESNumberedSectionHeadingChar"/>
    <w:qFormat/>
    <w:rsid w:val="008060FB"/>
    <w:pPr>
      <w:keepNext/>
      <w:numPr>
        <w:numId w:val="19"/>
      </w:numPr>
      <w:spacing w:before="240" w:after="120" w:line="312" w:lineRule="auto"/>
      <w:ind w:left="1134" w:hanging="1134"/>
      <w:outlineLvl w:val="2"/>
    </w:pPr>
    <w:rPr>
      <w:rFonts w:ascii="Times New Roman" w:eastAsiaTheme="minorHAnsi" w:hAnsi="Times New Roman" w:cs="Tahoma"/>
      <w:smallCaps/>
      <w:sz w:val="24"/>
      <w:szCs w:val="24"/>
    </w:rPr>
  </w:style>
  <w:style w:type="character" w:customStyle="1" w:styleId="ESNumberedSectionHeadingChar">
    <w:name w:val="ES Numbered Section Heading Char"/>
    <w:basedOn w:val="DefaultParagraphFont"/>
    <w:link w:val="ESNumberedSectionHeading"/>
    <w:rsid w:val="008060FB"/>
    <w:rPr>
      <w:rFonts w:ascii="Times New Roman" w:eastAsiaTheme="minorHAnsi" w:hAnsi="Times New Roman" w:cs="Tahoma"/>
      <w:smallCaps/>
      <w:sz w:val="24"/>
      <w:szCs w:val="24"/>
    </w:rPr>
  </w:style>
  <w:style w:type="table" w:customStyle="1" w:styleId="TableGrid9">
    <w:name w:val="Table Grid9"/>
    <w:basedOn w:val="TableNormal"/>
    <w:next w:val="TableGrid"/>
    <w:uiPriority w:val="59"/>
    <w:rsid w:val="008060FB"/>
    <w:pPr>
      <w:spacing w:before="40" w:after="4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854F17"/>
    <w:pPr>
      <w:spacing w:before="60" w:after="60" w:line="240" w:lineRule="auto"/>
    </w:pPr>
    <w:rPr>
      <w:rFonts w:ascii="Arial Narrow" w:eastAsia="Times New Roman" w:hAnsi="Arial Narrow" w:cs="Arial"/>
      <w:sz w:val="18"/>
      <w:szCs w:val="22"/>
      <w:lang w:eastAsia="en-AU"/>
    </w:rPr>
  </w:style>
  <w:style w:type="paragraph" w:customStyle="1" w:styleId="tabletext1">
    <w:name w:val="table text"/>
    <w:basedOn w:val="TableText0"/>
    <w:rsid w:val="008060FB"/>
    <w:pPr>
      <w:keepNext/>
    </w:pPr>
    <w:rPr>
      <w:color w:val="000000"/>
      <w:szCs w:val="20"/>
    </w:rPr>
  </w:style>
  <w:style w:type="paragraph" w:customStyle="1" w:styleId="TableParagraph">
    <w:name w:val="Table Paragraph"/>
    <w:basedOn w:val="Normal"/>
    <w:uiPriority w:val="1"/>
    <w:qFormat/>
    <w:rsid w:val="008060FB"/>
    <w:pPr>
      <w:widowControl w:val="0"/>
      <w:spacing w:before="0" w:line="240" w:lineRule="auto"/>
    </w:pPr>
    <w:rPr>
      <w:rFonts w:eastAsiaTheme="minorHAnsi" w:cstheme="minorBidi"/>
      <w:sz w:val="22"/>
      <w:szCs w:val="22"/>
      <w:lang w:val="en-US"/>
    </w:rPr>
  </w:style>
  <w:style w:type="table" w:customStyle="1" w:styleId="TableGrid10">
    <w:name w:val="Table Grid10"/>
    <w:basedOn w:val="TableNormal"/>
    <w:next w:val="TableGrid"/>
    <w:rsid w:val="008060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ckgroundTable">
    <w:name w:val="Background Table"/>
    <w:basedOn w:val="Caption"/>
    <w:link w:val="BackgroundTableChar"/>
    <w:qFormat/>
    <w:rsid w:val="008060FB"/>
    <w:pPr>
      <w:spacing w:before="0"/>
    </w:pPr>
  </w:style>
  <w:style w:type="character" w:customStyle="1" w:styleId="BackgroundTableChar">
    <w:name w:val="Background Table Char"/>
    <w:basedOn w:val="CaptionChar"/>
    <w:link w:val="BackgroundTable"/>
    <w:rsid w:val="008060FB"/>
    <w:rPr>
      <w:rFonts w:ascii="Arial" w:hAnsi="Arial"/>
      <w:b/>
      <w:iCs/>
      <w:sz w:val="24"/>
      <w:szCs w:val="18"/>
      <w:lang w:eastAsia="en-US"/>
    </w:rPr>
  </w:style>
  <w:style w:type="numbering" w:customStyle="1" w:styleId="ESSectionheading-numbered1">
    <w:name w:val="ES. Section heading - numbered1"/>
    <w:uiPriority w:val="99"/>
    <w:rsid w:val="00FB5052"/>
    <w:pPr>
      <w:numPr>
        <w:numId w:val="21"/>
      </w:numPr>
    </w:pPr>
  </w:style>
  <w:style w:type="character" w:customStyle="1" w:styleId="cell-value">
    <w:name w:val="cell-value"/>
    <w:basedOn w:val="DefaultParagraphFont"/>
    <w:rsid w:val="00FB5052"/>
  </w:style>
  <w:style w:type="character" w:customStyle="1" w:styleId="cell">
    <w:name w:val="cell"/>
    <w:basedOn w:val="DefaultParagraphFont"/>
    <w:rsid w:val="00FB5052"/>
  </w:style>
  <w:style w:type="character" w:customStyle="1" w:styleId="block">
    <w:name w:val="block"/>
    <w:basedOn w:val="DefaultParagraphFont"/>
    <w:rsid w:val="00FB5052"/>
  </w:style>
  <w:style w:type="paragraph" w:customStyle="1" w:styleId="CM27">
    <w:name w:val="CM27"/>
    <w:basedOn w:val="Normal"/>
    <w:next w:val="Normal"/>
    <w:uiPriority w:val="99"/>
    <w:rsid w:val="00D0193C"/>
    <w:pPr>
      <w:autoSpaceDE w:val="0"/>
      <w:autoSpaceDN w:val="0"/>
      <w:adjustRightInd w:val="0"/>
      <w:spacing w:before="0" w:line="240" w:lineRule="auto"/>
    </w:pPr>
    <w:rPr>
      <w:rFonts w:ascii="Arial" w:eastAsiaTheme="minorHAnsi" w:hAnsi="Arial" w:cs="Arial"/>
    </w:rPr>
  </w:style>
  <w:style w:type="paragraph" w:customStyle="1" w:styleId="CM34">
    <w:name w:val="CM34"/>
    <w:basedOn w:val="Normal"/>
    <w:next w:val="Normal"/>
    <w:uiPriority w:val="99"/>
    <w:rsid w:val="00D0193C"/>
    <w:pPr>
      <w:autoSpaceDE w:val="0"/>
      <w:autoSpaceDN w:val="0"/>
      <w:adjustRightInd w:val="0"/>
      <w:spacing w:before="0" w:line="240" w:lineRule="auto"/>
    </w:pPr>
    <w:rPr>
      <w:rFonts w:ascii="Times New Roman" w:eastAsiaTheme="minorHAnsi" w:hAnsi="Times New Roman"/>
    </w:rPr>
  </w:style>
  <w:style w:type="paragraph" w:customStyle="1" w:styleId="CM28">
    <w:name w:val="CM28"/>
    <w:basedOn w:val="Normal"/>
    <w:next w:val="Normal"/>
    <w:uiPriority w:val="99"/>
    <w:rsid w:val="00D0193C"/>
    <w:pPr>
      <w:autoSpaceDE w:val="0"/>
      <w:autoSpaceDN w:val="0"/>
      <w:adjustRightInd w:val="0"/>
      <w:spacing w:before="0" w:line="240" w:lineRule="auto"/>
    </w:pPr>
    <w:rPr>
      <w:rFonts w:ascii="Times New Roman" w:eastAsiaTheme="minorHAnsi" w:hAnsi="Times New Roman"/>
    </w:rPr>
  </w:style>
  <w:style w:type="character" w:customStyle="1" w:styleId="PersonalComposeStyle">
    <w:name w:val="Personal Compose Style"/>
    <w:basedOn w:val="DefaultParagraphFont"/>
    <w:rsid w:val="001D0FDA"/>
    <w:rPr>
      <w:rFonts w:ascii="Arial" w:hAnsi="Arial" w:cs="Arial"/>
      <w:color w:val="auto"/>
      <w:sz w:val="20"/>
    </w:rPr>
  </w:style>
  <w:style w:type="character" w:customStyle="1" w:styleId="PersonalReplyStyle">
    <w:name w:val="Personal Reply Style"/>
    <w:basedOn w:val="DefaultParagraphFont"/>
    <w:rsid w:val="001D0FDA"/>
    <w:rPr>
      <w:rFonts w:ascii="Arial" w:hAnsi="Arial" w:cs="Arial"/>
      <w:color w:val="auto"/>
      <w:sz w:val="20"/>
    </w:rPr>
  </w:style>
  <w:style w:type="paragraph" w:customStyle="1" w:styleId="Bullet">
    <w:name w:val="Bullet"/>
    <w:basedOn w:val="Normal"/>
    <w:rsid w:val="001D0FDA"/>
    <w:pPr>
      <w:numPr>
        <w:numId w:val="48"/>
      </w:numPr>
      <w:spacing w:before="0" w:after="240" w:line="312" w:lineRule="auto"/>
    </w:pPr>
    <w:rPr>
      <w:rFonts w:ascii="Calibri" w:eastAsia="Times New Roman" w:hAnsi="Calibri" w:cs="Tahoma"/>
      <w:sz w:val="22"/>
      <w:szCs w:val="22"/>
      <w:lang w:eastAsia="en-AU"/>
    </w:rPr>
  </w:style>
  <w:style w:type="paragraph" w:styleId="Date">
    <w:name w:val="Date"/>
    <w:basedOn w:val="Normal"/>
    <w:next w:val="Normal"/>
    <w:link w:val="DateChar"/>
    <w:rsid w:val="001D0FDA"/>
    <w:pPr>
      <w:spacing w:before="0" w:after="240" w:line="312" w:lineRule="auto"/>
      <w:ind w:right="113"/>
      <w:jc w:val="right"/>
    </w:pPr>
    <w:rPr>
      <w:rFonts w:ascii="Arial" w:eastAsia="Times New Roman" w:hAnsi="Arial" w:cs="Tahoma"/>
      <w:b/>
      <w:sz w:val="36"/>
      <w:szCs w:val="22"/>
      <w:lang w:eastAsia="en-AU"/>
    </w:rPr>
  </w:style>
  <w:style w:type="character" w:customStyle="1" w:styleId="DateChar">
    <w:name w:val="Date Char"/>
    <w:basedOn w:val="DefaultParagraphFont"/>
    <w:link w:val="Date"/>
    <w:rsid w:val="001D0FDA"/>
    <w:rPr>
      <w:rFonts w:ascii="Arial" w:eastAsia="Times New Roman" w:hAnsi="Arial" w:cs="Tahoma"/>
      <w:b/>
      <w:sz w:val="36"/>
      <w:szCs w:val="22"/>
    </w:rPr>
  </w:style>
  <w:style w:type="paragraph" w:customStyle="1" w:styleId="Summaryboxtext">
    <w:name w:val="Summary box text"/>
    <w:basedOn w:val="Normal"/>
    <w:rsid w:val="001D0FDA"/>
    <w:pPr>
      <w:spacing w:before="0" w:after="100" w:afterAutospacing="1" w:line="312" w:lineRule="auto"/>
    </w:pPr>
    <w:rPr>
      <w:rFonts w:ascii="Arial Narrow" w:eastAsia="Times New Roman" w:hAnsi="Arial Narrow" w:cs="Tahoma"/>
      <w:sz w:val="22"/>
      <w:szCs w:val="22"/>
      <w:lang w:eastAsia="en-AU"/>
    </w:rPr>
  </w:style>
  <w:style w:type="paragraph" w:customStyle="1" w:styleId="Summaryboxheading">
    <w:name w:val="Summary box heading"/>
    <w:basedOn w:val="Summaryboxtext"/>
    <w:rsid w:val="001D0FDA"/>
    <w:pPr>
      <w:spacing w:before="120"/>
    </w:pPr>
    <w:rPr>
      <w:b/>
    </w:rPr>
  </w:style>
  <w:style w:type="paragraph" w:customStyle="1" w:styleId="Heading2a">
    <w:name w:val="Heading 2a"/>
    <w:basedOn w:val="Heading2"/>
    <w:rsid w:val="001D0FDA"/>
    <w:pPr>
      <w:numPr>
        <w:ilvl w:val="0"/>
        <w:numId w:val="0"/>
      </w:numPr>
      <w:spacing w:before="0" w:after="120"/>
      <w:jc w:val="left"/>
      <w:outlineLvl w:val="9"/>
    </w:pPr>
    <w:rPr>
      <w:rFonts w:ascii="Arial Narrow" w:hAnsi="Arial Narrow" w:cs="Tahoma"/>
      <w:bCs/>
      <w:color w:val="auto"/>
      <w:sz w:val="22"/>
      <w:szCs w:val="22"/>
      <w:lang w:eastAsia="en-AU"/>
    </w:rPr>
  </w:style>
  <w:style w:type="character" w:styleId="PageNumber">
    <w:name w:val="page number"/>
    <w:rsid w:val="001D0FDA"/>
    <w:rPr>
      <w:rFonts w:ascii="Tahoma" w:hAnsi="Tahoma"/>
      <w:b/>
      <w:sz w:val="18"/>
    </w:rPr>
  </w:style>
  <w:style w:type="paragraph" w:customStyle="1" w:styleId="PublicationTitle">
    <w:name w:val="PublicationTitle"/>
    <w:basedOn w:val="Normal"/>
    <w:rsid w:val="001D0FDA"/>
    <w:pPr>
      <w:spacing w:before="0" w:after="240" w:line="480" w:lineRule="exact"/>
      <w:ind w:right="113"/>
      <w:jc w:val="right"/>
    </w:pPr>
    <w:rPr>
      <w:rFonts w:ascii="Arial" w:eastAsia="Times New Roman" w:hAnsi="Arial" w:cs="Tahoma"/>
      <w:b/>
      <w:i/>
      <w:sz w:val="44"/>
      <w:szCs w:val="22"/>
      <w:lang w:eastAsia="en-AU"/>
    </w:rPr>
  </w:style>
  <w:style w:type="paragraph" w:customStyle="1" w:styleId="Sub-title">
    <w:name w:val="Sub-title"/>
    <w:basedOn w:val="Normal"/>
    <w:rsid w:val="001D0FDA"/>
    <w:pPr>
      <w:spacing w:before="0" w:after="240" w:line="312" w:lineRule="auto"/>
      <w:ind w:right="113"/>
      <w:jc w:val="right"/>
    </w:pPr>
    <w:rPr>
      <w:rFonts w:ascii="Arial" w:eastAsia="Times New Roman" w:hAnsi="Arial" w:cs="Tahoma"/>
      <w:b/>
      <w:sz w:val="32"/>
      <w:szCs w:val="22"/>
      <w:lang w:eastAsia="en-AU"/>
    </w:rPr>
  </w:style>
  <w:style w:type="paragraph" w:customStyle="1" w:styleId="TableText2">
    <w:name w:val="TableText"/>
    <w:basedOn w:val="Normal"/>
    <w:link w:val="TableTextChar1"/>
    <w:rsid w:val="001D0FDA"/>
    <w:pPr>
      <w:keepNext/>
      <w:spacing w:before="40" w:after="40" w:line="312" w:lineRule="auto"/>
    </w:pPr>
    <w:rPr>
      <w:rFonts w:ascii="Arial Narrow" w:eastAsia="Times New Roman" w:hAnsi="Arial Narrow" w:cs="Tahoma"/>
      <w:sz w:val="18"/>
      <w:szCs w:val="22"/>
      <w:lang w:eastAsia="en-AU"/>
    </w:rPr>
  </w:style>
  <w:style w:type="character" w:customStyle="1" w:styleId="TableTextChar1">
    <w:name w:val="TableText Char"/>
    <w:link w:val="TableText2"/>
    <w:rsid w:val="001D0FDA"/>
    <w:rPr>
      <w:rFonts w:ascii="Arial Narrow" w:eastAsia="Times New Roman" w:hAnsi="Arial Narrow" w:cs="Tahoma"/>
      <w:sz w:val="18"/>
      <w:szCs w:val="22"/>
    </w:rPr>
  </w:style>
  <w:style w:type="paragraph" w:customStyle="1" w:styleId="TableName0">
    <w:name w:val="TableName"/>
    <w:basedOn w:val="TableText2"/>
    <w:link w:val="TableNameChar0"/>
    <w:rsid w:val="001D0FDA"/>
    <w:pPr>
      <w:ind w:left="1440" w:hanging="720"/>
    </w:pPr>
    <w:rPr>
      <w:b/>
      <w:sz w:val="20"/>
    </w:rPr>
  </w:style>
  <w:style w:type="character" w:customStyle="1" w:styleId="TableNameChar0">
    <w:name w:val="TableName Char"/>
    <w:link w:val="TableName0"/>
    <w:rsid w:val="001D0FDA"/>
    <w:rPr>
      <w:rFonts w:ascii="Arial Narrow" w:eastAsia="Times New Roman" w:hAnsi="Arial Narrow" w:cs="Tahoma"/>
      <w:b/>
      <w:szCs w:val="22"/>
    </w:rPr>
  </w:style>
  <w:style w:type="paragraph" w:customStyle="1" w:styleId="TableNotes">
    <w:name w:val="TableNotes"/>
    <w:basedOn w:val="TableText2"/>
    <w:link w:val="TableNotesChar"/>
    <w:rsid w:val="001D0FDA"/>
    <w:pPr>
      <w:keepNext w:val="0"/>
      <w:keepLines/>
      <w:spacing w:before="0" w:after="360"/>
      <w:ind w:left="720"/>
      <w:contextualSpacing/>
    </w:pPr>
    <w:rPr>
      <w:sz w:val="16"/>
    </w:rPr>
  </w:style>
  <w:style w:type="character" w:customStyle="1" w:styleId="TableNotesChar">
    <w:name w:val="TableNotes Char"/>
    <w:link w:val="TableNotes"/>
    <w:rsid w:val="001D0FDA"/>
    <w:rPr>
      <w:rFonts w:ascii="Arial Narrow" w:eastAsia="Times New Roman" w:hAnsi="Arial Narrow" w:cs="Tahoma"/>
      <w:sz w:val="16"/>
      <w:szCs w:val="22"/>
    </w:rPr>
  </w:style>
  <w:style w:type="paragraph" w:styleId="Title">
    <w:name w:val="Title"/>
    <w:basedOn w:val="Normal"/>
    <w:link w:val="TitleChar"/>
    <w:qFormat/>
    <w:rsid w:val="001D0FDA"/>
    <w:pPr>
      <w:spacing w:before="0" w:after="240" w:line="312" w:lineRule="auto"/>
      <w:jc w:val="center"/>
    </w:pPr>
    <w:rPr>
      <w:rFonts w:ascii="Arial" w:eastAsia="Times New Roman" w:hAnsi="Arial" w:cs="Tahoma"/>
      <w:b/>
      <w:smallCaps/>
      <w:sz w:val="44"/>
      <w:szCs w:val="22"/>
      <w:lang w:eastAsia="en-AU"/>
    </w:rPr>
  </w:style>
  <w:style w:type="character" w:customStyle="1" w:styleId="TitleChar">
    <w:name w:val="Title Char"/>
    <w:basedOn w:val="DefaultParagraphFont"/>
    <w:link w:val="Title"/>
    <w:rsid w:val="001D0FDA"/>
    <w:rPr>
      <w:rFonts w:ascii="Arial" w:eastAsia="Times New Roman" w:hAnsi="Arial" w:cs="Tahoma"/>
      <w:b/>
      <w:smallCaps/>
      <w:sz w:val="44"/>
      <w:szCs w:val="22"/>
    </w:rPr>
  </w:style>
  <w:style w:type="paragraph" w:customStyle="1" w:styleId="Dash">
    <w:name w:val="Dash"/>
    <w:basedOn w:val="Normal"/>
    <w:rsid w:val="001D0FDA"/>
    <w:pPr>
      <w:numPr>
        <w:numId w:val="49"/>
      </w:numPr>
      <w:spacing w:before="0" w:after="240" w:line="312" w:lineRule="auto"/>
    </w:pPr>
    <w:rPr>
      <w:rFonts w:ascii="Calibri" w:eastAsia="Times New Roman" w:hAnsi="Calibri" w:cs="Tahoma"/>
      <w:sz w:val="22"/>
      <w:szCs w:val="22"/>
      <w:lang w:eastAsia="en-AU"/>
    </w:rPr>
  </w:style>
  <w:style w:type="paragraph" w:customStyle="1" w:styleId="TableHeading0">
    <w:name w:val="Table Heading"/>
    <w:basedOn w:val="Normal"/>
    <w:next w:val="Normal"/>
    <w:rsid w:val="001D0FDA"/>
    <w:pPr>
      <w:keepNext/>
      <w:spacing w:before="40" w:after="40" w:line="312" w:lineRule="auto"/>
    </w:pPr>
    <w:rPr>
      <w:rFonts w:ascii="Arial" w:eastAsia="Times New Roman" w:hAnsi="Arial" w:cs="Tahoma"/>
      <w:b/>
      <w:sz w:val="18"/>
      <w:szCs w:val="22"/>
      <w:lang w:val="en-GB"/>
    </w:rPr>
  </w:style>
  <w:style w:type="character" w:customStyle="1" w:styleId="TableTextChar0">
    <w:name w:val="Table Text Char"/>
    <w:link w:val="TableText0"/>
    <w:rsid w:val="001D0FDA"/>
    <w:rPr>
      <w:rFonts w:ascii="Arial Narrow" w:eastAsia="Times New Roman" w:hAnsi="Arial Narrow" w:cs="Arial"/>
      <w:sz w:val="18"/>
      <w:szCs w:val="22"/>
    </w:rPr>
  </w:style>
  <w:style w:type="paragraph" w:customStyle="1" w:styleId="Boxname">
    <w:name w:val="Box name"/>
    <w:basedOn w:val="TableName0"/>
    <w:link w:val="BoxnameChar"/>
    <w:rsid w:val="001D0FDA"/>
  </w:style>
  <w:style w:type="character" w:customStyle="1" w:styleId="BoxnameChar">
    <w:name w:val="Box name Char"/>
    <w:basedOn w:val="TableNameChar0"/>
    <w:link w:val="Boxname"/>
    <w:rsid w:val="001D0FDA"/>
    <w:rPr>
      <w:rFonts w:ascii="Arial Narrow" w:eastAsia="Times New Roman" w:hAnsi="Arial Narrow" w:cs="Tahoma"/>
      <w:b/>
      <w:szCs w:val="22"/>
    </w:rPr>
  </w:style>
  <w:style w:type="paragraph" w:customStyle="1" w:styleId="StyleTableTextArialNarrowFirstline045cm">
    <w:name w:val="Style Table Text + Arial Narrow First line:  0.45 cm"/>
    <w:basedOn w:val="TableText0"/>
    <w:rsid w:val="001D0FDA"/>
    <w:pPr>
      <w:keepNext/>
      <w:spacing w:before="40" w:after="360"/>
      <w:ind w:firstLine="720"/>
    </w:pPr>
    <w:rPr>
      <w:rFonts w:cs="Tahoma"/>
      <w:sz w:val="20"/>
      <w:lang w:eastAsia="en-US"/>
    </w:rPr>
  </w:style>
  <w:style w:type="paragraph" w:customStyle="1" w:styleId="TableNamea">
    <w:name w:val="Table Name(a)"/>
    <w:basedOn w:val="Normal"/>
    <w:rsid w:val="001D0FDA"/>
    <w:pPr>
      <w:keepNext/>
      <w:spacing w:before="120" w:after="120" w:line="312" w:lineRule="auto"/>
      <w:ind w:left="1077" w:hanging="1077"/>
    </w:pPr>
    <w:rPr>
      <w:rFonts w:ascii="Arial" w:eastAsia="Times New Roman" w:hAnsi="Arial" w:cs="Tahoma"/>
      <w:b/>
      <w:sz w:val="20"/>
      <w:szCs w:val="22"/>
    </w:rPr>
  </w:style>
  <w:style w:type="paragraph" w:styleId="DocumentMap">
    <w:name w:val="Document Map"/>
    <w:basedOn w:val="Normal"/>
    <w:link w:val="DocumentMapChar"/>
    <w:rsid w:val="001D0FDA"/>
    <w:pPr>
      <w:spacing w:before="0" w:after="240" w:line="312" w:lineRule="auto"/>
    </w:pPr>
    <w:rPr>
      <w:rFonts w:ascii="Calibri" w:eastAsia="Times New Roman" w:hAnsi="Calibri" w:cs="Tahoma"/>
      <w:sz w:val="16"/>
      <w:szCs w:val="16"/>
      <w:lang w:eastAsia="en-AU"/>
    </w:rPr>
  </w:style>
  <w:style w:type="character" w:customStyle="1" w:styleId="DocumentMapChar">
    <w:name w:val="Document Map Char"/>
    <w:basedOn w:val="DefaultParagraphFont"/>
    <w:link w:val="DocumentMap"/>
    <w:rsid w:val="001D0FDA"/>
    <w:rPr>
      <w:rFonts w:ascii="Calibri" w:eastAsia="Times New Roman" w:hAnsi="Calibri" w:cs="Tahoma"/>
      <w:sz w:val="16"/>
      <w:szCs w:val="16"/>
    </w:rPr>
  </w:style>
  <w:style w:type="paragraph" w:customStyle="1" w:styleId="figureheading">
    <w:name w:val="figure heading"/>
    <w:basedOn w:val="Normal"/>
    <w:rsid w:val="001D0FDA"/>
    <w:pPr>
      <w:keepNext/>
      <w:spacing w:before="120" w:after="120" w:line="312" w:lineRule="auto"/>
      <w:ind w:left="1077" w:hanging="1077"/>
    </w:pPr>
    <w:rPr>
      <w:rFonts w:ascii="Arial" w:eastAsia="Times New Roman" w:hAnsi="Arial" w:cs="Tahoma"/>
      <w:b/>
      <w:sz w:val="20"/>
      <w:szCs w:val="22"/>
    </w:rPr>
  </w:style>
  <w:style w:type="paragraph" w:customStyle="1" w:styleId="Nnumberedlist">
    <w:name w:val="Nnumbered list"/>
    <w:basedOn w:val="Normal"/>
    <w:rsid w:val="001D0FDA"/>
    <w:pPr>
      <w:numPr>
        <w:numId w:val="50"/>
      </w:numPr>
      <w:spacing w:before="0" w:after="240" w:line="312" w:lineRule="auto"/>
    </w:pPr>
    <w:rPr>
      <w:rFonts w:ascii="Calibri" w:eastAsia="Times New Roman" w:hAnsi="Calibri" w:cs="Tahoma"/>
      <w:sz w:val="22"/>
      <w:szCs w:val="22"/>
      <w:lang w:eastAsia="en-AU"/>
    </w:rPr>
  </w:style>
  <w:style w:type="paragraph" w:customStyle="1" w:styleId="Figure">
    <w:name w:val="Figure"/>
    <w:basedOn w:val="TableName0"/>
    <w:rsid w:val="001D0FDA"/>
    <w:pPr>
      <w:spacing w:before="120" w:after="120"/>
      <w:ind w:left="1800" w:hanging="1080"/>
    </w:pPr>
  </w:style>
  <w:style w:type="paragraph" w:customStyle="1" w:styleId="Equation">
    <w:name w:val="Equation"/>
    <w:basedOn w:val="Header"/>
    <w:rsid w:val="001D0FDA"/>
    <w:pPr>
      <w:pBdr>
        <w:bottom w:val="none" w:sz="0" w:space="0" w:color="auto"/>
      </w:pBdr>
      <w:tabs>
        <w:tab w:val="clear" w:pos="4513"/>
        <w:tab w:val="clear" w:pos="9026"/>
      </w:tabs>
      <w:spacing w:line="312" w:lineRule="auto"/>
    </w:pPr>
    <w:rPr>
      <w:rFonts w:ascii="Arial Narrow" w:eastAsia="Times New Roman" w:hAnsi="Arial Narrow" w:cs="Tahoma"/>
      <w:szCs w:val="22"/>
      <w:lang w:eastAsia="en-AU"/>
    </w:rPr>
  </w:style>
  <w:style w:type="paragraph" w:customStyle="1" w:styleId="AHTAaddresslines">
    <w:name w:val="AHTA address lines"/>
    <w:basedOn w:val="PlainText"/>
    <w:rsid w:val="001D0FDA"/>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1D0FDA"/>
    <w:pPr>
      <w:spacing w:before="0" w:line="312" w:lineRule="auto"/>
    </w:pPr>
    <w:rPr>
      <w:rFonts w:ascii="Courier New" w:eastAsia="Times New Roman" w:hAnsi="Courier New" w:cs="Courier New"/>
      <w:sz w:val="20"/>
      <w:szCs w:val="22"/>
    </w:rPr>
  </w:style>
  <w:style w:type="character" w:customStyle="1" w:styleId="PlainTextChar">
    <w:name w:val="Plain Text Char"/>
    <w:basedOn w:val="DefaultParagraphFont"/>
    <w:link w:val="PlainText"/>
    <w:rsid w:val="001D0FDA"/>
    <w:rPr>
      <w:rFonts w:ascii="Courier New" w:eastAsia="Times New Roman" w:hAnsi="Courier New" w:cs="Courier New"/>
      <w:szCs w:val="22"/>
      <w:lang w:eastAsia="en-US"/>
    </w:rPr>
  </w:style>
  <w:style w:type="character" w:customStyle="1" w:styleId="regulartext">
    <w:name w:val="regulartext"/>
    <w:basedOn w:val="DefaultParagraphFont"/>
    <w:rsid w:val="001D0FDA"/>
  </w:style>
  <w:style w:type="paragraph" w:customStyle="1" w:styleId="bodytext0">
    <w:name w:val="bodytext"/>
    <w:basedOn w:val="Normal"/>
    <w:rsid w:val="001D0FDA"/>
    <w:pPr>
      <w:spacing w:before="100" w:beforeAutospacing="1" w:after="100" w:afterAutospacing="1" w:line="312" w:lineRule="auto"/>
    </w:pPr>
    <w:rPr>
      <w:rFonts w:ascii="Times New Roman" w:eastAsia="Times New Roman" w:hAnsi="Times New Roman" w:cs="Tahoma"/>
      <w:sz w:val="22"/>
      <w:lang w:eastAsia="en-AU"/>
    </w:rPr>
  </w:style>
  <w:style w:type="character" w:customStyle="1" w:styleId="mainsubheader1">
    <w:name w:val="mainsubheader1"/>
    <w:rsid w:val="001D0FDA"/>
    <w:rPr>
      <w:b/>
      <w:bCs/>
    </w:rPr>
  </w:style>
  <w:style w:type="paragraph" w:customStyle="1" w:styleId="Bullet12">
    <w:name w:val="Bullet+12"/>
    <w:basedOn w:val="Normal"/>
    <w:rsid w:val="001D0FDA"/>
    <w:pPr>
      <w:tabs>
        <w:tab w:val="num" w:pos="357"/>
      </w:tabs>
      <w:spacing w:before="0" w:after="240" w:line="312" w:lineRule="auto"/>
      <w:ind w:left="357" w:hanging="357"/>
    </w:pPr>
    <w:rPr>
      <w:rFonts w:ascii="Times New Roman" w:eastAsia="Times New Roman" w:hAnsi="Times New Roman" w:cs="Tahoma"/>
      <w:sz w:val="22"/>
      <w:szCs w:val="22"/>
    </w:rPr>
  </w:style>
  <w:style w:type="paragraph" w:customStyle="1" w:styleId="Bullet6">
    <w:name w:val="Bullet+6"/>
    <w:basedOn w:val="Normal"/>
    <w:rsid w:val="001D0FDA"/>
    <w:pPr>
      <w:tabs>
        <w:tab w:val="num" w:pos="578"/>
      </w:tabs>
      <w:spacing w:before="0" w:line="312" w:lineRule="auto"/>
      <w:ind w:left="578" w:hanging="360"/>
    </w:pPr>
    <w:rPr>
      <w:rFonts w:ascii="Times New Roman" w:eastAsia="Times New Roman" w:hAnsi="Times New Roman" w:cs="Tahoma"/>
      <w:sz w:val="22"/>
      <w:lang w:eastAsia="en-AU"/>
    </w:rPr>
  </w:style>
  <w:style w:type="table" w:styleId="TableClassic1">
    <w:name w:val="Table Classic 1"/>
    <w:basedOn w:val="TableNormal"/>
    <w:rsid w:val="001D0FDA"/>
    <w:pPr>
      <w:spacing w:after="240" w:line="312" w:lineRule="auto"/>
    </w:pPr>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1">
    <w:name w:val="Style1"/>
    <w:basedOn w:val="Normal"/>
    <w:rsid w:val="001D0FDA"/>
    <w:pPr>
      <w:tabs>
        <w:tab w:val="left" w:pos="720"/>
      </w:tabs>
      <w:spacing w:before="0" w:line="240" w:lineRule="auto"/>
    </w:pPr>
    <w:rPr>
      <w:rFonts w:ascii="Bookman Old Style" w:eastAsia="Times New Roman" w:hAnsi="Bookman Old Style"/>
      <w:sz w:val="20"/>
      <w:szCs w:val="20"/>
      <w:lang w:val="en-US"/>
    </w:rPr>
  </w:style>
  <w:style w:type="character" w:customStyle="1" w:styleId="st1">
    <w:name w:val="st1"/>
    <w:basedOn w:val="DefaultParagraphFont"/>
    <w:rsid w:val="001D0FDA"/>
  </w:style>
  <w:style w:type="table" w:customStyle="1" w:styleId="TableGrid11">
    <w:name w:val="Table Grid11"/>
    <w:basedOn w:val="TableNormal"/>
    <w:next w:val="TableGrid"/>
    <w:rsid w:val="001D0FDA"/>
    <w:pPr>
      <w:spacing w:before="40" w:after="40"/>
    </w:pPr>
    <w:rPr>
      <w:rFonts w:ascii="Arial Narrow" w:eastAsia="Times New Roman"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1D0FDA"/>
    <w:pPr>
      <w:spacing w:before="100" w:beforeAutospacing="1" w:after="100" w:afterAutospacing="1" w:line="240" w:lineRule="auto"/>
    </w:pPr>
    <w:rPr>
      <w:rFonts w:ascii="Times New Roman" w:eastAsia="Times New Roman" w:hAnsi="Times New Roman"/>
      <w:sz w:val="22"/>
      <w:lang w:eastAsia="en-AU"/>
    </w:rPr>
  </w:style>
  <w:style w:type="paragraph" w:customStyle="1" w:styleId="details">
    <w:name w:val="details"/>
    <w:basedOn w:val="Normal"/>
    <w:rsid w:val="001D0FDA"/>
    <w:pPr>
      <w:spacing w:before="100" w:beforeAutospacing="1" w:after="100" w:afterAutospacing="1" w:line="240" w:lineRule="auto"/>
    </w:pPr>
    <w:rPr>
      <w:rFonts w:ascii="Times New Roman" w:eastAsia="Times New Roman" w:hAnsi="Times New Roman"/>
      <w:sz w:val="22"/>
      <w:lang w:eastAsia="en-AU"/>
    </w:rPr>
  </w:style>
  <w:style w:type="character" w:customStyle="1" w:styleId="jrnl">
    <w:name w:val="jrnl"/>
    <w:basedOn w:val="DefaultParagraphFont"/>
    <w:rsid w:val="001D0FDA"/>
  </w:style>
  <w:style w:type="character" w:customStyle="1" w:styleId="A5">
    <w:name w:val="A5"/>
    <w:uiPriority w:val="99"/>
    <w:rsid w:val="001D0FDA"/>
    <w:rPr>
      <w:rFonts w:cs="Humanist 77 7 BT"/>
      <w:color w:val="000000"/>
      <w:sz w:val="11"/>
      <w:szCs w:val="11"/>
    </w:rPr>
  </w:style>
  <w:style w:type="paragraph" w:customStyle="1" w:styleId="TOCHeading1">
    <w:name w:val="TOC Heading1"/>
    <w:basedOn w:val="Heading1"/>
    <w:next w:val="Normal"/>
    <w:uiPriority w:val="39"/>
    <w:unhideWhenUsed/>
    <w:qFormat/>
    <w:rsid w:val="001D0FDA"/>
    <w:pPr>
      <w:keepNext/>
      <w:keepLines/>
      <w:pageBreakBefore w:val="0"/>
      <w:numPr>
        <w:numId w:val="0"/>
      </w:numPr>
      <w:spacing w:before="480" w:after="0" w:line="276" w:lineRule="auto"/>
      <w:jc w:val="left"/>
      <w:outlineLvl w:val="9"/>
    </w:pPr>
    <w:rPr>
      <w:rFonts w:eastAsia="MS Gothic"/>
      <w:bCs/>
      <w:smallCaps/>
      <w:color w:val="365F91"/>
      <w:sz w:val="28"/>
      <w:szCs w:val="28"/>
      <w:lang w:val="en-US"/>
    </w:rPr>
  </w:style>
  <w:style w:type="character" w:customStyle="1" w:styleId="highlight">
    <w:name w:val="highlight"/>
    <w:basedOn w:val="DefaultParagraphFont"/>
    <w:rsid w:val="001D0FDA"/>
  </w:style>
  <w:style w:type="paragraph" w:customStyle="1" w:styleId="ESSectionHeading-numbered0">
    <w:name w:val="ES. Section Heading - numbered"/>
    <w:basedOn w:val="Heading3"/>
    <w:link w:val="ESSectionHeading-numberedChar"/>
    <w:rsid w:val="001D0FDA"/>
    <w:pPr>
      <w:numPr>
        <w:ilvl w:val="0"/>
        <w:numId w:val="52"/>
      </w:numPr>
      <w:tabs>
        <w:tab w:val="clear" w:pos="0"/>
      </w:tabs>
      <w:spacing w:before="240" w:after="120" w:line="312" w:lineRule="auto"/>
      <w:jc w:val="left"/>
    </w:pPr>
    <w:rPr>
      <w:rFonts w:ascii="Calibri" w:hAnsi="Calibri" w:cs="Tahoma"/>
      <w:i w:val="0"/>
      <w:smallCaps/>
      <w:sz w:val="24"/>
    </w:rPr>
  </w:style>
  <w:style w:type="paragraph" w:customStyle="1" w:styleId="MainBodySectionHeading-numbered">
    <w:name w:val="Main Body Section Heading - numbered"/>
    <w:basedOn w:val="Heading2"/>
    <w:link w:val="MainBodySectionHeading-numberedChar"/>
    <w:rsid w:val="001D0FDA"/>
    <w:pPr>
      <w:numPr>
        <w:ilvl w:val="0"/>
        <w:numId w:val="51"/>
      </w:numPr>
      <w:spacing w:before="0" w:after="120"/>
      <w:ind w:left="567" w:hanging="567"/>
      <w:jc w:val="left"/>
    </w:pPr>
    <w:rPr>
      <w:rFonts w:ascii="Arial Narrow" w:hAnsi="Arial Narrow" w:cs="Tahoma"/>
      <w:bCs/>
      <w:szCs w:val="22"/>
    </w:rPr>
  </w:style>
  <w:style w:type="character" w:customStyle="1" w:styleId="ESSectionHeading-numberedChar">
    <w:name w:val="ES. Section Heading - numbered Char"/>
    <w:basedOn w:val="Heading3Char"/>
    <w:link w:val="ESSectionHeading-numbered0"/>
    <w:rsid w:val="001D0FDA"/>
    <w:rPr>
      <w:rFonts w:ascii="Calibri" w:eastAsia="Times New Roman" w:hAnsi="Calibri" w:cs="Tahoma"/>
      <w:b/>
      <w:i w:val="0"/>
      <w:smallCaps/>
      <w:sz w:val="24"/>
      <w:szCs w:val="24"/>
      <w:lang w:eastAsia="en-US"/>
    </w:rPr>
  </w:style>
  <w:style w:type="character" w:customStyle="1" w:styleId="MainBodySectionHeading-numberedChar">
    <w:name w:val="Main Body Section Heading - numbered Char"/>
    <w:basedOn w:val="Heading2Char"/>
    <w:link w:val="MainBodySectionHeading-numbered"/>
    <w:rsid w:val="001D0FDA"/>
    <w:rPr>
      <w:rFonts w:ascii="Arial Narrow" w:eastAsia="Times New Roman" w:hAnsi="Arial Narrow" w:cs="Tahoma"/>
      <w:b/>
      <w:bCs/>
      <w:color w:val="4F81BD"/>
      <w:sz w:val="32"/>
      <w:szCs w:val="22"/>
      <w:lang w:eastAsia="en-US"/>
    </w:rPr>
  </w:style>
  <w:style w:type="paragraph" w:customStyle="1" w:styleId="Tablenotes0">
    <w:name w:val="Tablenotes"/>
    <w:basedOn w:val="Normal"/>
    <w:link w:val="TablenotesChar0"/>
    <w:qFormat/>
    <w:rsid w:val="001D0FDA"/>
    <w:pPr>
      <w:widowControl w:val="0"/>
      <w:spacing w:before="40" w:after="240" w:line="240" w:lineRule="auto"/>
    </w:pPr>
    <w:rPr>
      <w:rFonts w:ascii="Arial Narrow" w:eastAsia="SimSun" w:hAnsi="Arial Narrow" w:cs="Arial"/>
      <w:snapToGrid w:val="0"/>
      <w:sz w:val="20"/>
      <w:szCs w:val="20"/>
    </w:rPr>
  </w:style>
  <w:style w:type="character" w:customStyle="1" w:styleId="TablenotesChar0">
    <w:name w:val="Tablenotes Char"/>
    <w:basedOn w:val="DefaultParagraphFont"/>
    <w:link w:val="Tablenotes0"/>
    <w:rsid w:val="001D0FDA"/>
    <w:rPr>
      <w:rFonts w:ascii="Arial Narrow" w:eastAsia="SimSun" w:hAnsi="Arial Narrow" w:cs="Arial"/>
      <w:snapToGrid w:val="0"/>
      <w:lang w:eastAsia="en-US"/>
    </w:rPr>
  </w:style>
  <w:style w:type="paragraph" w:customStyle="1" w:styleId="TableNotes18">
    <w:name w:val="TableNotes+18"/>
    <w:basedOn w:val="TableText2"/>
    <w:uiPriority w:val="99"/>
    <w:rsid w:val="001D0FDA"/>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1D0FDA"/>
    <w:pPr>
      <w:keepNext/>
      <w:spacing w:after="0"/>
    </w:pPr>
  </w:style>
  <w:style w:type="paragraph" w:customStyle="1" w:styleId="TFAbbrevs0">
    <w:name w:val="TFAbbrevs+0"/>
    <w:basedOn w:val="Normal"/>
    <w:qFormat/>
    <w:rsid w:val="001D0FDA"/>
    <w:pPr>
      <w:keepNext/>
      <w:keepLines/>
      <w:spacing w:before="0" w:line="240" w:lineRule="auto"/>
    </w:pPr>
    <w:rPr>
      <w:rFonts w:ascii="Arial Narrow" w:eastAsia="Times New Roman" w:hAnsi="Arial Narrow"/>
      <w:color w:val="000000"/>
      <w:sz w:val="18"/>
      <w:szCs w:val="18"/>
      <w:lang w:eastAsia="en-AU"/>
    </w:rPr>
  </w:style>
  <w:style w:type="paragraph" w:customStyle="1" w:styleId="TFAbbrevs18">
    <w:name w:val="TFAbbrevs+18"/>
    <w:basedOn w:val="TFAbbrevs0"/>
    <w:next w:val="Normal"/>
    <w:qFormat/>
    <w:rsid w:val="001D0FDA"/>
    <w:pPr>
      <w:spacing w:after="360"/>
    </w:pPr>
  </w:style>
  <w:style w:type="paragraph" w:customStyle="1" w:styleId="Comment">
    <w:name w:val="Comment"/>
    <w:basedOn w:val="Normal"/>
    <w:link w:val="CommentChar"/>
    <w:rsid w:val="001D0FDA"/>
    <w:pPr>
      <w:tabs>
        <w:tab w:val="num" w:pos="720"/>
      </w:tabs>
      <w:spacing w:before="0" w:after="240" w:line="312" w:lineRule="auto"/>
    </w:pPr>
    <w:rPr>
      <w:rFonts w:ascii="Calibri" w:eastAsia="Times New Roman" w:hAnsi="Calibri" w:cs="Tahoma"/>
      <w:i/>
      <w:sz w:val="22"/>
      <w:szCs w:val="22"/>
      <w:lang w:eastAsia="en-AU"/>
    </w:rPr>
  </w:style>
  <w:style w:type="character" w:customStyle="1" w:styleId="CommentChar">
    <w:name w:val="Comment Char"/>
    <w:basedOn w:val="DefaultParagraphFont"/>
    <w:link w:val="Comment"/>
    <w:rsid w:val="001D0FDA"/>
    <w:rPr>
      <w:rFonts w:ascii="Calibri" w:eastAsia="Times New Roman" w:hAnsi="Calibri" w:cs="Tahoma"/>
      <w:i/>
      <w:sz w:val="22"/>
      <w:szCs w:val="22"/>
    </w:rPr>
  </w:style>
  <w:style w:type="paragraph" w:customStyle="1" w:styleId="hidden">
    <w:name w:val="hidden"/>
    <w:basedOn w:val="Normal"/>
    <w:qFormat/>
    <w:rsid w:val="001D0FDA"/>
    <w:pPr>
      <w:spacing w:before="0" w:after="240" w:line="312" w:lineRule="auto"/>
    </w:pPr>
    <w:rPr>
      <w:rFonts w:ascii="Calibri" w:eastAsia="Times New Roman" w:hAnsi="Calibri" w:cs="Tahoma"/>
      <w:sz w:val="22"/>
      <w:szCs w:val="22"/>
      <w:lang w:eastAsia="en-AU"/>
    </w:rPr>
  </w:style>
  <w:style w:type="paragraph" w:customStyle="1" w:styleId="Guidelines">
    <w:name w:val="Guidelines"/>
    <w:basedOn w:val="Normal"/>
    <w:link w:val="GuidelinesChar"/>
    <w:qFormat/>
    <w:rsid w:val="001D0FDA"/>
    <w:pPr>
      <w:spacing w:before="0" w:after="240" w:line="312" w:lineRule="auto"/>
    </w:pPr>
    <w:rPr>
      <w:rFonts w:ascii="Calibri" w:eastAsia="Times New Roman" w:hAnsi="Calibri" w:cs="Tahoma"/>
      <w:vanish/>
      <w:color w:val="C00000"/>
      <w:sz w:val="22"/>
      <w:szCs w:val="22"/>
      <w:lang w:eastAsia="en-AU"/>
    </w:rPr>
  </w:style>
  <w:style w:type="character" w:customStyle="1" w:styleId="GuidelinesChar">
    <w:name w:val="Guidelines Char"/>
    <w:basedOn w:val="DefaultParagraphFont"/>
    <w:link w:val="Guidelines"/>
    <w:rsid w:val="001D0FDA"/>
    <w:rPr>
      <w:rFonts w:ascii="Calibri" w:eastAsia="Times New Roman" w:hAnsi="Calibri" w:cs="Tahoma"/>
      <w:vanish/>
      <w:color w:val="C00000"/>
      <w:sz w:val="22"/>
      <w:szCs w:val="22"/>
    </w:rPr>
  </w:style>
  <w:style w:type="table" w:customStyle="1" w:styleId="TableGrid51">
    <w:name w:val="Table Grid5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nt">
    <w:name w:val="Table font"/>
    <w:basedOn w:val="Normal"/>
    <w:link w:val="TablefontChar"/>
    <w:qFormat/>
    <w:rsid w:val="001D0FDA"/>
    <w:pPr>
      <w:spacing w:before="120" w:after="120" w:line="240" w:lineRule="auto"/>
    </w:pPr>
    <w:rPr>
      <w:rFonts w:ascii="Arial Narrow" w:hAnsi="Arial Narrow"/>
      <w:sz w:val="18"/>
      <w:szCs w:val="22"/>
    </w:rPr>
  </w:style>
  <w:style w:type="character" w:customStyle="1" w:styleId="TablefontChar">
    <w:name w:val="Table font Char"/>
    <w:basedOn w:val="DefaultParagraphFont"/>
    <w:link w:val="Tablefont"/>
    <w:rsid w:val="001D0FDA"/>
    <w:rPr>
      <w:rFonts w:ascii="Arial Narrow" w:hAnsi="Arial Narrow"/>
      <w:sz w:val="18"/>
      <w:szCs w:val="22"/>
      <w:lang w:eastAsia="en-US"/>
    </w:rPr>
  </w:style>
  <w:style w:type="character" w:customStyle="1" w:styleId="label">
    <w:name w:val="label"/>
    <w:basedOn w:val="DefaultParagraphFont"/>
    <w:rsid w:val="001D0FDA"/>
  </w:style>
  <w:style w:type="character" w:customStyle="1" w:styleId="quality-sign">
    <w:name w:val="quality-sign"/>
    <w:basedOn w:val="DefaultParagraphFont"/>
    <w:rsid w:val="001D0FDA"/>
  </w:style>
  <w:style w:type="table" w:customStyle="1" w:styleId="TableGrid52">
    <w:name w:val="Table Grid52"/>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1D0FDA"/>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left">
    <w:name w:val="Table Text 1 (left)"/>
    <w:basedOn w:val="Normal"/>
    <w:link w:val="TableText1leftChar"/>
    <w:qFormat/>
    <w:rsid w:val="001D0FDA"/>
    <w:pPr>
      <w:spacing w:before="40" w:after="40" w:line="240" w:lineRule="auto"/>
    </w:pPr>
    <w:rPr>
      <w:rFonts w:ascii="Calibri" w:eastAsia="SimSun" w:hAnsi="Calibri" w:cs="Calibri"/>
      <w:sz w:val="20"/>
      <w:szCs w:val="20"/>
      <w:lang w:val="en-GB"/>
    </w:rPr>
  </w:style>
  <w:style w:type="character" w:customStyle="1" w:styleId="TableText1leftChar">
    <w:name w:val="Table Text 1 (left) Char"/>
    <w:link w:val="TableText1left"/>
    <w:locked/>
    <w:rsid w:val="001D0FDA"/>
    <w:rPr>
      <w:rFonts w:ascii="Calibri" w:eastAsia="SimSun" w:hAnsi="Calibri" w:cs="Calibri"/>
      <w:lang w:val="en-GB" w:eastAsia="en-US"/>
    </w:rPr>
  </w:style>
  <w:style w:type="table" w:customStyle="1" w:styleId="TableGrid581">
    <w:name w:val="Table Grid58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1D0FDA"/>
    <w:pPr>
      <w:spacing w:before="40" w:after="40"/>
    </w:pPr>
    <w:rPr>
      <w:rFonts w:ascii="Arial Narrow" w:eastAsia="Times New Roman"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ahoma" w:hAnsi="Tahoma"/>
        <w:b w:val="0"/>
        <w:sz w:val="20"/>
      </w:rPr>
    </w:tblStylePr>
  </w:style>
  <w:style w:type="numbering" w:customStyle="1" w:styleId="NoList11">
    <w:name w:val="No List11"/>
    <w:next w:val="NoList"/>
    <w:uiPriority w:val="99"/>
    <w:semiHidden/>
    <w:unhideWhenUsed/>
    <w:rsid w:val="001D0FDA"/>
  </w:style>
  <w:style w:type="table" w:customStyle="1" w:styleId="TableGrid12">
    <w:name w:val="Table Grid12"/>
    <w:basedOn w:val="TableNormal"/>
    <w:next w:val="TableGrid"/>
    <w:uiPriority w:val="59"/>
    <w:rsid w:val="001D0FDA"/>
    <w:pPr>
      <w:spacing w:before="40" w:after="40"/>
    </w:pPr>
    <w:rPr>
      <w:rFonts w:ascii="Calibri" w:eastAsia="Times New Roman" w:hAnsi="Calibri"/>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
    <w:name w:val="Table Classic 11"/>
    <w:basedOn w:val="TableNormal"/>
    <w:next w:val="TableClassic1"/>
    <w:rsid w:val="001D0FDA"/>
    <w:pPr>
      <w:spacing w:after="240" w:line="312" w:lineRule="auto"/>
    </w:pPr>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512">
    <w:name w:val="Table Grid512"/>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 Grid510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59"/>
    <w:rsid w:val="001D0FDA"/>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1D0FDA"/>
    <w:pPr>
      <w:numPr>
        <w:numId w:val="53"/>
      </w:numPr>
      <w:spacing w:before="0" w:line="240" w:lineRule="auto"/>
      <w:contextualSpacing/>
    </w:pPr>
    <w:rPr>
      <w:rFonts w:ascii="Times New Roman" w:eastAsia="Times New Roman" w:hAnsi="Times New Roman"/>
      <w:szCs w:val="20"/>
    </w:rPr>
  </w:style>
  <w:style w:type="paragraph" w:customStyle="1" w:styleId="ToRText">
    <w:name w:val="ToR Text"/>
    <w:basedOn w:val="Normal"/>
    <w:link w:val="ToRTextChar"/>
    <w:qFormat/>
    <w:rsid w:val="005A0C83"/>
    <w:pPr>
      <w:pBdr>
        <w:top w:val="single" w:sz="4" w:space="1" w:color="auto"/>
        <w:left w:val="single" w:sz="4" w:space="4" w:color="auto"/>
        <w:bottom w:val="single" w:sz="4" w:space="1" w:color="auto"/>
        <w:right w:val="single" w:sz="4" w:space="4" w:color="auto"/>
      </w:pBdr>
      <w:spacing w:before="0" w:after="200" w:line="240" w:lineRule="auto"/>
    </w:pPr>
    <w:rPr>
      <w:rFonts w:eastAsiaTheme="minorHAnsi" w:cstheme="minorHAnsi"/>
      <w:b/>
      <w:color w:val="365F91" w:themeColor="accent1" w:themeShade="BF"/>
      <w:szCs w:val="22"/>
      <w:lang w:eastAsia="en-AU"/>
    </w:rPr>
  </w:style>
  <w:style w:type="character" w:customStyle="1" w:styleId="ToRTextChar">
    <w:name w:val="ToR Text Char"/>
    <w:basedOn w:val="DefaultParagraphFont"/>
    <w:link w:val="ToRText"/>
    <w:rsid w:val="005A0C83"/>
    <w:rPr>
      <w:rFonts w:asciiTheme="minorHAnsi" w:eastAsiaTheme="minorHAnsi" w:hAnsiTheme="minorHAnsi" w:cstheme="minorHAnsi"/>
      <w:b/>
      <w:color w:val="365F91" w:themeColor="accent1" w:themeShade="BF"/>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169804">
      <w:bodyDiv w:val="1"/>
      <w:marLeft w:val="0"/>
      <w:marRight w:val="0"/>
      <w:marTop w:val="0"/>
      <w:marBottom w:val="0"/>
      <w:divBdr>
        <w:top w:val="none" w:sz="0" w:space="0" w:color="auto"/>
        <w:left w:val="none" w:sz="0" w:space="0" w:color="auto"/>
        <w:bottom w:val="none" w:sz="0" w:space="0" w:color="auto"/>
        <w:right w:val="none" w:sz="0" w:space="0" w:color="auto"/>
      </w:divBdr>
      <w:divsChild>
        <w:div w:id="1077898468">
          <w:marLeft w:val="0"/>
          <w:marRight w:val="0"/>
          <w:marTop w:val="0"/>
          <w:marBottom w:val="0"/>
          <w:divBdr>
            <w:top w:val="none" w:sz="0" w:space="0" w:color="auto"/>
            <w:left w:val="none" w:sz="0" w:space="0" w:color="auto"/>
            <w:bottom w:val="none" w:sz="0" w:space="0" w:color="auto"/>
            <w:right w:val="none" w:sz="0" w:space="0" w:color="auto"/>
          </w:divBdr>
        </w:div>
      </w:divsChild>
    </w:div>
    <w:div w:id="303782159">
      <w:bodyDiv w:val="1"/>
      <w:marLeft w:val="0"/>
      <w:marRight w:val="0"/>
      <w:marTop w:val="0"/>
      <w:marBottom w:val="0"/>
      <w:divBdr>
        <w:top w:val="none" w:sz="0" w:space="0" w:color="auto"/>
        <w:left w:val="none" w:sz="0" w:space="0" w:color="auto"/>
        <w:bottom w:val="none" w:sz="0" w:space="0" w:color="auto"/>
        <w:right w:val="none" w:sz="0" w:space="0" w:color="auto"/>
      </w:divBdr>
      <w:divsChild>
        <w:div w:id="1614819175">
          <w:marLeft w:val="0"/>
          <w:marRight w:val="0"/>
          <w:marTop w:val="0"/>
          <w:marBottom w:val="0"/>
          <w:divBdr>
            <w:top w:val="none" w:sz="0" w:space="0" w:color="auto"/>
            <w:left w:val="none" w:sz="0" w:space="0" w:color="auto"/>
            <w:bottom w:val="none" w:sz="0" w:space="0" w:color="auto"/>
            <w:right w:val="none" w:sz="0" w:space="0" w:color="auto"/>
          </w:divBdr>
        </w:div>
      </w:divsChild>
    </w:div>
    <w:div w:id="352268851">
      <w:bodyDiv w:val="1"/>
      <w:marLeft w:val="0"/>
      <w:marRight w:val="0"/>
      <w:marTop w:val="0"/>
      <w:marBottom w:val="0"/>
      <w:divBdr>
        <w:top w:val="none" w:sz="0" w:space="0" w:color="auto"/>
        <w:left w:val="none" w:sz="0" w:space="0" w:color="auto"/>
        <w:bottom w:val="none" w:sz="0" w:space="0" w:color="auto"/>
        <w:right w:val="none" w:sz="0" w:space="0" w:color="auto"/>
      </w:divBdr>
    </w:div>
    <w:div w:id="510608629">
      <w:bodyDiv w:val="1"/>
      <w:marLeft w:val="0"/>
      <w:marRight w:val="0"/>
      <w:marTop w:val="0"/>
      <w:marBottom w:val="0"/>
      <w:divBdr>
        <w:top w:val="none" w:sz="0" w:space="0" w:color="auto"/>
        <w:left w:val="none" w:sz="0" w:space="0" w:color="auto"/>
        <w:bottom w:val="none" w:sz="0" w:space="0" w:color="auto"/>
        <w:right w:val="none" w:sz="0" w:space="0" w:color="auto"/>
      </w:divBdr>
    </w:div>
    <w:div w:id="520437451">
      <w:bodyDiv w:val="1"/>
      <w:marLeft w:val="0"/>
      <w:marRight w:val="0"/>
      <w:marTop w:val="0"/>
      <w:marBottom w:val="0"/>
      <w:divBdr>
        <w:top w:val="none" w:sz="0" w:space="0" w:color="auto"/>
        <w:left w:val="none" w:sz="0" w:space="0" w:color="auto"/>
        <w:bottom w:val="none" w:sz="0" w:space="0" w:color="auto"/>
        <w:right w:val="none" w:sz="0" w:space="0" w:color="auto"/>
      </w:divBdr>
    </w:div>
    <w:div w:id="666397769">
      <w:bodyDiv w:val="1"/>
      <w:marLeft w:val="0"/>
      <w:marRight w:val="0"/>
      <w:marTop w:val="0"/>
      <w:marBottom w:val="0"/>
      <w:divBdr>
        <w:top w:val="none" w:sz="0" w:space="0" w:color="auto"/>
        <w:left w:val="none" w:sz="0" w:space="0" w:color="auto"/>
        <w:bottom w:val="none" w:sz="0" w:space="0" w:color="auto"/>
        <w:right w:val="none" w:sz="0" w:space="0" w:color="auto"/>
      </w:divBdr>
    </w:div>
    <w:div w:id="761804994">
      <w:bodyDiv w:val="1"/>
      <w:marLeft w:val="0"/>
      <w:marRight w:val="0"/>
      <w:marTop w:val="0"/>
      <w:marBottom w:val="0"/>
      <w:divBdr>
        <w:top w:val="none" w:sz="0" w:space="0" w:color="auto"/>
        <w:left w:val="none" w:sz="0" w:space="0" w:color="auto"/>
        <w:bottom w:val="none" w:sz="0" w:space="0" w:color="auto"/>
        <w:right w:val="none" w:sz="0" w:space="0" w:color="auto"/>
      </w:divBdr>
      <w:divsChild>
        <w:div w:id="865023283">
          <w:marLeft w:val="0"/>
          <w:marRight w:val="0"/>
          <w:marTop w:val="0"/>
          <w:marBottom w:val="0"/>
          <w:divBdr>
            <w:top w:val="none" w:sz="0" w:space="0" w:color="auto"/>
            <w:left w:val="none" w:sz="0" w:space="0" w:color="auto"/>
            <w:bottom w:val="none" w:sz="0" w:space="0" w:color="auto"/>
            <w:right w:val="none" w:sz="0" w:space="0" w:color="auto"/>
          </w:divBdr>
        </w:div>
      </w:divsChild>
    </w:div>
    <w:div w:id="781457472">
      <w:bodyDiv w:val="1"/>
      <w:marLeft w:val="0"/>
      <w:marRight w:val="0"/>
      <w:marTop w:val="0"/>
      <w:marBottom w:val="0"/>
      <w:divBdr>
        <w:top w:val="none" w:sz="0" w:space="0" w:color="auto"/>
        <w:left w:val="none" w:sz="0" w:space="0" w:color="auto"/>
        <w:bottom w:val="none" w:sz="0" w:space="0" w:color="auto"/>
        <w:right w:val="none" w:sz="0" w:space="0" w:color="auto"/>
      </w:divBdr>
      <w:divsChild>
        <w:div w:id="1725132626">
          <w:marLeft w:val="0"/>
          <w:marRight w:val="0"/>
          <w:marTop w:val="0"/>
          <w:marBottom w:val="0"/>
          <w:divBdr>
            <w:top w:val="none" w:sz="0" w:space="0" w:color="auto"/>
            <w:left w:val="none" w:sz="0" w:space="0" w:color="auto"/>
            <w:bottom w:val="none" w:sz="0" w:space="0" w:color="auto"/>
            <w:right w:val="none" w:sz="0" w:space="0" w:color="auto"/>
          </w:divBdr>
        </w:div>
      </w:divsChild>
    </w:div>
    <w:div w:id="827480491">
      <w:bodyDiv w:val="1"/>
      <w:marLeft w:val="0"/>
      <w:marRight w:val="0"/>
      <w:marTop w:val="0"/>
      <w:marBottom w:val="0"/>
      <w:divBdr>
        <w:top w:val="none" w:sz="0" w:space="0" w:color="auto"/>
        <w:left w:val="none" w:sz="0" w:space="0" w:color="auto"/>
        <w:bottom w:val="none" w:sz="0" w:space="0" w:color="auto"/>
        <w:right w:val="none" w:sz="0" w:space="0" w:color="auto"/>
      </w:divBdr>
    </w:div>
    <w:div w:id="945114641">
      <w:bodyDiv w:val="1"/>
      <w:marLeft w:val="0"/>
      <w:marRight w:val="0"/>
      <w:marTop w:val="0"/>
      <w:marBottom w:val="0"/>
      <w:divBdr>
        <w:top w:val="none" w:sz="0" w:space="0" w:color="auto"/>
        <w:left w:val="none" w:sz="0" w:space="0" w:color="auto"/>
        <w:bottom w:val="none" w:sz="0" w:space="0" w:color="auto"/>
        <w:right w:val="none" w:sz="0" w:space="0" w:color="auto"/>
      </w:divBdr>
    </w:div>
    <w:div w:id="1078402599">
      <w:bodyDiv w:val="1"/>
      <w:marLeft w:val="0"/>
      <w:marRight w:val="0"/>
      <w:marTop w:val="0"/>
      <w:marBottom w:val="0"/>
      <w:divBdr>
        <w:top w:val="none" w:sz="0" w:space="0" w:color="auto"/>
        <w:left w:val="none" w:sz="0" w:space="0" w:color="auto"/>
        <w:bottom w:val="none" w:sz="0" w:space="0" w:color="auto"/>
        <w:right w:val="none" w:sz="0" w:space="0" w:color="auto"/>
      </w:divBdr>
    </w:div>
    <w:div w:id="1151554448">
      <w:bodyDiv w:val="1"/>
      <w:marLeft w:val="0"/>
      <w:marRight w:val="0"/>
      <w:marTop w:val="0"/>
      <w:marBottom w:val="0"/>
      <w:divBdr>
        <w:top w:val="none" w:sz="0" w:space="0" w:color="auto"/>
        <w:left w:val="none" w:sz="0" w:space="0" w:color="auto"/>
        <w:bottom w:val="none" w:sz="0" w:space="0" w:color="auto"/>
        <w:right w:val="none" w:sz="0" w:space="0" w:color="auto"/>
      </w:divBdr>
    </w:div>
    <w:div w:id="1206024084">
      <w:bodyDiv w:val="1"/>
      <w:marLeft w:val="0"/>
      <w:marRight w:val="0"/>
      <w:marTop w:val="0"/>
      <w:marBottom w:val="0"/>
      <w:divBdr>
        <w:top w:val="none" w:sz="0" w:space="0" w:color="auto"/>
        <w:left w:val="none" w:sz="0" w:space="0" w:color="auto"/>
        <w:bottom w:val="none" w:sz="0" w:space="0" w:color="auto"/>
        <w:right w:val="none" w:sz="0" w:space="0" w:color="auto"/>
      </w:divBdr>
      <w:divsChild>
        <w:div w:id="1046753543">
          <w:marLeft w:val="0"/>
          <w:marRight w:val="0"/>
          <w:marTop w:val="0"/>
          <w:marBottom w:val="0"/>
          <w:divBdr>
            <w:top w:val="none" w:sz="0" w:space="0" w:color="auto"/>
            <w:left w:val="none" w:sz="0" w:space="0" w:color="auto"/>
            <w:bottom w:val="none" w:sz="0" w:space="0" w:color="auto"/>
            <w:right w:val="none" w:sz="0" w:space="0" w:color="auto"/>
          </w:divBdr>
        </w:div>
      </w:divsChild>
    </w:div>
    <w:div w:id="1323847305">
      <w:bodyDiv w:val="1"/>
      <w:marLeft w:val="0"/>
      <w:marRight w:val="0"/>
      <w:marTop w:val="0"/>
      <w:marBottom w:val="0"/>
      <w:divBdr>
        <w:top w:val="none" w:sz="0" w:space="0" w:color="auto"/>
        <w:left w:val="none" w:sz="0" w:space="0" w:color="auto"/>
        <w:bottom w:val="none" w:sz="0" w:space="0" w:color="auto"/>
        <w:right w:val="none" w:sz="0" w:space="0" w:color="auto"/>
      </w:divBdr>
    </w:div>
    <w:div w:id="1529832297">
      <w:bodyDiv w:val="1"/>
      <w:marLeft w:val="0"/>
      <w:marRight w:val="0"/>
      <w:marTop w:val="0"/>
      <w:marBottom w:val="0"/>
      <w:divBdr>
        <w:top w:val="none" w:sz="0" w:space="0" w:color="auto"/>
        <w:left w:val="none" w:sz="0" w:space="0" w:color="auto"/>
        <w:bottom w:val="none" w:sz="0" w:space="0" w:color="auto"/>
        <w:right w:val="none" w:sz="0" w:space="0" w:color="auto"/>
      </w:divBdr>
      <w:divsChild>
        <w:div w:id="1102190872">
          <w:marLeft w:val="0"/>
          <w:marRight w:val="0"/>
          <w:marTop w:val="0"/>
          <w:marBottom w:val="0"/>
          <w:divBdr>
            <w:top w:val="none" w:sz="0" w:space="0" w:color="auto"/>
            <w:left w:val="none" w:sz="0" w:space="0" w:color="auto"/>
            <w:bottom w:val="none" w:sz="0" w:space="0" w:color="auto"/>
            <w:right w:val="none" w:sz="0" w:space="0" w:color="auto"/>
          </w:divBdr>
        </w:div>
      </w:divsChild>
    </w:div>
    <w:div w:id="1643584841">
      <w:bodyDiv w:val="1"/>
      <w:marLeft w:val="0"/>
      <w:marRight w:val="0"/>
      <w:marTop w:val="0"/>
      <w:marBottom w:val="0"/>
      <w:divBdr>
        <w:top w:val="none" w:sz="0" w:space="0" w:color="auto"/>
        <w:left w:val="none" w:sz="0" w:space="0" w:color="auto"/>
        <w:bottom w:val="none" w:sz="0" w:space="0" w:color="auto"/>
        <w:right w:val="none" w:sz="0" w:space="0" w:color="auto"/>
      </w:divBdr>
    </w:div>
    <w:div w:id="1923490714">
      <w:bodyDiv w:val="1"/>
      <w:marLeft w:val="0"/>
      <w:marRight w:val="0"/>
      <w:marTop w:val="0"/>
      <w:marBottom w:val="0"/>
      <w:divBdr>
        <w:top w:val="none" w:sz="0" w:space="0" w:color="auto"/>
        <w:left w:val="none" w:sz="0" w:space="0" w:color="auto"/>
        <w:bottom w:val="none" w:sz="0" w:space="0" w:color="auto"/>
        <w:right w:val="none" w:sz="0" w:space="0" w:color="auto"/>
      </w:divBdr>
    </w:div>
    <w:div w:id="2022275471">
      <w:bodyDiv w:val="1"/>
      <w:marLeft w:val="0"/>
      <w:marRight w:val="0"/>
      <w:marTop w:val="0"/>
      <w:marBottom w:val="0"/>
      <w:divBdr>
        <w:top w:val="none" w:sz="0" w:space="0" w:color="auto"/>
        <w:left w:val="none" w:sz="0" w:space="0" w:color="auto"/>
        <w:bottom w:val="none" w:sz="0" w:space="0" w:color="auto"/>
        <w:right w:val="none" w:sz="0" w:space="0" w:color="auto"/>
      </w:divBdr>
      <w:divsChild>
        <w:div w:id="1727532769">
          <w:marLeft w:val="0"/>
          <w:marRight w:val="0"/>
          <w:marTop w:val="0"/>
          <w:marBottom w:val="0"/>
          <w:divBdr>
            <w:top w:val="none" w:sz="0" w:space="0" w:color="auto"/>
            <w:left w:val="none" w:sz="0" w:space="0" w:color="auto"/>
            <w:bottom w:val="none" w:sz="0" w:space="0" w:color="auto"/>
            <w:right w:val="none" w:sz="0" w:space="0" w:color="auto"/>
          </w:divBdr>
        </w:div>
      </w:divsChild>
    </w:div>
    <w:div w:id="2035879399">
      <w:bodyDiv w:val="1"/>
      <w:marLeft w:val="0"/>
      <w:marRight w:val="0"/>
      <w:marTop w:val="0"/>
      <w:marBottom w:val="0"/>
      <w:divBdr>
        <w:top w:val="none" w:sz="0" w:space="0" w:color="auto"/>
        <w:left w:val="none" w:sz="0" w:space="0" w:color="auto"/>
        <w:bottom w:val="none" w:sz="0" w:space="0" w:color="auto"/>
        <w:right w:val="none" w:sz="0" w:space="0" w:color="auto"/>
      </w:divBdr>
    </w:div>
    <w:div w:id="206447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8.xml"/><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5.xml"/><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header" Target="header10.xml"/><Relationship Id="rId58"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5.xml"/><Relationship Id="rId48" Type="http://schemas.openxmlformats.org/officeDocument/2006/relationships/header" Target="header12.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ema.europa.eu/ema/index.jsp?curl=pages/regulation/document_listing/document_listing_000375.jsp" TargetMode="External"/><Relationship Id="rId2" Type="http://schemas.openxmlformats.org/officeDocument/2006/relationships/hyperlink" Target="https://pbac.pbs.gov.au/" TargetMode="External"/><Relationship Id="rId1" Type="http://schemas.openxmlformats.org/officeDocument/2006/relationships/hyperlink" Target="https://rayyan.qcri.org/"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10683-4F6C-4C3E-A139-A6FFF98BF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262</Pages>
  <Words>102379</Words>
  <Characters>583561</Characters>
  <Application>Microsoft Office Word</Application>
  <DocSecurity>4</DocSecurity>
  <Lines>4863</Lines>
  <Paragraphs>1369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684571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2018-05-21T01:03:00Z</dcterms:created>
  <dcterms:modified xsi:type="dcterms:W3CDTF">2018-05-21T01:03:00Z</dcterms:modified>
</cp:coreProperties>
</file>