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A6D3" w14:textId="5D8B2700" w:rsidR="003F0811" w:rsidRDefault="003F0811" w:rsidP="000D1307">
      <w:pPr>
        <w:pStyle w:val="Title"/>
      </w:pPr>
      <w:r>
        <w:t>PBS</w:t>
      </w:r>
      <w:r w:rsidRPr="003F0811">
        <w:t xml:space="preserve"> </w:t>
      </w:r>
      <w:r>
        <w:t>GENERAL PATIENT CO-PAYMENT REDUCTION</w:t>
      </w:r>
      <w:r w:rsidRPr="003F0811">
        <w:t xml:space="preserve"> </w:t>
      </w:r>
    </w:p>
    <w:p w14:paraId="74DA0F68" w14:textId="69DB6E00" w:rsidR="00690081" w:rsidRPr="00690081" w:rsidRDefault="003F0811" w:rsidP="000D1307">
      <w:pPr>
        <w:pStyle w:val="Subtitle"/>
        <w:sectPr w:rsidR="00690081" w:rsidRPr="00690081" w:rsidSect="00DF41D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64" w:right="964" w:bottom="964" w:left="964" w:header="709" w:footer="709" w:gutter="0"/>
          <w:cols w:space="708"/>
          <w:titlePg/>
          <w:docGrid w:linePitch="360"/>
        </w:sectPr>
      </w:pPr>
      <w:r>
        <w:t xml:space="preserve">Information for </w:t>
      </w:r>
      <w:r w:rsidRPr="000D1307">
        <w:t>patients</w:t>
      </w:r>
    </w:p>
    <w:p w14:paraId="3621E2C2" w14:textId="6285AA14" w:rsidR="003F0811" w:rsidRPr="003F0811" w:rsidRDefault="003F0811" w:rsidP="003F0811">
      <w:pPr>
        <w:pStyle w:val="Heading1"/>
      </w:pPr>
      <w:r w:rsidRPr="003F0811">
        <w:t>What is the change to the general patient co-payment?</w:t>
      </w:r>
    </w:p>
    <w:p w14:paraId="2A40CCD6" w14:textId="46138F13" w:rsidR="003F0811" w:rsidRPr="003F0811" w:rsidRDefault="003F0811" w:rsidP="003F0811">
      <w:pPr>
        <w:rPr>
          <w:rFonts w:cs="Arial"/>
          <w:szCs w:val="22"/>
          <w:lang w:eastAsia="en-AU"/>
        </w:rPr>
      </w:pPr>
      <w:r w:rsidRPr="003F0811">
        <w:rPr>
          <w:rFonts w:cs="Arial"/>
          <w:szCs w:val="22"/>
        </w:rPr>
        <w:t>The maximum general patient charge (co</w:t>
      </w:r>
      <w:r w:rsidR="0057046F">
        <w:rPr>
          <w:rFonts w:cs="Arial"/>
          <w:szCs w:val="22"/>
        </w:rPr>
        <w:noBreakHyphen/>
      </w:r>
      <w:r w:rsidRPr="003F0811">
        <w:rPr>
          <w:rFonts w:cs="Arial"/>
          <w:szCs w:val="22"/>
        </w:rPr>
        <w:t xml:space="preserve">payment) amount will be reduced from $42.50 to $30.00. This means that the most a general patient will pay for a PBS medicine is $30.00 (excluding any </w:t>
      </w:r>
      <w:r w:rsidRPr="003F0811">
        <w:rPr>
          <w:rFonts w:cs="Arial"/>
          <w:szCs w:val="22"/>
          <w:lang w:eastAsia="en-AU"/>
        </w:rPr>
        <w:t>applicable special patient contribution, brand premium or therapeutic group premiums).</w:t>
      </w:r>
    </w:p>
    <w:p w14:paraId="17A89EEC" w14:textId="4C3E0B44" w:rsidR="004E5FBE" w:rsidRDefault="003F0811" w:rsidP="004E5FBE">
      <w:r w:rsidRPr="003F0811">
        <w:rPr>
          <w:rFonts w:cs="Arial"/>
          <w:b/>
          <w:bCs/>
          <w:color w:val="00539F"/>
          <w:kern w:val="28"/>
          <w:szCs w:val="36"/>
        </w:rPr>
        <w:t>When does the reduction to the general patient co-payment come into effect?</w:t>
      </w:r>
    </w:p>
    <w:p w14:paraId="03430A85" w14:textId="6FE71415" w:rsidR="003F0811" w:rsidRDefault="003F0811" w:rsidP="004E5FBE">
      <w:pPr>
        <w:rPr>
          <w:rFonts w:cs="Arial"/>
          <w:szCs w:val="22"/>
        </w:rPr>
      </w:pPr>
      <w:r w:rsidRPr="003F0811">
        <w:rPr>
          <w:rFonts w:cs="Arial"/>
          <w:szCs w:val="22"/>
        </w:rPr>
        <w:t>The reduction to the general patient co</w:t>
      </w:r>
      <w:r w:rsidR="0057046F">
        <w:rPr>
          <w:rFonts w:cs="Arial"/>
          <w:szCs w:val="22"/>
        </w:rPr>
        <w:noBreakHyphen/>
      </w:r>
      <w:r w:rsidRPr="003F0811">
        <w:rPr>
          <w:rFonts w:cs="Arial"/>
          <w:szCs w:val="22"/>
        </w:rPr>
        <w:t xml:space="preserve">payment amount will take effect on </w:t>
      </w:r>
      <w:r w:rsidRPr="003F0811">
        <w:rPr>
          <w:rFonts w:cs="Arial"/>
          <w:szCs w:val="22"/>
        </w:rPr>
        <w:br/>
        <w:t>1 January 2023.</w:t>
      </w:r>
    </w:p>
    <w:p w14:paraId="67D3177A" w14:textId="385F5438" w:rsidR="003F0811" w:rsidRDefault="003F0811" w:rsidP="004E5FBE">
      <w:pPr>
        <w:rPr>
          <w:rFonts w:cs="Arial"/>
          <w:b/>
          <w:bCs/>
          <w:color w:val="00539F"/>
          <w:kern w:val="28"/>
          <w:szCs w:val="36"/>
        </w:rPr>
      </w:pPr>
      <w:r w:rsidRPr="003F0811">
        <w:rPr>
          <w:rFonts w:cs="Arial"/>
          <w:b/>
          <w:bCs/>
          <w:color w:val="00539F"/>
          <w:kern w:val="28"/>
          <w:szCs w:val="36"/>
        </w:rPr>
        <w:t xml:space="preserve">Can PBS </w:t>
      </w:r>
      <w:r w:rsidR="00C9504F">
        <w:rPr>
          <w:rFonts w:cs="Arial"/>
          <w:b/>
          <w:bCs/>
          <w:color w:val="00539F"/>
          <w:kern w:val="28"/>
          <w:szCs w:val="36"/>
        </w:rPr>
        <w:t xml:space="preserve">prescriptions that have a higher cost than the new general </w:t>
      </w:r>
      <w:r w:rsidRPr="003F0811">
        <w:rPr>
          <w:rFonts w:cs="Arial"/>
          <w:b/>
          <w:bCs/>
          <w:color w:val="00539F"/>
          <w:kern w:val="28"/>
          <w:szCs w:val="36"/>
        </w:rPr>
        <w:t>co-payment</w:t>
      </w:r>
      <w:r w:rsidR="00C9504F">
        <w:rPr>
          <w:rFonts w:cs="Arial"/>
          <w:b/>
          <w:bCs/>
          <w:color w:val="00539F"/>
          <w:kern w:val="28"/>
          <w:szCs w:val="36"/>
        </w:rPr>
        <w:t xml:space="preserve"> amount</w:t>
      </w:r>
      <w:r w:rsidRPr="003F0811">
        <w:rPr>
          <w:rFonts w:cs="Arial"/>
          <w:b/>
          <w:bCs/>
          <w:color w:val="00539F"/>
          <w:kern w:val="28"/>
          <w:szCs w:val="36"/>
        </w:rPr>
        <w:t xml:space="preserve"> be further discounted?</w:t>
      </w:r>
    </w:p>
    <w:p w14:paraId="1A994F19" w14:textId="5BDE8705" w:rsidR="003F0811" w:rsidRPr="003F0811" w:rsidRDefault="003F0811" w:rsidP="003F0811">
      <w:pPr>
        <w:rPr>
          <w:rFonts w:cs="Arial"/>
          <w:szCs w:val="22"/>
        </w:rPr>
      </w:pPr>
      <w:r w:rsidRPr="003F0811">
        <w:rPr>
          <w:rFonts w:cs="Arial"/>
          <w:szCs w:val="22"/>
        </w:rPr>
        <w:t>Currently pharmacists (and dispensing medical practitioners) have the option to discount the PBS patient co-payment</w:t>
      </w:r>
      <w:r w:rsidR="00393378">
        <w:rPr>
          <w:rFonts w:cs="Arial"/>
          <w:szCs w:val="22"/>
        </w:rPr>
        <w:t xml:space="preserve"> amount</w:t>
      </w:r>
      <w:r w:rsidRPr="003F0811">
        <w:rPr>
          <w:rFonts w:cs="Arial"/>
          <w:szCs w:val="22"/>
        </w:rPr>
        <w:t xml:space="preserve"> by a maximum of $1.00. </w:t>
      </w:r>
    </w:p>
    <w:p w14:paraId="067C245D" w14:textId="4340F59A" w:rsidR="003F0811" w:rsidRPr="003F0811" w:rsidRDefault="003C1C3D" w:rsidP="003F0811">
      <w:pPr>
        <w:rPr>
          <w:rFonts w:cs="Arial"/>
          <w:szCs w:val="22"/>
        </w:rPr>
      </w:pPr>
      <w:r w:rsidRPr="006B6FED">
        <w:rPr>
          <w:rFonts w:cs="Arial"/>
          <w:szCs w:val="22"/>
        </w:rPr>
        <w:t>A new discretionary discount, referred to as an</w:t>
      </w:r>
      <w:r w:rsidR="003F0811" w:rsidRPr="006B6FED">
        <w:rPr>
          <w:rFonts w:cs="Arial"/>
          <w:szCs w:val="22"/>
        </w:rPr>
        <w:t xml:space="preserve"> ‘increased discount’ </w:t>
      </w:r>
      <w:r w:rsidRPr="006B6FED">
        <w:rPr>
          <w:rFonts w:cs="Arial"/>
          <w:szCs w:val="22"/>
        </w:rPr>
        <w:t xml:space="preserve">under the </w:t>
      </w:r>
      <w:r w:rsidRPr="006B6FED">
        <w:rPr>
          <w:rFonts w:cs="Arial"/>
          <w:i/>
          <w:iCs/>
          <w:szCs w:val="22"/>
        </w:rPr>
        <w:t>National Health Act 1953</w:t>
      </w:r>
      <w:r w:rsidRPr="006B6FED">
        <w:rPr>
          <w:rFonts w:cs="Arial"/>
          <w:szCs w:val="22"/>
        </w:rPr>
        <w:t xml:space="preserve">, </w:t>
      </w:r>
      <w:r w:rsidR="003F0811" w:rsidRPr="006B6FED">
        <w:rPr>
          <w:rFonts w:cs="Arial"/>
          <w:szCs w:val="22"/>
        </w:rPr>
        <w:t>will come into effect from 1 January 2023.</w:t>
      </w:r>
      <w:r w:rsidR="003F0811" w:rsidRPr="003F0811">
        <w:rPr>
          <w:rFonts w:cs="Arial"/>
          <w:szCs w:val="22"/>
        </w:rPr>
        <w:t xml:space="preserve"> Dispensers will have the option to offer an increased discount on a range of PBS medicines, specifically those that cost more than the new co-payment of $30.00 but less than the old co</w:t>
      </w:r>
      <w:r w:rsidR="003F0811" w:rsidRPr="003F0811">
        <w:rPr>
          <w:rFonts w:cs="Arial"/>
          <w:szCs w:val="22"/>
        </w:rPr>
        <w:noBreakHyphen/>
        <w:t>payment of $42.50 (with both amounts indexed over time). From 1</w:t>
      </w:r>
      <w:r>
        <w:rPr>
          <w:rFonts w:cs="Arial"/>
          <w:szCs w:val="22"/>
        </w:rPr>
        <w:t> </w:t>
      </w:r>
      <w:r w:rsidR="003F0811" w:rsidRPr="003F0811">
        <w:rPr>
          <w:rFonts w:cs="Arial"/>
          <w:szCs w:val="22"/>
        </w:rPr>
        <w:t>January 2023, the upper threshold will be set at $45.60.</w:t>
      </w:r>
    </w:p>
    <w:p w14:paraId="5FA2888F" w14:textId="68C429F6" w:rsidR="00340BDF" w:rsidRDefault="00340BDF" w:rsidP="00340BDF">
      <w:pPr>
        <w:rPr>
          <w:rFonts w:cs="Arial"/>
          <w:b/>
          <w:bCs/>
          <w:color w:val="00539F"/>
          <w:kern w:val="28"/>
          <w:szCs w:val="36"/>
        </w:rPr>
      </w:pPr>
      <w:r w:rsidRPr="00340BDF">
        <w:rPr>
          <w:rFonts w:cs="Arial"/>
          <w:b/>
          <w:bCs/>
          <w:color w:val="00539F"/>
          <w:kern w:val="28"/>
          <w:szCs w:val="36"/>
        </w:rPr>
        <w:t xml:space="preserve">Is it mandatory for your pharmacy to apply the </w:t>
      </w:r>
      <w:r w:rsidR="006A5706" w:rsidRPr="006B6FED">
        <w:rPr>
          <w:rFonts w:cs="Arial"/>
          <w:b/>
          <w:bCs/>
          <w:color w:val="00539F"/>
          <w:kern w:val="28"/>
          <w:szCs w:val="36"/>
        </w:rPr>
        <w:t>new discretionary</w:t>
      </w:r>
      <w:r w:rsidRPr="006B6FED">
        <w:rPr>
          <w:rFonts w:cs="Arial"/>
          <w:b/>
          <w:bCs/>
          <w:color w:val="00539F"/>
          <w:kern w:val="28"/>
          <w:szCs w:val="36"/>
        </w:rPr>
        <w:t xml:space="preserve"> discount</w:t>
      </w:r>
      <w:r w:rsidRPr="00340BDF">
        <w:rPr>
          <w:rFonts w:cs="Arial"/>
          <w:b/>
          <w:bCs/>
          <w:color w:val="00539F"/>
          <w:kern w:val="28"/>
          <w:szCs w:val="36"/>
        </w:rPr>
        <w:t xml:space="preserve"> to the cost of your PBS medicine?</w:t>
      </w:r>
    </w:p>
    <w:p w14:paraId="24B83EEC" w14:textId="77777777" w:rsidR="00340BDF" w:rsidRPr="00340BDF" w:rsidRDefault="00340BDF" w:rsidP="00340BDF">
      <w:pPr>
        <w:rPr>
          <w:rFonts w:cs="Arial"/>
          <w:szCs w:val="22"/>
        </w:rPr>
      </w:pPr>
      <w:r w:rsidRPr="00340BDF">
        <w:rPr>
          <w:rFonts w:cs="Arial"/>
          <w:szCs w:val="22"/>
        </w:rPr>
        <w:t xml:space="preserve">No, discounting of the PBS patient co-payment is not mandatory. </w:t>
      </w:r>
    </w:p>
    <w:p w14:paraId="340EA844" w14:textId="02E7D859" w:rsidR="00340BDF" w:rsidRPr="00340BDF" w:rsidRDefault="00340BDF" w:rsidP="006A5706">
      <w:pPr>
        <w:pStyle w:val="Heading1"/>
        <w:spacing w:before="0"/>
      </w:pPr>
      <w:r w:rsidRPr="00340BDF">
        <w:t>Who can</w:t>
      </w:r>
      <w:r w:rsidR="000E3C4B">
        <w:t xml:space="preserve"> apply the </w:t>
      </w:r>
      <w:r w:rsidR="000E3C4B" w:rsidRPr="006B6FED">
        <w:t xml:space="preserve">new </w:t>
      </w:r>
      <w:r w:rsidR="006A5706" w:rsidRPr="006B6FED">
        <w:t>discretionary</w:t>
      </w:r>
      <w:r w:rsidRPr="00340BDF">
        <w:t xml:space="preserve"> discount </w:t>
      </w:r>
      <w:r w:rsidR="000E3C4B">
        <w:t>to PBS medicines</w:t>
      </w:r>
      <w:r w:rsidRPr="00340BDF">
        <w:t>?</w:t>
      </w:r>
    </w:p>
    <w:p w14:paraId="315A007C" w14:textId="71B47A22" w:rsidR="00340BDF" w:rsidRPr="00340BDF" w:rsidRDefault="00340BDF" w:rsidP="00340BDF">
      <w:pPr>
        <w:rPr>
          <w:rFonts w:cs="Arial"/>
          <w:szCs w:val="22"/>
        </w:rPr>
      </w:pPr>
      <w:r w:rsidRPr="00340BDF">
        <w:rPr>
          <w:rFonts w:cs="Arial"/>
          <w:szCs w:val="22"/>
        </w:rPr>
        <w:t xml:space="preserve">Community pharmacies, friendly society pharmacies and dispensing medical practitioners may discount the general patient co-payment </w:t>
      </w:r>
      <w:r w:rsidR="00393378">
        <w:rPr>
          <w:rFonts w:cs="Arial"/>
          <w:szCs w:val="22"/>
        </w:rPr>
        <w:t xml:space="preserve">amount </w:t>
      </w:r>
      <w:r w:rsidRPr="00340BDF">
        <w:rPr>
          <w:rFonts w:cs="Arial"/>
          <w:szCs w:val="22"/>
        </w:rPr>
        <w:t xml:space="preserve">for a PBS supply. There are no changes to the existing arrangements for the supply of PBS prescriptions by hospitals. </w:t>
      </w:r>
    </w:p>
    <w:p w14:paraId="34CAF188" w14:textId="77777777" w:rsidR="00340BDF" w:rsidRPr="006A5706" w:rsidRDefault="00340BDF" w:rsidP="006A5706">
      <w:pPr>
        <w:rPr>
          <w:rFonts w:cs="Arial"/>
          <w:b/>
          <w:bCs/>
          <w:color w:val="00539F"/>
          <w:kern w:val="28"/>
          <w:szCs w:val="36"/>
        </w:rPr>
      </w:pPr>
      <w:r w:rsidRPr="006A5706">
        <w:rPr>
          <w:rFonts w:cs="Arial"/>
          <w:b/>
          <w:bCs/>
          <w:color w:val="00539F"/>
          <w:kern w:val="28"/>
          <w:szCs w:val="36"/>
        </w:rPr>
        <w:t>How will this affect the PBS Safety Net?</w:t>
      </w:r>
    </w:p>
    <w:p w14:paraId="68A0D08F" w14:textId="6B9EB70A" w:rsidR="00340BDF" w:rsidRDefault="00340BDF" w:rsidP="00340BDF">
      <w:pPr>
        <w:rPr>
          <w:rFonts w:cs="Arial"/>
          <w:szCs w:val="22"/>
        </w:rPr>
      </w:pPr>
      <w:r w:rsidRPr="00340BDF">
        <w:rPr>
          <w:rFonts w:cs="Arial"/>
          <w:szCs w:val="22"/>
        </w:rPr>
        <w:t>There are no changes to current arrangements. The actual amount (excluding premiums) paid by the patient will continue to count towards the PBS Safety Net threshold, including circumstances where a discount is applied.</w:t>
      </w:r>
    </w:p>
    <w:p w14:paraId="51B2A236" w14:textId="779C4BA8" w:rsidR="00340BDF" w:rsidRPr="00340BDF" w:rsidRDefault="00340BDF" w:rsidP="00340BDF">
      <w:pPr>
        <w:rPr>
          <w:rFonts w:cs="Arial"/>
          <w:b/>
          <w:bCs/>
          <w:color w:val="00539F"/>
          <w:kern w:val="28"/>
          <w:szCs w:val="36"/>
        </w:rPr>
      </w:pPr>
      <w:r w:rsidRPr="00340BDF">
        <w:rPr>
          <w:rFonts w:cs="Arial"/>
          <w:b/>
          <w:bCs/>
          <w:color w:val="00539F"/>
          <w:kern w:val="28"/>
          <w:szCs w:val="36"/>
        </w:rPr>
        <w:t xml:space="preserve">Are </w:t>
      </w:r>
      <w:r w:rsidR="007C346B">
        <w:rPr>
          <w:rFonts w:cs="Arial"/>
          <w:b/>
          <w:bCs/>
          <w:color w:val="00539F"/>
          <w:kern w:val="28"/>
          <w:szCs w:val="36"/>
        </w:rPr>
        <w:t xml:space="preserve">PBS </w:t>
      </w:r>
      <w:r w:rsidRPr="00340BDF">
        <w:rPr>
          <w:rFonts w:cs="Arial"/>
          <w:b/>
          <w:bCs/>
          <w:color w:val="00539F"/>
          <w:kern w:val="28"/>
          <w:szCs w:val="36"/>
        </w:rPr>
        <w:t xml:space="preserve">prescriptions </w:t>
      </w:r>
      <w:r w:rsidR="00C9504F">
        <w:rPr>
          <w:rFonts w:cs="Arial"/>
          <w:b/>
          <w:bCs/>
          <w:color w:val="00539F"/>
          <w:kern w:val="28"/>
          <w:szCs w:val="36"/>
        </w:rPr>
        <w:t xml:space="preserve">above the general co-payment and </w:t>
      </w:r>
      <w:r w:rsidRPr="00340BDF">
        <w:rPr>
          <w:rFonts w:cs="Arial"/>
          <w:b/>
          <w:bCs/>
          <w:color w:val="00539F"/>
          <w:kern w:val="28"/>
          <w:szCs w:val="36"/>
        </w:rPr>
        <w:t>subject to the ‘early supply rules’</w:t>
      </w:r>
      <w:r w:rsidR="00C9504F">
        <w:rPr>
          <w:rFonts w:cs="Arial"/>
          <w:b/>
          <w:bCs/>
          <w:color w:val="00539F"/>
          <w:kern w:val="28"/>
          <w:szCs w:val="36"/>
        </w:rPr>
        <w:t>,</w:t>
      </w:r>
      <w:r w:rsidRPr="00340BDF">
        <w:rPr>
          <w:rFonts w:cs="Arial"/>
          <w:b/>
          <w:bCs/>
          <w:color w:val="00539F"/>
          <w:kern w:val="28"/>
          <w:szCs w:val="36"/>
        </w:rPr>
        <w:t xml:space="preserve"> eligible for a discount? </w:t>
      </w:r>
    </w:p>
    <w:p w14:paraId="084F583D" w14:textId="57A560D4" w:rsidR="00340BDF" w:rsidRPr="00340BDF" w:rsidRDefault="00340BDF" w:rsidP="00340BDF">
      <w:pPr>
        <w:rPr>
          <w:rFonts w:cs="Arial"/>
          <w:szCs w:val="22"/>
        </w:rPr>
      </w:pPr>
      <w:r w:rsidRPr="00340BDF">
        <w:rPr>
          <w:rFonts w:cs="Arial"/>
          <w:szCs w:val="22"/>
        </w:rPr>
        <w:t>There is no change to current arrangements. Discounting of the PBS general patient co</w:t>
      </w:r>
      <w:r w:rsidR="0057046F">
        <w:rPr>
          <w:rFonts w:cs="Arial"/>
          <w:szCs w:val="22"/>
        </w:rPr>
        <w:noBreakHyphen/>
      </w:r>
      <w:r w:rsidRPr="00340BDF">
        <w:rPr>
          <w:rFonts w:cs="Arial"/>
          <w:szCs w:val="22"/>
        </w:rPr>
        <w:t>payment amount for prescriptions subject to the ‘</w:t>
      </w:r>
      <w:hyperlink r:id="rId15" w:history="1">
        <w:r w:rsidRPr="00340BDF">
          <w:rPr>
            <w:rStyle w:val="Hyperlink"/>
            <w:rFonts w:cs="Arial"/>
            <w:szCs w:val="22"/>
          </w:rPr>
          <w:t>early supply rules</w:t>
        </w:r>
      </w:hyperlink>
      <w:r w:rsidRPr="00340BDF">
        <w:rPr>
          <w:rFonts w:cs="Arial"/>
          <w:szCs w:val="22"/>
        </w:rPr>
        <w:t>’ is not permitted</w:t>
      </w:r>
      <w:r w:rsidR="007C346B">
        <w:rPr>
          <w:rFonts w:cs="Arial"/>
          <w:szCs w:val="22"/>
        </w:rPr>
        <w:t>.</w:t>
      </w:r>
      <w:r w:rsidRPr="00340BDF">
        <w:rPr>
          <w:rFonts w:cs="Arial"/>
          <w:szCs w:val="22"/>
        </w:rPr>
        <w:t xml:space="preserve"> </w:t>
      </w:r>
      <w:r w:rsidR="007C346B">
        <w:rPr>
          <w:rFonts w:cs="Arial"/>
          <w:szCs w:val="22"/>
        </w:rPr>
        <w:t>T</w:t>
      </w:r>
      <w:r w:rsidRPr="00340BDF">
        <w:rPr>
          <w:rFonts w:cs="Arial"/>
          <w:szCs w:val="22"/>
        </w:rPr>
        <w:t xml:space="preserve">he full patient co-payment will apply for these prescriptions. </w:t>
      </w:r>
    </w:p>
    <w:p w14:paraId="305F57B0" w14:textId="77777777" w:rsidR="00340BDF" w:rsidRPr="00340BDF" w:rsidRDefault="00340BDF" w:rsidP="00340BDF">
      <w:pPr>
        <w:rPr>
          <w:rFonts w:cs="Arial"/>
          <w:b/>
          <w:bCs/>
          <w:color w:val="00539F"/>
          <w:kern w:val="28"/>
          <w:szCs w:val="36"/>
        </w:rPr>
      </w:pPr>
      <w:r w:rsidRPr="00340BDF">
        <w:rPr>
          <w:rFonts w:cs="Arial"/>
          <w:b/>
          <w:bCs/>
          <w:color w:val="00539F"/>
          <w:kern w:val="28"/>
          <w:szCs w:val="36"/>
        </w:rPr>
        <w:t>Will the Safety Net threshold change?</w:t>
      </w:r>
    </w:p>
    <w:p w14:paraId="54B3D9DF" w14:textId="77777777" w:rsidR="00340BDF" w:rsidRPr="00340BDF" w:rsidRDefault="00340BDF" w:rsidP="00340BDF">
      <w:pPr>
        <w:rPr>
          <w:rFonts w:cs="Arial"/>
          <w:szCs w:val="22"/>
        </w:rPr>
      </w:pPr>
      <w:r w:rsidRPr="00340BDF">
        <w:rPr>
          <w:rFonts w:cs="Arial"/>
          <w:szCs w:val="22"/>
        </w:rPr>
        <w:t xml:space="preserve">There will be no changes to how the PBS Safety Net thresholds are administered. </w:t>
      </w:r>
    </w:p>
    <w:p w14:paraId="12BA1F2C" w14:textId="73EBC72E" w:rsidR="000D1307" w:rsidRDefault="00340BDF" w:rsidP="00340BDF">
      <w:pPr>
        <w:rPr>
          <w:rFonts w:cs="Arial"/>
          <w:szCs w:val="22"/>
        </w:rPr>
      </w:pPr>
      <w:r w:rsidRPr="00340BDF">
        <w:rPr>
          <w:rFonts w:cs="Arial"/>
          <w:szCs w:val="22"/>
        </w:rPr>
        <w:t xml:space="preserve">Under section 99G of the </w:t>
      </w:r>
      <w:r w:rsidRPr="0057046F">
        <w:rPr>
          <w:rFonts w:cs="Arial"/>
          <w:i/>
          <w:iCs/>
          <w:szCs w:val="22"/>
        </w:rPr>
        <w:t>National Health Act 1953</w:t>
      </w:r>
      <w:r w:rsidRPr="00340BDF">
        <w:rPr>
          <w:rFonts w:cs="Arial"/>
          <w:szCs w:val="22"/>
        </w:rPr>
        <w:t xml:space="preserve">, the PBS co-payment </w:t>
      </w:r>
      <w:proofErr w:type="gramStart"/>
      <w:r w:rsidRPr="00340BDF">
        <w:rPr>
          <w:rFonts w:cs="Arial"/>
          <w:szCs w:val="22"/>
        </w:rPr>
        <w:t>amounts</w:t>
      </w:r>
      <w:proofErr w:type="gramEnd"/>
      <w:r w:rsidRPr="00340BDF">
        <w:rPr>
          <w:rFonts w:cs="Arial"/>
          <w:szCs w:val="22"/>
        </w:rPr>
        <w:t xml:space="preserve"> and general Safety Net threshold are indexed automatically on 1 January every year, in line with changes to the Consumer Price Index (CPI). </w:t>
      </w:r>
    </w:p>
    <w:p w14:paraId="5C1954C7" w14:textId="77777777" w:rsidR="000D1307" w:rsidRDefault="000D1307">
      <w:p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94AA8B0" w14:textId="0BC390B1" w:rsidR="00340BDF" w:rsidRDefault="00340BDF" w:rsidP="00340BDF">
      <w:pPr>
        <w:rPr>
          <w:rFonts w:cs="Arial"/>
          <w:szCs w:val="22"/>
        </w:rPr>
      </w:pPr>
      <w:r w:rsidRPr="00340BDF">
        <w:rPr>
          <w:rFonts w:cs="Arial"/>
          <w:szCs w:val="22"/>
        </w:rPr>
        <w:lastRenderedPageBreak/>
        <w:t xml:space="preserve">The Safety Net thresholds and co-payment amounts for 2023 will be: </w:t>
      </w:r>
    </w:p>
    <w:tbl>
      <w:tblPr>
        <w:tblStyle w:val="DepartmentofHealthtable"/>
        <w:tblW w:w="4385" w:type="dxa"/>
        <w:tblLayout w:type="fixed"/>
        <w:tblLook w:val="04A0" w:firstRow="1" w:lastRow="0" w:firstColumn="1" w:lastColumn="0" w:noHBand="0" w:noVBand="1"/>
      </w:tblPr>
      <w:tblGrid>
        <w:gridCol w:w="2400"/>
        <w:gridCol w:w="992"/>
        <w:gridCol w:w="993"/>
      </w:tblGrid>
      <w:tr w:rsidR="0006178E" w:rsidRPr="0006178E" w14:paraId="25D51558" w14:textId="77777777" w:rsidTr="00061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54825BE" w14:textId="77777777" w:rsidR="00340BDF" w:rsidRPr="0006178E" w:rsidRDefault="00340BDF">
            <w:pPr>
              <w:spacing w:before="0"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hideMark/>
          </w:tcPr>
          <w:p w14:paraId="6BDCEEF2" w14:textId="29F256C8" w:rsidR="00340BDF" w:rsidRPr="0006178E" w:rsidRDefault="00340BDF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6178E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2022 </w:t>
            </w:r>
          </w:p>
        </w:tc>
        <w:tc>
          <w:tcPr>
            <w:tcW w:w="993" w:type="dxa"/>
            <w:hideMark/>
          </w:tcPr>
          <w:p w14:paraId="15C79CBF" w14:textId="1F0D02EF" w:rsidR="00340BDF" w:rsidRPr="0006178E" w:rsidRDefault="00340BDF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06178E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2023 </w:t>
            </w:r>
          </w:p>
        </w:tc>
      </w:tr>
      <w:tr w:rsidR="00340BDF" w14:paraId="7C628EC4" w14:textId="77777777" w:rsidTr="0006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AA08F28" w14:textId="77B86BD0" w:rsidR="00340BDF" w:rsidRDefault="00340BDF">
            <w:pPr>
              <w:spacing w:line="25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General patient co-payment</w:t>
            </w:r>
            <w:r w:rsidR="00393378">
              <w:rPr>
                <w:rFonts w:cs="Arial"/>
                <w:b/>
                <w:bCs/>
                <w:sz w:val="16"/>
                <w:szCs w:val="16"/>
              </w:rPr>
              <w:t xml:space="preserve"> amount</w:t>
            </w:r>
          </w:p>
        </w:tc>
        <w:tc>
          <w:tcPr>
            <w:tcW w:w="992" w:type="dxa"/>
            <w:hideMark/>
          </w:tcPr>
          <w:p w14:paraId="7CA0E897" w14:textId="77777777" w:rsidR="00340BDF" w:rsidRDefault="00340BD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$42.50</w:t>
            </w:r>
          </w:p>
        </w:tc>
        <w:tc>
          <w:tcPr>
            <w:tcW w:w="993" w:type="dxa"/>
            <w:hideMark/>
          </w:tcPr>
          <w:p w14:paraId="4407DAD2" w14:textId="77777777" w:rsidR="00340BDF" w:rsidRDefault="00340BD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$30.00</w:t>
            </w:r>
          </w:p>
        </w:tc>
      </w:tr>
      <w:tr w:rsidR="00340BDF" w14:paraId="29C5CAE9" w14:textId="77777777" w:rsidTr="00061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6C0BE54B" w14:textId="77777777" w:rsidR="00340BDF" w:rsidRDefault="00340BDF">
            <w:pPr>
              <w:spacing w:line="25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General patient safety net threshold</w:t>
            </w:r>
          </w:p>
        </w:tc>
        <w:tc>
          <w:tcPr>
            <w:tcW w:w="992" w:type="dxa"/>
            <w:hideMark/>
          </w:tcPr>
          <w:p w14:paraId="1F686443" w14:textId="77777777" w:rsidR="00340BDF" w:rsidRDefault="00340BDF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$1,457.10</w:t>
            </w:r>
          </w:p>
        </w:tc>
        <w:tc>
          <w:tcPr>
            <w:tcW w:w="993" w:type="dxa"/>
            <w:hideMark/>
          </w:tcPr>
          <w:p w14:paraId="02DB151E" w14:textId="77777777" w:rsidR="00340BDF" w:rsidRDefault="00340BDF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$1,563.50</w:t>
            </w:r>
          </w:p>
        </w:tc>
      </w:tr>
      <w:tr w:rsidR="00340BDF" w14:paraId="40536BCF" w14:textId="77777777" w:rsidTr="0006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4060A2A" w14:textId="26A1D62A" w:rsidR="00340BDF" w:rsidRDefault="00340BDF">
            <w:pPr>
              <w:spacing w:line="25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Concessional patient co</w:t>
            </w:r>
            <w:r w:rsidR="0057046F">
              <w:rPr>
                <w:rFonts w:cs="Arial"/>
                <w:b/>
                <w:bCs/>
                <w:color w:val="000000"/>
                <w:sz w:val="16"/>
                <w:szCs w:val="16"/>
              </w:rPr>
              <w:noBreakHyphen/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payment</w:t>
            </w:r>
            <w:r w:rsidR="0039337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amount</w:t>
            </w:r>
          </w:p>
        </w:tc>
        <w:tc>
          <w:tcPr>
            <w:tcW w:w="992" w:type="dxa"/>
            <w:hideMark/>
          </w:tcPr>
          <w:p w14:paraId="16C0BC9C" w14:textId="77777777" w:rsidR="00340BDF" w:rsidRDefault="00340BD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$6.80</w:t>
            </w:r>
          </w:p>
        </w:tc>
        <w:tc>
          <w:tcPr>
            <w:tcW w:w="993" w:type="dxa"/>
            <w:hideMark/>
          </w:tcPr>
          <w:p w14:paraId="7B106DDB" w14:textId="77777777" w:rsidR="00340BDF" w:rsidRDefault="00340BD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$7.30</w:t>
            </w:r>
          </w:p>
        </w:tc>
      </w:tr>
      <w:tr w:rsidR="00340BDF" w14:paraId="165B0458" w14:textId="77777777" w:rsidTr="00061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5B5BCAC6" w14:textId="54857C4B" w:rsidR="00340BDF" w:rsidRDefault="00340BDF">
            <w:pPr>
              <w:spacing w:line="25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Concessional patient safety net threshold</w:t>
            </w:r>
          </w:p>
        </w:tc>
        <w:tc>
          <w:tcPr>
            <w:tcW w:w="992" w:type="dxa"/>
            <w:hideMark/>
          </w:tcPr>
          <w:p w14:paraId="6B7F0151" w14:textId="77777777" w:rsidR="00340BDF" w:rsidRDefault="00340BDF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$244.80</w:t>
            </w:r>
          </w:p>
        </w:tc>
        <w:tc>
          <w:tcPr>
            <w:tcW w:w="993" w:type="dxa"/>
            <w:hideMark/>
          </w:tcPr>
          <w:p w14:paraId="02627624" w14:textId="77777777" w:rsidR="00340BDF" w:rsidRDefault="00340BDF">
            <w:pPr>
              <w:spacing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$262.80</w:t>
            </w:r>
          </w:p>
        </w:tc>
      </w:tr>
    </w:tbl>
    <w:p w14:paraId="09B5D928" w14:textId="77777777" w:rsidR="00DF41D5" w:rsidRPr="00DF41D5" w:rsidRDefault="00DF41D5" w:rsidP="00DF41D5">
      <w:pPr>
        <w:pStyle w:val="Heading1"/>
      </w:pPr>
      <w:bookmarkStart w:id="0" w:name="_Hlk121913710"/>
      <w:r w:rsidRPr="00DF41D5">
        <w:t>Will there be any change to the concessional co-payment amount?</w:t>
      </w:r>
    </w:p>
    <w:p w14:paraId="20588F1A" w14:textId="77777777" w:rsidR="00DF41D5" w:rsidRPr="00DF41D5" w:rsidRDefault="00DF41D5" w:rsidP="00DF41D5">
      <w:r w:rsidRPr="00DF41D5">
        <w:t xml:space="preserve">The concessional co-payment amount in 2023 will only change </w:t>
      </w:r>
      <w:proofErr w:type="gramStart"/>
      <w:r w:rsidRPr="00DF41D5">
        <w:t>as a result of</w:t>
      </w:r>
      <w:proofErr w:type="gramEnd"/>
      <w:r w:rsidRPr="00DF41D5">
        <w:t xml:space="preserve"> the existing indexation arrangements. </w:t>
      </w:r>
    </w:p>
    <w:p w14:paraId="00769B6F" w14:textId="2E1AE498" w:rsidR="00DF41D5" w:rsidRPr="00DF41D5" w:rsidRDefault="00DF41D5" w:rsidP="00DF41D5">
      <w:r w:rsidRPr="00DF41D5">
        <w:t>The indexation of both the concessional and the general patient co-payment</w:t>
      </w:r>
      <w:r w:rsidR="00393378">
        <w:t xml:space="preserve"> amount</w:t>
      </w:r>
      <w:r w:rsidRPr="00DF41D5">
        <w:t xml:space="preserve">s will continue according to the existing indexation arrangements, with the </w:t>
      </w:r>
      <w:r w:rsidR="00393378">
        <w:t>amounts</w:t>
      </w:r>
      <w:r w:rsidRPr="00DF41D5">
        <w:t xml:space="preserve"> updated on 1 January of each calendar year with reference to the relevant CPI changes.</w:t>
      </w:r>
      <w:bookmarkEnd w:id="0"/>
    </w:p>
    <w:p w14:paraId="47068F5D" w14:textId="77777777" w:rsidR="00DF41D5" w:rsidRPr="00DF41D5" w:rsidRDefault="00DF41D5" w:rsidP="00DF41D5">
      <w:pPr>
        <w:pStyle w:val="Heading1"/>
      </w:pPr>
      <w:bookmarkStart w:id="1" w:name="_Hlk121913727"/>
      <w:r w:rsidRPr="00DF41D5">
        <w:t>What will happen to the general co-payment in 2024?</w:t>
      </w:r>
    </w:p>
    <w:p w14:paraId="61B6BF2C" w14:textId="225841BA" w:rsidR="00DF41D5" w:rsidRPr="00DF41D5" w:rsidRDefault="00DF41D5" w:rsidP="00DF41D5">
      <w:r w:rsidRPr="00DF41D5">
        <w:t xml:space="preserve">The indexation arrangements for the general patient co-payment </w:t>
      </w:r>
      <w:r w:rsidR="00393378">
        <w:t xml:space="preserve">amount </w:t>
      </w:r>
      <w:r w:rsidRPr="00DF41D5">
        <w:t>will continue according to the existing indexation arrangements as they have occurred in the past. However, the indexation calculation will now work from a significantly reduced baseline of $30.00, meaning that patients will continue to save for many years into the future.</w:t>
      </w:r>
      <w:bookmarkEnd w:id="1"/>
    </w:p>
    <w:p w14:paraId="79EFC4AE" w14:textId="77777777" w:rsidR="00DF41D5" w:rsidRPr="00DF41D5" w:rsidRDefault="00DF41D5" w:rsidP="00DF41D5">
      <w:pPr>
        <w:pStyle w:val="Heading1"/>
      </w:pPr>
      <w:bookmarkStart w:id="2" w:name="_Hlk121913865"/>
      <w:r w:rsidRPr="00DF41D5">
        <w:t>How does this change affect First Nations people?</w:t>
      </w:r>
    </w:p>
    <w:p w14:paraId="24B621D6" w14:textId="77777777" w:rsidR="00393378" w:rsidRDefault="00DF41D5" w:rsidP="00DF41D5">
      <w:pPr>
        <w:rPr>
          <w:rFonts w:cs="Arial"/>
          <w:szCs w:val="22"/>
        </w:rPr>
      </w:pPr>
      <w:r w:rsidRPr="00DF41D5">
        <w:rPr>
          <w:rFonts w:cs="Arial"/>
          <w:szCs w:val="22"/>
        </w:rPr>
        <w:t>The reduction to the general co-payment</w:t>
      </w:r>
      <w:r w:rsidR="00393378">
        <w:rPr>
          <w:rFonts w:cs="Arial"/>
          <w:szCs w:val="22"/>
        </w:rPr>
        <w:t xml:space="preserve"> amount</w:t>
      </w:r>
      <w:r w:rsidRPr="00DF41D5">
        <w:rPr>
          <w:rFonts w:cs="Arial"/>
          <w:szCs w:val="22"/>
        </w:rPr>
        <w:t xml:space="preserve"> will benefit all Australians, including First Nations people.</w:t>
      </w:r>
    </w:p>
    <w:p w14:paraId="42579C5B" w14:textId="2CBF79FC" w:rsidR="00DF41D5" w:rsidRPr="00DF41D5" w:rsidRDefault="00DF41D5" w:rsidP="00DF41D5">
      <w:pPr>
        <w:rPr>
          <w:rFonts w:cs="Arial"/>
          <w:szCs w:val="22"/>
        </w:rPr>
      </w:pPr>
      <w:r w:rsidRPr="00DF41D5">
        <w:rPr>
          <w:rFonts w:cs="Arial"/>
          <w:szCs w:val="22"/>
        </w:rPr>
        <w:t>Additionally, the Government has implemented another change, to ensure that no First Nations patients are worse off.</w:t>
      </w:r>
      <w:r w:rsidR="00393378">
        <w:rPr>
          <w:rFonts w:cs="Arial"/>
          <w:szCs w:val="22"/>
        </w:rPr>
        <w:t xml:space="preserve"> </w:t>
      </w:r>
      <w:r w:rsidRPr="00DF41D5">
        <w:rPr>
          <w:rFonts w:cs="Arial"/>
          <w:szCs w:val="22"/>
        </w:rPr>
        <w:t xml:space="preserve">From 1 January 2023, if a </w:t>
      </w:r>
      <w:r w:rsidR="003C1C3D">
        <w:rPr>
          <w:rFonts w:cs="Arial"/>
          <w:szCs w:val="22"/>
        </w:rPr>
        <w:t>general</w:t>
      </w:r>
      <w:r w:rsidRPr="00DF41D5">
        <w:rPr>
          <w:rFonts w:cs="Arial"/>
          <w:szCs w:val="22"/>
        </w:rPr>
        <w:t xml:space="preserve"> </w:t>
      </w:r>
      <w:hyperlink r:id="rId16" w:history="1">
        <w:r w:rsidRPr="00DF41D5">
          <w:rPr>
            <w:rStyle w:val="Hyperlink"/>
            <w:rFonts w:cs="Arial"/>
            <w:szCs w:val="22"/>
          </w:rPr>
          <w:t>Closing The Gap</w:t>
        </w:r>
      </w:hyperlink>
      <w:r w:rsidRPr="00DF41D5">
        <w:rPr>
          <w:rFonts w:cs="Arial"/>
          <w:szCs w:val="22"/>
        </w:rPr>
        <w:t xml:space="preserve"> (CTG) patient purchases a prescription that costs more (including the Safety Net recording fee) than the new general co-payment amount, the patient still pays </w:t>
      </w:r>
      <w:r w:rsidR="00721700">
        <w:rPr>
          <w:rFonts w:cs="Arial"/>
          <w:szCs w:val="22"/>
        </w:rPr>
        <w:t xml:space="preserve">only </w:t>
      </w:r>
      <w:r w:rsidRPr="00DF41D5">
        <w:rPr>
          <w:rFonts w:cs="Arial"/>
          <w:szCs w:val="22"/>
        </w:rPr>
        <w:t xml:space="preserve">the concessional amount and $42.50 will </w:t>
      </w:r>
      <w:r w:rsidR="00721700">
        <w:rPr>
          <w:rFonts w:cs="Arial"/>
          <w:szCs w:val="22"/>
        </w:rPr>
        <w:t xml:space="preserve">be </w:t>
      </w:r>
      <w:r w:rsidRPr="00DF41D5">
        <w:rPr>
          <w:rFonts w:cs="Arial"/>
          <w:szCs w:val="22"/>
        </w:rPr>
        <w:t>count</w:t>
      </w:r>
      <w:r w:rsidR="00721700">
        <w:rPr>
          <w:rFonts w:cs="Arial"/>
          <w:szCs w:val="22"/>
        </w:rPr>
        <w:t>ed</w:t>
      </w:r>
      <w:r w:rsidRPr="00DF41D5">
        <w:rPr>
          <w:rFonts w:cs="Arial"/>
          <w:szCs w:val="22"/>
        </w:rPr>
        <w:t xml:space="preserve"> towards the</w:t>
      </w:r>
      <w:r w:rsidR="00721700">
        <w:rPr>
          <w:rFonts w:cs="Arial"/>
          <w:szCs w:val="22"/>
        </w:rPr>
        <w:t>ir</w:t>
      </w:r>
      <w:r w:rsidRPr="00DF41D5">
        <w:rPr>
          <w:rFonts w:cs="Arial"/>
          <w:szCs w:val="22"/>
        </w:rPr>
        <w:t xml:space="preserve"> Safety Net threshold.</w:t>
      </w:r>
      <w:bookmarkEnd w:id="2"/>
    </w:p>
    <w:p w14:paraId="677A183E" w14:textId="77777777" w:rsidR="000D1307" w:rsidRDefault="000D1307" w:rsidP="00340BDF">
      <w:pPr>
        <w:rPr>
          <w:rFonts w:cs="Arial"/>
          <w:b/>
          <w:bCs/>
          <w:color w:val="00539F"/>
          <w:kern w:val="28"/>
          <w:szCs w:val="36"/>
        </w:rPr>
        <w:sectPr w:rsidR="000D1307" w:rsidSect="0006178E">
          <w:headerReference w:type="first" r:id="rId17"/>
          <w:type w:val="continuous"/>
          <w:pgSz w:w="11906" w:h="16838" w:code="9"/>
          <w:pgMar w:top="4082" w:right="1021" w:bottom="1021" w:left="1021" w:header="1021" w:footer="709" w:gutter="0"/>
          <w:cols w:num="2" w:space="568"/>
          <w:titlePg/>
          <w:docGrid w:linePitch="360"/>
        </w:sectPr>
      </w:pPr>
    </w:p>
    <w:p w14:paraId="7D7285F4" w14:textId="77777777" w:rsidR="00B809B7" w:rsidRDefault="00B809B7" w:rsidP="000D1307">
      <w:pPr>
        <w:pStyle w:val="Subtitle"/>
      </w:pPr>
    </w:p>
    <w:p w14:paraId="1A87F13A" w14:textId="77777777" w:rsidR="00B809B7" w:rsidRDefault="00B809B7" w:rsidP="000D1307">
      <w:pPr>
        <w:pStyle w:val="Subtitle"/>
      </w:pPr>
    </w:p>
    <w:p w14:paraId="2A3391A8" w14:textId="1F2BFC40" w:rsidR="00B809B7" w:rsidRDefault="0006178E" w:rsidP="00B809B7">
      <w:pPr>
        <w:pStyle w:val="Subtitle"/>
      </w:pPr>
      <w:r w:rsidRPr="0057046F">
        <w:t>Information for Pharmacy and Industry Stakeholders</w:t>
      </w:r>
    </w:p>
    <w:p w14:paraId="72DAD9B9" w14:textId="77777777" w:rsidR="000D1307" w:rsidRPr="0057046F" w:rsidRDefault="000D1307" w:rsidP="000D1307">
      <w:pPr>
        <w:pStyle w:val="Subtitle"/>
        <w:sectPr w:rsidR="000D1307" w:rsidRPr="0057046F" w:rsidSect="000D1307">
          <w:headerReference w:type="first" r:id="rId18"/>
          <w:pgSz w:w="11906" w:h="16838" w:code="9"/>
          <w:pgMar w:top="1021" w:right="1021" w:bottom="1021" w:left="1021" w:header="1021" w:footer="709" w:gutter="0"/>
          <w:cols w:space="568"/>
          <w:titlePg/>
          <w:docGrid w:linePitch="360"/>
        </w:sectPr>
      </w:pPr>
    </w:p>
    <w:p w14:paraId="302B8D44" w14:textId="6937AF3D" w:rsidR="0006178E" w:rsidRPr="006B6FED" w:rsidRDefault="0006178E" w:rsidP="0006178E">
      <w:pPr>
        <w:pStyle w:val="Heading1"/>
      </w:pPr>
      <w:r w:rsidRPr="006B6FED">
        <w:t xml:space="preserve">Will a pharmacy be paid a Commonwealth subsidy for prescriptions where the </w:t>
      </w:r>
      <w:r w:rsidR="003C1C3D" w:rsidRPr="006B6FED">
        <w:t>‘</w:t>
      </w:r>
      <w:r w:rsidRPr="006B6FED">
        <w:t>increased discount</w:t>
      </w:r>
      <w:r w:rsidR="003C1C3D" w:rsidRPr="006B6FED">
        <w:t>’</w:t>
      </w:r>
      <w:r w:rsidRPr="006B6FED">
        <w:t xml:space="preserve"> is offered?</w:t>
      </w:r>
    </w:p>
    <w:p w14:paraId="11D727F9" w14:textId="0193E406" w:rsidR="0006178E" w:rsidRPr="006B6FED" w:rsidRDefault="0006178E" w:rsidP="0006178E">
      <w:r w:rsidRPr="006B6FED">
        <w:t xml:space="preserve">No, </w:t>
      </w:r>
      <w:r w:rsidR="007343F9" w:rsidRPr="006B6FED">
        <w:t xml:space="preserve">where a </w:t>
      </w:r>
      <w:r w:rsidRPr="006B6FED">
        <w:t xml:space="preserve">prescription </w:t>
      </w:r>
      <w:r w:rsidR="007343F9" w:rsidRPr="006B6FED">
        <w:t xml:space="preserve">has had the new discretionary increased discount applied, it </w:t>
      </w:r>
      <w:r w:rsidRPr="006B6FED">
        <w:t>will be treated consistently with under co-payment prescriptions and the arrangements for these medicines that</w:t>
      </w:r>
      <w:r w:rsidR="007343F9" w:rsidRPr="006B6FED">
        <w:t xml:space="preserve"> have</w:t>
      </w:r>
      <w:r w:rsidRPr="006B6FED">
        <w:t xml:space="preserve"> applied </w:t>
      </w:r>
      <w:r w:rsidR="007343F9" w:rsidRPr="006B6FED">
        <w:t>to date</w:t>
      </w:r>
      <w:r w:rsidRPr="006B6FED">
        <w:t xml:space="preserve">. </w:t>
      </w:r>
    </w:p>
    <w:p w14:paraId="3AE0B734" w14:textId="049617E0" w:rsidR="007343F9" w:rsidRPr="006B6FED" w:rsidRDefault="0006178E" w:rsidP="0006178E">
      <w:r w:rsidRPr="006B6FED">
        <w:t xml:space="preserve">If a pharmacy chooses to provide the </w:t>
      </w:r>
      <w:r w:rsidR="003C1C3D" w:rsidRPr="006B6FED">
        <w:t>new discretionary</w:t>
      </w:r>
      <w:r w:rsidRPr="006B6FED">
        <w:t xml:space="preserve"> discount, then it will only receive the amount the patient paid </w:t>
      </w:r>
      <w:r w:rsidR="00721700" w:rsidRPr="006B6FED">
        <w:t>for the prescription</w:t>
      </w:r>
      <w:r w:rsidRPr="006B6FED">
        <w:t xml:space="preserve">. This is consistent with current </w:t>
      </w:r>
      <w:r w:rsidR="003C1C3D" w:rsidRPr="006B6FED">
        <w:t xml:space="preserve">subsidy </w:t>
      </w:r>
      <w:r w:rsidRPr="006B6FED">
        <w:t>arrangements</w:t>
      </w:r>
      <w:r w:rsidR="003C1C3D" w:rsidRPr="006B6FED">
        <w:t xml:space="preserve"> for PBS </w:t>
      </w:r>
      <w:r w:rsidR="007343F9" w:rsidRPr="006B6FED">
        <w:t>medicines that are under co-payment, in particular:</w:t>
      </w:r>
    </w:p>
    <w:p w14:paraId="2AFCBF69" w14:textId="33BAC14D" w:rsidR="007343F9" w:rsidRPr="006B6FED" w:rsidRDefault="0006178E" w:rsidP="007343F9">
      <w:pPr>
        <w:pStyle w:val="ListParagraph"/>
        <w:numPr>
          <w:ilvl w:val="0"/>
          <w:numId w:val="28"/>
        </w:numPr>
      </w:pPr>
      <w:r w:rsidRPr="006B6FED">
        <w:t>PBS medicines are only able to be discounted by more than the optional $1</w:t>
      </w:r>
      <w:r w:rsidR="007343F9" w:rsidRPr="006B6FED">
        <w:t> </w:t>
      </w:r>
      <w:r w:rsidRPr="006B6FED">
        <w:t>allowable discount if they are under co</w:t>
      </w:r>
      <w:r w:rsidRPr="006B6FED">
        <w:noBreakHyphen/>
      </w:r>
      <w:proofErr w:type="gramStart"/>
      <w:r w:rsidRPr="006B6FED">
        <w:t>payment</w:t>
      </w:r>
      <w:r w:rsidR="007343F9" w:rsidRPr="006B6FED">
        <w:t>;</w:t>
      </w:r>
      <w:proofErr w:type="gramEnd"/>
      <w:r w:rsidR="007343F9" w:rsidRPr="006B6FED">
        <w:t xml:space="preserve"> and</w:t>
      </w:r>
    </w:p>
    <w:p w14:paraId="06252CC4" w14:textId="78419332" w:rsidR="0006178E" w:rsidRPr="006B6FED" w:rsidRDefault="007343F9" w:rsidP="007343F9">
      <w:pPr>
        <w:pStyle w:val="ListParagraph"/>
        <w:numPr>
          <w:ilvl w:val="0"/>
          <w:numId w:val="28"/>
        </w:numPr>
      </w:pPr>
      <w:r w:rsidRPr="006B6FED">
        <w:t xml:space="preserve">if a </w:t>
      </w:r>
      <w:r w:rsidR="0006178E" w:rsidRPr="006B6FED">
        <w:t>medicine</w:t>
      </w:r>
      <w:r w:rsidRPr="006B6FED">
        <w:t xml:space="preserve"> priced above the co-payment is</w:t>
      </w:r>
      <w:r w:rsidR="0006178E" w:rsidRPr="006B6FED">
        <w:t xml:space="preserve"> discounted beyond the $1</w:t>
      </w:r>
      <w:r w:rsidRPr="006B6FED">
        <w:t> </w:t>
      </w:r>
      <w:r w:rsidR="0006178E" w:rsidRPr="006B6FED">
        <w:t xml:space="preserve">allowable discount arrangements, </w:t>
      </w:r>
      <w:r w:rsidRPr="006B6FED">
        <w:t>then those</w:t>
      </w:r>
      <w:r w:rsidR="0006178E" w:rsidRPr="006B6FED">
        <w:t xml:space="preserve"> prescriptions becom</w:t>
      </w:r>
      <w:r w:rsidRPr="006B6FED">
        <w:t>e</w:t>
      </w:r>
      <w:r w:rsidR="0006178E" w:rsidRPr="006B6FED">
        <w:t xml:space="preserve"> a private supply</w:t>
      </w:r>
      <w:r w:rsidRPr="006B6FED">
        <w:t xml:space="preserve"> (</w:t>
      </w:r>
      <w:proofErr w:type="gramStart"/>
      <w:r w:rsidRPr="006B6FED">
        <w:t>i.e.</w:t>
      </w:r>
      <w:proofErr w:type="gramEnd"/>
      <w:r w:rsidRPr="006B6FED">
        <w:t> non-PBS)</w:t>
      </w:r>
      <w:r w:rsidR="0006178E" w:rsidRPr="006B6FED">
        <w:t>.</w:t>
      </w:r>
    </w:p>
    <w:p w14:paraId="5B32FC3F" w14:textId="52E03221" w:rsidR="0006178E" w:rsidRDefault="0006178E" w:rsidP="0006178E">
      <w:pPr>
        <w:rPr>
          <w:rFonts w:asciiTheme="minorHAnsi" w:hAnsiTheme="minorHAnsi" w:cstheme="minorHAnsi"/>
          <w:sz w:val="28"/>
          <w:szCs w:val="28"/>
        </w:rPr>
      </w:pPr>
      <w:r w:rsidRPr="006B6FED">
        <w:t>Under the</w:t>
      </w:r>
      <w:r w:rsidR="007343F9" w:rsidRPr="006B6FED">
        <w:t xml:space="preserve"> new</w:t>
      </w:r>
      <w:r w:rsidRPr="006B6FED">
        <w:t xml:space="preserve"> arrangements, it is a decision for each individual pharmacy to determine when a discount is offered, and pharmacies can choose to continue to apply discounts to those</w:t>
      </w:r>
      <w:r w:rsidR="0057046F" w:rsidRPr="006B6FED">
        <w:t xml:space="preserve"> </w:t>
      </w:r>
      <w:r w:rsidRPr="006B6FED">
        <w:t>prescriptions that they consider</w:t>
      </w:r>
      <w:r w:rsidR="00CA1114" w:rsidRPr="006B6FED">
        <w:t xml:space="preserve"> </w:t>
      </w:r>
      <w:r w:rsidRPr="006B6FED">
        <w:t>appropriate</w:t>
      </w:r>
      <w:r w:rsidRPr="006B6FED">
        <w:rPr>
          <w:rFonts w:asciiTheme="minorHAnsi" w:hAnsiTheme="minorHAnsi" w:cstheme="minorHAnsi"/>
          <w:sz w:val="28"/>
          <w:szCs w:val="28"/>
        </w:rPr>
        <w:t>.</w:t>
      </w:r>
    </w:p>
    <w:p w14:paraId="0B8272C5" w14:textId="77777777" w:rsidR="0006178E" w:rsidRPr="0006178E" w:rsidRDefault="0006178E" w:rsidP="0006178E">
      <w:pPr>
        <w:pStyle w:val="Heading1"/>
      </w:pPr>
      <w:r w:rsidRPr="0006178E">
        <w:t>How will the changes be communicated to pharmacies and the community?</w:t>
      </w:r>
    </w:p>
    <w:p w14:paraId="2679A0C2" w14:textId="53E4D2C1" w:rsidR="0006178E" w:rsidRPr="0006178E" w:rsidRDefault="0006178E" w:rsidP="0006178E">
      <w:r w:rsidRPr="006A5706">
        <w:t>T</w:t>
      </w:r>
      <w:r w:rsidRPr="0006178E">
        <w:t>he Department of Health and Aged Care will be engaging in a range of communication activities to support the change to the PBS co</w:t>
      </w:r>
      <w:r w:rsidR="0057046F">
        <w:noBreakHyphen/>
      </w:r>
      <w:r w:rsidRPr="0006178E">
        <w:t>payment</w:t>
      </w:r>
      <w:r w:rsidR="0018157F">
        <w:t xml:space="preserve"> amount</w:t>
      </w:r>
      <w:r w:rsidRPr="0006178E">
        <w:t xml:space="preserve"> that take</w:t>
      </w:r>
      <w:r w:rsidR="0018157F">
        <w:t>s</w:t>
      </w:r>
      <w:r w:rsidRPr="0006178E">
        <w:t xml:space="preserve"> effect on 1</w:t>
      </w:r>
      <w:r w:rsidR="00CA1114">
        <w:t> </w:t>
      </w:r>
      <w:r w:rsidRPr="0006178E">
        <w:t>January 2023 and the supporting discounting</w:t>
      </w:r>
      <w:r w:rsidR="00B809B7">
        <w:t xml:space="preserve"> </w:t>
      </w:r>
      <w:r w:rsidRPr="0006178E">
        <w:t xml:space="preserve">arrangements being introduced. </w:t>
      </w:r>
    </w:p>
    <w:p w14:paraId="2319029D" w14:textId="5D8D7275" w:rsidR="0006178E" w:rsidRDefault="0006178E" w:rsidP="0006178E">
      <w:r w:rsidRPr="0006178E">
        <w:t>This will include updates to the PBS and Services Australia websites.</w:t>
      </w:r>
    </w:p>
    <w:p w14:paraId="0CE23F6B" w14:textId="77777777" w:rsidR="0006178E" w:rsidRPr="0006178E" w:rsidRDefault="0006178E" w:rsidP="0057046F">
      <w:pPr>
        <w:pStyle w:val="Heading1"/>
        <w:spacing w:before="0"/>
      </w:pPr>
      <w:r w:rsidRPr="0006178E">
        <w:t xml:space="preserve">Will there be a change to pharmacy dispensing fees? </w:t>
      </w:r>
    </w:p>
    <w:p w14:paraId="6F0536CA" w14:textId="77777777" w:rsidR="00CA1114" w:rsidRDefault="0006178E" w:rsidP="0006178E">
      <w:pPr>
        <w:autoSpaceDE w:val="0"/>
        <w:autoSpaceDN w:val="0"/>
        <w:adjustRightInd w:val="0"/>
        <w:rPr>
          <w:rFonts w:cs="Arial"/>
          <w:szCs w:val="22"/>
        </w:rPr>
      </w:pPr>
      <w:r w:rsidRPr="0006178E">
        <w:rPr>
          <w:rFonts w:cs="Arial"/>
          <w:szCs w:val="22"/>
        </w:rPr>
        <w:t xml:space="preserve">No. </w:t>
      </w:r>
      <w:hyperlink r:id="rId19" w:history="1">
        <w:r w:rsidRPr="0006178E">
          <w:rPr>
            <w:rStyle w:val="Hyperlink"/>
            <w:rFonts w:cs="Arial"/>
            <w:szCs w:val="22"/>
          </w:rPr>
          <w:t>Dispensing fees</w:t>
        </w:r>
      </w:hyperlink>
      <w:r w:rsidRPr="0006178E">
        <w:rPr>
          <w:rFonts w:cs="Arial"/>
          <w:szCs w:val="22"/>
        </w:rPr>
        <w:t xml:space="preserve"> form part of the Commonwealth Price of a PBS medicine and </w:t>
      </w:r>
      <w:r w:rsidR="0018157F">
        <w:rPr>
          <w:rFonts w:cs="Arial"/>
          <w:szCs w:val="22"/>
        </w:rPr>
        <w:t>are</w:t>
      </w:r>
      <w:r w:rsidRPr="0006178E">
        <w:rPr>
          <w:rFonts w:cs="Arial"/>
          <w:szCs w:val="22"/>
        </w:rPr>
        <w:t xml:space="preserve"> provided for in the Seventh Community Pharmacy Agreement. </w:t>
      </w:r>
    </w:p>
    <w:p w14:paraId="5EA791B5" w14:textId="019DCB7C" w:rsidR="0006178E" w:rsidRPr="0006178E" w:rsidRDefault="0006178E" w:rsidP="0006178E">
      <w:pPr>
        <w:autoSpaceDE w:val="0"/>
        <w:autoSpaceDN w:val="0"/>
        <w:adjustRightInd w:val="0"/>
        <w:rPr>
          <w:rFonts w:cs="Arial"/>
          <w:szCs w:val="22"/>
        </w:rPr>
      </w:pPr>
      <w:r w:rsidRPr="0006178E">
        <w:rPr>
          <w:rFonts w:cs="Arial"/>
          <w:szCs w:val="22"/>
        </w:rPr>
        <w:t xml:space="preserve">Where the pharmacist does not choose to offer the </w:t>
      </w:r>
      <w:r w:rsidR="00CA1114">
        <w:rPr>
          <w:rFonts w:cs="Arial"/>
          <w:szCs w:val="22"/>
        </w:rPr>
        <w:t>discretionary</w:t>
      </w:r>
      <w:r w:rsidRPr="0006178E">
        <w:rPr>
          <w:rFonts w:cs="Arial"/>
          <w:szCs w:val="22"/>
        </w:rPr>
        <w:t xml:space="preserve"> discount on a prescription priced in the eligible range, the subsidy paid by the Commonwealth will </w:t>
      </w:r>
      <w:r w:rsidR="00874C2D">
        <w:rPr>
          <w:rFonts w:cs="Arial"/>
          <w:szCs w:val="22"/>
        </w:rPr>
        <w:t>include</w:t>
      </w:r>
      <w:r w:rsidR="00874C2D" w:rsidRPr="0006178E">
        <w:rPr>
          <w:rFonts w:cs="Arial"/>
          <w:szCs w:val="22"/>
        </w:rPr>
        <w:t xml:space="preserve"> </w:t>
      </w:r>
      <w:r w:rsidRPr="0006178E">
        <w:rPr>
          <w:rFonts w:cs="Arial"/>
          <w:szCs w:val="22"/>
        </w:rPr>
        <w:t xml:space="preserve">the full dispensing fee. </w:t>
      </w:r>
    </w:p>
    <w:p w14:paraId="043415D1" w14:textId="77777777" w:rsidR="0006178E" w:rsidRPr="0006178E" w:rsidRDefault="0006178E" w:rsidP="0006178E">
      <w:pPr>
        <w:pStyle w:val="Heading1"/>
      </w:pPr>
      <w:r w:rsidRPr="0006178E">
        <w:t xml:space="preserve">Will there be a change to the allowable additional patient charge? </w:t>
      </w:r>
    </w:p>
    <w:p w14:paraId="1F95CC42" w14:textId="5197C471" w:rsidR="0006178E" w:rsidRPr="0006178E" w:rsidRDefault="0006178E" w:rsidP="0006178E">
      <w:pPr>
        <w:autoSpaceDE w:val="0"/>
        <w:autoSpaceDN w:val="0"/>
        <w:adjustRightInd w:val="0"/>
        <w:rPr>
          <w:rFonts w:cs="Arial"/>
          <w:szCs w:val="22"/>
        </w:rPr>
      </w:pPr>
      <w:r w:rsidRPr="0006178E">
        <w:rPr>
          <w:rFonts w:cs="Arial"/>
          <w:szCs w:val="22"/>
        </w:rPr>
        <w:t xml:space="preserve">Yes. As </w:t>
      </w:r>
      <w:r w:rsidR="0051361C">
        <w:rPr>
          <w:rFonts w:cs="Arial"/>
          <w:szCs w:val="22"/>
        </w:rPr>
        <w:t>provided by</w:t>
      </w:r>
      <w:r w:rsidRPr="0006178E">
        <w:rPr>
          <w:rFonts w:cs="Arial"/>
          <w:szCs w:val="22"/>
        </w:rPr>
        <w:t xml:space="preserve"> the Seventh Community Pharmacy Agreement, section 4.2, approved pharmacists can apply an additional </w:t>
      </w:r>
      <w:hyperlink r:id="rId20" w:history="1">
        <w:r w:rsidRPr="0006178E">
          <w:rPr>
            <w:rStyle w:val="Hyperlink"/>
            <w:rFonts w:cs="Arial"/>
            <w:szCs w:val="22"/>
          </w:rPr>
          <w:t>patient charge</w:t>
        </w:r>
      </w:hyperlink>
      <w:r w:rsidRPr="0006178E">
        <w:rPr>
          <w:rFonts w:cs="Arial"/>
          <w:szCs w:val="22"/>
        </w:rPr>
        <w:t xml:space="preserve"> </w:t>
      </w:r>
      <w:r w:rsidR="0051361C">
        <w:rPr>
          <w:rFonts w:cs="Arial"/>
          <w:szCs w:val="22"/>
        </w:rPr>
        <w:t>of</w:t>
      </w:r>
      <w:r w:rsidR="0051361C" w:rsidRPr="0006178E">
        <w:rPr>
          <w:rFonts w:cs="Arial"/>
          <w:szCs w:val="22"/>
        </w:rPr>
        <w:t xml:space="preserve"> </w:t>
      </w:r>
      <w:r w:rsidRPr="0006178E">
        <w:rPr>
          <w:rFonts w:cs="Arial"/>
          <w:szCs w:val="22"/>
        </w:rPr>
        <w:t xml:space="preserve">up to 10 per cent of the maximum </w:t>
      </w:r>
      <w:r w:rsidR="0051361C">
        <w:rPr>
          <w:rFonts w:cs="Arial"/>
          <w:szCs w:val="22"/>
        </w:rPr>
        <w:t>general</w:t>
      </w:r>
      <w:r w:rsidR="0051361C" w:rsidRPr="0006178E">
        <w:rPr>
          <w:rFonts w:cs="Arial"/>
          <w:szCs w:val="22"/>
        </w:rPr>
        <w:t xml:space="preserve"> </w:t>
      </w:r>
      <w:r w:rsidRPr="0006178E">
        <w:rPr>
          <w:rFonts w:cs="Arial"/>
          <w:szCs w:val="22"/>
        </w:rPr>
        <w:t xml:space="preserve">co-payment </w:t>
      </w:r>
      <w:r w:rsidR="00874C2D">
        <w:rPr>
          <w:rFonts w:cs="Arial"/>
          <w:szCs w:val="22"/>
        </w:rPr>
        <w:t xml:space="preserve">amount </w:t>
      </w:r>
      <w:r w:rsidRPr="0006178E">
        <w:rPr>
          <w:rFonts w:cs="Arial"/>
          <w:szCs w:val="22"/>
        </w:rPr>
        <w:t xml:space="preserve">plus 29 cents. Currently the maximum charge is $4.54, noting that the total sum charged to a patient may not exceed the maximum co-payment </w:t>
      </w:r>
      <w:r w:rsidR="0051361C">
        <w:rPr>
          <w:rFonts w:cs="Arial"/>
          <w:szCs w:val="22"/>
        </w:rPr>
        <w:t xml:space="preserve">amount </w:t>
      </w:r>
      <w:r w:rsidRPr="0006178E">
        <w:rPr>
          <w:rFonts w:cs="Arial"/>
          <w:szCs w:val="22"/>
        </w:rPr>
        <w:t xml:space="preserve">(currently $42.50). </w:t>
      </w:r>
    </w:p>
    <w:p w14:paraId="50C9C330" w14:textId="465814F1" w:rsidR="0006178E" w:rsidRPr="0006178E" w:rsidRDefault="0006178E" w:rsidP="0006178E">
      <w:pPr>
        <w:autoSpaceDE w:val="0"/>
        <w:autoSpaceDN w:val="0"/>
        <w:adjustRightInd w:val="0"/>
        <w:rPr>
          <w:rFonts w:cs="Arial"/>
          <w:szCs w:val="22"/>
        </w:rPr>
      </w:pPr>
      <w:r w:rsidRPr="0006178E">
        <w:rPr>
          <w:rFonts w:cs="Arial"/>
          <w:szCs w:val="22"/>
        </w:rPr>
        <w:t xml:space="preserve">With the reduction </w:t>
      </w:r>
      <w:r w:rsidR="0051361C">
        <w:rPr>
          <w:rFonts w:cs="Arial"/>
          <w:szCs w:val="22"/>
        </w:rPr>
        <w:t>of</w:t>
      </w:r>
      <w:r w:rsidRPr="0006178E">
        <w:rPr>
          <w:rFonts w:cs="Arial"/>
          <w:szCs w:val="22"/>
        </w:rPr>
        <w:t xml:space="preserve"> the general co-payment </w:t>
      </w:r>
      <w:r w:rsidR="0051361C">
        <w:rPr>
          <w:rFonts w:cs="Arial"/>
          <w:szCs w:val="22"/>
        </w:rPr>
        <w:t xml:space="preserve">amount to $30.00 </w:t>
      </w:r>
      <w:r w:rsidRPr="0006178E">
        <w:rPr>
          <w:rFonts w:cs="Arial"/>
          <w:szCs w:val="22"/>
        </w:rPr>
        <w:t>on 1 January 2023, the maximum additional patient charge will reduce to $3.29.</w:t>
      </w:r>
    </w:p>
    <w:p w14:paraId="5E769AF9" w14:textId="77777777" w:rsidR="009040E9" w:rsidRPr="009040E9" w:rsidRDefault="009040E9" w:rsidP="009040E9">
      <w:pPr>
        <w:pStyle w:val="Tabletextleft"/>
      </w:pPr>
    </w:p>
    <w:sectPr w:rsidR="009040E9" w:rsidRPr="009040E9" w:rsidSect="000D1307">
      <w:type w:val="continuous"/>
      <w:pgSz w:w="11906" w:h="16838" w:code="9"/>
      <w:pgMar w:top="1021" w:right="1021" w:bottom="1021" w:left="1021" w:header="1021" w:footer="709" w:gutter="0"/>
      <w:cols w:num="2"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7D2C" w14:textId="77777777" w:rsidR="00734B16" w:rsidRDefault="00734B16" w:rsidP="006B56BB">
      <w:r>
        <w:separator/>
      </w:r>
    </w:p>
    <w:p w14:paraId="5034FDE4" w14:textId="77777777" w:rsidR="00734B16" w:rsidRDefault="00734B16"/>
  </w:endnote>
  <w:endnote w:type="continuationSeparator" w:id="0">
    <w:p w14:paraId="500B983E" w14:textId="77777777" w:rsidR="00734B16" w:rsidRDefault="00734B16" w:rsidP="006B56BB">
      <w:r>
        <w:continuationSeparator/>
      </w:r>
    </w:p>
    <w:p w14:paraId="67DC6281" w14:textId="77777777" w:rsidR="00734B16" w:rsidRDefault="00734B16"/>
  </w:endnote>
  <w:endnote w:type="continuationNotice" w:id="1">
    <w:p w14:paraId="1EFAA5EE" w14:textId="77777777" w:rsidR="00734B16" w:rsidRDefault="00734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AEC2" w14:textId="77777777" w:rsidR="00B53987" w:rsidRDefault="006B6FED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A7F" w14:textId="77777777" w:rsidR="00B53987" w:rsidRDefault="006B6FED" w:rsidP="00B53987">
    <w:pPr>
      <w:pStyle w:val="Footer"/>
    </w:pP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71B0" w14:textId="77777777" w:rsidR="00734B16" w:rsidRDefault="00734B16" w:rsidP="006B56BB">
      <w:r>
        <w:separator/>
      </w:r>
    </w:p>
    <w:p w14:paraId="71FD4833" w14:textId="77777777" w:rsidR="00734B16" w:rsidRDefault="00734B16"/>
  </w:footnote>
  <w:footnote w:type="continuationSeparator" w:id="0">
    <w:p w14:paraId="33A4E61E" w14:textId="77777777" w:rsidR="00734B16" w:rsidRDefault="00734B16" w:rsidP="006B56BB">
      <w:r>
        <w:continuationSeparator/>
      </w:r>
    </w:p>
    <w:p w14:paraId="581CE935" w14:textId="77777777" w:rsidR="00734B16" w:rsidRDefault="00734B16"/>
  </w:footnote>
  <w:footnote w:type="continuationNotice" w:id="1">
    <w:p w14:paraId="69F5E6A8" w14:textId="77777777" w:rsidR="00734B16" w:rsidRDefault="00734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29FC" w14:textId="77777777" w:rsidR="008E0C77" w:rsidRDefault="00690081" w:rsidP="008E0C77">
    <w:pPr>
      <w:pStyle w:val="Headertext"/>
      <w:spacing w:after="18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33F5E7" wp14:editId="3DF4231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D82" w14:textId="77777777" w:rsidR="00690081" w:rsidRDefault="0069008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18462E" wp14:editId="7E4928B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9AE7" w14:textId="77777777" w:rsidR="000D1307" w:rsidRDefault="000D130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CD565A" wp14:editId="1F768A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942F" w14:textId="2DCD0E94" w:rsidR="000D1307" w:rsidRDefault="000D1307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EB51750" wp14:editId="69951FA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1DA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25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16235"/>
    <w:multiLevelType w:val="hybridMultilevel"/>
    <w:tmpl w:val="15C80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72D01"/>
    <w:multiLevelType w:val="hybridMultilevel"/>
    <w:tmpl w:val="9AA89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5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1"/>
  </w:num>
  <w:num w:numId="18">
    <w:abstractNumId w:val="12"/>
  </w:num>
  <w:num w:numId="19">
    <w:abstractNumId w:val="14"/>
  </w:num>
  <w:num w:numId="20">
    <w:abstractNumId w:val="11"/>
  </w:num>
  <w:num w:numId="21">
    <w:abstractNumId w:val="14"/>
  </w:num>
  <w:num w:numId="22">
    <w:abstractNumId w:val="20"/>
  </w:num>
  <w:num w:numId="23">
    <w:abstractNumId w:val="17"/>
  </w:num>
  <w:num w:numId="24">
    <w:abstractNumId w:val="19"/>
  </w:num>
  <w:num w:numId="25">
    <w:abstractNumId w:val="8"/>
  </w:num>
  <w:num w:numId="26">
    <w:abstractNumId w:val="16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1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178E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1307"/>
    <w:rsid w:val="000D21F6"/>
    <w:rsid w:val="000D4500"/>
    <w:rsid w:val="000D7AEA"/>
    <w:rsid w:val="000E067B"/>
    <w:rsid w:val="000E2C66"/>
    <w:rsid w:val="000E3C4B"/>
    <w:rsid w:val="000F123C"/>
    <w:rsid w:val="000F2FED"/>
    <w:rsid w:val="0010616D"/>
    <w:rsid w:val="00110478"/>
    <w:rsid w:val="0011711B"/>
    <w:rsid w:val="00117F8A"/>
    <w:rsid w:val="00121B9B"/>
    <w:rsid w:val="00122ADC"/>
    <w:rsid w:val="00124761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7F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0BDF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378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1C3D"/>
    <w:rsid w:val="003C2AC8"/>
    <w:rsid w:val="003D033A"/>
    <w:rsid w:val="003D17F9"/>
    <w:rsid w:val="003D2D88"/>
    <w:rsid w:val="003D41EA"/>
    <w:rsid w:val="003D4850"/>
    <w:rsid w:val="003D535A"/>
    <w:rsid w:val="003E5265"/>
    <w:rsid w:val="003F0811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BCD"/>
    <w:rsid w:val="004C6BCF"/>
    <w:rsid w:val="004D58BF"/>
    <w:rsid w:val="004E4335"/>
    <w:rsid w:val="004E5FBE"/>
    <w:rsid w:val="004F13EE"/>
    <w:rsid w:val="004F2022"/>
    <w:rsid w:val="004F7C05"/>
    <w:rsid w:val="00501C94"/>
    <w:rsid w:val="00506432"/>
    <w:rsid w:val="00506E82"/>
    <w:rsid w:val="0051361C"/>
    <w:rsid w:val="0052051D"/>
    <w:rsid w:val="00545EE6"/>
    <w:rsid w:val="005550E7"/>
    <w:rsid w:val="005564FB"/>
    <w:rsid w:val="005572C7"/>
    <w:rsid w:val="005650ED"/>
    <w:rsid w:val="0057046F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90081"/>
    <w:rsid w:val="006A5706"/>
    <w:rsid w:val="006B2286"/>
    <w:rsid w:val="006B56BB"/>
    <w:rsid w:val="006B6FED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1700"/>
    <w:rsid w:val="007263B9"/>
    <w:rsid w:val="007334F8"/>
    <w:rsid w:val="007339CD"/>
    <w:rsid w:val="007343F9"/>
    <w:rsid w:val="00734B16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346B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1755B"/>
    <w:rsid w:val="0082246B"/>
    <w:rsid w:val="008264EB"/>
    <w:rsid w:val="00826B8F"/>
    <w:rsid w:val="00831E8A"/>
    <w:rsid w:val="00835124"/>
    <w:rsid w:val="00835C76"/>
    <w:rsid w:val="008376E2"/>
    <w:rsid w:val="00843049"/>
    <w:rsid w:val="00845600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74C2D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09B7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504F"/>
    <w:rsid w:val="00C971DC"/>
    <w:rsid w:val="00CA1114"/>
    <w:rsid w:val="00CA16B7"/>
    <w:rsid w:val="00CA62AE"/>
    <w:rsid w:val="00CB5B1A"/>
    <w:rsid w:val="00CB7D4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35F09"/>
    <w:rsid w:val="00D401E1"/>
    <w:rsid w:val="00D408B4"/>
    <w:rsid w:val="00D44330"/>
    <w:rsid w:val="00D524C8"/>
    <w:rsid w:val="00D57B43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1D5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65A81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1D9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58883C"/>
  <w15:docId w15:val="{2814CA2B-1A06-4C04-A063-AB98292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D1307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4E5FBE"/>
    <w:pPr>
      <w:keepNext/>
      <w:spacing w:before="240" w:after="60"/>
      <w:outlineLvl w:val="0"/>
    </w:pPr>
    <w:rPr>
      <w:rFonts w:ascii="Arial" w:hAnsi="Arial" w:cs="Arial"/>
      <w:b/>
      <w:bCs/>
      <w:color w:val="00539F"/>
      <w:kern w:val="28"/>
      <w:sz w:val="22"/>
      <w:szCs w:val="36"/>
      <w:lang w:eastAsia="en-US"/>
    </w:rPr>
  </w:style>
  <w:style w:type="paragraph" w:styleId="Heading2">
    <w:name w:val="heading 2"/>
    <w:next w:val="Normal"/>
    <w:qFormat/>
    <w:rsid w:val="004E5FBE"/>
    <w:pPr>
      <w:keepNext/>
      <w:spacing w:before="240" w:after="60"/>
      <w:outlineLvl w:val="1"/>
    </w:pPr>
    <w:rPr>
      <w:rFonts w:ascii="Arial" w:hAnsi="Arial" w:cs="Arial"/>
      <w:bCs/>
      <w:iCs/>
      <w:color w:val="00539F"/>
      <w:sz w:val="22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90081"/>
    <w:pPr>
      <w:spacing w:before="80" w:after="480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90081"/>
    <w:rPr>
      <w:rFonts w:ascii="Arial" w:hAnsi="Arial"/>
      <w:color w:val="000000" w:themeColor="text1"/>
      <w:sz w:val="32"/>
      <w:szCs w:val="32"/>
      <w:lang w:eastAsia="en-US"/>
    </w:rPr>
  </w:style>
  <w:style w:type="paragraph" w:styleId="Title">
    <w:name w:val="Title"/>
    <w:next w:val="Normal"/>
    <w:link w:val="TitleChar"/>
    <w:qFormat/>
    <w:rsid w:val="004E5FBE"/>
    <w:pPr>
      <w:spacing w:before="1800"/>
      <w:contextualSpacing/>
    </w:pPr>
    <w:rPr>
      <w:rFonts w:ascii="Arial" w:eastAsiaTheme="majorEastAsia" w:hAnsi="Arial" w:cstheme="majorBidi"/>
      <w:b/>
      <w:color w:val="000000" w:themeColor="text1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4E5FBE"/>
    <w:rPr>
      <w:rFonts w:ascii="Arial" w:eastAsiaTheme="majorEastAsia" w:hAnsi="Arial" w:cstheme="majorBidi"/>
      <w:b/>
      <w:color w:val="000000" w:themeColor="text1"/>
      <w:kern w:val="28"/>
      <w:sz w:val="32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06178E"/>
    <w:rPr>
      <w:rFonts w:ascii="Arial" w:hAnsi="Arial" w:cstheme="minorHAnsi"/>
      <w:sz w:val="22"/>
      <w:szCs w:val="22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06178E"/>
    <w:pPr>
      <w:spacing w:line="240" w:lineRule="auto"/>
    </w:pPr>
    <w:rPr>
      <w:rFonts w:cstheme="minorHAnsi"/>
      <w:color w:val="auto"/>
      <w:szCs w:val="22"/>
      <w:lang w:eastAsia="en-AU"/>
    </w:rPr>
  </w:style>
  <w:style w:type="character" w:styleId="CommentReference">
    <w:name w:val="annotation reference"/>
    <w:basedOn w:val="DefaultParagraphFont"/>
    <w:semiHidden/>
    <w:unhideWhenUsed/>
    <w:rsid w:val="00FD61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6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61D9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61D9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874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bs.gov.au/info/publication/factsheets/closing-the-gap-pbs-co-payment-measure" TargetMode="External"/><Relationship Id="rId20" Type="http://schemas.openxmlformats.org/officeDocument/2006/relationships/hyperlink" Target="https://www.pbs.gov.au/info/healthpro/explanatory-notes/front/f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bs.gov.au/info/general/safety-net-faq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bs.gov.au/info/healthpro/explanatory-notes/front/f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4.xml><?xml version="1.0" encoding="utf-8"?>
<ds:datastoreItem xmlns:ds="http://schemas.openxmlformats.org/officeDocument/2006/customXml" ds:itemID="{72C85FCF-029E-4E52-9DF5-4D1E9E41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1068</Words>
  <Characters>6205</Characters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 template</vt:lpstr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2022-12-21T01:19:00Z</dcterms:created>
  <dcterms:modified xsi:type="dcterms:W3CDTF">2022-12-21T01:19:00Z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</Properties>
</file>