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6C59" w14:textId="2CD989A4" w:rsidR="00BA2732" w:rsidRPr="0043446B" w:rsidRDefault="00646643" w:rsidP="003D033A">
      <w:pPr>
        <w:pStyle w:val="Title"/>
        <w:rPr>
          <w:sz w:val="28"/>
          <w:szCs w:val="28"/>
        </w:rPr>
      </w:pPr>
      <w:r w:rsidRPr="0043446B">
        <w:rPr>
          <w:sz w:val="28"/>
          <w:szCs w:val="28"/>
        </w:rPr>
        <w:t>O</w:t>
      </w:r>
      <w:r w:rsidR="00431C89" w:rsidRPr="0043446B">
        <w:rPr>
          <w:sz w:val="28"/>
          <w:szCs w:val="28"/>
        </w:rPr>
        <w:t xml:space="preserve">pioid </w:t>
      </w:r>
      <w:r w:rsidR="00491CC5" w:rsidRPr="0043446B">
        <w:rPr>
          <w:sz w:val="28"/>
          <w:szCs w:val="28"/>
        </w:rPr>
        <w:t>d</w:t>
      </w:r>
      <w:r w:rsidR="00431C89" w:rsidRPr="0043446B">
        <w:rPr>
          <w:sz w:val="28"/>
          <w:szCs w:val="28"/>
        </w:rPr>
        <w:t xml:space="preserve">ependence </w:t>
      </w:r>
      <w:r w:rsidR="00491CC5" w:rsidRPr="0043446B">
        <w:rPr>
          <w:sz w:val="28"/>
          <w:szCs w:val="28"/>
        </w:rPr>
        <w:t>t</w:t>
      </w:r>
      <w:r w:rsidR="00431C89" w:rsidRPr="0043446B">
        <w:rPr>
          <w:sz w:val="28"/>
          <w:szCs w:val="28"/>
        </w:rPr>
        <w:t xml:space="preserve">reatment </w:t>
      </w:r>
      <w:r w:rsidRPr="0043446B">
        <w:rPr>
          <w:sz w:val="28"/>
          <w:szCs w:val="28"/>
        </w:rPr>
        <w:t>medicines</w:t>
      </w:r>
      <w:r w:rsidR="0043446B">
        <w:rPr>
          <w:sz w:val="28"/>
          <w:szCs w:val="28"/>
        </w:rPr>
        <w:t xml:space="preserve"> - t</w:t>
      </w:r>
      <w:r w:rsidR="00E24CAC" w:rsidRPr="0043446B">
        <w:rPr>
          <w:sz w:val="28"/>
          <w:szCs w:val="28"/>
        </w:rPr>
        <w:t>ransition</w:t>
      </w:r>
      <w:r w:rsidR="00E175BF">
        <w:rPr>
          <w:sz w:val="28"/>
          <w:szCs w:val="28"/>
        </w:rPr>
        <w:t>al</w:t>
      </w:r>
      <w:r w:rsidR="00E24CAC" w:rsidRPr="0043446B">
        <w:rPr>
          <w:sz w:val="28"/>
          <w:szCs w:val="28"/>
        </w:rPr>
        <w:t xml:space="preserve"> arrangements for private clinics and non-PBS dosing sites</w:t>
      </w:r>
    </w:p>
    <w:p w14:paraId="47C1DBB0" w14:textId="16A62512" w:rsidR="0023395E" w:rsidRPr="0043446B" w:rsidRDefault="00C2207E" w:rsidP="00382880">
      <w:pPr>
        <w:pStyle w:val="Heading2"/>
        <w:spacing w:before="120" w:after="120"/>
        <w:rPr>
          <w:sz w:val="24"/>
          <w:szCs w:val="24"/>
        </w:rPr>
      </w:pPr>
      <w:r w:rsidRPr="0043446B">
        <w:rPr>
          <w:sz w:val="24"/>
          <w:szCs w:val="24"/>
        </w:rPr>
        <w:t>Overview</w:t>
      </w:r>
    </w:p>
    <w:p w14:paraId="5AAC62D1" w14:textId="67BA6D8D" w:rsidR="007F25E6" w:rsidRPr="00E24CAC" w:rsidRDefault="00F16431" w:rsidP="00B44A50">
      <w:pPr>
        <w:pStyle w:val="ListBullet"/>
        <w:numPr>
          <w:ilvl w:val="0"/>
          <w:numId w:val="0"/>
        </w:numPr>
        <w:jc w:val="both"/>
        <w:rPr>
          <w:rFonts w:cs="Arial"/>
          <w:szCs w:val="22"/>
        </w:rPr>
      </w:pPr>
      <w:r>
        <w:rPr>
          <w:rFonts w:cs="Arial"/>
          <w:color w:val="222222"/>
          <w:szCs w:val="22"/>
          <w:shd w:val="clear" w:color="auto" w:fill="FFFFFF"/>
        </w:rPr>
        <w:t xml:space="preserve">As of </w:t>
      </w:r>
      <w:r w:rsidR="00450297">
        <w:rPr>
          <w:rFonts w:cs="Arial"/>
          <w:color w:val="222222"/>
          <w:szCs w:val="22"/>
          <w:shd w:val="clear" w:color="auto" w:fill="FFFFFF"/>
        </w:rPr>
        <w:t>1 July 2023, p</w:t>
      </w:r>
      <w:r w:rsidR="00450297" w:rsidRPr="00450297">
        <w:rPr>
          <w:rFonts w:cs="Arial"/>
          <w:color w:val="222222"/>
          <w:szCs w:val="22"/>
          <w:shd w:val="clear" w:color="auto" w:fill="FFFFFF"/>
        </w:rPr>
        <w:t xml:space="preserve">atients access the </w:t>
      </w:r>
      <w:hyperlink r:id="rId14" w:history="1">
        <w:r w:rsidR="0043446B">
          <w:rPr>
            <w:rStyle w:val="Hyperlink"/>
            <w:rFonts w:cs="Arial"/>
            <w:szCs w:val="22"/>
            <w:shd w:val="clear" w:color="auto" w:fill="FFFFFF"/>
          </w:rPr>
          <w:t>opioid dependence treatment (O</w:t>
        </w:r>
        <w:r w:rsidR="00450297" w:rsidRPr="00CC7B8F">
          <w:rPr>
            <w:rStyle w:val="Hyperlink"/>
            <w:rFonts w:cs="Arial"/>
            <w:szCs w:val="22"/>
            <w:shd w:val="clear" w:color="auto" w:fill="FFFFFF"/>
          </w:rPr>
          <w:t>DT</w:t>
        </w:r>
        <w:r w:rsidR="0043446B">
          <w:rPr>
            <w:rStyle w:val="Hyperlink"/>
            <w:rFonts w:cs="Arial"/>
            <w:szCs w:val="22"/>
            <w:shd w:val="clear" w:color="auto" w:fill="FFFFFF"/>
          </w:rPr>
          <w:t>)</w:t>
        </w:r>
        <w:r w:rsidR="00450297" w:rsidRPr="00CC7B8F">
          <w:rPr>
            <w:rStyle w:val="Hyperlink"/>
            <w:rFonts w:cs="Arial"/>
            <w:szCs w:val="22"/>
            <w:shd w:val="clear" w:color="auto" w:fill="FFFFFF"/>
          </w:rPr>
          <w:t xml:space="preserve"> medicines</w:t>
        </w:r>
      </w:hyperlink>
      <w:r w:rsidR="00450297" w:rsidRPr="00450297">
        <w:rPr>
          <w:rFonts w:cs="Arial"/>
          <w:color w:val="222222"/>
          <w:szCs w:val="22"/>
          <w:shd w:val="clear" w:color="auto" w:fill="FFFFFF"/>
        </w:rPr>
        <w:t xml:space="preserve"> they need on the P</w:t>
      </w:r>
      <w:r w:rsidR="00B44A50">
        <w:rPr>
          <w:rFonts w:cs="Arial"/>
          <w:color w:val="222222"/>
          <w:szCs w:val="22"/>
          <w:shd w:val="clear" w:color="auto" w:fill="FFFFFF"/>
        </w:rPr>
        <w:t xml:space="preserve">harmaceutical </w:t>
      </w:r>
      <w:r w:rsidR="00450297" w:rsidRPr="00450297">
        <w:rPr>
          <w:rFonts w:cs="Arial"/>
          <w:color w:val="222222"/>
          <w:szCs w:val="22"/>
          <w:shd w:val="clear" w:color="auto" w:fill="FFFFFF"/>
        </w:rPr>
        <w:t>B</w:t>
      </w:r>
      <w:r w:rsidR="00B44A50">
        <w:rPr>
          <w:rFonts w:cs="Arial"/>
          <w:color w:val="222222"/>
          <w:szCs w:val="22"/>
          <w:shd w:val="clear" w:color="auto" w:fill="FFFFFF"/>
        </w:rPr>
        <w:t xml:space="preserve">enefits </w:t>
      </w:r>
      <w:r w:rsidR="00450297" w:rsidRPr="00450297">
        <w:rPr>
          <w:rFonts w:cs="Arial"/>
          <w:color w:val="222222"/>
          <w:szCs w:val="22"/>
          <w:shd w:val="clear" w:color="auto" w:fill="FFFFFF"/>
        </w:rPr>
        <w:t>S</w:t>
      </w:r>
      <w:r w:rsidR="00B44A50">
        <w:rPr>
          <w:rFonts w:cs="Arial"/>
          <w:color w:val="222222"/>
          <w:szCs w:val="22"/>
          <w:shd w:val="clear" w:color="auto" w:fill="FFFFFF"/>
        </w:rPr>
        <w:t>cheme (PBS)</w:t>
      </w:r>
      <w:r w:rsidR="00450297" w:rsidRPr="00450297">
        <w:rPr>
          <w:rFonts w:cs="Arial"/>
          <w:color w:val="222222"/>
          <w:szCs w:val="22"/>
          <w:shd w:val="clear" w:color="auto" w:fill="FFFFFF"/>
        </w:rPr>
        <w:t xml:space="preserve"> through PBS approved pharmacies under the </w:t>
      </w:r>
      <w:hyperlink r:id="rId15" w:tooltip="Highly Specialised Drugs (HSD) Program" w:history="1">
        <w:r w:rsidR="00450297" w:rsidRPr="00B8245F">
          <w:rPr>
            <w:rStyle w:val="Hyperlink"/>
            <w:rFonts w:cs="Arial"/>
            <w:szCs w:val="22"/>
            <w:shd w:val="clear" w:color="auto" w:fill="FFFFFF"/>
          </w:rPr>
          <w:t>Section 100 </w:t>
        </w:r>
        <w:r w:rsidR="00450297" w:rsidRPr="00B8245F">
          <w:rPr>
            <w:rStyle w:val="Hyperlink"/>
            <w:rFonts w:cs="Arial"/>
            <w:szCs w:val="22"/>
          </w:rPr>
          <w:t>Highly Specialised Drugs (HSD) Program</w:t>
        </w:r>
        <w:r w:rsidR="00450297" w:rsidRPr="00B8245F">
          <w:rPr>
            <w:rStyle w:val="Hyperlink"/>
            <w:rFonts w:cs="Arial"/>
            <w:szCs w:val="22"/>
            <w:shd w:val="clear" w:color="auto" w:fill="FFFFFF"/>
          </w:rPr>
          <w:t> (Community Access) arrangements</w:t>
        </w:r>
      </w:hyperlink>
      <w:r w:rsidR="00535F03">
        <w:rPr>
          <w:rFonts w:cs="Arial"/>
          <w:color w:val="222222"/>
          <w:szCs w:val="22"/>
          <w:shd w:val="clear" w:color="auto" w:fill="FFFFFF"/>
        </w:rPr>
        <w:t xml:space="preserve">. </w:t>
      </w:r>
    </w:p>
    <w:p w14:paraId="69C891E8" w14:textId="78B68AE8" w:rsidR="0043446B" w:rsidRPr="0043446B" w:rsidRDefault="0043446B" w:rsidP="00B44A50">
      <w:pPr>
        <w:jc w:val="both"/>
      </w:pPr>
      <w:r w:rsidRPr="0043446B">
        <w:t xml:space="preserve">All existing clinics continue to be able to treat and provide clinical services to patients if authorised by states and territories, including services rebated under the Medicare Benefits Schedule. PBS prescribers (medical practitioners and nurse practitioners) </w:t>
      </w:r>
      <w:r w:rsidR="00B44A50">
        <w:t>can</w:t>
      </w:r>
      <w:r w:rsidRPr="0043446B">
        <w:t xml:space="preserve"> prescribe ODT medicines, but they </w:t>
      </w:r>
      <w:r w:rsidR="00B44A50">
        <w:t>cannot</w:t>
      </w:r>
      <w:r w:rsidRPr="0043446B">
        <w:t xml:space="preserve"> dispense medicines under the PBS Section 100 HSD Program. Under the </w:t>
      </w:r>
      <w:r w:rsidRPr="0043446B">
        <w:rPr>
          <w:i/>
          <w:iCs/>
        </w:rPr>
        <w:t>National Health Act 1953</w:t>
      </w:r>
      <w:r w:rsidRPr="0043446B">
        <w:t>, only approved pharmacies can dispense PBS medicines.</w:t>
      </w:r>
    </w:p>
    <w:p w14:paraId="4B96106E" w14:textId="524F73C9" w:rsidR="0043446B" w:rsidRPr="0043446B" w:rsidRDefault="0043446B" w:rsidP="00B44A50">
      <w:pPr>
        <w:pStyle w:val="Heading2"/>
        <w:spacing w:before="120" w:after="120"/>
        <w:jc w:val="both"/>
        <w:rPr>
          <w:sz w:val="24"/>
          <w:szCs w:val="24"/>
        </w:rPr>
      </w:pPr>
      <w:r w:rsidRPr="0043446B">
        <w:rPr>
          <w:sz w:val="24"/>
          <w:szCs w:val="24"/>
        </w:rPr>
        <w:t>Transition</w:t>
      </w:r>
      <w:r w:rsidR="009D041F">
        <w:rPr>
          <w:sz w:val="24"/>
          <w:szCs w:val="24"/>
        </w:rPr>
        <w:t>al</w:t>
      </w:r>
      <w:r w:rsidRPr="0043446B">
        <w:rPr>
          <w:sz w:val="24"/>
          <w:szCs w:val="24"/>
        </w:rPr>
        <w:t xml:space="preserve"> arrangements </w:t>
      </w:r>
    </w:p>
    <w:p w14:paraId="1EE041C2" w14:textId="77777777" w:rsidR="009D041F" w:rsidRDefault="009D041F" w:rsidP="00657B07">
      <w:pPr>
        <w:pStyle w:val="ListBullet"/>
        <w:numPr>
          <w:ilvl w:val="0"/>
          <w:numId w:val="0"/>
        </w:numPr>
        <w:rPr>
          <w:szCs w:val="22"/>
        </w:rPr>
      </w:pPr>
      <w:r>
        <w:rPr>
          <w:szCs w:val="22"/>
        </w:rPr>
        <w:t xml:space="preserve">The ODT transitional arrangements ended on 30 June 2024 and all Australian Government subsidised ODT medicines are supplied through the PBS. </w:t>
      </w:r>
    </w:p>
    <w:p w14:paraId="132FD325" w14:textId="784F0109" w:rsidR="00E932C4" w:rsidRPr="00B10FA3" w:rsidRDefault="00B44A50" w:rsidP="00B44A50">
      <w:pPr>
        <w:autoSpaceDE w:val="0"/>
        <w:autoSpaceDN w:val="0"/>
        <w:adjustRightInd w:val="0"/>
        <w:spacing w:before="0" w:after="0" w:line="240" w:lineRule="auto"/>
        <w:jc w:val="both"/>
        <w:rPr>
          <w:rFonts w:cs="Arial"/>
          <w:color w:val="auto"/>
          <w:szCs w:val="22"/>
          <w:lang w:eastAsia="en-AU"/>
        </w:rPr>
      </w:pPr>
      <w:r>
        <w:rPr>
          <w:rFonts w:cs="Arial"/>
          <w:color w:val="000000"/>
          <w:szCs w:val="22"/>
          <w:lang w:eastAsia="en-AU"/>
        </w:rPr>
        <w:t xml:space="preserve">The </w:t>
      </w:r>
      <w:r w:rsidRPr="00B10FA3">
        <w:rPr>
          <w:rFonts w:cs="Arial"/>
          <w:color w:val="000000"/>
          <w:szCs w:val="22"/>
          <w:lang w:eastAsia="en-AU"/>
        </w:rPr>
        <w:t xml:space="preserve">Australian Government </w:t>
      </w:r>
      <w:r w:rsidR="00E932C4" w:rsidRPr="00B10FA3">
        <w:rPr>
          <w:rFonts w:cs="Arial"/>
          <w:color w:val="000000"/>
          <w:szCs w:val="22"/>
          <w:lang w:eastAsia="en-AU"/>
        </w:rPr>
        <w:t>continue</w:t>
      </w:r>
      <w:r w:rsidR="00DB0B8C">
        <w:rPr>
          <w:rFonts w:cs="Arial"/>
          <w:color w:val="000000"/>
          <w:szCs w:val="22"/>
          <w:lang w:eastAsia="en-AU"/>
        </w:rPr>
        <w:t>d</w:t>
      </w:r>
      <w:r w:rsidR="00E932C4" w:rsidRPr="00B10FA3">
        <w:rPr>
          <w:rFonts w:cs="Arial"/>
          <w:color w:val="000000"/>
          <w:szCs w:val="22"/>
          <w:lang w:eastAsia="en-AU"/>
        </w:rPr>
        <w:t xml:space="preserve"> to pay pharmaceutical companies directly for ODT medicines supplied to </w:t>
      </w:r>
      <w:r w:rsidR="00BD1961" w:rsidRPr="00B10FA3">
        <w:rPr>
          <w:rFonts w:cs="Arial"/>
          <w:color w:val="000000"/>
          <w:szCs w:val="22"/>
          <w:lang w:eastAsia="en-AU"/>
        </w:rPr>
        <w:t>authorised</w:t>
      </w:r>
      <w:r w:rsidR="008C6D9A" w:rsidRPr="00B10FA3">
        <w:rPr>
          <w:rFonts w:cs="Arial"/>
          <w:color w:val="000000"/>
          <w:szCs w:val="22"/>
          <w:lang w:eastAsia="en-AU"/>
        </w:rPr>
        <w:t xml:space="preserve"> </w:t>
      </w:r>
      <w:r w:rsidR="00E932C4" w:rsidRPr="00B10FA3">
        <w:rPr>
          <w:rFonts w:cs="Arial"/>
          <w:color w:val="000000"/>
          <w:szCs w:val="22"/>
          <w:lang w:eastAsia="en-AU"/>
        </w:rPr>
        <w:t>private ODT clinics and other non-PBS dosing sites</w:t>
      </w:r>
      <w:r w:rsidR="0006712E" w:rsidRPr="00B10FA3">
        <w:rPr>
          <w:rFonts w:cs="Arial"/>
          <w:color w:val="000000"/>
          <w:szCs w:val="22"/>
          <w:lang w:eastAsia="en-AU"/>
        </w:rPr>
        <w:t xml:space="preserve"> (including GP clinics)</w:t>
      </w:r>
      <w:r w:rsidR="00E932C4" w:rsidRPr="00B10FA3">
        <w:rPr>
          <w:rFonts w:cs="Arial"/>
          <w:color w:val="000000"/>
          <w:szCs w:val="22"/>
          <w:lang w:eastAsia="en-AU"/>
        </w:rPr>
        <w:t xml:space="preserve"> </w:t>
      </w:r>
      <w:r w:rsidRPr="00B10FA3">
        <w:rPr>
          <w:rFonts w:cs="Arial"/>
          <w:color w:val="000000"/>
          <w:szCs w:val="22"/>
          <w:lang w:eastAsia="en-AU"/>
        </w:rPr>
        <w:t xml:space="preserve">for a transition period </w:t>
      </w:r>
      <w:r w:rsidR="00DB0B8C">
        <w:rPr>
          <w:rFonts w:cs="Arial"/>
          <w:color w:val="000000"/>
          <w:szCs w:val="22"/>
          <w:lang w:eastAsia="en-AU"/>
        </w:rPr>
        <w:t xml:space="preserve">of 1 July 2023 </w:t>
      </w:r>
      <w:r w:rsidRPr="00B10FA3">
        <w:rPr>
          <w:rFonts w:cs="Arial"/>
          <w:color w:val="000000"/>
          <w:szCs w:val="22"/>
          <w:lang w:eastAsia="en-AU"/>
        </w:rPr>
        <w:t xml:space="preserve">to </w:t>
      </w:r>
      <w:r w:rsidR="00E932C4" w:rsidRPr="00B10FA3">
        <w:rPr>
          <w:rFonts w:cs="Arial"/>
          <w:color w:val="000000"/>
          <w:szCs w:val="22"/>
          <w:lang w:eastAsia="en-AU"/>
        </w:rPr>
        <w:t xml:space="preserve">30 June 2024. </w:t>
      </w:r>
    </w:p>
    <w:p w14:paraId="6161C329" w14:textId="1AB63D12" w:rsidR="0043446B" w:rsidRPr="00B10FA3" w:rsidRDefault="00DB0B8C" w:rsidP="00B44A50">
      <w:pPr>
        <w:jc w:val="both"/>
      </w:pPr>
      <w:r>
        <w:t>During this time p</w:t>
      </w:r>
      <w:r w:rsidR="0043446B" w:rsidRPr="00B10FA3">
        <w:t xml:space="preserve">rivate clinics and non-PBS dosing sites </w:t>
      </w:r>
      <w:r w:rsidR="009D041F">
        <w:t xml:space="preserve">authorised by their state or territory </w:t>
      </w:r>
      <w:r w:rsidR="0043446B" w:rsidRPr="00B10FA3">
        <w:t>c</w:t>
      </w:r>
      <w:r w:rsidR="00876449">
        <w:t>ould</w:t>
      </w:r>
      <w:r w:rsidR="0043446B" w:rsidRPr="00B10FA3">
        <w:t xml:space="preserve"> continue to order directly from the pharmaceutical </w:t>
      </w:r>
      <w:r w:rsidR="007D3523" w:rsidRPr="00B10FA3">
        <w:t>wholesaler/</w:t>
      </w:r>
      <w:r w:rsidR="0043446B" w:rsidRPr="00B10FA3">
        <w:t xml:space="preserve">distributor and receive stock at no cost </w:t>
      </w:r>
      <w:r w:rsidR="00876449">
        <w:t xml:space="preserve">as long as </w:t>
      </w:r>
      <w:r w:rsidR="00C740F6">
        <w:t>the stock</w:t>
      </w:r>
      <w:r w:rsidR="00876449">
        <w:t xml:space="preserve"> was supplied </w:t>
      </w:r>
      <w:r>
        <w:t>on or before</w:t>
      </w:r>
      <w:r w:rsidR="00876449">
        <w:t xml:space="preserve"> </w:t>
      </w:r>
      <w:r w:rsidR="0043446B" w:rsidRPr="00B10FA3">
        <w:t xml:space="preserve">30 </w:t>
      </w:r>
      <w:r w:rsidR="00E932C4" w:rsidRPr="00B10FA3">
        <w:t xml:space="preserve">June </w:t>
      </w:r>
      <w:r w:rsidR="0043446B" w:rsidRPr="00B10FA3">
        <w:t>202</w:t>
      </w:r>
      <w:r w:rsidR="00E932C4" w:rsidRPr="00B10FA3">
        <w:t>4</w:t>
      </w:r>
      <w:r w:rsidR="0043446B" w:rsidRPr="00B10FA3">
        <w:t xml:space="preserve">. </w:t>
      </w:r>
    </w:p>
    <w:p w14:paraId="2C8F4BF7" w14:textId="675F65BC" w:rsidR="007D3523" w:rsidRPr="00B10FA3" w:rsidRDefault="00B44A50" w:rsidP="00B44A50">
      <w:pPr>
        <w:jc w:val="both"/>
      </w:pPr>
      <w:r w:rsidRPr="00B10FA3">
        <w:t>These transition</w:t>
      </w:r>
      <w:r w:rsidR="00E15128">
        <w:t>al</w:t>
      </w:r>
      <w:r w:rsidRPr="00B10FA3">
        <w:t xml:space="preserve"> arrangements</w:t>
      </w:r>
      <w:r w:rsidR="00443A44" w:rsidRPr="00B10FA3">
        <w:t xml:space="preserve"> allow</w:t>
      </w:r>
      <w:r w:rsidR="00876449">
        <w:t>ed</w:t>
      </w:r>
      <w:r w:rsidR="0043446B" w:rsidRPr="00B10FA3">
        <w:t xml:space="preserve"> state and territory governments</w:t>
      </w:r>
      <w:r w:rsidRPr="00B10FA3">
        <w:t xml:space="preserve"> time</w:t>
      </w:r>
      <w:r w:rsidR="0043446B" w:rsidRPr="00B10FA3">
        <w:t xml:space="preserve"> </w:t>
      </w:r>
      <w:r w:rsidR="00443A44" w:rsidRPr="00B10FA3">
        <w:t xml:space="preserve">to </w:t>
      </w:r>
      <w:r w:rsidR="0043446B" w:rsidRPr="00B10FA3">
        <w:t xml:space="preserve">work </w:t>
      </w:r>
      <w:r w:rsidR="00443A44" w:rsidRPr="00B10FA3">
        <w:t xml:space="preserve">with </w:t>
      </w:r>
      <w:r w:rsidR="00FF69FA" w:rsidRPr="00B10FA3">
        <w:t>non-PBS dosing</w:t>
      </w:r>
      <w:r w:rsidR="0043446B" w:rsidRPr="00B10FA3">
        <w:t xml:space="preserve"> sites to transition patients to a PBS approved community pharmacy </w:t>
      </w:r>
      <w:r w:rsidR="00FF69FA" w:rsidRPr="00B10FA3">
        <w:t>or make other arrangements</w:t>
      </w:r>
      <w:r w:rsidR="007D3523" w:rsidRPr="00B10FA3">
        <w:t xml:space="preserve">. </w:t>
      </w:r>
    </w:p>
    <w:p w14:paraId="2C888862" w14:textId="03F278C5" w:rsidR="004F69CF" w:rsidRPr="002B6879" w:rsidRDefault="00B1738B" w:rsidP="00B44A50">
      <w:pPr>
        <w:jc w:val="both"/>
      </w:pPr>
      <w:r>
        <w:t>T</w:t>
      </w:r>
      <w:r w:rsidRPr="004037CD">
        <w:t>hese transition</w:t>
      </w:r>
      <w:r w:rsidR="00E15128">
        <w:t>al</w:t>
      </w:r>
      <w:r w:rsidRPr="004037CD">
        <w:t xml:space="preserve"> arrangements d</w:t>
      </w:r>
      <w:r w:rsidR="00876449">
        <w:t>id</w:t>
      </w:r>
      <w:r w:rsidRPr="004037CD">
        <w:t xml:space="preserve"> not apply to </w:t>
      </w:r>
      <w:r w:rsidR="0087033D">
        <w:t>PBS approved</w:t>
      </w:r>
      <w:r w:rsidRPr="004037CD">
        <w:t xml:space="preserve"> community or hospital pharmacies who </w:t>
      </w:r>
      <w:r w:rsidR="00E932C4">
        <w:t>must</w:t>
      </w:r>
      <w:r w:rsidR="00E932C4" w:rsidRPr="004037CD">
        <w:t xml:space="preserve"> </w:t>
      </w:r>
      <w:r w:rsidRPr="004037CD">
        <w:t>supply ODT medicines to their patients under the PBS arrangements.</w:t>
      </w:r>
      <w:r>
        <w:t xml:space="preserve"> </w:t>
      </w:r>
    </w:p>
    <w:sectPr w:rsidR="004F69CF" w:rsidRPr="002B6879" w:rsidSect="00A52814">
      <w:headerReference w:type="default" r:id="rId16"/>
      <w:footerReference w:type="default" r:id="rId17"/>
      <w:headerReference w:type="first" r:id="rId18"/>
      <w:footerReference w:type="first" r:id="rId19"/>
      <w:type w:val="continuous"/>
      <w:pgSz w:w="11906" w:h="16838"/>
      <w:pgMar w:top="1701" w:right="1418"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75BA9" w14:textId="77777777" w:rsidR="0089326E" w:rsidRDefault="0089326E" w:rsidP="006B56BB">
      <w:r>
        <w:separator/>
      </w:r>
    </w:p>
    <w:p w14:paraId="66F4169E" w14:textId="77777777" w:rsidR="0089326E" w:rsidRDefault="0089326E"/>
  </w:endnote>
  <w:endnote w:type="continuationSeparator" w:id="0">
    <w:p w14:paraId="5AC07EDE" w14:textId="77777777" w:rsidR="0089326E" w:rsidRDefault="0089326E" w:rsidP="006B56BB">
      <w:r>
        <w:continuationSeparator/>
      </w:r>
    </w:p>
    <w:p w14:paraId="25D002FC" w14:textId="77777777" w:rsidR="0089326E" w:rsidRDefault="0089326E"/>
  </w:endnote>
  <w:endnote w:type="continuationNotice" w:id="1">
    <w:p w14:paraId="3DF49585" w14:textId="77777777" w:rsidR="0089326E" w:rsidRDefault="00893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9A6C" w14:textId="4D0D37CA" w:rsidR="00820CF4" w:rsidRDefault="00407541" w:rsidP="00407541">
    <w:pPr>
      <w:pStyle w:val="Footer"/>
      <w:ind w:right="400"/>
      <w:jc w:val="left"/>
    </w:pPr>
    <w:r>
      <w:t xml:space="preserve">ODT transitional arrangements for </w:t>
    </w:r>
    <w:r w:rsidR="0006712E" w:rsidRPr="00B10FA3">
      <w:rPr>
        <w:highlight w:val="cyan"/>
      </w:rPr>
      <w:t>private clinics and</w:t>
    </w:r>
    <w:r w:rsidR="0006712E">
      <w:t xml:space="preserve"> </w:t>
    </w:r>
    <w:r>
      <w:t xml:space="preserve">non-PBS approved dosing sites - </w:t>
    </w:r>
    <w:r w:rsidR="0006712E" w:rsidRPr="00B10FA3">
      <w:rPr>
        <w:highlight w:val="cyan"/>
      </w:rPr>
      <w:t>December</w:t>
    </w:r>
    <w:r>
      <w:t xml:space="preserve"> 2023</w:t>
    </w:r>
  </w:p>
  <w:p w14:paraId="324C7A9E" w14:textId="1CC6F204" w:rsidR="00B53987" w:rsidRDefault="00B53987" w:rsidP="00B53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2EC5" w14:textId="0C89396F" w:rsidR="00B53987" w:rsidRPr="00C138EC" w:rsidRDefault="00515081" w:rsidP="00407541">
    <w:pPr>
      <w:pStyle w:val="Footer"/>
      <w:ind w:right="400"/>
      <w:jc w:val="left"/>
    </w:pPr>
    <w:r>
      <w:t xml:space="preserve">ODT </w:t>
    </w:r>
    <w:r w:rsidR="00843205">
      <w:t>medicines – T</w:t>
    </w:r>
    <w:r w:rsidR="00407541">
      <w:t>ransition</w:t>
    </w:r>
    <w:r w:rsidR="00843205">
      <w:t xml:space="preserve"> </w:t>
    </w:r>
    <w:r w:rsidR="00407541">
      <w:t>arrangements for non-PBS approved dosing sites</w:t>
    </w:r>
    <w:r>
      <w:t xml:space="preserve"> - </w:t>
    </w:r>
    <w:r w:rsidR="00F03C85">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9A7E0" w14:textId="77777777" w:rsidR="0089326E" w:rsidRDefault="0089326E" w:rsidP="00394D8C">
      <w:pPr>
        <w:spacing w:before="80" w:after="40"/>
      </w:pPr>
      <w:r>
        <w:separator/>
      </w:r>
    </w:p>
  </w:footnote>
  <w:footnote w:type="continuationSeparator" w:id="0">
    <w:p w14:paraId="0A0FE13E" w14:textId="77777777" w:rsidR="0089326E" w:rsidRDefault="0089326E" w:rsidP="006B56BB">
      <w:r>
        <w:continuationSeparator/>
      </w:r>
    </w:p>
    <w:p w14:paraId="1E40C352" w14:textId="77777777" w:rsidR="0089326E" w:rsidRDefault="0089326E"/>
  </w:footnote>
  <w:footnote w:type="continuationNotice" w:id="1">
    <w:p w14:paraId="363E49BD" w14:textId="77777777" w:rsidR="0089326E" w:rsidRDefault="008932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7007" w14:textId="2798FC5F"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C28E" w14:textId="424EEFA3" w:rsidR="00B53987" w:rsidRDefault="00B53987">
    <w:pPr>
      <w:pStyle w:val="Header"/>
    </w:pPr>
    <w:r>
      <w:rPr>
        <w:noProof/>
        <w:lang w:eastAsia="en-AU"/>
      </w:rPr>
      <w:drawing>
        <wp:inline distT="0" distB="0" distL="0" distR="0" wp14:anchorId="5E12D916" wp14:editId="141F0D7E">
          <wp:extent cx="5759450" cy="941705"/>
          <wp:effectExtent l="0" t="0" r="635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2CC01FB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DC5F3A"/>
    <w:multiLevelType w:val="hybridMultilevel"/>
    <w:tmpl w:val="2214B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D90616"/>
    <w:multiLevelType w:val="hybridMultilevel"/>
    <w:tmpl w:val="8806B51A"/>
    <w:lvl w:ilvl="0" w:tplc="0492D38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44E428C0"/>
    <w:multiLevelType w:val="hybridMultilevel"/>
    <w:tmpl w:val="25E674DC"/>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4FA118C3"/>
    <w:multiLevelType w:val="hybridMultilevel"/>
    <w:tmpl w:val="65EA3ED6"/>
    <w:lvl w:ilvl="0" w:tplc="9666431E">
      <w:numFmt w:val="bullet"/>
      <w:pStyle w:val="Bullet1"/>
      <w:lvlText w:val=""/>
      <w:lvlJc w:val="left"/>
      <w:pPr>
        <w:ind w:left="360" w:hanging="360"/>
      </w:pPr>
      <w:rPr>
        <w:rFonts w:ascii="Symbol" w:eastAsia="Times New Roman" w:hAnsi="Symbol" w:hint="default"/>
        <w:color w:val="auto"/>
      </w:rPr>
    </w:lvl>
    <w:lvl w:ilvl="1" w:tplc="7D9AE38C">
      <w:start w:val="1"/>
      <w:numFmt w:val="bullet"/>
      <w:pStyle w:val="Bullet2"/>
      <w:lvlText w:val="-"/>
      <w:lvlJc w:val="left"/>
      <w:pPr>
        <w:ind w:left="1080" w:hanging="723"/>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EA396B"/>
    <w:multiLevelType w:val="hybridMultilevel"/>
    <w:tmpl w:val="D9D42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CC67C7"/>
    <w:multiLevelType w:val="hybridMultilevel"/>
    <w:tmpl w:val="288A93A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005351045">
    <w:abstractNumId w:val="7"/>
  </w:num>
  <w:num w:numId="2" w16cid:durableId="1382750384">
    <w:abstractNumId w:val="19"/>
  </w:num>
  <w:num w:numId="3" w16cid:durableId="121848900">
    <w:abstractNumId w:val="22"/>
  </w:num>
  <w:num w:numId="4" w16cid:durableId="1770002079">
    <w:abstractNumId w:val="8"/>
  </w:num>
  <w:num w:numId="5" w16cid:durableId="1206453280">
    <w:abstractNumId w:val="8"/>
    <w:lvlOverride w:ilvl="0">
      <w:startOverride w:val="1"/>
    </w:lvlOverride>
  </w:num>
  <w:num w:numId="6" w16cid:durableId="458188914">
    <w:abstractNumId w:val="10"/>
  </w:num>
  <w:num w:numId="7" w16cid:durableId="1557011131">
    <w:abstractNumId w:val="15"/>
  </w:num>
  <w:num w:numId="8" w16cid:durableId="461849015">
    <w:abstractNumId w:val="21"/>
  </w:num>
  <w:num w:numId="9" w16cid:durableId="1669096152">
    <w:abstractNumId w:val="5"/>
  </w:num>
  <w:num w:numId="10" w16cid:durableId="712577931">
    <w:abstractNumId w:val="4"/>
  </w:num>
  <w:num w:numId="11" w16cid:durableId="1596591739">
    <w:abstractNumId w:val="3"/>
  </w:num>
  <w:num w:numId="12" w16cid:durableId="1397555990">
    <w:abstractNumId w:val="2"/>
  </w:num>
  <w:num w:numId="13" w16cid:durableId="287400932">
    <w:abstractNumId w:val="6"/>
  </w:num>
  <w:num w:numId="14" w16cid:durableId="188372679">
    <w:abstractNumId w:val="1"/>
  </w:num>
  <w:num w:numId="15" w16cid:durableId="1320889692">
    <w:abstractNumId w:val="0"/>
  </w:num>
  <w:num w:numId="16" w16cid:durableId="1567841407">
    <w:abstractNumId w:val="24"/>
  </w:num>
  <w:num w:numId="17" w16cid:durableId="2114133325">
    <w:abstractNumId w:val="11"/>
  </w:num>
  <w:num w:numId="18" w16cid:durableId="2042440583">
    <w:abstractNumId w:val="13"/>
  </w:num>
  <w:num w:numId="19" w16cid:durableId="1719236295">
    <w:abstractNumId w:val="14"/>
  </w:num>
  <w:num w:numId="20" w16cid:durableId="364137038">
    <w:abstractNumId w:val="11"/>
  </w:num>
  <w:num w:numId="21" w16cid:durableId="1891527022">
    <w:abstractNumId w:val="14"/>
  </w:num>
  <w:num w:numId="22" w16cid:durableId="402988280">
    <w:abstractNumId w:val="24"/>
  </w:num>
  <w:num w:numId="23" w16cid:durableId="265576422">
    <w:abstractNumId w:val="19"/>
  </w:num>
  <w:num w:numId="24" w16cid:durableId="1989703282">
    <w:abstractNumId w:val="22"/>
  </w:num>
  <w:num w:numId="25" w16cid:durableId="753742103">
    <w:abstractNumId w:val="8"/>
  </w:num>
  <w:num w:numId="26" w16cid:durableId="1139540064">
    <w:abstractNumId w:val="18"/>
  </w:num>
  <w:num w:numId="27" w16cid:durableId="2132047419">
    <w:abstractNumId w:val="9"/>
  </w:num>
  <w:num w:numId="28" w16cid:durableId="344788895">
    <w:abstractNumId w:val="20"/>
  </w:num>
  <w:num w:numId="29" w16cid:durableId="1423912911">
    <w:abstractNumId w:val="12"/>
  </w:num>
  <w:num w:numId="30" w16cid:durableId="1608153921">
    <w:abstractNumId w:val="17"/>
  </w:num>
  <w:num w:numId="31" w16cid:durableId="1805847320">
    <w:abstractNumId w:val="11"/>
  </w:num>
  <w:num w:numId="32" w16cid:durableId="1321737362">
    <w:abstractNumId w:val="11"/>
  </w:num>
  <w:num w:numId="33" w16cid:durableId="338627301">
    <w:abstractNumId w:val="11"/>
  </w:num>
  <w:num w:numId="34" w16cid:durableId="1677029236">
    <w:abstractNumId w:val="16"/>
  </w:num>
  <w:num w:numId="35" w16cid:durableId="531915420">
    <w:abstractNumId w:val="11"/>
  </w:num>
  <w:num w:numId="36" w16cid:durableId="1999965763">
    <w:abstractNumId w:val="11"/>
  </w:num>
  <w:num w:numId="37" w16cid:durableId="1662075102">
    <w:abstractNumId w:val="11"/>
  </w:num>
  <w:num w:numId="38" w16cid:durableId="870072689">
    <w:abstractNumId w:val="23"/>
  </w:num>
  <w:num w:numId="39" w16cid:durableId="1960530351">
    <w:abstractNumId w:val="11"/>
  </w:num>
  <w:num w:numId="40" w16cid:durableId="905149136">
    <w:abstractNumId w:val="11"/>
  </w:num>
  <w:num w:numId="41" w16cid:durableId="1339236325">
    <w:abstractNumId w:val="11"/>
  </w:num>
  <w:num w:numId="42" w16cid:durableId="733624567">
    <w:abstractNumId w:val="11"/>
  </w:num>
  <w:num w:numId="43" w16cid:durableId="1919627977">
    <w:abstractNumId w:val="11"/>
  </w:num>
  <w:num w:numId="44" w16cid:durableId="1544978038">
    <w:abstractNumId w:val="11"/>
  </w:num>
  <w:num w:numId="45" w16cid:durableId="864172794">
    <w:abstractNumId w:val="11"/>
  </w:num>
  <w:num w:numId="46" w16cid:durableId="1249777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95E"/>
    <w:rsid w:val="00003743"/>
    <w:rsid w:val="000047B4"/>
    <w:rsid w:val="00005712"/>
    <w:rsid w:val="00007FD8"/>
    <w:rsid w:val="000117F8"/>
    <w:rsid w:val="00011ADB"/>
    <w:rsid w:val="00011E6F"/>
    <w:rsid w:val="00012248"/>
    <w:rsid w:val="0001460F"/>
    <w:rsid w:val="00022629"/>
    <w:rsid w:val="00026139"/>
    <w:rsid w:val="00027227"/>
    <w:rsid w:val="00027601"/>
    <w:rsid w:val="00033321"/>
    <w:rsid w:val="000338E5"/>
    <w:rsid w:val="00033ECC"/>
    <w:rsid w:val="0003422F"/>
    <w:rsid w:val="00043DC0"/>
    <w:rsid w:val="00046FF0"/>
    <w:rsid w:val="00050176"/>
    <w:rsid w:val="00050342"/>
    <w:rsid w:val="00060597"/>
    <w:rsid w:val="00066800"/>
    <w:rsid w:val="00066804"/>
    <w:rsid w:val="0006712E"/>
    <w:rsid w:val="00067456"/>
    <w:rsid w:val="00071506"/>
    <w:rsid w:val="0007154F"/>
    <w:rsid w:val="000758DB"/>
    <w:rsid w:val="00075B97"/>
    <w:rsid w:val="00081AB1"/>
    <w:rsid w:val="00087459"/>
    <w:rsid w:val="00090316"/>
    <w:rsid w:val="00093981"/>
    <w:rsid w:val="00093B75"/>
    <w:rsid w:val="000A1C12"/>
    <w:rsid w:val="000B067A"/>
    <w:rsid w:val="000B1540"/>
    <w:rsid w:val="000B1E53"/>
    <w:rsid w:val="000B33FD"/>
    <w:rsid w:val="000B4ABA"/>
    <w:rsid w:val="000C496D"/>
    <w:rsid w:val="000C4B16"/>
    <w:rsid w:val="000C50C3"/>
    <w:rsid w:val="000C5E14"/>
    <w:rsid w:val="000D1BF1"/>
    <w:rsid w:val="000D21F6"/>
    <w:rsid w:val="000D4500"/>
    <w:rsid w:val="000D7AEA"/>
    <w:rsid w:val="000E2C05"/>
    <w:rsid w:val="000E2C66"/>
    <w:rsid w:val="000E32DC"/>
    <w:rsid w:val="000F123C"/>
    <w:rsid w:val="000F1E62"/>
    <w:rsid w:val="000F2FED"/>
    <w:rsid w:val="0010616D"/>
    <w:rsid w:val="00110478"/>
    <w:rsid w:val="0011711B"/>
    <w:rsid w:val="00117F8A"/>
    <w:rsid w:val="00121B9B"/>
    <w:rsid w:val="00122ADC"/>
    <w:rsid w:val="00130F59"/>
    <w:rsid w:val="00133EC0"/>
    <w:rsid w:val="00141CE5"/>
    <w:rsid w:val="00144908"/>
    <w:rsid w:val="001458BB"/>
    <w:rsid w:val="00146A45"/>
    <w:rsid w:val="00155F20"/>
    <w:rsid w:val="00156D96"/>
    <w:rsid w:val="001571C7"/>
    <w:rsid w:val="00161094"/>
    <w:rsid w:val="0016164C"/>
    <w:rsid w:val="00172D70"/>
    <w:rsid w:val="00174979"/>
    <w:rsid w:val="00175012"/>
    <w:rsid w:val="0017665C"/>
    <w:rsid w:val="00177AD2"/>
    <w:rsid w:val="001815A8"/>
    <w:rsid w:val="001840FA"/>
    <w:rsid w:val="00184A2B"/>
    <w:rsid w:val="00190079"/>
    <w:rsid w:val="0019622E"/>
    <w:rsid w:val="001964CE"/>
    <w:rsid w:val="001966A7"/>
    <w:rsid w:val="001A4627"/>
    <w:rsid w:val="001A4979"/>
    <w:rsid w:val="001B15D3"/>
    <w:rsid w:val="001B3443"/>
    <w:rsid w:val="001B4715"/>
    <w:rsid w:val="001C0326"/>
    <w:rsid w:val="001C192F"/>
    <w:rsid w:val="001C3C42"/>
    <w:rsid w:val="001D110E"/>
    <w:rsid w:val="001D2A8D"/>
    <w:rsid w:val="001D3072"/>
    <w:rsid w:val="001D6446"/>
    <w:rsid w:val="001D7869"/>
    <w:rsid w:val="001F0E36"/>
    <w:rsid w:val="002026CD"/>
    <w:rsid w:val="002033FC"/>
    <w:rsid w:val="0020357D"/>
    <w:rsid w:val="002044BB"/>
    <w:rsid w:val="00210B09"/>
    <w:rsid w:val="00210C9E"/>
    <w:rsid w:val="00210CDB"/>
    <w:rsid w:val="00211840"/>
    <w:rsid w:val="00212AB4"/>
    <w:rsid w:val="00220E5F"/>
    <w:rsid w:val="002212B5"/>
    <w:rsid w:val="00226668"/>
    <w:rsid w:val="00233809"/>
    <w:rsid w:val="0023395E"/>
    <w:rsid w:val="00237D69"/>
    <w:rsid w:val="00240046"/>
    <w:rsid w:val="0024797F"/>
    <w:rsid w:val="00250E15"/>
    <w:rsid w:val="0025119E"/>
    <w:rsid w:val="00251269"/>
    <w:rsid w:val="002535C0"/>
    <w:rsid w:val="002579FE"/>
    <w:rsid w:val="00260651"/>
    <w:rsid w:val="0026311C"/>
    <w:rsid w:val="0026668C"/>
    <w:rsid w:val="00266AC1"/>
    <w:rsid w:val="00271629"/>
    <w:rsid w:val="0027178C"/>
    <w:rsid w:val="002719FA"/>
    <w:rsid w:val="00272668"/>
    <w:rsid w:val="0027330B"/>
    <w:rsid w:val="00275875"/>
    <w:rsid w:val="002803AD"/>
    <w:rsid w:val="00282052"/>
    <w:rsid w:val="002831A3"/>
    <w:rsid w:val="0028519E"/>
    <w:rsid w:val="002856A5"/>
    <w:rsid w:val="002872ED"/>
    <w:rsid w:val="002905C2"/>
    <w:rsid w:val="00295AF2"/>
    <w:rsid w:val="00295C91"/>
    <w:rsid w:val="00297151"/>
    <w:rsid w:val="002A3F5B"/>
    <w:rsid w:val="002A6E1A"/>
    <w:rsid w:val="002B12CA"/>
    <w:rsid w:val="002B20E6"/>
    <w:rsid w:val="002B42A3"/>
    <w:rsid w:val="002B6879"/>
    <w:rsid w:val="002C0CDD"/>
    <w:rsid w:val="002C382F"/>
    <w:rsid w:val="002C38C4"/>
    <w:rsid w:val="002D2AB5"/>
    <w:rsid w:val="002E1A1D"/>
    <w:rsid w:val="002E4081"/>
    <w:rsid w:val="002E5B78"/>
    <w:rsid w:val="002E7FF8"/>
    <w:rsid w:val="002F3AE3"/>
    <w:rsid w:val="0030464B"/>
    <w:rsid w:val="0030786C"/>
    <w:rsid w:val="003233DE"/>
    <w:rsid w:val="0032466B"/>
    <w:rsid w:val="003330EB"/>
    <w:rsid w:val="003415FD"/>
    <w:rsid w:val="00341C85"/>
    <w:rsid w:val="003429F0"/>
    <w:rsid w:val="00345A82"/>
    <w:rsid w:val="0035097A"/>
    <w:rsid w:val="003540A4"/>
    <w:rsid w:val="00357BCC"/>
    <w:rsid w:val="00360E4E"/>
    <w:rsid w:val="00367E46"/>
    <w:rsid w:val="00370AAA"/>
    <w:rsid w:val="003743DC"/>
    <w:rsid w:val="00375F77"/>
    <w:rsid w:val="00381BBE"/>
    <w:rsid w:val="00382880"/>
    <w:rsid w:val="00382903"/>
    <w:rsid w:val="003846FF"/>
    <w:rsid w:val="00384C1C"/>
    <w:rsid w:val="00385227"/>
    <w:rsid w:val="003857D4"/>
    <w:rsid w:val="00385AD4"/>
    <w:rsid w:val="00387924"/>
    <w:rsid w:val="0039041E"/>
    <w:rsid w:val="0039384D"/>
    <w:rsid w:val="00394BB0"/>
    <w:rsid w:val="00394D8C"/>
    <w:rsid w:val="00395C23"/>
    <w:rsid w:val="003A1285"/>
    <w:rsid w:val="003A2E4F"/>
    <w:rsid w:val="003A4438"/>
    <w:rsid w:val="003A5013"/>
    <w:rsid w:val="003A5078"/>
    <w:rsid w:val="003A62DD"/>
    <w:rsid w:val="003A775A"/>
    <w:rsid w:val="003A7B55"/>
    <w:rsid w:val="003B213A"/>
    <w:rsid w:val="003B43AD"/>
    <w:rsid w:val="003B722B"/>
    <w:rsid w:val="003C0FEC"/>
    <w:rsid w:val="003C20C7"/>
    <w:rsid w:val="003C2AC8"/>
    <w:rsid w:val="003D033A"/>
    <w:rsid w:val="003D17F9"/>
    <w:rsid w:val="003D25DF"/>
    <w:rsid w:val="003D2D88"/>
    <w:rsid w:val="003D41EA"/>
    <w:rsid w:val="003D4850"/>
    <w:rsid w:val="003D503E"/>
    <w:rsid w:val="003D535A"/>
    <w:rsid w:val="003E0A6B"/>
    <w:rsid w:val="003E25C3"/>
    <w:rsid w:val="003E5265"/>
    <w:rsid w:val="003F0955"/>
    <w:rsid w:val="003F5F4D"/>
    <w:rsid w:val="003F646F"/>
    <w:rsid w:val="00400F00"/>
    <w:rsid w:val="00400F5B"/>
    <w:rsid w:val="004037CD"/>
    <w:rsid w:val="00404F8B"/>
    <w:rsid w:val="00405256"/>
    <w:rsid w:val="00407541"/>
    <w:rsid w:val="00410031"/>
    <w:rsid w:val="00414E8A"/>
    <w:rsid w:val="00415C81"/>
    <w:rsid w:val="00421A95"/>
    <w:rsid w:val="00431C89"/>
    <w:rsid w:val="00432378"/>
    <w:rsid w:val="0043446B"/>
    <w:rsid w:val="00440425"/>
    <w:rsid w:val="00440D65"/>
    <w:rsid w:val="004435E6"/>
    <w:rsid w:val="00443A44"/>
    <w:rsid w:val="00447E31"/>
    <w:rsid w:val="00450297"/>
    <w:rsid w:val="00450504"/>
    <w:rsid w:val="00453923"/>
    <w:rsid w:val="00454B9B"/>
    <w:rsid w:val="00457858"/>
    <w:rsid w:val="00460B0B"/>
    <w:rsid w:val="00461023"/>
    <w:rsid w:val="00462FAC"/>
    <w:rsid w:val="00464631"/>
    <w:rsid w:val="00464B79"/>
    <w:rsid w:val="00467BBF"/>
    <w:rsid w:val="00470C83"/>
    <w:rsid w:val="004725B8"/>
    <w:rsid w:val="0048593C"/>
    <w:rsid w:val="004867E2"/>
    <w:rsid w:val="004869E6"/>
    <w:rsid w:val="00491CC5"/>
    <w:rsid w:val="004929A9"/>
    <w:rsid w:val="0049453C"/>
    <w:rsid w:val="004A78D9"/>
    <w:rsid w:val="004B7A05"/>
    <w:rsid w:val="004C6BCF"/>
    <w:rsid w:val="004D58BF"/>
    <w:rsid w:val="004E341C"/>
    <w:rsid w:val="004E4335"/>
    <w:rsid w:val="004F13EE"/>
    <w:rsid w:val="004F2022"/>
    <w:rsid w:val="004F69CF"/>
    <w:rsid w:val="004F7C05"/>
    <w:rsid w:val="00501C94"/>
    <w:rsid w:val="00506432"/>
    <w:rsid w:val="00506E82"/>
    <w:rsid w:val="00515081"/>
    <w:rsid w:val="0052051D"/>
    <w:rsid w:val="00535831"/>
    <w:rsid w:val="00535F03"/>
    <w:rsid w:val="00541156"/>
    <w:rsid w:val="00544D8C"/>
    <w:rsid w:val="00545EE6"/>
    <w:rsid w:val="005550E7"/>
    <w:rsid w:val="005564FB"/>
    <w:rsid w:val="005572C7"/>
    <w:rsid w:val="005650ED"/>
    <w:rsid w:val="00574F71"/>
    <w:rsid w:val="00575754"/>
    <w:rsid w:val="00581FBA"/>
    <w:rsid w:val="00584C6C"/>
    <w:rsid w:val="00591E20"/>
    <w:rsid w:val="00592E9E"/>
    <w:rsid w:val="00595408"/>
    <w:rsid w:val="00595E84"/>
    <w:rsid w:val="005979EA"/>
    <w:rsid w:val="005A0C59"/>
    <w:rsid w:val="005A169B"/>
    <w:rsid w:val="005A1BB2"/>
    <w:rsid w:val="005A48EB"/>
    <w:rsid w:val="005A6CFB"/>
    <w:rsid w:val="005C5AEB"/>
    <w:rsid w:val="005D1645"/>
    <w:rsid w:val="005D3E54"/>
    <w:rsid w:val="005E0A3F"/>
    <w:rsid w:val="005E6883"/>
    <w:rsid w:val="005E772F"/>
    <w:rsid w:val="005F4B1A"/>
    <w:rsid w:val="005F4ECA"/>
    <w:rsid w:val="006041BE"/>
    <w:rsid w:val="006043C7"/>
    <w:rsid w:val="006079F2"/>
    <w:rsid w:val="00624B52"/>
    <w:rsid w:val="00630794"/>
    <w:rsid w:val="00631DF4"/>
    <w:rsid w:val="00634175"/>
    <w:rsid w:val="00635648"/>
    <w:rsid w:val="006408AC"/>
    <w:rsid w:val="0064540F"/>
    <w:rsid w:val="00646643"/>
    <w:rsid w:val="00650884"/>
    <w:rsid w:val="006511B6"/>
    <w:rsid w:val="00657B07"/>
    <w:rsid w:val="00657FF8"/>
    <w:rsid w:val="006673E5"/>
    <w:rsid w:val="00670D99"/>
    <w:rsid w:val="00670E2B"/>
    <w:rsid w:val="006723B8"/>
    <w:rsid w:val="00672757"/>
    <w:rsid w:val="006734BB"/>
    <w:rsid w:val="0067697A"/>
    <w:rsid w:val="006821EB"/>
    <w:rsid w:val="0069635F"/>
    <w:rsid w:val="006B2286"/>
    <w:rsid w:val="006B2C30"/>
    <w:rsid w:val="006B355B"/>
    <w:rsid w:val="006B56BB"/>
    <w:rsid w:val="006B6B1E"/>
    <w:rsid w:val="006C29A6"/>
    <w:rsid w:val="006C3335"/>
    <w:rsid w:val="006C77A8"/>
    <w:rsid w:val="006D4098"/>
    <w:rsid w:val="006D7681"/>
    <w:rsid w:val="006D7B2E"/>
    <w:rsid w:val="006E02EA"/>
    <w:rsid w:val="006E0968"/>
    <w:rsid w:val="006E2AF6"/>
    <w:rsid w:val="006E5990"/>
    <w:rsid w:val="006F57E6"/>
    <w:rsid w:val="00701275"/>
    <w:rsid w:val="00707F56"/>
    <w:rsid w:val="00713558"/>
    <w:rsid w:val="00720D08"/>
    <w:rsid w:val="00721BE0"/>
    <w:rsid w:val="007263B9"/>
    <w:rsid w:val="007334F8"/>
    <w:rsid w:val="007339CD"/>
    <w:rsid w:val="007359D8"/>
    <w:rsid w:val="007362D4"/>
    <w:rsid w:val="00741DE0"/>
    <w:rsid w:val="00752679"/>
    <w:rsid w:val="00753563"/>
    <w:rsid w:val="0076672A"/>
    <w:rsid w:val="00770B16"/>
    <w:rsid w:val="00775E45"/>
    <w:rsid w:val="00776E74"/>
    <w:rsid w:val="007778FA"/>
    <w:rsid w:val="00785169"/>
    <w:rsid w:val="00794837"/>
    <w:rsid w:val="007954AB"/>
    <w:rsid w:val="007A14C5"/>
    <w:rsid w:val="007A2D91"/>
    <w:rsid w:val="007A4A10"/>
    <w:rsid w:val="007B1760"/>
    <w:rsid w:val="007C0665"/>
    <w:rsid w:val="007C1FDC"/>
    <w:rsid w:val="007C6D9C"/>
    <w:rsid w:val="007C7DDB"/>
    <w:rsid w:val="007D2CC7"/>
    <w:rsid w:val="007D3523"/>
    <w:rsid w:val="007D35FC"/>
    <w:rsid w:val="007D673D"/>
    <w:rsid w:val="007E0FB8"/>
    <w:rsid w:val="007E1A38"/>
    <w:rsid w:val="007E4D09"/>
    <w:rsid w:val="007F2220"/>
    <w:rsid w:val="007F25E6"/>
    <w:rsid w:val="007F4B3E"/>
    <w:rsid w:val="008127AF"/>
    <w:rsid w:val="00812B46"/>
    <w:rsid w:val="00813CB0"/>
    <w:rsid w:val="00815700"/>
    <w:rsid w:val="00820CF4"/>
    <w:rsid w:val="008264EB"/>
    <w:rsid w:val="00826B8F"/>
    <w:rsid w:val="00831063"/>
    <w:rsid w:val="00831E8A"/>
    <w:rsid w:val="00831E91"/>
    <w:rsid w:val="00835C76"/>
    <w:rsid w:val="008376E2"/>
    <w:rsid w:val="00843049"/>
    <w:rsid w:val="00843205"/>
    <w:rsid w:val="008506A2"/>
    <w:rsid w:val="0085209B"/>
    <w:rsid w:val="00856B66"/>
    <w:rsid w:val="008601AC"/>
    <w:rsid w:val="00860679"/>
    <w:rsid w:val="00861014"/>
    <w:rsid w:val="008615C7"/>
    <w:rsid w:val="00861A5F"/>
    <w:rsid w:val="008644AD"/>
    <w:rsid w:val="00865735"/>
    <w:rsid w:val="00865DDB"/>
    <w:rsid w:val="00867538"/>
    <w:rsid w:val="0087033D"/>
    <w:rsid w:val="00873D90"/>
    <w:rsid w:val="00873FC8"/>
    <w:rsid w:val="00874E3D"/>
    <w:rsid w:val="00876449"/>
    <w:rsid w:val="0088397B"/>
    <w:rsid w:val="00884C63"/>
    <w:rsid w:val="00885908"/>
    <w:rsid w:val="008864B7"/>
    <w:rsid w:val="008877EE"/>
    <w:rsid w:val="00890C83"/>
    <w:rsid w:val="0089326E"/>
    <w:rsid w:val="0089677E"/>
    <w:rsid w:val="008A7438"/>
    <w:rsid w:val="008A7747"/>
    <w:rsid w:val="008B1334"/>
    <w:rsid w:val="008B25C7"/>
    <w:rsid w:val="008B2731"/>
    <w:rsid w:val="008B3F90"/>
    <w:rsid w:val="008B621B"/>
    <w:rsid w:val="008C0278"/>
    <w:rsid w:val="008C1D6E"/>
    <w:rsid w:val="008C24E9"/>
    <w:rsid w:val="008C429D"/>
    <w:rsid w:val="008C6D9A"/>
    <w:rsid w:val="008D0533"/>
    <w:rsid w:val="008D42CB"/>
    <w:rsid w:val="008D48C9"/>
    <w:rsid w:val="008D517D"/>
    <w:rsid w:val="008D6381"/>
    <w:rsid w:val="008E0C77"/>
    <w:rsid w:val="008E625F"/>
    <w:rsid w:val="008F264D"/>
    <w:rsid w:val="00901DFD"/>
    <w:rsid w:val="009040E9"/>
    <w:rsid w:val="00904177"/>
    <w:rsid w:val="009074E1"/>
    <w:rsid w:val="009112F7"/>
    <w:rsid w:val="009122AF"/>
    <w:rsid w:val="00912D54"/>
    <w:rsid w:val="0091389F"/>
    <w:rsid w:val="00914EED"/>
    <w:rsid w:val="009208F7"/>
    <w:rsid w:val="00921649"/>
    <w:rsid w:val="00922517"/>
    <w:rsid w:val="00922722"/>
    <w:rsid w:val="0092427C"/>
    <w:rsid w:val="009261E6"/>
    <w:rsid w:val="009268E1"/>
    <w:rsid w:val="009271EE"/>
    <w:rsid w:val="009344AE"/>
    <w:rsid w:val="009344DE"/>
    <w:rsid w:val="00937F33"/>
    <w:rsid w:val="00942600"/>
    <w:rsid w:val="00945E7F"/>
    <w:rsid w:val="009557C1"/>
    <w:rsid w:val="00960D6E"/>
    <w:rsid w:val="00974B59"/>
    <w:rsid w:val="009817AD"/>
    <w:rsid w:val="0098264C"/>
    <w:rsid w:val="0098340B"/>
    <w:rsid w:val="0098523F"/>
    <w:rsid w:val="00986830"/>
    <w:rsid w:val="009924C3"/>
    <w:rsid w:val="00993102"/>
    <w:rsid w:val="009A587D"/>
    <w:rsid w:val="009A6085"/>
    <w:rsid w:val="009B1570"/>
    <w:rsid w:val="009C14DE"/>
    <w:rsid w:val="009C6F10"/>
    <w:rsid w:val="009D041F"/>
    <w:rsid w:val="009D148F"/>
    <w:rsid w:val="009D3D70"/>
    <w:rsid w:val="009D6E31"/>
    <w:rsid w:val="009D6F6C"/>
    <w:rsid w:val="009E6F7E"/>
    <w:rsid w:val="009E7A57"/>
    <w:rsid w:val="009F4803"/>
    <w:rsid w:val="009F4F6A"/>
    <w:rsid w:val="00A13EB5"/>
    <w:rsid w:val="00A16E36"/>
    <w:rsid w:val="00A24961"/>
    <w:rsid w:val="00A24B10"/>
    <w:rsid w:val="00A26EDD"/>
    <w:rsid w:val="00A277EF"/>
    <w:rsid w:val="00A27C11"/>
    <w:rsid w:val="00A30E9B"/>
    <w:rsid w:val="00A37AEB"/>
    <w:rsid w:val="00A4512D"/>
    <w:rsid w:val="00A50244"/>
    <w:rsid w:val="00A52814"/>
    <w:rsid w:val="00A627D7"/>
    <w:rsid w:val="00A63CCE"/>
    <w:rsid w:val="00A656C7"/>
    <w:rsid w:val="00A705AF"/>
    <w:rsid w:val="00A719F6"/>
    <w:rsid w:val="00A72454"/>
    <w:rsid w:val="00A77696"/>
    <w:rsid w:val="00A80557"/>
    <w:rsid w:val="00A81D33"/>
    <w:rsid w:val="00A8341C"/>
    <w:rsid w:val="00A930AE"/>
    <w:rsid w:val="00AA1A95"/>
    <w:rsid w:val="00AA260F"/>
    <w:rsid w:val="00AA262B"/>
    <w:rsid w:val="00AB1397"/>
    <w:rsid w:val="00AB1EE7"/>
    <w:rsid w:val="00AB4B37"/>
    <w:rsid w:val="00AB5762"/>
    <w:rsid w:val="00AC2679"/>
    <w:rsid w:val="00AC4BE4"/>
    <w:rsid w:val="00AC51DC"/>
    <w:rsid w:val="00AC650D"/>
    <w:rsid w:val="00AD05E6"/>
    <w:rsid w:val="00AD0D3F"/>
    <w:rsid w:val="00AD2526"/>
    <w:rsid w:val="00AD7A75"/>
    <w:rsid w:val="00AE1D7D"/>
    <w:rsid w:val="00AE2A8B"/>
    <w:rsid w:val="00AE3F64"/>
    <w:rsid w:val="00AF7386"/>
    <w:rsid w:val="00AF7934"/>
    <w:rsid w:val="00B00555"/>
    <w:rsid w:val="00B00B81"/>
    <w:rsid w:val="00B04580"/>
    <w:rsid w:val="00B04B09"/>
    <w:rsid w:val="00B10FA3"/>
    <w:rsid w:val="00B16A51"/>
    <w:rsid w:val="00B1738B"/>
    <w:rsid w:val="00B22298"/>
    <w:rsid w:val="00B32222"/>
    <w:rsid w:val="00B3618D"/>
    <w:rsid w:val="00B36233"/>
    <w:rsid w:val="00B42851"/>
    <w:rsid w:val="00B442F5"/>
    <w:rsid w:val="00B44A50"/>
    <w:rsid w:val="00B45AC7"/>
    <w:rsid w:val="00B5372F"/>
    <w:rsid w:val="00B53987"/>
    <w:rsid w:val="00B6000E"/>
    <w:rsid w:val="00B61129"/>
    <w:rsid w:val="00B6543C"/>
    <w:rsid w:val="00B67E7F"/>
    <w:rsid w:val="00B77198"/>
    <w:rsid w:val="00B77F6F"/>
    <w:rsid w:val="00B8245F"/>
    <w:rsid w:val="00B839B2"/>
    <w:rsid w:val="00B86E4F"/>
    <w:rsid w:val="00B871AA"/>
    <w:rsid w:val="00B92F0F"/>
    <w:rsid w:val="00B94252"/>
    <w:rsid w:val="00B9715A"/>
    <w:rsid w:val="00BA14BE"/>
    <w:rsid w:val="00BA2732"/>
    <w:rsid w:val="00BA293D"/>
    <w:rsid w:val="00BA39D5"/>
    <w:rsid w:val="00BA49BC"/>
    <w:rsid w:val="00BA56B7"/>
    <w:rsid w:val="00BA7A1E"/>
    <w:rsid w:val="00BB2F6C"/>
    <w:rsid w:val="00BB3875"/>
    <w:rsid w:val="00BB5860"/>
    <w:rsid w:val="00BB6AAD"/>
    <w:rsid w:val="00BB6CAA"/>
    <w:rsid w:val="00BC4A19"/>
    <w:rsid w:val="00BC4E6D"/>
    <w:rsid w:val="00BD0617"/>
    <w:rsid w:val="00BD1961"/>
    <w:rsid w:val="00BD2E9B"/>
    <w:rsid w:val="00BD7FB2"/>
    <w:rsid w:val="00BE4D3D"/>
    <w:rsid w:val="00C00930"/>
    <w:rsid w:val="00C04999"/>
    <w:rsid w:val="00C05E3D"/>
    <w:rsid w:val="00C060AD"/>
    <w:rsid w:val="00C07863"/>
    <w:rsid w:val="00C113BF"/>
    <w:rsid w:val="00C138EC"/>
    <w:rsid w:val="00C2176E"/>
    <w:rsid w:val="00C2207E"/>
    <w:rsid w:val="00C22AD3"/>
    <w:rsid w:val="00C23430"/>
    <w:rsid w:val="00C27D67"/>
    <w:rsid w:val="00C31B7E"/>
    <w:rsid w:val="00C4631F"/>
    <w:rsid w:val="00C47CDE"/>
    <w:rsid w:val="00C50E16"/>
    <w:rsid w:val="00C55258"/>
    <w:rsid w:val="00C55AD5"/>
    <w:rsid w:val="00C740F6"/>
    <w:rsid w:val="00C75C1B"/>
    <w:rsid w:val="00C76906"/>
    <w:rsid w:val="00C77BF9"/>
    <w:rsid w:val="00C82EEB"/>
    <w:rsid w:val="00C909D0"/>
    <w:rsid w:val="00C971DC"/>
    <w:rsid w:val="00CA16B7"/>
    <w:rsid w:val="00CA62AE"/>
    <w:rsid w:val="00CB5B1A"/>
    <w:rsid w:val="00CC220B"/>
    <w:rsid w:val="00CC5C43"/>
    <w:rsid w:val="00CC7B8F"/>
    <w:rsid w:val="00CD02AE"/>
    <w:rsid w:val="00CD2A4F"/>
    <w:rsid w:val="00CE03CA"/>
    <w:rsid w:val="00CE22F1"/>
    <w:rsid w:val="00CE50F2"/>
    <w:rsid w:val="00CE6502"/>
    <w:rsid w:val="00CF17D8"/>
    <w:rsid w:val="00CF7D3C"/>
    <w:rsid w:val="00D01F09"/>
    <w:rsid w:val="00D13E49"/>
    <w:rsid w:val="00D147EB"/>
    <w:rsid w:val="00D164E7"/>
    <w:rsid w:val="00D207CE"/>
    <w:rsid w:val="00D32FB5"/>
    <w:rsid w:val="00D34667"/>
    <w:rsid w:val="00D401E1"/>
    <w:rsid w:val="00D405E6"/>
    <w:rsid w:val="00D408B4"/>
    <w:rsid w:val="00D40C0A"/>
    <w:rsid w:val="00D41E32"/>
    <w:rsid w:val="00D449B7"/>
    <w:rsid w:val="00D524C8"/>
    <w:rsid w:val="00D56FE1"/>
    <w:rsid w:val="00D62170"/>
    <w:rsid w:val="00D65099"/>
    <w:rsid w:val="00D70E24"/>
    <w:rsid w:val="00D72B61"/>
    <w:rsid w:val="00D74FAC"/>
    <w:rsid w:val="00D851EA"/>
    <w:rsid w:val="00DA3D1D"/>
    <w:rsid w:val="00DA54A1"/>
    <w:rsid w:val="00DB0B8C"/>
    <w:rsid w:val="00DB6286"/>
    <w:rsid w:val="00DB645F"/>
    <w:rsid w:val="00DB76E9"/>
    <w:rsid w:val="00DC0A67"/>
    <w:rsid w:val="00DC1D5E"/>
    <w:rsid w:val="00DC5220"/>
    <w:rsid w:val="00DC5396"/>
    <w:rsid w:val="00DC579F"/>
    <w:rsid w:val="00DC5C0E"/>
    <w:rsid w:val="00DD2061"/>
    <w:rsid w:val="00DD7DAB"/>
    <w:rsid w:val="00DE2D55"/>
    <w:rsid w:val="00DE3355"/>
    <w:rsid w:val="00DF0C60"/>
    <w:rsid w:val="00DF486F"/>
    <w:rsid w:val="00DF5B5B"/>
    <w:rsid w:val="00DF7619"/>
    <w:rsid w:val="00E042D8"/>
    <w:rsid w:val="00E07EE7"/>
    <w:rsid w:val="00E1103B"/>
    <w:rsid w:val="00E150F6"/>
    <w:rsid w:val="00E15128"/>
    <w:rsid w:val="00E175BF"/>
    <w:rsid w:val="00E17B44"/>
    <w:rsid w:val="00E20F27"/>
    <w:rsid w:val="00E22443"/>
    <w:rsid w:val="00E24CAC"/>
    <w:rsid w:val="00E25B1F"/>
    <w:rsid w:val="00E27FEA"/>
    <w:rsid w:val="00E4086F"/>
    <w:rsid w:val="00E42BCE"/>
    <w:rsid w:val="00E43B3C"/>
    <w:rsid w:val="00E50188"/>
    <w:rsid w:val="00E50BB3"/>
    <w:rsid w:val="00E515CB"/>
    <w:rsid w:val="00E520B9"/>
    <w:rsid w:val="00E52260"/>
    <w:rsid w:val="00E639B6"/>
    <w:rsid w:val="00E6434B"/>
    <w:rsid w:val="00E6463D"/>
    <w:rsid w:val="00E72E9B"/>
    <w:rsid w:val="00E72F2C"/>
    <w:rsid w:val="00E850C3"/>
    <w:rsid w:val="00E87DF2"/>
    <w:rsid w:val="00E932C4"/>
    <w:rsid w:val="00E9462E"/>
    <w:rsid w:val="00EA470E"/>
    <w:rsid w:val="00EA47A7"/>
    <w:rsid w:val="00EA57EB"/>
    <w:rsid w:val="00EB3226"/>
    <w:rsid w:val="00EC213A"/>
    <w:rsid w:val="00EC246A"/>
    <w:rsid w:val="00EC40B4"/>
    <w:rsid w:val="00EC7744"/>
    <w:rsid w:val="00ED0DAD"/>
    <w:rsid w:val="00ED0F46"/>
    <w:rsid w:val="00ED2373"/>
    <w:rsid w:val="00EE3E8A"/>
    <w:rsid w:val="00EF056C"/>
    <w:rsid w:val="00EF1342"/>
    <w:rsid w:val="00EF58B8"/>
    <w:rsid w:val="00EF5B7B"/>
    <w:rsid w:val="00EF6ECA"/>
    <w:rsid w:val="00F024E1"/>
    <w:rsid w:val="00F03C85"/>
    <w:rsid w:val="00F04941"/>
    <w:rsid w:val="00F06C10"/>
    <w:rsid w:val="00F1096F"/>
    <w:rsid w:val="00F12589"/>
    <w:rsid w:val="00F12595"/>
    <w:rsid w:val="00F134D9"/>
    <w:rsid w:val="00F1403D"/>
    <w:rsid w:val="00F1463F"/>
    <w:rsid w:val="00F16431"/>
    <w:rsid w:val="00F21302"/>
    <w:rsid w:val="00F23026"/>
    <w:rsid w:val="00F2430D"/>
    <w:rsid w:val="00F321DE"/>
    <w:rsid w:val="00F33777"/>
    <w:rsid w:val="00F371FF"/>
    <w:rsid w:val="00F403DD"/>
    <w:rsid w:val="00F40648"/>
    <w:rsid w:val="00F46AD2"/>
    <w:rsid w:val="00F47DA2"/>
    <w:rsid w:val="00F519FC"/>
    <w:rsid w:val="00F6239D"/>
    <w:rsid w:val="00F62B2A"/>
    <w:rsid w:val="00F715D2"/>
    <w:rsid w:val="00F7274F"/>
    <w:rsid w:val="00F74E84"/>
    <w:rsid w:val="00F76FA8"/>
    <w:rsid w:val="00F7740B"/>
    <w:rsid w:val="00F902EC"/>
    <w:rsid w:val="00F93F08"/>
    <w:rsid w:val="00F945EB"/>
    <w:rsid w:val="00F94CED"/>
    <w:rsid w:val="00F977D9"/>
    <w:rsid w:val="00FA02BB"/>
    <w:rsid w:val="00FA2CEE"/>
    <w:rsid w:val="00FA318C"/>
    <w:rsid w:val="00FB6F92"/>
    <w:rsid w:val="00FC026E"/>
    <w:rsid w:val="00FC5124"/>
    <w:rsid w:val="00FD4731"/>
    <w:rsid w:val="00FD6768"/>
    <w:rsid w:val="00FF0AB0"/>
    <w:rsid w:val="00FF28AC"/>
    <w:rsid w:val="00FF69FA"/>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C4479"/>
  <w15:docId w15:val="{8F035DC6-3E5D-4AAD-B8ED-7577CC4D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3B722B"/>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uiPriority w:val="99"/>
    <w:rsid w:val="00A719F6"/>
    <w:rPr>
      <w:rFonts w:ascii="Tahoma" w:hAnsi="Tahoma" w:cs="Tahoma"/>
      <w:sz w:val="16"/>
      <w:szCs w:val="16"/>
    </w:rPr>
  </w:style>
  <w:style w:type="character" w:customStyle="1" w:styleId="BalloonTextChar">
    <w:name w:val="Balloon Text Char"/>
    <w:basedOn w:val="DefaultParagraphFont"/>
    <w:link w:val="BalloonText"/>
    <w:uiPriority w:val="99"/>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semiHidden/>
    <w:unhideWhenUsed/>
    <w:rsid w:val="008B621B"/>
    <w:rPr>
      <w:sz w:val="16"/>
      <w:szCs w:val="16"/>
    </w:rPr>
  </w:style>
  <w:style w:type="paragraph" w:styleId="CommentText">
    <w:name w:val="annotation text"/>
    <w:basedOn w:val="Normal"/>
    <w:link w:val="CommentTextChar"/>
    <w:unhideWhenUsed/>
    <w:rsid w:val="003E25C3"/>
    <w:pPr>
      <w:spacing w:line="240" w:lineRule="auto"/>
    </w:pPr>
    <w:rPr>
      <w:sz w:val="20"/>
      <w:szCs w:val="20"/>
    </w:rPr>
  </w:style>
  <w:style w:type="character" w:customStyle="1" w:styleId="CommentTextChar">
    <w:name w:val="Comment Text Char"/>
    <w:basedOn w:val="DefaultParagraphFont"/>
    <w:link w:val="CommentText"/>
    <w:rsid w:val="008B621B"/>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8B621B"/>
    <w:rPr>
      <w:b/>
      <w:bCs/>
    </w:rPr>
  </w:style>
  <w:style w:type="character" w:customStyle="1" w:styleId="CommentSubjectChar">
    <w:name w:val="Comment Subject Char"/>
    <w:basedOn w:val="CommentTextChar"/>
    <w:link w:val="CommentSubject"/>
    <w:semiHidden/>
    <w:rsid w:val="008B621B"/>
    <w:rPr>
      <w:rFonts w:ascii="Arial" w:hAnsi="Arial"/>
      <w:b/>
      <w:bCs/>
      <w:color w:val="000000" w:themeColor="text1"/>
      <w:lang w:eastAsia="en-US"/>
    </w:rPr>
  </w:style>
  <w:style w:type="paragraph" w:styleId="Revision">
    <w:name w:val="Revision"/>
    <w:hidden/>
    <w:uiPriority w:val="99"/>
    <w:semiHidden/>
    <w:rsid w:val="008B621B"/>
    <w:rPr>
      <w:rFonts w:ascii="Arial" w:hAnsi="Arial"/>
      <w:color w:val="000000" w:themeColor="text1"/>
      <w:sz w:val="22"/>
      <w:szCs w:val="24"/>
      <w:lang w:eastAsia="en-US"/>
    </w:rPr>
  </w:style>
  <w:style w:type="paragraph" w:customStyle="1" w:styleId="Bullet2">
    <w:name w:val="Bullet 2"/>
    <w:basedOn w:val="Bullet1"/>
    <w:qFormat/>
    <w:rsid w:val="00491CC5"/>
    <w:pPr>
      <w:numPr>
        <w:ilvl w:val="1"/>
      </w:numPr>
      <w:ind w:left="714" w:hanging="357"/>
    </w:pPr>
  </w:style>
  <w:style w:type="paragraph" w:customStyle="1" w:styleId="PullOutText">
    <w:name w:val="Pull Out Text"/>
    <w:basedOn w:val="Normal"/>
    <w:next w:val="Normal"/>
    <w:qFormat/>
    <w:rsid w:val="00491CC5"/>
    <w:pPr>
      <w:adjustRightInd w:val="0"/>
      <w:snapToGrid w:val="0"/>
      <w:spacing w:line="264" w:lineRule="auto"/>
    </w:pPr>
    <w:rPr>
      <w:rFonts w:ascii="Verdana" w:hAnsi="Verdana"/>
      <w:b/>
      <w:color w:val="3F4A75" w:themeColor="text2"/>
      <w:sz w:val="20"/>
      <w:szCs w:val="20"/>
      <w:lang w:val="en-GB"/>
    </w:rPr>
  </w:style>
  <w:style w:type="paragraph" w:customStyle="1" w:styleId="Bullet1">
    <w:name w:val="Bullet 1"/>
    <w:basedOn w:val="Normal"/>
    <w:qFormat/>
    <w:rsid w:val="00491CC5"/>
    <w:pPr>
      <w:numPr>
        <w:numId w:val="30"/>
      </w:numPr>
      <w:spacing w:before="0" w:after="80" w:line="264" w:lineRule="auto"/>
    </w:pPr>
    <w:rPr>
      <w:rFonts w:ascii="Verdana" w:hAnsi="Verdana"/>
      <w:color w:val="3F4A75" w:themeColor="text2"/>
      <w:sz w:val="20"/>
      <w:szCs w:val="20"/>
      <w:lang w:val="en-GB"/>
    </w:rPr>
  </w:style>
  <w:style w:type="character" w:styleId="FollowedHyperlink">
    <w:name w:val="FollowedHyperlink"/>
    <w:basedOn w:val="DefaultParagraphFont"/>
    <w:semiHidden/>
    <w:unhideWhenUsed/>
    <w:rsid w:val="006B2C30"/>
    <w:rPr>
      <w:color w:val="800080" w:themeColor="followedHyperlink"/>
      <w:u w:val="single"/>
    </w:rPr>
  </w:style>
  <w:style w:type="character" w:customStyle="1" w:styleId="UnresolvedMention1">
    <w:name w:val="Unresolved Mention1"/>
    <w:basedOn w:val="DefaultParagraphFont"/>
    <w:uiPriority w:val="99"/>
    <w:semiHidden/>
    <w:unhideWhenUsed/>
    <w:rsid w:val="006B2C30"/>
    <w:rPr>
      <w:color w:val="605E5C"/>
      <w:shd w:val="clear" w:color="auto" w:fill="E1DFDD"/>
    </w:rPr>
  </w:style>
  <w:style w:type="character" w:styleId="FootnoteReference">
    <w:name w:val="footnote reference"/>
    <w:basedOn w:val="DefaultParagraphFont"/>
    <w:uiPriority w:val="99"/>
    <w:semiHidden/>
    <w:unhideWhenUsed/>
    <w:rsid w:val="002C382F"/>
    <w:rPr>
      <w:vertAlign w:val="superscript"/>
    </w:r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uiPriority w:val="34"/>
    <w:locked/>
    <w:rsid w:val="00075B97"/>
    <w:rPr>
      <w:rFonts w:ascii="Arial" w:hAnsi="Arial"/>
      <w:color w:val="000000" w:themeColor="text1"/>
      <w:sz w:val="22"/>
      <w:szCs w:val="24"/>
      <w:lang w:eastAsia="en-US"/>
    </w:rPr>
  </w:style>
  <w:style w:type="paragraph" w:customStyle="1" w:styleId="null">
    <w:name w:val="null"/>
    <w:basedOn w:val="Normal"/>
    <w:rsid w:val="00B92F0F"/>
    <w:pPr>
      <w:spacing w:before="100" w:beforeAutospacing="1" w:after="100" w:afterAutospacing="1" w:line="240" w:lineRule="auto"/>
    </w:pPr>
    <w:rPr>
      <w:rFonts w:ascii="Calibri" w:eastAsiaTheme="minorHAnsi" w:hAnsi="Calibri" w:cs="Calibri"/>
      <w:color w:val="auto"/>
      <w:szCs w:val="22"/>
      <w:lang w:eastAsia="en-AU"/>
    </w:rPr>
  </w:style>
  <w:style w:type="character" w:customStyle="1" w:styleId="null1">
    <w:name w:val="null1"/>
    <w:basedOn w:val="DefaultParagraphFont"/>
    <w:rsid w:val="00B92F0F"/>
  </w:style>
  <w:style w:type="character" w:styleId="UnresolvedMention">
    <w:name w:val="Unresolved Mention"/>
    <w:basedOn w:val="DefaultParagraphFont"/>
    <w:uiPriority w:val="99"/>
    <w:semiHidden/>
    <w:unhideWhenUsed/>
    <w:rsid w:val="003E25C3"/>
    <w:rPr>
      <w:color w:val="605E5C"/>
      <w:shd w:val="clear" w:color="auto" w:fill="E1DFDD"/>
    </w:rPr>
  </w:style>
  <w:style w:type="paragraph" w:customStyle="1" w:styleId="Paragraphtext">
    <w:name w:val="Paragraph text"/>
    <w:basedOn w:val="Normal"/>
    <w:qFormat/>
    <w:rsid w:val="002B6879"/>
    <w:pPr>
      <w:spacing w:after="60" w:line="240" w:lineRule="auto"/>
    </w:pPr>
    <w:rPr>
      <w:sz w:val="21"/>
    </w:rPr>
  </w:style>
  <w:style w:type="paragraph" w:customStyle="1" w:styleId="ParagraphKeep">
    <w:name w:val="Paragraph_Keep"/>
    <w:basedOn w:val="Normal"/>
    <w:next w:val="Bullet1"/>
    <w:qFormat/>
    <w:rsid w:val="00831063"/>
    <w:pPr>
      <w:keepNext/>
      <w:keepLines/>
      <w:adjustRightInd w:val="0"/>
      <w:snapToGrid w:val="0"/>
      <w:spacing w:line="264" w:lineRule="auto"/>
    </w:pPr>
    <w:rPr>
      <w:rFonts w:ascii="Verdana" w:hAnsi="Verdana"/>
      <w:color w:val="3F4A75" w:themeColor="text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65474644">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81412267">
      <w:bodyDiv w:val="1"/>
      <w:marLeft w:val="0"/>
      <w:marRight w:val="0"/>
      <w:marTop w:val="0"/>
      <w:marBottom w:val="0"/>
      <w:divBdr>
        <w:top w:val="none" w:sz="0" w:space="0" w:color="auto"/>
        <w:left w:val="none" w:sz="0" w:space="0" w:color="auto"/>
        <w:bottom w:val="none" w:sz="0" w:space="0" w:color="auto"/>
        <w:right w:val="none" w:sz="0" w:space="0" w:color="auto"/>
      </w:divBdr>
    </w:div>
    <w:div w:id="187075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servicesaustralia.gov.au/community-access-for-highly-specialised-drugs?context=23411"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pbs.gov.au/browse/section100-m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0D2DD4EB6B0A4AB056A92C5FC929BB" ma:contentTypeVersion="6" ma:contentTypeDescription="Create a new document." ma:contentTypeScope="" ma:versionID="c9aeda4adc519247c3c43f882b8ede2b">
  <xsd:schema xmlns:xsd="http://www.w3.org/2001/XMLSchema" xmlns:xs="http://www.w3.org/2001/XMLSchema" xmlns:p="http://schemas.microsoft.com/office/2006/metadata/properties" xmlns:ns2="b58e3696-9602-4b89-99f4-fab643e48983" xmlns:ns3="b071db27-98a6-4df6-91e8-5c4d634dc1e8" targetNamespace="http://schemas.microsoft.com/office/2006/metadata/properties" ma:root="true" ma:fieldsID="7bb545993d15c913998a30679d4283dd" ns2:_="" ns3:_="">
    <xsd:import namespace="b58e3696-9602-4b89-99f4-fab643e48983"/>
    <xsd:import namespace="b071db27-98a6-4df6-91e8-5c4d634dc1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e3696-9602-4b89-99f4-fab643e48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71db27-98a6-4df6-91e8-5c4d634dc1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2023-05-10T14:00:00+00:00</Last_x0020_reviewed>
    <_dlc_DocId xmlns="d29d5f7a-be03-4e9c-abe5-c85ece0a2186">INTCOMMS-1466148216-32</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D59DEB68DADF40BFAB8BADCB20E05F" ma:contentTypeVersion="15" ma:contentTypeDescription="Create a new document." ma:contentTypeScope="" ma:versionID="6db10e5dfad403999d4ca47b2f70883e">
  <xsd:schema xmlns:xsd="http://www.w3.org/2001/XMLSchema" xmlns:xs="http://www.w3.org/2001/XMLSchema" xmlns:p="http://schemas.microsoft.com/office/2006/metadata/properties" xmlns:ns3="e63bee3f-2996-48f0-ab89-f5ada60ac9d3" xmlns:ns4="2a2cdc2a-dcfb-41cb-930d-615fa7e85ffb" targetNamespace="http://schemas.microsoft.com/office/2006/metadata/properties" ma:root="true" ma:fieldsID="6e4bd58fcc720d3e10413f3bc717a35d" ns3:_="" ns4:_="">
    <xsd:import namespace="e63bee3f-2996-48f0-ab89-f5ada60ac9d3"/>
    <xsd:import namespace="2a2cdc2a-dcfb-41cb-930d-615fa7e85f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bee3f-2996-48f0-ab89-f5ada60ac9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cdc2a-dcfb-41cb-930d-615fa7e85f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2" ma:contentTypeDescription="Create a new document." ma:contentTypeScope="" ma:versionID="a7d779e23e312ac2691eccac908305bf">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c39ed6b69c79c9f681b09150072217cb"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7" nillable="true" ma:displayName="Sort order" ma:internalName="Sort_x0020_order">
      <xsd:simpleType>
        <xsd:restriction base="dms:Text">
          <xsd:maxLength value="255"/>
        </xsd:restriction>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pfd27f99efda4409b63228bea026394d" ma:index="10"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1"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4" nillable="true" ma:displayName="Intranet" ma:default="1" ma:hidden="true" ma:internalName="Intranet" ma:readOnly="false">
      <xsd:simpleType>
        <xsd:restriction base="dms:Boolean"/>
      </xsd:simpleType>
    </xsd:element>
    <xsd:element name="p76df81b8fed4a2fa2af18761f9ff90d" ma:index="15"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0FFE7C-032F-4869-93A3-97E5ED277914}">
  <ds:schemaRefs>
    <ds:schemaRef ds:uri="http://schemas.openxmlformats.org/officeDocument/2006/bibliography"/>
  </ds:schemaRefs>
</ds:datastoreItem>
</file>

<file path=customXml/itemProps2.xml><?xml version="1.0" encoding="utf-8"?>
<ds:datastoreItem xmlns:ds="http://schemas.openxmlformats.org/officeDocument/2006/customXml" ds:itemID="{143D0B46-325D-44D9-8CFC-340B5FCB3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e3696-9602-4b89-99f4-fab643e48983"/>
    <ds:schemaRef ds:uri="b071db27-98a6-4df6-91e8-5c4d634dc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4.xml><?xml version="1.0" encoding="utf-8"?>
<ds:datastoreItem xmlns:ds="http://schemas.openxmlformats.org/officeDocument/2006/customXml" ds:itemID="{4DF8FBA9-0667-4232-8F63-4443CA26F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bee3f-2996-48f0-ab89-f5ada60ac9d3"/>
    <ds:schemaRef ds:uri="2a2cdc2a-dcfb-41cb-930d-615fa7e85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6.xml><?xml version="1.0" encoding="utf-8"?>
<ds:datastoreItem xmlns:ds="http://schemas.openxmlformats.org/officeDocument/2006/customXml" ds:itemID="{EACF0BF5-6FA8-4FC0-998A-9EEE1F970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C3CCC73-FC82-4473-87C6-5C0EA04297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 Kylie</dc:creator>
  <cp:lastModifiedBy>MOON, Kylie</cp:lastModifiedBy>
  <cp:revision>4</cp:revision>
  <cp:lastPrinted>2023-05-31T03:58:00Z</cp:lastPrinted>
  <dcterms:created xsi:type="dcterms:W3CDTF">2024-06-27T03:12:00Z</dcterms:created>
  <dcterms:modified xsi:type="dcterms:W3CDTF">2024-06-27T04:26:00Z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