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42" w:rsidRPr="007442E6" w:rsidRDefault="002E60A3" w:rsidP="007442E6">
      <w:pPr>
        <w:pStyle w:val="Heading1"/>
      </w:pPr>
      <w:r w:rsidRPr="007442E6">
        <w:t>Active Ingredient Prescribing</w:t>
      </w:r>
      <w:r w:rsidR="007D27F8" w:rsidRPr="007442E6">
        <w:t xml:space="preserve"> - Consumer FAQs</w:t>
      </w:r>
    </w:p>
    <w:p w:rsidR="00625A0B" w:rsidRPr="007442E6" w:rsidRDefault="00625A0B" w:rsidP="007442E6">
      <w:pPr>
        <w:pStyle w:val="Heading2"/>
        <w:rPr>
          <w:sz w:val="22"/>
          <w:szCs w:val="22"/>
        </w:rPr>
      </w:pPr>
      <w:r w:rsidRPr="007442E6">
        <w:rPr>
          <w:sz w:val="22"/>
          <w:szCs w:val="22"/>
        </w:rPr>
        <w:t xml:space="preserve">What is active ingredient prescribing? </w:t>
      </w:r>
    </w:p>
    <w:p w:rsidR="00625A0B" w:rsidRPr="007442E6" w:rsidRDefault="00625A0B" w:rsidP="007D27F8">
      <w:pPr>
        <w:pStyle w:val="BodyText"/>
        <w:spacing w:before="115" w:after="240" w:line="270" w:lineRule="atLeast"/>
        <w:ind w:left="170" w:right="612"/>
      </w:pPr>
      <w:r w:rsidRPr="007442E6">
        <w:t>Pharmaceutical Benefits Scheme (PBS) and Repatriation PBS (RPBS) prescriptions are changing to list the active ingredient of medicines. This will make consumers more aware of what medicines they are taking.</w:t>
      </w:r>
    </w:p>
    <w:p w:rsidR="00625A0B" w:rsidRPr="007442E6" w:rsidRDefault="007D27F8" w:rsidP="007442E6">
      <w:pPr>
        <w:pStyle w:val="Heading2"/>
        <w:rPr>
          <w:sz w:val="22"/>
          <w:szCs w:val="22"/>
        </w:rPr>
      </w:pPr>
      <w:r w:rsidRPr="007442E6">
        <w:rPr>
          <w:sz w:val="22"/>
          <w:szCs w:val="22"/>
        </w:rPr>
        <w:t xml:space="preserve">What is an active </w:t>
      </w:r>
      <w:proofErr w:type="gramStart"/>
      <w:r w:rsidRPr="007442E6">
        <w:rPr>
          <w:sz w:val="22"/>
          <w:szCs w:val="22"/>
        </w:rPr>
        <w:t>ingredient:</w:t>
      </w:r>
      <w:bookmarkStart w:id="0" w:name="_GoBack"/>
      <w:bookmarkEnd w:id="0"/>
      <w:proofErr w:type="gramEnd"/>
    </w:p>
    <w:p w:rsidR="00625A0B" w:rsidRPr="007442E6" w:rsidRDefault="00625A0B" w:rsidP="007D27F8">
      <w:pPr>
        <w:pStyle w:val="BodyText"/>
        <w:spacing w:before="115" w:after="240" w:line="270" w:lineRule="atLeast"/>
        <w:ind w:left="170" w:right="611"/>
      </w:pPr>
      <w:r w:rsidRPr="007442E6">
        <w:t>Active ingredients are the ingredients in medicines that have an effect in the body. Examples include paracetamol, ibuprofen and insulin.</w:t>
      </w:r>
    </w:p>
    <w:p w:rsidR="00625A0B" w:rsidRPr="007442E6" w:rsidRDefault="00625A0B" w:rsidP="007442E6">
      <w:pPr>
        <w:pStyle w:val="Heading2"/>
        <w:rPr>
          <w:sz w:val="22"/>
          <w:szCs w:val="22"/>
        </w:rPr>
      </w:pPr>
      <w:r w:rsidRPr="007442E6">
        <w:rPr>
          <w:sz w:val="22"/>
          <w:szCs w:val="22"/>
        </w:rPr>
        <w:t>How will my prescriptions change?</w:t>
      </w:r>
    </w:p>
    <w:p w:rsidR="00625A0B" w:rsidRPr="007442E6" w:rsidRDefault="00625A0B" w:rsidP="007D27F8">
      <w:pPr>
        <w:pStyle w:val="BodyText"/>
        <w:spacing w:before="115" w:after="240" w:line="270" w:lineRule="atLeast"/>
        <w:ind w:left="170" w:right="612"/>
      </w:pPr>
      <w:r w:rsidRPr="007442E6">
        <w:t xml:space="preserve">Most PBS and RPBS medicines </w:t>
      </w:r>
      <w:proofErr w:type="gramStart"/>
      <w:r w:rsidRPr="007442E6">
        <w:t>will be prescribed</w:t>
      </w:r>
      <w:proofErr w:type="gramEnd"/>
      <w:r w:rsidRPr="007442E6">
        <w:t xml:space="preserve"> by active ingredient. If a prescriber includes a brand name on a prescription, the active ingredient will appear first.</w:t>
      </w:r>
    </w:p>
    <w:p w:rsidR="00625A0B" w:rsidRPr="007442E6" w:rsidRDefault="00625A0B" w:rsidP="007442E6">
      <w:pPr>
        <w:pStyle w:val="Heading2"/>
        <w:rPr>
          <w:sz w:val="22"/>
          <w:szCs w:val="22"/>
        </w:rPr>
      </w:pPr>
      <w:r w:rsidRPr="007442E6">
        <w:rPr>
          <w:sz w:val="22"/>
          <w:szCs w:val="22"/>
        </w:rPr>
        <w:t>What are the benefits of active ingredient prescribing?</w:t>
      </w:r>
    </w:p>
    <w:p w:rsidR="00625A0B" w:rsidRPr="007442E6" w:rsidRDefault="00625A0B" w:rsidP="00625A0B">
      <w:pPr>
        <w:pStyle w:val="BodyText"/>
        <w:numPr>
          <w:ilvl w:val="0"/>
          <w:numId w:val="2"/>
        </w:numPr>
        <w:tabs>
          <w:tab w:val="left" w:pos="397"/>
        </w:tabs>
        <w:spacing w:before="118" w:line="254" w:lineRule="auto"/>
        <w:ind w:right="792"/>
      </w:pPr>
      <w:r w:rsidRPr="007442E6">
        <w:t>Supporting prescribers and patients to better understand the active ingredients in their medicines;</w:t>
      </w:r>
    </w:p>
    <w:p w:rsidR="00625A0B" w:rsidRPr="007442E6" w:rsidRDefault="00625A0B" w:rsidP="00625A0B">
      <w:pPr>
        <w:pStyle w:val="BodyText"/>
        <w:numPr>
          <w:ilvl w:val="0"/>
          <w:numId w:val="2"/>
        </w:numPr>
        <w:tabs>
          <w:tab w:val="left" w:pos="397"/>
        </w:tabs>
        <w:spacing w:before="60" w:line="254" w:lineRule="auto"/>
        <w:ind w:right="213"/>
      </w:pPr>
      <w:r w:rsidRPr="007442E6">
        <w:t>Reducing the risk of patients taking multiple doses of medicines;</w:t>
      </w:r>
    </w:p>
    <w:p w:rsidR="00625A0B" w:rsidRPr="007442E6" w:rsidRDefault="00625A0B" w:rsidP="00625A0B">
      <w:pPr>
        <w:pStyle w:val="BodyText"/>
        <w:numPr>
          <w:ilvl w:val="0"/>
          <w:numId w:val="2"/>
        </w:numPr>
        <w:tabs>
          <w:tab w:val="left" w:pos="397"/>
        </w:tabs>
        <w:spacing w:before="59" w:line="254" w:lineRule="auto"/>
        <w:ind w:right="541"/>
      </w:pPr>
      <w:r w:rsidRPr="007442E6">
        <w:t>Encouraging pharmacists and patients to discuss generic</w:t>
      </w:r>
      <w:r w:rsidRPr="007442E6">
        <w:rPr>
          <w:spacing w:val="-1"/>
        </w:rPr>
        <w:t xml:space="preserve"> </w:t>
      </w:r>
      <w:r w:rsidRPr="007442E6">
        <w:t>medicines;</w:t>
      </w:r>
    </w:p>
    <w:p w:rsidR="00625A0B" w:rsidRPr="007442E6" w:rsidRDefault="00625A0B" w:rsidP="00625A0B">
      <w:pPr>
        <w:pStyle w:val="BodyText"/>
        <w:numPr>
          <w:ilvl w:val="0"/>
          <w:numId w:val="2"/>
        </w:numPr>
        <w:tabs>
          <w:tab w:val="left" w:pos="397"/>
        </w:tabs>
        <w:spacing w:before="59" w:line="254" w:lineRule="auto"/>
        <w:ind w:right="693"/>
      </w:pPr>
      <w:r w:rsidRPr="007442E6">
        <w:t>Promoting the uptake of generic and biosimilar medicines;</w:t>
      </w:r>
    </w:p>
    <w:p w:rsidR="00625A0B" w:rsidRPr="007442E6" w:rsidRDefault="00625A0B" w:rsidP="00625A0B">
      <w:pPr>
        <w:pStyle w:val="BodyText"/>
        <w:numPr>
          <w:ilvl w:val="0"/>
          <w:numId w:val="2"/>
        </w:numPr>
        <w:tabs>
          <w:tab w:val="left" w:pos="397"/>
        </w:tabs>
        <w:spacing w:before="59"/>
      </w:pPr>
      <w:r w:rsidRPr="007442E6">
        <w:t>Decreasing out-of-pocket expenses;</w:t>
      </w:r>
    </w:p>
    <w:p w:rsidR="008B2F06" w:rsidRPr="007442E6" w:rsidRDefault="00625A0B" w:rsidP="008B2F06">
      <w:pPr>
        <w:pStyle w:val="BodyText"/>
        <w:numPr>
          <w:ilvl w:val="0"/>
          <w:numId w:val="2"/>
        </w:numPr>
        <w:tabs>
          <w:tab w:val="left" w:pos="397"/>
        </w:tabs>
        <w:spacing w:before="73"/>
      </w:pPr>
      <w:r w:rsidRPr="007442E6">
        <w:t>Making the PBS more sustainable;</w:t>
      </w:r>
      <w:r w:rsidRPr="007442E6">
        <w:rPr>
          <w:spacing w:val="3"/>
        </w:rPr>
        <w:t xml:space="preserve"> </w:t>
      </w:r>
      <w:r w:rsidRPr="007442E6">
        <w:t>and</w:t>
      </w:r>
    </w:p>
    <w:p w:rsidR="00625A0B" w:rsidRPr="007442E6" w:rsidRDefault="00625A0B" w:rsidP="008B2F06">
      <w:pPr>
        <w:pStyle w:val="BodyText"/>
        <w:numPr>
          <w:ilvl w:val="0"/>
          <w:numId w:val="2"/>
        </w:numPr>
        <w:tabs>
          <w:tab w:val="left" w:pos="397"/>
        </w:tabs>
        <w:spacing w:before="73" w:after="240"/>
        <w:ind w:left="397"/>
      </w:pPr>
      <w:r w:rsidRPr="007442E6">
        <w:t>Aligning Australia with international prescribing practices.</w:t>
      </w:r>
    </w:p>
    <w:p w:rsidR="00625A0B" w:rsidRPr="007442E6" w:rsidRDefault="00625A0B" w:rsidP="007442E6">
      <w:pPr>
        <w:pStyle w:val="Heading2"/>
        <w:rPr>
          <w:sz w:val="22"/>
          <w:szCs w:val="22"/>
        </w:rPr>
      </w:pPr>
      <w:r w:rsidRPr="007442E6">
        <w:rPr>
          <w:sz w:val="22"/>
          <w:szCs w:val="22"/>
        </w:rPr>
        <w:t>When does it start?</w:t>
      </w:r>
    </w:p>
    <w:p w:rsidR="00625A0B" w:rsidRPr="007442E6" w:rsidRDefault="00625A0B" w:rsidP="007D27F8">
      <w:pPr>
        <w:pStyle w:val="BodyText"/>
        <w:spacing w:before="115" w:after="240" w:line="270" w:lineRule="atLeast"/>
        <w:ind w:left="170" w:right="612"/>
      </w:pPr>
      <w:r w:rsidRPr="007442E6">
        <w:lastRenderedPageBreak/>
        <w:t xml:space="preserve">Prescribing software has started </w:t>
      </w:r>
      <w:proofErr w:type="gramStart"/>
      <w:r w:rsidRPr="007442E6">
        <w:t>to automatically include</w:t>
      </w:r>
      <w:proofErr w:type="gramEnd"/>
      <w:r w:rsidRPr="007442E6">
        <w:t xml:space="preserve"> active ingredients on prescriptions. The change will be compulsory from 1 February 2021.</w:t>
      </w:r>
    </w:p>
    <w:p w:rsidR="00625A0B" w:rsidRPr="007442E6" w:rsidRDefault="00625A0B" w:rsidP="007442E6">
      <w:pPr>
        <w:pStyle w:val="Heading2"/>
        <w:rPr>
          <w:sz w:val="22"/>
          <w:szCs w:val="22"/>
        </w:rPr>
      </w:pPr>
      <w:r w:rsidRPr="007442E6">
        <w:rPr>
          <w:sz w:val="22"/>
          <w:szCs w:val="22"/>
        </w:rPr>
        <w:t xml:space="preserve">Can my doctor and I still choose specific brands? </w:t>
      </w:r>
    </w:p>
    <w:p w:rsidR="00625A0B" w:rsidRPr="007442E6" w:rsidRDefault="00625A0B" w:rsidP="007D27F8">
      <w:pPr>
        <w:pStyle w:val="BodyText"/>
        <w:spacing w:before="115" w:after="240" w:line="270" w:lineRule="atLeast"/>
        <w:ind w:left="170" w:right="612"/>
      </w:pPr>
      <w:r w:rsidRPr="007442E6">
        <w:t>Yes, prescribers can still select specific brands of medicine, and can include a brand name on the prescription if they believe it is necessary. Patients can still choose their medicine of choice at the pharmacy.</w:t>
      </w:r>
    </w:p>
    <w:p w:rsidR="00625A0B" w:rsidRPr="007442E6" w:rsidRDefault="00625A0B" w:rsidP="007442E6">
      <w:pPr>
        <w:pStyle w:val="Heading2"/>
        <w:rPr>
          <w:sz w:val="22"/>
          <w:szCs w:val="22"/>
        </w:rPr>
      </w:pPr>
      <w:r w:rsidRPr="007442E6">
        <w:rPr>
          <w:sz w:val="22"/>
          <w:szCs w:val="22"/>
        </w:rPr>
        <w:t>Will this change the cost of my medicine?</w:t>
      </w:r>
    </w:p>
    <w:p w:rsidR="00625A0B" w:rsidRPr="007442E6" w:rsidRDefault="00625A0B" w:rsidP="007D27F8">
      <w:pPr>
        <w:pStyle w:val="BodyText"/>
        <w:spacing w:before="115" w:after="240" w:line="270" w:lineRule="atLeast"/>
        <w:ind w:left="170" w:right="612"/>
      </w:pPr>
      <w:r w:rsidRPr="007442E6">
        <w:t>There is no change in the cost of PBS or RPBS medicines. Patients may pay less if they choose a generic or biosimilar medicine.</w:t>
      </w:r>
    </w:p>
    <w:p w:rsidR="00625A0B" w:rsidRPr="007442E6" w:rsidRDefault="00625A0B" w:rsidP="007442E6">
      <w:pPr>
        <w:pStyle w:val="Heading2"/>
        <w:rPr>
          <w:sz w:val="22"/>
          <w:szCs w:val="22"/>
        </w:rPr>
      </w:pPr>
      <w:r w:rsidRPr="007442E6">
        <w:rPr>
          <w:sz w:val="22"/>
          <w:szCs w:val="22"/>
        </w:rPr>
        <w:t>Are generic medicines safe?</w:t>
      </w:r>
    </w:p>
    <w:p w:rsidR="00C20942" w:rsidRPr="007442E6" w:rsidRDefault="00625A0B" w:rsidP="00A61352">
      <w:pPr>
        <w:pStyle w:val="BodyText"/>
        <w:spacing w:before="115" w:after="240" w:line="270" w:lineRule="atLeast"/>
        <w:ind w:left="170" w:right="612"/>
      </w:pPr>
      <w:r w:rsidRPr="007442E6">
        <w:t xml:space="preserve">Yes. The Therapeutic Goods Administration carefully assess each generic medicine before it </w:t>
      </w:r>
      <w:proofErr w:type="gramStart"/>
      <w:r w:rsidRPr="007442E6">
        <w:t>can be sold</w:t>
      </w:r>
      <w:proofErr w:type="gramEnd"/>
      <w:r w:rsidRPr="007442E6">
        <w:t xml:space="preserve"> in Australia. Tests ensure it is safe and has the same effect as the original brand.</w:t>
      </w:r>
    </w:p>
    <w:p w:rsidR="00A61352" w:rsidRPr="007442E6" w:rsidRDefault="00625A0B" w:rsidP="007442E6">
      <w:pPr>
        <w:pStyle w:val="Heading2"/>
        <w:rPr>
          <w:sz w:val="22"/>
          <w:szCs w:val="22"/>
        </w:rPr>
      </w:pPr>
      <w:proofErr w:type="gramStart"/>
      <w:r w:rsidRPr="007442E6">
        <w:rPr>
          <w:sz w:val="22"/>
          <w:szCs w:val="22"/>
        </w:rPr>
        <w:t>Who</w:t>
      </w:r>
      <w:proofErr w:type="gramEnd"/>
      <w:r w:rsidRPr="007442E6">
        <w:rPr>
          <w:sz w:val="22"/>
          <w:szCs w:val="22"/>
        </w:rPr>
        <w:t xml:space="preserve"> should I contact for more information?</w:t>
      </w:r>
    </w:p>
    <w:p w:rsidR="007D27F8" w:rsidRPr="007442E6" w:rsidRDefault="00625A0B" w:rsidP="00A61352">
      <w:pPr>
        <w:ind w:left="170"/>
        <w:rPr>
          <w:b/>
          <w:color w:val="0070C0"/>
        </w:rPr>
      </w:pPr>
      <w:r w:rsidRPr="007442E6">
        <w:t>Email any queries to</w:t>
      </w:r>
      <w:r w:rsidR="002E60A3" w:rsidRPr="007442E6">
        <w:t xml:space="preserve"> </w:t>
      </w:r>
      <w:hyperlink r:id="rId7">
        <w:r w:rsidR="002E60A3" w:rsidRPr="007442E6">
          <w:rPr>
            <w:color w:val="0000FF"/>
            <w:u w:val="single" w:color="0000FF"/>
          </w:rPr>
          <w:t>aiprescribing@health.gov.au</w:t>
        </w:r>
      </w:hyperlink>
      <w:r w:rsidR="002E60A3" w:rsidRPr="007442E6">
        <w:rPr>
          <w:color w:val="0000FF"/>
          <w:u w:val="single" w:color="0000FF"/>
        </w:rPr>
        <w:t>.</w:t>
      </w:r>
    </w:p>
    <w:sectPr w:rsidR="007D27F8" w:rsidRPr="007442E6" w:rsidSect="007D27F8">
      <w:headerReference w:type="default" r:id="rId8"/>
      <w:footerReference w:type="default" r:id="rId9"/>
      <w:pgSz w:w="11910" w:h="16840"/>
      <w:pgMar w:top="1985" w:right="1020" w:bottom="567" w:left="740" w:header="567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03" w:rsidRDefault="002E60A3">
      <w:r>
        <w:separator/>
      </w:r>
    </w:p>
  </w:endnote>
  <w:endnote w:type="continuationSeparator" w:id="0">
    <w:p w:rsidR="00C60E03" w:rsidRDefault="002E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42" w:rsidRDefault="00C20942" w:rsidP="00754B9E">
    <w:pPr>
      <w:pStyle w:val="BodyText"/>
      <w:tabs>
        <w:tab w:val="left" w:pos="9869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03" w:rsidRDefault="002E60A3">
      <w:r>
        <w:separator/>
      </w:r>
    </w:p>
  </w:footnote>
  <w:footnote w:type="continuationSeparator" w:id="0">
    <w:p w:rsidR="00C60E03" w:rsidRDefault="002E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7F8" w:rsidRDefault="007D27F8">
    <w:pPr>
      <w:pStyle w:val="BodyText"/>
      <w:spacing w:line="14" w:lineRule="auto"/>
      <w:rPr>
        <w:sz w:val="20"/>
      </w:rPr>
    </w:pPr>
  </w:p>
  <w:p w:rsidR="007D27F8" w:rsidRDefault="007D27F8">
    <w:pPr>
      <w:pStyle w:val="BodyText"/>
      <w:spacing w:line="14" w:lineRule="auto"/>
      <w:rPr>
        <w:sz w:val="20"/>
      </w:rPr>
    </w:pPr>
  </w:p>
  <w:p w:rsidR="007D27F8" w:rsidRDefault="007D27F8">
    <w:pPr>
      <w:pStyle w:val="BodyText"/>
      <w:spacing w:line="14" w:lineRule="auto"/>
      <w:rPr>
        <w:sz w:val="20"/>
      </w:rPr>
    </w:pPr>
  </w:p>
  <w:p w:rsidR="00C20942" w:rsidRDefault="007D27F8">
    <w:pPr>
      <w:pStyle w:val="BodyText"/>
      <w:spacing w:line="14" w:lineRule="auto"/>
      <w:rPr>
        <w:sz w:val="20"/>
      </w:rPr>
    </w:pPr>
    <w:r w:rsidRPr="00625A0B">
      <w:rPr>
        <w:rFonts w:ascii="Times New Roman"/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2035175</wp:posOffset>
          </wp:positionH>
          <wp:positionV relativeFrom="paragraph">
            <wp:posOffset>174625</wp:posOffset>
          </wp:positionV>
          <wp:extent cx="2019935" cy="485775"/>
          <wp:effectExtent l="0" t="0" r="0" b="9525"/>
          <wp:wrapNone/>
          <wp:docPr id="22" name="image2.png" descr="Australian Government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93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1113790</wp:posOffset>
          </wp:positionV>
          <wp:extent cx="6428663" cy="111125"/>
          <wp:effectExtent l="0" t="0" r="0" b="3175"/>
          <wp:wrapNone/>
          <wp:docPr id="23" name="image1.jpeg" descr="Banner image " title="Banner imag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28663" cy="11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2403"/>
    <w:multiLevelType w:val="hybridMultilevel"/>
    <w:tmpl w:val="9D28B7EE"/>
    <w:lvl w:ilvl="0" w:tplc="9A009972">
      <w:numFmt w:val="bullet"/>
      <w:lvlText w:val="•"/>
      <w:lvlJc w:val="left"/>
      <w:pPr>
        <w:ind w:left="396" w:hanging="227"/>
      </w:pPr>
      <w:rPr>
        <w:rFonts w:ascii="Arial" w:eastAsia="Arial" w:hAnsi="Arial" w:cs="Arial" w:hint="default"/>
        <w:w w:val="142"/>
        <w:sz w:val="20"/>
        <w:szCs w:val="20"/>
        <w:lang w:val="en-US" w:eastAsia="en-US" w:bidi="ar-SA"/>
      </w:rPr>
    </w:lvl>
    <w:lvl w:ilvl="1" w:tplc="5628BD88">
      <w:numFmt w:val="bullet"/>
      <w:lvlText w:val="•"/>
      <w:lvlJc w:val="left"/>
      <w:pPr>
        <w:ind w:left="852" w:hanging="227"/>
      </w:pPr>
      <w:rPr>
        <w:rFonts w:hint="default"/>
        <w:lang w:val="en-US" w:eastAsia="en-US" w:bidi="ar-SA"/>
      </w:rPr>
    </w:lvl>
    <w:lvl w:ilvl="2" w:tplc="A1966BE0">
      <w:numFmt w:val="bullet"/>
      <w:lvlText w:val="•"/>
      <w:lvlJc w:val="left"/>
      <w:pPr>
        <w:ind w:left="1304" w:hanging="227"/>
      </w:pPr>
      <w:rPr>
        <w:rFonts w:hint="default"/>
        <w:lang w:val="en-US" w:eastAsia="en-US" w:bidi="ar-SA"/>
      </w:rPr>
    </w:lvl>
    <w:lvl w:ilvl="3" w:tplc="FC5022AE">
      <w:numFmt w:val="bullet"/>
      <w:lvlText w:val="•"/>
      <w:lvlJc w:val="left"/>
      <w:pPr>
        <w:ind w:left="1756" w:hanging="227"/>
      </w:pPr>
      <w:rPr>
        <w:rFonts w:hint="default"/>
        <w:lang w:val="en-US" w:eastAsia="en-US" w:bidi="ar-SA"/>
      </w:rPr>
    </w:lvl>
    <w:lvl w:ilvl="4" w:tplc="DBF86AB8">
      <w:numFmt w:val="bullet"/>
      <w:lvlText w:val="•"/>
      <w:lvlJc w:val="left"/>
      <w:pPr>
        <w:ind w:left="2209" w:hanging="227"/>
      </w:pPr>
      <w:rPr>
        <w:rFonts w:hint="default"/>
        <w:lang w:val="en-US" w:eastAsia="en-US" w:bidi="ar-SA"/>
      </w:rPr>
    </w:lvl>
    <w:lvl w:ilvl="5" w:tplc="B7920B92">
      <w:numFmt w:val="bullet"/>
      <w:lvlText w:val="•"/>
      <w:lvlJc w:val="left"/>
      <w:pPr>
        <w:ind w:left="2661" w:hanging="227"/>
      </w:pPr>
      <w:rPr>
        <w:rFonts w:hint="default"/>
        <w:lang w:val="en-US" w:eastAsia="en-US" w:bidi="ar-SA"/>
      </w:rPr>
    </w:lvl>
    <w:lvl w:ilvl="6" w:tplc="476A2F1C">
      <w:numFmt w:val="bullet"/>
      <w:lvlText w:val="•"/>
      <w:lvlJc w:val="left"/>
      <w:pPr>
        <w:ind w:left="3113" w:hanging="227"/>
      </w:pPr>
      <w:rPr>
        <w:rFonts w:hint="default"/>
        <w:lang w:val="en-US" w:eastAsia="en-US" w:bidi="ar-SA"/>
      </w:rPr>
    </w:lvl>
    <w:lvl w:ilvl="7" w:tplc="B98E2AFA">
      <w:numFmt w:val="bullet"/>
      <w:lvlText w:val="•"/>
      <w:lvlJc w:val="left"/>
      <w:pPr>
        <w:ind w:left="3565" w:hanging="227"/>
      </w:pPr>
      <w:rPr>
        <w:rFonts w:hint="default"/>
        <w:lang w:val="en-US" w:eastAsia="en-US" w:bidi="ar-SA"/>
      </w:rPr>
    </w:lvl>
    <w:lvl w:ilvl="8" w:tplc="2A2AD6F0">
      <w:numFmt w:val="bullet"/>
      <w:lvlText w:val="•"/>
      <w:lvlJc w:val="left"/>
      <w:pPr>
        <w:ind w:left="4018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2B8D6F01"/>
    <w:multiLevelType w:val="hybridMultilevel"/>
    <w:tmpl w:val="B1800114"/>
    <w:lvl w:ilvl="0" w:tplc="B02ADC28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64DA5CF6">
      <w:numFmt w:val="bullet"/>
      <w:lvlText w:val="•"/>
      <w:lvlJc w:val="left"/>
      <w:pPr>
        <w:ind w:left="1770" w:hanging="361"/>
      </w:pPr>
      <w:rPr>
        <w:rFonts w:hint="default"/>
        <w:lang w:val="en-AU" w:eastAsia="en-US" w:bidi="ar-SA"/>
      </w:rPr>
    </w:lvl>
    <w:lvl w:ilvl="2" w:tplc="ABF0BE26">
      <w:numFmt w:val="bullet"/>
      <w:lvlText w:val="•"/>
      <w:lvlJc w:val="left"/>
      <w:pPr>
        <w:ind w:left="2701" w:hanging="361"/>
      </w:pPr>
      <w:rPr>
        <w:rFonts w:hint="default"/>
        <w:lang w:val="en-AU" w:eastAsia="en-US" w:bidi="ar-SA"/>
      </w:rPr>
    </w:lvl>
    <w:lvl w:ilvl="3" w:tplc="3F50462C">
      <w:numFmt w:val="bullet"/>
      <w:lvlText w:val="•"/>
      <w:lvlJc w:val="left"/>
      <w:pPr>
        <w:ind w:left="3631" w:hanging="361"/>
      </w:pPr>
      <w:rPr>
        <w:rFonts w:hint="default"/>
        <w:lang w:val="en-AU" w:eastAsia="en-US" w:bidi="ar-SA"/>
      </w:rPr>
    </w:lvl>
    <w:lvl w:ilvl="4" w:tplc="786EAB0A">
      <w:numFmt w:val="bullet"/>
      <w:lvlText w:val="•"/>
      <w:lvlJc w:val="left"/>
      <w:pPr>
        <w:ind w:left="4562" w:hanging="361"/>
      </w:pPr>
      <w:rPr>
        <w:rFonts w:hint="default"/>
        <w:lang w:val="en-AU" w:eastAsia="en-US" w:bidi="ar-SA"/>
      </w:rPr>
    </w:lvl>
    <w:lvl w:ilvl="5" w:tplc="0BDA0DCC">
      <w:numFmt w:val="bullet"/>
      <w:lvlText w:val="•"/>
      <w:lvlJc w:val="left"/>
      <w:pPr>
        <w:ind w:left="5493" w:hanging="361"/>
      </w:pPr>
      <w:rPr>
        <w:rFonts w:hint="default"/>
        <w:lang w:val="en-AU" w:eastAsia="en-US" w:bidi="ar-SA"/>
      </w:rPr>
    </w:lvl>
    <w:lvl w:ilvl="6" w:tplc="998E4222">
      <w:numFmt w:val="bullet"/>
      <w:lvlText w:val="•"/>
      <w:lvlJc w:val="left"/>
      <w:pPr>
        <w:ind w:left="6423" w:hanging="361"/>
      </w:pPr>
      <w:rPr>
        <w:rFonts w:hint="default"/>
        <w:lang w:val="en-AU" w:eastAsia="en-US" w:bidi="ar-SA"/>
      </w:rPr>
    </w:lvl>
    <w:lvl w:ilvl="7" w:tplc="7F9E4BB8">
      <w:numFmt w:val="bullet"/>
      <w:lvlText w:val="•"/>
      <w:lvlJc w:val="left"/>
      <w:pPr>
        <w:ind w:left="7354" w:hanging="361"/>
      </w:pPr>
      <w:rPr>
        <w:rFonts w:hint="default"/>
        <w:lang w:val="en-AU" w:eastAsia="en-US" w:bidi="ar-SA"/>
      </w:rPr>
    </w:lvl>
    <w:lvl w:ilvl="8" w:tplc="4F1EB05C">
      <w:numFmt w:val="bullet"/>
      <w:lvlText w:val="•"/>
      <w:lvlJc w:val="left"/>
      <w:pPr>
        <w:ind w:left="8285" w:hanging="361"/>
      </w:pPr>
      <w:rPr>
        <w:rFonts w:hint="default"/>
        <w:lang w:val="en-A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42"/>
    <w:rsid w:val="002E60A3"/>
    <w:rsid w:val="00614FC8"/>
    <w:rsid w:val="00625A0B"/>
    <w:rsid w:val="007442E6"/>
    <w:rsid w:val="00754B9E"/>
    <w:rsid w:val="007D27F8"/>
    <w:rsid w:val="007E5788"/>
    <w:rsid w:val="008B2F06"/>
    <w:rsid w:val="00A61352"/>
    <w:rsid w:val="00AC5178"/>
    <w:rsid w:val="00C20942"/>
    <w:rsid w:val="00C6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40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5"/>
      <w:ind w:left="2907" w:right="2909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4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B9E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754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B9E"/>
    <w:rPr>
      <w:rFonts w:ascii="Corbel" w:eastAsia="Corbel" w:hAnsi="Corbel" w:cs="Corbel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442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prescribing@health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2020-09-09T02:46:00Z</dcterms:created>
  <dcterms:modified xsi:type="dcterms:W3CDTF">2020-09-09T02:46:00Z</dcterms:modified>
</cp:coreProperties>
</file>