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6D" w:rsidRPr="002F627C" w:rsidRDefault="00546561" w:rsidP="00B9508E">
      <w:pPr>
        <w:pStyle w:val="Heading1"/>
        <w:rPr>
          <w:rFonts w:eastAsiaTheme="minorHAnsi" w:cstheme="majorHAnsi"/>
          <w:b/>
          <w:bCs/>
          <w:sz w:val="6"/>
          <w:szCs w:val="6"/>
        </w:rPr>
      </w:pPr>
      <w:r>
        <w:rPr>
          <w:noProof/>
          <w:lang w:eastAsia="en-AU"/>
        </w:rPr>
        <w:drawing>
          <wp:inline distT="0" distB="0" distL="0" distR="0">
            <wp:extent cx="1296286" cy="838200"/>
            <wp:effectExtent l="0" t="0" r="0" b="0"/>
            <wp:docPr id="11" name="Picture 11" descr="Department of Health Logo" title="Australian Government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oh-crest-stacked-social-sharing-sq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28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1596D" w:rsidRPr="00B9508E">
        <w:rPr>
          <w:b/>
          <w:color w:val="auto"/>
        </w:rPr>
        <w:t xml:space="preserve">Active Ingredient Prescribing </w:t>
      </w:r>
      <w:r w:rsidRPr="00B9508E">
        <w:rPr>
          <w:b/>
          <w:color w:val="auto"/>
        </w:rPr>
        <w:t>Fact Sheet</w:t>
      </w:r>
    </w:p>
    <w:p w:rsidR="00B1596D" w:rsidRPr="00A271D1" w:rsidRDefault="00441029" w:rsidP="00B1596D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>
            <wp:extent cx="5715000" cy="140505"/>
            <wp:effectExtent l="0" t="0" r="0" b="0"/>
            <wp:docPr id="12" name="image1.jpeg" descr="Banner image " title="Banner im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CD8" w:rsidRPr="00F7375C" w:rsidRDefault="00357DC6" w:rsidP="00F7375C">
      <w:pPr>
        <w:pStyle w:val="Heading2"/>
      </w:pPr>
      <w:r w:rsidRPr="00F7375C">
        <w:t>B</w:t>
      </w:r>
      <w:r w:rsidR="000E2025" w:rsidRPr="00F7375C">
        <w:t>ackground</w:t>
      </w:r>
    </w:p>
    <w:p w:rsidR="00DD2C0F" w:rsidRPr="00F7375C" w:rsidRDefault="00DD2C0F" w:rsidP="00DD2C0F">
      <w:pPr>
        <w:pStyle w:val="Default"/>
        <w:spacing w:before="20" w:after="2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F7375C">
        <w:rPr>
          <w:rFonts w:asciiTheme="majorHAnsi" w:eastAsia="Calibri" w:hAnsiTheme="majorHAnsi" w:cstheme="majorHAnsi"/>
          <w:sz w:val="22"/>
          <w:szCs w:val="22"/>
        </w:rPr>
        <w:t xml:space="preserve">From 1 February 2021, all new Pharmaceutical Benefits Scheme (PBS) and Repatriation PBS (RPBS) prescriptions </w:t>
      </w:r>
      <w:r w:rsidRPr="00F7375C">
        <w:rPr>
          <w:rFonts w:asciiTheme="majorHAnsi" w:eastAsia="Calibri" w:hAnsiTheme="majorHAnsi" w:cstheme="majorHAnsi"/>
          <w:b/>
          <w:sz w:val="22"/>
          <w:szCs w:val="22"/>
          <w:u w:val="single"/>
        </w:rPr>
        <w:t>must</w:t>
      </w:r>
      <w:r w:rsidRPr="00F7375C">
        <w:rPr>
          <w:rFonts w:asciiTheme="majorHAnsi" w:eastAsia="Calibri" w:hAnsiTheme="majorHAnsi" w:cstheme="majorHAnsi"/>
          <w:sz w:val="22"/>
          <w:szCs w:val="22"/>
        </w:rPr>
        <w:t xml:space="preserve"> include active ingredient(s), except for:</w:t>
      </w:r>
    </w:p>
    <w:p w:rsidR="00847DFE" w:rsidRPr="00F7375C" w:rsidRDefault="00847DFE" w:rsidP="000E2025">
      <w:pPr>
        <w:pStyle w:val="Default"/>
        <w:spacing w:before="20" w:after="20"/>
        <w:contextualSpacing/>
        <w:rPr>
          <w:rFonts w:asciiTheme="majorHAnsi" w:eastAsia="Calibri" w:hAnsiTheme="majorHAnsi" w:cstheme="majorHAnsi"/>
          <w:sz w:val="6"/>
          <w:szCs w:val="6"/>
        </w:rPr>
      </w:pPr>
    </w:p>
    <w:p w:rsidR="000E2025" w:rsidRPr="00F7375C" w:rsidRDefault="000E2025" w:rsidP="000E2025">
      <w:pPr>
        <w:pStyle w:val="Default"/>
        <w:numPr>
          <w:ilvl w:val="0"/>
          <w:numId w:val="1"/>
        </w:numPr>
        <w:spacing w:before="20" w:after="20"/>
        <w:contextualSpacing/>
        <w:rPr>
          <w:rFonts w:asciiTheme="majorHAnsi" w:hAnsiTheme="majorHAnsi" w:cstheme="majorHAnsi"/>
          <w:sz w:val="22"/>
          <w:szCs w:val="22"/>
        </w:rPr>
      </w:pPr>
      <w:r w:rsidRPr="00F7375C">
        <w:rPr>
          <w:rFonts w:asciiTheme="majorHAnsi" w:hAnsiTheme="majorHAnsi" w:cstheme="majorHAnsi"/>
          <w:sz w:val="22"/>
          <w:szCs w:val="22"/>
        </w:rPr>
        <w:t xml:space="preserve">Hand written prescriptions and medication charts; </w:t>
      </w:r>
    </w:p>
    <w:p w:rsidR="000E2025" w:rsidRPr="00F7375C" w:rsidRDefault="000E2025" w:rsidP="000E2025">
      <w:pPr>
        <w:pStyle w:val="Default"/>
        <w:numPr>
          <w:ilvl w:val="0"/>
          <w:numId w:val="1"/>
        </w:numPr>
        <w:spacing w:before="20" w:after="20"/>
        <w:contextualSpacing/>
        <w:rPr>
          <w:rFonts w:asciiTheme="majorHAnsi" w:hAnsiTheme="majorHAnsi" w:cstheme="majorHAnsi"/>
          <w:sz w:val="22"/>
          <w:szCs w:val="22"/>
        </w:rPr>
      </w:pPr>
      <w:r w:rsidRPr="00F7375C">
        <w:rPr>
          <w:rFonts w:asciiTheme="majorHAnsi" w:hAnsiTheme="majorHAnsi" w:cstheme="majorHAnsi"/>
          <w:sz w:val="22"/>
          <w:szCs w:val="22"/>
        </w:rPr>
        <w:t>Prescriptions developed using a ‘free text’ facility within prescribing software;</w:t>
      </w:r>
    </w:p>
    <w:p w:rsidR="000E2025" w:rsidRPr="00F7375C" w:rsidRDefault="000E2025" w:rsidP="000E2025">
      <w:pPr>
        <w:pStyle w:val="Default"/>
        <w:numPr>
          <w:ilvl w:val="0"/>
          <w:numId w:val="1"/>
        </w:numPr>
        <w:spacing w:before="20" w:after="20"/>
        <w:contextualSpacing/>
        <w:rPr>
          <w:rFonts w:asciiTheme="majorHAnsi" w:hAnsiTheme="majorHAnsi" w:cstheme="majorHAnsi"/>
          <w:sz w:val="22"/>
          <w:szCs w:val="22"/>
        </w:rPr>
      </w:pPr>
      <w:r w:rsidRPr="00F7375C">
        <w:rPr>
          <w:rFonts w:asciiTheme="majorHAnsi" w:hAnsiTheme="majorHAnsi" w:cstheme="majorHAnsi"/>
          <w:sz w:val="22"/>
          <w:szCs w:val="22"/>
        </w:rPr>
        <w:t xml:space="preserve">Paper based medication charts in the residential aged care setting;  </w:t>
      </w:r>
    </w:p>
    <w:p w:rsidR="000E2025" w:rsidRPr="00F7375C" w:rsidRDefault="000E2025" w:rsidP="000E2025">
      <w:pPr>
        <w:pStyle w:val="Default"/>
        <w:numPr>
          <w:ilvl w:val="0"/>
          <w:numId w:val="1"/>
        </w:numPr>
        <w:spacing w:before="20" w:after="20"/>
        <w:contextualSpacing/>
        <w:rPr>
          <w:rFonts w:asciiTheme="majorHAnsi" w:hAnsiTheme="majorHAnsi" w:cstheme="majorHAnsi"/>
          <w:sz w:val="22"/>
          <w:szCs w:val="22"/>
        </w:rPr>
      </w:pPr>
      <w:r w:rsidRPr="00F7375C">
        <w:rPr>
          <w:rFonts w:asciiTheme="majorHAnsi" w:hAnsiTheme="majorHAnsi" w:cstheme="majorHAnsi"/>
          <w:sz w:val="22"/>
          <w:szCs w:val="22"/>
        </w:rPr>
        <w:t xml:space="preserve">Prescriptions for medicines with four or more ingredients; and </w:t>
      </w:r>
    </w:p>
    <w:p w:rsidR="000E2025" w:rsidRPr="00F7375C" w:rsidRDefault="000E2025" w:rsidP="000E2025">
      <w:pPr>
        <w:pStyle w:val="Default"/>
        <w:numPr>
          <w:ilvl w:val="0"/>
          <w:numId w:val="1"/>
        </w:numPr>
        <w:spacing w:before="20" w:after="2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F7375C">
        <w:rPr>
          <w:rFonts w:asciiTheme="majorHAnsi" w:hAnsiTheme="majorHAnsi" w:cstheme="majorHAnsi"/>
          <w:sz w:val="22"/>
          <w:szCs w:val="22"/>
        </w:rPr>
        <w:t>Other</w:t>
      </w:r>
      <w:r w:rsidRPr="00F7375C">
        <w:rPr>
          <w:rFonts w:asciiTheme="majorHAnsi" w:eastAsia="Calibri" w:hAnsiTheme="majorHAnsi" w:cstheme="majorHAnsi"/>
          <w:sz w:val="22"/>
          <w:szCs w:val="22"/>
        </w:rPr>
        <w:t xml:space="preserve"> items as determined by the Secretary.</w:t>
      </w:r>
    </w:p>
    <w:p w:rsidR="00847DFE" w:rsidRPr="00F7375C" w:rsidRDefault="00847DFE" w:rsidP="00847DFE">
      <w:pPr>
        <w:pStyle w:val="Default"/>
        <w:spacing w:before="20" w:after="20"/>
        <w:ind w:left="720"/>
        <w:contextualSpacing/>
        <w:rPr>
          <w:rFonts w:asciiTheme="majorHAnsi" w:eastAsia="Calibri" w:hAnsiTheme="majorHAnsi" w:cstheme="majorHAnsi"/>
          <w:sz w:val="6"/>
          <w:szCs w:val="6"/>
        </w:rPr>
      </w:pPr>
    </w:p>
    <w:p w:rsidR="00F7375C" w:rsidRDefault="00847DFE" w:rsidP="00F7375C">
      <w:pPr>
        <w:pStyle w:val="Default"/>
        <w:spacing w:before="20" w:after="2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F7375C">
        <w:rPr>
          <w:rFonts w:asciiTheme="majorHAnsi" w:eastAsia="Calibri" w:hAnsiTheme="majorHAnsi" w:cstheme="majorHAnsi"/>
          <w:sz w:val="22"/>
          <w:szCs w:val="22"/>
        </w:rPr>
        <w:t xml:space="preserve">The new medicine regulations have been put in place to ensure </w:t>
      </w:r>
      <w:r w:rsidR="001C5888" w:rsidRPr="00F7375C">
        <w:rPr>
          <w:rFonts w:asciiTheme="majorHAnsi" w:eastAsia="Calibri" w:hAnsiTheme="majorHAnsi" w:cstheme="majorHAnsi"/>
          <w:sz w:val="22"/>
          <w:szCs w:val="22"/>
        </w:rPr>
        <w:t xml:space="preserve">patients receive </w:t>
      </w:r>
      <w:r w:rsidRPr="00F7375C">
        <w:rPr>
          <w:rFonts w:asciiTheme="majorHAnsi" w:eastAsia="Calibri" w:hAnsiTheme="majorHAnsi" w:cstheme="majorHAnsi"/>
          <w:sz w:val="22"/>
          <w:szCs w:val="22"/>
        </w:rPr>
        <w:t xml:space="preserve">consistent and standardised </w:t>
      </w:r>
      <w:r w:rsidR="001C5888" w:rsidRPr="00F7375C">
        <w:rPr>
          <w:rFonts w:asciiTheme="majorHAnsi" w:eastAsia="Calibri" w:hAnsiTheme="majorHAnsi" w:cstheme="majorHAnsi"/>
          <w:sz w:val="22"/>
          <w:szCs w:val="22"/>
        </w:rPr>
        <w:t xml:space="preserve">medicines </w:t>
      </w:r>
      <w:r w:rsidRPr="00F7375C">
        <w:rPr>
          <w:rFonts w:asciiTheme="majorHAnsi" w:eastAsia="Calibri" w:hAnsiTheme="majorHAnsi" w:cstheme="majorHAnsi"/>
          <w:sz w:val="22"/>
          <w:szCs w:val="22"/>
        </w:rPr>
        <w:t>information, to support safe and appropriate use of medicines</w:t>
      </w:r>
      <w:r w:rsidR="001C5888" w:rsidRPr="00F7375C">
        <w:rPr>
          <w:rFonts w:asciiTheme="majorHAnsi" w:eastAsia="Calibri" w:hAnsiTheme="majorHAnsi" w:cstheme="majorHAnsi"/>
          <w:sz w:val="22"/>
          <w:szCs w:val="22"/>
        </w:rPr>
        <w:t>, and encourage uptake of generic and biosimilar medicines</w:t>
      </w:r>
      <w:r w:rsidRPr="00F7375C">
        <w:rPr>
          <w:rFonts w:asciiTheme="majorHAnsi" w:eastAsia="Calibri" w:hAnsiTheme="majorHAnsi" w:cstheme="majorHAnsi"/>
          <w:sz w:val="22"/>
          <w:szCs w:val="22"/>
        </w:rPr>
        <w:t>. It will give prescribers and patients a better understanding of the active ingredients in their medicines and reduce safety concerns relating to patients taking multiple doses of the same medicines.</w:t>
      </w:r>
    </w:p>
    <w:p w:rsidR="00F7375C" w:rsidRPr="00F7375C" w:rsidRDefault="00F7375C" w:rsidP="00F7375C">
      <w:pPr>
        <w:pStyle w:val="Default"/>
        <w:spacing w:before="20" w:after="20"/>
        <w:contextualSpacing/>
        <w:rPr>
          <w:sz w:val="6"/>
          <w:szCs w:val="6"/>
        </w:rPr>
      </w:pPr>
    </w:p>
    <w:p w:rsidR="003F6328" w:rsidRPr="00F7375C" w:rsidRDefault="00B86854" w:rsidP="00F7375C">
      <w:pPr>
        <w:pStyle w:val="Heading2"/>
        <w:rPr>
          <w:b w:val="0"/>
          <w:bCs w:val="0"/>
        </w:rPr>
      </w:pPr>
      <w:r w:rsidRPr="00F7375C">
        <w:t xml:space="preserve">What prescribers need to know: </w:t>
      </w:r>
    </w:p>
    <w:p w:rsidR="00DD2C0F" w:rsidRPr="00F7375C" w:rsidRDefault="00DD2C0F" w:rsidP="00DD2C0F">
      <w:pPr>
        <w:pStyle w:val="Default"/>
        <w:numPr>
          <w:ilvl w:val="0"/>
          <w:numId w:val="1"/>
        </w:numPr>
        <w:spacing w:after="67"/>
        <w:rPr>
          <w:rFonts w:asciiTheme="majorHAnsi" w:hAnsiTheme="majorHAnsi" w:cstheme="majorHAnsi"/>
          <w:sz w:val="22"/>
          <w:szCs w:val="22"/>
        </w:rPr>
      </w:pPr>
      <w:r w:rsidRPr="00F7375C">
        <w:rPr>
          <w:rFonts w:asciiTheme="majorHAnsi" w:eastAsia="Calibri" w:hAnsiTheme="majorHAnsi" w:cstheme="majorHAnsi"/>
          <w:color w:val="auto"/>
          <w:sz w:val="22"/>
          <w:szCs w:val="22"/>
        </w:rPr>
        <w:t>The Department has been working with the medical software industry to ensure that all prescribing software incorporates necessary changes to automate this process for prescribers</w:t>
      </w:r>
    </w:p>
    <w:p w:rsidR="00DD2C0F" w:rsidRPr="00F7375C" w:rsidRDefault="00DD2C0F" w:rsidP="00DD2C0F">
      <w:pPr>
        <w:pStyle w:val="Default"/>
        <w:numPr>
          <w:ilvl w:val="0"/>
          <w:numId w:val="1"/>
        </w:numPr>
        <w:spacing w:after="67"/>
        <w:rPr>
          <w:rFonts w:asciiTheme="majorHAnsi" w:hAnsiTheme="majorHAnsi" w:cstheme="majorHAnsi"/>
          <w:sz w:val="22"/>
          <w:szCs w:val="22"/>
        </w:rPr>
      </w:pPr>
      <w:r w:rsidRPr="00F7375C">
        <w:rPr>
          <w:rFonts w:asciiTheme="majorHAnsi" w:eastAsia="Calibri" w:hAnsiTheme="majorHAnsi" w:cstheme="majorHAnsi"/>
          <w:color w:val="auto"/>
          <w:sz w:val="22"/>
          <w:szCs w:val="22"/>
        </w:rPr>
        <w:t>Prescribers can still include a brand name after active ingredient(s) on prescriptions if clinically necessary for their patient, and</w:t>
      </w:r>
      <w:r w:rsidRPr="00F7375C">
        <w:rPr>
          <w:rFonts w:asciiTheme="majorHAnsi" w:hAnsiTheme="majorHAnsi" w:cstheme="majorHAnsi"/>
          <w:sz w:val="22"/>
          <w:szCs w:val="22"/>
        </w:rPr>
        <w:t xml:space="preserve"> still disallow brand substitution where required</w:t>
      </w:r>
    </w:p>
    <w:p w:rsidR="003F6328" w:rsidRPr="00F7375C" w:rsidRDefault="003F6328" w:rsidP="00546561">
      <w:pPr>
        <w:pStyle w:val="Default"/>
        <w:numPr>
          <w:ilvl w:val="0"/>
          <w:numId w:val="6"/>
        </w:numPr>
        <w:spacing w:after="80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F7375C">
        <w:rPr>
          <w:rFonts w:asciiTheme="majorHAnsi" w:hAnsiTheme="majorHAnsi" w:cstheme="majorHAnsi"/>
          <w:bCs/>
          <w:sz w:val="22"/>
          <w:szCs w:val="22"/>
        </w:rPr>
        <w:t>Presc</w:t>
      </w:r>
      <w:r w:rsidRPr="00F7375C">
        <w:rPr>
          <w:rFonts w:asciiTheme="majorHAnsi" w:eastAsia="Calibri" w:hAnsiTheme="majorHAnsi" w:cstheme="majorHAnsi"/>
          <w:color w:val="auto"/>
          <w:sz w:val="22"/>
          <w:szCs w:val="22"/>
        </w:rPr>
        <w:t>ribers must now ensure all PBS and RPBS prescriptions (in both the hospital and community settings) prepared from 1 February 202</w:t>
      </w:r>
      <w:r w:rsidR="00847DFE" w:rsidRPr="00F7375C">
        <w:rPr>
          <w:rFonts w:asciiTheme="majorHAnsi" w:eastAsia="Calibri" w:hAnsiTheme="majorHAnsi" w:cstheme="majorHAnsi"/>
          <w:color w:val="auto"/>
          <w:sz w:val="22"/>
          <w:szCs w:val="22"/>
        </w:rPr>
        <w:t>1 meet legislative requirements</w:t>
      </w:r>
    </w:p>
    <w:p w:rsidR="00B1596D" w:rsidRPr="00F7375C" w:rsidRDefault="00B1596D" w:rsidP="00F7375C">
      <w:pPr>
        <w:pStyle w:val="Heading2"/>
        <w:rPr>
          <w:b w:val="0"/>
          <w:bCs w:val="0"/>
        </w:rPr>
      </w:pPr>
      <w:r w:rsidRPr="00F7375C">
        <w:t xml:space="preserve">What prescribers need to do: </w:t>
      </w:r>
    </w:p>
    <w:p w:rsidR="00847DFE" w:rsidRPr="002F627C" w:rsidRDefault="0040305C" w:rsidP="002F627C">
      <w:pPr>
        <w:pStyle w:val="Default"/>
        <w:numPr>
          <w:ilvl w:val="0"/>
          <w:numId w:val="1"/>
        </w:numPr>
        <w:spacing w:after="67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2F627C">
        <w:rPr>
          <w:rFonts w:asciiTheme="majorHAnsi" w:eastAsia="Calibri" w:hAnsiTheme="majorHAnsi" w:cstheme="majorHAnsi"/>
          <w:b/>
          <w:i/>
          <w:color w:val="auto"/>
          <w:sz w:val="22"/>
          <w:szCs w:val="22"/>
        </w:rPr>
        <w:t xml:space="preserve">Upgrade prescribing </w:t>
      </w:r>
      <w:r w:rsidR="003401AD" w:rsidRPr="002F627C">
        <w:rPr>
          <w:rFonts w:asciiTheme="majorHAnsi" w:eastAsia="Calibri" w:hAnsiTheme="majorHAnsi" w:cstheme="majorHAnsi"/>
          <w:b/>
          <w:i/>
          <w:color w:val="auto"/>
          <w:sz w:val="22"/>
          <w:szCs w:val="22"/>
        </w:rPr>
        <w:t>s</w:t>
      </w:r>
      <w:r w:rsidR="00B1596D" w:rsidRPr="002F627C">
        <w:rPr>
          <w:rFonts w:asciiTheme="majorHAnsi" w:eastAsia="Calibri" w:hAnsiTheme="majorHAnsi" w:cstheme="majorHAnsi"/>
          <w:b/>
          <w:i/>
          <w:color w:val="auto"/>
          <w:sz w:val="22"/>
          <w:szCs w:val="22"/>
        </w:rPr>
        <w:t>oftware</w:t>
      </w:r>
      <w:r w:rsidR="003F6328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</w:t>
      </w:r>
      <w:r w:rsidR="003401A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–</w:t>
      </w:r>
      <w:r w:rsidR="003F6328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</w:t>
      </w:r>
      <w:r w:rsidR="00DD2C0F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make </w:t>
      </w:r>
      <w:r w:rsidR="001C5888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sure you have </w:t>
      </w:r>
      <w:r w:rsidR="00B1596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up</w:t>
      </w:r>
      <w:r w:rsidR="001C5888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dated</w:t>
      </w:r>
      <w:r w:rsidR="00B1596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your software to the latest version that </w:t>
      </w:r>
      <w:r w:rsidR="00847DFE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supports </w:t>
      </w:r>
      <w:r w:rsidR="00357DC6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Active Ingredient Prescribing (</w:t>
      </w:r>
      <w:r w:rsidR="00B1596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AIP</w:t>
      </w:r>
      <w:r w:rsidR="00357DC6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)</w:t>
      </w:r>
      <w:r w:rsidR="001C5888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, to ensure you are generating valid prescriptions.</w:t>
      </w:r>
      <w:r w:rsidR="00B1596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</w:t>
      </w:r>
    </w:p>
    <w:p w:rsidR="00F37C64" w:rsidRPr="002F627C" w:rsidRDefault="00F37C64" w:rsidP="002F627C">
      <w:pPr>
        <w:pStyle w:val="Default"/>
        <w:numPr>
          <w:ilvl w:val="0"/>
          <w:numId w:val="1"/>
        </w:numPr>
        <w:spacing w:after="67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2F627C">
        <w:rPr>
          <w:rFonts w:asciiTheme="majorHAnsi" w:eastAsia="Calibri" w:hAnsiTheme="majorHAnsi" w:cstheme="majorHAnsi"/>
          <w:b/>
          <w:i/>
          <w:color w:val="auto"/>
          <w:sz w:val="22"/>
          <w:szCs w:val="22"/>
        </w:rPr>
        <w:t>Prescription</w:t>
      </w:r>
      <w:r w:rsidR="003401AD" w:rsidRPr="002F627C">
        <w:rPr>
          <w:rFonts w:asciiTheme="majorHAnsi" w:eastAsia="Calibri" w:hAnsiTheme="majorHAnsi" w:cstheme="majorHAnsi"/>
          <w:b/>
          <w:i/>
          <w:color w:val="auto"/>
          <w:sz w:val="22"/>
          <w:szCs w:val="22"/>
        </w:rPr>
        <w:t xml:space="preserve"> accuracy</w:t>
      </w:r>
      <w:r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– </w:t>
      </w:r>
      <w:r w:rsidR="001C5888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after printing prescriptions, </w:t>
      </w:r>
      <w:r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ensure all </w:t>
      </w:r>
      <w:r w:rsidR="003401A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details are accurate, and </w:t>
      </w:r>
      <w:r w:rsidR="0040305C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are </w:t>
      </w:r>
      <w:r w:rsidR="003401A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PBS</w:t>
      </w:r>
      <w:r w:rsidR="001C5888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/RPBS</w:t>
      </w:r>
      <w:r w:rsidR="003401A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compliant</w:t>
      </w:r>
      <w:r w:rsidR="007917B7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, and all necessary instructions and information is available for pharmacists.</w:t>
      </w:r>
    </w:p>
    <w:p w:rsidR="009A4D75" w:rsidRPr="002F627C" w:rsidRDefault="009A4D75" w:rsidP="002F627C">
      <w:pPr>
        <w:pStyle w:val="Default"/>
        <w:numPr>
          <w:ilvl w:val="0"/>
          <w:numId w:val="1"/>
        </w:numPr>
        <w:spacing w:after="67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2F627C">
        <w:rPr>
          <w:rFonts w:asciiTheme="majorHAnsi" w:eastAsia="Calibri" w:hAnsiTheme="majorHAnsi" w:cstheme="majorHAnsi"/>
          <w:b/>
          <w:i/>
          <w:color w:val="auto"/>
          <w:sz w:val="22"/>
          <w:szCs w:val="22"/>
        </w:rPr>
        <w:t>Patient understanding</w:t>
      </w:r>
      <w:r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</w:t>
      </w:r>
      <w:r w:rsidR="005D7C6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–</w:t>
      </w:r>
      <w:r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</w:t>
      </w:r>
      <w:r w:rsidR="005D7C6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support patients </w:t>
      </w:r>
      <w:r w:rsidR="007917B7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to </w:t>
      </w:r>
      <w:r w:rsidR="00847DFE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understand</w:t>
      </w:r>
      <w:r w:rsidR="005D7C6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the </w:t>
      </w:r>
      <w:r w:rsidR="007917B7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change to their prescriptions, and the </w:t>
      </w:r>
      <w:r w:rsidR="005D7C6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active ingredients in their medicines</w:t>
      </w:r>
      <w:r w:rsidR="007917B7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.</w:t>
      </w:r>
      <w:r w:rsidR="005D7C6D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</w:t>
      </w:r>
    </w:p>
    <w:p w:rsidR="00B1596D" w:rsidRPr="002F627C" w:rsidRDefault="00B1596D" w:rsidP="002F627C">
      <w:pPr>
        <w:pStyle w:val="Default"/>
        <w:numPr>
          <w:ilvl w:val="0"/>
          <w:numId w:val="1"/>
        </w:numPr>
        <w:spacing w:after="67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2F627C">
        <w:rPr>
          <w:rFonts w:asciiTheme="majorHAnsi" w:eastAsia="Calibri" w:hAnsiTheme="majorHAnsi" w:cstheme="majorHAnsi"/>
          <w:b/>
          <w:i/>
          <w:color w:val="auto"/>
          <w:sz w:val="22"/>
          <w:szCs w:val="22"/>
        </w:rPr>
        <w:t>Stay up to date</w:t>
      </w:r>
      <w:r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</w:t>
      </w:r>
      <w:r w:rsidR="003F6328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- </w:t>
      </w:r>
      <w:r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with communication</w:t>
      </w:r>
      <w:r w:rsidR="007917B7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s</w:t>
      </w:r>
      <w:r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from clinical peak organisations</w:t>
      </w:r>
      <w:r w:rsidR="00A271D1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and your software provider</w:t>
      </w:r>
      <w:r w:rsidR="007917B7"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>, and watch for any future updates to your prescribing software</w:t>
      </w:r>
      <w:r w:rsidRPr="002F627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. </w:t>
      </w:r>
    </w:p>
    <w:p w:rsidR="00B1596D" w:rsidRPr="00F7375C" w:rsidRDefault="00B1596D" w:rsidP="00B1596D">
      <w:pPr>
        <w:pStyle w:val="Default"/>
        <w:rPr>
          <w:rFonts w:asciiTheme="majorHAnsi" w:hAnsiTheme="majorHAnsi" w:cstheme="majorHAnsi"/>
          <w:sz w:val="6"/>
          <w:szCs w:val="6"/>
        </w:rPr>
      </w:pPr>
    </w:p>
    <w:p w:rsidR="00B1596D" w:rsidRPr="00F7375C" w:rsidRDefault="00293CD8" w:rsidP="00F7375C">
      <w:pPr>
        <w:pStyle w:val="Heading2"/>
      </w:pPr>
      <w:r w:rsidRPr="00F7375C">
        <w:t>Additional</w:t>
      </w:r>
      <w:r w:rsidR="00B1596D" w:rsidRPr="00F7375C">
        <w:t xml:space="preserve"> information: </w:t>
      </w:r>
    </w:p>
    <w:p w:rsidR="00293CD8" w:rsidRPr="00F7375C" w:rsidRDefault="007917B7" w:rsidP="00847DFE">
      <w:pPr>
        <w:spacing w:after="0"/>
        <w:rPr>
          <w:rFonts w:asciiTheme="majorHAnsi" w:hAnsiTheme="majorHAnsi" w:cstheme="majorHAnsi"/>
        </w:rPr>
      </w:pPr>
      <w:r w:rsidRPr="00F7375C">
        <w:rPr>
          <w:rFonts w:asciiTheme="majorHAnsi" w:hAnsiTheme="majorHAnsi" w:cstheme="majorHAnsi"/>
        </w:rPr>
        <w:t>A range of educational and support materials have been developed concerning</w:t>
      </w:r>
      <w:r w:rsidR="00293CD8" w:rsidRPr="00F7375C">
        <w:rPr>
          <w:rFonts w:asciiTheme="majorHAnsi" w:hAnsiTheme="majorHAnsi" w:cstheme="majorHAnsi"/>
        </w:rPr>
        <w:t xml:space="preserve"> Active Ingredient Prescribing</w:t>
      </w:r>
      <w:r w:rsidRPr="00F7375C">
        <w:rPr>
          <w:rFonts w:asciiTheme="majorHAnsi" w:hAnsiTheme="majorHAnsi" w:cstheme="majorHAnsi"/>
        </w:rPr>
        <w:t>,</w:t>
      </w:r>
      <w:r w:rsidR="00293CD8" w:rsidRPr="00F7375C">
        <w:rPr>
          <w:rFonts w:asciiTheme="majorHAnsi" w:hAnsiTheme="majorHAnsi" w:cstheme="majorHAnsi"/>
        </w:rPr>
        <w:t xml:space="preserve"> </w:t>
      </w:r>
      <w:r w:rsidR="00A271D1" w:rsidRPr="00F7375C">
        <w:rPr>
          <w:rFonts w:asciiTheme="majorHAnsi" w:hAnsiTheme="majorHAnsi" w:cstheme="majorHAnsi"/>
        </w:rPr>
        <w:t>includ</w:t>
      </w:r>
      <w:r w:rsidRPr="00F7375C">
        <w:rPr>
          <w:rFonts w:asciiTheme="majorHAnsi" w:hAnsiTheme="majorHAnsi" w:cstheme="majorHAnsi"/>
        </w:rPr>
        <w:t>ing</w:t>
      </w:r>
      <w:r w:rsidR="00A271D1" w:rsidRPr="00F7375C">
        <w:rPr>
          <w:rFonts w:asciiTheme="majorHAnsi" w:hAnsiTheme="majorHAnsi" w:cstheme="majorHAnsi"/>
        </w:rPr>
        <w:t xml:space="preserve"> the following</w:t>
      </w:r>
      <w:r w:rsidR="00293CD8" w:rsidRPr="00F7375C">
        <w:rPr>
          <w:rFonts w:asciiTheme="majorHAnsi" w:hAnsiTheme="majorHAnsi" w:cstheme="majorHAnsi"/>
        </w:rPr>
        <w:t xml:space="preserve">: </w:t>
      </w:r>
    </w:p>
    <w:p w:rsidR="00847DFE" w:rsidRPr="00F7375C" w:rsidRDefault="00847DFE" w:rsidP="00847DFE">
      <w:pPr>
        <w:spacing w:after="0"/>
        <w:rPr>
          <w:rFonts w:asciiTheme="majorHAnsi" w:hAnsiTheme="majorHAnsi" w:cstheme="majorHAnsi"/>
          <w:sz w:val="6"/>
          <w:szCs w:val="6"/>
        </w:rPr>
      </w:pPr>
    </w:p>
    <w:p w:rsidR="00293CD8" w:rsidRPr="00F7375C" w:rsidRDefault="00293CD8" w:rsidP="00847DFE">
      <w:pPr>
        <w:pStyle w:val="Default"/>
        <w:numPr>
          <w:ilvl w:val="0"/>
          <w:numId w:val="2"/>
        </w:numPr>
        <w:spacing w:after="67"/>
        <w:rPr>
          <w:rFonts w:asciiTheme="majorHAnsi" w:hAnsiTheme="majorHAnsi" w:cstheme="majorHAnsi"/>
          <w:sz w:val="22"/>
          <w:szCs w:val="22"/>
        </w:rPr>
      </w:pPr>
      <w:r w:rsidRPr="00F7375C">
        <w:rPr>
          <w:rFonts w:asciiTheme="majorHAnsi" w:hAnsiTheme="majorHAnsi" w:cstheme="majorHAnsi"/>
          <w:sz w:val="22"/>
          <w:szCs w:val="22"/>
        </w:rPr>
        <w:lastRenderedPageBreak/>
        <w:t xml:space="preserve">Clinical Support Materials including an </w:t>
      </w:r>
      <w:r w:rsidR="00357DC6" w:rsidRPr="00F7375C">
        <w:rPr>
          <w:rFonts w:asciiTheme="majorHAnsi" w:hAnsiTheme="majorHAnsi" w:cstheme="majorHAnsi"/>
          <w:sz w:val="22"/>
          <w:szCs w:val="22"/>
        </w:rPr>
        <w:t>AIP</w:t>
      </w:r>
      <w:r w:rsidRPr="00F7375C">
        <w:rPr>
          <w:rFonts w:asciiTheme="majorHAnsi" w:hAnsiTheme="majorHAnsi" w:cstheme="majorHAnsi"/>
          <w:sz w:val="22"/>
          <w:szCs w:val="22"/>
        </w:rPr>
        <w:t xml:space="preserve"> User Guide, List of Medicines for Brand Consideration and List of Excluded Medicinal Items </w:t>
      </w:r>
      <w:r w:rsidR="007917B7" w:rsidRPr="00F7375C">
        <w:rPr>
          <w:rFonts w:asciiTheme="majorHAnsi" w:hAnsiTheme="majorHAnsi" w:cstheme="majorHAnsi"/>
          <w:sz w:val="22"/>
          <w:szCs w:val="22"/>
        </w:rPr>
        <w:t xml:space="preserve">are </w:t>
      </w:r>
      <w:r w:rsidRPr="00F7375C">
        <w:rPr>
          <w:rFonts w:asciiTheme="majorHAnsi" w:hAnsiTheme="majorHAnsi" w:cstheme="majorHAnsi"/>
          <w:sz w:val="22"/>
          <w:szCs w:val="22"/>
        </w:rPr>
        <w:t xml:space="preserve">available on the Australian Commission on Safety and Quality in Health Care’s </w:t>
      </w:r>
      <w:hyperlink r:id="rId9" w:history="1">
        <w:r w:rsidRPr="00F7375C">
          <w:rPr>
            <w:rStyle w:val="Hyperlink"/>
            <w:rFonts w:asciiTheme="majorHAnsi" w:hAnsiTheme="majorHAnsi" w:cstheme="majorHAnsi"/>
            <w:sz w:val="22"/>
            <w:szCs w:val="22"/>
          </w:rPr>
          <w:t>website</w:t>
        </w:r>
      </w:hyperlink>
      <w:r w:rsidRPr="00F7375C">
        <w:rPr>
          <w:rFonts w:asciiTheme="majorHAnsi" w:hAnsiTheme="majorHAnsi" w:cstheme="majorHAnsi"/>
          <w:sz w:val="22"/>
          <w:szCs w:val="22"/>
        </w:rPr>
        <w:t>;</w:t>
      </w:r>
    </w:p>
    <w:p w:rsidR="00293CD8" w:rsidRPr="00F7375C" w:rsidRDefault="00293CD8" w:rsidP="00847DFE">
      <w:pPr>
        <w:pStyle w:val="Default"/>
        <w:numPr>
          <w:ilvl w:val="0"/>
          <w:numId w:val="2"/>
        </w:numPr>
        <w:spacing w:after="67"/>
        <w:rPr>
          <w:rFonts w:asciiTheme="majorHAnsi" w:hAnsiTheme="majorHAnsi" w:cstheme="majorHAnsi"/>
          <w:sz w:val="22"/>
          <w:szCs w:val="22"/>
        </w:rPr>
      </w:pPr>
      <w:r w:rsidRPr="00F7375C">
        <w:rPr>
          <w:rFonts w:asciiTheme="majorHAnsi" w:hAnsiTheme="majorHAnsi" w:cstheme="majorHAnsi"/>
          <w:sz w:val="22"/>
          <w:szCs w:val="22"/>
        </w:rPr>
        <w:t>Fact Sheets, FAQ pages and other resources for prescribers, pharmacists and consumers</w:t>
      </w:r>
      <w:r w:rsidR="007917B7" w:rsidRPr="00F7375C">
        <w:rPr>
          <w:rFonts w:asciiTheme="majorHAnsi" w:hAnsiTheme="majorHAnsi" w:cstheme="majorHAnsi"/>
          <w:sz w:val="22"/>
          <w:szCs w:val="22"/>
        </w:rPr>
        <w:t xml:space="preserve"> are available</w:t>
      </w:r>
      <w:r w:rsidRPr="00F7375C">
        <w:rPr>
          <w:rFonts w:asciiTheme="majorHAnsi" w:hAnsiTheme="majorHAnsi" w:cstheme="majorHAnsi"/>
          <w:sz w:val="22"/>
          <w:szCs w:val="22"/>
        </w:rPr>
        <w:t xml:space="preserve"> on the </w:t>
      </w:r>
      <w:hyperlink r:id="rId10" w:history="1">
        <w:r w:rsidRPr="00F7375C">
          <w:rPr>
            <w:rStyle w:val="Hyperlink"/>
            <w:rFonts w:asciiTheme="majorHAnsi" w:hAnsiTheme="majorHAnsi" w:cstheme="majorHAnsi"/>
            <w:sz w:val="22"/>
            <w:szCs w:val="22"/>
          </w:rPr>
          <w:t>NPS MedicineWise</w:t>
        </w:r>
      </w:hyperlink>
      <w:r w:rsidRPr="00F7375C">
        <w:rPr>
          <w:rFonts w:asciiTheme="majorHAnsi" w:hAnsiTheme="majorHAnsi" w:cstheme="majorHAnsi"/>
          <w:sz w:val="22"/>
          <w:szCs w:val="22"/>
        </w:rPr>
        <w:t xml:space="preserve"> and </w:t>
      </w:r>
      <w:hyperlink r:id="rId11" w:history="1">
        <w:r w:rsidRPr="00F7375C">
          <w:rPr>
            <w:rStyle w:val="Hyperlink"/>
            <w:rFonts w:asciiTheme="majorHAnsi" w:hAnsiTheme="majorHAnsi" w:cstheme="majorHAnsi"/>
            <w:sz w:val="22"/>
            <w:szCs w:val="22"/>
          </w:rPr>
          <w:t>PBS</w:t>
        </w:r>
      </w:hyperlink>
      <w:r w:rsidRPr="00F7375C">
        <w:rPr>
          <w:rFonts w:asciiTheme="majorHAnsi" w:hAnsiTheme="majorHAnsi" w:cstheme="majorHAnsi"/>
          <w:sz w:val="22"/>
          <w:szCs w:val="22"/>
        </w:rPr>
        <w:t xml:space="preserve"> websites; </w:t>
      </w:r>
    </w:p>
    <w:p w:rsidR="00293CD8" w:rsidRPr="00F7375C" w:rsidRDefault="00293CD8" w:rsidP="00847DFE">
      <w:pPr>
        <w:pStyle w:val="Default"/>
        <w:numPr>
          <w:ilvl w:val="0"/>
          <w:numId w:val="2"/>
        </w:numPr>
        <w:spacing w:after="67"/>
        <w:rPr>
          <w:rFonts w:asciiTheme="majorHAnsi" w:hAnsiTheme="majorHAnsi" w:cstheme="majorHAnsi"/>
          <w:sz w:val="22"/>
          <w:szCs w:val="22"/>
        </w:rPr>
      </w:pPr>
      <w:r w:rsidRPr="00F7375C">
        <w:rPr>
          <w:rFonts w:asciiTheme="majorHAnsi" w:hAnsiTheme="majorHAnsi" w:cstheme="majorHAnsi"/>
          <w:sz w:val="22"/>
          <w:szCs w:val="22"/>
        </w:rPr>
        <w:t xml:space="preserve">Newsletter articles are available on the </w:t>
      </w:r>
      <w:hyperlink r:id="rId12" w:history="1">
        <w:r w:rsidRPr="00F7375C">
          <w:rPr>
            <w:rStyle w:val="Hyperlink"/>
            <w:rFonts w:asciiTheme="majorHAnsi" w:hAnsiTheme="majorHAnsi" w:cstheme="majorHAnsi"/>
            <w:sz w:val="22"/>
            <w:szCs w:val="22"/>
          </w:rPr>
          <w:t>Australian College of Rural and Remote Medicine</w:t>
        </w:r>
      </w:hyperlink>
      <w:r w:rsidRPr="00F7375C">
        <w:rPr>
          <w:rFonts w:asciiTheme="majorHAnsi" w:hAnsiTheme="majorHAnsi" w:cstheme="majorHAnsi"/>
          <w:sz w:val="22"/>
          <w:szCs w:val="22"/>
        </w:rPr>
        <w:t xml:space="preserve">, </w:t>
      </w:r>
      <w:hyperlink r:id="rId13" w:history="1">
        <w:r w:rsidRPr="00F7375C">
          <w:rPr>
            <w:rStyle w:val="Hyperlink"/>
            <w:rFonts w:asciiTheme="majorHAnsi" w:hAnsiTheme="majorHAnsi" w:cstheme="majorHAnsi"/>
            <w:sz w:val="22"/>
            <w:szCs w:val="22"/>
          </w:rPr>
          <w:t>Australian Medical Association</w:t>
        </w:r>
      </w:hyperlink>
      <w:r w:rsidRPr="00F7375C">
        <w:rPr>
          <w:rFonts w:asciiTheme="majorHAnsi" w:hAnsiTheme="majorHAnsi" w:cstheme="majorHAnsi"/>
          <w:sz w:val="22"/>
          <w:szCs w:val="22"/>
        </w:rPr>
        <w:t xml:space="preserve">, and </w:t>
      </w:r>
      <w:hyperlink r:id="rId14" w:history="1">
        <w:r w:rsidRPr="00F7375C">
          <w:rPr>
            <w:rStyle w:val="Hyperlink"/>
            <w:rFonts w:asciiTheme="majorHAnsi" w:hAnsiTheme="majorHAnsi" w:cstheme="majorHAnsi"/>
            <w:sz w:val="22"/>
            <w:szCs w:val="22"/>
          </w:rPr>
          <w:t>Royal Australian College of General Practitioners</w:t>
        </w:r>
      </w:hyperlink>
      <w:r w:rsidRPr="00F7375C">
        <w:rPr>
          <w:rFonts w:asciiTheme="majorHAnsi" w:hAnsiTheme="majorHAnsi" w:cstheme="majorHAnsi"/>
          <w:sz w:val="22"/>
          <w:szCs w:val="22"/>
        </w:rPr>
        <w:t xml:space="preserve"> and </w:t>
      </w:r>
      <w:hyperlink r:id="rId15" w:history="1">
        <w:r w:rsidRPr="00F7375C">
          <w:rPr>
            <w:rFonts w:asciiTheme="majorHAnsi" w:hAnsiTheme="majorHAnsi" w:cstheme="majorHAnsi"/>
            <w:sz w:val="22"/>
            <w:szCs w:val="22"/>
          </w:rPr>
          <w:t>Pharmacy Guild</w:t>
        </w:r>
      </w:hyperlink>
      <w:r w:rsidRPr="00F7375C">
        <w:rPr>
          <w:rFonts w:asciiTheme="majorHAnsi" w:hAnsiTheme="majorHAnsi" w:cstheme="majorHAnsi"/>
          <w:sz w:val="22"/>
          <w:szCs w:val="22"/>
        </w:rPr>
        <w:t xml:space="preserve"> websites. </w:t>
      </w:r>
    </w:p>
    <w:p w:rsidR="00847DFE" w:rsidRPr="00F7375C" w:rsidRDefault="00847DFE" w:rsidP="00847DFE">
      <w:pPr>
        <w:spacing w:after="0"/>
        <w:rPr>
          <w:rFonts w:asciiTheme="majorHAnsi" w:hAnsiTheme="majorHAnsi" w:cstheme="majorHAnsi"/>
          <w:sz w:val="6"/>
          <w:szCs w:val="6"/>
        </w:rPr>
      </w:pPr>
    </w:p>
    <w:p w:rsidR="008B7A4D" w:rsidRPr="00A271D1" w:rsidRDefault="003F6328" w:rsidP="00847DFE">
      <w:pPr>
        <w:spacing w:after="0"/>
        <w:rPr>
          <w:rFonts w:asciiTheme="majorHAnsi" w:hAnsiTheme="majorHAnsi" w:cstheme="majorHAnsi"/>
        </w:rPr>
      </w:pPr>
      <w:r w:rsidRPr="00F7375C">
        <w:rPr>
          <w:rFonts w:asciiTheme="majorHAnsi" w:hAnsiTheme="majorHAnsi" w:cstheme="majorHAnsi"/>
        </w:rPr>
        <w:t>Further q</w:t>
      </w:r>
      <w:r w:rsidR="00B1596D" w:rsidRPr="00F7375C">
        <w:rPr>
          <w:rFonts w:asciiTheme="majorHAnsi" w:hAnsiTheme="majorHAnsi" w:cstheme="majorHAnsi"/>
        </w:rPr>
        <w:t xml:space="preserve">uestions </w:t>
      </w:r>
      <w:r w:rsidRPr="00F7375C">
        <w:rPr>
          <w:rFonts w:asciiTheme="majorHAnsi" w:hAnsiTheme="majorHAnsi" w:cstheme="majorHAnsi"/>
        </w:rPr>
        <w:t>can</w:t>
      </w:r>
      <w:r w:rsidR="00B1596D" w:rsidRPr="00F7375C">
        <w:rPr>
          <w:rFonts w:asciiTheme="majorHAnsi" w:hAnsiTheme="majorHAnsi" w:cstheme="majorHAnsi"/>
        </w:rPr>
        <w:t xml:space="preserve"> be addressed</w:t>
      </w:r>
      <w:r w:rsidR="00B1596D" w:rsidRPr="00A271D1">
        <w:rPr>
          <w:rFonts w:asciiTheme="majorHAnsi" w:hAnsiTheme="majorHAnsi" w:cstheme="majorHAnsi"/>
        </w:rPr>
        <w:t xml:space="preserve"> to </w:t>
      </w:r>
      <w:hyperlink r:id="rId16" w:history="1">
        <w:r w:rsidRPr="00293974">
          <w:rPr>
            <w:rStyle w:val="Hyperlink"/>
            <w:rFonts w:asciiTheme="majorHAnsi" w:hAnsiTheme="majorHAnsi" w:cstheme="majorHAnsi"/>
          </w:rPr>
          <w:t>AIPrescribing@health.gov.au</w:t>
        </w:r>
      </w:hyperlink>
      <w:r>
        <w:rPr>
          <w:rFonts w:asciiTheme="majorHAnsi" w:hAnsiTheme="majorHAnsi" w:cstheme="majorHAnsi"/>
        </w:rPr>
        <w:t xml:space="preserve"> </w:t>
      </w:r>
    </w:p>
    <w:sectPr w:rsidR="008B7A4D" w:rsidRPr="00A271D1" w:rsidSect="00B9508E">
      <w:pgSz w:w="11906" w:h="16838"/>
      <w:pgMar w:top="426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55" w:rsidRDefault="00150055" w:rsidP="00150055">
      <w:pPr>
        <w:spacing w:after="0" w:line="240" w:lineRule="auto"/>
      </w:pPr>
      <w:r>
        <w:separator/>
      </w:r>
    </w:p>
  </w:endnote>
  <w:endnote w:type="continuationSeparator" w:id="0">
    <w:p w:rsidR="00150055" w:rsidRDefault="00150055" w:rsidP="0015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55" w:rsidRDefault="00150055" w:rsidP="00150055">
      <w:pPr>
        <w:spacing w:after="0" w:line="240" w:lineRule="auto"/>
      </w:pPr>
      <w:r>
        <w:separator/>
      </w:r>
    </w:p>
  </w:footnote>
  <w:footnote w:type="continuationSeparator" w:id="0">
    <w:p w:rsidR="00150055" w:rsidRDefault="00150055" w:rsidP="0015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6DA"/>
    <w:multiLevelType w:val="hybridMultilevel"/>
    <w:tmpl w:val="14265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861"/>
    <w:multiLevelType w:val="hybridMultilevel"/>
    <w:tmpl w:val="B2BC5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3174"/>
    <w:multiLevelType w:val="hybridMultilevel"/>
    <w:tmpl w:val="B6B49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373E"/>
    <w:multiLevelType w:val="hybridMultilevel"/>
    <w:tmpl w:val="F76C8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46471"/>
    <w:multiLevelType w:val="hybridMultilevel"/>
    <w:tmpl w:val="23665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6C08"/>
    <w:multiLevelType w:val="hybridMultilevel"/>
    <w:tmpl w:val="8E26D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4735E"/>
    <w:multiLevelType w:val="hybridMultilevel"/>
    <w:tmpl w:val="4FC0C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6D"/>
    <w:rsid w:val="000E2025"/>
    <w:rsid w:val="00124833"/>
    <w:rsid w:val="00150055"/>
    <w:rsid w:val="001C5888"/>
    <w:rsid w:val="001F26D2"/>
    <w:rsid w:val="00227453"/>
    <w:rsid w:val="002833C5"/>
    <w:rsid w:val="00293CD8"/>
    <w:rsid w:val="002F627C"/>
    <w:rsid w:val="003401AD"/>
    <w:rsid w:val="00357DC6"/>
    <w:rsid w:val="003614B0"/>
    <w:rsid w:val="00367734"/>
    <w:rsid w:val="003826F1"/>
    <w:rsid w:val="003B38B1"/>
    <w:rsid w:val="003F6328"/>
    <w:rsid w:val="0040305C"/>
    <w:rsid w:val="00441029"/>
    <w:rsid w:val="004B157C"/>
    <w:rsid w:val="00546561"/>
    <w:rsid w:val="005D7C6D"/>
    <w:rsid w:val="007917B7"/>
    <w:rsid w:val="00847DFE"/>
    <w:rsid w:val="008B7A4D"/>
    <w:rsid w:val="008C4CB3"/>
    <w:rsid w:val="008D245C"/>
    <w:rsid w:val="009247C2"/>
    <w:rsid w:val="009A4D75"/>
    <w:rsid w:val="00A271D1"/>
    <w:rsid w:val="00B035ED"/>
    <w:rsid w:val="00B1596D"/>
    <w:rsid w:val="00B86854"/>
    <w:rsid w:val="00B9508E"/>
    <w:rsid w:val="00DD2C0F"/>
    <w:rsid w:val="00EC1330"/>
    <w:rsid w:val="00F37C64"/>
    <w:rsid w:val="00F7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C9E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D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0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EC1330"/>
    <w:pPr>
      <w:spacing w:after="80"/>
      <w:outlineLvl w:val="1"/>
    </w:pPr>
    <w:rPr>
      <w:rFonts w:asciiTheme="majorHAnsi" w:hAnsiTheme="majorHAnsi" w:cstheme="majorHAnsi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9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3CD8"/>
    <w:rPr>
      <w:color w:val="0563C1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293C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293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8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55"/>
  </w:style>
  <w:style w:type="paragraph" w:styleId="Footer">
    <w:name w:val="footer"/>
    <w:basedOn w:val="Normal"/>
    <w:link w:val="FooterChar"/>
    <w:uiPriority w:val="99"/>
    <w:unhideWhenUsed/>
    <w:rsid w:val="0015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55"/>
  </w:style>
  <w:style w:type="character" w:customStyle="1" w:styleId="Heading1Char">
    <w:name w:val="Heading 1 Char"/>
    <w:basedOn w:val="DefaultParagraphFont"/>
    <w:link w:val="Heading1"/>
    <w:uiPriority w:val="9"/>
    <w:rsid w:val="00150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1330"/>
    <w:rPr>
      <w:rFonts w:asciiTheme="majorHAnsi" w:hAnsiTheme="majorHAnsi" w:cstheme="majorHAnsi"/>
      <w:b/>
      <w:bCs/>
      <w:color w:val="00000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37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ma.com.au/gpnn/issue-20-number-40/articles/active-ingredient-prescribing-implementation-resources-gp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crrm.org.au/about-us/news-events/news/2020/09/29/update-on-active-ingredient-prescrib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IPrescribing@health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bs.gov.au/info/general/active-ingredient-prescrib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uild.org.au/resources/business-operations/active-ingredient-prescribing" TargetMode="External"/><Relationship Id="rId10" Type="http://schemas.openxmlformats.org/officeDocument/2006/relationships/hyperlink" Target="https://www.nps.org.au/active-ingredient-prescrib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fetyandquality.gov.au/our-work/medication-safety/active-ingredient-prescribing" TargetMode="External"/><Relationship Id="rId14" Type="http://schemas.openxmlformats.org/officeDocument/2006/relationships/hyperlink" Target="https://www.racgp.org.au/running-a-practice/technology/clinical-technology/active-ingredient-prescrib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2021-03-18T00:05:00Z</dcterms:created>
  <dcterms:modified xsi:type="dcterms:W3CDTF">2021-03-18T00:09:00Z</dcterms:modified>
</cp:coreProperties>
</file>