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65D87" w14:textId="0F332B9A" w:rsidR="00E7159E" w:rsidRPr="00E7159E" w:rsidRDefault="00E7159E" w:rsidP="00E7159E">
      <w:pPr>
        <w:sectPr w:rsidR="00E7159E" w:rsidRPr="00E7159E" w:rsidSect="00077E5B">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510" w:footer="964" w:gutter="0"/>
          <w:cols w:space="708"/>
          <w:docGrid w:linePitch="360"/>
        </w:sectPr>
      </w:pPr>
    </w:p>
    <w:p w14:paraId="738D3D57" w14:textId="741CF75F" w:rsidR="008A1AA0" w:rsidRPr="008A1AA0" w:rsidRDefault="008A1AA0" w:rsidP="008A1AA0">
      <w:pPr>
        <w:ind w:left="142"/>
        <w:jc w:val="center"/>
        <w:rPr>
          <w:rFonts w:cs="Arial"/>
          <w:bCs/>
          <w:color w:val="3F4A75"/>
          <w:kern w:val="28"/>
          <w:sz w:val="28"/>
          <w:szCs w:val="32"/>
        </w:rPr>
      </w:pPr>
      <w:r w:rsidRPr="008A1AA0">
        <w:rPr>
          <w:rFonts w:cs="Arial"/>
          <w:bCs/>
          <w:color w:val="3F4A75"/>
          <w:kern w:val="28"/>
          <w:sz w:val="28"/>
          <w:szCs w:val="32"/>
        </w:rPr>
        <w:t>End of Active Ingredient Prescribing</w:t>
      </w:r>
    </w:p>
    <w:p w14:paraId="0C7729BF" w14:textId="77777777" w:rsidR="008A1AA0" w:rsidRPr="008A1AA0" w:rsidRDefault="008A1AA0" w:rsidP="008A1AA0">
      <w:pPr>
        <w:pStyle w:val="Heading1"/>
        <w:rPr>
          <w:sz w:val="28"/>
        </w:rPr>
      </w:pPr>
      <w:r w:rsidRPr="008A1AA0">
        <w:rPr>
          <w:sz w:val="28"/>
        </w:rPr>
        <w:t>Pharmacy Grace Period</w:t>
      </w:r>
    </w:p>
    <w:p w14:paraId="528930AB" w14:textId="77777777" w:rsidR="008A1AA0" w:rsidRPr="008A1AA0" w:rsidRDefault="008A1AA0" w:rsidP="008A1AA0">
      <w:pPr>
        <w:ind w:left="142"/>
        <w:jc w:val="center"/>
        <w:rPr>
          <w:rFonts w:cs="Arial"/>
          <w:bCs/>
          <w:color w:val="3F4A75"/>
          <w:kern w:val="28"/>
          <w:sz w:val="28"/>
          <w:szCs w:val="32"/>
        </w:rPr>
      </w:pPr>
      <w:r w:rsidRPr="008A1AA0">
        <w:rPr>
          <w:rFonts w:cs="Arial"/>
          <w:bCs/>
          <w:color w:val="3F4A75"/>
          <w:kern w:val="28"/>
          <w:sz w:val="28"/>
          <w:szCs w:val="32"/>
        </w:rPr>
        <w:t>31 July 2021</w:t>
      </w:r>
    </w:p>
    <w:p w14:paraId="62AEC7DA" w14:textId="52582699" w:rsidR="004B5AF1" w:rsidRPr="00392D42" w:rsidRDefault="00ED5D1F" w:rsidP="008A1AA0">
      <w:pPr>
        <w:pStyle w:val="Heading2"/>
        <w:tabs>
          <w:tab w:val="left" w:pos="7185"/>
        </w:tabs>
        <w:spacing w:before="0"/>
        <w:rPr>
          <w:b/>
          <w:bCs w:val="0"/>
          <w:sz w:val="24"/>
          <w:szCs w:val="24"/>
        </w:rPr>
      </w:pPr>
      <w:r w:rsidRPr="008A1AA0">
        <w:rPr>
          <w:b/>
          <w:bCs w:val="0"/>
          <w:sz w:val="20"/>
          <w:szCs w:val="24"/>
        </w:rPr>
        <w:t>Background</w:t>
      </w:r>
      <w:r w:rsidR="008A1AA0">
        <w:rPr>
          <w:b/>
          <w:bCs w:val="0"/>
          <w:sz w:val="24"/>
          <w:szCs w:val="24"/>
        </w:rPr>
        <w:tab/>
      </w:r>
    </w:p>
    <w:p w14:paraId="091458D9" w14:textId="77777777" w:rsidR="00E67C5F" w:rsidRPr="00514545" w:rsidRDefault="00E67C5F" w:rsidP="00E67C5F">
      <w:pPr>
        <w:tabs>
          <w:tab w:val="left" w:pos="851"/>
        </w:tabs>
        <w:spacing w:after="120"/>
        <w:rPr>
          <w:sz w:val="20"/>
          <w:szCs w:val="20"/>
        </w:rPr>
      </w:pPr>
      <w:r w:rsidRPr="00514545">
        <w:rPr>
          <w:sz w:val="20"/>
          <w:szCs w:val="20"/>
        </w:rPr>
        <w:t>From 1 February 2021, Pharmaceutical Benefits Scheme (PBS) and Repatriation PBS (RPBS) prescriptions are required to include medicine’s active ingredient name(s), except for:</w:t>
      </w:r>
    </w:p>
    <w:p w14:paraId="6CA131BB" w14:textId="4B3C8746" w:rsidR="00E67C5F" w:rsidRPr="00514545" w:rsidRDefault="00E67C5F" w:rsidP="00051447">
      <w:pPr>
        <w:pStyle w:val="ListParagraph"/>
        <w:numPr>
          <w:ilvl w:val="1"/>
          <w:numId w:val="26"/>
        </w:numPr>
        <w:tabs>
          <w:tab w:val="clear" w:pos="1440"/>
          <w:tab w:val="left" w:pos="720"/>
        </w:tabs>
        <w:spacing w:after="120"/>
        <w:ind w:left="709"/>
        <w:rPr>
          <w:sz w:val="20"/>
          <w:szCs w:val="20"/>
        </w:rPr>
      </w:pPr>
      <w:r w:rsidRPr="00514545">
        <w:rPr>
          <w:sz w:val="20"/>
          <w:szCs w:val="20"/>
        </w:rPr>
        <w:t xml:space="preserve">Handwritten prescriptions and medication charts </w:t>
      </w:r>
    </w:p>
    <w:p w14:paraId="7EFDB5E9" w14:textId="6C1E5B86" w:rsidR="00E67C5F" w:rsidRPr="00514545" w:rsidRDefault="00E67C5F" w:rsidP="00051447">
      <w:pPr>
        <w:pStyle w:val="ListParagraph"/>
        <w:numPr>
          <w:ilvl w:val="1"/>
          <w:numId w:val="26"/>
        </w:numPr>
        <w:tabs>
          <w:tab w:val="clear" w:pos="1440"/>
          <w:tab w:val="left" w:pos="720"/>
        </w:tabs>
        <w:spacing w:after="120"/>
        <w:ind w:left="709"/>
        <w:rPr>
          <w:sz w:val="20"/>
          <w:szCs w:val="20"/>
        </w:rPr>
      </w:pPr>
      <w:r w:rsidRPr="00514545">
        <w:rPr>
          <w:sz w:val="20"/>
          <w:szCs w:val="20"/>
        </w:rPr>
        <w:t>Paper based medication charts in the residential aged care setting</w:t>
      </w:r>
    </w:p>
    <w:p w14:paraId="6638A9E6" w14:textId="5A342364" w:rsidR="00E67C5F" w:rsidRPr="00514545" w:rsidRDefault="00E67C5F" w:rsidP="00051447">
      <w:pPr>
        <w:pStyle w:val="ListParagraph"/>
        <w:numPr>
          <w:ilvl w:val="1"/>
          <w:numId w:val="26"/>
        </w:numPr>
        <w:tabs>
          <w:tab w:val="clear" w:pos="1440"/>
          <w:tab w:val="left" w:pos="720"/>
        </w:tabs>
        <w:spacing w:after="120"/>
        <w:ind w:left="709"/>
        <w:rPr>
          <w:sz w:val="20"/>
          <w:szCs w:val="20"/>
        </w:rPr>
      </w:pPr>
      <w:r w:rsidRPr="00514545">
        <w:rPr>
          <w:sz w:val="20"/>
          <w:szCs w:val="20"/>
        </w:rPr>
        <w:t>Prescriptions generated using a ‘free-text’ function in prescribing software</w:t>
      </w:r>
      <w:r w:rsidR="00514545">
        <w:rPr>
          <w:sz w:val="20"/>
          <w:szCs w:val="20"/>
        </w:rPr>
        <w:t xml:space="preserve"> and identified as such.</w:t>
      </w:r>
    </w:p>
    <w:p w14:paraId="26DAB8F1" w14:textId="2F06409D" w:rsidR="00E67C5F" w:rsidRPr="00514545" w:rsidRDefault="00E67C5F" w:rsidP="00051447">
      <w:pPr>
        <w:pStyle w:val="ListParagraph"/>
        <w:numPr>
          <w:ilvl w:val="1"/>
          <w:numId w:val="26"/>
        </w:numPr>
        <w:tabs>
          <w:tab w:val="clear" w:pos="1440"/>
          <w:tab w:val="left" w:pos="720"/>
        </w:tabs>
        <w:spacing w:after="120"/>
        <w:ind w:left="709"/>
        <w:rPr>
          <w:sz w:val="20"/>
          <w:szCs w:val="20"/>
        </w:rPr>
      </w:pPr>
      <w:r w:rsidRPr="00514545">
        <w:rPr>
          <w:sz w:val="20"/>
          <w:szCs w:val="20"/>
        </w:rPr>
        <w:t xml:space="preserve">Prescriptions for medicines with four or more </w:t>
      </w:r>
      <w:r w:rsidR="000C3DE5" w:rsidRPr="00514545">
        <w:rPr>
          <w:sz w:val="20"/>
          <w:szCs w:val="20"/>
        </w:rPr>
        <w:t xml:space="preserve">active </w:t>
      </w:r>
      <w:r w:rsidRPr="00514545">
        <w:rPr>
          <w:sz w:val="20"/>
          <w:szCs w:val="20"/>
        </w:rPr>
        <w:t xml:space="preserve">ingredients </w:t>
      </w:r>
    </w:p>
    <w:p w14:paraId="67D488F4" w14:textId="7C9D72B4" w:rsidR="0024094A" w:rsidRPr="00514545" w:rsidRDefault="00E67C5F" w:rsidP="00077E5B">
      <w:pPr>
        <w:pStyle w:val="ListParagraph"/>
        <w:numPr>
          <w:ilvl w:val="1"/>
          <w:numId w:val="26"/>
        </w:numPr>
        <w:tabs>
          <w:tab w:val="clear" w:pos="1440"/>
          <w:tab w:val="left" w:pos="720"/>
        </w:tabs>
        <w:spacing w:after="120"/>
        <w:ind w:left="709" w:right="142"/>
        <w:contextualSpacing w:val="0"/>
        <w:rPr>
          <w:sz w:val="20"/>
          <w:szCs w:val="20"/>
        </w:rPr>
      </w:pPr>
      <w:r w:rsidRPr="00514545">
        <w:rPr>
          <w:sz w:val="20"/>
          <w:szCs w:val="20"/>
        </w:rPr>
        <w:t>Other items as determined by the Secretary.</w:t>
      </w:r>
    </w:p>
    <w:p w14:paraId="04650005" w14:textId="23246D36" w:rsidR="00E67C5F" w:rsidRPr="00514545" w:rsidRDefault="00E67C5F" w:rsidP="00E67C5F">
      <w:pPr>
        <w:spacing w:after="120"/>
        <w:rPr>
          <w:sz w:val="20"/>
          <w:szCs w:val="20"/>
        </w:rPr>
      </w:pPr>
      <w:r w:rsidRPr="00514545">
        <w:rPr>
          <w:sz w:val="20"/>
          <w:szCs w:val="20"/>
        </w:rPr>
        <w:t xml:space="preserve">Prescribers are still able to choose a specific brand of medicine for their </w:t>
      </w:r>
      <w:r w:rsidR="000C3DE5" w:rsidRPr="00514545">
        <w:rPr>
          <w:sz w:val="20"/>
          <w:szCs w:val="20"/>
        </w:rPr>
        <w:t>patient and</w:t>
      </w:r>
      <w:r w:rsidRPr="00514545">
        <w:rPr>
          <w:sz w:val="20"/>
          <w:szCs w:val="20"/>
        </w:rPr>
        <w:t xml:space="preserve"> can include brand names on prescriptions wherever clinically necessary for their patient. If a brand name is included on a prescription, the active ingredient will appear first. </w:t>
      </w:r>
    </w:p>
    <w:p w14:paraId="35D9A3E8" w14:textId="67B9C289" w:rsidR="00E67C5F" w:rsidRPr="00514545" w:rsidRDefault="00E67C5F" w:rsidP="00787CF6">
      <w:pPr>
        <w:spacing w:after="120"/>
        <w:rPr>
          <w:sz w:val="20"/>
          <w:szCs w:val="20"/>
        </w:rPr>
      </w:pPr>
      <w:r w:rsidRPr="00514545">
        <w:rPr>
          <w:sz w:val="20"/>
          <w:szCs w:val="20"/>
        </w:rPr>
        <w:t xml:space="preserve">To ensure consumer access to PBS/RPBS subsidised medicines during the transition, </w:t>
      </w:r>
      <w:r w:rsidR="004C09E7" w:rsidRPr="00514545">
        <w:rPr>
          <w:sz w:val="20"/>
          <w:szCs w:val="20"/>
        </w:rPr>
        <w:t xml:space="preserve">and to support pharmacies, </w:t>
      </w:r>
      <w:r w:rsidRPr="00514545">
        <w:rPr>
          <w:sz w:val="20"/>
          <w:szCs w:val="20"/>
        </w:rPr>
        <w:t>the Department of Health agreed to a six-month grace period for pharmacy</w:t>
      </w:r>
      <w:r w:rsidR="004C09E7" w:rsidRPr="00514545">
        <w:rPr>
          <w:sz w:val="20"/>
          <w:szCs w:val="20"/>
        </w:rPr>
        <w:t xml:space="preserve"> that </w:t>
      </w:r>
      <w:r w:rsidRPr="00514545">
        <w:rPr>
          <w:sz w:val="20"/>
          <w:szCs w:val="20"/>
        </w:rPr>
        <w:t xml:space="preserve">ends on 31 July 2021. </w:t>
      </w:r>
    </w:p>
    <w:p w14:paraId="54B3081B" w14:textId="0757E0E3" w:rsidR="00E67C5F" w:rsidRPr="00514545" w:rsidRDefault="00E67C5F" w:rsidP="00E67C5F">
      <w:pPr>
        <w:spacing w:after="120"/>
        <w:rPr>
          <w:sz w:val="20"/>
          <w:szCs w:val="20"/>
        </w:rPr>
      </w:pPr>
      <w:r w:rsidRPr="00514545">
        <w:rPr>
          <w:sz w:val="20"/>
          <w:szCs w:val="20"/>
        </w:rPr>
        <w:t>Active Ingredient Prescribing (AIP) is part of a wider government initiative to ensure consistent and standardised medicines information to support safe and appropriate use of medicines. Active ingredients must now prominently appear on prescriptions, medicines packaging, dispensing labels and My Health Record Shared Health Summaries to support consumer understanding of the active ingredients in their medicines.</w:t>
      </w:r>
    </w:p>
    <w:p w14:paraId="2E422F45" w14:textId="77777777" w:rsidR="00731BE3" w:rsidRPr="00514545" w:rsidRDefault="00731BE3" w:rsidP="00731BE3">
      <w:pPr>
        <w:spacing w:after="120"/>
        <w:rPr>
          <w:sz w:val="20"/>
          <w:szCs w:val="20"/>
        </w:rPr>
      </w:pPr>
      <w:r w:rsidRPr="00514545">
        <w:rPr>
          <w:sz w:val="20"/>
          <w:szCs w:val="20"/>
        </w:rPr>
        <w:t>To support the implementation of AIP, the Department has worked with the Australian Commission on Safety and Quality in Health Care (ACSQHC) and industry to develop clinical support documentation for prescribers, including:</w:t>
      </w:r>
    </w:p>
    <w:p w14:paraId="3C1C245C" w14:textId="77777777" w:rsidR="00731BE3" w:rsidRPr="00514545" w:rsidRDefault="00731BE3" w:rsidP="00731BE3">
      <w:pPr>
        <w:pStyle w:val="ListParagraph"/>
        <w:numPr>
          <w:ilvl w:val="1"/>
          <w:numId w:val="26"/>
        </w:numPr>
        <w:tabs>
          <w:tab w:val="clear" w:pos="1440"/>
          <w:tab w:val="left" w:pos="720"/>
          <w:tab w:val="num" w:pos="1985"/>
        </w:tabs>
        <w:spacing w:after="120"/>
        <w:ind w:left="709"/>
        <w:rPr>
          <w:sz w:val="20"/>
          <w:szCs w:val="20"/>
        </w:rPr>
      </w:pPr>
      <w:r w:rsidRPr="00514545">
        <w:rPr>
          <w:sz w:val="20"/>
          <w:szCs w:val="20"/>
        </w:rPr>
        <w:t xml:space="preserve">Australian Guidelines for AIP, </w:t>
      </w:r>
    </w:p>
    <w:p w14:paraId="25473475" w14:textId="032DFABE" w:rsidR="003F452D" w:rsidRPr="00514545" w:rsidRDefault="003F452D" w:rsidP="003F452D">
      <w:pPr>
        <w:pStyle w:val="ListParagraph"/>
        <w:numPr>
          <w:ilvl w:val="1"/>
          <w:numId w:val="26"/>
        </w:numPr>
        <w:tabs>
          <w:tab w:val="clear" w:pos="1440"/>
          <w:tab w:val="left" w:pos="720"/>
          <w:tab w:val="num" w:pos="1985"/>
        </w:tabs>
        <w:spacing w:after="120"/>
        <w:ind w:left="709"/>
        <w:rPr>
          <w:sz w:val="20"/>
          <w:szCs w:val="20"/>
        </w:rPr>
      </w:pPr>
      <w:r>
        <w:rPr>
          <w:sz w:val="20"/>
          <w:szCs w:val="20"/>
        </w:rPr>
        <w:t>a</w:t>
      </w:r>
      <w:r w:rsidRPr="00514545">
        <w:rPr>
          <w:sz w:val="20"/>
          <w:szCs w:val="20"/>
        </w:rPr>
        <w:t xml:space="preserve"> list of excluded medicinal items (LEMI)</w:t>
      </w:r>
      <w:r>
        <w:rPr>
          <w:sz w:val="20"/>
          <w:szCs w:val="20"/>
        </w:rPr>
        <w:t>, and</w:t>
      </w:r>
      <w:r w:rsidRPr="00514545">
        <w:rPr>
          <w:sz w:val="20"/>
          <w:szCs w:val="20"/>
        </w:rPr>
        <w:t xml:space="preserve"> </w:t>
      </w:r>
    </w:p>
    <w:p w14:paraId="1EABC367" w14:textId="2419FD91" w:rsidR="00731BE3" w:rsidRPr="00514545" w:rsidRDefault="003F452D" w:rsidP="00392D42">
      <w:pPr>
        <w:pStyle w:val="ListParagraph"/>
        <w:numPr>
          <w:ilvl w:val="1"/>
          <w:numId w:val="26"/>
        </w:numPr>
        <w:tabs>
          <w:tab w:val="clear" w:pos="1440"/>
          <w:tab w:val="left" w:pos="720"/>
          <w:tab w:val="num" w:pos="1985"/>
          <w:tab w:val="left" w:pos="6804"/>
        </w:tabs>
        <w:spacing w:after="120"/>
        <w:ind w:left="709"/>
        <w:rPr>
          <w:sz w:val="20"/>
          <w:szCs w:val="20"/>
        </w:rPr>
      </w:pPr>
      <w:r>
        <w:rPr>
          <w:sz w:val="20"/>
          <w:szCs w:val="20"/>
        </w:rPr>
        <w:t>a</w:t>
      </w:r>
      <w:r w:rsidRPr="00514545">
        <w:rPr>
          <w:sz w:val="20"/>
          <w:szCs w:val="20"/>
        </w:rPr>
        <w:t xml:space="preserve"> </w:t>
      </w:r>
      <w:r w:rsidR="00731BE3" w:rsidRPr="00514545">
        <w:rPr>
          <w:sz w:val="20"/>
          <w:szCs w:val="20"/>
        </w:rPr>
        <w:t>List of Medicines for Brand Consideration (LMBC)</w:t>
      </w:r>
      <w:r w:rsidR="00B57C85">
        <w:rPr>
          <w:sz w:val="20"/>
          <w:szCs w:val="20"/>
        </w:rPr>
        <w:t>.</w:t>
      </w:r>
    </w:p>
    <w:p w14:paraId="1EE7B014" w14:textId="18EB9585" w:rsidR="006C7495" w:rsidRPr="00514545" w:rsidRDefault="00392D42" w:rsidP="00392D42">
      <w:pPr>
        <w:tabs>
          <w:tab w:val="left" w:pos="851"/>
        </w:tabs>
        <w:rPr>
          <w:sz w:val="20"/>
          <w:szCs w:val="20"/>
        </w:rPr>
      </w:pPr>
      <w:r w:rsidRPr="00514545">
        <w:rPr>
          <w:b/>
          <w:bCs/>
          <w:sz w:val="20"/>
          <w:szCs w:val="20"/>
        </w:rPr>
        <w:t>The LEMI</w:t>
      </w:r>
      <w:r w:rsidRPr="00514545">
        <w:rPr>
          <w:sz w:val="20"/>
          <w:szCs w:val="20"/>
        </w:rPr>
        <w:t xml:space="preserve"> identifies a small number of medici</w:t>
      </w:r>
      <w:bookmarkStart w:id="0" w:name="m1"/>
      <w:bookmarkEnd w:id="0"/>
      <w:r w:rsidRPr="00514545">
        <w:rPr>
          <w:sz w:val="20"/>
          <w:szCs w:val="20"/>
        </w:rPr>
        <w:t xml:space="preserve">nal items that </w:t>
      </w:r>
      <w:r w:rsidR="006C7495" w:rsidRPr="00514545">
        <w:rPr>
          <w:sz w:val="20"/>
          <w:szCs w:val="20"/>
        </w:rPr>
        <w:t xml:space="preserve">may </w:t>
      </w:r>
      <w:r w:rsidRPr="00514545">
        <w:rPr>
          <w:sz w:val="20"/>
          <w:szCs w:val="20"/>
        </w:rPr>
        <w:t xml:space="preserve">be prescribed by brand name only, as it </w:t>
      </w:r>
      <w:r w:rsidR="000C3DE5" w:rsidRPr="00514545">
        <w:rPr>
          <w:sz w:val="20"/>
          <w:szCs w:val="20"/>
        </w:rPr>
        <w:t>may be</w:t>
      </w:r>
      <w:r w:rsidRPr="00514545">
        <w:rPr>
          <w:sz w:val="20"/>
          <w:szCs w:val="20"/>
        </w:rPr>
        <w:t xml:space="preserve"> unsafe or impractical to include active ingredient names on a prescription</w:t>
      </w:r>
      <w:r w:rsidR="00514545" w:rsidRPr="00514545">
        <w:rPr>
          <w:sz w:val="20"/>
          <w:szCs w:val="20"/>
        </w:rPr>
        <w:t xml:space="preserve"> such as those medicines which contain more than three active ingredients</w:t>
      </w:r>
      <w:r w:rsidRPr="00514545">
        <w:rPr>
          <w:sz w:val="20"/>
          <w:szCs w:val="20"/>
        </w:rPr>
        <w:t xml:space="preserve">. </w:t>
      </w:r>
    </w:p>
    <w:p w14:paraId="4F741748" w14:textId="4A7C4717" w:rsidR="00514545" w:rsidRPr="00514545" w:rsidRDefault="00392D42" w:rsidP="006C7495">
      <w:pPr>
        <w:tabs>
          <w:tab w:val="left" w:pos="851"/>
        </w:tabs>
        <w:spacing w:before="120"/>
        <w:rPr>
          <w:sz w:val="20"/>
          <w:szCs w:val="20"/>
        </w:rPr>
      </w:pPr>
      <w:r w:rsidRPr="00514545">
        <w:rPr>
          <w:b/>
          <w:bCs/>
          <w:sz w:val="20"/>
          <w:szCs w:val="20"/>
        </w:rPr>
        <w:t>The LMBC</w:t>
      </w:r>
      <w:r w:rsidRPr="00514545">
        <w:rPr>
          <w:sz w:val="20"/>
          <w:szCs w:val="20"/>
        </w:rPr>
        <w:t xml:space="preserve"> identifies medicines for which inclusion of </w:t>
      </w:r>
      <w:r w:rsidR="00F81660">
        <w:rPr>
          <w:sz w:val="20"/>
          <w:szCs w:val="20"/>
        </w:rPr>
        <w:t>brand</w:t>
      </w:r>
      <w:r w:rsidRPr="00514545">
        <w:rPr>
          <w:sz w:val="20"/>
          <w:szCs w:val="20"/>
        </w:rPr>
        <w:t xml:space="preserve"> names on prescriptions may be appropriate to support individual patient safety. Prescribers receive an alert within their prescribing software when they prescribe items on the LMBC, advising them to consider whether brand inclusion is appropriate for their patient.</w:t>
      </w:r>
    </w:p>
    <w:p w14:paraId="1A319ABB" w14:textId="67C93595" w:rsidR="00ED5D1F" w:rsidRPr="00514545" w:rsidRDefault="00ED5D1F" w:rsidP="00ED5D1F">
      <w:pPr>
        <w:pStyle w:val="Heading2"/>
        <w:rPr>
          <w:b/>
          <w:bCs w:val="0"/>
          <w:sz w:val="20"/>
          <w:szCs w:val="20"/>
        </w:rPr>
      </w:pPr>
      <w:r w:rsidRPr="00514545">
        <w:rPr>
          <w:b/>
          <w:bCs w:val="0"/>
          <w:sz w:val="20"/>
          <w:szCs w:val="20"/>
        </w:rPr>
        <w:t xml:space="preserve">What </w:t>
      </w:r>
      <w:r w:rsidR="003F452D" w:rsidRPr="00514545">
        <w:rPr>
          <w:b/>
          <w:bCs w:val="0"/>
          <w:sz w:val="20"/>
          <w:szCs w:val="20"/>
        </w:rPr>
        <w:t>Pharmac</w:t>
      </w:r>
      <w:r w:rsidR="003F452D">
        <w:rPr>
          <w:b/>
          <w:bCs w:val="0"/>
          <w:sz w:val="20"/>
          <w:szCs w:val="20"/>
        </w:rPr>
        <w:t>ies</w:t>
      </w:r>
      <w:r w:rsidR="003F452D" w:rsidRPr="00514545">
        <w:rPr>
          <w:b/>
          <w:bCs w:val="0"/>
          <w:sz w:val="20"/>
          <w:szCs w:val="20"/>
        </w:rPr>
        <w:t xml:space="preserve"> </w:t>
      </w:r>
      <w:r w:rsidRPr="00514545">
        <w:rPr>
          <w:b/>
          <w:bCs w:val="0"/>
          <w:sz w:val="20"/>
          <w:szCs w:val="20"/>
        </w:rPr>
        <w:t xml:space="preserve">need to know </w:t>
      </w:r>
    </w:p>
    <w:p w14:paraId="4F6BD826" w14:textId="77777777" w:rsidR="00B971E3" w:rsidRPr="00B971E3" w:rsidRDefault="00B971E3" w:rsidP="00B971E3">
      <w:pPr>
        <w:pStyle w:val="ListParagraph"/>
        <w:numPr>
          <w:ilvl w:val="1"/>
          <w:numId w:val="26"/>
        </w:numPr>
        <w:tabs>
          <w:tab w:val="clear" w:pos="1440"/>
          <w:tab w:val="left" w:pos="720"/>
          <w:tab w:val="num" w:pos="1985"/>
        </w:tabs>
        <w:spacing w:after="80"/>
        <w:ind w:left="709" w:hanging="357"/>
        <w:contextualSpacing w:val="0"/>
        <w:rPr>
          <w:sz w:val="20"/>
          <w:szCs w:val="20"/>
        </w:rPr>
      </w:pPr>
      <w:r w:rsidRPr="00B971E3">
        <w:rPr>
          <w:sz w:val="20"/>
          <w:szCs w:val="20"/>
        </w:rPr>
        <w:t>From 1 August 2021, new PBS and RPBS prescriptions that do not meet active ingredient prescribing requirements are not eligible for PBS/RPBS subsidy, and will need to be dispensed as a private prescription (with associated out of pocket costs to consumers), or they may be reissued by the prescriber in alignment with active ingredient prescribing requirements.</w:t>
      </w:r>
    </w:p>
    <w:p w14:paraId="1E484300" w14:textId="2F6B8E1C" w:rsidR="00420E59" w:rsidRPr="00514545" w:rsidRDefault="00E67C5F" w:rsidP="00514545">
      <w:pPr>
        <w:pStyle w:val="ListParagraph"/>
        <w:numPr>
          <w:ilvl w:val="1"/>
          <w:numId w:val="26"/>
        </w:numPr>
        <w:tabs>
          <w:tab w:val="clear" w:pos="1440"/>
          <w:tab w:val="left" w:pos="720"/>
          <w:tab w:val="num" w:pos="1985"/>
        </w:tabs>
        <w:spacing w:after="80"/>
        <w:ind w:left="709" w:hanging="357"/>
        <w:contextualSpacing w:val="0"/>
        <w:rPr>
          <w:sz w:val="20"/>
          <w:szCs w:val="20"/>
        </w:rPr>
      </w:pPr>
      <w:r w:rsidRPr="00514545">
        <w:rPr>
          <w:sz w:val="20"/>
          <w:szCs w:val="20"/>
        </w:rPr>
        <w:t xml:space="preserve">Prescriptions and repeats </w:t>
      </w:r>
      <w:r w:rsidR="00BB5D30">
        <w:rPr>
          <w:sz w:val="20"/>
          <w:szCs w:val="20"/>
        </w:rPr>
        <w:t>prescribed</w:t>
      </w:r>
      <w:r w:rsidR="00BB5D30" w:rsidRPr="00514545">
        <w:rPr>
          <w:sz w:val="20"/>
          <w:szCs w:val="20"/>
        </w:rPr>
        <w:t xml:space="preserve"> </w:t>
      </w:r>
      <w:r w:rsidRPr="00514545">
        <w:rPr>
          <w:sz w:val="20"/>
          <w:szCs w:val="20"/>
          <w:u w:val="single"/>
        </w:rPr>
        <w:t>prior</w:t>
      </w:r>
      <w:r w:rsidRPr="00514545">
        <w:rPr>
          <w:sz w:val="20"/>
          <w:szCs w:val="20"/>
        </w:rPr>
        <w:t xml:space="preserve"> to 1 August 2021 which do not meet AIP requirements are still eligible for PBS/RPBS subsidy.  </w:t>
      </w:r>
    </w:p>
    <w:p w14:paraId="00175D7B" w14:textId="42893596" w:rsidR="00E67C5F" w:rsidRPr="00514545" w:rsidRDefault="00E67C5F" w:rsidP="00514545">
      <w:pPr>
        <w:pStyle w:val="ListParagraph"/>
        <w:numPr>
          <w:ilvl w:val="1"/>
          <w:numId w:val="26"/>
        </w:numPr>
        <w:tabs>
          <w:tab w:val="clear" w:pos="1440"/>
          <w:tab w:val="left" w:pos="720"/>
          <w:tab w:val="num" w:pos="1985"/>
        </w:tabs>
        <w:spacing w:after="80"/>
        <w:ind w:left="709" w:hanging="357"/>
        <w:contextualSpacing w:val="0"/>
        <w:rPr>
          <w:sz w:val="20"/>
          <w:szCs w:val="20"/>
        </w:rPr>
      </w:pPr>
      <w:r w:rsidRPr="00514545">
        <w:rPr>
          <w:sz w:val="20"/>
          <w:szCs w:val="20"/>
        </w:rPr>
        <w:t>Prescribing software vendors have amended their products to ensure prescriptions generated by prescribers meet AIP requirements. If prescribers have updated their software to the latest version, their prescriptions will meet AIP requirements</w:t>
      </w:r>
      <w:r w:rsidR="004C09E7" w:rsidRPr="00514545">
        <w:rPr>
          <w:sz w:val="20"/>
          <w:szCs w:val="20"/>
        </w:rPr>
        <w:t>.</w:t>
      </w:r>
    </w:p>
    <w:p w14:paraId="492C1905" w14:textId="2AAE86A5" w:rsidR="00392D42" w:rsidRPr="00514545" w:rsidRDefault="00731BE3" w:rsidP="00514545">
      <w:pPr>
        <w:pStyle w:val="ListParagraph"/>
        <w:numPr>
          <w:ilvl w:val="1"/>
          <w:numId w:val="26"/>
        </w:numPr>
        <w:tabs>
          <w:tab w:val="clear" w:pos="1440"/>
          <w:tab w:val="left" w:pos="720"/>
          <w:tab w:val="num" w:pos="1985"/>
        </w:tabs>
        <w:spacing w:after="80"/>
        <w:ind w:left="709" w:hanging="357"/>
        <w:contextualSpacing w:val="0"/>
        <w:rPr>
          <w:sz w:val="20"/>
          <w:szCs w:val="20"/>
        </w:rPr>
      </w:pPr>
      <w:r w:rsidRPr="00514545">
        <w:rPr>
          <w:sz w:val="20"/>
          <w:szCs w:val="20"/>
        </w:rPr>
        <w:t xml:space="preserve">A summary of the items excluded from active ingredient prescribing </w:t>
      </w:r>
      <w:r w:rsidR="004C09E7" w:rsidRPr="00514545">
        <w:rPr>
          <w:sz w:val="20"/>
          <w:szCs w:val="20"/>
        </w:rPr>
        <w:t>are listed below</w:t>
      </w:r>
      <w:r w:rsidRPr="00514545">
        <w:rPr>
          <w:sz w:val="20"/>
          <w:szCs w:val="20"/>
        </w:rPr>
        <w:t>,</w:t>
      </w:r>
      <w:r w:rsidR="004C09E7" w:rsidRPr="00514545">
        <w:rPr>
          <w:sz w:val="20"/>
          <w:szCs w:val="20"/>
        </w:rPr>
        <w:t xml:space="preserve"> to assist pharmac</w:t>
      </w:r>
      <w:r w:rsidR="00552C5A" w:rsidRPr="00514545">
        <w:rPr>
          <w:sz w:val="20"/>
          <w:szCs w:val="20"/>
        </w:rPr>
        <w:t>ies</w:t>
      </w:r>
      <w:r w:rsidR="004C09E7" w:rsidRPr="00514545">
        <w:rPr>
          <w:sz w:val="20"/>
          <w:szCs w:val="20"/>
        </w:rPr>
        <w:t xml:space="preserve"> in </w:t>
      </w:r>
      <w:r w:rsidR="00552C5A" w:rsidRPr="00514545">
        <w:rPr>
          <w:sz w:val="20"/>
          <w:szCs w:val="20"/>
        </w:rPr>
        <w:t>dispen</w:t>
      </w:r>
      <w:r w:rsidR="004C09E7" w:rsidRPr="00514545">
        <w:rPr>
          <w:sz w:val="20"/>
          <w:szCs w:val="20"/>
        </w:rPr>
        <w:t xml:space="preserve">sing PBS </w:t>
      </w:r>
      <w:r w:rsidR="00552C5A" w:rsidRPr="00514545">
        <w:rPr>
          <w:sz w:val="20"/>
          <w:szCs w:val="20"/>
        </w:rPr>
        <w:t xml:space="preserve">and RPBS </w:t>
      </w:r>
      <w:r w:rsidR="004C09E7" w:rsidRPr="00514545">
        <w:rPr>
          <w:sz w:val="20"/>
          <w:szCs w:val="20"/>
        </w:rPr>
        <w:t xml:space="preserve">prescriptions. </w:t>
      </w:r>
    </w:p>
    <w:p w14:paraId="5D876438" w14:textId="3E2AC750" w:rsidR="00C00D18" w:rsidRPr="00514545" w:rsidRDefault="00C00D18" w:rsidP="00514545">
      <w:pPr>
        <w:pStyle w:val="ListParagraph"/>
        <w:numPr>
          <w:ilvl w:val="1"/>
          <w:numId w:val="26"/>
        </w:numPr>
        <w:tabs>
          <w:tab w:val="clear" w:pos="1440"/>
          <w:tab w:val="left" w:pos="720"/>
          <w:tab w:val="num" w:pos="1985"/>
        </w:tabs>
        <w:spacing w:after="80"/>
        <w:ind w:left="709" w:hanging="357"/>
        <w:contextualSpacing w:val="0"/>
        <w:rPr>
          <w:sz w:val="20"/>
          <w:szCs w:val="20"/>
        </w:rPr>
      </w:pPr>
      <w:r w:rsidRPr="00514545">
        <w:rPr>
          <w:sz w:val="20"/>
          <w:szCs w:val="20"/>
        </w:rPr>
        <w:t xml:space="preserve">More information on AIP is available on the </w:t>
      </w:r>
      <w:hyperlink r:id="rId14" w:history="1">
        <w:r w:rsidRPr="00514545">
          <w:rPr>
            <w:rStyle w:val="Hyperlink"/>
            <w:sz w:val="20"/>
            <w:szCs w:val="20"/>
          </w:rPr>
          <w:t>PBS</w:t>
        </w:r>
      </w:hyperlink>
      <w:r w:rsidRPr="00514545">
        <w:rPr>
          <w:sz w:val="20"/>
          <w:szCs w:val="20"/>
        </w:rPr>
        <w:t xml:space="preserve">, </w:t>
      </w:r>
      <w:hyperlink r:id="rId15" w:history="1">
        <w:r w:rsidRPr="00514545">
          <w:rPr>
            <w:rStyle w:val="Hyperlink"/>
            <w:sz w:val="20"/>
            <w:szCs w:val="20"/>
          </w:rPr>
          <w:t>ACSQHC</w:t>
        </w:r>
      </w:hyperlink>
      <w:r w:rsidRPr="00514545">
        <w:rPr>
          <w:sz w:val="20"/>
          <w:szCs w:val="20"/>
        </w:rPr>
        <w:t xml:space="preserve"> and </w:t>
      </w:r>
      <w:hyperlink r:id="rId16" w:history="1">
        <w:r w:rsidRPr="00514545">
          <w:rPr>
            <w:rStyle w:val="Hyperlink"/>
            <w:sz w:val="20"/>
            <w:szCs w:val="20"/>
          </w:rPr>
          <w:t>NPS Medicine Wise</w:t>
        </w:r>
      </w:hyperlink>
      <w:r w:rsidRPr="00514545">
        <w:rPr>
          <w:sz w:val="20"/>
          <w:szCs w:val="20"/>
        </w:rPr>
        <w:t xml:space="preserve"> websites. </w:t>
      </w:r>
    </w:p>
    <w:p w14:paraId="553F2573" w14:textId="0BB5668E" w:rsidR="00332DA3" w:rsidRPr="00514545" w:rsidRDefault="00392D42" w:rsidP="008A1AA0">
      <w:pPr>
        <w:pStyle w:val="Heading2"/>
        <w:spacing w:after="0"/>
        <w:rPr>
          <w:b/>
          <w:bCs w:val="0"/>
          <w:sz w:val="20"/>
          <w:szCs w:val="20"/>
        </w:rPr>
      </w:pPr>
      <w:r w:rsidRPr="00514545">
        <w:rPr>
          <w:b/>
          <w:bCs w:val="0"/>
          <w:sz w:val="20"/>
          <w:szCs w:val="20"/>
        </w:rPr>
        <w:t>Q</w:t>
      </w:r>
      <w:r w:rsidR="00E67C5F" w:rsidRPr="00514545">
        <w:rPr>
          <w:b/>
          <w:bCs w:val="0"/>
          <w:sz w:val="20"/>
          <w:szCs w:val="20"/>
        </w:rPr>
        <w:t>ueries</w:t>
      </w:r>
    </w:p>
    <w:p w14:paraId="728C8D6F" w14:textId="67BDC3E3" w:rsidR="00392D42" w:rsidRPr="00514545" w:rsidRDefault="00ED5D1F" w:rsidP="008A1AA0">
      <w:pPr>
        <w:pStyle w:val="Paragraphtext"/>
        <w:spacing w:after="0"/>
        <w:rPr>
          <w:sz w:val="20"/>
          <w:szCs w:val="20"/>
        </w:rPr>
      </w:pPr>
      <w:r w:rsidRPr="00514545">
        <w:rPr>
          <w:sz w:val="20"/>
          <w:szCs w:val="20"/>
        </w:rPr>
        <w:t>Any questions regarding</w:t>
      </w:r>
      <w:r w:rsidR="00392D42" w:rsidRPr="00514545">
        <w:rPr>
          <w:sz w:val="20"/>
          <w:szCs w:val="20"/>
        </w:rPr>
        <w:t xml:space="preserve"> Active Ingredient Prescribing</w:t>
      </w:r>
      <w:r w:rsidR="00F13AB6" w:rsidRPr="00514545">
        <w:rPr>
          <w:sz w:val="20"/>
          <w:szCs w:val="20"/>
        </w:rPr>
        <w:t xml:space="preserve"> </w:t>
      </w:r>
      <w:r w:rsidRPr="00514545">
        <w:rPr>
          <w:sz w:val="20"/>
          <w:szCs w:val="20"/>
        </w:rPr>
        <w:t xml:space="preserve">can be sent to </w:t>
      </w:r>
      <w:hyperlink r:id="rId17" w:history="1">
        <w:r w:rsidR="00392D42" w:rsidRPr="00514545">
          <w:rPr>
            <w:rStyle w:val="Hyperlink"/>
            <w:sz w:val="20"/>
            <w:szCs w:val="20"/>
          </w:rPr>
          <w:t>AIPrescribing@health.gov.au</w:t>
        </w:r>
      </w:hyperlink>
      <w:r w:rsidR="00392D42" w:rsidRPr="00514545">
        <w:rPr>
          <w:sz w:val="20"/>
          <w:szCs w:val="20"/>
        </w:rPr>
        <w:t xml:space="preserve">. </w:t>
      </w:r>
      <w:r w:rsidRPr="00514545">
        <w:rPr>
          <w:sz w:val="20"/>
          <w:szCs w:val="20"/>
        </w:rPr>
        <w:t xml:space="preserve"> </w:t>
      </w:r>
    </w:p>
    <w:p w14:paraId="176E5ADC" w14:textId="4330B4C8" w:rsidR="003F5F4D" w:rsidRDefault="00392D42" w:rsidP="008A1AA0">
      <w:pPr>
        <w:pStyle w:val="Heading1"/>
      </w:pPr>
      <w:r>
        <w:br w:type="column"/>
      </w:r>
      <w:r w:rsidR="008A1AA0" w:rsidRPr="00077E5B">
        <w:lastRenderedPageBreak/>
        <w:t>Medicinal Items Excluded from Active Ingredient Prescribing</w:t>
      </w:r>
    </w:p>
    <w:p w14:paraId="20BB7AA7" w14:textId="355125F9" w:rsidR="00077E5B" w:rsidRPr="00077E5B" w:rsidRDefault="00077E5B" w:rsidP="00077E5B">
      <w:pPr>
        <w:pStyle w:val="Paragraphtext"/>
        <w:spacing w:before="240"/>
        <w:rPr>
          <w:rFonts w:cs="Arial"/>
          <w:b/>
          <w:iCs/>
          <w:color w:val="358189"/>
          <w:sz w:val="24"/>
        </w:rPr>
      </w:pPr>
      <w:r w:rsidRPr="00077E5B">
        <w:rPr>
          <w:rFonts w:cs="Arial"/>
          <w:b/>
          <w:iCs/>
          <w:color w:val="358189"/>
          <w:sz w:val="24"/>
        </w:rPr>
        <w:t>Medicinal items excluded from Active Ingredient Prescribing, eligible to be prescribed by brand name only:</w:t>
      </w:r>
    </w:p>
    <w:tbl>
      <w:tblPr>
        <w:tblStyle w:val="TableGrid"/>
        <w:tblpPr w:leftFromText="180" w:rightFromText="180" w:vertAnchor="text" w:tblpY="1"/>
        <w:tblOverlap w:val="never"/>
        <w:tblW w:w="0" w:type="auto"/>
        <w:tblLook w:val="04A0" w:firstRow="1" w:lastRow="0" w:firstColumn="1" w:lastColumn="0" w:noHBand="0" w:noVBand="1"/>
        <w:tblDescription w:val="Medicinal items excluded from Active Ingredient Prescribing, eligible to be prescribed by brand name only"/>
      </w:tblPr>
      <w:tblGrid>
        <w:gridCol w:w="4390"/>
        <w:gridCol w:w="4819"/>
      </w:tblGrid>
      <w:tr w:rsidR="00EC1E79" w14:paraId="3F81D7E0" w14:textId="64A2388C" w:rsidTr="0089148C">
        <w:tc>
          <w:tcPr>
            <w:tcW w:w="4390" w:type="dxa"/>
          </w:tcPr>
          <w:p w14:paraId="63012F56" w14:textId="4FF24FE2" w:rsidR="00EC1E79" w:rsidRPr="00120A03" w:rsidRDefault="00EC1E79" w:rsidP="0089148C">
            <w:pPr>
              <w:pStyle w:val="Paragraphtext"/>
              <w:spacing w:before="0" w:after="0"/>
            </w:pPr>
            <w:r>
              <w:t xml:space="preserve">Description: </w:t>
            </w:r>
          </w:p>
        </w:tc>
        <w:tc>
          <w:tcPr>
            <w:tcW w:w="4819" w:type="dxa"/>
          </w:tcPr>
          <w:p w14:paraId="3E60516A" w14:textId="037E7AFF" w:rsidR="00EC1E79" w:rsidRDefault="00EC1E79" w:rsidP="0089148C">
            <w:pPr>
              <w:pStyle w:val="Paragraphtext"/>
              <w:spacing w:before="0" w:after="0"/>
            </w:pPr>
            <w:r>
              <w:t>Examples:</w:t>
            </w:r>
          </w:p>
        </w:tc>
      </w:tr>
      <w:tr w:rsidR="00EC1E79" w14:paraId="36E1746F" w14:textId="10202155" w:rsidTr="0089148C">
        <w:tc>
          <w:tcPr>
            <w:tcW w:w="4390" w:type="dxa"/>
          </w:tcPr>
          <w:p w14:paraId="660DB4E4" w14:textId="327EF975" w:rsidR="00EC1E79" w:rsidRPr="000C3DE5" w:rsidRDefault="00EC1E79" w:rsidP="0089148C">
            <w:pPr>
              <w:pStyle w:val="Paragraphtext"/>
              <w:spacing w:before="0" w:after="0"/>
              <w:rPr>
                <w:rFonts w:asciiTheme="minorHAnsi" w:hAnsiTheme="minorHAnsi" w:cstheme="minorHAnsi"/>
                <w:b/>
                <w:bCs/>
                <w:color w:val="000000"/>
                <w:sz w:val="22"/>
                <w:szCs w:val="22"/>
                <w:lang w:eastAsia="en-AU"/>
              </w:rPr>
            </w:pPr>
            <w:r w:rsidRPr="000C3DE5">
              <w:rPr>
                <w:rFonts w:asciiTheme="minorHAnsi" w:hAnsiTheme="minorHAnsi" w:cstheme="minorHAnsi"/>
                <w:b/>
                <w:bCs/>
                <w:color w:val="000000"/>
                <w:sz w:val="22"/>
                <w:szCs w:val="22"/>
                <w:lang w:eastAsia="en-AU"/>
              </w:rPr>
              <w:t>Products containing 4 or more active ingredients</w:t>
            </w:r>
            <w:r w:rsidR="00F72216">
              <w:rPr>
                <w:rFonts w:asciiTheme="minorHAnsi" w:hAnsiTheme="minorHAnsi" w:cstheme="minorHAnsi"/>
                <w:b/>
                <w:bCs/>
                <w:color w:val="000000"/>
                <w:sz w:val="22"/>
                <w:szCs w:val="22"/>
                <w:lang w:eastAsia="en-AU"/>
              </w:rPr>
              <w:t xml:space="preserve"> </w:t>
            </w:r>
            <w:r w:rsidR="00F72216">
              <w:rPr>
                <w:rFonts w:asciiTheme="minorHAnsi" w:hAnsiTheme="minorHAnsi" w:cstheme="minorHAnsi"/>
                <w:b/>
                <w:bCs/>
                <w:color w:val="000000"/>
                <w:sz w:val="22"/>
                <w:szCs w:val="22"/>
                <w:lang w:eastAsia="en-AU"/>
              </w:rPr>
              <w:br/>
            </w:r>
            <w:r w:rsidR="00F72216">
              <w:rPr>
                <w:rFonts w:ascii="Open Sans" w:hAnsi="Open Sans" w:cs="Open Sans"/>
                <w:sz w:val="19"/>
                <w:szCs w:val="19"/>
                <w:lang w:eastAsia="en-AU"/>
              </w:rPr>
              <w:br/>
            </w:r>
            <w:r w:rsidR="00F72216" w:rsidRPr="00C01C2C">
              <w:rPr>
                <w:rFonts w:asciiTheme="minorHAnsi" w:hAnsiTheme="minorHAnsi" w:cstheme="minorHAnsi"/>
                <w:color w:val="000000"/>
                <w:sz w:val="22"/>
                <w:szCs w:val="22"/>
                <w:lang w:eastAsia="en-AU"/>
              </w:rPr>
              <w:t xml:space="preserve">NB: This </w:t>
            </w:r>
            <w:r w:rsidR="00F72216" w:rsidRPr="005D433B">
              <w:rPr>
                <w:rFonts w:asciiTheme="minorHAnsi" w:hAnsiTheme="minorHAnsi" w:cstheme="minorHAnsi"/>
                <w:color w:val="000000"/>
                <w:sz w:val="22"/>
                <w:szCs w:val="22"/>
                <w:lang w:eastAsia="en-AU"/>
              </w:rPr>
              <w:t>includ</w:t>
            </w:r>
            <w:r w:rsidR="00F72216" w:rsidRPr="00C01C2C">
              <w:rPr>
                <w:rFonts w:asciiTheme="minorHAnsi" w:hAnsiTheme="minorHAnsi" w:cstheme="minorHAnsi"/>
                <w:color w:val="000000"/>
                <w:sz w:val="22"/>
                <w:szCs w:val="22"/>
                <w:lang w:eastAsia="en-AU"/>
              </w:rPr>
              <w:t>es</w:t>
            </w:r>
            <w:r w:rsidR="00F72216" w:rsidRPr="005D433B">
              <w:rPr>
                <w:rFonts w:asciiTheme="minorHAnsi" w:hAnsiTheme="minorHAnsi" w:cstheme="minorHAnsi"/>
                <w:color w:val="000000"/>
                <w:sz w:val="22"/>
                <w:szCs w:val="22"/>
                <w:lang w:eastAsia="en-AU"/>
              </w:rPr>
              <w:t xml:space="preserve"> where the 4 or more presentations includes the same active ingredient at different strengths</w:t>
            </w:r>
            <w:r w:rsidR="00F72216">
              <w:rPr>
                <w:rFonts w:asciiTheme="minorHAnsi" w:hAnsiTheme="minorHAnsi" w:cstheme="minorHAnsi"/>
                <w:sz w:val="22"/>
                <w:szCs w:val="22"/>
                <w:lang w:eastAsia="en-AU"/>
              </w:rPr>
              <w:t xml:space="preserve">, </w:t>
            </w:r>
            <w:proofErr w:type="spellStart"/>
            <w:r w:rsidR="00F72216">
              <w:rPr>
                <w:rFonts w:asciiTheme="minorHAnsi" w:hAnsiTheme="minorHAnsi" w:cstheme="minorHAnsi"/>
                <w:sz w:val="22"/>
                <w:szCs w:val="22"/>
                <w:lang w:eastAsia="en-AU"/>
              </w:rPr>
              <w:t>eg</w:t>
            </w:r>
            <w:proofErr w:type="spellEnd"/>
            <w:r w:rsidR="00F72216">
              <w:rPr>
                <w:rFonts w:asciiTheme="minorHAnsi" w:hAnsiTheme="minorHAnsi" w:cstheme="minorHAnsi"/>
                <w:sz w:val="22"/>
                <w:szCs w:val="22"/>
                <w:lang w:eastAsia="en-AU"/>
              </w:rPr>
              <w:t xml:space="preserve">. </w:t>
            </w:r>
            <w:proofErr w:type="spellStart"/>
            <w:r w:rsidR="00F72216">
              <w:rPr>
                <w:rFonts w:asciiTheme="minorHAnsi" w:hAnsiTheme="minorHAnsi" w:cstheme="minorHAnsi"/>
                <w:sz w:val="22"/>
                <w:szCs w:val="22"/>
                <w:lang w:eastAsia="en-AU"/>
              </w:rPr>
              <w:t>Logynon</w:t>
            </w:r>
            <w:proofErr w:type="spellEnd"/>
            <w:r w:rsidR="00F72216">
              <w:rPr>
                <w:rFonts w:asciiTheme="minorHAnsi" w:hAnsiTheme="minorHAnsi" w:cstheme="minorHAnsi"/>
                <w:sz w:val="22"/>
                <w:szCs w:val="22"/>
                <w:lang w:eastAsia="en-AU"/>
              </w:rPr>
              <w:t xml:space="preserve"> ED.</w:t>
            </w:r>
          </w:p>
        </w:tc>
        <w:tc>
          <w:tcPr>
            <w:tcW w:w="4819" w:type="dxa"/>
          </w:tcPr>
          <w:p w14:paraId="18E6AA4C" w14:textId="2A227F8D" w:rsidR="00EE4CAF" w:rsidRPr="00C01C2C" w:rsidRDefault="00EE4CAF" w:rsidP="0089148C">
            <w:pPr>
              <w:pStyle w:val="Default"/>
              <w:numPr>
                <w:ilvl w:val="0"/>
                <w:numId w:val="30"/>
              </w:numPr>
              <w:spacing w:line="276" w:lineRule="auto"/>
              <w:rPr>
                <w:rFonts w:asciiTheme="minorHAnsi" w:eastAsia="Times New Roman" w:hAnsiTheme="minorHAnsi" w:cstheme="minorHAnsi"/>
                <w:sz w:val="22"/>
                <w:szCs w:val="22"/>
                <w:lang w:eastAsia="en-AU"/>
              </w:rPr>
            </w:pPr>
            <w:proofErr w:type="spellStart"/>
            <w:r w:rsidRPr="00C01C2C">
              <w:rPr>
                <w:rFonts w:asciiTheme="minorHAnsi" w:eastAsia="Times New Roman" w:hAnsiTheme="minorHAnsi" w:cstheme="minorHAnsi"/>
                <w:sz w:val="22"/>
                <w:szCs w:val="22"/>
                <w:lang w:eastAsia="en-AU"/>
              </w:rPr>
              <w:t>Logynon</w:t>
            </w:r>
            <w:proofErr w:type="spellEnd"/>
            <w:r w:rsidRPr="00C01C2C">
              <w:rPr>
                <w:rFonts w:asciiTheme="minorHAnsi" w:eastAsia="Times New Roman" w:hAnsiTheme="minorHAnsi" w:cstheme="minorHAnsi"/>
                <w:sz w:val="22"/>
                <w:szCs w:val="22"/>
                <w:lang w:eastAsia="en-AU"/>
              </w:rPr>
              <w:t xml:space="preserve"> ED</w:t>
            </w:r>
          </w:p>
          <w:p w14:paraId="4CC61E32" w14:textId="77777777" w:rsidR="00F72216" w:rsidRPr="00C01C2C" w:rsidRDefault="001B15E5" w:rsidP="0089148C">
            <w:pPr>
              <w:pStyle w:val="Default"/>
              <w:numPr>
                <w:ilvl w:val="0"/>
                <w:numId w:val="30"/>
              </w:numPr>
              <w:spacing w:line="276" w:lineRule="auto"/>
              <w:rPr>
                <w:rFonts w:asciiTheme="minorHAnsi" w:eastAsia="Times New Roman" w:hAnsiTheme="minorHAnsi" w:cstheme="minorHAnsi"/>
                <w:sz w:val="22"/>
                <w:szCs w:val="22"/>
                <w:lang w:eastAsia="en-AU"/>
              </w:rPr>
            </w:pPr>
            <w:proofErr w:type="spellStart"/>
            <w:r w:rsidRPr="00C01C2C">
              <w:rPr>
                <w:rFonts w:asciiTheme="minorHAnsi" w:eastAsia="Times New Roman" w:hAnsiTheme="minorHAnsi" w:cstheme="minorHAnsi"/>
                <w:sz w:val="22"/>
                <w:szCs w:val="22"/>
                <w:lang w:eastAsia="en-AU"/>
              </w:rPr>
              <w:t>Otocomb</w:t>
            </w:r>
            <w:proofErr w:type="spellEnd"/>
            <w:r w:rsidRPr="00C01C2C">
              <w:rPr>
                <w:rFonts w:asciiTheme="minorHAnsi" w:eastAsia="Times New Roman" w:hAnsiTheme="minorHAnsi" w:cstheme="minorHAnsi"/>
                <w:sz w:val="22"/>
                <w:szCs w:val="22"/>
                <w:lang w:eastAsia="en-AU"/>
              </w:rPr>
              <w:t xml:space="preserve"> </w:t>
            </w:r>
            <w:proofErr w:type="spellStart"/>
            <w:r w:rsidRPr="00C01C2C">
              <w:rPr>
                <w:rFonts w:asciiTheme="minorHAnsi" w:eastAsia="Times New Roman" w:hAnsiTheme="minorHAnsi" w:cstheme="minorHAnsi"/>
                <w:sz w:val="22"/>
                <w:szCs w:val="22"/>
                <w:lang w:eastAsia="en-AU"/>
              </w:rPr>
              <w:t>Otic</w:t>
            </w:r>
            <w:proofErr w:type="spellEnd"/>
          </w:p>
          <w:p w14:paraId="698486E2" w14:textId="14363A20" w:rsidR="005D433B" w:rsidRPr="00F72216" w:rsidRDefault="00F72216" w:rsidP="0089148C">
            <w:pPr>
              <w:pStyle w:val="Pa20"/>
              <w:numPr>
                <w:ilvl w:val="0"/>
                <w:numId w:val="30"/>
              </w:numPr>
              <w:spacing w:line="276" w:lineRule="auto"/>
              <w:rPr>
                <w:rFonts w:cs="Open Sans"/>
                <w:color w:val="000000"/>
                <w:sz w:val="19"/>
                <w:szCs w:val="19"/>
              </w:rPr>
            </w:pPr>
            <w:r w:rsidRPr="00C01C2C">
              <w:rPr>
                <w:rFonts w:asciiTheme="minorHAnsi" w:hAnsiTheme="minorHAnsi" w:cstheme="minorHAnsi"/>
                <w:color w:val="000000"/>
                <w:sz w:val="22"/>
                <w:szCs w:val="22"/>
              </w:rPr>
              <w:t>Restore O.R.S.</w:t>
            </w:r>
            <w:r w:rsidR="005D433B" w:rsidRPr="00F72216">
              <w:rPr>
                <w:rFonts w:cs="Open Sans"/>
                <w:sz w:val="19"/>
                <w:szCs w:val="19"/>
              </w:rPr>
              <w:br/>
            </w:r>
          </w:p>
          <w:p w14:paraId="3BAB7AD8" w14:textId="08919B8E" w:rsidR="001B15E5" w:rsidRPr="00EE4CAF" w:rsidRDefault="001B15E5" w:rsidP="0089148C">
            <w:pPr>
              <w:pStyle w:val="Default"/>
              <w:rPr>
                <w:rFonts w:ascii="Open Sans" w:hAnsi="Open Sans" w:cs="Open Sans"/>
                <w:sz w:val="19"/>
                <w:szCs w:val="19"/>
                <w:lang w:eastAsia="en-AU"/>
              </w:rPr>
            </w:pPr>
          </w:p>
        </w:tc>
      </w:tr>
      <w:tr w:rsidR="00EC1E79" w14:paraId="4691B065" w14:textId="3C947674" w:rsidTr="0089148C">
        <w:tc>
          <w:tcPr>
            <w:tcW w:w="4390" w:type="dxa"/>
          </w:tcPr>
          <w:p w14:paraId="7F85AED9" w14:textId="1DEF829F" w:rsidR="00EC1E79" w:rsidRPr="000C3DE5" w:rsidRDefault="00EC1E79" w:rsidP="0089148C">
            <w:pPr>
              <w:pStyle w:val="Paragraphtext"/>
              <w:spacing w:before="0" w:after="0"/>
              <w:rPr>
                <w:rFonts w:asciiTheme="minorHAnsi" w:hAnsiTheme="minorHAnsi" w:cstheme="minorHAnsi"/>
                <w:b/>
                <w:bCs/>
                <w:color w:val="000000"/>
                <w:sz w:val="22"/>
                <w:szCs w:val="22"/>
                <w:lang w:eastAsia="en-AU"/>
              </w:rPr>
            </w:pPr>
            <w:r w:rsidRPr="000C3DE5">
              <w:rPr>
                <w:rFonts w:asciiTheme="minorHAnsi" w:hAnsiTheme="minorHAnsi" w:cstheme="minorHAnsi"/>
                <w:b/>
                <w:bCs/>
                <w:color w:val="000000"/>
                <w:sz w:val="22"/>
                <w:szCs w:val="22"/>
                <w:lang w:eastAsia="en-AU"/>
              </w:rPr>
              <w:t xml:space="preserve">Non-medicinal PBS/RPBS items </w:t>
            </w:r>
          </w:p>
        </w:tc>
        <w:tc>
          <w:tcPr>
            <w:tcW w:w="4819" w:type="dxa"/>
          </w:tcPr>
          <w:p w14:paraId="2F1DB642" w14:textId="77777777" w:rsidR="00EC1E79" w:rsidRPr="00C01C2C" w:rsidRDefault="00EC1E79"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 xml:space="preserve">Bandages </w:t>
            </w:r>
          </w:p>
          <w:p w14:paraId="020B5851" w14:textId="77777777" w:rsidR="00EC1E79" w:rsidRPr="00C01C2C" w:rsidRDefault="00EC1E79"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 xml:space="preserve">Tapes </w:t>
            </w:r>
          </w:p>
          <w:p w14:paraId="7C078708" w14:textId="77777777" w:rsidR="00EC1E79" w:rsidRPr="00C01C2C" w:rsidRDefault="00EC1E79"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 xml:space="preserve">Dressings </w:t>
            </w:r>
          </w:p>
          <w:p w14:paraId="26910CA5" w14:textId="04B088D8" w:rsidR="00EC1E79" w:rsidRPr="00C01C2C" w:rsidRDefault="00EC1E79"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 xml:space="preserve">Non-absorbed treatments </w:t>
            </w:r>
          </w:p>
        </w:tc>
      </w:tr>
      <w:tr w:rsidR="00EC1E79" w14:paraId="067DB62C" w14:textId="259EDAE1" w:rsidTr="0089148C">
        <w:tc>
          <w:tcPr>
            <w:tcW w:w="4390" w:type="dxa"/>
          </w:tcPr>
          <w:p w14:paraId="71C75110" w14:textId="1A226FB2" w:rsidR="00EC1E79" w:rsidRPr="000C3DE5" w:rsidRDefault="00EC1E79" w:rsidP="0089148C">
            <w:pPr>
              <w:pStyle w:val="Paragraphtext"/>
              <w:spacing w:before="0" w:after="0"/>
              <w:rPr>
                <w:rFonts w:asciiTheme="minorHAnsi" w:hAnsiTheme="minorHAnsi" w:cstheme="minorHAnsi"/>
                <w:b/>
                <w:bCs/>
                <w:color w:val="000000"/>
                <w:sz w:val="22"/>
                <w:szCs w:val="22"/>
                <w:lang w:eastAsia="en-AU"/>
              </w:rPr>
            </w:pPr>
            <w:r w:rsidRPr="000C3DE5">
              <w:rPr>
                <w:rFonts w:asciiTheme="minorHAnsi" w:hAnsiTheme="minorHAnsi" w:cstheme="minorHAnsi"/>
                <w:b/>
                <w:bCs/>
                <w:color w:val="000000"/>
                <w:sz w:val="22"/>
                <w:szCs w:val="22"/>
                <w:lang w:eastAsia="en-AU"/>
              </w:rPr>
              <w:t>Vaccines and allergenic extracts</w:t>
            </w:r>
          </w:p>
        </w:tc>
        <w:tc>
          <w:tcPr>
            <w:tcW w:w="4819" w:type="dxa"/>
          </w:tcPr>
          <w:p w14:paraId="7BBD1F72" w14:textId="511ECAB5" w:rsidR="00EE4CAF" w:rsidRPr="00C01C2C" w:rsidRDefault="00EE4CAF" w:rsidP="0089148C">
            <w:pPr>
              <w:pStyle w:val="Paragraphtext"/>
              <w:numPr>
                <w:ilvl w:val="0"/>
                <w:numId w:val="29"/>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ADT Booster</w:t>
            </w:r>
          </w:p>
          <w:p w14:paraId="56DADF60" w14:textId="7C5248BB" w:rsidR="00EC1E79" w:rsidRPr="00C01C2C" w:rsidRDefault="00EE4CAF" w:rsidP="0089148C">
            <w:pPr>
              <w:pStyle w:val="Paragraphtext"/>
              <w:numPr>
                <w:ilvl w:val="0"/>
                <w:numId w:val="29"/>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 xml:space="preserve">Honey bee venom </w:t>
            </w:r>
          </w:p>
          <w:p w14:paraId="5A3FA169" w14:textId="4B32F0F2" w:rsidR="00EE4CAF" w:rsidRPr="00C01C2C" w:rsidRDefault="00EE4CAF" w:rsidP="0089148C">
            <w:pPr>
              <w:pStyle w:val="Paragraphtext"/>
              <w:numPr>
                <w:ilvl w:val="0"/>
                <w:numId w:val="29"/>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 xml:space="preserve">Paper wasp venom </w:t>
            </w:r>
          </w:p>
        </w:tc>
      </w:tr>
      <w:tr w:rsidR="00077E5B" w14:paraId="79FADDFF" w14:textId="56201169" w:rsidTr="0089148C">
        <w:tc>
          <w:tcPr>
            <w:tcW w:w="4390" w:type="dxa"/>
          </w:tcPr>
          <w:p w14:paraId="4966709C" w14:textId="7D1D0F2F" w:rsidR="00077E5B" w:rsidRPr="000C3DE5" w:rsidRDefault="00077E5B" w:rsidP="0089148C">
            <w:pPr>
              <w:pStyle w:val="Paragraphtext"/>
              <w:spacing w:before="0" w:after="0"/>
              <w:rPr>
                <w:rFonts w:asciiTheme="minorHAnsi" w:hAnsiTheme="minorHAnsi" w:cstheme="minorHAnsi"/>
                <w:b/>
                <w:bCs/>
                <w:color w:val="000000"/>
                <w:sz w:val="22"/>
                <w:szCs w:val="22"/>
                <w:lang w:eastAsia="en-AU"/>
              </w:rPr>
            </w:pPr>
            <w:r>
              <w:rPr>
                <w:rFonts w:asciiTheme="minorHAnsi" w:hAnsiTheme="minorHAnsi" w:cstheme="minorHAnsi"/>
                <w:b/>
                <w:bCs/>
                <w:color w:val="000000"/>
                <w:sz w:val="22"/>
                <w:szCs w:val="22"/>
                <w:lang w:eastAsia="en-AU"/>
              </w:rPr>
              <w:t xml:space="preserve">A number of </w:t>
            </w:r>
            <w:proofErr w:type="spellStart"/>
            <w:r>
              <w:rPr>
                <w:rFonts w:asciiTheme="minorHAnsi" w:hAnsiTheme="minorHAnsi" w:cstheme="minorHAnsi"/>
                <w:b/>
                <w:bCs/>
                <w:color w:val="000000"/>
                <w:sz w:val="22"/>
                <w:szCs w:val="22"/>
                <w:lang w:eastAsia="en-AU"/>
              </w:rPr>
              <w:t>o</w:t>
            </w:r>
            <w:r w:rsidRPr="000C3DE5">
              <w:rPr>
                <w:rFonts w:asciiTheme="minorHAnsi" w:hAnsiTheme="minorHAnsi" w:cstheme="minorHAnsi"/>
                <w:b/>
                <w:bCs/>
                <w:color w:val="000000"/>
                <w:sz w:val="22"/>
                <w:szCs w:val="22"/>
                <w:lang w:eastAsia="en-AU"/>
              </w:rPr>
              <w:t>ccular</w:t>
            </w:r>
            <w:proofErr w:type="spellEnd"/>
            <w:r w:rsidRPr="000C3DE5">
              <w:rPr>
                <w:rFonts w:asciiTheme="minorHAnsi" w:hAnsiTheme="minorHAnsi" w:cstheme="minorHAnsi"/>
                <w:b/>
                <w:bCs/>
                <w:color w:val="000000"/>
                <w:sz w:val="22"/>
                <w:szCs w:val="22"/>
                <w:lang w:eastAsia="en-AU"/>
              </w:rPr>
              <w:t xml:space="preserve"> lubricants and </w:t>
            </w:r>
            <w:proofErr w:type="spellStart"/>
            <w:r w:rsidRPr="000C3DE5">
              <w:rPr>
                <w:rFonts w:asciiTheme="minorHAnsi" w:hAnsiTheme="minorHAnsi" w:cstheme="minorHAnsi"/>
                <w:b/>
                <w:bCs/>
                <w:color w:val="000000"/>
                <w:sz w:val="22"/>
                <w:szCs w:val="22"/>
                <w:lang w:eastAsia="en-AU"/>
              </w:rPr>
              <w:t>opthalmologicals</w:t>
            </w:r>
            <w:proofErr w:type="spellEnd"/>
            <w:r>
              <w:rPr>
                <w:rFonts w:asciiTheme="minorHAnsi" w:hAnsiTheme="minorHAnsi" w:cstheme="minorHAnsi"/>
                <w:b/>
                <w:bCs/>
                <w:color w:val="000000"/>
                <w:sz w:val="22"/>
                <w:szCs w:val="22"/>
                <w:lang w:eastAsia="en-AU"/>
              </w:rPr>
              <w:t xml:space="preserve"> (see examples)</w:t>
            </w:r>
          </w:p>
        </w:tc>
        <w:tc>
          <w:tcPr>
            <w:tcW w:w="4819" w:type="dxa"/>
          </w:tcPr>
          <w:p w14:paraId="3D17082A"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AciVision</w:t>
            </w:r>
            <w:proofErr w:type="spellEnd"/>
          </w:p>
          <w:p w14:paraId="37A1078E"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Atropt</w:t>
            </w:r>
            <w:proofErr w:type="spellEnd"/>
          </w:p>
          <w:p w14:paraId="37AB9353"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Betoptic</w:t>
            </w:r>
            <w:proofErr w:type="spellEnd"/>
          </w:p>
          <w:p w14:paraId="4C3FAE98"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BetoQuin</w:t>
            </w:r>
            <w:proofErr w:type="spellEnd"/>
          </w:p>
          <w:p w14:paraId="4219D615"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Bion</w:t>
            </w:r>
            <w:proofErr w:type="spellEnd"/>
            <w:r w:rsidRPr="00C01C2C">
              <w:rPr>
                <w:rFonts w:asciiTheme="minorHAnsi" w:hAnsiTheme="minorHAnsi" w:cstheme="minorHAnsi"/>
                <w:color w:val="000000"/>
                <w:sz w:val="22"/>
                <w:szCs w:val="22"/>
                <w:lang w:eastAsia="en-AU"/>
              </w:rPr>
              <w:t xml:space="preserve"> Tears</w:t>
            </w:r>
          </w:p>
          <w:p w14:paraId="7436CDCD"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Cellufresh</w:t>
            </w:r>
            <w:proofErr w:type="spellEnd"/>
          </w:p>
          <w:p w14:paraId="75821A12"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Celluvisc</w:t>
            </w:r>
            <w:proofErr w:type="spellEnd"/>
            <w:r w:rsidRPr="00C01C2C">
              <w:rPr>
                <w:rFonts w:asciiTheme="minorHAnsi" w:hAnsiTheme="minorHAnsi" w:cstheme="minorHAnsi"/>
                <w:color w:val="000000"/>
                <w:sz w:val="22"/>
                <w:szCs w:val="22"/>
                <w:lang w:eastAsia="en-AU"/>
              </w:rPr>
              <w:t xml:space="preserve"> </w:t>
            </w:r>
          </w:p>
          <w:p w14:paraId="1B2F1442"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Chlorsig</w:t>
            </w:r>
            <w:proofErr w:type="spellEnd"/>
          </w:p>
          <w:p w14:paraId="7828FB38"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Ciloxan</w:t>
            </w:r>
            <w:proofErr w:type="spellEnd"/>
          </w:p>
          <w:p w14:paraId="573A8BFA"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Curity</w:t>
            </w:r>
            <w:proofErr w:type="spellEnd"/>
            <w:r w:rsidRPr="00C01C2C">
              <w:rPr>
                <w:rFonts w:asciiTheme="minorHAnsi" w:hAnsiTheme="minorHAnsi" w:cstheme="minorHAnsi"/>
                <w:color w:val="000000"/>
                <w:sz w:val="22"/>
                <w:szCs w:val="22"/>
                <w:lang w:eastAsia="en-AU"/>
              </w:rPr>
              <w:t xml:space="preserve"> 4112</w:t>
            </w:r>
          </w:p>
          <w:p w14:paraId="7C18E0BD"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 xml:space="preserve">Evolve </w:t>
            </w:r>
            <w:proofErr w:type="spellStart"/>
            <w:r w:rsidRPr="00C01C2C">
              <w:rPr>
                <w:rFonts w:asciiTheme="minorHAnsi" w:hAnsiTheme="minorHAnsi" w:cstheme="minorHAnsi"/>
                <w:color w:val="000000"/>
                <w:sz w:val="22"/>
                <w:szCs w:val="22"/>
                <w:lang w:eastAsia="en-AU"/>
              </w:rPr>
              <w:t>Carmellose</w:t>
            </w:r>
            <w:proofErr w:type="spellEnd"/>
          </w:p>
          <w:p w14:paraId="6172BA94"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Evolve Hypromellose</w:t>
            </w:r>
          </w:p>
          <w:p w14:paraId="096CACCA"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Flarex</w:t>
            </w:r>
            <w:proofErr w:type="spellEnd"/>
          </w:p>
          <w:p w14:paraId="292D7FE0"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 xml:space="preserve">FML </w:t>
            </w:r>
            <w:proofErr w:type="spellStart"/>
            <w:r w:rsidRPr="00C01C2C">
              <w:rPr>
                <w:rFonts w:asciiTheme="minorHAnsi" w:hAnsiTheme="minorHAnsi" w:cstheme="minorHAnsi"/>
                <w:color w:val="000000"/>
                <w:sz w:val="22"/>
                <w:szCs w:val="22"/>
                <w:lang w:eastAsia="en-AU"/>
              </w:rPr>
              <w:t>Liquifilm</w:t>
            </w:r>
            <w:proofErr w:type="spellEnd"/>
          </w:p>
          <w:p w14:paraId="518F7A95"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Genteal</w:t>
            </w:r>
            <w:proofErr w:type="spellEnd"/>
          </w:p>
          <w:p w14:paraId="085E878A"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Genteal</w:t>
            </w:r>
            <w:proofErr w:type="spellEnd"/>
            <w:r w:rsidRPr="00C01C2C">
              <w:rPr>
                <w:rFonts w:asciiTheme="minorHAnsi" w:hAnsiTheme="minorHAnsi" w:cstheme="minorHAnsi"/>
                <w:color w:val="000000"/>
                <w:sz w:val="22"/>
                <w:szCs w:val="22"/>
                <w:lang w:eastAsia="en-AU"/>
              </w:rPr>
              <w:t xml:space="preserve"> gel</w:t>
            </w:r>
          </w:p>
          <w:p w14:paraId="2D8271B5"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HPMC PAA</w:t>
            </w:r>
          </w:p>
          <w:p w14:paraId="0050E58E"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Hycor</w:t>
            </w:r>
            <w:proofErr w:type="spellEnd"/>
          </w:p>
          <w:p w14:paraId="3A831FED"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Hylo-Forte</w:t>
            </w:r>
          </w:p>
          <w:p w14:paraId="536C8870"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Hylo-Fresh</w:t>
            </w:r>
          </w:p>
          <w:p w14:paraId="05BB018A"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In a Wink Moisturising</w:t>
            </w:r>
          </w:p>
          <w:p w14:paraId="7236BE3B"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Ircal</w:t>
            </w:r>
            <w:proofErr w:type="spellEnd"/>
          </w:p>
          <w:p w14:paraId="392CD8FE"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Liquifilm</w:t>
            </w:r>
            <w:proofErr w:type="spellEnd"/>
            <w:r w:rsidRPr="00C01C2C">
              <w:rPr>
                <w:rFonts w:asciiTheme="minorHAnsi" w:hAnsiTheme="minorHAnsi" w:cstheme="minorHAnsi"/>
                <w:color w:val="000000"/>
                <w:sz w:val="22"/>
                <w:szCs w:val="22"/>
                <w:lang w:eastAsia="en-AU"/>
              </w:rPr>
              <w:t xml:space="preserve"> Tears</w:t>
            </w:r>
          </w:p>
          <w:p w14:paraId="088D4FFC"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Maxidex</w:t>
            </w:r>
            <w:proofErr w:type="spellEnd"/>
            <w:r w:rsidRPr="00C01C2C">
              <w:rPr>
                <w:rFonts w:asciiTheme="minorHAnsi" w:hAnsiTheme="minorHAnsi" w:cstheme="minorHAnsi"/>
                <w:color w:val="000000"/>
                <w:sz w:val="22"/>
                <w:szCs w:val="22"/>
                <w:lang w:eastAsia="en-AU"/>
              </w:rPr>
              <w:t xml:space="preserve"> </w:t>
            </w:r>
          </w:p>
          <w:p w14:paraId="30422381"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Methopt</w:t>
            </w:r>
            <w:proofErr w:type="spellEnd"/>
          </w:p>
          <w:p w14:paraId="7458E51A"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Optifresh</w:t>
            </w:r>
            <w:proofErr w:type="spellEnd"/>
            <w:r w:rsidRPr="00C01C2C">
              <w:rPr>
                <w:rFonts w:asciiTheme="minorHAnsi" w:hAnsiTheme="minorHAnsi" w:cstheme="minorHAnsi"/>
                <w:color w:val="000000"/>
                <w:sz w:val="22"/>
                <w:szCs w:val="22"/>
                <w:lang w:eastAsia="en-AU"/>
              </w:rPr>
              <w:t xml:space="preserve"> Plus</w:t>
            </w:r>
          </w:p>
          <w:p w14:paraId="1159FD1A"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Optifresh</w:t>
            </w:r>
            <w:proofErr w:type="spellEnd"/>
            <w:r w:rsidRPr="00C01C2C">
              <w:rPr>
                <w:rFonts w:asciiTheme="minorHAnsi" w:hAnsiTheme="minorHAnsi" w:cstheme="minorHAnsi"/>
                <w:color w:val="000000"/>
                <w:sz w:val="22"/>
                <w:szCs w:val="22"/>
                <w:lang w:eastAsia="en-AU"/>
              </w:rPr>
              <w:t xml:space="preserve"> Tears</w:t>
            </w:r>
          </w:p>
          <w:p w14:paraId="444F7C3A"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Optive</w:t>
            </w:r>
            <w:proofErr w:type="spellEnd"/>
            <w:r w:rsidRPr="00C01C2C">
              <w:rPr>
                <w:rFonts w:asciiTheme="minorHAnsi" w:hAnsiTheme="minorHAnsi" w:cstheme="minorHAnsi"/>
                <w:color w:val="000000"/>
                <w:sz w:val="22"/>
                <w:szCs w:val="22"/>
                <w:lang w:eastAsia="en-AU"/>
              </w:rPr>
              <w:t xml:space="preserve"> </w:t>
            </w:r>
          </w:p>
          <w:p w14:paraId="385D963C"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PAA</w:t>
            </w:r>
          </w:p>
          <w:p w14:paraId="79595B7A"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Prednefrin</w:t>
            </w:r>
            <w:proofErr w:type="spellEnd"/>
            <w:r w:rsidRPr="00C01C2C">
              <w:rPr>
                <w:rFonts w:asciiTheme="minorHAnsi" w:hAnsiTheme="minorHAnsi" w:cstheme="minorHAnsi"/>
                <w:color w:val="000000"/>
                <w:sz w:val="22"/>
                <w:szCs w:val="22"/>
                <w:lang w:eastAsia="en-AU"/>
              </w:rPr>
              <w:t xml:space="preserve"> Forte</w:t>
            </w:r>
          </w:p>
          <w:p w14:paraId="741755CC"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Poly Gel</w:t>
            </w:r>
          </w:p>
          <w:p w14:paraId="3E436454"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Poly-Tears</w:t>
            </w:r>
          </w:p>
          <w:p w14:paraId="3A6CAFAD"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 xml:space="preserve">Poly </w:t>
            </w:r>
            <w:proofErr w:type="spellStart"/>
            <w:r w:rsidRPr="00C01C2C">
              <w:rPr>
                <w:rFonts w:asciiTheme="minorHAnsi" w:hAnsiTheme="minorHAnsi" w:cstheme="minorHAnsi"/>
                <w:color w:val="000000"/>
                <w:sz w:val="22"/>
                <w:szCs w:val="22"/>
                <w:lang w:eastAsia="en-AU"/>
              </w:rPr>
              <w:t>Visc</w:t>
            </w:r>
            <w:proofErr w:type="spellEnd"/>
          </w:p>
          <w:p w14:paraId="769C4C6C"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PVA Tears</w:t>
            </w:r>
          </w:p>
          <w:p w14:paraId="652CBD80"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 xml:space="preserve">Refresh </w:t>
            </w:r>
            <w:proofErr w:type="spellStart"/>
            <w:r w:rsidRPr="00C01C2C">
              <w:rPr>
                <w:rFonts w:asciiTheme="minorHAnsi" w:hAnsiTheme="minorHAnsi" w:cstheme="minorHAnsi"/>
                <w:color w:val="000000"/>
                <w:sz w:val="22"/>
                <w:szCs w:val="22"/>
                <w:lang w:eastAsia="en-AU"/>
              </w:rPr>
              <w:t>Liquigel</w:t>
            </w:r>
            <w:proofErr w:type="spellEnd"/>
          </w:p>
          <w:p w14:paraId="006EB17E"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 xml:space="preserve">Refresh Night Time </w:t>
            </w:r>
          </w:p>
          <w:p w14:paraId="319BE805"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Refresh Tears Plus</w:t>
            </w:r>
          </w:p>
          <w:p w14:paraId="4520D8F7"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Sofradex</w:t>
            </w:r>
            <w:proofErr w:type="spellEnd"/>
          </w:p>
          <w:p w14:paraId="18305636"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Soframycin</w:t>
            </w:r>
            <w:proofErr w:type="spellEnd"/>
          </w:p>
          <w:p w14:paraId="11680294"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Systane</w:t>
            </w:r>
          </w:p>
          <w:p w14:paraId="5E379AA4"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 xml:space="preserve">Tears </w:t>
            </w:r>
            <w:proofErr w:type="spellStart"/>
            <w:r w:rsidRPr="00C01C2C">
              <w:rPr>
                <w:rFonts w:asciiTheme="minorHAnsi" w:hAnsiTheme="minorHAnsi" w:cstheme="minorHAnsi"/>
                <w:color w:val="000000"/>
                <w:sz w:val="22"/>
                <w:szCs w:val="22"/>
                <w:lang w:eastAsia="en-AU"/>
              </w:rPr>
              <w:t>Naturale</w:t>
            </w:r>
            <w:proofErr w:type="spellEnd"/>
          </w:p>
          <w:p w14:paraId="16346C3C"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Tobrex</w:t>
            </w:r>
            <w:proofErr w:type="spellEnd"/>
            <w:r w:rsidRPr="00C01C2C">
              <w:rPr>
                <w:rFonts w:asciiTheme="minorHAnsi" w:hAnsiTheme="minorHAnsi" w:cstheme="minorHAnsi"/>
                <w:color w:val="000000"/>
                <w:sz w:val="22"/>
                <w:szCs w:val="22"/>
                <w:lang w:eastAsia="en-AU"/>
              </w:rPr>
              <w:t xml:space="preserve"> </w:t>
            </w:r>
          </w:p>
          <w:p w14:paraId="7428E76D" w14:textId="77777777" w:rsidR="00077E5B" w:rsidRPr="00C01C2C" w:rsidRDefault="00077E5B" w:rsidP="0089148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Viscotears</w:t>
            </w:r>
            <w:proofErr w:type="spellEnd"/>
          </w:p>
          <w:p w14:paraId="2748C1F0" w14:textId="7897CD60" w:rsidR="00077E5B" w:rsidRPr="00C01C2C" w:rsidRDefault="00077E5B" w:rsidP="00C01C2C">
            <w:pPr>
              <w:pStyle w:val="Paragraphtext"/>
              <w:numPr>
                <w:ilvl w:val="0"/>
                <w:numId w:val="31"/>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Viscotears</w:t>
            </w:r>
            <w:proofErr w:type="spellEnd"/>
            <w:r w:rsidRPr="00C01C2C">
              <w:rPr>
                <w:rFonts w:asciiTheme="minorHAnsi" w:hAnsiTheme="minorHAnsi" w:cstheme="minorHAnsi"/>
                <w:color w:val="000000"/>
                <w:sz w:val="22"/>
                <w:szCs w:val="22"/>
                <w:lang w:eastAsia="en-AU"/>
              </w:rPr>
              <w:t xml:space="preserve"> Gel PF</w:t>
            </w:r>
          </w:p>
        </w:tc>
      </w:tr>
      <w:tr w:rsidR="00077E5B" w14:paraId="3E535251" w14:textId="2D44D108" w:rsidTr="0089148C">
        <w:tc>
          <w:tcPr>
            <w:tcW w:w="4390" w:type="dxa"/>
          </w:tcPr>
          <w:p w14:paraId="136FAD2D" w14:textId="71AF99AD" w:rsidR="00077E5B" w:rsidRPr="000C3DE5" w:rsidRDefault="00077E5B" w:rsidP="0089148C">
            <w:pPr>
              <w:pStyle w:val="Paragraphtext"/>
              <w:spacing w:before="0" w:after="0"/>
              <w:rPr>
                <w:rFonts w:asciiTheme="minorHAnsi" w:hAnsiTheme="minorHAnsi" w:cstheme="minorHAnsi"/>
                <w:b/>
                <w:bCs/>
                <w:color w:val="000000"/>
                <w:sz w:val="22"/>
                <w:szCs w:val="22"/>
                <w:lang w:eastAsia="en-AU"/>
              </w:rPr>
            </w:pPr>
            <w:r>
              <w:rPr>
                <w:rFonts w:asciiTheme="minorHAnsi" w:hAnsiTheme="minorHAnsi" w:cstheme="minorHAnsi"/>
                <w:b/>
                <w:bCs/>
                <w:color w:val="000000"/>
                <w:sz w:val="22"/>
                <w:szCs w:val="22"/>
                <w:lang w:eastAsia="en-AU"/>
              </w:rPr>
              <w:t>A number of d</w:t>
            </w:r>
            <w:r w:rsidRPr="000C3DE5">
              <w:rPr>
                <w:rFonts w:asciiTheme="minorHAnsi" w:hAnsiTheme="minorHAnsi" w:cstheme="minorHAnsi"/>
                <w:b/>
                <w:bCs/>
                <w:color w:val="000000"/>
                <w:sz w:val="22"/>
                <w:szCs w:val="22"/>
                <w:lang w:eastAsia="en-AU"/>
              </w:rPr>
              <w:t xml:space="preserve">ermatological </w:t>
            </w:r>
            <w:r>
              <w:rPr>
                <w:rFonts w:asciiTheme="minorHAnsi" w:hAnsiTheme="minorHAnsi" w:cstheme="minorHAnsi"/>
                <w:b/>
                <w:bCs/>
                <w:color w:val="000000"/>
                <w:sz w:val="22"/>
                <w:szCs w:val="22"/>
                <w:lang w:eastAsia="en-AU"/>
              </w:rPr>
              <w:t>p</w:t>
            </w:r>
            <w:r w:rsidRPr="000C3DE5">
              <w:rPr>
                <w:rFonts w:asciiTheme="minorHAnsi" w:hAnsiTheme="minorHAnsi" w:cstheme="minorHAnsi"/>
                <w:b/>
                <w:bCs/>
                <w:color w:val="000000"/>
                <w:sz w:val="22"/>
                <w:szCs w:val="22"/>
                <w:lang w:eastAsia="en-AU"/>
              </w:rPr>
              <w:t>reparations</w:t>
            </w:r>
            <w:r>
              <w:rPr>
                <w:rFonts w:asciiTheme="minorHAnsi" w:hAnsiTheme="minorHAnsi" w:cstheme="minorHAnsi"/>
                <w:b/>
                <w:bCs/>
                <w:color w:val="000000"/>
                <w:sz w:val="22"/>
                <w:szCs w:val="22"/>
                <w:lang w:eastAsia="en-AU"/>
              </w:rPr>
              <w:t xml:space="preserve"> (see examples)</w:t>
            </w:r>
          </w:p>
        </w:tc>
        <w:tc>
          <w:tcPr>
            <w:tcW w:w="4819" w:type="dxa"/>
          </w:tcPr>
          <w:p w14:paraId="6EA9C14A" w14:textId="77777777" w:rsidR="00077E5B" w:rsidRPr="00C01C2C" w:rsidRDefault="00077E5B"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Alpha Keri Bath Oil</w:t>
            </w:r>
          </w:p>
          <w:p w14:paraId="01693357" w14:textId="77777777" w:rsidR="00077E5B" w:rsidRPr="00C01C2C" w:rsidRDefault="00077E5B"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Alpha Keri Lotion</w:t>
            </w:r>
          </w:p>
          <w:p w14:paraId="3BE34308" w14:textId="77777777" w:rsidR="00077E5B" w:rsidRPr="00C01C2C" w:rsidRDefault="00077E5B"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Aquasun</w:t>
            </w:r>
            <w:proofErr w:type="spellEnd"/>
            <w:r w:rsidRPr="00C01C2C">
              <w:rPr>
                <w:rFonts w:asciiTheme="minorHAnsi" w:hAnsiTheme="minorHAnsi" w:cstheme="minorHAnsi"/>
                <w:color w:val="000000"/>
                <w:sz w:val="22"/>
                <w:szCs w:val="22"/>
                <w:lang w:eastAsia="en-AU"/>
              </w:rPr>
              <w:t xml:space="preserve"> Lotion SPF 18</w:t>
            </w:r>
          </w:p>
          <w:p w14:paraId="188F6D1D" w14:textId="77777777" w:rsidR="00077E5B" w:rsidRPr="00C01C2C" w:rsidRDefault="00077E5B"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Egopsoryl</w:t>
            </w:r>
            <w:proofErr w:type="spellEnd"/>
            <w:r w:rsidRPr="00C01C2C">
              <w:rPr>
                <w:rFonts w:asciiTheme="minorHAnsi" w:hAnsiTheme="minorHAnsi" w:cstheme="minorHAnsi"/>
                <w:color w:val="000000"/>
                <w:sz w:val="22"/>
                <w:szCs w:val="22"/>
                <w:lang w:eastAsia="en-AU"/>
              </w:rPr>
              <w:t>-TA</w:t>
            </w:r>
          </w:p>
          <w:p w14:paraId="5159C35B" w14:textId="77777777" w:rsidR="00077E5B" w:rsidRPr="00C01C2C" w:rsidRDefault="00077E5B"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Hamilton Skin Therapy Oil</w:t>
            </w:r>
          </w:p>
          <w:p w14:paraId="7BA86162" w14:textId="77777777" w:rsidR="00077E5B" w:rsidRPr="00C01C2C" w:rsidRDefault="00077E5B"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 xml:space="preserve">Hamilton Skin Therapy Wash </w:t>
            </w:r>
          </w:p>
          <w:p w14:paraId="05ACD8F4" w14:textId="77777777" w:rsidR="00077E5B" w:rsidRPr="00C01C2C" w:rsidRDefault="00077E5B"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Ionil</w:t>
            </w:r>
            <w:proofErr w:type="spellEnd"/>
            <w:r w:rsidRPr="00C01C2C">
              <w:rPr>
                <w:rFonts w:asciiTheme="minorHAnsi" w:hAnsiTheme="minorHAnsi" w:cstheme="minorHAnsi"/>
                <w:color w:val="000000"/>
                <w:sz w:val="22"/>
                <w:szCs w:val="22"/>
                <w:lang w:eastAsia="en-AU"/>
              </w:rPr>
              <w:t>-T</w:t>
            </w:r>
          </w:p>
          <w:p w14:paraId="530BAEEE" w14:textId="77777777" w:rsidR="00077E5B" w:rsidRPr="00C01C2C" w:rsidRDefault="00077E5B"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Pinetarsol</w:t>
            </w:r>
            <w:proofErr w:type="spellEnd"/>
          </w:p>
          <w:p w14:paraId="0242B356" w14:textId="77777777" w:rsidR="00077E5B" w:rsidRPr="00C01C2C" w:rsidRDefault="00077E5B"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QV Bath Oil</w:t>
            </w:r>
          </w:p>
          <w:p w14:paraId="53E699AC" w14:textId="77777777" w:rsidR="00077E5B" w:rsidRPr="00C01C2C" w:rsidRDefault="00077E5B"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QV Skin Lotion</w:t>
            </w:r>
          </w:p>
          <w:p w14:paraId="50A23480" w14:textId="77777777" w:rsidR="00077E5B" w:rsidRPr="00C01C2C" w:rsidRDefault="00077E5B"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SebiRinse</w:t>
            </w:r>
            <w:proofErr w:type="spellEnd"/>
          </w:p>
          <w:p w14:paraId="79C4FB3F" w14:textId="77777777" w:rsidR="00077E5B" w:rsidRPr="00C01C2C" w:rsidRDefault="00077E5B"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Sebitar</w:t>
            </w:r>
            <w:proofErr w:type="spellEnd"/>
            <w:r w:rsidRPr="00C01C2C">
              <w:rPr>
                <w:rFonts w:asciiTheme="minorHAnsi" w:hAnsiTheme="minorHAnsi" w:cstheme="minorHAnsi"/>
                <w:color w:val="000000"/>
                <w:sz w:val="22"/>
                <w:szCs w:val="22"/>
                <w:lang w:eastAsia="en-AU"/>
              </w:rPr>
              <w:t xml:space="preserve"> </w:t>
            </w:r>
          </w:p>
          <w:p w14:paraId="14E79D8B" w14:textId="77777777" w:rsidR="00077E5B" w:rsidRPr="00C01C2C" w:rsidRDefault="00077E5B"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Selsun</w:t>
            </w:r>
          </w:p>
          <w:p w14:paraId="1493A881" w14:textId="77777777" w:rsidR="00077E5B" w:rsidRPr="00C01C2C" w:rsidRDefault="00077E5B"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Sunsense</w:t>
            </w:r>
            <w:proofErr w:type="spellEnd"/>
            <w:r w:rsidRPr="00C01C2C">
              <w:rPr>
                <w:rFonts w:asciiTheme="minorHAnsi" w:hAnsiTheme="minorHAnsi" w:cstheme="minorHAnsi"/>
                <w:color w:val="000000"/>
                <w:sz w:val="22"/>
                <w:szCs w:val="22"/>
                <w:lang w:eastAsia="en-AU"/>
              </w:rPr>
              <w:t xml:space="preserve"> Sensitive SPF 50+</w:t>
            </w:r>
          </w:p>
          <w:p w14:paraId="4413E644" w14:textId="7FB40984" w:rsidR="00077E5B" w:rsidRPr="00C01C2C" w:rsidRDefault="00077E5B"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Tricortone</w:t>
            </w:r>
            <w:proofErr w:type="spellEnd"/>
          </w:p>
        </w:tc>
      </w:tr>
      <w:tr w:rsidR="00EC1E79" w14:paraId="46FA3CB2" w14:textId="4A7587AF" w:rsidTr="0089148C">
        <w:tc>
          <w:tcPr>
            <w:tcW w:w="4390" w:type="dxa"/>
          </w:tcPr>
          <w:p w14:paraId="671FB89D" w14:textId="59ADE8B4" w:rsidR="00EC1E79" w:rsidRPr="000C3DE5" w:rsidRDefault="00EC1E79" w:rsidP="0089148C">
            <w:pPr>
              <w:pStyle w:val="Paragraphtext"/>
              <w:spacing w:before="0" w:after="0"/>
              <w:rPr>
                <w:rFonts w:asciiTheme="minorHAnsi" w:hAnsiTheme="minorHAnsi" w:cstheme="minorHAnsi"/>
                <w:b/>
                <w:bCs/>
                <w:color w:val="000000"/>
                <w:sz w:val="22"/>
                <w:szCs w:val="22"/>
                <w:lang w:eastAsia="en-AU"/>
              </w:rPr>
            </w:pPr>
            <w:r w:rsidRPr="000C3DE5">
              <w:rPr>
                <w:rFonts w:asciiTheme="minorHAnsi" w:hAnsiTheme="minorHAnsi" w:cstheme="minorHAnsi"/>
                <w:b/>
                <w:bCs/>
                <w:color w:val="000000"/>
                <w:sz w:val="22"/>
                <w:szCs w:val="22"/>
                <w:lang w:eastAsia="en-AU"/>
              </w:rPr>
              <w:t>Treatments for haemorrhoids and constipation</w:t>
            </w:r>
          </w:p>
        </w:tc>
        <w:tc>
          <w:tcPr>
            <w:tcW w:w="4819" w:type="dxa"/>
          </w:tcPr>
          <w:p w14:paraId="5DD88D06" w14:textId="77777777" w:rsidR="00F72216" w:rsidRPr="00C01C2C" w:rsidRDefault="00F72216"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Anusol</w:t>
            </w:r>
            <w:proofErr w:type="spellEnd"/>
            <w:r w:rsidRPr="00C01C2C">
              <w:rPr>
                <w:rFonts w:asciiTheme="minorHAnsi" w:hAnsiTheme="minorHAnsi" w:cstheme="minorHAnsi"/>
                <w:color w:val="000000"/>
                <w:sz w:val="22"/>
                <w:szCs w:val="22"/>
                <w:lang w:eastAsia="en-AU"/>
              </w:rPr>
              <w:t xml:space="preserve"> </w:t>
            </w:r>
          </w:p>
          <w:p w14:paraId="19E31B45" w14:textId="114D38A5" w:rsidR="00CE491A" w:rsidRPr="00C01C2C" w:rsidRDefault="00CE491A"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Micolette</w:t>
            </w:r>
            <w:proofErr w:type="spellEnd"/>
            <w:r w:rsidRPr="00C01C2C">
              <w:rPr>
                <w:rFonts w:asciiTheme="minorHAnsi" w:hAnsiTheme="minorHAnsi" w:cstheme="minorHAnsi"/>
                <w:color w:val="000000"/>
                <w:sz w:val="22"/>
                <w:szCs w:val="22"/>
                <w:lang w:eastAsia="en-AU"/>
              </w:rPr>
              <w:t xml:space="preserve"> </w:t>
            </w:r>
          </w:p>
        </w:tc>
      </w:tr>
      <w:tr w:rsidR="00EC1E79" w14:paraId="7527BD79" w14:textId="3899DF9D" w:rsidTr="0089148C">
        <w:tc>
          <w:tcPr>
            <w:tcW w:w="4390" w:type="dxa"/>
          </w:tcPr>
          <w:p w14:paraId="1CF81AC5" w14:textId="7FC52916" w:rsidR="00EC1E79" w:rsidRPr="000C3DE5" w:rsidRDefault="00EC1E79" w:rsidP="0089148C">
            <w:pPr>
              <w:pStyle w:val="Paragraphtext"/>
              <w:spacing w:before="0" w:after="0"/>
              <w:rPr>
                <w:rFonts w:asciiTheme="minorHAnsi" w:hAnsiTheme="minorHAnsi" w:cstheme="minorHAnsi"/>
                <w:b/>
                <w:bCs/>
                <w:color w:val="000000"/>
                <w:sz w:val="22"/>
                <w:szCs w:val="22"/>
                <w:lang w:eastAsia="en-AU"/>
              </w:rPr>
            </w:pPr>
            <w:r w:rsidRPr="000C3DE5">
              <w:rPr>
                <w:rFonts w:asciiTheme="minorHAnsi" w:hAnsiTheme="minorHAnsi" w:cstheme="minorHAnsi"/>
                <w:b/>
                <w:bCs/>
                <w:color w:val="000000"/>
                <w:sz w:val="22"/>
                <w:szCs w:val="22"/>
                <w:lang w:eastAsia="en-AU"/>
              </w:rPr>
              <w:t xml:space="preserve">Diagnostic tools </w:t>
            </w:r>
          </w:p>
        </w:tc>
        <w:tc>
          <w:tcPr>
            <w:tcW w:w="4819" w:type="dxa"/>
          </w:tcPr>
          <w:p w14:paraId="022450B2" w14:textId="032664A4" w:rsidR="00CE491A" w:rsidRPr="00C01C2C" w:rsidRDefault="00CE491A"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Glucose indicator urine diagnostic strips</w:t>
            </w:r>
          </w:p>
        </w:tc>
      </w:tr>
      <w:tr w:rsidR="00EC1E79" w14:paraId="611FD26C" w14:textId="46387B27" w:rsidTr="0089148C">
        <w:tc>
          <w:tcPr>
            <w:tcW w:w="4390" w:type="dxa"/>
          </w:tcPr>
          <w:p w14:paraId="15A474C1" w14:textId="1F83C996" w:rsidR="001B15E5" w:rsidRPr="000C3DE5" w:rsidRDefault="00EC1E79" w:rsidP="0089148C">
            <w:pPr>
              <w:pStyle w:val="Paragraphtext"/>
              <w:spacing w:before="0" w:after="0"/>
              <w:rPr>
                <w:rFonts w:asciiTheme="minorHAnsi" w:hAnsiTheme="minorHAnsi" w:cstheme="minorHAnsi"/>
                <w:b/>
                <w:bCs/>
                <w:color w:val="000000"/>
                <w:sz w:val="22"/>
                <w:szCs w:val="22"/>
                <w:lang w:eastAsia="en-AU"/>
              </w:rPr>
            </w:pPr>
            <w:r w:rsidRPr="000C3DE5">
              <w:rPr>
                <w:rFonts w:asciiTheme="minorHAnsi" w:hAnsiTheme="minorHAnsi" w:cstheme="minorHAnsi"/>
                <w:b/>
                <w:bCs/>
                <w:color w:val="000000"/>
                <w:sz w:val="22"/>
                <w:szCs w:val="22"/>
                <w:lang w:eastAsia="en-AU"/>
              </w:rPr>
              <w:t>Iron preparations</w:t>
            </w:r>
          </w:p>
        </w:tc>
        <w:tc>
          <w:tcPr>
            <w:tcW w:w="4819" w:type="dxa"/>
          </w:tcPr>
          <w:p w14:paraId="7FD973BD" w14:textId="09FA20F8" w:rsidR="00EC1E79" w:rsidRPr="00C01C2C" w:rsidRDefault="00CE491A"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r w:rsidRPr="00C01C2C">
              <w:rPr>
                <w:rFonts w:asciiTheme="minorHAnsi" w:hAnsiTheme="minorHAnsi" w:cstheme="minorHAnsi"/>
                <w:color w:val="000000"/>
                <w:sz w:val="22"/>
                <w:szCs w:val="22"/>
                <w:lang w:eastAsia="en-AU"/>
              </w:rPr>
              <w:t xml:space="preserve">Ferro-tab </w:t>
            </w:r>
          </w:p>
        </w:tc>
      </w:tr>
      <w:tr w:rsidR="00EC1E79" w14:paraId="210D28EA" w14:textId="543A1212" w:rsidTr="0089148C">
        <w:tc>
          <w:tcPr>
            <w:tcW w:w="4390" w:type="dxa"/>
          </w:tcPr>
          <w:p w14:paraId="25ED70CD" w14:textId="1DD9409B" w:rsidR="001B15E5" w:rsidRPr="000C3DE5" w:rsidRDefault="00EC1E79" w:rsidP="0089148C">
            <w:pPr>
              <w:pStyle w:val="Paragraphtext"/>
              <w:spacing w:before="0" w:after="0"/>
              <w:rPr>
                <w:rFonts w:asciiTheme="minorHAnsi" w:hAnsiTheme="minorHAnsi" w:cstheme="minorHAnsi"/>
                <w:b/>
                <w:bCs/>
                <w:color w:val="000000"/>
                <w:sz w:val="22"/>
                <w:szCs w:val="22"/>
                <w:lang w:eastAsia="en-AU"/>
              </w:rPr>
            </w:pPr>
            <w:r w:rsidRPr="000C3DE5">
              <w:rPr>
                <w:rFonts w:asciiTheme="minorHAnsi" w:hAnsiTheme="minorHAnsi" w:cstheme="minorHAnsi"/>
                <w:b/>
                <w:bCs/>
                <w:color w:val="000000"/>
                <w:sz w:val="22"/>
                <w:szCs w:val="22"/>
                <w:lang w:eastAsia="en-AU"/>
              </w:rPr>
              <w:t xml:space="preserve">Vitamins, minerals and trace elements </w:t>
            </w:r>
          </w:p>
        </w:tc>
        <w:tc>
          <w:tcPr>
            <w:tcW w:w="4819" w:type="dxa"/>
          </w:tcPr>
          <w:p w14:paraId="52D4127B" w14:textId="1A788844" w:rsidR="00EC1E79" w:rsidRPr="00C01C2C" w:rsidRDefault="00EC1E79"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Fruitivits</w:t>
            </w:r>
            <w:proofErr w:type="spellEnd"/>
          </w:p>
        </w:tc>
      </w:tr>
      <w:tr w:rsidR="00EC1E79" w14:paraId="27668A0A" w14:textId="2CD5DFA3" w:rsidTr="0089148C">
        <w:tc>
          <w:tcPr>
            <w:tcW w:w="4390" w:type="dxa"/>
          </w:tcPr>
          <w:p w14:paraId="39CF8B48" w14:textId="77777777" w:rsidR="00EC1E79" w:rsidRPr="000C3DE5" w:rsidRDefault="00EC1E79" w:rsidP="0089148C">
            <w:pPr>
              <w:pStyle w:val="Paragraphtext"/>
              <w:spacing w:before="0" w:after="0"/>
              <w:rPr>
                <w:rFonts w:asciiTheme="minorHAnsi" w:hAnsiTheme="minorHAnsi" w:cstheme="minorHAnsi"/>
                <w:b/>
                <w:bCs/>
                <w:color w:val="000000"/>
                <w:sz w:val="22"/>
                <w:szCs w:val="22"/>
                <w:lang w:eastAsia="en-AU"/>
              </w:rPr>
            </w:pPr>
            <w:r w:rsidRPr="000C3DE5">
              <w:rPr>
                <w:rFonts w:asciiTheme="minorHAnsi" w:hAnsiTheme="minorHAnsi" w:cstheme="minorHAnsi"/>
                <w:b/>
                <w:bCs/>
                <w:color w:val="000000"/>
                <w:sz w:val="22"/>
                <w:szCs w:val="22"/>
                <w:lang w:eastAsia="en-AU"/>
              </w:rPr>
              <w:t xml:space="preserve">General and other </w:t>
            </w:r>
            <w:proofErr w:type="gramStart"/>
            <w:r w:rsidRPr="000C3DE5">
              <w:rPr>
                <w:rFonts w:asciiTheme="minorHAnsi" w:hAnsiTheme="minorHAnsi" w:cstheme="minorHAnsi"/>
                <w:b/>
                <w:bCs/>
                <w:color w:val="000000"/>
                <w:sz w:val="22"/>
                <w:szCs w:val="22"/>
                <w:lang w:eastAsia="en-AU"/>
              </w:rPr>
              <w:t>nutrients  (</w:t>
            </w:r>
            <w:proofErr w:type="spellStart"/>
            <w:proofErr w:type="gramEnd"/>
            <w:r w:rsidRPr="000C3DE5">
              <w:rPr>
                <w:rFonts w:asciiTheme="minorHAnsi" w:hAnsiTheme="minorHAnsi" w:cstheme="minorHAnsi"/>
                <w:b/>
                <w:bCs/>
                <w:color w:val="000000"/>
                <w:sz w:val="22"/>
                <w:szCs w:val="22"/>
                <w:lang w:eastAsia="en-AU"/>
              </w:rPr>
              <w:t>ie</w:t>
            </w:r>
            <w:proofErr w:type="spellEnd"/>
            <w:r w:rsidRPr="000C3DE5">
              <w:rPr>
                <w:rFonts w:asciiTheme="minorHAnsi" w:hAnsiTheme="minorHAnsi" w:cstheme="minorHAnsi"/>
                <w:b/>
                <w:bCs/>
                <w:color w:val="000000"/>
                <w:sz w:val="22"/>
                <w:szCs w:val="22"/>
                <w:lang w:eastAsia="en-AU"/>
              </w:rPr>
              <w:t>. Medicinal foods)</w:t>
            </w:r>
          </w:p>
          <w:p w14:paraId="461B92FE" w14:textId="77777777" w:rsidR="001B15E5" w:rsidRPr="000C3DE5" w:rsidRDefault="001B15E5" w:rsidP="0089148C">
            <w:pPr>
              <w:pStyle w:val="Paragraphtext"/>
              <w:spacing w:before="0" w:after="0"/>
              <w:rPr>
                <w:rFonts w:asciiTheme="minorHAnsi" w:hAnsiTheme="minorHAnsi" w:cstheme="minorHAnsi"/>
                <w:b/>
                <w:bCs/>
                <w:color w:val="000000"/>
                <w:sz w:val="22"/>
                <w:szCs w:val="22"/>
                <w:lang w:eastAsia="en-AU"/>
              </w:rPr>
            </w:pPr>
          </w:p>
          <w:p w14:paraId="5ED8B86C" w14:textId="77777777" w:rsidR="001B15E5" w:rsidRPr="000C3DE5" w:rsidRDefault="001B15E5" w:rsidP="0089148C">
            <w:pPr>
              <w:pStyle w:val="Paragraphtext"/>
              <w:spacing w:before="0" w:after="0"/>
              <w:rPr>
                <w:rFonts w:asciiTheme="minorHAnsi" w:hAnsiTheme="minorHAnsi" w:cstheme="minorHAnsi"/>
                <w:b/>
                <w:bCs/>
                <w:color w:val="000000"/>
                <w:sz w:val="22"/>
                <w:szCs w:val="22"/>
                <w:lang w:eastAsia="en-AU"/>
              </w:rPr>
            </w:pPr>
          </w:p>
          <w:p w14:paraId="1423404D" w14:textId="3B27F348" w:rsidR="001B15E5" w:rsidRPr="000C3DE5" w:rsidRDefault="001B15E5" w:rsidP="0089148C">
            <w:pPr>
              <w:pStyle w:val="Paragraphtext"/>
              <w:spacing w:before="0" w:after="0"/>
              <w:rPr>
                <w:rFonts w:asciiTheme="minorHAnsi" w:hAnsiTheme="minorHAnsi" w:cstheme="minorHAnsi"/>
                <w:b/>
                <w:bCs/>
                <w:color w:val="000000"/>
                <w:sz w:val="22"/>
                <w:szCs w:val="22"/>
                <w:lang w:eastAsia="en-AU"/>
              </w:rPr>
            </w:pPr>
          </w:p>
        </w:tc>
        <w:tc>
          <w:tcPr>
            <w:tcW w:w="4819" w:type="dxa"/>
          </w:tcPr>
          <w:p w14:paraId="21282BAB" w14:textId="77777777" w:rsidR="00EC1E79" w:rsidRPr="00C01C2C" w:rsidRDefault="00EC1E79"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Alfamino</w:t>
            </w:r>
            <w:proofErr w:type="spellEnd"/>
          </w:p>
          <w:p w14:paraId="7F31DE72" w14:textId="77777777" w:rsidR="00EC1E79" w:rsidRPr="00C01C2C" w:rsidRDefault="00EC1E79"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EleCare</w:t>
            </w:r>
            <w:bookmarkStart w:id="1" w:name="_GoBack"/>
            <w:bookmarkEnd w:id="1"/>
            <w:proofErr w:type="spellEnd"/>
          </w:p>
          <w:p w14:paraId="6D0B1728" w14:textId="77777777" w:rsidR="00EC1E79" w:rsidRPr="00C01C2C" w:rsidRDefault="00EC1E79"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Energivit</w:t>
            </w:r>
            <w:proofErr w:type="spellEnd"/>
          </w:p>
          <w:p w14:paraId="23F139B9" w14:textId="507845C7" w:rsidR="00EC1E79" w:rsidRPr="00C01C2C" w:rsidRDefault="00EC1E79" w:rsidP="0089148C">
            <w:pPr>
              <w:pStyle w:val="Paragraphtext"/>
              <w:numPr>
                <w:ilvl w:val="0"/>
                <w:numId w:val="28"/>
              </w:numPr>
              <w:spacing w:before="0" w:after="0" w:line="276" w:lineRule="auto"/>
              <w:rPr>
                <w:rFonts w:asciiTheme="minorHAnsi" w:hAnsiTheme="minorHAnsi" w:cstheme="minorHAnsi"/>
                <w:color w:val="000000"/>
                <w:sz w:val="22"/>
                <w:szCs w:val="22"/>
                <w:lang w:eastAsia="en-AU"/>
              </w:rPr>
            </w:pPr>
            <w:proofErr w:type="spellStart"/>
            <w:r w:rsidRPr="00C01C2C">
              <w:rPr>
                <w:rFonts w:asciiTheme="minorHAnsi" w:hAnsiTheme="minorHAnsi" w:cstheme="minorHAnsi"/>
                <w:color w:val="000000"/>
                <w:sz w:val="22"/>
                <w:szCs w:val="22"/>
                <w:lang w:eastAsia="en-AU"/>
              </w:rPr>
              <w:t>Neocate</w:t>
            </w:r>
            <w:proofErr w:type="spellEnd"/>
            <w:r w:rsidRPr="00C01C2C">
              <w:rPr>
                <w:rFonts w:asciiTheme="minorHAnsi" w:hAnsiTheme="minorHAnsi" w:cstheme="minorHAnsi"/>
                <w:color w:val="000000"/>
                <w:sz w:val="22"/>
                <w:szCs w:val="22"/>
                <w:lang w:eastAsia="en-AU"/>
              </w:rPr>
              <w:t xml:space="preserve"> Gold</w:t>
            </w:r>
          </w:p>
        </w:tc>
      </w:tr>
    </w:tbl>
    <w:p w14:paraId="168F8230" w14:textId="69B5EAD1" w:rsidR="00393B74" w:rsidRDefault="0089148C" w:rsidP="00393B74">
      <w:pPr>
        <w:tabs>
          <w:tab w:val="left" w:pos="2925"/>
        </w:tabs>
      </w:pPr>
      <w:r>
        <w:br w:type="textWrapping" w:clear="all"/>
      </w:r>
    </w:p>
    <w:p w14:paraId="72CCDBA3" w14:textId="58328A87" w:rsidR="00393B74" w:rsidRPr="00393B74" w:rsidRDefault="00393B74" w:rsidP="00393B74">
      <w:pPr>
        <w:tabs>
          <w:tab w:val="left" w:pos="2925"/>
        </w:tabs>
      </w:pPr>
      <w:r>
        <w:t xml:space="preserve">A comprehensive list of the items on the List of Excluded Medicinal Items (LEMI) and List of Medicines for Brand Consideration (LMBC) is available on the </w:t>
      </w:r>
      <w:hyperlink r:id="rId18" w:history="1">
        <w:r w:rsidRPr="008A1AA0">
          <w:rPr>
            <w:rStyle w:val="Hyperlink"/>
          </w:rPr>
          <w:t>Australian Commission on Safety and Quality in Health Care’s website</w:t>
        </w:r>
      </w:hyperlink>
      <w:r w:rsidR="008A1AA0">
        <w:t>.</w:t>
      </w:r>
    </w:p>
    <w:sectPr w:rsidR="00393B74" w:rsidRPr="00393B74" w:rsidSect="0089148C">
      <w:headerReference w:type="default" r:id="rId19"/>
      <w:type w:val="continuous"/>
      <w:pgSz w:w="11906" w:h="16838"/>
      <w:pgMar w:top="2127" w:right="849" w:bottom="568"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F5DFE" w14:textId="77777777" w:rsidR="00197D86" w:rsidRDefault="00197D86" w:rsidP="006B56BB">
      <w:r>
        <w:separator/>
      </w:r>
    </w:p>
    <w:p w14:paraId="2DA5D309" w14:textId="77777777" w:rsidR="00197D86" w:rsidRDefault="00197D86"/>
  </w:endnote>
  <w:endnote w:type="continuationSeparator" w:id="0">
    <w:p w14:paraId="36F9CD11" w14:textId="77777777" w:rsidR="00197D86" w:rsidRDefault="00197D86" w:rsidP="006B56BB">
      <w:r>
        <w:continuationSeparator/>
      </w:r>
    </w:p>
    <w:p w14:paraId="283CD98C" w14:textId="77777777" w:rsidR="00197D86" w:rsidRDefault="00197D86"/>
  </w:endnote>
  <w:endnote w:type="continuationNotice" w:id="1">
    <w:p w14:paraId="642D68FF" w14:textId="77777777" w:rsidR="00197D86" w:rsidRDefault="00197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73E2A" w14:textId="77777777" w:rsidR="008476BB" w:rsidRDefault="00847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992E" w14:textId="77777777" w:rsidR="008476BB" w:rsidRDefault="00847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48912" w14:textId="792CD601" w:rsidR="008D48C9" w:rsidRPr="00DE3355" w:rsidRDefault="008D48C9" w:rsidP="003D033A">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455C9" w14:textId="77777777" w:rsidR="00197D86" w:rsidRDefault="00197D86" w:rsidP="006B56BB">
      <w:r>
        <w:separator/>
      </w:r>
    </w:p>
    <w:p w14:paraId="221BE600" w14:textId="77777777" w:rsidR="00197D86" w:rsidRDefault="00197D86"/>
  </w:footnote>
  <w:footnote w:type="continuationSeparator" w:id="0">
    <w:p w14:paraId="4D3D08E5" w14:textId="77777777" w:rsidR="00197D86" w:rsidRDefault="00197D86" w:rsidP="006B56BB">
      <w:r>
        <w:continuationSeparator/>
      </w:r>
    </w:p>
    <w:p w14:paraId="398B1DBF" w14:textId="77777777" w:rsidR="00197D86" w:rsidRDefault="00197D86"/>
  </w:footnote>
  <w:footnote w:type="continuationNotice" w:id="1">
    <w:p w14:paraId="25608C86" w14:textId="77777777" w:rsidR="00197D86" w:rsidRDefault="00197D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5B00F" w14:textId="77777777" w:rsidR="008476BB" w:rsidRDefault="00847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8E61A" w14:textId="03F9B603" w:rsidR="008D48C9" w:rsidRDefault="00077E5B" w:rsidP="008A1AA0">
    <w:pPr>
      <w:ind w:left="3544"/>
      <w:jc w:val="center"/>
    </w:pPr>
    <w:r>
      <w:rPr>
        <w:noProof/>
        <w:lang w:eastAsia="en-AU"/>
      </w:rPr>
      <w:drawing>
        <wp:anchor distT="0" distB="0" distL="114300" distR="114300" simplePos="0" relativeHeight="251657216" behindDoc="1" locked="0" layoutInCell="1" allowOverlap="1" wp14:anchorId="32325753" wp14:editId="519847E9">
          <wp:simplePos x="0" y="0"/>
          <wp:positionH relativeFrom="margin">
            <wp:align>right</wp:align>
          </wp:positionH>
          <wp:positionV relativeFrom="paragraph">
            <wp:posOffset>-102115</wp:posOffset>
          </wp:positionV>
          <wp:extent cx="5759450" cy="942138"/>
          <wp:effectExtent l="0" t="0" r="0" b="0"/>
          <wp:wrapNone/>
          <wp:docPr id="5" name="Picture 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141FE" w14:textId="77777777" w:rsidR="008D48C9" w:rsidRDefault="001571C7">
    <w:pPr>
      <w:pStyle w:val="Header"/>
    </w:pPr>
    <w:r>
      <w:rPr>
        <w:noProof/>
        <w:lang w:eastAsia="en-AU"/>
      </w:rPr>
      <w:drawing>
        <wp:inline distT="0" distB="0" distL="0" distR="0" wp14:anchorId="700CCC23" wp14:editId="539A9039">
          <wp:extent cx="6038850" cy="958847"/>
          <wp:effectExtent l="0" t="0" r="0" b="0"/>
          <wp:docPr id="15" name="Picture 1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6235220" cy="99002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DD9F0" w14:textId="27A51202" w:rsidR="00077E5B" w:rsidRPr="00077E5B" w:rsidRDefault="0089148C" w:rsidP="00077E5B">
    <w:pPr>
      <w:ind w:left="4536"/>
      <w:rPr>
        <w:sz w:val="20"/>
        <w:szCs w:val="22"/>
      </w:rPr>
    </w:pPr>
    <w:r>
      <w:rPr>
        <w:rFonts w:cs="Arial"/>
        <w:bCs/>
        <w:color w:val="3F4A75"/>
        <w:kern w:val="28"/>
        <w:sz w:val="32"/>
        <w:szCs w:val="32"/>
      </w:rPr>
      <w:br/>
    </w:r>
    <w:r w:rsidR="00392D42">
      <w:rPr>
        <w:noProof/>
        <w:lang w:eastAsia="en-AU"/>
      </w:rPr>
      <w:drawing>
        <wp:anchor distT="0" distB="0" distL="114300" distR="114300" simplePos="0" relativeHeight="251658240" behindDoc="1" locked="0" layoutInCell="1" allowOverlap="1" wp14:anchorId="13818B65" wp14:editId="25AD3275">
          <wp:simplePos x="0" y="0"/>
          <wp:positionH relativeFrom="column">
            <wp:posOffset>3810</wp:posOffset>
          </wp:positionH>
          <wp:positionV relativeFrom="paragraph">
            <wp:posOffset>3175</wp:posOffset>
          </wp:positionV>
          <wp:extent cx="5865806" cy="959485"/>
          <wp:effectExtent l="0" t="0" r="1905" b="0"/>
          <wp:wrapNone/>
          <wp:docPr id="19" name="Picture 19"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5806" cy="959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7E5B" w:rsidRPr="00077E5B">
      <w:rPr>
        <w:rFonts w:cs="Arial"/>
        <w:bCs/>
        <w:color w:val="3F4A75"/>
        <w:kern w:val="28"/>
        <w:sz w:val="32"/>
        <w:szCs w:val="32"/>
      </w:rPr>
      <w:t xml:space="preserve"> </w:t>
    </w:r>
  </w:p>
  <w:p w14:paraId="03ACE5DC" w14:textId="1E4EAD39"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493361"/>
    <w:multiLevelType w:val="hybridMultilevel"/>
    <w:tmpl w:val="AEFEC2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72367C"/>
    <w:multiLevelType w:val="hybridMultilevel"/>
    <w:tmpl w:val="F47603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463597"/>
    <w:multiLevelType w:val="hybridMultilevel"/>
    <w:tmpl w:val="C83E69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055C63"/>
    <w:multiLevelType w:val="multilevel"/>
    <w:tmpl w:val="09B0F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D171E8"/>
    <w:multiLevelType w:val="hybridMultilevel"/>
    <w:tmpl w:val="EC6EC3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74F577E"/>
    <w:multiLevelType w:val="hybridMultilevel"/>
    <w:tmpl w:val="77849F40"/>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04C7B"/>
    <w:multiLevelType w:val="hybridMultilevel"/>
    <w:tmpl w:val="B6B23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D30300"/>
    <w:multiLevelType w:val="hybridMultilevel"/>
    <w:tmpl w:val="81C62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916C08"/>
    <w:multiLevelType w:val="hybridMultilevel"/>
    <w:tmpl w:val="8E26D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F101EF"/>
    <w:multiLevelType w:val="hybridMultilevel"/>
    <w:tmpl w:val="A5BA68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9203333"/>
    <w:multiLevelType w:val="hybridMultilevel"/>
    <w:tmpl w:val="A87E8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287779"/>
    <w:multiLevelType w:val="hybridMultilevel"/>
    <w:tmpl w:val="44ACFB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2"/>
  </w:num>
  <w:num w:numId="3">
    <w:abstractNumId w:val="28"/>
  </w:num>
  <w:num w:numId="4">
    <w:abstractNumId w:val="8"/>
  </w:num>
  <w:num w:numId="5">
    <w:abstractNumId w:val="8"/>
    <w:lvlOverride w:ilvl="0">
      <w:startOverride w:val="1"/>
    </w:lvlOverride>
  </w:num>
  <w:num w:numId="6">
    <w:abstractNumId w:val="11"/>
  </w:num>
  <w:num w:numId="7">
    <w:abstractNumId w:val="18"/>
  </w:num>
  <w:num w:numId="8">
    <w:abstractNumId w:val="2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9"/>
  </w:num>
  <w:num w:numId="17">
    <w:abstractNumId w:val="12"/>
  </w:num>
  <w:num w:numId="18">
    <w:abstractNumId w:val="15"/>
  </w:num>
  <w:num w:numId="19">
    <w:abstractNumId w:val="17"/>
  </w:num>
  <w:num w:numId="20">
    <w:abstractNumId w:val="14"/>
  </w:num>
  <w:num w:numId="21">
    <w:abstractNumId w:val="21"/>
  </w:num>
  <w:num w:numId="22">
    <w:abstractNumId w:val="20"/>
  </w:num>
  <w:num w:numId="23">
    <w:abstractNumId w:val="23"/>
  </w:num>
  <w:num w:numId="24">
    <w:abstractNumId w:val="26"/>
  </w:num>
  <w:num w:numId="25">
    <w:abstractNumId w:val="16"/>
  </w:num>
  <w:num w:numId="26">
    <w:abstractNumId w:val="19"/>
  </w:num>
  <w:num w:numId="27">
    <w:abstractNumId w:val="24"/>
  </w:num>
  <w:num w:numId="28">
    <w:abstractNumId w:val="10"/>
  </w:num>
  <w:num w:numId="29">
    <w:abstractNumId w:val="27"/>
  </w:num>
  <w:num w:numId="30">
    <w:abstractNumId w:val="1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9109BF1-8752-40A4-9CC0-A59249668FAE}"/>
    <w:docVar w:name="dgnword-eventsink" w:val="647168064"/>
  </w:docVars>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51447"/>
    <w:rsid w:val="00067456"/>
    <w:rsid w:val="00071506"/>
    <w:rsid w:val="0007154F"/>
    <w:rsid w:val="00077E5B"/>
    <w:rsid w:val="000811FA"/>
    <w:rsid w:val="00081AB1"/>
    <w:rsid w:val="00090316"/>
    <w:rsid w:val="00093981"/>
    <w:rsid w:val="000B067A"/>
    <w:rsid w:val="000B1540"/>
    <w:rsid w:val="000B1E53"/>
    <w:rsid w:val="000B33FD"/>
    <w:rsid w:val="000B4ABA"/>
    <w:rsid w:val="000C3DE5"/>
    <w:rsid w:val="000C4B16"/>
    <w:rsid w:val="000C50C3"/>
    <w:rsid w:val="000C5E14"/>
    <w:rsid w:val="000D21F6"/>
    <w:rsid w:val="000D4500"/>
    <w:rsid w:val="000D7AEA"/>
    <w:rsid w:val="000E2C66"/>
    <w:rsid w:val="000F123C"/>
    <w:rsid w:val="000F2FED"/>
    <w:rsid w:val="0010616D"/>
    <w:rsid w:val="00110478"/>
    <w:rsid w:val="00116B59"/>
    <w:rsid w:val="0011711B"/>
    <w:rsid w:val="00117F8A"/>
    <w:rsid w:val="00120A03"/>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97D86"/>
    <w:rsid w:val="001A4627"/>
    <w:rsid w:val="001A4979"/>
    <w:rsid w:val="001B0512"/>
    <w:rsid w:val="001B15D3"/>
    <w:rsid w:val="001B15E5"/>
    <w:rsid w:val="001B3443"/>
    <w:rsid w:val="001C0326"/>
    <w:rsid w:val="001C192F"/>
    <w:rsid w:val="001C3C42"/>
    <w:rsid w:val="001C75D8"/>
    <w:rsid w:val="001D38BA"/>
    <w:rsid w:val="001D7869"/>
    <w:rsid w:val="002026CD"/>
    <w:rsid w:val="002033FC"/>
    <w:rsid w:val="002044BB"/>
    <w:rsid w:val="00210B09"/>
    <w:rsid w:val="00210C9E"/>
    <w:rsid w:val="00211840"/>
    <w:rsid w:val="00220E5F"/>
    <w:rsid w:val="002212B5"/>
    <w:rsid w:val="00225972"/>
    <w:rsid w:val="00226668"/>
    <w:rsid w:val="00233809"/>
    <w:rsid w:val="00240046"/>
    <w:rsid w:val="0024094A"/>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6A9E"/>
    <w:rsid w:val="00297151"/>
    <w:rsid w:val="002B20E6"/>
    <w:rsid w:val="002B42A3"/>
    <w:rsid w:val="002C0CDD"/>
    <w:rsid w:val="002C38C4"/>
    <w:rsid w:val="002E1A1D"/>
    <w:rsid w:val="002E4081"/>
    <w:rsid w:val="002E5B78"/>
    <w:rsid w:val="002F3AE3"/>
    <w:rsid w:val="0030464B"/>
    <w:rsid w:val="0030786C"/>
    <w:rsid w:val="003233DE"/>
    <w:rsid w:val="0032466B"/>
    <w:rsid w:val="00332DA3"/>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2D42"/>
    <w:rsid w:val="0039384D"/>
    <w:rsid w:val="00393B74"/>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452D"/>
    <w:rsid w:val="003F5F4D"/>
    <w:rsid w:val="003F646F"/>
    <w:rsid w:val="00400F00"/>
    <w:rsid w:val="00404F8B"/>
    <w:rsid w:val="00405256"/>
    <w:rsid w:val="00410031"/>
    <w:rsid w:val="00415C81"/>
    <w:rsid w:val="00420E59"/>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F1"/>
    <w:rsid w:val="004C09E7"/>
    <w:rsid w:val="004C6BCF"/>
    <w:rsid w:val="004D426A"/>
    <w:rsid w:val="004D58BF"/>
    <w:rsid w:val="004E4335"/>
    <w:rsid w:val="004F13EE"/>
    <w:rsid w:val="004F2022"/>
    <w:rsid w:val="004F7C05"/>
    <w:rsid w:val="0050014C"/>
    <w:rsid w:val="00501C94"/>
    <w:rsid w:val="00506432"/>
    <w:rsid w:val="00514545"/>
    <w:rsid w:val="0052051D"/>
    <w:rsid w:val="0054420E"/>
    <w:rsid w:val="00545EE6"/>
    <w:rsid w:val="00552C5A"/>
    <w:rsid w:val="005550E7"/>
    <w:rsid w:val="005564FB"/>
    <w:rsid w:val="005572C7"/>
    <w:rsid w:val="005650ED"/>
    <w:rsid w:val="00575754"/>
    <w:rsid w:val="00581FBA"/>
    <w:rsid w:val="00591E20"/>
    <w:rsid w:val="00595408"/>
    <w:rsid w:val="00595E84"/>
    <w:rsid w:val="005A0C59"/>
    <w:rsid w:val="005A48EB"/>
    <w:rsid w:val="005A6CFB"/>
    <w:rsid w:val="005C5AEB"/>
    <w:rsid w:val="005D433B"/>
    <w:rsid w:val="005E0A3F"/>
    <w:rsid w:val="005E6883"/>
    <w:rsid w:val="005E772F"/>
    <w:rsid w:val="005F4ECA"/>
    <w:rsid w:val="006041BE"/>
    <w:rsid w:val="006043C7"/>
    <w:rsid w:val="00624B52"/>
    <w:rsid w:val="00630794"/>
    <w:rsid w:val="00631DF4"/>
    <w:rsid w:val="00634175"/>
    <w:rsid w:val="006408AC"/>
    <w:rsid w:val="006511B6"/>
    <w:rsid w:val="00657FF8"/>
    <w:rsid w:val="0066481E"/>
    <w:rsid w:val="00670D99"/>
    <w:rsid w:val="00670E2B"/>
    <w:rsid w:val="006734BB"/>
    <w:rsid w:val="0067697A"/>
    <w:rsid w:val="006821EB"/>
    <w:rsid w:val="006B2286"/>
    <w:rsid w:val="006B56BB"/>
    <w:rsid w:val="006C7495"/>
    <w:rsid w:val="006C77A8"/>
    <w:rsid w:val="006D4098"/>
    <w:rsid w:val="006D7681"/>
    <w:rsid w:val="006D7B2E"/>
    <w:rsid w:val="006E02EA"/>
    <w:rsid w:val="006E0968"/>
    <w:rsid w:val="006E2AF6"/>
    <w:rsid w:val="00701275"/>
    <w:rsid w:val="00707F56"/>
    <w:rsid w:val="00713558"/>
    <w:rsid w:val="00720D08"/>
    <w:rsid w:val="007263B9"/>
    <w:rsid w:val="00731BE3"/>
    <w:rsid w:val="007334F8"/>
    <w:rsid w:val="007339CD"/>
    <w:rsid w:val="007359D8"/>
    <w:rsid w:val="007362D4"/>
    <w:rsid w:val="007418BA"/>
    <w:rsid w:val="0076672A"/>
    <w:rsid w:val="00766E7E"/>
    <w:rsid w:val="00772246"/>
    <w:rsid w:val="00775E45"/>
    <w:rsid w:val="00776E74"/>
    <w:rsid w:val="00785169"/>
    <w:rsid w:val="00787CF6"/>
    <w:rsid w:val="007954AB"/>
    <w:rsid w:val="007A14C5"/>
    <w:rsid w:val="007A4A10"/>
    <w:rsid w:val="007B1760"/>
    <w:rsid w:val="007C1FDC"/>
    <w:rsid w:val="007C6D9C"/>
    <w:rsid w:val="007C7DDB"/>
    <w:rsid w:val="007D2CC7"/>
    <w:rsid w:val="007D673D"/>
    <w:rsid w:val="007D6B51"/>
    <w:rsid w:val="007E4D09"/>
    <w:rsid w:val="007F2220"/>
    <w:rsid w:val="007F4B3E"/>
    <w:rsid w:val="007F5289"/>
    <w:rsid w:val="00803B5B"/>
    <w:rsid w:val="008127AF"/>
    <w:rsid w:val="00812B46"/>
    <w:rsid w:val="00815700"/>
    <w:rsid w:val="008264EB"/>
    <w:rsid w:val="00826B8F"/>
    <w:rsid w:val="00831E8A"/>
    <w:rsid w:val="00835C76"/>
    <w:rsid w:val="008376E2"/>
    <w:rsid w:val="00843049"/>
    <w:rsid w:val="008476BB"/>
    <w:rsid w:val="0085209B"/>
    <w:rsid w:val="00856B66"/>
    <w:rsid w:val="008601AC"/>
    <w:rsid w:val="00861A5F"/>
    <w:rsid w:val="008644AD"/>
    <w:rsid w:val="00865735"/>
    <w:rsid w:val="00865DDB"/>
    <w:rsid w:val="00867538"/>
    <w:rsid w:val="00873D90"/>
    <w:rsid w:val="00873FC8"/>
    <w:rsid w:val="00884C63"/>
    <w:rsid w:val="00885908"/>
    <w:rsid w:val="008864B7"/>
    <w:rsid w:val="0089148C"/>
    <w:rsid w:val="0089677E"/>
    <w:rsid w:val="008A1AA0"/>
    <w:rsid w:val="008A7438"/>
    <w:rsid w:val="008A78A1"/>
    <w:rsid w:val="008B1334"/>
    <w:rsid w:val="008B25C7"/>
    <w:rsid w:val="008B3DF3"/>
    <w:rsid w:val="008C0278"/>
    <w:rsid w:val="008C24E9"/>
    <w:rsid w:val="008C252A"/>
    <w:rsid w:val="008D0533"/>
    <w:rsid w:val="008D42CB"/>
    <w:rsid w:val="008D48C9"/>
    <w:rsid w:val="008D6381"/>
    <w:rsid w:val="008E0C77"/>
    <w:rsid w:val="008E625F"/>
    <w:rsid w:val="008F264D"/>
    <w:rsid w:val="008F3060"/>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5DA"/>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4753"/>
    <w:rsid w:val="00A656C7"/>
    <w:rsid w:val="00A705AF"/>
    <w:rsid w:val="00A72454"/>
    <w:rsid w:val="00A77696"/>
    <w:rsid w:val="00A77810"/>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7C85"/>
    <w:rsid w:val="00B61129"/>
    <w:rsid w:val="00B67E7F"/>
    <w:rsid w:val="00B839B2"/>
    <w:rsid w:val="00B94252"/>
    <w:rsid w:val="00B9715A"/>
    <w:rsid w:val="00B971E3"/>
    <w:rsid w:val="00BA14BE"/>
    <w:rsid w:val="00BA2732"/>
    <w:rsid w:val="00BA293D"/>
    <w:rsid w:val="00BA49BC"/>
    <w:rsid w:val="00BA56B7"/>
    <w:rsid w:val="00BA5D44"/>
    <w:rsid w:val="00BA7A1E"/>
    <w:rsid w:val="00BB2F6C"/>
    <w:rsid w:val="00BB3875"/>
    <w:rsid w:val="00BB5860"/>
    <w:rsid w:val="00BB5D30"/>
    <w:rsid w:val="00BB6AAD"/>
    <w:rsid w:val="00BC4A19"/>
    <w:rsid w:val="00BC4E6D"/>
    <w:rsid w:val="00BD0617"/>
    <w:rsid w:val="00BD2E9B"/>
    <w:rsid w:val="00BD7FB2"/>
    <w:rsid w:val="00C00930"/>
    <w:rsid w:val="00C00D18"/>
    <w:rsid w:val="00C01C2C"/>
    <w:rsid w:val="00C060AD"/>
    <w:rsid w:val="00C113BF"/>
    <w:rsid w:val="00C2176E"/>
    <w:rsid w:val="00C23430"/>
    <w:rsid w:val="00C26592"/>
    <w:rsid w:val="00C27D67"/>
    <w:rsid w:val="00C4631F"/>
    <w:rsid w:val="00C47CDE"/>
    <w:rsid w:val="00C50E16"/>
    <w:rsid w:val="00C55258"/>
    <w:rsid w:val="00C82EEB"/>
    <w:rsid w:val="00C971DC"/>
    <w:rsid w:val="00CA16B7"/>
    <w:rsid w:val="00CA62AE"/>
    <w:rsid w:val="00CB5B1A"/>
    <w:rsid w:val="00CC220B"/>
    <w:rsid w:val="00CC5C43"/>
    <w:rsid w:val="00CC5FC6"/>
    <w:rsid w:val="00CD02AE"/>
    <w:rsid w:val="00CD2A4F"/>
    <w:rsid w:val="00CE03CA"/>
    <w:rsid w:val="00CE22F1"/>
    <w:rsid w:val="00CE491A"/>
    <w:rsid w:val="00CE50F2"/>
    <w:rsid w:val="00CE6502"/>
    <w:rsid w:val="00CF7D3C"/>
    <w:rsid w:val="00D01F09"/>
    <w:rsid w:val="00D147EB"/>
    <w:rsid w:val="00D16116"/>
    <w:rsid w:val="00D34667"/>
    <w:rsid w:val="00D401E1"/>
    <w:rsid w:val="00D408B4"/>
    <w:rsid w:val="00D524C8"/>
    <w:rsid w:val="00D70E24"/>
    <w:rsid w:val="00D72B61"/>
    <w:rsid w:val="00D82BE6"/>
    <w:rsid w:val="00D85542"/>
    <w:rsid w:val="00DA3D1D"/>
    <w:rsid w:val="00DA6524"/>
    <w:rsid w:val="00DB6286"/>
    <w:rsid w:val="00DB645F"/>
    <w:rsid w:val="00DB76E9"/>
    <w:rsid w:val="00DC0A67"/>
    <w:rsid w:val="00DC1D5E"/>
    <w:rsid w:val="00DC5220"/>
    <w:rsid w:val="00DD2061"/>
    <w:rsid w:val="00DD4627"/>
    <w:rsid w:val="00DD7DAB"/>
    <w:rsid w:val="00DE3355"/>
    <w:rsid w:val="00DF0C60"/>
    <w:rsid w:val="00DF486F"/>
    <w:rsid w:val="00DF5B5B"/>
    <w:rsid w:val="00DF7619"/>
    <w:rsid w:val="00E042D8"/>
    <w:rsid w:val="00E07EE7"/>
    <w:rsid w:val="00E1103B"/>
    <w:rsid w:val="00E17B44"/>
    <w:rsid w:val="00E20F27"/>
    <w:rsid w:val="00E22443"/>
    <w:rsid w:val="00E27FEA"/>
    <w:rsid w:val="00E30D1B"/>
    <w:rsid w:val="00E4086F"/>
    <w:rsid w:val="00E43B3C"/>
    <w:rsid w:val="00E50188"/>
    <w:rsid w:val="00E50BB3"/>
    <w:rsid w:val="00E515CB"/>
    <w:rsid w:val="00E52260"/>
    <w:rsid w:val="00E639B6"/>
    <w:rsid w:val="00E6434B"/>
    <w:rsid w:val="00E6463D"/>
    <w:rsid w:val="00E67C5F"/>
    <w:rsid w:val="00E7159E"/>
    <w:rsid w:val="00E72E9B"/>
    <w:rsid w:val="00E812BD"/>
    <w:rsid w:val="00E850C3"/>
    <w:rsid w:val="00E87DF2"/>
    <w:rsid w:val="00E9462E"/>
    <w:rsid w:val="00EA470E"/>
    <w:rsid w:val="00EA47A7"/>
    <w:rsid w:val="00EA57EB"/>
    <w:rsid w:val="00EB3226"/>
    <w:rsid w:val="00EC1E79"/>
    <w:rsid w:val="00EC213A"/>
    <w:rsid w:val="00EC7744"/>
    <w:rsid w:val="00ED0DAD"/>
    <w:rsid w:val="00ED0F46"/>
    <w:rsid w:val="00ED2373"/>
    <w:rsid w:val="00ED5D1F"/>
    <w:rsid w:val="00EE3E8A"/>
    <w:rsid w:val="00EE4CAF"/>
    <w:rsid w:val="00EF58B8"/>
    <w:rsid w:val="00EF6ECA"/>
    <w:rsid w:val="00F024E1"/>
    <w:rsid w:val="00F06C10"/>
    <w:rsid w:val="00F1096F"/>
    <w:rsid w:val="00F12589"/>
    <w:rsid w:val="00F12595"/>
    <w:rsid w:val="00F134D9"/>
    <w:rsid w:val="00F13AB6"/>
    <w:rsid w:val="00F1403D"/>
    <w:rsid w:val="00F1463F"/>
    <w:rsid w:val="00F21302"/>
    <w:rsid w:val="00F321DE"/>
    <w:rsid w:val="00F33777"/>
    <w:rsid w:val="00F40648"/>
    <w:rsid w:val="00F47DA2"/>
    <w:rsid w:val="00F519FC"/>
    <w:rsid w:val="00F6239D"/>
    <w:rsid w:val="00F6456F"/>
    <w:rsid w:val="00F715D2"/>
    <w:rsid w:val="00F72216"/>
    <w:rsid w:val="00F7274F"/>
    <w:rsid w:val="00F74E84"/>
    <w:rsid w:val="00F76FA8"/>
    <w:rsid w:val="00F81660"/>
    <w:rsid w:val="00F93F08"/>
    <w:rsid w:val="00F94CED"/>
    <w:rsid w:val="00FA02BB"/>
    <w:rsid w:val="00FA2CEE"/>
    <w:rsid w:val="00FA318C"/>
    <w:rsid w:val="00FA711E"/>
    <w:rsid w:val="00FB0B80"/>
    <w:rsid w:val="00FB6F92"/>
    <w:rsid w:val="00FC026E"/>
    <w:rsid w:val="00FC176C"/>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79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A1AA0"/>
    <w:pPr>
      <w:ind w:left="142"/>
      <w:jc w:val="center"/>
      <w:outlineLvl w:val="0"/>
    </w:pPr>
    <w:rPr>
      <w:rFonts w:cs="Arial"/>
      <w:bCs/>
      <w:color w:val="3F4A75"/>
      <w:kern w:val="28"/>
      <w:sz w:val="32"/>
      <w:szCs w:val="32"/>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E7159E"/>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customStyle="1" w:styleId="Default">
    <w:name w:val="Default"/>
    <w:rsid w:val="00ED5D1F"/>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semiHidden/>
    <w:unhideWhenUsed/>
    <w:rsid w:val="00E67C5F"/>
    <w:pPr>
      <w:spacing w:before="100" w:beforeAutospacing="1" w:after="100" w:afterAutospacing="1"/>
    </w:pPr>
    <w:rPr>
      <w:rFonts w:ascii="Calibri" w:eastAsiaTheme="minorHAnsi" w:hAnsi="Calibri" w:cs="Calibri"/>
      <w:szCs w:val="22"/>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E67C5F"/>
    <w:rPr>
      <w:rFonts w:ascii="Arial" w:hAnsi="Arial"/>
      <w:sz w:val="22"/>
      <w:szCs w:val="24"/>
      <w:lang w:eastAsia="en-US"/>
    </w:rPr>
  </w:style>
  <w:style w:type="character" w:customStyle="1" w:styleId="UnresolvedMention">
    <w:name w:val="Unresolved Mention"/>
    <w:basedOn w:val="DefaultParagraphFont"/>
    <w:uiPriority w:val="99"/>
    <w:semiHidden/>
    <w:unhideWhenUsed/>
    <w:rsid w:val="00392D42"/>
    <w:rPr>
      <w:color w:val="605E5C"/>
      <w:shd w:val="clear" w:color="auto" w:fill="E1DFDD"/>
    </w:rPr>
  </w:style>
  <w:style w:type="character" w:styleId="CommentReference">
    <w:name w:val="annotation reference"/>
    <w:basedOn w:val="DefaultParagraphFont"/>
    <w:semiHidden/>
    <w:unhideWhenUsed/>
    <w:rsid w:val="00EC1E79"/>
    <w:rPr>
      <w:sz w:val="16"/>
      <w:szCs w:val="16"/>
    </w:rPr>
  </w:style>
  <w:style w:type="paragraph" w:styleId="CommentText">
    <w:name w:val="annotation text"/>
    <w:basedOn w:val="Normal"/>
    <w:link w:val="CommentTextChar"/>
    <w:semiHidden/>
    <w:unhideWhenUsed/>
    <w:rsid w:val="00EC1E79"/>
    <w:rPr>
      <w:sz w:val="20"/>
      <w:szCs w:val="20"/>
    </w:rPr>
  </w:style>
  <w:style w:type="character" w:customStyle="1" w:styleId="CommentTextChar">
    <w:name w:val="Comment Text Char"/>
    <w:basedOn w:val="DefaultParagraphFont"/>
    <w:link w:val="CommentText"/>
    <w:semiHidden/>
    <w:rsid w:val="00EC1E79"/>
    <w:rPr>
      <w:rFonts w:ascii="Arial" w:hAnsi="Arial"/>
      <w:lang w:eastAsia="en-US"/>
    </w:rPr>
  </w:style>
  <w:style w:type="paragraph" w:styleId="CommentSubject">
    <w:name w:val="annotation subject"/>
    <w:basedOn w:val="CommentText"/>
    <w:next w:val="CommentText"/>
    <w:link w:val="CommentSubjectChar"/>
    <w:semiHidden/>
    <w:unhideWhenUsed/>
    <w:rsid w:val="00EC1E79"/>
    <w:rPr>
      <w:b/>
      <w:bCs/>
    </w:rPr>
  </w:style>
  <w:style w:type="character" w:customStyle="1" w:styleId="CommentSubjectChar">
    <w:name w:val="Comment Subject Char"/>
    <w:basedOn w:val="CommentTextChar"/>
    <w:link w:val="CommentSubject"/>
    <w:semiHidden/>
    <w:rsid w:val="00EC1E79"/>
    <w:rPr>
      <w:rFonts w:ascii="Arial" w:hAnsi="Arial"/>
      <w:b/>
      <w:bCs/>
      <w:lang w:eastAsia="en-US"/>
    </w:rPr>
  </w:style>
  <w:style w:type="paragraph" w:styleId="BalloonText">
    <w:name w:val="Balloon Text"/>
    <w:basedOn w:val="Normal"/>
    <w:link w:val="BalloonTextChar"/>
    <w:semiHidden/>
    <w:unhideWhenUsed/>
    <w:rsid w:val="00EC1E79"/>
    <w:rPr>
      <w:rFonts w:ascii="Segoe UI" w:hAnsi="Segoe UI" w:cs="Segoe UI"/>
      <w:sz w:val="18"/>
      <w:szCs w:val="18"/>
    </w:rPr>
  </w:style>
  <w:style w:type="character" w:customStyle="1" w:styleId="BalloonTextChar">
    <w:name w:val="Balloon Text Char"/>
    <w:basedOn w:val="DefaultParagraphFont"/>
    <w:link w:val="BalloonText"/>
    <w:semiHidden/>
    <w:rsid w:val="00EC1E79"/>
    <w:rPr>
      <w:rFonts w:ascii="Segoe UI" w:hAnsi="Segoe UI" w:cs="Segoe UI"/>
      <w:sz w:val="18"/>
      <w:szCs w:val="18"/>
      <w:lang w:eastAsia="en-US"/>
    </w:rPr>
  </w:style>
  <w:style w:type="paragraph" w:customStyle="1" w:styleId="Pa20">
    <w:name w:val="Pa20"/>
    <w:basedOn w:val="Default"/>
    <w:next w:val="Default"/>
    <w:uiPriority w:val="99"/>
    <w:rsid w:val="00EE4CAF"/>
    <w:pPr>
      <w:spacing w:line="191" w:lineRule="atLeast"/>
    </w:pPr>
    <w:rPr>
      <w:rFonts w:ascii="Open Sans" w:eastAsia="Times New Roman" w:hAnsi="Open Sans"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508618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206158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afetyandquality.gov.au/our-work/medication-safety/active-ingredient-prescrib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IPrescribing@health.gov.au" TargetMode="External"/><Relationship Id="rId2" Type="http://schemas.openxmlformats.org/officeDocument/2006/relationships/numbering" Target="numbering.xml"/><Relationship Id="rId16" Type="http://schemas.openxmlformats.org/officeDocument/2006/relationships/hyperlink" Target="https://www.nps.org.au/active-ingredient-prescrib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fetyandquality.gov.au/our-work/medication-safety/active-ingredient-prescribing"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bs.gov.au/info/general/active-ingredient-prescrib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D9A7-A1A6-4142-B8F5-6779B4FE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2021-07-07T07:02:00Z</dcterms:created>
  <dcterms:modified xsi:type="dcterms:W3CDTF">2021-07-22T04:15:00Z</dcterms:modified>
</cp:coreProperties>
</file>