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65D87" w14:textId="23243BE6" w:rsidR="00E7159E" w:rsidRPr="00E7159E" w:rsidRDefault="00E7159E" w:rsidP="00E7159E">
      <w:pPr>
        <w:sectPr w:rsidR="00E7159E" w:rsidRPr="00E7159E" w:rsidSect="00392D42">
          <w:headerReference w:type="default" r:id="rId8"/>
          <w:headerReference w:type="first" r:id="rId9"/>
          <w:footerReference w:type="first" r:id="rId10"/>
          <w:pgSz w:w="11906" w:h="16838"/>
          <w:pgMar w:top="1701" w:right="1418" w:bottom="1418" w:left="1418" w:header="510" w:footer="964" w:gutter="0"/>
          <w:cols w:space="708"/>
          <w:titlePg/>
          <w:docGrid w:linePitch="360"/>
        </w:sectPr>
      </w:pPr>
    </w:p>
    <w:p w14:paraId="17742C03" w14:textId="679BE9DB" w:rsidR="00F56692" w:rsidRPr="00F56692" w:rsidRDefault="00F56692" w:rsidP="004F148F">
      <w:pPr>
        <w:pStyle w:val="Heading1"/>
      </w:pPr>
      <w:r w:rsidRPr="00F56692">
        <w:t>End of Active Ingredient Prescribing Pharmacy Grace Period</w:t>
      </w:r>
      <w:r>
        <w:t xml:space="preserve"> - </w:t>
      </w:r>
      <w:r w:rsidRPr="00F56692">
        <w:t>31 July 2021</w:t>
      </w:r>
    </w:p>
    <w:p w14:paraId="62AEC7DA" w14:textId="6EC7863F" w:rsidR="004B5AF1" w:rsidRPr="00392D42" w:rsidRDefault="00ED5D1F" w:rsidP="00392D42">
      <w:pPr>
        <w:pStyle w:val="Heading2"/>
        <w:spacing w:before="0"/>
        <w:rPr>
          <w:b/>
          <w:bCs w:val="0"/>
          <w:sz w:val="24"/>
          <w:szCs w:val="24"/>
        </w:rPr>
      </w:pPr>
      <w:r w:rsidRPr="00392D42">
        <w:rPr>
          <w:b/>
          <w:bCs w:val="0"/>
          <w:sz w:val="24"/>
          <w:szCs w:val="24"/>
        </w:rPr>
        <w:t>Background</w:t>
      </w:r>
    </w:p>
    <w:p w14:paraId="091458D9" w14:textId="1FA259A4" w:rsidR="00E67C5F" w:rsidRPr="00051447" w:rsidRDefault="00E67C5F" w:rsidP="00E67C5F">
      <w:pPr>
        <w:tabs>
          <w:tab w:val="left" w:pos="851"/>
        </w:tabs>
        <w:spacing w:after="120"/>
        <w:rPr>
          <w:sz w:val="21"/>
          <w:szCs w:val="21"/>
        </w:rPr>
      </w:pPr>
      <w:r w:rsidRPr="00051447">
        <w:rPr>
          <w:sz w:val="21"/>
          <w:szCs w:val="21"/>
        </w:rPr>
        <w:t xml:space="preserve">From 1 February 2021, Pharmaceutical Benefits Scheme (PBS) and Repatriation PBS (RPBS) prescriptions </w:t>
      </w:r>
      <w:r w:rsidR="002B34BC">
        <w:rPr>
          <w:sz w:val="21"/>
          <w:szCs w:val="21"/>
        </w:rPr>
        <w:t>have been</w:t>
      </w:r>
      <w:r w:rsidRPr="00051447">
        <w:rPr>
          <w:sz w:val="21"/>
          <w:szCs w:val="21"/>
        </w:rPr>
        <w:t xml:space="preserve"> required to include medicine’s active ingredient na</w:t>
      </w:r>
      <w:bookmarkStart w:id="0" w:name="_GoBack"/>
      <w:bookmarkEnd w:id="0"/>
      <w:r w:rsidRPr="00051447">
        <w:rPr>
          <w:sz w:val="21"/>
          <w:szCs w:val="21"/>
        </w:rPr>
        <w:t>me(s), except for:</w:t>
      </w:r>
    </w:p>
    <w:p w14:paraId="6CA131BB" w14:textId="4B3C8746" w:rsidR="00E67C5F" w:rsidRPr="00051447" w:rsidRDefault="00E67C5F" w:rsidP="00051447">
      <w:pPr>
        <w:pStyle w:val="ListParagraph"/>
        <w:numPr>
          <w:ilvl w:val="1"/>
          <w:numId w:val="26"/>
        </w:numPr>
        <w:tabs>
          <w:tab w:val="clear" w:pos="1440"/>
          <w:tab w:val="left" w:pos="720"/>
        </w:tabs>
        <w:spacing w:after="120"/>
        <w:ind w:left="709"/>
        <w:rPr>
          <w:sz w:val="21"/>
          <w:szCs w:val="21"/>
        </w:rPr>
      </w:pPr>
      <w:r w:rsidRPr="00051447">
        <w:rPr>
          <w:sz w:val="21"/>
          <w:szCs w:val="21"/>
        </w:rPr>
        <w:t xml:space="preserve">Handwritten prescriptions and medication charts </w:t>
      </w:r>
    </w:p>
    <w:p w14:paraId="7EFDB5E9" w14:textId="6C1E5B86" w:rsidR="00E67C5F" w:rsidRPr="00051447" w:rsidRDefault="00E67C5F" w:rsidP="00051447">
      <w:pPr>
        <w:pStyle w:val="ListParagraph"/>
        <w:numPr>
          <w:ilvl w:val="1"/>
          <w:numId w:val="26"/>
        </w:numPr>
        <w:tabs>
          <w:tab w:val="clear" w:pos="1440"/>
          <w:tab w:val="left" w:pos="720"/>
        </w:tabs>
        <w:spacing w:after="120"/>
        <w:ind w:left="709"/>
        <w:rPr>
          <w:sz w:val="21"/>
          <w:szCs w:val="21"/>
        </w:rPr>
      </w:pPr>
      <w:r w:rsidRPr="00051447">
        <w:rPr>
          <w:sz w:val="21"/>
          <w:szCs w:val="21"/>
        </w:rPr>
        <w:t>Paper based medication charts in the residential aged care setting</w:t>
      </w:r>
    </w:p>
    <w:p w14:paraId="6638A9E6" w14:textId="63AA0E60" w:rsidR="00E67C5F" w:rsidRPr="00051447" w:rsidRDefault="00E67C5F" w:rsidP="00051447">
      <w:pPr>
        <w:pStyle w:val="ListParagraph"/>
        <w:numPr>
          <w:ilvl w:val="1"/>
          <w:numId w:val="26"/>
        </w:numPr>
        <w:tabs>
          <w:tab w:val="clear" w:pos="1440"/>
          <w:tab w:val="left" w:pos="720"/>
        </w:tabs>
        <w:spacing w:after="120"/>
        <w:ind w:left="709"/>
        <w:rPr>
          <w:sz w:val="21"/>
          <w:szCs w:val="21"/>
        </w:rPr>
      </w:pPr>
      <w:r w:rsidRPr="00051447">
        <w:rPr>
          <w:sz w:val="21"/>
          <w:szCs w:val="21"/>
        </w:rPr>
        <w:t>Prescriptions generated using a ‘free-text’ function in prescribing software</w:t>
      </w:r>
    </w:p>
    <w:p w14:paraId="26DAB8F1" w14:textId="2F06409D" w:rsidR="00E67C5F" w:rsidRPr="00051447" w:rsidRDefault="00E67C5F" w:rsidP="00051447">
      <w:pPr>
        <w:pStyle w:val="ListParagraph"/>
        <w:numPr>
          <w:ilvl w:val="1"/>
          <w:numId w:val="26"/>
        </w:numPr>
        <w:tabs>
          <w:tab w:val="clear" w:pos="1440"/>
          <w:tab w:val="left" w:pos="720"/>
        </w:tabs>
        <w:spacing w:after="120"/>
        <w:ind w:left="709"/>
        <w:rPr>
          <w:sz w:val="21"/>
          <w:szCs w:val="21"/>
        </w:rPr>
      </w:pPr>
      <w:r w:rsidRPr="00051447">
        <w:rPr>
          <w:sz w:val="21"/>
          <w:szCs w:val="21"/>
        </w:rPr>
        <w:t xml:space="preserve">Prescriptions for medicines with four or more </w:t>
      </w:r>
      <w:r w:rsidR="000C3DE5">
        <w:rPr>
          <w:sz w:val="21"/>
          <w:szCs w:val="21"/>
        </w:rPr>
        <w:t xml:space="preserve">active </w:t>
      </w:r>
      <w:r w:rsidRPr="00051447">
        <w:rPr>
          <w:sz w:val="21"/>
          <w:szCs w:val="21"/>
        </w:rPr>
        <w:t xml:space="preserve">ingredients </w:t>
      </w:r>
    </w:p>
    <w:p w14:paraId="67D488F4" w14:textId="7C9D72B4" w:rsidR="0024094A" w:rsidRPr="0024094A" w:rsidRDefault="00E67C5F" w:rsidP="00E67C5F">
      <w:pPr>
        <w:pStyle w:val="ListParagraph"/>
        <w:numPr>
          <w:ilvl w:val="1"/>
          <w:numId w:val="26"/>
        </w:numPr>
        <w:tabs>
          <w:tab w:val="clear" w:pos="1440"/>
          <w:tab w:val="left" w:pos="720"/>
        </w:tabs>
        <w:spacing w:after="120"/>
        <w:ind w:left="709"/>
        <w:contextualSpacing w:val="0"/>
        <w:rPr>
          <w:sz w:val="21"/>
          <w:szCs w:val="21"/>
        </w:rPr>
      </w:pPr>
      <w:r w:rsidRPr="00051447">
        <w:rPr>
          <w:sz w:val="21"/>
          <w:szCs w:val="21"/>
        </w:rPr>
        <w:t>Other items as determined by the Secretary.</w:t>
      </w:r>
    </w:p>
    <w:p w14:paraId="04650005" w14:textId="31ABC8AD" w:rsidR="00E67C5F" w:rsidRPr="00051447" w:rsidRDefault="00E67C5F" w:rsidP="00E67C5F">
      <w:pPr>
        <w:spacing w:after="120"/>
        <w:rPr>
          <w:sz w:val="21"/>
          <w:szCs w:val="21"/>
        </w:rPr>
      </w:pPr>
      <w:r w:rsidRPr="00051447">
        <w:rPr>
          <w:sz w:val="21"/>
          <w:szCs w:val="21"/>
        </w:rPr>
        <w:t xml:space="preserve">Prescribers are still able to choose a specific brand of medicine for their </w:t>
      </w:r>
      <w:r w:rsidR="000C3DE5" w:rsidRPr="00051447">
        <w:rPr>
          <w:sz w:val="21"/>
          <w:szCs w:val="21"/>
        </w:rPr>
        <w:t>patient and</w:t>
      </w:r>
      <w:r w:rsidRPr="00051447">
        <w:rPr>
          <w:sz w:val="21"/>
          <w:szCs w:val="21"/>
        </w:rPr>
        <w:t xml:space="preserve"> can include brand names on prescriptions wherever clinically necessary for their patient.</w:t>
      </w:r>
      <w:r w:rsidR="00B9707E">
        <w:rPr>
          <w:sz w:val="21"/>
          <w:szCs w:val="21"/>
        </w:rPr>
        <w:t xml:space="preserve"> </w:t>
      </w:r>
      <w:r w:rsidRPr="00051447">
        <w:rPr>
          <w:sz w:val="21"/>
          <w:szCs w:val="21"/>
        </w:rPr>
        <w:t xml:space="preserve">If a brand name is included on a prescription, the active ingredient </w:t>
      </w:r>
      <w:r w:rsidR="00120C18">
        <w:rPr>
          <w:sz w:val="21"/>
          <w:szCs w:val="21"/>
        </w:rPr>
        <w:t>must</w:t>
      </w:r>
      <w:r w:rsidR="00120C18" w:rsidRPr="00051447">
        <w:rPr>
          <w:sz w:val="21"/>
          <w:szCs w:val="21"/>
        </w:rPr>
        <w:t xml:space="preserve"> </w:t>
      </w:r>
      <w:r w:rsidRPr="00051447">
        <w:rPr>
          <w:sz w:val="21"/>
          <w:szCs w:val="21"/>
        </w:rPr>
        <w:t xml:space="preserve">appear first. </w:t>
      </w:r>
    </w:p>
    <w:p w14:paraId="35D9A3E8" w14:textId="2529233F" w:rsidR="00E67C5F" w:rsidRPr="00B9707E" w:rsidRDefault="00E67C5F" w:rsidP="00AE2134">
      <w:pPr>
        <w:spacing w:after="120"/>
        <w:rPr>
          <w:sz w:val="21"/>
          <w:szCs w:val="21"/>
        </w:rPr>
      </w:pPr>
      <w:r w:rsidRPr="001479C4">
        <w:rPr>
          <w:sz w:val="21"/>
          <w:szCs w:val="21"/>
        </w:rPr>
        <w:t>To ensure consumer access to PBS/RPBS subsidised medicines during the transition,</w:t>
      </w:r>
      <w:r w:rsidR="00AE2134" w:rsidRPr="001479C4">
        <w:rPr>
          <w:sz w:val="21"/>
          <w:szCs w:val="21"/>
        </w:rPr>
        <w:t xml:space="preserve"> and to support pharmacies,</w:t>
      </w:r>
      <w:r w:rsidRPr="001479C4">
        <w:rPr>
          <w:sz w:val="21"/>
          <w:szCs w:val="21"/>
        </w:rPr>
        <w:t xml:space="preserve"> the Department of Health agreed to a six-month grace period for pharmac</w:t>
      </w:r>
      <w:r w:rsidR="00AE2134" w:rsidRPr="001479C4">
        <w:rPr>
          <w:sz w:val="21"/>
          <w:szCs w:val="21"/>
        </w:rPr>
        <w:t xml:space="preserve">y that </w:t>
      </w:r>
      <w:r w:rsidRPr="001479C4">
        <w:rPr>
          <w:sz w:val="21"/>
          <w:szCs w:val="21"/>
        </w:rPr>
        <w:t xml:space="preserve">ends on 31 July </w:t>
      </w:r>
      <w:r w:rsidRPr="00B9707E">
        <w:rPr>
          <w:sz w:val="21"/>
          <w:szCs w:val="21"/>
        </w:rPr>
        <w:t xml:space="preserve">2021. </w:t>
      </w:r>
    </w:p>
    <w:p w14:paraId="54B3081B" w14:textId="0757E0E3" w:rsidR="00E67C5F" w:rsidRDefault="00E67C5F" w:rsidP="00E67C5F">
      <w:pPr>
        <w:spacing w:after="120"/>
        <w:rPr>
          <w:sz w:val="21"/>
          <w:szCs w:val="21"/>
        </w:rPr>
      </w:pPr>
      <w:r w:rsidRPr="00051447">
        <w:rPr>
          <w:sz w:val="21"/>
          <w:szCs w:val="21"/>
        </w:rPr>
        <w:t>Active Ingredient Prescribing (AIP) is part of a wider government initiative to ensure consistent and standardised medicines information to support safe and appropriate use of medicines. Active ingredients must now prominently appear on prescriptions, medicines packaging, dispensing labels and My Health Record Shared Health Summaries to support consumer understanding of the active ingredients in their medicines.</w:t>
      </w:r>
    </w:p>
    <w:p w14:paraId="1A319ABB" w14:textId="1E2E5B71" w:rsidR="00ED5D1F" w:rsidRPr="00392D42" w:rsidRDefault="00ED5D1F" w:rsidP="00ED5D1F">
      <w:pPr>
        <w:pStyle w:val="Heading2"/>
        <w:rPr>
          <w:b/>
          <w:bCs w:val="0"/>
          <w:sz w:val="24"/>
          <w:szCs w:val="24"/>
        </w:rPr>
      </w:pPr>
      <w:r w:rsidRPr="00392D42">
        <w:rPr>
          <w:b/>
          <w:bCs w:val="0"/>
          <w:sz w:val="24"/>
          <w:szCs w:val="24"/>
        </w:rPr>
        <w:t xml:space="preserve">What </w:t>
      </w:r>
      <w:r w:rsidR="00DD660E">
        <w:rPr>
          <w:b/>
          <w:bCs w:val="0"/>
          <w:sz w:val="24"/>
          <w:szCs w:val="24"/>
        </w:rPr>
        <w:t xml:space="preserve">Prescribers </w:t>
      </w:r>
      <w:r w:rsidRPr="00392D42">
        <w:rPr>
          <w:b/>
          <w:bCs w:val="0"/>
          <w:sz w:val="24"/>
          <w:szCs w:val="24"/>
        </w:rPr>
        <w:t xml:space="preserve">need to know </w:t>
      </w:r>
    </w:p>
    <w:p w14:paraId="78505D7B" w14:textId="77777777" w:rsidR="00E67C5F" w:rsidRPr="002B34BC" w:rsidRDefault="00E67C5F" w:rsidP="002B34BC">
      <w:pPr>
        <w:pStyle w:val="Default"/>
        <w:numPr>
          <w:ilvl w:val="0"/>
          <w:numId w:val="26"/>
        </w:numPr>
        <w:spacing w:after="67"/>
        <w:rPr>
          <w:rFonts w:eastAsia="Times New Roman" w:cs="Times New Roman"/>
          <w:color w:val="auto"/>
          <w:sz w:val="21"/>
          <w:szCs w:val="21"/>
        </w:rPr>
      </w:pPr>
      <w:r w:rsidRPr="00392D42">
        <w:rPr>
          <w:sz w:val="21"/>
          <w:szCs w:val="21"/>
        </w:rPr>
        <w:t xml:space="preserve">From 1 August 2021, new PBS and RPBS prescriptions that do not meet active ingredient prescribing requirements </w:t>
      </w:r>
      <w:r w:rsidRPr="002B34BC">
        <w:rPr>
          <w:sz w:val="21"/>
          <w:szCs w:val="21"/>
          <w:u w:val="single"/>
        </w:rPr>
        <w:t>cannot</w:t>
      </w:r>
      <w:r w:rsidRPr="00392D42">
        <w:rPr>
          <w:sz w:val="21"/>
          <w:szCs w:val="21"/>
        </w:rPr>
        <w:t xml:space="preserve"> be dispensed as PBS/RPBS prescriptions, and will need to be reissued in alignment with active ingredient prescribing requirements, or dispensed as private prescriptions (with </w:t>
      </w:r>
      <w:r w:rsidRPr="002B34BC">
        <w:rPr>
          <w:rFonts w:eastAsia="Times New Roman" w:cs="Times New Roman"/>
          <w:color w:val="auto"/>
          <w:sz w:val="21"/>
          <w:szCs w:val="21"/>
        </w:rPr>
        <w:t>associated out of pocket costs to consumers).</w:t>
      </w:r>
    </w:p>
    <w:p w14:paraId="25FC042F" w14:textId="43448626" w:rsidR="002B34BC" w:rsidRDefault="00E67C5F" w:rsidP="002B34BC">
      <w:pPr>
        <w:pStyle w:val="Default"/>
        <w:numPr>
          <w:ilvl w:val="0"/>
          <w:numId w:val="26"/>
        </w:numPr>
        <w:spacing w:after="67"/>
        <w:rPr>
          <w:sz w:val="21"/>
          <w:szCs w:val="21"/>
        </w:rPr>
      </w:pPr>
      <w:r w:rsidRPr="002B34BC">
        <w:rPr>
          <w:rFonts w:eastAsia="Times New Roman" w:cs="Times New Roman"/>
          <w:color w:val="auto"/>
          <w:sz w:val="21"/>
          <w:szCs w:val="21"/>
        </w:rPr>
        <w:t>Prescriptions and r</w:t>
      </w:r>
      <w:r w:rsidRPr="00392D42">
        <w:rPr>
          <w:sz w:val="21"/>
          <w:szCs w:val="21"/>
        </w:rPr>
        <w:t xml:space="preserve">epeats </w:t>
      </w:r>
      <w:r w:rsidR="00120C18">
        <w:rPr>
          <w:sz w:val="21"/>
          <w:szCs w:val="21"/>
        </w:rPr>
        <w:t>prescribed</w:t>
      </w:r>
      <w:r w:rsidR="00120C18" w:rsidRPr="00392D42">
        <w:rPr>
          <w:sz w:val="21"/>
          <w:szCs w:val="21"/>
        </w:rPr>
        <w:t xml:space="preserve"> </w:t>
      </w:r>
      <w:r w:rsidRPr="000C3DE5">
        <w:rPr>
          <w:sz w:val="21"/>
          <w:szCs w:val="21"/>
          <w:u w:val="single"/>
        </w:rPr>
        <w:t>prior</w:t>
      </w:r>
      <w:r w:rsidRPr="00392D42">
        <w:rPr>
          <w:sz w:val="21"/>
          <w:szCs w:val="21"/>
        </w:rPr>
        <w:t xml:space="preserve"> to 1 August 2021 which do not meet AIP requirements are still eligible for PBS/RPBS subsidy. </w:t>
      </w:r>
    </w:p>
    <w:p w14:paraId="1E484300" w14:textId="269BCCC7" w:rsidR="00420E59" w:rsidRPr="002B34BC" w:rsidRDefault="00E67C5F" w:rsidP="002B34BC">
      <w:pPr>
        <w:pStyle w:val="Heading2"/>
        <w:rPr>
          <w:b/>
          <w:bCs w:val="0"/>
          <w:sz w:val="24"/>
          <w:szCs w:val="24"/>
        </w:rPr>
      </w:pPr>
      <w:r w:rsidRPr="002B34BC">
        <w:rPr>
          <w:sz w:val="21"/>
          <w:szCs w:val="21"/>
        </w:rPr>
        <w:t xml:space="preserve"> </w:t>
      </w:r>
      <w:r w:rsidR="002B34BC" w:rsidRPr="00392D42">
        <w:rPr>
          <w:b/>
          <w:bCs w:val="0"/>
          <w:sz w:val="24"/>
          <w:szCs w:val="24"/>
        </w:rPr>
        <w:t xml:space="preserve">What </w:t>
      </w:r>
      <w:r w:rsidR="002B34BC">
        <w:rPr>
          <w:b/>
          <w:bCs w:val="0"/>
          <w:sz w:val="24"/>
          <w:szCs w:val="24"/>
        </w:rPr>
        <w:t xml:space="preserve">Prescribers </w:t>
      </w:r>
      <w:r w:rsidR="002B34BC" w:rsidRPr="00392D42">
        <w:rPr>
          <w:b/>
          <w:bCs w:val="0"/>
          <w:sz w:val="24"/>
          <w:szCs w:val="24"/>
        </w:rPr>
        <w:t xml:space="preserve">need to </w:t>
      </w:r>
      <w:r w:rsidR="002B34BC">
        <w:rPr>
          <w:b/>
          <w:bCs w:val="0"/>
          <w:sz w:val="24"/>
          <w:szCs w:val="24"/>
        </w:rPr>
        <w:t>do</w:t>
      </w:r>
      <w:r w:rsidR="002B34BC" w:rsidRPr="00392D42">
        <w:rPr>
          <w:b/>
          <w:bCs w:val="0"/>
          <w:sz w:val="24"/>
          <w:szCs w:val="24"/>
        </w:rPr>
        <w:t xml:space="preserve"> </w:t>
      </w:r>
    </w:p>
    <w:p w14:paraId="56ED2A56" w14:textId="62DFEB44" w:rsidR="002B34BC" w:rsidRPr="002B34BC" w:rsidRDefault="002B34BC" w:rsidP="002B34BC">
      <w:pPr>
        <w:pStyle w:val="Default"/>
        <w:numPr>
          <w:ilvl w:val="0"/>
          <w:numId w:val="26"/>
        </w:numPr>
        <w:spacing w:after="67"/>
        <w:rPr>
          <w:rFonts w:eastAsia="Times New Roman" w:cs="Times New Roman"/>
          <w:color w:val="auto"/>
          <w:sz w:val="21"/>
          <w:szCs w:val="21"/>
        </w:rPr>
      </w:pPr>
      <w:r w:rsidRPr="002B34BC">
        <w:rPr>
          <w:rFonts w:eastAsia="Times New Roman" w:cs="Times New Roman"/>
          <w:b/>
          <w:bCs/>
          <w:color w:val="auto"/>
          <w:sz w:val="21"/>
          <w:szCs w:val="21"/>
        </w:rPr>
        <w:t>Upgrade prescribing software</w:t>
      </w:r>
      <w:r w:rsidRPr="002B34BC">
        <w:rPr>
          <w:rFonts w:eastAsia="Times New Roman" w:cs="Times New Roman"/>
          <w:color w:val="auto"/>
          <w:sz w:val="21"/>
          <w:szCs w:val="21"/>
        </w:rPr>
        <w:t xml:space="preserve"> – make sure you have updated your software to the latest version that supports Active Ingredient Prescribing (AIP), to ensure you are generating valid prescriptions. </w:t>
      </w:r>
    </w:p>
    <w:p w14:paraId="47003202" w14:textId="1E201F0E" w:rsidR="002B34BC" w:rsidRPr="002B34BC" w:rsidRDefault="002B34BC" w:rsidP="002B34BC">
      <w:pPr>
        <w:pStyle w:val="Default"/>
        <w:numPr>
          <w:ilvl w:val="0"/>
          <w:numId w:val="26"/>
        </w:numPr>
        <w:spacing w:after="67"/>
        <w:rPr>
          <w:rFonts w:eastAsia="Times New Roman" w:cs="Times New Roman"/>
          <w:color w:val="auto"/>
          <w:sz w:val="21"/>
          <w:szCs w:val="21"/>
        </w:rPr>
      </w:pPr>
      <w:r w:rsidRPr="002B34BC">
        <w:rPr>
          <w:rFonts w:eastAsia="Times New Roman" w:cs="Times New Roman"/>
          <w:b/>
          <w:bCs/>
          <w:color w:val="auto"/>
          <w:sz w:val="21"/>
          <w:szCs w:val="21"/>
        </w:rPr>
        <w:t>Prescription accuracy</w:t>
      </w:r>
      <w:r w:rsidRPr="002B34BC">
        <w:rPr>
          <w:rFonts w:eastAsia="Times New Roman" w:cs="Times New Roman"/>
          <w:color w:val="auto"/>
          <w:sz w:val="21"/>
          <w:szCs w:val="21"/>
        </w:rPr>
        <w:t xml:space="preserve"> – after printing prescriptions, ensure all details are accurate, are PBS/RPBS compliant, and all necessary instructions and information is available for pharmacists.</w:t>
      </w:r>
    </w:p>
    <w:p w14:paraId="2F500643" w14:textId="77777777" w:rsidR="002B34BC" w:rsidRPr="002B34BC" w:rsidRDefault="002B34BC" w:rsidP="002B34BC">
      <w:pPr>
        <w:pStyle w:val="Default"/>
        <w:numPr>
          <w:ilvl w:val="0"/>
          <w:numId w:val="26"/>
        </w:numPr>
        <w:spacing w:after="67"/>
        <w:rPr>
          <w:rFonts w:eastAsia="Times New Roman" w:cs="Times New Roman"/>
          <w:color w:val="auto"/>
          <w:sz w:val="21"/>
          <w:szCs w:val="21"/>
        </w:rPr>
      </w:pPr>
      <w:r w:rsidRPr="002B34BC">
        <w:rPr>
          <w:rFonts w:eastAsia="Times New Roman" w:cs="Times New Roman"/>
          <w:b/>
          <w:bCs/>
          <w:color w:val="auto"/>
          <w:sz w:val="21"/>
          <w:szCs w:val="21"/>
        </w:rPr>
        <w:t>Patient understanding</w:t>
      </w:r>
      <w:r w:rsidRPr="002B34BC">
        <w:rPr>
          <w:rFonts w:eastAsia="Times New Roman" w:cs="Times New Roman"/>
          <w:color w:val="auto"/>
          <w:sz w:val="21"/>
          <w:szCs w:val="21"/>
        </w:rPr>
        <w:t xml:space="preserve"> – support patients to understand the change to their prescriptions, and the active ingredients in their medicines. </w:t>
      </w:r>
    </w:p>
    <w:p w14:paraId="2C0D09A3" w14:textId="77777777" w:rsidR="002B34BC" w:rsidRPr="002B34BC" w:rsidRDefault="002B34BC" w:rsidP="002B34BC">
      <w:pPr>
        <w:pStyle w:val="Default"/>
        <w:numPr>
          <w:ilvl w:val="0"/>
          <w:numId w:val="26"/>
        </w:numPr>
        <w:spacing w:after="67"/>
        <w:rPr>
          <w:rFonts w:eastAsia="Times New Roman" w:cs="Times New Roman"/>
          <w:color w:val="auto"/>
          <w:sz w:val="21"/>
          <w:szCs w:val="21"/>
        </w:rPr>
      </w:pPr>
      <w:r w:rsidRPr="002B34BC">
        <w:rPr>
          <w:rFonts w:eastAsia="Times New Roman" w:cs="Times New Roman"/>
          <w:b/>
          <w:bCs/>
          <w:color w:val="auto"/>
          <w:sz w:val="21"/>
          <w:szCs w:val="21"/>
        </w:rPr>
        <w:t>Stay up to date</w:t>
      </w:r>
      <w:r w:rsidRPr="002B34BC">
        <w:rPr>
          <w:rFonts w:eastAsia="Times New Roman" w:cs="Times New Roman"/>
          <w:color w:val="auto"/>
          <w:sz w:val="21"/>
          <w:szCs w:val="21"/>
        </w:rPr>
        <w:t xml:space="preserve"> - with communications from clinical peak organisations and your software provider, and watch for any future updates to your prescribing software. </w:t>
      </w:r>
    </w:p>
    <w:p w14:paraId="4B184CFA" w14:textId="563A18A5" w:rsidR="002B34BC" w:rsidRPr="002B34BC" w:rsidRDefault="002B34BC" w:rsidP="002B34BC">
      <w:pPr>
        <w:pStyle w:val="Heading2"/>
        <w:rPr>
          <w:b/>
          <w:bCs w:val="0"/>
          <w:sz w:val="24"/>
          <w:szCs w:val="24"/>
        </w:rPr>
      </w:pPr>
      <w:r>
        <w:rPr>
          <w:b/>
          <w:bCs w:val="0"/>
          <w:sz w:val="24"/>
          <w:szCs w:val="24"/>
        </w:rPr>
        <w:t>Additional Information</w:t>
      </w:r>
    </w:p>
    <w:p w14:paraId="3AF982D5" w14:textId="515426F0" w:rsidR="002B34BC" w:rsidRPr="002B34BC" w:rsidRDefault="002B34BC" w:rsidP="002B34BC">
      <w:pPr>
        <w:pStyle w:val="Default"/>
        <w:numPr>
          <w:ilvl w:val="0"/>
          <w:numId w:val="32"/>
        </w:numPr>
        <w:spacing w:after="67"/>
        <w:rPr>
          <w:sz w:val="21"/>
          <w:szCs w:val="21"/>
        </w:rPr>
      </w:pPr>
      <w:r w:rsidRPr="002B34BC">
        <w:rPr>
          <w:sz w:val="21"/>
          <w:szCs w:val="21"/>
        </w:rPr>
        <w:t xml:space="preserve">Clinical Support Materials including an AIP User Guide, List of Medicines for Brand Consideration and List of Excluded Medicinal Items are available on the Australian Commission on Safety and Quality in Health Care’s </w:t>
      </w:r>
      <w:hyperlink r:id="rId11" w:history="1">
        <w:r w:rsidRPr="002B34BC">
          <w:rPr>
            <w:rStyle w:val="Hyperlink"/>
            <w:sz w:val="21"/>
            <w:szCs w:val="21"/>
          </w:rPr>
          <w:t>website</w:t>
        </w:r>
      </w:hyperlink>
      <w:r w:rsidR="00B9707E">
        <w:rPr>
          <w:sz w:val="21"/>
          <w:szCs w:val="21"/>
        </w:rPr>
        <w:t>.</w:t>
      </w:r>
    </w:p>
    <w:p w14:paraId="43E4D1CD" w14:textId="425D4E42" w:rsidR="00F56692" w:rsidRDefault="002B34BC" w:rsidP="00F56692">
      <w:pPr>
        <w:pStyle w:val="Default"/>
        <w:numPr>
          <w:ilvl w:val="0"/>
          <w:numId w:val="26"/>
        </w:numPr>
        <w:spacing w:after="67"/>
        <w:rPr>
          <w:rFonts w:eastAsia="Times New Roman" w:cs="Times New Roman"/>
          <w:color w:val="auto"/>
          <w:sz w:val="21"/>
          <w:szCs w:val="21"/>
        </w:rPr>
      </w:pPr>
      <w:r w:rsidRPr="00F56692">
        <w:rPr>
          <w:sz w:val="21"/>
          <w:szCs w:val="21"/>
        </w:rPr>
        <w:t xml:space="preserve">Fact Sheets, FAQ pages and other resources for prescribers, pharmacists and consumers are </w:t>
      </w:r>
      <w:r w:rsidRPr="00F56692">
        <w:rPr>
          <w:rFonts w:eastAsia="Times New Roman" w:cs="Times New Roman"/>
          <w:color w:val="auto"/>
          <w:sz w:val="21"/>
          <w:szCs w:val="21"/>
        </w:rPr>
        <w:t>available</w:t>
      </w:r>
      <w:r w:rsidRPr="00F56692">
        <w:rPr>
          <w:sz w:val="21"/>
          <w:szCs w:val="21"/>
        </w:rPr>
        <w:t xml:space="preserve"> on the </w:t>
      </w:r>
      <w:hyperlink r:id="rId12" w:history="1">
        <w:r w:rsidRPr="00F56692">
          <w:rPr>
            <w:rStyle w:val="Hyperlink"/>
            <w:sz w:val="21"/>
            <w:szCs w:val="21"/>
          </w:rPr>
          <w:t>NPS MedicineWise</w:t>
        </w:r>
      </w:hyperlink>
      <w:r w:rsidRPr="00F56692">
        <w:rPr>
          <w:sz w:val="21"/>
          <w:szCs w:val="21"/>
        </w:rPr>
        <w:t xml:space="preserve"> and </w:t>
      </w:r>
      <w:hyperlink r:id="rId13" w:history="1">
        <w:r w:rsidRPr="00F56692">
          <w:rPr>
            <w:rStyle w:val="Hyperlink"/>
            <w:sz w:val="21"/>
            <w:szCs w:val="21"/>
          </w:rPr>
          <w:t>PBS</w:t>
        </w:r>
      </w:hyperlink>
      <w:r w:rsidRPr="00F56692">
        <w:rPr>
          <w:sz w:val="21"/>
          <w:szCs w:val="21"/>
        </w:rPr>
        <w:t xml:space="preserve"> websites</w:t>
      </w:r>
      <w:r w:rsidR="00B9707E" w:rsidRPr="00F56692">
        <w:rPr>
          <w:sz w:val="21"/>
          <w:szCs w:val="21"/>
        </w:rPr>
        <w:t>.</w:t>
      </w:r>
    </w:p>
    <w:p w14:paraId="553F2573" w14:textId="5D348BD2" w:rsidR="00332DA3" w:rsidRPr="00F56692" w:rsidRDefault="00392D42" w:rsidP="00F56692">
      <w:pPr>
        <w:pStyle w:val="Heading2"/>
        <w:rPr>
          <w:b/>
          <w:bCs w:val="0"/>
          <w:sz w:val="24"/>
          <w:szCs w:val="24"/>
        </w:rPr>
      </w:pPr>
      <w:r w:rsidRPr="00F56692">
        <w:rPr>
          <w:b/>
          <w:bCs w:val="0"/>
          <w:sz w:val="24"/>
          <w:szCs w:val="24"/>
        </w:rPr>
        <w:t>Q</w:t>
      </w:r>
      <w:r w:rsidR="00E67C5F" w:rsidRPr="00F56692">
        <w:rPr>
          <w:b/>
          <w:bCs w:val="0"/>
          <w:sz w:val="24"/>
          <w:szCs w:val="24"/>
        </w:rPr>
        <w:t>ueries</w:t>
      </w:r>
    </w:p>
    <w:p w14:paraId="1319F2AF" w14:textId="10901E02" w:rsidR="00393B74" w:rsidRPr="00393B74" w:rsidRDefault="00ED5D1F" w:rsidP="002B34BC">
      <w:pPr>
        <w:pStyle w:val="Paragraphtext"/>
      </w:pPr>
      <w:r w:rsidRPr="00ED5D1F">
        <w:t>Any questions regarding</w:t>
      </w:r>
      <w:r w:rsidR="00392D42">
        <w:t xml:space="preserve"> Active Ingredient Prescribing</w:t>
      </w:r>
      <w:r w:rsidR="00F13AB6">
        <w:t xml:space="preserve"> </w:t>
      </w:r>
      <w:r w:rsidRPr="00ED5D1F">
        <w:t xml:space="preserve">can be sent to </w:t>
      </w:r>
      <w:hyperlink r:id="rId14" w:history="1">
        <w:r w:rsidR="00392D42" w:rsidRPr="00B24DF7">
          <w:rPr>
            <w:rStyle w:val="Hyperlink"/>
          </w:rPr>
          <w:t>AIPrescribing@health.gov.au</w:t>
        </w:r>
      </w:hyperlink>
      <w:r w:rsidR="00392D42">
        <w:t xml:space="preserve">. </w:t>
      </w:r>
    </w:p>
    <w:sectPr w:rsidR="00393B74" w:rsidRPr="00393B74" w:rsidSect="00F56692">
      <w:headerReference w:type="default" r:id="rId15"/>
      <w:type w:val="continuous"/>
      <w:pgSz w:w="11906" w:h="16838"/>
      <w:pgMar w:top="1135" w:right="849" w:bottom="142" w:left="1134" w:header="8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1A4D9" w14:textId="77777777" w:rsidR="002E6BDA" w:rsidRDefault="002E6BDA" w:rsidP="006B56BB">
      <w:r>
        <w:separator/>
      </w:r>
    </w:p>
    <w:p w14:paraId="3D4E0029" w14:textId="77777777" w:rsidR="002E6BDA" w:rsidRDefault="002E6BDA"/>
  </w:endnote>
  <w:endnote w:type="continuationSeparator" w:id="0">
    <w:p w14:paraId="7807863D" w14:textId="77777777" w:rsidR="002E6BDA" w:rsidRDefault="002E6BDA" w:rsidP="006B56BB">
      <w:r>
        <w:continuationSeparator/>
      </w:r>
    </w:p>
    <w:p w14:paraId="53B5BD88" w14:textId="77777777" w:rsidR="002E6BDA" w:rsidRDefault="002E6BDA"/>
  </w:endnote>
  <w:endnote w:type="continuationNotice" w:id="1">
    <w:p w14:paraId="4FD44329" w14:textId="77777777" w:rsidR="002E6BDA" w:rsidRDefault="002E6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48912" w14:textId="792CD601" w:rsidR="008D48C9" w:rsidRPr="00DE3355" w:rsidRDefault="008D48C9"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104C" w14:textId="77777777" w:rsidR="002E6BDA" w:rsidRDefault="002E6BDA" w:rsidP="006B56BB">
      <w:r>
        <w:separator/>
      </w:r>
    </w:p>
    <w:p w14:paraId="23D028B9" w14:textId="77777777" w:rsidR="002E6BDA" w:rsidRDefault="002E6BDA"/>
  </w:footnote>
  <w:footnote w:type="continuationSeparator" w:id="0">
    <w:p w14:paraId="2208935F" w14:textId="77777777" w:rsidR="002E6BDA" w:rsidRDefault="002E6BDA" w:rsidP="006B56BB">
      <w:r>
        <w:continuationSeparator/>
      </w:r>
    </w:p>
    <w:p w14:paraId="3E0A60A7" w14:textId="77777777" w:rsidR="002E6BDA" w:rsidRDefault="002E6BDA"/>
  </w:footnote>
  <w:footnote w:type="continuationNotice" w:id="1">
    <w:p w14:paraId="1769FE6B" w14:textId="77777777" w:rsidR="002E6BDA" w:rsidRDefault="002E6B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E61A" w14:textId="77777777"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204E" w14:textId="4C3A2C6F" w:rsidR="00DC3EDD" w:rsidRPr="00DC3EDD" w:rsidRDefault="001571C7" w:rsidP="00F56692">
    <w:pPr>
      <w:jc w:val="right"/>
      <w:rPr>
        <w:rFonts w:cs="Arial"/>
        <w:bCs/>
        <w:color w:val="3F4A75"/>
        <w:kern w:val="28"/>
        <w:sz w:val="32"/>
        <w:szCs w:val="32"/>
      </w:rPr>
    </w:pPr>
    <w:r>
      <w:rPr>
        <w:noProof/>
        <w:lang w:eastAsia="en-AU"/>
      </w:rPr>
      <w:drawing>
        <wp:anchor distT="0" distB="0" distL="114300" distR="114300" simplePos="0" relativeHeight="251658240" behindDoc="1" locked="0" layoutInCell="1" allowOverlap="1" wp14:anchorId="700CCC23" wp14:editId="17DECAD8">
          <wp:simplePos x="0" y="0"/>
          <wp:positionH relativeFrom="margin">
            <wp:align>center</wp:align>
          </wp:positionH>
          <wp:positionV relativeFrom="paragraph">
            <wp:posOffset>-171450</wp:posOffset>
          </wp:positionV>
          <wp:extent cx="6253945" cy="958215"/>
          <wp:effectExtent l="0" t="0" r="0" b="0"/>
          <wp:wrapNone/>
          <wp:docPr id="15" name="Picture 1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6253945" cy="958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3EDD" w:rsidRPr="00DC3EDD">
      <w:rPr>
        <w:rFonts w:cs="Arial"/>
        <w:bCs/>
        <w:color w:val="3F4A75"/>
        <w:kern w:val="28"/>
        <w:sz w:val="36"/>
        <w:szCs w:val="36"/>
      </w:rPr>
      <w:t xml:space="preserve"> </w:t>
    </w:r>
  </w:p>
  <w:p w14:paraId="181141FE" w14:textId="16621D84" w:rsidR="008D48C9" w:rsidRDefault="008D4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E5DC" w14:textId="286DB33A" w:rsidR="008E0C77" w:rsidRDefault="00392D42" w:rsidP="008E0C77">
    <w:pPr>
      <w:pStyle w:val="Headertext"/>
      <w:spacing w:after="180"/>
      <w:jc w:val="left"/>
    </w:pPr>
    <w:r>
      <w:rPr>
        <w:noProof/>
        <w:lang w:eastAsia="en-AU"/>
      </w:rPr>
      <w:drawing>
        <wp:inline distT="0" distB="0" distL="0" distR="0" wp14:anchorId="13818B65" wp14:editId="6BCD5491">
          <wp:extent cx="5865806" cy="959485"/>
          <wp:effectExtent l="0" t="0" r="1905" b="0"/>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2936DA"/>
    <w:multiLevelType w:val="hybridMultilevel"/>
    <w:tmpl w:val="14265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493361"/>
    <w:multiLevelType w:val="hybridMultilevel"/>
    <w:tmpl w:val="AEFEC2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2367C"/>
    <w:multiLevelType w:val="hybridMultilevel"/>
    <w:tmpl w:val="F47603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463597"/>
    <w:multiLevelType w:val="hybridMultilevel"/>
    <w:tmpl w:val="C83E69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055C63"/>
    <w:multiLevelType w:val="multilevel"/>
    <w:tmpl w:val="09B0F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D171E8"/>
    <w:multiLevelType w:val="hybridMultilevel"/>
    <w:tmpl w:val="EC6EC3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74F577E"/>
    <w:multiLevelType w:val="hybridMultilevel"/>
    <w:tmpl w:val="77849F40"/>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04C7B"/>
    <w:multiLevelType w:val="hybridMultilevel"/>
    <w:tmpl w:val="B6B23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D30300"/>
    <w:multiLevelType w:val="hybridMultilevel"/>
    <w:tmpl w:val="81C6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916C08"/>
    <w:multiLevelType w:val="hybridMultilevel"/>
    <w:tmpl w:val="8E26D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F101EF"/>
    <w:multiLevelType w:val="hybridMultilevel"/>
    <w:tmpl w:val="A5BA68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9203333"/>
    <w:multiLevelType w:val="hybridMultilevel"/>
    <w:tmpl w:val="A87E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287779"/>
    <w:multiLevelType w:val="hybridMultilevel"/>
    <w:tmpl w:val="44ACFB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29"/>
  </w:num>
  <w:num w:numId="4">
    <w:abstractNumId w:val="9"/>
  </w:num>
  <w:num w:numId="5">
    <w:abstractNumId w:val="9"/>
    <w:lvlOverride w:ilvl="0">
      <w:startOverride w:val="1"/>
    </w:lvlOverride>
  </w:num>
  <w:num w:numId="6">
    <w:abstractNumId w:val="12"/>
  </w:num>
  <w:num w:numId="7">
    <w:abstractNumId w:val="19"/>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0"/>
  </w:num>
  <w:num w:numId="17">
    <w:abstractNumId w:val="13"/>
  </w:num>
  <w:num w:numId="18">
    <w:abstractNumId w:val="16"/>
  </w:num>
  <w:num w:numId="19">
    <w:abstractNumId w:val="18"/>
  </w:num>
  <w:num w:numId="20">
    <w:abstractNumId w:val="15"/>
  </w:num>
  <w:num w:numId="21">
    <w:abstractNumId w:val="22"/>
  </w:num>
  <w:num w:numId="22">
    <w:abstractNumId w:val="21"/>
  </w:num>
  <w:num w:numId="23">
    <w:abstractNumId w:val="24"/>
  </w:num>
  <w:num w:numId="24">
    <w:abstractNumId w:val="27"/>
  </w:num>
  <w:num w:numId="25">
    <w:abstractNumId w:val="17"/>
  </w:num>
  <w:num w:numId="26">
    <w:abstractNumId w:val="20"/>
  </w:num>
  <w:num w:numId="27">
    <w:abstractNumId w:val="25"/>
  </w:num>
  <w:num w:numId="28">
    <w:abstractNumId w:val="11"/>
  </w:num>
  <w:num w:numId="29">
    <w:abstractNumId w:val="28"/>
  </w:num>
  <w:num w:numId="30">
    <w:abstractNumId w:val="14"/>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F1E904-8880-4ACF-B856-2828B62B281A}"/>
    <w:docVar w:name="dgnword-eventsink" w:val="794385912"/>
  </w:docVars>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1447"/>
    <w:rsid w:val="00067456"/>
    <w:rsid w:val="00071506"/>
    <w:rsid w:val="0007154F"/>
    <w:rsid w:val="000811FA"/>
    <w:rsid w:val="00081AB1"/>
    <w:rsid w:val="00090316"/>
    <w:rsid w:val="00093981"/>
    <w:rsid w:val="000B067A"/>
    <w:rsid w:val="000B1540"/>
    <w:rsid w:val="000B1E53"/>
    <w:rsid w:val="000B33FD"/>
    <w:rsid w:val="000B4ABA"/>
    <w:rsid w:val="000C3DE5"/>
    <w:rsid w:val="000C4B16"/>
    <w:rsid w:val="000C50C3"/>
    <w:rsid w:val="000C5E14"/>
    <w:rsid w:val="000D21F6"/>
    <w:rsid w:val="000D4500"/>
    <w:rsid w:val="000D7AEA"/>
    <w:rsid w:val="000E2C66"/>
    <w:rsid w:val="000F123C"/>
    <w:rsid w:val="000F2FED"/>
    <w:rsid w:val="0010616D"/>
    <w:rsid w:val="00110478"/>
    <w:rsid w:val="0011711B"/>
    <w:rsid w:val="00117F8A"/>
    <w:rsid w:val="00120A03"/>
    <w:rsid w:val="00120C18"/>
    <w:rsid w:val="00121B9B"/>
    <w:rsid w:val="00122ADC"/>
    <w:rsid w:val="00130F59"/>
    <w:rsid w:val="00133EC0"/>
    <w:rsid w:val="00141CE5"/>
    <w:rsid w:val="00144908"/>
    <w:rsid w:val="001479C4"/>
    <w:rsid w:val="001571C7"/>
    <w:rsid w:val="00161094"/>
    <w:rsid w:val="0017665C"/>
    <w:rsid w:val="00177AD2"/>
    <w:rsid w:val="001815A8"/>
    <w:rsid w:val="001840FA"/>
    <w:rsid w:val="00190079"/>
    <w:rsid w:val="0019622E"/>
    <w:rsid w:val="001966A7"/>
    <w:rsid w:val="001A4627"/>
    <w:rsid w:val="001A4979"/>
    <w:rsid w:val="001B0512"/>
    <w:rsid w:val="001B15D3"/>
    <w:rsid w:val="001B15E5"/>
    <w:rsid w:val="001B3443"/>
    <w:rsid w:val="001C0326"/>
    <w:rsid w:val="001C192F"/>
    <w:rsid w:val="001C3C42"/>
    <w:rsid w:val="001C75D8"/>
    <w:rsid w:val="001D38BA"/>
    <w:rsid w:val="001D7869"/>
    <w:rsid w:val="002026CD"/>
    <w:rsid w:val="002033FC"/>
    <w:rsid w:val="002044BB"/>
    <w:rsid w:val="00210B09"/>
    <w:rsid w:val="00210C9E"/>
    <w:rsid w:val="00211840"/>
    <w:rsid w:val="00220E5F"/>
    <w:rsid w:val="002212B5"/>
    <w:rsid w:val="00225972"/>
    <w:rsid w:val="00226668"/>
    <w:rsid w:val="00233809"/>
    <w:rsid w:val="00240046"/>
    <w:rsid w:val="0024094A"/>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34BC"/>
    <w:rsid w:val="002B42A3"/>
    <w:rsid w:val="002C0CDD"/>
    <w:rsid w:val="002C38C4"/>
    <w:rsid w:val="002E1A1D"/>
    <w:rsid w:val="002E4081"/>
    <w:rsid w:val="002E5B78"/>
    <w:rsid w:val="002E6BDA"/>
    <w:rsid w:val="002F3AE3"/>
    <w:rsid w:val="0030464B"/>
    <w:rsid w:val="0030786C"/>
    <w:rsid w:val="003233DE"/>
    <w:rsid w:val="0032466B"/>
    <w:rsid w:val="00332DA3"/>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2D42"/>
    <w:rsid w:val="0039384D"/>
    <w:rsid w:val="00393B74"/>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0E59"/>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F1"/>
    <w:rsid w:val="004C6BCF"/>
    <w:rsid w:val="004D58BF"/>
    <w:rsid w:val="004E4335"/>
    <w:rsid w:val="004F13EE"/>
    <w:rsid w:val="004F148F"/>
    <w:rsid w:val="004F2022"/>
    <w:rsid w:val="004F7C05"/>
    <w:rsid w:val="0050014C"/>
    <w:rsid w:val="00501C94"/>
    <w:rsid w:val="00506432"/>
    <w:rsid w:val="0052051D"/>
    <w:rsid w:val="0054420E"/>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6481E"/>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1BE3"/>
    <w:rsid w:val="007334F8"/>
    <w:rsid w:val="007339CD"/>
    <w:rsid w:val="007359D8"/>
    <w:rsid w:val="007362D4"/>
    <w:rsid w:val="007418BA"/>
    <w:rsid w:val="00743847"/>
    <w:rsid w:val="0076672A"/>
    <w:rsid w:val="00766E7E"/>
    <w:rsid w:val="00772246"/>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7F5289"/>
    <w:rsid w:val="00803B5B"/>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A78A1"/>
    <w:rsid w:val="008B1334"/>
    <w:rsid w:val="008B25C7"/>
    <w:rsid w:val="008B3DF3"/>
    <w:rsid w:val="008C0278"/>
    <w:rsid w:val="008C24E9"/>
    <w:rsid w:val="008C252A"/>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4753"/>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134"/>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07E"/>
    <w:rsid w:val="00B9715A"/>
    <w:rsid w:val="00BA14BE"/>
    <w:rsid w:val="00BA2732"/>
    <w:rsid w:val="00BA293D"/>
    <w:rsid w:val="00BA49BC"/>
    <w:rsid w:val="00BA56B7"/>
    <w:rsid w:val="00BA5D44"/>
    <w:rsid w:val="00BA7A1E"/>
    <w:rsid w:val="00BB2F6C"/>
    <w:rsid w:val="00BB3875"/>
    <w:rsid w:val="00BB5860"/>
    <w:rsid w:val="00BB6AAD"/>
    <w:rsid w:val="00BC4A19"/>
    <w:rsid w:val="00BC4E6D"/>
    <w:rsid w:val="00BD0617"/>
    <w:rsid w:val="00BD2E9B"/>
    <w:rsid w:val="00BD7FB2"/>
    <w:rsid w:val="00C00930"/>
    <w:rsid w:val="00C00D18"/>
    <w:rsid w:val="00C060AD"/>
    <w:rsid w:val="00C113BF"/>
    <w:rsid w:val="00C2176E"/>
    <w:rsid w:val="00C23430"/>
    <w:rsid w:val="00C26592"/>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491A"/>
    <w:rsid w:val="00CE50F2"/>
    <w:rsid w:val="00CE6502"/>
    <w:rsid w:val="00CF7D3C"/>
    <w:rsid w:val="00D01F09"/>
    <w:rsid w:val="00D147EB"/>
    <w:rsid w:val="00D16116"/>
    <w:rsid w:val="00D34667"/>
    <w:rsid w:val="00D401E1"/>
    <w:rsid w:val="00D408B4"/>
    <w:rsid w:val="00D524C8"/>
    <w:rsid w:val="00D70E24"/>
    <w:rsid w:val="00D72B61"/>
    <w:rsid w:val="00D82BE6"/>
    <w:rsid w:val="00D85542"/>
    <w:rsid w:val="00DA3D1D"/>
    <w:rsid w:val="00DB6286"/>
    <w:rsid w:val="00DB645F"/>
    <w:rsid w:val="00DB76E9"/>
    <w:rsid w:val="00DC0A67"/>
    <w:rsid w:val="00DC1D5E"/>
    <w:rsid w:val="00DC3EDD"/>
    <w:rsid w:val="00DC5220"/>
    <w:rsid w:val="00DD2061"/>
    <w:rsid w:val="00DD4627"/>
    <w:rsid w:val="00DD660E"/>
    <w:rsid w:val="00DD7DAB"/>
    <w:rsid w:val="00DE3355"/>
    <w:rsid w:val="00DF0C60"/>
    <w:rsid w:val="00DF486F"/>
    <w:rsid w:val="00DF5B5B"/>
    <w:rsid w:val="00DF7619"/>
    <w:rsid w:val="00E042D8"/>
    <w:rsid w:val="00E07EE7"/>
    <w:rsid w:val="00E1103B"/>
    <w:rsid w:val="00E17B44"/>
    <w:rsid w:val="00E20F27"/>
    <w:rsid w:val="00E22443"/>
    <w:rsid w:val="00E27FEA"/>
    <w:rsid w:val="00E30D1B"/>
    <w:rsid w:val="00E4086F"/>
    <w:rsid w:val="00E43B3C"/>
    <w:rsid w:val="00E50188"/>
    <w:rsid w:val="00E50BB3"/>
    <w:rsid w:val="00E515CB"/>
    <w:rsid w:val="00E52260"/>
    <w:rsid w:val="00E639B6"/>
    <w:rsid w:val="00E6434B"/>
    <w:rsid w:val="00E6463D"/>
    <w:rsid w:val="00E67C5F"/>
    <w:rsid w:val="00E7159E"/>
    <w:rsid w:val="00E72E9B"/>
    <w:rsid w:val="00E812BD"/>
    <w:rsid w:val="00E850C3"/>
    <w:rsid w:val="00E87DF2"/>
    <w:rsid w:val="00E9462E"/>
    <w:rsid w:val="00EA470E"/>
    <w:rsid w:val="00EA47A7"/>
    <w:rsid w:val="00EA57EB"/>
    <w:rsid w:val="00EB3226"/>
    <w:rsid w:val="00EC1E79"/>
    <w:rsid w:val="00EC213A"/>
    <w:rsid w:val="00EC7744"/>
    <w:rsid w:val="00ED0DAD"/>
    <w:rsid w:val="00ED0F46"/>
    <w:rsid w:val="00ED2373"/>
    <w:rsid w:val="00ED5D1F"/>
    <w:rsid w:val="00EE3E8A"/>
    <w:rsid w:val="00EE4CAF"/>
    <w:rsid w:val="00EF58B8"/>
    <w:rsid w:val="00EF6ECA"/>
    <w:rsid w:val="00F024E1"/>
    <w:rsid w:val="00F06C10"/>
    <w:rsid w:val="00F1096F"/>
    <w:rsid w:val="00F12589"/>
    <w:rsid w:val="00F12595"/>
    <w:rsid w:val="00F134D9"/>
    <w:rsid w:val="00F13AB6"/>
    <w:rsid w:val="00F1403D"/>
    <w:rsid w:val="00F1463F"/>
    <w:rsid w:val="00F21302"/>
    <w:rsid w:val="00F321DE"/>
    <w:rsid w:val="00F33777"/>
    <w:rsid w:val="00F40648"/>
    <w:rsid w:val="00F47DA2"/>
    <w:rsid w:val="00F519FC"/>
    <w:rsid w:val="00F56692"/>
    <w:rsid w:val="00F6239D"/>
    <w:rsid w:val="00F715D2"/>
    <w:rsid w:val="00F7274F"/>
    <w:rsid w:val="00F74E84"/>
    <w:rsid w:val="00F76FA8"/>
    <w:rsid w:val="00F93F08"/>
    <w:rsid w:val="00F94CED"/>
    <w:rsid w:val="00FA02BB"/>
    <w:rsid w:val="00FA2CEE"/>
    <w:rsid w:val="00FA318C"/>
    <w:rsid w:val="00FA711E"/>
    <w:rsid w:val="00FB0B80"/>
    <w:rsid w:val="00FB6F92"/>
    <w:rsid w:val="00FC026E"/>
    <w:rsid w:val="00FC176C"/>
    <w:rsid w:val="00FC5124"/>
    <w:rsid w:val="00FD4731"/>
    <w:rsid w:val="00FD6768"/>
    <w:rsid w:val="00FF0AB0"/>
    <w:rsid w:val="00FF28AC"/>
    <w:rsid w:val="00FF3D5E"/>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79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4F148F"/>
    <w:pPr>
      <w:spacing w:after="240"/>
      <w:ind w:left="-142"/>
      <w:jc w:val="center"/>
      <w:outlineLvl w:val="0"/>
    </w:pPr>
    <w:rPr>
      <w:rFonts w:cs="Arial"/>
      <w:bCs/>
      <w:color w:val="3F4A75"/>
      <w:kern w:val="28"/>
      <w:sz w:val="30"/>
      <w:szCs w:val="30"/>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E7159E"/>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customStyle="1" w:styleId="Default">
    <w:name w:val="Default"/>
    <w:rsid w:val="00ED5D1F"/>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E67C5F"/>
    <w:pPr>
      <w:spacing w:before="100" w:beforeAutospacing="1" w:after="100" w:afterAutospacing="1"/>
    </w:pPr>
    <w:rPr>
      <w:rFonts w:ascii="Calibri" w:eastAsiaTheme="minorHAnsi" w:hAnsi="Calibri" w:cs="Calibri"/>
      <w:szCs w:val="22"/>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67C5F"/>
    <w:rPr>
      <w:rFonts w:ascii="Arial" w:hAnsi="Arial"/>
      <w:sz w:val="22"/>
      <w:szCs w:val="24"/>
      <w:lang w:eastAsia="en-US"/>
    </w:rPr>
  </w:style>
  <w:style w:type="character" w:customStyle="1" w:styleId="UnresolvedMention">
    <w:name w:val="Unresolved Mention"/>
    <w:basedOn w:val="DefaultParagraphFont"/>
    <w:uiPriority w:val="99"/>
    <w:semiHidden/>
    <w:unhideWhenUsed/>
    <w:rsid w:val="00392D42"/>
    <w:rPr>
      <w:color w:val="605E5C"/>
      <w:shd w:val="clear" w:color="auto" w:fill="E1DFDD"/>
    </w:rPr>
  </w:style>
  <w:style w:type="character" w:styleId="CommentReference">
    <w:name w:val="annotation reference"/>
    <w:basedOn w:val="DefaultParagraphFont"/>
    <w:semiHidden/>
    <w:unhideWhenUsed/>
    <w:rsid w:val="00EC1E79"/>
    <w:rPr>
      <w:sz w:val="16"/>
      <w:szCs w:val="16"/>
    </w:rPr>
  </w:style>
  <w:style w:type="paragraph" w:styleId="CommentText">
    <w:name w:val="annotation text"/>
    <w:basedOn w:val="Normal"/>
    <w:link w:val="CommentTextChar"/>
    <w:semiHidden/>
    <w:unhideWhenUsed/>
    <w:rsid w:val="00EC1E79"/>
    <w:rPr>
      <w:sz w:val="20"/>
      <w:szCs w:val="20"/>
    </w:rPr>
  </w:style>
  <w:style w:type="character" w:customStyle="1" w:styleId="CommentTextChar">
    <w:name w:val="Comment Text Char"/>
    <w:basedOn w:val="DefaultParagraphFont"/>
    <w:link w:val="CommentText"/>
    <w:semiHidden/>
    <w:rsid w:val="00EC1E79"/>
    <w:rPr>
      <w:rFonts w:ascii="Arial" w:hAnsi="Arial"/>
      <w:lang w:eastAsia="en-US"/>
    </w:rPr>
  </w:style>
  <w:style w:type="paragraph" w:styleId="CommentSubject">
    <w:name w:val="annotation subject"/>
    <w:basedOn w:val="CommentText"/>
    <w:next w:val="CommentText"/>
    <w:link w:val="CommentSubjectChar"/>
    <w:semiHidden/>
    <w:unhideWhenUsed/>
    <w:rsid w:val="00EC1E79"/>
    <w:rPr>
      <w:b/>
      <w:bCs/>
    </w:rPr>
  </w:style>
  <w:style w:type="character" w:customStyle="1" w:styleId="CommentSubjectChar">
    <w:name w:val="Comment Subject Char"/>
    <w:basedOn w:val="CommentTextChar"/>
    <w:link w:val="CommentSubject"/>
    <w:semiHidden/>
    <w:rsid w:val="00EC1E79"/>
    <w:rPr>
      <w:rFonts w:ascii="Arial" w:hAnsi="Arial"/>
      <w:b/>
      <w:bCs/>
      <w:lang w:eastAsia="en-US"/>
    </w:rPr>
  </w:style>
  <w:style w:type="paragraph" w:styleId="BalloonText">
    <w:name w:val="Balloon Text"/>
    <w:basedOn w:val="Normal"/>
    <w:link w:val="BalloonTextChar"/>
    <w:semiHidden/>
    <w:unhideWhenUsed/>
    <w:rsid w:val="00EC1E79"/>
    <w:rPr>
      <w:rFonts w:ascii="Segoe UI" w:hAnsi="Segoe UI" w:cs="Segoe UI"/>
      <w:sz w:val="18"/>
      <w:szCs w:val="18"/>
    </w:rPr>
  </w:style>
  <w:style w:type="character" w:customStyle="1" w:styleId="BalloonTextChar">
    <w:name w:val="Balloon Text Char"/>
    <w:basedOn w:val="DefaultParagraphFont"/>
    <w:link w:val="BalloonText"/>
    <w:semiHidden/>
    <w:rsid w:val="00EC1E79"/>
    <w:rPr>
      <w:rFonts w:ascii="Segoe UI" w:hAnsi="Segoe UI" w:cs="Segoe UI"/>
      <w:sz w:val="18"/>
      <w:szCs w:val="18"/>
      <w:lang w:eastAsia="en-US"/>
    </w:rPr>
  </w:style>
  <w:style w:type="paragraph" w:customStyle="1" w:styleId="Pa20">
    <w:name w:val="Pa20"/>
    <w:basedOn w:val="Default"/>
    <w:next w:val="Default"/>
    <w:uiPriority w:val="99"/>
    <w:rsid w:val="00EE4CAF"/>
    <w:pPr>
      <w:spacing w:line="191" w:lineRule="atLeast"/>
    </w:pPr>
    <w:rPr>
      <w:rFonts w:ascii="Open Sans" w:eastAsia="Times New Roman" w:hAnsi="Open Sans"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206158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bs.gov.au/info/general/active-ingredient-prescrib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s.org.au/active-ingredient-prescrib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our-work/medication-safety/active-ingredient-prescribin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IPrescribing@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118D-F882-4D3A-B02B-6712664D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3039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2021-07-22T03:20:00Z</dcterms:created>
  <dcterms:modified xsi:type="dcterms:W3CDTF">2021-07-22T04:10:00Z</dcterms:modified>
</cp:coreProperties>
</file>